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E1D5" w14:textId="77777777" w:rsidR="001C53A0" w:rsidRPr="001C53A0" w:rsidRDefault="001C53A0" w:rsidP="003553A3">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1C53A0">
        <w:rPr>
          <w:rFonts w:ascii="Times New Roman" w:eastAsia="Times New Roman" w:hAnsi="Times New Roman" w:cs="Times New Roman"/>
          <w:b/>
          <w:bCs/>
          <w:i/>
          <w:iCs/>
          <w:sz w:val="36"/>
          <w:szCs w:val="36"/>
          <w:u w:val="single"/>
          <w:lang w:val="en-US" w:eastAsia="en-GB"/>
        </w:rPr>
        <w:t>Review Article</w:t>
      </w:r>
    </w:p>
    <w:p w14:paraId="15737509" w14:textId="77777777" w:rsidR="009F5601" w:rsidRPr="009F5601" w:rsidRDefault="009F5601" w:rsidP="003553A3">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9F5601">
        <w:rPr>
          <w:rFonts w:ascii="Times New Roman" w:eastAsia="Times New Roman" w:hAnsi="Times New Roman" w:cs="Times New Roman"/>
          <w:b/>
          <w:bCs/>
          <w:sz w:val="36"/>
          <w:szCs w:val="36"/>
          <w:lang w:eastAsia="en-GB"/>
        </w:rPr>
        <w:t>Novel Drug Delivery Systems in Film-Forming Sprays: Formulation Principles, Polymeric Architectures, Therapeutic Applications, and Emerging Frontiers</w:t>
      </w:r>
    </w:p>
    <w:p w14:paraId="095D86C8" w14:textId="77777777" w:rsidR="007D3914" w:rsidRDefault="007D3914"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p>
    <w:p w14:paraId="64085616" w14:textId="77777777" w:rsidR="007D3914" w:rsidRPr="007D3914" w:rsidRDefault="007D3914"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D3914">
        <w:rPr>
          <w:rFonts w:ascii="Times New Roman" w:eastAsia="Times New Roman" w:hAnsi="Times New Roman" w:cs="Times New Roman"/>
          <w:b/>
          <w:bCs/>
          <w:sz w:val="27"/>
          <w:szCs w:val="27"/>
          <w:lang w:eastAsia="en-GB"/>
        </w:rPr>
        <w:t>Abstract</w:t>
      </w:r>
    </w:p>
    <w:p w14:paraId="00AEA352" w14:textId="79CC47DC" w:rsidR="007D3914" w:rsidRPr="007D3914" w:rsidRDefault="007D3914"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D3914">
        <w:rPr>
          <w:rFonts w:ascii="Times New Roman" w:eastAsia="Times New Roman" w:hAnsi="Times New Roman" w:cs="Times New Roman"/>
          <w:sz w:val="24"/>
          <w:szCs w:val="24"/>
          <w:lang w:eastAsia="en-GB"/>
        </w:rPr>
        <w:t xml:space="preserve">Film-forming sprays (FFS) are topical and transdermal drug delivery platforms in which polymer-based formulations are applied to biological surfaces and spontaneously consolidate into thin, adherent, drug-loaded films upon solvent evaporation. Offering uniform coverage of irregular anatomical surfaces, customisable release kinetics, and an aesthetically superior patient experience compared with conventional semi-solid preparations, FFS have attracted growing scientific and clinical investment. Their polymeric backbone—encompassing cellulose derivatives, polymethacrylates, chitosan, alginate, polyvinyl alcohol, and </w:t>
      </w:r>
      <w:proofErr w:type="spellStart"/>
      <w:r w:rsidRPr="007D3914">
        <w:rPr>
          <w:rFonts w:ascii="Times New Roman" w:eastAsia="Times New Roman" w:hAnsi="Times New Roman" w:cs="Times New Roman"/>
          <w:sz w:val="24"/>
          <w:szCs w:val="24"/>
          <w:lang w:eastAsia="en-GB"/>
        </w:rPr>
        <w:t>thermoresponsive</w:t>
      </w:r>
      <w:proofErr w:type="spellEnd"/>
      <w:r w:rsidRPr="007D3914">
        <w:rPr>
          <w:rFonts w:ascii="Times New Roman" w:eastAsia="Times New Roman" w:hAnsi="Times New Roman" w:cs="Times New Roman"/>
          <w:sz w:val="24"/>
          <w:szCs w:val="24"/>
          <w:lang w:eastAsia="en-GB"/>
        </w:rPr>
        <w:t xml:space="preserve"> copolymers—determines film adhesion, mechanical flexibility, moisture vapour transmission, and drug permeation characteristics. The incorporation of nanostructured carriers, including solid lipid nanoparticles, nanostructured lipid carriers, liposomes, </w:t>
      </w:r>
      <w:proofErr w:type="spellStart"/>
      <w:r w:rsidRPr="007D3914">
        <w:rPr>
          <w:rFonts w:ascii="Times New Roman" w:eastAsia="Times New Roman" w:hAnsi="Times New Roman" w:cs="Times New Roman"/>
          <w:sz w:val="24"/>
          <w:szCs w:val="24"/>
          <w:lang w:eastAsia="en-GB"/>
        </w:rPr>
        <w:t>ethosomes</w:t>
      </w:r>
      <w:proofErr w:type="spellEnd"/>
      <w:r w:rsidRPr="007D3914">
        <w:rPr>
          <w:rFonts w:ascii="Times New Roman" w:eastAsia="Times New Roman" w:hAnsi="Times New Roman" w:cs="Times New Roman"/>
          <w:sz w:val="24"/>
          <w:szCs w:val="24"/>
          <w:lang w:eastAsia="en-GB"/>
        </w:rPr>
        <w:t>, and polymeric nanoparticles, has further diversified achievable release profiles.</w:t>
      </w:r>
      <w:r w:rsidR="008B5111">
        <w:rPr>
          <w:rFonts w:ascii="Times New Roman" w:eastAsia="Times New Roman" w:hAnsi="Times New Roman" w:cs="Times New Roman"/>
          <w:sz w:val="24"/>
          <w:szCs w:val="24"/>
          <w:lang w:eastAsia="en-GB"/>
        </w:rPr>
        <w:t xml:space="preserve"> </w:t>
      </w:r>
      <w:r w:rsidRPr="007D3914">
        <w:rPr>
          <w:rFonts w:ascii="Times New Roman" w:eastAsia="Times New Roman" w:hAnsi="Times New Roman" w:cs="Times New Roman"/>
          <w:sz w:val="24"/>
          <w:szCs w:val="24"/>
          <w:lang w:eastAsia="en-GB"/>
        </w:rPr>
        <w:t>This review critically appraises FFS technology across formulation principles, polymer systems, drug release mechanisms, therapeutic applications in wound care, dermatology, nail delivery, mucosal systems and ocular delivery, characterisation methodologies, regulatory frameworks, and emerging innovations. The evaluative conclusion reached is that clinical maturity is most evident in wound care and nail drug delivery; dermatological, mucosal, and ocular applications, whilst scientifically promising, remain supported predominantly by in vitro and pre-clinical data of uncertain clinical translatability.</w:t>
      </w:r>
      <w:r w:rsidR="008B5111">
        <w:rPr>
          <w:rFonts w:ascii="Times New Roman" w:eastAsia="Times New Roman" w:hAnsi="Times New Roman" w:cs="Times New Roman"/>
          <w:sz w:val="24"/>
          <w:szCs w:val="24"/>
          <w:lang w:eastAsia="en-GB"/>
        </w:rPr>
        <w:t xml:space="preserve"> </w:t>
      </w:r>
      <w:r w:rsidRPr="007D3914">
        <w:rPr>
          <w:rFonts w:ascii="Times New Roman" w:eastAsia="Times New Roman" w:hAnsi="Times New Roman" w:cs="Times New Roman"/>
          <w:sz w:val="24"/>
          <w:szCs w:val="24"/>
          <w:lang w:eastAsia="en-GB"/>
        </w:rPr>
        <w:t>Several unresolved controversies characterise the field. The tension between hydroalcoholic and aqueous solvent systems—where formulation performance and patient safety interests diverge, particularly for application to compromised skin—remains without consensus. Whether nanocarrier-loaded FFS confer genuine clinical benefit over well-optimised conventional film matrices is an open and insufficiently investigated question, given the near-complete absence of robust human clinical data. The boundary between drug product and medical device classification for antimicrobial wound film sprays continues to generate regulatory uncertainty within both European and United States frameworks. On the question of stimuli-responsive FFS, this review takes the position that the translational gap between laboratory proof-of-concept and clinical practice is wider than the current literature acknowledges, and that the field would benefit from more critical self-appraisal of developmental readiness. Validated in vitro–in vivo correlations, standardised characterisation protocols, and dosage-form-specific regulatory guidance from the EMA and FDA represent the most pressing unmet needs constraining the responsible advancement of this promising drug delivery modality.</w:t>
      </w:r>
    </w:p>
    <w:p w14:paraId="46BC2488" w14:textId="00E8E200" w:rsidR="007D3914" w:rsidRPr="007D3914" w:rsidRDefault="007D3914"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D3914">
        <w:rPr>
          <w:rFonts w:ascii="Times New Roman" w:eastAsia="Times New Roman" w:hAnsi="Times New Roman" w:cs="Times New Roman"/>
          <w:b/>
          <w:bCs/>
          <w:sz w:val="24"/>
          <w:szCs w:val="24"/>
          <w:lang w:eastAsia="en-GB"/>
        </w:rPr>
        <w:t>Keywords:</w:t>
      </w:r>
      <w:r w:rsidRPr="007D3914">
        <w:rPr>
          <w:rFonts w:ascii="Times New Roman" w:eastAsia="Times New Roman" w:hAnsi="Times New Roman" w:cs="Times New Roman"/>
          <w:sz w:val="24"/>
          <w:szCs w:val="24"/>
          <w:lang w:eastAsia="en-GB"/>
        </w:rPr>
        <w:t xml:space="preserve"> </w:t>
      </w:r>
      <w:r w:rsidR="008B5111">
        <w:rPr>
          <w:rFonts w:ascii="Times New Roman" w:eastAsia="Times New Roman" w:hAnsi="Times New Roman" w:cs="Times New Roman"/>
          <w:sz w:val="24"/>
          <w:szCs w:val="24"/>
          <w:lang w:eastAsia="en-GB"/>
        </w:rPr>
        <w:t>F</w:t>
      </w:r>
      <w:r w:rsidRPr="007D3914">
        <w:rPr>
          <w:rFonts w:ascii="Times New Roman" w:eastAsia="Times New Roman" w:hAnsi="Times New Roman" w:cs="Times New Roman"/>
          <w:sz w:val="24"/>
          <w:szCs w:val="24"/>
          <w:lang w:eastAsia="en-GB"/>
        </w:rPr>
        <w:t>ilm-forming sprays; topical drug delivery; polymeric films; wound care; controlled drug release; nanoparticle-embedded films; transdermal delivery; biopolymers; mucoadhesive systems; pharmaceutical excipients</w:t>
      </w:r>
    </w:p>
    <w:p w14:paraId="3AD24189"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2F28F8B1"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 Introduction</w:t>
      </w:r>
    </w:p>
    <w:p w14:paraId="51D9628F"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1.1 Background and Clinical Context</w:t>
      </w:r>
    </w:p>
    <w:p w14:paraId="1BA6F400"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challenge of delivering therapeutic agents to their intended biological targets in a controlled, safe, and patient-acceptable manner has been a defining preoccupation of pharmaceutical science throughout its modern history. Among the many routes available, topical and transdermal delivery offer distinctive advantages: they circumvent gastrointestinal degradation, reduce hepatic first-pass metabolism, permit localised therapy at the site of pathology, and in many circumstances improve patient adherence relative to oral or parenteral regimens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Yet these routes are constrained by the remarkable barrier properties of the skin, principally the stratum corneum, which acts as the foremost determinant of transcutaneous permeability and limits the passive diffusion of most therapeutic molecules to pharmacologically inadequate levels (Proksch et al., 2008).</w:t>
      </w:r>
    </w:p>
    <w:p w14:paraId="6EEB54A0"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Conventional semi-solid topical preparations—creams, ointments, gels, and lotions—whilst clinically valuable and widely prescribed, suffer from inherent practical limitations. Dosing accuracy upon patient self-application is notoriously inconsistent; product transfer to clothing and bedding is a frequent complaint; and the capacity to maintain sustained drug exposure at the application site, particularly over irregular or geometrically complex surfaces such as wounds, nail folds, and the scalp, is often limited. Film-forming spray systems have emerged as a technologically compelling response to these limitations, offering a fundamentally different approach in which a liquid formulation transitions in situ into a thin polymeric film upon contact with the biological surface. The clinical implications of this multifunctionality are considerable, particularly in chronic wound management, where the delivery of antimicrobial, anti-inflammatory, and tissue-regenerative agents within a single protective film dressing represents a genuinely advanced therapeutic strategy (Boateng et al., 2008).</w:t>
      </w:r>
    </w:p>
    <w:p w14:paraId="551A79E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Film-forming sprays are characterised by the presence of one or more film-forming polymers dissolved or dispersed in a volatile solvent carrier. When atomised droplets contact skin or mucosa, rapid solvent evaporation drives progressive polymer chain entanglement and film consolidation, yielding a flexible, drug-loaded film that adheres to the underlying tissue (Pawar et al., 2013). This film acts simultaneously as a physical protective barrier, a controlled drug reservoir, and, in some designs, an active participant in the biological healing or therapeutic process.</w:t>
      </w:r>
    </w:p>
    <w:p w14:paraId="73C395D1"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1.2 Historical Development and Scientific Context</w:t>
      </w:r>
    </w:p>
    <w:p w14:paraId="31575947"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concept of film-forming topical preparations has antecedents in collodion—a solution of nitrocellulose in ether and alcohol—employed since the mid-nineteenth century as a wound sealant. Modern FFS are distinguished from their historical forerunners by the availability of a far broader and safer portfolio of film-forming polymers, a deeper mechanistic understanding of polymer film formation and drug transport, and the advanced excipient and nanocarrier toolbox that contemporary pharmaceutical science affords. The pharmaceutical coatings industry of the 1970s and 1980s, which developed well-characterised cellulosic and acrylic polymer systems for oral dosage form coating, provided the foundational polymer science that was subsequently adapted for topical film applications. By the mid-2000s, a significant body of scientific literature on FFS for wound care had accumulated, as reflected </w:t>
      </w:r>
      <w:r w:rsidRPr="009F5601">
        <w:rPr>
          <w:rFonts w:ascii="Times New Roman" w:eastAsia="Times New Roman" w:hAnsi="Times New Roman" w:cs="Times New Roman"/>
          <w:sz w:val="24"/>
          <w:szCs w:val="24"/>
          <w:lang w:eastAsia="en-GB"/>
        </w:rPr>
        <w:lastRenderedPageBreak/>
        <w:t>in comprehensive reviews (Boateng et al., 2008), and the subsequent decade witnessed rapid diversification into dermatological disease management, nail delivery, mucosal systems, and ocular surfaces.</w:t>
      </w:r>
    </w:p>
    <w:p w14:paraId="7F08D76D"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Parallel advances in understanding the barrier properties of the skin (Proksch et al., 2008), the nail plate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and mucosal epithelia (Smart, 2005) enabled increasingly rational design of FFS formulations. The emergence of nanotechnology as a drug delivery tool added further sophistication, enabling the incorporation of lipid and polymeric nanocarriers within film matrices to achieve release profiles and tissue deposition patterns that are difficult to realise with conventional polymer systems alone. Stimuli-responsive polymer science (Ward &amp; Georgiou, 2011) and digital manufacturing technologies (</w:t>
      </w: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 have more recently begun to influence FFS design, and the field today stands at a productive intersection of polymer chemistry, surface science, nanomedicine, and clinical therapeutics. Despite this progress, important gaps persist in understanding in vitro–in vivo correlations for FFS, in establishing standardised characterisation protocols, and in developing regulatory guidance specific to this dosage form.</w:t>
      </w:r>
    </w:p>
    <w:p w14:paraId="113D5A40" w14:textId="77777777" w:rsidR="00A47C87" w:rsidRPr="00A47C87" w:rsidRDefault="00A47C87"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47C87">
        <w:rPr>
          <w:rFonts w:ascii="Times New Roman" w:eastAsia="Times New Roman" w:hAnsi="Times New Roman" w:cs="Times New Roman"/>
          <w:b/>
          <w:bCs/>
          <w:sz w:val="27"/>
          <w:szCs w:val="27"/>
          <w:lang w:eastAsia="en-GB"/>
        </w:rPr>
        <w:t>1.3 Scope and Objectives</w:t>
      </w:r>
    </w:p>
    <w:p w14:paraId="79BC0138" w14:textId="77777777" w:rsidR="00A47C87" w:rsidRPr="00A47C87" w:rsidRDefault="00A47C87"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This article presents a critical narrative review of film-forming spray systems as drug delivery platforms, spanning foundational formulation principles through to clinical and regulatory translation. Drug release mechanisms are described conceptually with reference to established modelling frameworks; no mathematical expressions are employed. The specific objectives are:</w:t>
      </w:r>
    </w:p>
    <w:p w14:paraId="3C87B57C"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describe the composition, classification, and film formation mechanisms of FFS systems.</w:t>
      </w:r>
    </w:p>
    <w:p w14:paraId="3D4A1E81"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critically evaluate the polymeric excipients used in FFS with respect to their film-forming and drug transport properties.</w:t>
      </w:r>
    </w:p>
    <w:p w14:paraId="5F810724"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examine drug incorporation strategies and release mechanisms, including nanocarrier-mediated approaches.</w:t>
      </w:r>
    </w:p>
    <w:p w14:paraId="73FBC678"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appraise the principal therapeutic applications of FFS across wound care, dermatology, nail delivery, mucosal systems, and ocular delivery.</w:t>
      </w:r>
    </w:p>
    <w:p w14:paraId="1CF9D3FF"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review characterisation methodologies and in vitro–in vivo performance evaluation approaches relevant to FFS.</w:t>
      </w:r>
    </w:p>
    <w:p w14:paraId="37468E6A"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assess the regulatory frameworks and safety requirements governing FFS product development.</w:t>
      </w:r>
    </w:p>
    <w:p w14:paraId="28D25BDD"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evaluate recent innovations in nanotechnology-integrated and stimuli-responsive FFS, identifying translational opportunities and remaining barriers.</w:t>
      </w:r>
    </w:p>
    <w:p w14:paraId="291B0195" w14:textId="77777777" w:rsidR="00A47C87" w:rsidRPr="00A47C87" w:rsidRDefault="00A47C87" w:rsidP="003553A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n-GB"/>
        </w:rPr>
      </w:pPr>
      <w:r w:rsidRPr="00A47C87">
        <w:rPr>
          <w:rFonts w:ascii="Times New Roman" w:eastAsia="Times New Roman" w:hAnsi="Times New Roman" w:cs="Times New Roman"/>
          <w:sz w:val="24"/>
          <w:szCs w:val="24"/>
          <w:lang w:eastAsia="en-GB"/>
        </w:rPr>
        <w:t>To identify knowledge gaps and propose directions for future research.</w:t>
      </w:r>
    </w:p>
    <w:p w14:paraId="0C1871DF"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20D52918"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2. Methods for Literature Selection</w:t>
      </w:r>
    </w:p>
    <w:p w14:paraId="2C963039"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2.1 Review Approach</w:t>
      </w:r>
    </w:p>
    <w:p w14:paraId="18C4BE85"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A narrative review approach was adopted for this work, reflecting the broad and multidisciplinary scope of the topic and the considerable heterogeneity in study designs, drug classes, polymer systems, and application areas encountered in the existing literature. This </w:t>
      </w:r>
      <w:r w:rsidRPr="009F5601">
        <w:rPr>
          <w:rFonts w:ascii="Times New Roman" w:eastAsia="Times New Roman" w:hAnsi="Times New Roman" w:cs="Times New Roman"/>
          <w:sz w:val="24"/>
          <w:szCs w:val="24"/>
          <w:lang w:eastAsia="en-GB"/>
        </w:rPr>
        <w:lastRenderedPageBreak/>
        <w:t>methodology is appropriate when the aim is to synthesise a conceptually diverse body of evidence, interpret divergent findings within an integrated framework, and identify overarching themes and future directions rather than to answer a single focused clinical question through formal quantitative synthesis (Grant &amp; Booth, 2009). Narrative review permits the incorporation of fundamental mechanistic studies, formulation development investigations, and applied clinical data within a coherent interpretive structure, enabling conceptual breadth that a strictly systematic scope would preclude.</w:t>
      </w:r>
    </w:p>
    <w:p w14:paraId="4ECDB68D"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2.2 Database Search Strategy and Sources</w:t>
      </w:r>
    </w:p>
    <w:p w14:paraId="44E12EF1"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Literature was identified through systematic electronic searching of the following databases: Web of Science (all editions), Scopus, PubMed/MEDLINE, and Google Scholar. Field-specific indexing databases additionally searched included International Pharmaceutical Abstracts (IPA), Embase, Chemical Abstracts Service (CAS/</w:t>
      </w:r>
      <w:proofErr w:type="spellStart"/>
      <w:r w:rsidRPr="009F5601">
        <w:rPr>
          <w:rFonts w:ascii="Times New Roman" w:eastAsia="Times New Roman" w:hAnsi="Times New Roman" w:cs="Times New Roman"/>
          <w:sz w:val="24"/>
          <w:szCs w:val="24"/>
          <w:lang w:eastAsia="en-GB"/>
        </w:rPr>
        <w:t>SciFinder</w:t>
      </w:r>
      <w:proofErr w:type="spellEnd"/>
      <w:r w:rsidRPr="009F5601">
        <w:rPr>
          <w:rFonts w:ascii="Times New Roman" w:eastAsia="Times New Roman" w:hAnsi="Times New Roman" w:cs="Times New Roman"/>
          <w:sz w:val="24"/>
          <w:szCs w:val="24"/>
          <w:lang w:eastAsia="en-GB"/>
        </w:rPr>
        <w:t xml:space="preserve">), and the European Medicines Agency clinical assessment repository. Supplementary bibliographic resources included ClinicalTrials.gov (for registered clinical study data), the </w:t>
      </w:r>
      <w:proofErr w:type="spellStart"/>
      <w:r w:rsidRPr="009F5601">
        <w:rPr>
          <w:rFonts w:ascii="Times New Roman" w:eastAsia="Times New Roman" w:hAnsi="Times New Roman" w:cs="Times New Roman"/>
          <w:sz w:val="24"/>
          <w:szCs w:val="24"/>
          <w:lang w:eastAsia="en-GB"/>
        </w:rPr>
        <w:t>PharmacyLibrary</w:t>
      </w:r>
      <w:proofErr w:type="spellEnd"/>
      <w:r w:rsidRPr="009F5601">
        <w:rPr>
          <w:rFonts w:ascii="Times New Roman" w:eastAsia="Times New Roman" w:hAnsi="Times New Roman" w:cs="Times New Roman"/>
          <w:sz w:val="24"/>
          <w:szCs w:val="24"/>
          <w:lang w:eastAsia="en-GB"/>
        </w:rPr>
        <w:t xml:space="preserve"> database, and the ScienceDirect article repository for pharmaceutical science literature. The date range for primary literature searching was 2000 to April 2026, with no restriction imposed on earlier publications of demonstrable foundational significance.</w:t>
      </w:r>
    </w:p>
    <w:p w14:paraId="0DD2A6B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Search strings were structured around core topic descriptors combined using Boolean operators. Principal search terms included, but were not limited to: "film-forming spray" AND "drug delivery"; "film-forming system" AND "topical"; "in situ film" AND "polymer" AND "pharmaceutical"; "wound film spray" AND "controlled release"; "transdermal film" AND "spray"; "nail drug delivery" AND "film"; "mucoadhesive film spray"; "film-forming polymer" AND "skin"; "nanoparticle" AND "film-forming" AND "topical"; "FFS" AND "pharmaceutical"; and "polymer blend" AND "film" AND "drug release."</w:t>
      </w:r>
    </w:p>
    <w:p w14:paraId="6552D282"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2.3 Inclusion and Exclusion Criteria and Screening</w:t>
      </w:r>
    </w:p>
    <w:p w14:paraId="3562B41F"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Only articles published in English in peer-reviewed academic journals were considered eligible. Original research articles, critical and narrative review papers, and brief communications were all included provided they addressed FFS formulation, polymer systems, characterisation methodologies, drug release mechanisms, or therapeutic applications in the defined areas. Books, book chapters, grey literature, conference proceedings and abstracts, trade publications, pre-prints without peer review, patents, and non-peer-reviewed sources were excluded. Regulatory guidance documents from recognised authoritative bodies—the European Medicines Agency, the U.S. Food and Drug Administration, and the International Council for Harmonisation—were included where they represented current regulatory expectations pertinent to the discussion, with verifiable URLs provided in lieu of DOIs where applicable.</w:t>
      </w:r>
    </w:p>
    <w:p w14:paraId="26A4DC8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Deduplication of records identified across multiple databases was performed manually. Title and abstract screening was applied to exclude clearly irrelevant material, followed by full-text review of remaining records to verify alignment with the defined scope. Studies concerning film-forming systems in exclusively non-pharmaceutical contexts—food coating, agricultural films—were excluded unless the original authors drew explicit pharmaceutical parallels. Priority was afforded to studies characterised by rigorous experimental methodology, quantitative characterisation data, and clear mechanistic interpretation, as well as to influential review articles that have shaped the direction of FFS research.</w:t>
      </w:r>
    </w:p>
    <w:p w14:paraId="1DAC3980"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7326A7E8"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3. Fundamentals of Film-Forming Spray Systems</w:t>
      </w:r>
    </w:p>
    <w:p w14:paraId="2D04694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3.1 Definition and Classification</w:t>
      </w:r>
    </w:p>
    <w:p w14:paraId="1D472475"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A film-forming spray may be defined as a liquid pharmaceutical preparation, typically presented in a pump spray or pressurised aerosol container, whose application to a </w:t>
      </w:r>
      <w:proofErr w:type="gramStart"/>
      <w:r w:rsidRPr="009F5601">
        <w:rPr>
          <w:rFonts w:ascii="Times New Roman" w:eastAsia="Times New Roman" w:hAnsi="Times New Roman" w:cs="Times New Roman"/>
          <w:sz w:val="24"/>
          <w:szCs w:val="24"/>
          <w:lang w:eastAsia="en-GB"/>
        </w:rPr>
        <w:t>biological surface results</w:t>
      </w:r>
      <w:proofErr w:type="gramEnd"/>
      <w:r w:rsidRPr="009F5601">
        <w:rPr>
          <w:rFonts w:ascii="Times New Roman" w:eastAsia="Times New Roman" w:hAnsi="Times New Roman" w:cs="Times New Roman"/>
          <w:sz w:val="24"/>
          <w:szCs w:val="24"/>
          <w:lang w:eastAsia="en-GB"/>
        </w:rPr>
        <w:t xml:space="preserve"> in the spontaneous formation of a thin, coherent polymeric film through the evaporation of a volatile solvent component. This definition encompasses a range of system subtypes that differ in polymer chemistry, solvent composition, drug loading strategy, and intended application site. A useful primary classification divides FFS by their film-forming polymer basis: cellulosic systems (e.g., hydroxypropyl methylcellulose, ethyl cellulose, hydroxypropyl cellulose), acrylic and methacrylic systems (e.g., Eudragit series), natural and biopolymeric systems (e.g., chitosan, alginate), and hybrid or composite systems incorporating more than one polymer class. A secondary classification by intended application site—cutaneous, nail, buccal, nasal, or ocular—captures the biological diversity of FFS deployment.</w:t>
      </w:r>
    </w:p>
    <w:p w14:paraId="4D4E4C4F"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Within these broad categories, further distinctions may be drawn between single-layer systems forming a uniform polymeric film, bilayer or multi-compartment designs achieving spatially differentiated drug release, and nanocomposite systems in which drug-laden nanoparticles are dispersed within the polymeric film matrix. Single-layer systems predominate in wound care and general dermatological applications; nanocomposite architectures represent a more advanced and rapidly developing design philosophy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Hydrogel-forming polymers that swell extensively upon water uptake, providing elastic drug-releasing matrices rather than thin rigid films, constitute a related category whose drug transport properties have been extensively characterised (Hoare &amp; </w:t>
      </w:r>
      <w:proofErr w:type="spellStart"/>
      <w:r w:rsidRPr="009F5601">
        <w:rPr>
          <w:rFonts w:ascii="Times New Roman" w:eastAsia="Times New Roman" w:hAnsi="Times New Roman" w:cs="Times New Roman"/>
          <w:sz w:val="24"/>
          <w:szCs w:val="24"/>
          <w:lang w:eastAsia="en-GB"/>
        </w:rPr>
        <w:t>Kohane</w:t>
      </w:r>
      <w:proofErr w:type="spellEnd"/>
      <w:r w:rsidRPr="009F5601">
        <w:rPr>
          <w:rFonts w:ascii="Times New Roman" w:eastAsia="Times New Roman" w:hAnsi="Times New Roman" w:cs="Times New Roman"/>
          <w:sz w:val="24"/>
          <w:szCs w:val="24"/>
          <w:lang w:eastAsia="en-GB"/>
        </w:rPr>
        <w:t>, 2008) and whose principles are directly relevant to moisture-retentive FFS for wound care.</w:t>
      </w:r>
    </w:p>
    <w:p w14:paraId="4FD24831"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3.2 Composition and Formulation Principles</w:t>
      </w:r>
    </w:p>
    <w:p w14:paraId="5128634E"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FFS formulations in their most general form comprise four classes of functional component: one or more film-forming polymers providing the structural framework and drug-retaining matrix; a volatile solvent or solvent blend enabling polymer dissolution or dispersion and ensuring appropriate spray atomisation; the active pharmaceutical ingredient (API), which may exist as a molecular solution, colloidal dispersion, or nanocarrier-encapsulated form; and auxiliary excipients including plasticisers, permeation enhancers, preservatives, antioxidants, and humectants, selected to optimise both formulation shelf stability and in-use film performance.</w:t>
      </w:r>
    </w:p>
    <w:p w14:paraId="1576899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choice of solvent system profoundly influences film quality, patient safety, and product performance. Hydroalcoholic mixtures have long been the mainstay of FFS formulation, combining solubilising power for diverse hydrophilic polymers with acceptable evaporation kinetics and broad API compatibility (Barry, 2001). Purely aqueous vehicles are preferred from a toxicological standpoint and impose fewer constraints on use over compromised skin, but their slower evaporation kinetics may result in extended film formation times and potentially altered film morphology. Organic solvents, whilst effective for certain polymer classes and superior with respect to film surface smoothness, raise safety and patient </w:t>
      </w:r>
      <w:r w:rsidRPr="009F5601">
        <w:rPr>
          <w:rFonts w:ascii="Times New Roman" w:eastAsia="Times New Roman" w:hAnsi="Times New Roman" w:cs="Times New Roman"/>
          <w:sz w:val="24"/>
          <w:szCs w:val="24"/>
          <w:lang w:eastAsia="en-GB"/>
        </w:rPr>
        <w:lastRenderedPageBreak/>
        <w:t>acceptability concerns that have progressively limited their role in modern topical formulation development.</w:t>
      </w:r>
    </w:p>
    <w:p w14:paraId="7F885E8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Plasticisers are an indispensable element of most FFS formulations, functioning to reduce the glass transition temperature of the polymer matrix and impart the flexibility necessary to withstand mechanical demands at the application site—particularly important for body regions subject to frequent movement and deformation. Polyethylene glycols, propylene glycol, triethyl citrate, and dibutyl </w:t>
      </w:r>
      <w:proofErr w:type="spellStart"/>
      <w:r w:rsidRPr="009F5601">
        <w:rPr>
          <w:rFonts w:ascii="Times New Roman" w:eastAsia="Times New Roman" w:hAnsi="Times New Roman" w:cs="Times New Roman"/>
          <w:sz w:val="24"/>
          <w:szCs w:val="24"/>
          <w:lang w:eastAsia="en-GB"/>
        </w:rPr>
        <w:t>sebacate</w:t>
      </w:r>
      <w:proofErr w:type="spellEnd"/>
      <w:r w:rsidRPr="009F5601">
        <w:rPr>
          <w:rFonts w:ascii="Times New Roman" w:eastAsia="Times New Roman" w:hAnsi="Times New Roman" w:cs="Times New Roman"/>
          <w:sz w:val="24"/>
          <w:szCs w:val="24"/>
          <w:lang w:eastAsia="en-GB"/>
        </w:rPr>
        <w:t xml:space="preserve"> are among the most widely employed plasticisers, and their influence on both mechanical performance and drug diffusivity within the polymer network is a critical design consideration (Repka &amp; McGinity, 2000). Natural plasticisers derived from renewable sources, including glycerol and plant-derived citrate esters, have attracted growing interest in biopolymer-based FFS formulations as sustainability considerations gain prominence in pharmaceutical development (Vieira et al., 2011).</w:t>
      </w:r>
    </w:p>
    <w:p w14:paraId="2D9F85F6"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3.3 Film Formation Mechanisms</w:t>
      </w:r>
    </w:p>
    <w:p w14:paraId="5BE30043"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physicochemical processes governing FFS film formation begin upon contact of atomised spray droplets with the biological surface. Initial spreading is driven by surface tension and the wetting energy of the formulation on the substrate; the extent of spreading is determined by the contact angle, itself a function of the surface energies of both formulation and tissue. As the solvent evaporates—driven by its vapour pressure gradient between the droplet surface and the surrounding atmosphere—the polymer concentration in the residual liquid increases progressively, driving chain entanglement and ultimately vitrification into a continuous solid or semi-solid film (Siepmann &amp; Peppas, 2001). For polymers dissolved in hydroalcoholic or organic solvents, evaporation is typically rapid and film formation complete within seconds to a few minutes under ambient conditions. For aqueous polymer dispersions, a more complex drying process involves </w:t>
      </w:r>
      <w:proofErr w:type="spellStart"/>
      <w:r w:rsidRPr="009F5601">
        <w:rPr>
          <w:rFonts w:ascii="Times New Roman" w:eastAsia="Times New Roman" w:hAnsi="Times New Roman" w:cs="Times New Roman"/>
          <w:sz w:val="24"/>
          <w:szCs w:val="24"/>
          <w:lang w:eastAsia="en-GB"/>
        </w:rPr>
        <w:t>interdroplet</w:t>
      </w:r>
      <w:proofErr w:type="spellEnd"/>
      <w:r w:rsidRPr="009F5601">
        <w:rPr>
          <w:rFonts w:ascii="Times New Roman" w:eastAsia="Times New Roman" w:hAnsi="Times New Roman" w:cs="Times New Roman"/>
          <w:sz w:val="24"/>
          <w:szCs w:val="24"/>
          <w:lang w:eastAsia="en-GB"/>
        </w:rPr>
        <w:t xml:space="preserve"> polymer chain diffusion across particle boundaries, capillary pressure-driven deformation, and progressive interfacial bonding to yield film continuity. The resulting film thickness is governed by the polymer concentration in the spray solution, the formulation viscosity, and the volume applied per unit area—parameters that must be optimised during development to achieve target mechanical properties and drug loading per unit area.</w:t>
      </w:r>
    </w:p>
    <w:p w14:paraId="2E8DF8A3"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17884714"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4. Polymeric Excipients and Their Roles</w:t>
      </w:r>
    </w:p>
    <w:p w14:paraId="621B972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4.1 Cellulose Derivatives</w:t>
      </w:r>
    </w:p>
    <w:p w14:paraId="578227DA"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Hydroxypropyl methylcellulose (HPMC, </w:t>
      </w:r>
      <w:proofErr w:type="spellStart"/>
      <w:r w:rsidRPr="009F5601">
        <w:rPr>
          <w:rFonts w:ascii="Times New Roman" w:eastAsia="Times New Roman" w:hAnsi="Times New Roman" w:cs="Times New Roman"/>
          <w:sz w:val="24"/>
          <w:szCs w:val="24"/>
          <w:lang w:eastAsia="en-GB"/>
        </w:rPr>
        <w:t>hypromellose</w:t>
      </w:r>
      <w:proofErr w:type="spellEnd"/>
      <w:r w:rsidRPr="009F5601">
        <w:rPr>
          <w:rFonts w:ascii="Times New Roman" w:eastAsia="Times New Roman" w:hAnsi="Times New Roman" w:cs="Times New Roman"/>
          <w:sz w:val="24"/>
          <w:szCs w:val="24"/>
          <w:lang w:eastAsia="en-GB"/>
        </w:rPr>
        <w:t xml:space="preserve">) stands as arguably the most widely employed film-forming polymer in FFS formulations, its </w:t>
      </w:r>
      <w:proofErr w:type="spellStart"/>
      <w:r w:rsidRPr="009F5601">
        <w:rPr>
          <w:rFonts w:ascii="Times New Roman" w:eastAsia="Times New Roman" w:hAnsi="Times New Roman" w:cs="Times New Roman"/>
          <w:sz w:val="24"/>
          <w:szCs w:val="24"/>
          <w:lang w:eastAsia="en-GB"/>
        </w:rPr>
        <w:t>preeminence</w:t>
      </w:r>
      <w:proofErr w:type="spellEnd"/>
      <w:r w:rsidRPr="009F5601">
        <w:rPr>
          <w:rFonts w:ascii="Times New Roman" w:eastAsia="Times New Roman" w:hAnsi="Times New Roman" w:cs="Times New Roman"/>
          <w:sz w:val="24"/>
          <w:szCs w:val="24"/>
          <w:lang w:eastAsia="en-GB"/>
        </w:rPr>
        <w:t xml:space="preserve"> attributable to a well-established safety profile grounded in decades of oral pharmaceutical use, availability in viscosity grades spanning several orders of magnitude, dissolution in aqueous and hydroalcoholic vehicles, and propensity to form clear, transparent films with adjustable drug permeability (Siepmann &amp; Peppas, 2001). HPMC films are hydrophilic and non-ionic, facilitating water ingress and drug diffusion from the matrix at rates that can be modulated through polymer concentration, grade selection, and plasticisation. The wound care film sprays characterised by Pawar et al. (2013) illustrate how HPMC, combined judiciously with other polymers, can be optimised to satisfy both drug release and mechanical performance targets simultaneously. Ethyl cellulose (EC), in contrast, is water-insoluble and hydrophobic </w:t>
      </w:r>
      <w:r w:rsidRPr="009F5601">
        <w:rPr>
          <w:rFonts w:ascii="Times New Roman" w:eastAsia="Times New Roman" w:hAnsi="Times New Roman" w:cs="Times New Roman"/>
          <w:sz w:val="24"/>
          <w:szCs w:val="24"/>
          <w:lang w:eastAsia="en-GB"/>
        </w:rPr>
        <w:lastRenderedPageBreak/>
        <w:t>in character, forming films that present a substantially greater diffusion barrier and are well suited to sustained or extended release applications (Repka &amp; McGinity, 2000). The blend properties of EC with hydrophilic polymers such as HPMC can be exploited to achieve intermediate hydrophilicity and broadly tuneable release profiles. Siepmann, F. et al. (2008) have characterised the influence of polymer blend composition on the pore structure and drug permeability of cellulosic–acrylic film coatings, providing mechanistic insight directly transferable to topical film system design.</w:t>
      </w:r>
    </w:p>
    <w:p w14:paraId="373FC5FD"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4.2 Polymethacrylate Copolymers</w:t>
      </w:r>
    </w:p>
    <w:p w14:paraId="249B550D"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Eudragit family of polymethacrylate copolymers has found a productive secondary application in topical FFS, building on its established role in oral controlled-release and enteric coating. Eudragit RL100 and RS100, cationic polymers bearing quaternary ammonium groups in differing proportions, form water-insoluble but permeable films at the skin surface; their positive charge may promote electrostatic interaction with the negatively charged glycocalyx of the skin surface, contributing to film adhesion (Pawar et al., 2013). The ratio of RL100 to RS100 in a polymer blend provides a straightforward means of tuning film permeability and hence drug release rate over a practically useful range. Eudragit L and S grades, whose solubility is pH-dependent—dissolving at pH values above 6 and 7, respectively—are of interest in mucosal FFS designed to trigger drug release upon exposure to the characteristic pH environment of the application site, providing a degree of programmable selectivity in mucosal drug delivery.</w:t>
      </w:r>
    </w:p>
    <w:p w14:paraId="761A9AE7"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4.3 Chitosan and Natural Biopolymers</w:t>
      </w:r>
    </w:p>
    <w:p w14:paraId="75B57F2F"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 the partially deacetylated derivative of chitin, occupies a uniquely valuable position among FFS polymers by virtue of its intrinsic antimicrobial activity, well-documented mucoadhesive properties, biodegradability, and excellent biocompatibility (Dash et al., 2011). Its cationic character—arising from protonation of primary amine groups in mildly acidic solution—enables electrostatic interactions with the negatively charged cell walls of pathogenic bacteria and with the anionic mucin glycoproteins overlying mucosal surfaces, underpinning its dual antimicrobial and mucoadhesive behaviour (Hamman, 2010). The solubility of chitosan in dilute acetic acid and similar mild acid solutions restricts its direct applicability in neutral or alkaline formulation environments, a limitation addressed by the development of water-soluble derivatives such as carboxymethyl chitosan and hydroxypropyl chitosan that maintain solubility over a broader pH range (Dash et al., 2011).</w:t>
      </w:r>
    </w:p>
    <w:p w14:paraId="4EDD243C"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Alginate, the anionic polysaccharide obtained from brown algae, forms ionotropic gels in the presence of divalent cations and has been incorporated into wound care FFS to exploit its substantial fluid-absorbing capacity and ability to maintain a moist wound environment conducive to healing (Aderibigbe &amp; Buyana, 2018). Polyvinyl alcohol (PVA), whilst technically synthetic, exhibits biocompatibility profiles comparable to naturally derived polymers and has been extensively characterised in wound care hydrogel membranes, with cross-linked PVA networks demonstrating favourable combinations of mechanical resilience and moisture retention (Kamoun et al., 2017). The safety profile of PVA in pharmaceutical applications is well established from detailed oral toxicology studies confirming its acceptance as a low-toxicity excipient suitable for topical use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 The broader relevance of hydrogel-forming polymer networks to FFS—particularly in moisture-retentive wound care designs—is well framed by the mechanistic treatment of hydrogel drug transport provided by Hoare &amp; </w:t>
      </w:r>
      <w:proofErr w:type="spellStart"/>
      <w:r w:rsidRPr="009F5601">
        <w:rPr>
          <w:rFonts w:ascii="Times New Roman" w:eastAsia="Times New Roman" w:hAnsi="Times New Roman" w:cs="Times New Roman"/>
          <w:sz w:val="24"/>
          <w:szCs w:val="24"/>
          <w:lang w:eastAsia="en-GB"/>
        </w:rPr>
        <w:t>Kohane</w:t>
      </w:r>
      <w:proofErr w:type="spellEnd"/>
      <w:r w:rsidRPr="009F5601">
        <w:rPr>
          <w:rFonts w:ascii="Times New Roman" w:eastAsia="Times New Roman" w:hAnsi="Times New Roman" w:cs="Times New Roman"/>
          <w:sz w:val="24"/>
          <w:szCs w:val="24"/>
          <w:lang w:eastAsia="en-GB"/>
        </w:rPr>
        <w:t xml:space="preserve"> (2008). Natural-based plasticisers and </w:t>
      </w:r>
      <w:r w:rsidRPr="009F5601">
        <w:rPr>
          <w:rFonts w:ascii="Times New Roman" w:eastAsia="Times New Roman" w:hAnsi="Times New Roman" w:cs="Times New Roman"/>
          <w:sz w:val="24"/>
          <w:szCs w:val="24"/>
          <w:lang w:eastAsia="en-GB"/>
        </w:rPr>
        <w:lastRenderedPageBreak/>
        <w:t>biopolymeric film matrices have been systematically reviewed in terms of their mechanical, barrier, and drug release characteristics, further supporting the formulation scientist's toolkit for sustainable FFS development (Vieira et al., 2011).</w:t>
      </w:r>
    </w:p>
    <w:p w14:paraId="14C3FCDF"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4.4 Novel and Emerging Polymer Systems</w:t>
      </w:r>
    </w:p>
    <w:p w14:paraId="3DC8C02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polymers, most notably poly(N-isopropylacrylamide) and its copolymers, undergo a reversible phase transition from soluble to insoluble at their lower critical solution temperature (LCST), which can be tuned to lie near skin surface temperature. This enables the design of FFS that remain in a low-viscosity, sprayable state at ambient temperature and consolidate rapidly into a film upon contact with the warmer skin, theoretically offering superior film uniformity compared to evaporation-only systems (Ward &amp; Georgiou, 2011). Whilst </w:t>
      </w: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FFS remain primarily at the research stage, their compatibility with diverse APIs and co-excipients justifies continued investigation.</w:t>
      </w:r>
    </w:p>
    <w:p w14:paraId="598009B5"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Poly(lactic-co-glycolic acid) (PLGA) and related biodegradable polyesters are incorporated in FFS not typically as the primary matrix polymer but as nanoparticles dispersed within the film, providing biodegradable drug depots that erode progressively at rates governed by the molecular weight and </w:t>
      </w:r>
      <w:proofErr w:type="spellStart"/>
      <w:r w:rsidRPr="009F5601">
        <w:rPr>
          <w:rFonts w:ascii="Times New Roman" w:eastAsia="Times New Roman" w:hAnsi="Times New Roman" w:cs="Times New Roman"/>
          <w:sz w:val="24"/>
          <w:szCs w:val="24"/>
          <w:lang w:eastAsia="en-GB"/>
        </w:rPr>
        <w:t>lactide:glycolide</w:t>
      </w:r>
      <w:proofErr w:type="spellEnd"/>
      <w:r w:rsidRPr="009F5601">
        <w:rPr>
          <w:rFonts w:ascii="Times New Roman" w:eastAsia="Times New Roman" w:hAnsi="Times New Roman" w:cs="Times New Roman"/>
          <w:sz w:val="24"/>
          <w:szCs w:val="24"/>
          <w:lang w:eastAsia="en-GB"/>
        </w:rPr>
        <w:t xml:space="preserve"> ratio of the copolymer (Makadia &amp; Siegel, 2011). The inherent biocompatibility and regulatory acceptance of PLGA in parenteral applications render it a particularly attractive component for wound care FFS, where gradual film resorption as healing progresses is clinically desirable. Table 1 summarises the principal polymers employed in FFS formulations, their key properties, and representative application areas, drawing together the discussion presented throughout this section.</w:t>
      </w:r>
    </w:p>
    <w:p w14:paraId="20013C6C"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6A77C2A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1. Principal polymers employed in film-forming spray formulations: characteristics and applications</w:t>
      </w:r>
    </w:p>
    <w:tbl>
      <w:tblPr>
        <w:tblStyle w:val="TableGrid"/>
        <w:tblW w:w="0" w:type="auto"/>
        <w:tblLook w:val="04A0" w:firstRow="1" w:lastRow="0" w:firstColumn="1" w:lastColumn="0" w:noHBand="0" w:noVBand="1"/>
      </w:tblPr>
      <w:tblGrid>
        <w:gridCol w:w="1975"/>
        <w:gridCol w:w="1871"/>
        <w:gridCol w:w="1668"/>
        <w:gridCol w:w="2002"/>
        <w:gridCol w:w="1726"/>
      </w:tblGrid>
      <w:tr w:rsidR="009F5601" w:rsidRPr="009F5601" w14:paraId="7F94A11A" w14:textId="77777777" w:rsidTr="00456AB7">
        <w:tc>
          <w:tcPr>
            <w:tcW w:w="0" w:type="auto"/>
            <w:hideMark/>
          </w:tcPr>
          <w:p w14:paraId="0F72EB64"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Polymer</w:t>
            </w:r>
          </w:p>
        </w:tc>
        <w:tc>
          <w:tcPr>
            <w:tcW w:w="0" w:type="auto"/>
            <w:hideMark/>
          </w:tcPr>
          <w:p w14:paraId="46BD1EB0"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Classification</w:t>
            </w:r>
          </w:p>
        </w:tc>
        <w:tc>
          <w:tcPr>
            <w:tcW w:w="0" w:type="auto"/>
            <w:hideMark/>
          </w:tcPr>
          <w:p w14:paraId="604F2B17"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Properties</w:t>
            </w:r>
          </w:p>
        </w:tc>
        <w:tc>
          <w:tcPr>
            <w:tcW w:w="0" w:type="auto"/>
            <w:hideMark/>
          </w:tcPr>
          <w:p w14:paraId="5834F36F"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Typical FFS Applications</w:t>
            </w:r>
          </w:p>
        </w:tc>
        <w:tc>
          <w:tcPr>
            <w:tcW w:w="0" w:type="auto"/>
            <w:hideMark/>
          </w:tcPr>
          <w:p w14:paraId="026BE09D"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5194BA48" w14:textId="77777777" w:rsidTr="00456AB7">
        <w:tc>
          <w:tcPr>
            <w:tcW w:w="0" w:type="auto"/>
            <w:hideMark/>
          </w:tcPr>
          <w:p w14:paraId="03F559E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w:t>
            </w:r>
          </w:p>
        </w:tc>
        <w:tc>
          <w:tcPr>
            <w:tcW w:w="0" w:type="auto"/>
            <w:hideMark/>
          </w:tcPr>
          <w:p w14:paraId="7686122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1074822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Hydrophilic, non-ionic, tuneable viscosity, film-forming</w:t>
            </w:r>
          </w:p>
        </w:tc>
        <w:tc>
          <w:tcPr>
            <w:tcW w:w="0" w:type="auto"/>
            <w:hideMark/>
          </w:tcPr>
          <w:p w14:paraId="60B2977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 dermatology, mucoadhesive sprays</w:t>
            </w:r>
          </w:p>
        </w:tc>
        <w:tc>
          <w:tcPr>
            <w:tcW w:w="0" w:type="auto"/>
            <w:hideMark/>
          </w:tcPr>
          <w:p w14:paraId="3E68B28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 Pawar et al. (2013)</w:t>
            </w:r>
          </w:p>
        </w:tc>
      </w:tr>
      <w:tr w:rsidR="009F5601" w:rsidRPr="009F5601" w14:paraId="6609B31D" w14:textId="77777777" w:rsidTr="00456AB7">
        <w:tc>
          <w:tcPr>
            <w:tcW w:w="0" w:type="auto"/>
            <w:hideMark/>
          </w:tcPr>
          <w:p w14:paraId="51BB379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Ethyl cellulose</w:t>
            </w:r>
          </w:p>
        </w:tc>
        <w:tc>
          <w:tcPr>
            <w:tcW w:w="0" w:type="auto"/>
            <w:hideMark/>
          </w:tcPr>
          <w:p w14:paraId="164FA69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08B6E4C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Hydrophobic, water-insoluble, sustained release barrier</w:t>
            </w:r>
          </w:p>
        </w:tc>
        <w:tc>
          <w:tcPr>
            <w:tcW w:w="0" w:type="auto"/>
            <w:hideMark/>
          </w:tcPr>
          <w:p w14:paraId="6B7415D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Controlled release films, EC/HPMC blends</w:t>
            </w:r>
          </w:p>
        </w:tc>
        <w:tc>
          <w:tcPr>
            <w:tcW w:w="0" w:type="auto"/>
            <w:hideMark/>
          </w:tcPr>
          <w:p w14:paraId="5F76A7A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Repka &amp; McGinity (2000); Siepmann, F. et al. (2008)</w:t>
            </w:r>
          </w:p>
        </w:tc>
      </w:tr>
      <w:tr w:rsidR="009F5601" w:rsidRPr="009F5601" w14:paraId="44A969BD" w14:textId="77777777" w:rsidTr="00456AB7">
        <w:tc>
          <w:tcPr>
            <w:tcW w:w="0" w:type="auto"/>
            <w:hideMark/>
          </w:tcPr>
          <w:p w14:paraId="1D29416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HPC</w:t>
            </w:r>
          </w:p>
        </w:tc>
        <w:tc>
          <w:tcPr>
            <w:tcW w:w="0" w:type="auto"/>
            <w:hideMark/>
          </w:tcPr>
          <w:p w14:paraId="52BE7BB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709CBB8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Thermoplastic, </w:t>
            </w:r>
            <w:proofErr w:type="spellStart"/>
            <w:r w:rsidRPr="009F5601">
              <w:rPr>
                <w:rFonts w:ascii="Times New Roman" w:eastAsia="Times New Roman" w:hAnsi="Times New Roman" w:cs="Times New Roman"/>
                <w:sz w:val="24"/>
                <w:szCs w:val="24"/>
                <w:lang w:eastAsia="en-GB"/>
              </w:rPr>
              <w:t>bioadhesive</w:t>
            </w:r>
            <w:proofErr w:type="spellEnd"/>
            <w:r w:rsidRPr="009F5601">
              <w:rPr>
                <w:rFonts w:ascii="Times New Roman" w:eastAsia="Times New Roman" w:hAnsi="Times New Roman" w:cs="Times New Roman"/>
                <w:sz w:val="24"/>
                <w:szCs w:val="24"/>
                <w:lang w:eastAsia="en-GB"/>
              </w:rPr>
              <w:t>, flexible</w:t>
            </w:r>
          </w:p>
        </w:tc>
        <w:tc>
          <w:tcPr>
            <w:tcW w:w="0" w:type="auto"/>
            <w:hideMark/>
          </w:tcPr>
          <w:p w14:paraId="47D3E02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Buccal and wound films</w:t>
            </w:r>
          </w:p>
        </w:tc>
        <w:tc>
          <w:tcPr>
            <w:tcW w:w="0" w:type="auto"/>
            <w:hideMark/>
          </w:tcPr>
          <w:p w14:paraId="264BCAA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Repka &amp; McGinity (2000)</w:t>
            </w:r>
          </w:p>
        </w:tc>
      </w:tr>
      <w:tr w:rsidR="009F5601" w:rsidRPr="009F5601" w14:paraId="7287A818" w14:textId="77777777" w:rsidTr="00456AB7">
        <w:tc>
          <w:tcPr>
            <w:tcW w:w="0" w:type="auto"/>
            <w:hideMark/>
          </w:tcPr>
          <w:p w14:paraId="324A5D0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Eudragit RL/RS</w:t>
            </w:r>
          </w:p>
        </w:tc>
        <w:tc>
          <w:tcPr>
            <w:tcW w:w="0" w:type="auto"/>
            <w:hideMark/>
          </w:tcPr>
          <w:p w14:paraId="69E0194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Polymethacrylate</w:t>
            </w:r>
          </w:p>
        </w:tc>
        <w:tc>
          <w:tcPr>
            <w:tcW w:w="0" w:type="auto"/>
            <w:hideMark/>
          </w:tcPr>
          <w:p w14:paraId="5535BD8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Cationic, pH-independent, tuneable permeability</w:t>
            </w:r>
          </w:p>
        </w:tc>
        <w:tc>
          <w:tcPr>
            <w:tcW w:w="0" w:type="auto"/>
            <w:hideMark/>
          </w:tcPr>
          <w:p w14:paraId="09B5125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 dermal sustained delivery</w:t>
            </w:r>
          </w:p>
        </w:tc>
        <w:tc>
          <w:tcPr>
            <w:tcW w:w="0" w:type="auto"/>
            <w:hideMark/>
          </w:tcPr>
          <w:p w14:paraId="028CE70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Pawar et al. (2013)</w:t>
            </w:r>
          </w:p>
        </w:tc>
      </w:tr>
      <w:tr w:rsidR="009F5601" w:rsidRPr="009F5601" w14:paraId="1E58CBFE" w14:textId="77777777" w:rsidTr="00456AB7">
        <w:tc>
          <w:tcPr>
            <w:tcW w:w="0" w:type="auto"/>
            <w:hideMark/>
          </w:tcPr>
          <w:p w14:paraId="5948958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w:t>
            </w:r>
          </w:p>
        </w:tc>
        <w:tc>
          <w:tcPr>
            <w:tcW w:w="0" w:type="auto"/>
            <w:hideMark/>
          </w:tcPr>
          <w:p w14:paraId="509D7A1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Natural </w:t>
            </w:r>
            <w:r w:rsidRPr="009F5601">
              <w:rPr>
                <w:rFonts w:ascii="Times New Roman" w:eastAsia="Times New Roman" w:hAnsi="Times New Roman" w:cs="Times New Roman"/>
                <w:sz w:val="24"/>
                <w:szCs w:val="24"/>
                <w:lang w:eastAsia="en-GB"/>
              </w:rPr>
              <w:lastRenderedPageBreak/>
              <w:t>biopolymer</w:t>
            </w:r>
          </w:p>
        </w:tc>
        <w:tc>
          <w:tcPr>
            <w:tcW w:w="0" w:type="auto"/>
            <w:hideMark/>
          </w:tcPr>
          <w:p w14:paraId="4460BB1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Cationic, </w:t>
            </w:r>
            <w:r w:rsidRPr="009F5601">
              <w:rPr>
                <w:rFonts w:ascii="Times New Roman" w:eastAsia="Times New Roman" w:hAnsi="Times New Roman" w:cs="Times New Roman"/>
                <w:sz w:val="24"/>
                <w:szCs w:val="24"/>
                <w:lang w:eastAsia="en-GB"/>
              </w:rPr>
              <w:lastRenderedPageBreak/>
              <w:t>antimicrobial, mucoadhesive, biodegradable</w:t>
            </w:r>
          </w:p>
        </w:tc>
        <w:tc>
          <w:tcPr>
            <w:tcW w:w="0" w:type="auto"/>
            <w:hideMark/>
          </w:tcPr>
          <w:p w14:paraId="4DF61DD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Wound care, </w:t>
            </w:r>
            <w:r w:rsidRPr="009F5601">
              <w:rPr>
                <w:rFonts w:ascii="Times New Roman" w:eastAsia="Times New Roman" w:hAnsi="Times New Roman" w:cs="Times New Roman"/>
                <w:sz w:val="24"/>
                <w:szCs w:val="24"/>
                <w:lang w:eastAsia="en-GB"/>
              </w:rPr>
              <w:lastRenderedPageBreak/>
              <w:t>mucosal delivery</w:t>
            </w:r>
          </w:p>
        </w:tc>
        <w:tc>
          <w:tcPr>
            <w:tcW w:w="0" w:type="auto"/>
            <w:hideMark/>
          </w:tcPr>
          <w:p w14:paraId="75E2F18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Dash et al. </w:t>
            </w:r>
            <w:r w:rsidRPr="009F5601">
              <w:rPr>
                <w:rFonts w:ascii="Times New Roman" w:eastAsia="Times New Roman" w:hAnsi="Times New Roman" w:cs="Times New Roman"/>
                <w:sz w:val="24"/>
                <w:szCs w:val="24"/>
                <w:lang w:eastAsia="en-GB"/>
              </w:rPr>
              <w:lastRenderedPageBreak/>
              <w:t>(2011); Hamman (2010)</w:t>
            </w:r>
          </w:p>
        </w:tc>
      </w:tr>
      <w:tr w:rsidR="009F5601" w:rsidRPr="009F5601" w14:paraId="5460911A" w14:textId="77777777" w:rsidTr="00456AB7">
        <w:tc>
          <w:tcPr>
            <w:tcW w:w="0" w:type="auto"/>
            <w:hideMark/>
          </w:tcPr>
          <w:p w14:paraId="4F96A42B"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Alginate</w:t>
            </w:r>
          </w:p>
        </w:tc>
        <w:tc>
          <w:tcPr>
            <w:tcW w:w="0" w:type="auto"/>
            <w:hideMark/>
          </w:tcPr>
          <w:p w14:paraId="6124D7B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Natural biopolymer</w:t>
            </w:r>
          </w:p>
        </w:tc>
        <w:tc>
          <w:tcPr>
            <w:tcW w:w="0" w:type="auto"/>
            <w:hideMark/>
          </w:tcPr>
          <w:p w14:paraId="5D7570D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Anionic, gelling, exudate-absorbing, biocompatible</w:t>
            </w:r>
          </w:p>
        </w:tc>
        <w:tc>
          <w:tcPr>
            <w:tcW w:w="0" w:type="auto"/>
            <w:hideMark/>
          </w:tcPr>
          <w:p w14:paraId="7D7783C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dressings, hydrating film sprays</w:t>
            </w:r>
          </w:p>
        </w:tc>
        <w:tc>
          <w:tcPr>
            <w:tcW w:w="0" w:type="auto"/>
            <w:hideMark/>
          </w:tcPr>
          <w:p w14:paraId="6D07840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Aderibigbe &amp; Buyana (2018)</w:t>
            </w:r>
          </w:p>
        </w:tc>
      </w:tr>
      <w:tr w:rsidR="009F5601" w:rsidRPr="009F5601" w14:paraId="3AC227AA" w14:textId="77777777" w:rsidTr="00456AB7">
        <w:tc>
          <w:tcPr>
            <w:tcW w:w="0" w:type="auto"/>
            <w:hideMark/>
          </w:tcPr>
          <w:p w14:paraId="17AB71D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PVA</w:t>
            </w:r>
          </w:p>
        </w:tc>
        <w:tc>
          <w:tcPr>
            <w:tcW w:w="0" w:type="auto"/>
            <w:hideMark/>
          </w:tcPr>
          <w:p w14:paraId="273AB4A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w:t>
            </w:r>
          </w:p>
        </w:tc>
        <w:tc>
          <w:tcPr>
            <w:tcW w:w="0" w:type="auto"/>
            <w:hideMark/>
          </w:tcPr>
          <w:p w14:paraId="1230131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Biocompatible, film-forming, hydrophilic, cross-linkable</w:t>
            </w:r>
          </w:p>
        </w:tc>
        <w:tc>
          <w:tcPr>
            <w:tcW w:w="0" w:type="auto"/>
            <w:hideMark/>
          </w:tcPr>
          <w:p w14:paraId="5959900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films, hydrogel formulations</w:t>
            </w:r>
          </w:p>
        </w:tc>
        <w:tc>
          <w:tcPr>
            <w:tcW w:w="0" w:type="auto"/>
            <w:hideMark/>
          </w:tcPr>
          <w:p w14:paraId="5BF7569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Kamoun et al. (2017);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w:t>
            </w:r>
          </w:p>
        </w:tc>
      </w:tr>
      <w:tr w:rsidR="009F5601" w:rsidRPr="009F5601" w14:paraId="26545662" w14:textId="77777777" w:rsidTr="00456AB7">
        <w:tc>
          <w:tcPr>
            <w:tcW w:w="0" w:type="auto"/>
            <w:hideMark/>
          </w:tcPr>
          <w:p w14:paraId="457876C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PLGA</w:t>
            </w:r>
          </w:p>
        </w:tc>
        <w:tc>
          <w:tcPr>
            <w:tcW w:w="0" w:type="auto"/>
            <w:hideMark/>
          </w:tcPr>
          <w:p w14:paraId="397292B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 biodegradable</w:t>
            </w:r>
          </w:p>
        </w:tc>
        <w:tc>
          <w:tcPr>
            <w:tcW w:w="0" w:type="auto"/>
            <w:hideMark/>
          </w:tcPr>
          <w:p w14:paraId="7B72E35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Biodegradable, biocompatible, adjustable degradation rate</w:t>
            </w:r>
          </w:p>
        </w:tc>
        <w:tc>
          <w:tcPr>
            <w:tcW w:w="0" w:type="auto"/>
            <w:hideMark/>
          </w:tcPr>
          <w:p w14:paraId="0189A78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Nanoparticle carrier in wound and dermal films</w:t>
            </w:r>
          </w:p>
        </w:tc>
        <w:tc>
          <w:tcPr>
            <w:tcW w:w="0" w:type="auto"/>
            <w:hideMark/>
          </w:tcPr>
          <w:p w14:paraId="18EBBA3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Makadia &amp; Siegel (2011)</w:t>
            </w:r>
          </w:p>
        </w:tc>
      </w:tr>
      <w:tr w:rsidR="009F5601" w:rsidRPr="009F5601" w14:paraId="1F10FFA6" w14:textId="77777777" w:rsidTr="00456AB7">
        <w:tc>
          <w:tcPr>
            <w:tcW w:w="0" w:type="auto"/>
            <w:hideMark/>
          </w:tcPr>
          <w:p w14:paraId="0C82B0A1"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copolymers</w:t>
            </w:r>
          </w:p>
        </w:tc>
        <w:tc>
          <w:tcPr>
            <w:tcW w:w="0" w:type="auto"/>
            <w:hideMark/>
          </w:tcPr>
          <w:p w14:paraId="0CBEC31B"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 smart polymers</w:t>
            </w:r>
          </w:p>
        </w:tc>
        <w:tc>
          <w:tcPr>
            <w:tcW w:w="0" w:type="auto"/>
            <w:hideMark/>
          </w:tcPr>
          <w:p w14:paraId="0D4F9DE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LCST-triggered gelation near skin temperature</w:t>
            </w:r>
          </w:p>
        </w:tc>
        <w:tc>
          <w:tcPr>
            <w:tcW w:w="0" w:type="auto"/>
            <w:hideMark/>
          </w:tcPr>
          <w:p w14:paraId="4269031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Emerging/research stage</w:t>
            </w:r>
          </w:p>
        </w:tc>
        <w:tc>
          <w:tcPr>
            <w:tcW w:w="0" w:type="auto"/>
            <w:hideMark/>
          </w:tcPr>
          <w:p w14:paraId="51A76D1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Ward &amp; Georgiou (2011)</w:t>
            </w:r>
          </w:p>
        </w:tc>
      </w:tr>
    </w:tbl>
    <w:p w14:paraId="6A2C332E"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Note: HPMC = hydroxypropyl methylcellulose; HPC = hydroxypropyl cellulose; PVA = polyvinyl alcohol;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LCST = lower critical solution temperature; EC = ethyl cellulose.</w:t>
      </w:r>
    </w:p>
    <w:p w14:paraId="3CB46E8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Siepmann &amp; Peppas (2001); Repka &amp; McGinity (2000); Siepmann, F. et al. (2008); Pawar et al. (2013); Dash et al. (2011); Hamman (2010); Aderibigbe &amp; Buyana (2018); Kamoun et al. (2017); </w:t>
      </w:r>
      <w:proofErr w:type="spellStart"/>
      <w:r w:rsidRPr="009F5601">
        <w:rPr>
          <w:rFonts w:ascii="Times New Roman" w:eastAsia="Times New Roman" w:hAnsi="Times New Roman" w:cs="Times New Roman"/>
          <w:i/>
          <w:iCs/>
          <w:sz w:val="24"/>
          <w:szCs w:val="24"/>
          <w:lang w:eastAsia="en-GB"/>
        </w:rPr>
        <w:t>DeMerlis</w:t>
      </w:r>
      <w:proofErr w:type="spellEnd"/>
      <w:r w:rsidRPr="009F5601">
        <w:rPr>
          <w:rFonts w:ascii="Times New Roman" w:eastAsia="Times New Roman" w:hAnsi="Times New Roman" w:cs="Times New Roman"/>
          <w:i/>
          <w:iCs/>
          <w:sz w:val="24"/>
          <w:szCs w:val="24"/>
          <w:lang w:eastAsia="en-GB"/>
        </w:rPr>
        <w:t xml:space="preserve"> &amp; </w:t>
      </w:r>
      <w:proofErr w:type="spellStart"/>
      <w:r w:rsidRPr="009F5601">
        <w:rPr>
          <w:rFonts w:ascii="Times New Roman" w:eastAsia="Times New Roman" w:hAnsi="Times New Roman" w:cs="Times New Roman"/>
          <w:i/>
          <w:iCs/>
          <w:sz w:val="24"/>
          <w:szCs w:val="24"/>
          <w:lang w:eastAsia="en-GB"/>
        </w:rPr>
        <w:t>Schoneker</w:t>
      </w:r>
      <w:proofErr w:type="spellEnd"/>
      <w:r w:rsidRPr="009F5601">
        <w:rPr>
          <w:rFonts w:ascii="Times New Roman" w:eastAsia="Times New Roman" w:hAnsi="Times New Roman" w:cs="Times New Roman"/>
          <w:i/>
          <w:iCs/>
          <w:sz w:val="24"/>
          <w:szCs w:val="24"/>
          <w:lang w:eastAsia="en-GB"/>
        </w:rPr>
        <w:t xml:space="preserve"> (2003); Makadia &amp; Siegel (2011); Ward &amp; Georgiou (2011); Vieira et al. (2011); Hoare &amp; </w:t>
      </w:r>
      <w:proofErr w:type="spellStart"/>
      <w:r w:rsidRPr="009F5601">
        <w:rPr>
          <w:rFonts w:ascii="Times New Roman" w:eastAsia="Times New Roman" w:hAnsi="Times New Roman" w:cs="Times New Roman"/>
          <w:i/>
          <w:iCs/>
          <w:sz w:val="24"/>
          <w:szCs w:val="24"/>
          <w:lang w:eastAsia="en-GB"/>
        </w:rPr>
        <w:t>Kohane</w:t>
      </w:r>
      <w:proofErr w:type="spellEnd"/>
      <w:r w:rsidRPr="009F5601">
        <w:rPr>
          <w:rFonts w:ascii="Times New Roman" w:eastAsia="Times New Roman" w:hAnsi="Times New Roman" w:cs="Times New Roman"/>
          <w:i/>
          <w:iCs/>
          <w:sz w:val="24"/>
          <w:szCs w:val="24"/>
          <w:lang w:eastAsia="en-GB"/>
        </w:rPr>
        <w:t xml:space="preserve"> (2008).</w:t>
      </w:r>
    </w:p>
    <w:p w14:paraId="71015D27"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5C5F83C6"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5. Drug Incorporation and Release Mechanisms</w:t>
      </w:r>
    </w:p>
    <w:p w14:paraId="574F1E4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5.1 Drug Solubilisation and Loading Strategies</w:t>
      </w:r>
    </w:p>
    <w:p w14:paraId="114900A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Effective drug loading within FFS requires the API to be stably incorporated into the spray solution and to remain uniformly distributed within the film matrix following solvent evaporation. For drugs with adequate solubility in the chosen solvent system, homogeneous molecular dissolution is readily achieved, and the resultant film represents a solid dispersion of the drug within the polymer. However, a substantial proportion of pharmacologically active molecules of current clinical interest exhibit poor solubility in the aqueous or hydroalcoholic vehicles commonly employed in FFS, necessitating co-solvents, surfactants, complexation agents, or nanocarrier systems to achieve adequate drug loading (Williams &amp; Barry, 2004).</w:t>
      </w:r>
    </w:p>
    <w:p w14:paraId="38AADA5D"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Co-solvents—principally propylene glycol, polyethylene glycol 400, and ethanol—improve drug solubility in hydroalcoholic FFS vehicles whilst simultaneously contributing to skin barrier perturbation that augments penetration of the co-dissolved drug (Barry, 2001). The penetration-enhancing activity of chemical agents has been characterised systematically: a high-throughput study demonstrated that the efficacy and skin tolerability of chemical penetration enhancers are jointly governed by lipophilicity, hydrogen bonding capacity, and molecular geometry, providing design principles applicable to FFS excipient selection (</w:t>
      </w:r>
      <w:proofErr w:type="spellStart"/>
      <w:r w:rsidRPr="009F5601">
        <w:rPr>
          <w:rFonts w:ascii="Times New Roman" w:eastAsia="Times New Roman" w:hAnsi="Times New Roman" w:cs="Times New Roman"/>
          <w:sz w:val="24"/>
          <w:szCs w:val="24"/>
          <w:lang w:eastAsia="en-GB"/>
        </w:rPr>
        <w:t>Karande</w:t>
      </w:r>
      <w:proofErr w:type="spellEnd"/>
      <w:r w:rsidRPr="009F5601">
        <w:rPr>
          <w:rFonts w:ascii="Times New Roman" w:eastAsia="Times New Roman" w:hAnsi="Times New Roman" w:cs="Times New Roman"/>
          <w:sz w:val="24"/>
          <w:szCs w:val="24"/>
          <w:lang w:eastAsia="en-GB"/>
        </w:rPr>
        <w:t xml:space="preserve"> et al., 2005). Pharmaceutical-grade surfactants such as polysorbate 80, lecithin, and poloxamers are incorporated in FFS formulations to improve drug wettability and may facilitate </w:t>
      </w:r>
      <w:proofErr w:type="spellStart"/>
      <w:r w:rsidRPr="009F5601">
        <w:rPr>
          <w:rFonts w:ascii="Times New Roman" w:eastAsia="Times New Roman" w:hAnsi="Times New Roman" w:cs="Times New Roman"/>
          <w:sz w:val="24"/>
          <w:szCs w:val="24"/>
          <w:lang w:eastAsia="en-GB"/>
        </w:rPr>
        <w:t>nanocolloid</w:t>
      </w:r>
      <w:proofErr w:type="spellEnd"/>
      <w:r w:rsidRPr="009F5601">
        <w:rPr>
          <w:rFonts w:ascii="Times New Roman" w:eastAsia="Times New Roman" w:hAnsi="Times New Roman" w:cs="Times New Roman"/>
          <w:sz w:val="24"/>
          <w:szCs w:val="24"/>
          <w:lang w:eastAsia="en-GB"/>
        </w:rPr>
        <w:t xml:space="preserve"> formation, contributing to both drug stability and penetration-enhancing performance (Williams &amp; Barry, 2004). For drugs that cannot be adequately incorporated by solution approaches alone, nanocarrier encapsulation—discussed in Section 5.3—provides a powerful alternative that delivers drug loading, physical stability, and modified release within a single formulation strategy.</w:t>
      </w:r>
    </w:p>
    <w:p w14:paraId="0D87F782"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5.2 Controlled and Sustained Release from Film Matrices</w:t>
      </w:r>
    </w:p>
    <w:p w14:paraId="342EE1E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Drug release from polymeric film matrices is governed by a combination of diffusion, swelling, erosion, and drug–polymer interaction phenomena whose relative contributions depend on the nature of the polymer and the physicochemical properties of the drug. In non-swelling, non-eroding hydrophobic films such as ethyl cellulose, drug transport follows a predominantly </w:t>
      </w: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mechanism in which flux is proportional to the drug concentration gradient and inversely proportional to film thickness (Siepmann &amp; Peppas, 2001). The Ritger–Peppas power law model remains the most widely applied empirical framework for characterising the operative transport mechanism in polymeric film systems by analysis of the release exponent (Ritger &amp; Peppas, 1987), whilst the similarity factor approach proposed by Costa and Lobo (2001) provides a complementary statistical tool for comparing dissolution profiles across formulations in regulatory and development contexts.</w:t>
      </w:r>
    </w:p>
    <w:p w14:paraId="059D7D8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In hydrophilic polymer matrices such as HPMC, water ingress induces polymer chain relaxation and swelling, generating a gel layer at the film–medium interface through which drug diffuses by a mechanism with both </w:t>
      </w: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and anomalous (relaxation-controlled) components. This swelling-controlled transport can yield near-zero-order release profiles, a highly desirable attribute for sustained local drug action. The polymer blend composition in EC/HPMC hybrid films is a powerful design variable: systematic variation of the hydrophilic-to-hydrophobic polymer ratio modulates the pore structure, water uptake, and drug diffusivity of the film in a predictable manner (Siepmann, F. et al., 2008). Erosion-controlled release, operative in biodegradable polymer systems such as PLGA, provides a distinct and appealing mechanism for wound care FFS in which the rate of drug release is conceptually coupled to the rate of film degradation and hence to the pace of wound healing (Makadia &amp; Siegel, 2011). Drug crystallisation within the polymer matrix—which can occur during storage or upon solvent evaporation and dramatically alter the release profile—must be characterised by appropriate solid-state analytical methods, particularly for poorly soluble drugs prone to nucleation within the amorphous matrix (</w:t>
      </w:r>
      <w:proofErr w:type="spellStart"/>
      <w:r w:rsidRPr="009F5601">
        <w:rPr>
          <w:rFonts w:ascii="Times New Roman" w:eastAsia="Times New Roman" w:hAnsi="Times New Roman" w:cs="Times New Roman"/>
          <w:sz w:val="24"/>
          <w:szCs w:val="24"/>
          <w:lang w:eastAsia="en-GB"/>
        </w:rPr>
        <w:t>Hadgraft</w:t>
      </w:r>
      <w:proofErr w:type="spellEnd"/>
      <w:r w:rsidRPr="009F5601">
        <w:rPr>
          <w:rFonts w:ascii="Times New Roman" w:eastAsia="Times New Roman" w:hAnsi="Times New Roman" w:cs="Times New Roman"/>
          <w:sz w:val="24"/>
          <w:szCs w:val="24"/>
          <w:lang w:eastAsia="en-GB"/>
        </w:rPr>
        <w:t xml:space="preserve"> &amp; Lane, 2016).</w:t>
      </w:r>
    </w:p>
    <w:p w14:paraId="05E4EA9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5.3 Carrier-Mediated Delivery Within FFS</w:t>
      </w:r>
    </w:p>
    <w:p w14:paraId="3A07D707"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embedding of vesicular and lipid-based nanocarriers within FFS matrices introduces an additional level of control over drug release, since drug must first be liberated from its nanocarrier before diffusing through the polymeric film and subsequently into the biological </w:t>
      </w:r>
      <w:r w:rsidRPr="009F5601">
        <w:rPr>
          <w:rFonts w:ascii="Times New Roman" w:eastAsia="Times New Roman" w:hAnsi="Times New Roman" w:cs="Times New Roman"/>
          <w:sz w:val="24"/>
          <w:szCs w:val="24"/>
          <w:lang w:eastAsia="en-GB"/>
        </w:rPr>
        <w:lastRenderedPageBreak/>
        <w:t xml:space="preserve">tissue. Liposomes incorporated within film matrices provide a biphasic release profile characterised by a rapid initial phase from free drug in the film and a slower, sustained phase as drug is progressively released from the vesicular bilayer (Allen &amp; Cullis, 2013).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—phospholipid vesicles containing ethanol at high concentrations—penetrate skin lipid bilayers more effectively than conventional liposomes owing to their higher membrane fluidity; Touitou et al. (2000) demonstrated that these vesicular carriers achieve markedly superior skin penetration compared to their conventional liposomal counterparts, making them attractive candidates for incorporation within FFS matrices to augment dermal drug delivery. Solid lipid nanoparticles (SLNs) suspended within FFS matrices confer a sustained release character attributable to the additional diffusion barrier presented by the crystalline lipid core, and their natural affinity for skin lipids promotes dermal penetration and follicular uptake (Müller et al., 2000). Nanostructured lipid carriers (NLCs), in which a liquid lipid component within the solid matrix reduces crystallinity and thereby minimises drug expulsion during storage, have emerged as a preferred lipid nanoparticle platform for FFS integration, combining delivery-enhancing properties with superior physical stability over SLNs (Pardeike et al., 2009). Polymeric PLGA nanoparticles embedded within wound care film matrices provide biodegradable drug depots whose slow hydrolytic erosion enables release of antimicrobial or anti-inflammatory agents over extended timescales aligned with wound repair processes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Table 2 provides a structured summary of the principal release mechanisms operative in FFS, their polymer associations, and key governing parameters.</w:t>
      </w:r>
    </w:p>
    <w:p w14:paraId="59D10846"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43375260"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2. Drug release mechanisms in film-forming spray systems</w:t>
      </w:r>
    </w:p>
    <w:tbl>
      <w:tblPr>
        <w:tblStyle w:val="TableGrid"/>
        <w:tblW w:w="0" w:type="auto"/>
        <w:tblLook w:val="04A0" w:firstRow="1" w:lastRow="0" w:firstColumn="1" w:lastColumn="0" w:noHBand="0" w:noVBand="1"/>
      </w:tblPr>
      <w:tblGrid>
        <w:gridCol w:w="2073"/>
        <w:gridCol w:w="1641"/>
        <w:gridCol w:w="1260"/>
        <w:gridCol w:w="1431"/>
        <w:gridCol w:w="1552"/>
        <w:gridCol w:w="1285"/>
      </w:tblGrid>
      <w:tr w:rsidR="009F5601" w:rsidRPr="009F5601" w14:paraId="3AA8BC3D" w14:textId="77777777" w:rsidTr="00456AB7">
        <w:tc>
          <w:tcPr>
            <w:tcW w:w="0" w:type="auto"/>
            <w:hideMark/>
          </w:tcPr>
          <w:p w14:paraId="3C600AC3"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Mechanism</w:t>
            </w:r>
          </w:p>
        </w:tc>
        <w:tc>
          <w:tcPr>
            <w:tcW w:w="0" w:type="auto"/>
            <w:hideMark/>
          </w:tcPr>
          <w:p w14:paraId="4B89A52B"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Operative Conditions</w:t>
            </w:r>
          </w:p>
        </w:tc>
        <w:tc>
          <w:tcPr>
            <w:tcW w:w="0" w:type="auto"/>
            <w:hideMark/>
          </w:tcPr>
          <w:p w14:paraId="7A9243A6"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Associated Polymer Systems</w:t>
            </w:r>
          </w:p>
        </w:tc>
        <w:tc>
          <w:tcPr>
            <w:tcW w:w="0" w:type="auto"/>
            <w:hideMark/>
          </w:tcPr>
          <w:p w14:paraId="583A401F"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Achievable Release Profile</w:t>
            </w:r>
          </w:p>
        </w:tc>
        <w:tc>
          <w:tcPr>
            <w:tcW w:w="0" w:type="auto"/>
            <w:hideMark/>
          </w:tcPr>
          <w:p w14:paraId="4DBAD92D"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Determinants</w:t>
            </w:r>
          </w:p>
        </w:tc>
        <w:tc>
          <w:tcPr>
            <w:tcW w:w="0" w:type="auto"/>
            <w:hideMark/>
          </w:tcPr>
          <w:p w14:paraId="142A6D1D"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References</w:t>
            </w:r>
          </w:p>
        </w:tc>
      </w:tr>
      <w:tr w:rsidR="009F5601" w:rsidRPr="009F5601" w14:paraId="1CCDE12F" w14:textId="77777777" w:rsidTr="00456AB7">
        <w:tc>
          <w:tcPr>
            <w:tcW w:w="0" w:type="auto"/>
            <w:hideMark/>
          </w:tcPr>
          <w:p w14:paraId="764A4DAB"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diffusion</w:t>
            </w:r>
          </w:p>
        </w:tc>
        <w:tc>
          <w:tcPr>
            <w:tcW w:w="0" w:type="auto"/>
            <w:hideMark/>
          </w:tcPr>
          <w:p w14:paraId="1B928D5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Non-swelling, non-eroding film</w:t>
            </w:r>
          </w:p>
        </w:tc>
        <w:tc>
          <w:tcPr>
            <w:tcW w:w="0" w:type="auto"/>
            <w:hideMark/>
          </w:tcPr>
          <w:p w14:paraId="6044EB9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EC, Eudragit RS</w:t>
            </w:r>
          </w:p>
        </w:tc>
        <w:tc>
          <w:tcPr>
            <w:tcW w:w="0" w:type="auto"/>
            <w:hideMark/>
          </w:tcPr>
          <w:p w14:paraId="4F0EE76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Square-root time dependence</w:t>
            </w:r>
          </w:p>
        </w:tc>
        <w:tc>
          <w:tcPr>
            <w:tcW w:w="0" w:type="auto"/>
            <w:hideMark/>
          </w:tcPr>
          <w:p w14:paraId="09D05BA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 thickness, drug diffusivity</w:t>
            </w:r>
          </w:p>
        </w:tc>
        <w:tc>
          <w:tcPr>
            <w:tcW w:w="0" w:type="auto"/>
            <w:hideMark/>
          </w:tcPr>
          <w:p w14:paraId="195995A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 Ritger &amp; Peppas (1987)</w:t>
            </w:r>
          </w:p>
        </w:tc>
      </w:tr>
      <w:tr w:rsidR="009F5601" w:rsidRPr="009F5601" w14:paraId="67C8EAB5" w14:textId="77777777" w:rsidTr="00456AB7">
        <w:tc>
          <w:tcPr>
            <w:tcW w:w="0" w:type="auto"/>
            <w:hideMark/>
          </w:tcPr>
          <w:p w14:paraId="21449B8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Swelling-controlled diffusion</w:t>
            </w:r>
          </w:p>
        </w:tc>
        <w:tc>
          <w:tcPr>
            <w:tcW w:w="0" w:type="auto"/>
            <w:hideMark/>
          </w:tcPr>
          <w:p w14:paraId="60100AA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Water ingress, polymer chain relaxation</w:t>
            </w:r>
          </w:p>
        </w:tc>
        <w:tc>
          <w:tcPr>
            <w:tcW w:w="0" w:type="auto"/>
            <w:hideMark/>
          </w:tcPr>
          <w:p w14:paraId="627646E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HPC, PVA</w:t>
            </w:r>
          </w:p>
        </w:tc>
        <w:tc>
          <w:tcPr>
            <w:tcW w:w="0" w:type="auto"/>
            <w:hideMark/>
          </w:tcPr>
          <w:p w14:paraId="6E8A93E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near-zero-order possible</w:t>
            </w:r>
          </w:p>
        </w:tc>
        <w:tc>
          <w:tcPr>
            <w:tcW w:w="0" w:type="auto"/>
            <w:hideMark/>
          </w:tcPr>
          <w:p w14:paraId="555A225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 grade, plasticiser, hydration rate</w:t>
            </w:r>
          </w:p>
        </w:tc>
        <w:tc>
          <w:tcPr>
            <w:tcW w:w="0" w:type="auto"/>
            <w:hideMark/>
          </w:tcPr>
          <w:p w14:paraId="7DE57BB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w:t>
            </w:r>
          </w:p>
        </w:tc>
      </w:tr>
      <w:tr w:rsidR="009F5601" w:rsidRPr="009F5601" w14:paraId="14BE4E9C" w14:textId="77777777" w:rsidTr="00456AB7">
        <w:tc>
          <w:tcPr>
            <w:tcW w:w="0" w:type="auto"/>
            <w:hideMark/>
          </w:tcPr>
          <w:p w14:paraId="21E1151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Erosion/degradation</w:t>
            </w:r>
          </w:p>
        </w:tc>
        <w:tc>
          <w:tcPr>
            <w:tcW w:w="0" w:type="auto"/>
            <w:hideMark/>
          </w:tcPr>
          <w:p w14:paraId="52F21BEB"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Hydrolytic or enzymatic polymer breakdown</w:t>
            </w:r>
          </w:p>
        </w:tc>
        <w:tc>
          <w:tcPr>
            <w:tcW w:w="0" w:type="auto"/>
            <w:hideMark/>
          </w:tcPr>
          <w:p w14:paraId="2D25F20B"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PLGA, alginate, chitosan</w:t>
            </w:r>
          </w:p>
        </w:tc>
        <w:tc>
          <w:tcPr>
            <w:tcW w:w="0" w:type="auto"/>
            <w:hideMark/>
          </w:tcPr>
          <w:p w14:paraId="23C36A8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Sustained; coupled to degradation rate</w:t>
            </w:r>
          </w:p>
        </w:tc>
        <w:tc>
          <w:tcPr>
            <w:tcW w:w="0" w:type="auto"/>
            <w:hideMark/>
          </w:tcPr>
          <w:p w14:paraId="1AD9E74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Molecular weight, copolymer composition</w:t>
            </w:r>
          </w:p>
        </w:tc>
        <w:tc>
          <w:tcPr>
            <w:tcW w:w="0" w:type="auto"/>
            <w:hideMark/>
          </w:tcPr>
          <w:p w14:paraId="34895CE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Makadia &amp; Siegel (2011); Costa &amp; Lobo (2001)</w:t>
            </w:r>
          </w:p>
        </w:tc>
      </w:tr>
      <w:tr w:rsidR="009F5601" w:rsidRPr="009F5601" w14:paraId="371DF6AB" w14:textId="77777777" w:rsidTr="00456AB7">
        <w:tc>
          <w:tcPr>
            <w:tcW w:w="0" w:type="auto"/>
            <w:hideMark/>
          </w:tcPr>
          <w:p w14:paraId="63DA62B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Anomalous (combined)</w:t>
            </w:r>
          </w:p>
        </w:tc>
        <w:tc>
          <w:tcPr>
            <w:tcW w:w="0" w:type="auto"/>
            <w:hideMark/>
          </w:tcPr>
          <w:p w14:paraId="4C0A724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Simultaneous diffusion and relaxation</w:t>
            </w:r>
          </w:p>
        </w:tc>
        <w:tc>
          <w:tcPr>
            <w:tcW w:w="0" w:type="auto"/>
            <w:hideMark/>
          </w:tcPr>
          <w:p w14:paraId="47CEFF8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HPMC/EC blends</w:t>
            </w:r>
          </w:p>
        </w:tc>
        <w:tc>
          <w:tcPr>
            <w:tcW w:w="0" w:type="auto"/>
            <w:hideMark/>
          </w:tcPr>
          <w:p w14:paraId="6B2DFA4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Intermediate, formulation-</w:t>
            </w:r>
            <w:r w:rsidRPr="009F5601">
              <w:rPr>
                <w:rFonts w:ascii="Times New Roman" w:eastAsia="Times New Roman" w:hAnsi="Times New Roman" w:cs="Times New Roman"/>
                <w:sz w:val="24"/>
                <w:szCs w:val="24"/>
                <w:lang w:eastAsia="en-GB"/>
              </w:rPr>
              <w:lastRenderedPageBreak/>
              <w:t>dependent</w:t>
            </w:r>
          </w:p>
        </w:tc>
        <w:tc>
          <w:tcPr>
            <w:tcW w:w="0" w:type="auto"/>
            <w:hideMark/>
          </w:tcPr>
          <w:p w14:paraId="5DE6F83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Polymer ratio, drug loading</w:t>
            </w:r>
          </w:p>
        </w:tc>
        <w:tc>
          <w:tcPr>
            <w:tcW w:w="0" w:type="auto"/>
            <w:hideMark/>
          </w:tcPr>
          <w:p w14:paraId="00CC427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F. et al. (2008)</w:t>
            </w:r>
          </w:p>
        </w:tc>
      </w:tr>
      <w:tr w:rsidR="009F5601" w:rsidRPr="009F5601" w14:paraId="64F344BB" w14:textId="77777777" w:rsidTr="00456AB7">
        <w:tc>
          <w:tcPr>
            <w:tcW w:w="0" w:type="auto"/>
            <w:hideMark/>
          </w:tcPr>
          <w:p w14:paraId="138CBD2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Liposomal carrier-mediated</w:t>
            </w:r>
          </w:p>
        </w:tc>
        <w:tc>
          <w:tcPr>
            <w:tcW w:w="0" w:type="auto"/>
            <w:hideMark/>
          </w:tcPr>
          <w:p w14:paraId="1940C3C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Drug in vesicle bilayers, biphasic release</w:t>
            </w:r>
          </w:p>
        </w:tc>
        <w:tc>
          <w:tcPr>
            <w:tcW w:w="0" w:type="auto"/>
            <w:hideMark/>
          </w:tcPr>
          <w:p w14:paraId="64A4726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Liposome-loaded FFS</w:t>
            </w:r>
          </w:p>
        </w:tc>
        <w:tc>
          <w:tcPr>
            <w:tcW w:w="0" w:type="auto"/>
            <w:hideMark/>
          </w:tcPr>
          <w:p w14:paraId="13C4C41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Initial burst followed by sustained phase</w:t>
            </w:r>
          </w:p>
        </w:tc>
        <w:tc>
          <w:tcPr>
            <w:tcW w:w="0" w:type="auto"/>
            <w:hideMark/>
          </w:tcPr>
          <w:p w14:paraId="7EA3597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Vesicle size, lipid composition</w:t>
            </w:r>
          </w:p>
        </w:tc>
        <w:tc>
          <w:tcPr>
            <w:tcW w:w="0" w:type="auto"/>
            <w:hideMark/>
          </w:tcPr>
          <w:p w14:paraId="5BABB2B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Allen &amp; Cullis (2013)</w:t>
            </w:r>
          </w:p>
        </w:tc>
      </w:tr>
      <w:tr w:rsidR="009F5601" w:rsidRPr="009F5601" w14:paraId="41E3584D" w14:textId="77777777" w:rsidTr="00456AB7">
        <w:tc>
          <w:tcPr>
            <w:tcW w:w="0" w:type="auto"/>
            <w:hideMark/>
          </w:tcPr>
          <w:p w14:paraId="63A0B39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Lipid nanoparticle-mediated</w:t>
            </w:r>
          </w:p>
        </w:tc>
        <w:tc>
          <w:tcPr>
            <w:tcW w:w="0" w:type="auto"/>
            <w:hideMark/>
          </w:tcPr>
          <w:p w14:paraId="27178DA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Drug diffusion through solid/structured lipid</w:t>
            </w:r>
          </w:p>
        </w:tc>
        <w:tc>
          <w:tcPr>
            <w:tcW w:w="0" w:type="auto"/>
            <w:hideMark/>
          </w:tcPr>
          <w:p w14:paraId="4DA18CD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SLN/NLC-loaded FFS</w:t>
            </w:r>
          </w:p>
        </w:tc>
        <w:tc>
          <w:tcPr>
            <w:tcW w:w="0" w:type="auto"/>
            <w:hideMark/>
          </w:tcPr>
          <w:p w14:paraId="49A5F4A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reduced burst effect</w:t>
            </w:r>
          </w:p>
        </w:tc>
        <w:tc>
          <w:tcPr>
            <w:tcW w:w="0" w:type="auto"/>
            <w:hideMark/>
          </w:tcPr>
          <w:p w14:paraId="7EA7292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Lipid crystallinity, drug–lipid solubility</w:t>
            </w:r>
          </w:p>
        </w:tc>
        <w:tc>
          <w:tcPr>
            <w:tcW w:w="0" w:type="auto"/>
            <w:hideMark/>
          </w:tcPr>
          <w:p w14:paraId="6DE33E8B"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Müller et al. (2000); Pardeike et al. (2009)</w:t>
            </w:r>
          </w:p>
        </w:tc>
      </w:tr>
    </w:tbl>
    <w:p w14:paraId="49BF5AEA"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Note: EC = ethyl cellulose; HPMC = hydroxypropyl methylcellulose; HPC = hydroxypropyl cellulose; PVA = polyvinyl alcohol;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SLN = solid lipid nanoparticles; NLC = nanostructured lipid carriers.</w:t>
      </w:r>
    </w:p>
    <w:p w14:paraId="4D0F8DC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Sources: Siepmann &amp; Peppas (2001); Ritger &amp; Peppas (1987); Makadia &amp; Siegel (2011); Costa &amp; Lobo (2001); Siepmann, F. et al. (2008); Allen &amp; Cullis (2013); Müller et al. (2000); Pardeike et al. (2009).</w:t>
      </w:r>
    </w:p>
    <w:p w14:paraId="68BF3C7F"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0B80C43C"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6. Therapeutic Applications</w:t>
      </w:r>
    </w:p>
    <w:p w14:paraId="65F4DB15"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6.1 Wound Care and Skin Regeneration</w:t>
      </w:r>
    </w:p>
    <w:p w14:paraId="7D8591B0"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management represents the most mature and extensively studied application domain for FFS technology. The wound surface presents a heterogeneous, geometrically complex, and biologically dynamic environment to which conventional solid wound dressings may be difficult to apply in uniform, intimate contact (Boateng et al., 2008). Film-forming sprays circumvent these practical difficulties: being liquid at the point of application, they conform to any wound geometry and, once the film has formed, provide the protective, moisture-maintaining, and drug-delivery functions expected of an advanced wound dressing whilst remaining thin, translucent, and generally more comfortable for the patient than bulky conventional formats (Boateng &amp; Catanzano, 2015).</w:t>
      </w:r>
    </w:p>
    <w:p w14:paraId="0832FDB5"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biological objectives of a wound care FFS typically encompass several concurrent goals. The creation of a moist healing environment facilitates keratinocyte migration and collagen synthesis throughout the proliferative phase of healing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 Delivery of antimicrobial agents to the wound surface reduces bacterial burden, and the management of biofilm—structurally organised communities of bacteria embedded in exopolysaccharide matrices that exhibit profound tolerance to antibiotics—is a particular clinical imperative in chronic wound management (Percival et al., 2015). The study by Pawar et al. (2013) characterised an HPMC/Eudragit RL100 film-forming spray loaded with ciprofloxacin that formed flexible, adherent films with sustained antimicrobial release, demonstrating the principle of polymer blending as a strategy for simultaneously optimising film mechanics, drug release, and adhesive performance.</w:t>
      </w:r>
    </w:p>
    <w:p w14:paraId="273BCA7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Chitosan-based wound care FFS contribute intrinsic antimicrobial activity alongside their structural film-forming function, whilst also promoting haemostasis and stimulating </w:t>
      </w:r>
      <w:r w:rsidRPr="009F5601">
        <w:rPr>
          <w:rFonts w:ascii="Times New Roman" w:eastAsia="Times New Roman" w:hAnsi="Times New Roman" w:cs="Times New Roman"/>
          <w:sz w:val="24"/>
          <w:szCs w:val="24"/>
          <w:lang w:eastAsia="en-GB"/>
        </w:rPr>
        <w:lastRenderedPageBreak/>
        <w:t>macrophage activation during the inflammatory phase of repair (Dash et al., 2011). Alginate-containing FFS provide exudate management alongside drug delivery; the hydrophilic polysaccharide absorbs excess wound fluid, transitioning the film from a passive barrier into a dynamic, responsive dressing (Aderibigbe &amp; Buyana, 2018). Growing ambition to incorporate growth factors, antimicrobial peptides, and other bioactive molecules within FFS reflects aspirations for next-generation wound care platforms that actively orchestrate the cellular and molecular machinery of repair rather than merely delivering conventional pharmaceutical agents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w:t>
      </w:r>
    </w:p>
    <w:p w14:paraId="3BD31C89"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6.2 Dermatological Applications</w:t>
      </w:r>
    </w:p>
    <w:p w14:paraId="2CFA7D6D"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management of chronic and recalcitrant dermatological conditions—psoriasis, atopic dermatitis, lichen planus, acne vulgaris, and tinea pedis, among others—represents a substantial clinical opportunity for FFS technology. The drawbacks of conventional topical corticosteroids and immunomodulators are well recognised: ointments and creams impose an unpleasant or cosmetically unacceptable texture when applied to large body surface areas, and patient non-adherence to prescribed topical regimens is a pervasive problem that substantially limits real-world treatment effectiveness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 Film-forming sprays, which deposit a thin, non-greasy, and frequently imperceptible film, offer an aesthetically more acceptable format that may materially improve adherence without compromising drug exposure.</w:t>
      </w:r>
    </w:p>
    <w:p w14:paraId="20AA874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occlusive properties of the film, by reducing </w:t>
      </w:r>
      <w:proofErr w:type="spellStart"/>
      <w:r w:rsidRPr="009F5601">
        <w:rPr>
          <w:rFonts w:ascii="Times New Roman" w:eastAsia="Times New Roman" w:hAnsi="Times New Roman" w:cs="Times New Roman"/>
          <w:sz w:val="24"/>
          <w:szCs w:val="24"/>
          <w:lang w:eastAsia="en-GB"/>
        </w:rPr>
        <w:t>transepidermal</w:t>
      </w:r>
      <w:proofErr w:type="spellEnd"/>
      <w:r w:rsidRPr="009F5601">
        <w:rPr>
          <w:rFonts w:ascii="Times New Roman" w:eastAsia="Times New Roman" w:hAnsi="Times New Roman" w:cs="Times New Roman"/>
          <w:sz w:val="24"/>
          <w:szCs w:val="24"/>
          <w:lang w:eastAsia="en-GB"/>
        </w:rPr>
        <w:t xml:space="preserve"> water loss and hydrating the stratum corneum, can augment transcutaneous drug penetration for molecules that benefit from increased barrier water content (Proksch et al., 2008). This occlusion-mediated enhancement is particularly relevant for corticosteroid-containing FFS in which maximising local bioavailability at the epidermis and superficial dermis is a key formulation objective. Chemical penetration enhancers incorporated into the spray formulation can yield further increases in drug flux, and systematic investigation of their structure–activity relationships has established principles guiding the selection of effective and tolerable candidates for topical formulations (</w:t>
      </w:r>
      <w:proofErr w:type="spellStart"/>
      <w:r w:rsidRPr="009F5601">
        <w:rPr>
          <w:rFonts w:ascii="Times New Roman" w:eastAsia="Times New Roman" w:hAnsi="Times New Roman" w:cs="Times New Roman"/>
          <w:sz w:val="24"/>
          <w:szCs w:val="24"/>
          <w:lang w:eastAsia="en-GB"/>
        </w:rPr>
        <w:t>Karande</w:t>
      </w:r>
      <w:proofErr w:type="spellEnd"/>
      <w:r w:rsidRPr="009F5601">
        <w:rPr>
          <w:rFonts w:ascii="Times New Roman" w:eastAsia="Times New Roman" w:hAnsi="Times New Roman" w:cs="Times New Roman"/>
          <w:sz w:val="24"/>
          <w:szCs w:val="24"/>
          <w:lang w:eastAsia="en-GB"/>
        </w:rPr>
        <w:t xml:space="preserve"> et al., 2005), though their use must be accompanied by appropriate skin tolerability assessment (Williams &amp; Barry, 2004).</w:t>
      </w:r>
    </w:p>
    <w:p w14:paraId="49148FFA"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resident skin microbiome plays a multifaceted role in epidermal barrier function and immunological homeostasis; its perturbation is increasingly recognised as a pathogenic contributor to atopic dermatitis and related conditions (Grice &amp; Segre, 2011). This recognition motivates the development of antimicrobial FFS designed to selectively target disease-associated pathobionts whilst preserving beneficial commensal populations—an objective that requires a degree of antimicrobial selectivity achievable only through careful drug selection and dosing. For inflammatory skin diseases, the deployment of corticosteroids or calcineurin inhibitors in nanoparticle-loaded FFS that concentrate drug preferentially in the epidermis and dermis, rather than promoting systemic transdermal absorption, represents a promising approach to improving the benefit–risk profile of these agents (Zhang et al., 2013).</w:t>
      </w:r>
    </w:p>
    <w:p w14:paraId="34E433DA"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6.3 Nail Drug Delivery</w:t>
      </w:r>
    </w:p>
    <w:p w14:paraId="31A5F75B"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human nail plate presents one of the most challenging biological barriers in all of topical drug delivery. Composed principally of hard keratin arranged in a highly cross-linked, densely packed matrix, the nail plate is essentially impermeable to most drug molecules under ordinary conditions; only small, relatively lipophilic molecules can traverse the nail by </w:t>
      </w:r>
      <w:r w:rsidRPr="009F5601">
        <w:rPr>
          <w:rFonts w:ascii="Times New Roman" w:eastAsia="Times New Roman" w:hAnsi="Times New Roman" w:cs="Times New Roman"/>
          <w:sz w:val="24"/>
          <w:szCs w:val="24"/>
          <w:lang w:eastAsia="en-GB"/>
        </w:rPr>
        <w:lastRenderedPageBreak/>
        <w:t>passive diffusion at clinically meaningful rates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Despite this, the treatment of onychomycosis—fungal nail infection affecting approximately 5–10% of the general population, with substantially higher rates reported in elderly adults, and associated with significant morbidity, impaired quality of life, and a high recurrence rate—provides compelling clinical motivation for the development of effective topical nail drug delivery systems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Nail hydration profoundly increases nail plate permeability by disrupting the tight packing of keratin filaments, and formulations designed to elevate nail water content concurrently with drug delivery can achieve substantially enhanced antifungal penetration in vitro (</w:t>
      </w:r>
      <w:proofErr w:type="spellStart"/>
      <w:r w:rsidRPr="009F5601">
        <w:rPr>
          <w:rFonts w:ascii="Times New Roman" w:eastAsia="Times New Roman" w:hAnsi="Times New Roman" w:cs="Times New Roman"/>
          <w:sz w:val="24"/>
          <w:szCs w:val="24"/>
          <w:lang w:eastAsia="en-GB"/>
        </w:rPr>
        <w:t>Gunt</w:t>
      </w:r>
      <w:proofErr w:type="spellEnd"/>
      <w:r w:rsidRPr="009F5601">
        <w:rPr>
          <w:rFonts w:ascii="Times New Roman" w:eastAsia="Times New Roman" w:hAnsi="Times New Roman" w:cs="Times New Roman"/>
          <w:sz w:val="24"/>
          <w:szCs w:val="24"/>
          <w:lang w:eastAsia="en-GB"/>
        </w:rPr>
        <w:t xml:space="preserve"> &amp; Kasting, 2007).</w:t>
      </w:r>
    </w:p>
    <w:p w14:paraId="470F2AA3"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Modern FFS adapted for nail application build upon the established technology of film-forming nail lacquers, employing polymer systems that adhere tenaciously to the nail surface, resist removal by routine washing, and incorporate antifungal agents at concentrations sufficient to maintain inhibitory activities at the site of infection. The extended duration of onychomycosis therapy—commonly six to twelve months or longer for toenails—places exceptional demands on formulation durability, the physical integrity of the film under repeated hydration–dehydration cycles, and the capacity to maintain drug concentrations at the nail–fungus interface over many weeks without reapplication. Film-forming sprays that incorporate moisturising agents alongside the antifungal drug address both the hydration-enhancement and therapeutic drug delivery objectives within a single, patient-convenient formulation design.</w:t>
      </w:r>
    </w:p>
    <w:p w14:paraId="2BE37B1E"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6.4 Mucoadhesive and Mucosal Applications</w:t>
      </w:r>
    </w:p>
    <w:p w14:paraId="50F707D0"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Mucosal surfaces—buccal, sublingual, nasal, vaginal, and rectal—offer important advantages as drug delivery sites: they are relatively permeable compared to intact skin, richly vascularised, and accessible by spray or topical application. Mucoadhesive FFS exploit the capacity of certain polymers to adhere to the mucus gel layer coating mucosal epithelia, substantially prolonging drug residence at the delivery site and promoting intimate contact between the drug-loaded film and the absorptive surface (Smart, 2005). Chitosan and its derivatives achieve </w:t>
      </w:r>
      <w:proofErr w:type="spellStart"/>
      <w:r w:rsidRPr="009F5601">
        <w:rPr>
          <w:rFonts w:ascii="Times New Roman" w:eastAsia="Times New Roman" w:hAnsi="Times New Roman" w:cs="Times New Roman"/>
          <w:sz w:val="24"/>
          <w:szCs w:val="24"/>
          <w:lang w:eastAsia="en-GB"/>
        </w:rPr>
        <w:t>mucoadhesion</w:t>
      </w:r>
      <w:proofErr w:type="spellEnd"/>
      <w:r w:rsidRPr="009F5601">
        <w:rPr>
          <w:rFonts w:ascii="Times New Roman" w:eastAsia="Times New Roman" w:hAnsi="Times New Roman" w:cs="Times New Roman"/>
          <w:sz w:val="24"/>
          <w:szCs w:val="24"/>
          <w:lang w:eastAsia="en-GB"/>
        </w:rPr>
        <w:t xml:space="preserve"> primarily through electrostatic interactions between their polycationic character and the anionic sialic acid residues of mucin glycoproteins; HPMC, hydroxypropyl cellulose, and carbomers contribute through hydrogen bonding and physical chain entanglement with mucin networks (Hamman, 2010).</w:t>
      </w:r>
    </w:p>
    <w:p w14:paraId="2FF38F3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Buccal mucoadhesive film sprays enable the systemic delivery of drugs that are poorly absorbed orally or extensively metabolised during first-pass hepatic transit, providing a route to improved bioavailability and more rapid onset of action (Morales &amp; McConville, 2011). The manufacture and optimisation of mucoadhesive buccal films requires systematic characterisation of mucoadhesive strength, mechanical flexibility, drug release rate, and organoleptic acceptability, with formulation variables typically explored through design of experiments approaches to identify robust operating conditions. Oral dissolving film technology—in which polymeric films disintegrate within seconds to minutes of contact with saliva to release incorporated drug for rapid mucosal absorption—has been comprehensively reviewed and represents a well-characterised platform for buccal and sublingual drug delivery (Dixit &amp; Puthli, 2009). The practical application of this concept to localised antimicrobial therapy has been demonstrated through the development and characterisation of triclosan-loaded dissolving oral films (Dinge &amp; </w:t>
      </w:r>
      <w:proofErr w:type="spellStart"/>
      <w:r w:rsidRPr="009F5601">
        <w:rPr>
          <w:rFonts w:ascii="Times New Roman" w:eastAsia="Times New Roman" w:hAnsi="Times New Roman" w:cs="Times New Roman"/>
          <w:sz w:val="24"/>
          <w:szCs w:val="24"/>
          <w:lang w:eastAsia="en-GB"/>
        </w:rPr>
        <w:t>Nagarsenker</w:t>
      </w:r>
      <w:proofErr w:type="spellEnd"/>
      <w:r w:rsidRPr="009F5601">
        <w:rPr>
          <w:rFonts w:ascii="Times New Roman" w:eastAsia="Times New Roman" w:hAnsi="Times New Roman" w:cs="Times New Roman"/>
          <w:sz w:val="24"/>
          <w:szCs w:val="24"/>
          <w:lang w:eastAsia="en-GB"/>
        </w:rPr>
        <w:t>, 2008), and the underlying principles have been progressively extended to inform the design of mucoadhesive spray formulations for the buccal and sublingual routes.</w:t>
      </w:r>
    </w:p>
    <w:p w14:paraId="2DC9932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The nasal mucosa represents a particularly attractive target for FFS delivery by virtue of its thin epithelial barrier, rich subepithelial vasculature, and the potential for nose-to-brain drug transport via olfactory and trigeminal neural pathways. Nasal FFS must balance </w:t>
      </w:r>
      <w:proofErr w:type="spellStart"/>
      <w:r w:rsidRPr="009F5601">
        <w:rPr>
          <w:rFonts w:ascii="Times New Roman" w:eastAsia="Times New Roman" w:hAnsi="Times New Roman" w:cs="Times New Roman"/>
          <w:sz w:val="24"/>
          <w:szCs w:val="24"/>
          <w:lang w:eastAsia="en-GB"/>
        </w:rPr>
        <w:t>mucoadhesion</w:t>
      </w:r>
      <w:proofErr w:type="spellEnd"/>
      <w:r w:rsidRPr="009F5601">
        <w:rPr>
          <w:rFonts w:ascii="Times New Roman" w:eastAsia="Times New Roman" w:hAnsi="Times New Roman" w:cs="Times New Roman"/>
          <w:sz w:val="24"/>
          <w:szCs w:val="24"/>
          <w:lang w:eastAsia="en-GB"/>
        </w:rPr>
        <w:t xml:space="preserve"> against the physiological nasal mucociliary clearance mechanism, which continuously sweeps deposited material from the nasal cavity towards the nasopharynx on a timescale of minutes (Illum, 2003). Well-designed mucoadhesive nasal film sprays can markedly extend nasal residence time, improving drug absorption and potentially enabling reduced dosing frequency for drugs with short biological half-lives.</w:t>
      </w:r>
    </w:p>
    <w:p w14:paraId="291F5A7F"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6.5 Ocular Drug Delivery</w:t>
      </w:r>
    </w:p>
    <w:p w14:paraId="32DF825E"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precorneal environment presents a formidable series of barriers to topical drug delivery. Lacrimal drainage removes the vast majority of a conventionally instilled eye drop within a few minutes of application; efficient dilution and washout by tear secretion further reduces the fraction available for corneal penetration; and the tight junctions of the corneal epithelium impose a stringent structural barrier to paracellular transport. The net result is that the bioavailability of conventionally administered topical ocular drugs is typically below five per cent of the instilled dose (</w:t>
      </w:r>
      <w:proofErr w:type="spellStart"/>
      <w:r w:rsidRPr="009F5601">
        <w:rPr>
          <w:rFonts w:ascii="Times New Roman" w:eastAsia="Times New Roman" w:hAnsi="Times New Roman" w:cs="Times New Roman"/>
          <w:sz w:val="24"/>
          <w:szCs w:val="24"/>
          <w:lang w:eastAsia="en-GB"/>
        </w:rPr>
        <w:t>Gaudana</w:t>
      </w:r>
      <w:proofErr w:type="spellEnd"/>
      <w:r w:rsidRPr="009F5601">
        <w:rPr>
          <w:rFonts w:ascii="Times New Roman" w:eastAsia="Times New Roman" w:hAnsi="Times New Roman" w:cs="Times New Roman"/>
          <w:sz w:val="24"/>
          <w:szCs w:val="24"/>
          <w:lang w:eastAsia="en-GB"/>
        </w:rPr>
        <w:t xml:space="preserve"> et al., 2010). Film-forming ocular sprays, administered as a fine mist to the closed eyelid from which the drug-loaded film migrates to the conjunctival sac and precorneal tear film, offer the prospect of longer precorneal contact time and improved patient compliance, particularly for elderly patients with limited manual dexterity—a population disproportionately affected by glaucoma and other chronic ocular conditions that require long-term topical therapy.</w:t>
      </w:r>
    </w:p>
    <w:p w14:paraId="43992DE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Polymers employed in ocular FFS must satisfy stringent requirements for ocular biocompatibility, absence of corneal toxicity, and osmolarity and pH compatibility with the tear film. HPMC and PVA, both of which carry extensive and safe histories in ophthalmic preparations as artificial tear components and contact lens solutions, are the most frequently considered film-formers in ocular FFS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2003). The viscosity of the spray solution must be low enough to permit effective atomisation through fine nozzles whilst the resultant film must be sufficiently retentive to provide clinically meaningful drug contact time with the corneal surface. Table 3 provides a structured summary of the principal therapeutic application domains of FFS and the key formulation requirements and advantages associated with each.</w:t>
      </w:r>
    </w:p>
    <w:p w14:paraId="668219DB"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2826CFD6"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 xml:space="preserve">Table 3. </w:t>
      </w:r>
      <w:r w:rsidR="00270EF9">
        <w:rPr>
          <w:rFonts w:ascii="Times New Roman" w:eastAsia="Times New Roman" w:hAnsi="Times New Roman" w:cs="Times New Roman"/>
          <w:b/>
          <w:bCs/>
          <w:sz w:val="24"/>
          <w:szCs w:val="24"/>
          <w:lang w:eastAsia="en-GB"/>
        </w:rPr>
        <w:t>T</w:t>
      </w:r>
      <w:r w:rsidRPr="009F5601">
        <w:rPr>
          <w:rFonts w:ascii="Times New Roman" w:eastAsia="Times New Roman" w:hAnsi="Times New Roman" w:cs="Times New Roman"/>
          <w:b/>
          <w:bCs/>
          <w:sz w:val="24"/>
          <w:szCs w:val="24"/>
          <w:lang w:eastAsia="en-GB"/>
        </w:rPr>
        <w:t>herapeutic applications of film-forming spray systems</w:t>
      </w:r>
    </w:p>
    <w:tbl>
      <w:tblPr>
        <w:tblStyle w:val="TableGrid"/>
        <w:tblW w:w="0" w:type="auto"/>
        <w:tblLook w:val="04A0" w:firstRow="1" w:lastRow="0" w:firstColumn="1" w:lastColumn="0" w:noHBand="0" w:noVBand="1"/>
      </w:tblPr>
      <w:tblGrid>
        <w:gridCol w:w="1598"/>
        <w:gridCol w:w="1497"/>
        <w:gridCol w:w="1619"/>
        <w:gridCol w:w="1715"/>
        <w:gridCol w:w="1375"/>
        <w:gridCol w:w="1438"/>
      </w:tblGrid>
      <w:tr w:rsidR="009F5601" w:rsidRPr="009F5601" w14:paraId="10BB6D4E" w14:textId="77777777" w:rsidTr="00456AB7">
        <w:tc>
          <w:tcPr>
            <w:tcW w:w="0" w:type="auto"/>
            <w:hideMark/>
          </w:tcPr>
          <w:p w14:paraId="74000015"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Application Domain</w:t>
            </w:r>
          </w:p>
        </w:tc>
        <w:tc>
          <w:tcPr>
            <w:tcW w:w="0" w:type="auto"/>
            <w:hideMark/>
          </w:tcPr>
          <w:p w14:paraId="3F102070"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Clinical Target</w:t>
            </w:r>
          </w:p>
        </w:tc>
        <w:tc>
          <w:tcPr>
            <w:tcW w:w="0" w:type="auto"/>
            <w:hideMark/>
          </w:tcPr>
          <w:p w14:paraId="68B9376F"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Polymers</w:t>
            </w:r>
          </w:p>
        </w:tc>
        <w:tc>
          <w:tcPr>
            <w:tcW w:w="0" w:type="auto"/>
            <w:hideMark/>
          </w:tcPr>
          <w:p w14:paraId="249099DB"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Drug Classes Delivered</w:t>
            </w:r>
          </w:p>
        </w:tc>
        <w:tc>
          <w:tcPr>
            <w:tcW w:w="0" w:type="auto"/>
            <w:hideMark/>
          </w:tcPr>
          <w:p w14:paraId="5A6B3C0D"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Principal Advantage of FFS</w:t>
            </w:r>
          </w:p>
        </w:tc>
        <w:tc>
          <w:tcPr>
            <w:tcW w:w="0" w:type="auto"/>
            <w:hideMark/>
          </w:tcPr>
          <w:p w14:paraId="5EEBA23A"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226DD1CE" w14:textId="77777777" w:rsidTr="00456AB7">
        <w:tc>
          <w:tcPr>
            <w:tcW w:w="0" w:type="auto"/>
            <w:hideMark/>
          </w:tcPr>
          <w:p w14:paraId="015D01D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w:t>
            </w:r>
          </w:p>
        </w:tc>
        <w:tc>
          <w:tcPr>
            <w:tcW w:w="0" w:type="auto"/>
            <w:hideMark/>
          </w:tcPr>
          <w:p w14:paraId="681C209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Antimicrobial protection, moist healing, drug delivery</w:t>
            </w:r>
          </w:p>
        </w:tc>
        <w:tc>
          <w:tcPr>
            <w:tcW w:w="0" w:type="auto"/>
            <w:hideMark/>
          </w:tcPr>
          <w:p w14:paraId="1A1A52D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chitosan, alginate, Eudragit RL</w:t>
            </w:r>
          </w:p>
        </w:tc>
        <w:tc>
          <w:tcPr>
            <w:tcW w:w="0" w:type="auto"/>
            <w:hideMark/>
          </w:tcPr>
          <w:p w14:paraId="7EE9B4B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Antibiotics, antiseptics, anti-inflammatory</w:t>
            </w:r>
          </w:p>
        </w:tc>
        <w:tc>
          <w:tcPr>
            <w:tcW w:w="0" w:type="auto"/>
            <w:hideMark/>
          </w:tcPr>
          <w:p w14:paraId="66C68E7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Conforms to wound geometry; dual barrier and drug delivery</w:t>
            </w:r>
          </w:p>
        </w:tc>
        <w:tc>
          <w:tcPr>
            <w:tcW w:w="0" w:type="auto"/>
            <w:hideMark/>
          </w:tcPr>
          <w:p w14:paraId="6A538DA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Pawar et al. (2013); Boateng et al. (2008); Aderibigbe &amp; Buyana (2018)</w:t>
            </w:r>
          </w:p>
        </w:tc>
      </w:tr>
      <w:tr w:rsidR="009F5601" w:rsidRPr="009F5601" w14:paraId="238A43DD" w14:textId="77777777" w:rsidTr="00456AB7">
        <w:tc>
          <w:tcPr>
            <w:tcW w:w="0" w:type="auto"/>
            <w:hideMark/>
          </w:tcPr>
          <w:p w14:paraId="6A167DA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Dermatology</w:t>
            </w:r>
          </w:p>
        </w:tc>
        <w:tc>
          <w:tcPr>
            <w:tcW w:w="0" w:type="auto"/>
            <w:hideMark/>
          </w:tcPr>
          <w:p w14:paraId="7BDFB49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Inflammator</w:t>
            </w:r>
            <w:r w:rsidRPr="009F5601">
              <w:rPr>
                <w:rFonts w:ascii="Times New Roman" w:eastAsia="Times New Roman" w:hAnsi="Times New Roman" w:cs="Times New Roman"/>
                <w:sz w:val="24"/>
                <w:szCs w:val="24"/>
                <w:lang w:eastAsia="en-GB"/>
              </w:rPr>
              <w:lastRenderedPageBreak/>
              <w:t>y and infectious skin disease</w:t>
            </w:r>
          </w:p>
        </w:tc>
        <w:tc>
          <w:tcPr>
            <w:tcW w:w="0" w:type="auto"/>
            <w:hideMark/>
          </w:tcPr>
          <w:p w14:paraId="501F791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HPMC, EC, </w:t>
            </w:r>
            <w:r w:rsidRPr="009F5601">
              <w:rPr>
                <w:rFonts w:ascii="Times New Roman" w:eastAsia="Times New Roman" w:hAnsi="Times New Roman" w:cs="Times New Roman"/>
                <w:sz w:val="24"/>
                <w:szCs w:val="24"/>
                <w:lang w:eastAsia="en-GB"/>
              </w:rPr>
              <w:lastRenderedPageBreak/>
              <w:t>polymethacrylates</w:t>
            </w:r>
          </w:p>
        </w:tc>
        <w:tc>
          <w:tcPr>
            <w:tcW w:w="0" w:type="auto"/>
            <w:hideMark/>
          </w:tcPr>
          <w:p w14:paraId="627553C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Corticosteroids</w:t>
            </w:r>
            <w:r w:rsidRPr="009F5601">
              <w:rPr>
                <w:rFonts w:ascii="Times New Roman" w:eastAsia="Times New Roman" w:hAnsi="Times New Roman" w:cs="Times New Roman"/>
                <w:sz w:val="24"/>
                <w:szCs w:val="24"/>
                <w:lang w:eastAsia="en-GB"/>
              </w:rPr>
              <w:lastRenderedPageBreak/>
              <w:t>, antimycotics, immunomodulators</w:t>
            </w:r>
          </w:p>
        </w:tc>
        <w:tc>
          <w:tcPr>
            <w:tcW w:w="0" w:type="auto"/>
            <w:hideMark/>
          </w:tcPr>
          <w:p w14:paraId="4A1BCCC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Cosmeticall</w:t>
            </w:r>
            <w:r w:rsidRPr="009F5601">
              <w:rPr>
                <w:rFonts w:ascii="Times New Roman" w:eastAsia="Times New Roman" w:hAnsi="Times New Roman" w:cs="Times New Roman"/>
                <w:sz w:val="24"/>
                <w:szCs w:val="24"/>
                <w:lang w:eastAsia="en-GB"/>
              </w:rPr>
              <w:lastRenderedPageBreak/>
              <w:t>y acceptable; occlusion-augmented penetration</w:t>
            </w:r>
          </w:p>
        </w:tc>
        <w:tc>
          <w:tcPr>
            <w:tcW w:w="0" w:type="auto"/>
            <w:hideMark/>
          </w:tcPr>
          <w:p w14:paraId="278B3C05"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lastRenderedPageBreak/>
              <w:t>Nastiti</w:t>
            </w:r>
            <w:proofErr w:type="spellEnd"/>
            <w:r w:rsidRPr="009F5601">
              <w:rPr>
                <w:rFonts w:ascii="Times New Roman" w:eastAsia="Times New Roman" w:hAnsi="Times New Roman" w:cs="Times New Roman"/>
                <w:sz w:val="24"/>
                <w:szCs w:val="24"/>
                <w:lang w:eastAsia="en-GB"/>
              </w:rPr>
              <w:t xml:space="preserve"> et al. </w:t>
            </w:r>
            <w:r w:rsidRPr="009F5601">
              <w:rPr>
                <w:rFonts w:ascii="Times New Roman" w:eastAsia="Times New Roman" w:hAnsi="Times New Roman" w:cs="Times New Roman"/>
                <w:sz w:val="24"/>
                <w:szCs w:val="24"/>
                <w:lang w:eastAsia="en-GB"/>
              </w:rPr>
              <w:lastRenderedPageBreak/>
              <w:t>(2017); Williams &amp; Barry (2004); Zhang et al. (2013)</w:t>
            </w:r>
          </w:p>
        </w:tc>
      </w:tr>
      <w:tr w:rsidR="009F5601" w:rsidRPr="009F5601" w14:paraId="7AC943D2" w14:textId="77777777" w:rsidTr="00456AB7">
        <w:tc>
          <w:tcPr>
            <w:tcW w:w="0" w:type="auto"/>
            <w:hideMark/>
          </w:tcPr>
          <w:p w14:paraId="0A5A4A0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Nail delivery</w:t>
            </w:r>
          </w:p>
        </w:tc>
        <w:tc>
          <w:tcPr>
            <w:tcW w:w="0" w:type="auto"/>
            <w:hideMark/>
          </w:tcPr>
          <w:p w14:paraId="44D6D91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Onychomycosis, nail disease management</w:t>
            </w:r>
          </w:p>
        </w:tc>
        <w:tc>
          <w:tcPr>
            <w:tcW w:w="0" w:type="auto"/>
            <w:hideMark/>
          </w:tcPr>
          <w:p w14:paraId="01532C7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Film-forming lacquer polymers, HPMC</w:t>
            </w:r>
          </w:p>
        </w:tc>
        <w:tc>
          <w:tcPr>
            <w:tcW w:w="0" w:type="auto"/>
            <w:hideMark/>
          </w:tcPr>
          <w:p w14:paraId="6EDC796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Antifungals (ciclopirox, amorolfine, tavaborole)</w:t>
            </w:r>
          </w:p>
        </w:tc>
        <w:tc>
          <w:tcPr>
            <w:tcW w:w="0" w:type="auto"/>
            <w:hideMark/>
          </w:tcPr>
          <w:p w14:paraId="1B2B92B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adhesion and retention; hydration-augmented penetration</w:t>
            </w:r>
          </w:p>
        </w:tc>
        <w:tc>
          <w:tcPr>
            <w:tcW w:w="0" w:type="auto"/>
            <w:hideMark/>
          </w:tcPr>
          <w:p w14:paraId="71A8FB9A"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xml:space="preserve"> (2002); </w:t>
            </w:r>
            <w:proofErr w:type="spellStart"/>
            <w:r w:rsidRPr="009F5601">
              <w:rPr>
                <w:rFonts w:ascii="Times New Roman" w:eastAsia="Times New Roman" w:hAnsi="Times New Roman" w:cs="Times New Roman"/>
                <w:sz w:val="24"/>
                <w:szCs w:val="24"/>
                <w:lang w:eastAsia="en-GB"/>
              </w:rPr>
              <w:t>Gunt</w:t>
            </w:r>
            <w:proofErr w:type="spellEnd"/>
            <w:r w:rsidRPr="009F5601">
              <w:rPr>
                <w:rFonts w:ascii="Times New Roman" w:eastAsia="Times New Roman" w:hAnsi="Times New Roman" w:cs="Times New Roman"/>
                <w:sz w:val="24"/>
                <w:szCs w:val="24"/>
                <w:lang w:eastAsia="en-GB"/>
              </w:rPr>
              <w:t xml:space="preserve"> &amp; Kasting (2007)</w:t>
            </w:r>
          </w:p>
        </w:tc>
      </w:tr>
      <w:tr w:rsidR="009F5601" w:rsidRPr="009F5601" w14:paraId="1D1EC0BD" w14:textId="77777777" w:rsidTr="00456AB7">
        <w:tc>
          <w:tcPr>
            <w:tcW w:w="0" w:type="auto"/>
            <w:hideMark/>
          </w:tcPr>
          <w:p w14:paraId="163BB95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Buccal/sublingual</w:t>
            </w:r>
          </w:p>
        </w:tc>
        <w:tc>
          <w:tcPr>
            <w:tcW w:w="0" w:type="auto"/>
            <w:hideMark/>
          </w:tcPr>
          <w:p w14:paraId="0C410CC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Systemic delivery, first-pass bypass</w:t>
            </w:r>
          </w:p>
        </w:tc>
        <w:tc>
          <w:tcPr>
            <w:tcW w:w="0" w:type="auto"/>
            <w:hideMark/>
          </w:tcPr>
          <w:p w14:paraId="3694ED0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 HPC, HPMC, carbomers</w:t>
            </w:r>
          </w:p>
        </w:tc>
        <w:tc>
          <w:tcPr>
            <w:tcW w:w="0" w:type="auto"/>
            <w:hideMark/>
          </w:tcPr>
          <w:p w14:paraId="0A5666F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Analgesics, antihypertensives, antiemetics</w:t>
            </w:r>
          </w:p>
        </w:tc>
        <w:tc>
          <w:tcPr>
            <w:tcW w:w="0" w:type="auto"/>
            <w:hideMark/>
          </w:tcPr>
          <w:p w14:paraId="2FB7B18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Rapid onset; improved bioavailability; convenience</w:t>
            </w:r>
          </w:p>
        </w:tc>
        <w:tc>
          <w:tcPr>
            <w:tcW w:w="0" w:type="auto"/>
            <w:hideMark/>
          </w:tcPr>
          <w:p w14:paraId="35230FB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Morales &amp; McConville (2011); Smart (2005); Dixit &amp; Puthli (2009); Dinge &amp; </w:t>
            </w:r>
            <w:proofErr w:type="spellStart"/>
            <w:r w:rsidRPr="009F5601">
              <w:rPr>
                <w:rFonts w:ascii="Times New Roman" w:eastAsia="Times New Roman" w:hAnsi="Times New Roman" w:cs="Times New Roman"/>
                <w:sz w:val="24"/>
                <w:szCs w:val="24"/>
                <w:lang w:eastAsia="en-GB"/>
              </w:rPr>
              <w:t>Nagarsenker</w:t>
            </w:r>
            <w:proofErr w:type="spellEnd"/>
            <w:r w:rsidRPr="009F5601">
              <w:rPr>
                <w:rFonts w:ascii="Times New Roman" w:eastAsia="Times New Roman" w:hAnsi="Times New Roman" w:cs="Times New Roman"/>
                <w:sz w:val="24"/>
                <w:szCs w:val="24"/>
                <w:lang w:eastAsia="en-GB"/>
              </w:rPr>
              <w:t xml:space="preserve"> (2008)</w:t>
            </w:r>
          </w:p>
        </w:tc>
      </w:tr>
      <w:tr w:rsidR="009F5601" w:rsidRPr="009F5601" w14:paraId="0AB58E86" w14:textId="77777777" w:rsidTr="00456AB7">
        <w:tc>
          <w:tcPr>
            <w:tcW w:w="0" w:type="auto"/>
            <w:hideMark/>
          </w:tcPr>
          <w:p w14:paraId="3FD4E3A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Nasal mucosal</w:t>
            </w:r>
          </w:p>
        </w:tc>
        <w:tc>
          <w:tcPr>
            <w:tcW w:w="0" w:type="auto"/>
            <w:hideMark/>
          </w:tcPr>
          <w:p w14:paraId="652E8B6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Local and systemic nasal therapy</w:t>
            </w:r>
          </w:p>
        </w:tc>
        <w:tc>
          <w:tcPr>
            <w:tcW w:w="0" w:type="auto"/>
            <w:hideMark/>
          </w:tcPr>
          <w:p w14:paraId="45A7EE4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Chitosan, </w:t>
            </w:r>
            <w:proofErr w:type="spellStart"/>
            <w:r w:rsidRPr="009F5601">
              <w:rPr>
                <w:rFonts w:ascii="Times New Roman" w:eastAsia="Times New Roman" w:hAnsi="Times New Roman" w:cs="Times New Roman"/>
                <w:sz w:val="24"/>
                <w:szCs w:val="24"/>
                <w:lang w:eastAsia="en-GB"/>
              </w:rPr>
              <w:t>carbopol</w:t>
            </w:r>
            <w:proofErr w:type="spellEnd"/>
            <w:r w:rsidRPr="009F5601">
              <w:rPr>
                <w:rFonts w:ascii="Times New Roman" w:eastAsia="Times New Roman" w:hAnsi="Times New Roman" w:cs="Times New Roman"/>
                <w:sz w:val="24"/>
                <w:szCs w:val="24"/>
                <w:lang w:eastAsia="en-GB"/>
              </w:rPr>
              <w:t>, HPMC</w:t>
            </w:r>
          </w:p>
        </w:tc>
        <w:tc>
          <w:tcPr>
            <w:tcW w:w="0" w:type="auto"/>
            <w:hideMark/>
          </w:tcPr>
          <w:p w14:paraId="566CE22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Corticosteroids, antihistamines, vaccines</w:t>
            </w:r>
          </w:p>
        </w:tc>
        <w:tc>
          <w:tcPr>
            <w:tcW w:w="0" w:type="auto"/>
            <w:hideMark/>
          </w:tcPr>
          <w:p w14:paraId="2A2D9DA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nasal residence; nose-to-brain delivery potential</w:t>
            </w:r>
          </w:p>
        </w:tc>
        <w:tc>
          <w:tcPr>
            <w:tcW w:w="0" w:type="auto"/>
            <w:hideMark/>
          </w:tcPr>
          <w:p w14:paraId="3306108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Illum (2003); Hamman (2010)</w:t>
            </w:r>
          </w:p>
        </w:tc>
      </w:tr>
      <w:tr w:rsidR="009F5601" w:rsidRPr="009F5601" w14:paraId="09AAEA3A" w14:textId="77777777" w:rsidTr="00456AB7">
        <w:tc>
          <w:tcPr>
            <w:tcW w:w="0" w:type="auto"/>
            <w:hideMark/>
          </w:tcPr>
          <w:p w14:paraId="72295EF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Ocular</w:t>
            </w:r>
          </w:p>
        </w:tc>
        <w:tc>
          <w:tcPr>
            <w:tcW w:w="0" w:type="auto"/>
            <w:hideMark/>
          </w:tcPr>
          <w:p w14:paraId="382D94C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Corneal and conjunctival delivery</w:t>
            </w:r>
          </w:p>
        </w:tc>
        <w:tc>
          <w:tcPr>
            <w:tcW w:w="0" w:type="auto"/>
            <w:hideMark/>
          </w:tcPr>
          <w:p w14:paraId="47B18F2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PVA</w:t>
            </w:r>
          </w:p>
        </w:tc>
        <w:tc>
          <w:tcPr>
            <w:tcW w:w="0" w:type="auto"/>
            <w:hideMark/>
          </w:tcPr>
          <w:p w14:paraId="01CDA47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Antibiotics, anti-inflammatories, lubricants</w:t>
            </w:r>
          </w:p>
        </w:tc>
        <w:tc>
          <w:tcPr>
            <w:tcW w:w="0" w:type="auto"/>
            <w:hideMark/>
          </w:tcPr>
          <w:p w14:paraId="492BF04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Improved compliance; extended precorneal contact time</w:t>
            </w:r>
          </w:p>
        </w:tc>
        <w:tc>
          <w:tcPr>
            <w:tcW w:w="0" w:type="auto"/>
            <w:hideMark/>
          </w:tcPr>
          <w:p w14:paraId="35AEB036"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Gaudana</w:t>
            </w:r>
            <w:proofErr w:type="spellEnd"/>
            <w:r w:rsidRPr="009F5601">
              <w:rPr>
                <w:rFonts w:ascii="Times New Roman" w:eastAsia="Times New Roman" w:hAnsi="Times New Roman" w:cs="Times New Roman"/>
                <w:sz w:val="24"/>
                <w:szCs w:val="24"/>
                <w:lang w:eastAsia="en-GB"/>
              </w:rPr>
              <w:t xml:space="preserve"> et al. (2010);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w:t>
            </w:r>
          </w:p>
        </w:tc>
      </w:tr>
    </w:tbl>
    <w:p w14:paraId="7CE8680B"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Pawar et al. (2013); Boateng et al. (2008); Aderibigbe &amp; Buyana (2018); </w:t>
      </w:r>
      <w:proofErr w:type="spellStart"/>
      <w:r w:rsidRPr="009F5601">
        <w:rPr>
          <w:rFonts w:ascii="Times New Roman" w:eastAsia="Times New Roman" w:hAnsi="Times New Roman" w:cs="Times New Roman"/>
          <w:i/>
          <w:iCs/>
          <w:sz w:val="24"/>
          <w:szCs w:val="24"/>
          <w:lang w:eastAsia="en-GB"/>
        </w:rPr>
        <w:t>Nastiti</w:t>
      </w:r>
      <w:proofErr w:type="spellEnd"/>
      <w:r w:rsidRPr="009F5601">
        <w:rPr>
          <w:rFonts w:ascii="Times New Roman" w:eastAsia="Times New Roman" w:hAnsi="Times New Roman" w:cs="Times New Roman"/>
          <w:i/>
          <w:iCs/>
          <w:sz w:val="24"/>
          <w:szCs w:val="24"/>
          <w:lang w:eastAsia="en-GB"/>
        </w:rPr>
        <w:t xml:space="preserve"> et al. (2017); Williams &amp; Barry (2004); Zhang et al. (2013); </w:t>
      </w:r>
      <w:proofErr w:type="spellStart"/>
      <w:r w:rsidRPr="009F5601">
        <w:rPr>
          <w:rFonts w:ascii="Times New Roman" w:eastAsia="Times New Roman" w:hAnsi="Times New Roman" w:cs="Times New Roman"/>
          <w:i/>
          <w:iCs/>
          <w:sz w:val="24"/>
          <w:szCs w:val="24"/>
          <w:lang w:eastAsia="en-GB"/>
        </w:rPr>
        <w:t>Murdan</w:t>
      </w:r>
      <w:proofErr w:type="spellEnd"/>
      <w:r w:rsidRPr="009F5601">
        <w:rPr>
          <w:rFonts w:ascii="Times New Roman" w:eastAsia="Times New Roman" w:hAnsi="Times New Roman" w:cs="Times New Roman"/>
          <w:i/>
          <w:iCs/>
          <w:sz w:val="24"/>
          <w:szCs w:val="24"/>
          <w:lang w:eastAsia="en-GB"/>
        </w:rPr>
        <w:t xml:space="preserve"> (2002); </w:t>
      </w:r>
      <w:proofErr w:type="spellStart"/>
      <w:r w:rsidRPr="009F5601">
        <w:rPr>
          <w:rFonts w:ascii="Times New Roman" w:eastAsia="Times New Roman" w:hAnsi="Times New Roman" w:cs="Times New Roman"/>
          <w:i/>
          <w:iCs/>
          <w:sz w:val="24"/>
          <w:szCs w:val="24"/>
          <w:lang w:eastAsia="en-GB"/>
        </w:rPr>
        <w:t>Gunt</w:t>
      </w:r>
      <w:proofErr w:type="spellEnd"/>
      <w:r w:rsidRPr="009F5601">
        <w:rPr>
          <w:rFonts w:ascii="Times New Roman" w:eastAsia="Times New Roman" w:hAnsi="Times New Roman" w:cs="Times New Roman"/>
          <w:i/>
          <w:iCs/>
          <w:sz w:val="24"/>
          <w:szCs w:val="24"/>
          <w:lang w:eastAsia="en-GB"/>
        </w:rPr>
        <w:t xml:space="preserve"> &amp; Kasting (2007); Morales &amp; McConville (2011); Smart (2005); Dixit &amp; Puthli (2009); Dinge &amp; </w:t>
      </w:r>
      <w:proofErr w:type="spellStart"/>
      <w:r w:rsidRPr="009F5601">
        <w:rPr>
          <w:rFonts w:ascii="Times New Roman" w:eastAsia="Times New Roman" w:hAnsi="Times New Roman" w:cs="Times New Roman"/>
          <w:i/>
          <w:iCs/>
          <w:sz w:val="24"/>
          <w:szCs w:val="24"/>
          <w:lang w:eastAsia="en-GB"/>
        </w:rPr>
        <w:t>Nagarsenker</w:t>
      </w:r>
      <w:proofErr w:type="spellEnd"/>
      <w:r w:rsidRPr="009F5601">
        <w:rPr>
          <w:rFonts w:ascii="Times New Roman" w:eastAsia="Times New Roman" w:hAnsi="Times New Roman" w:cs="Times New Roman"/>
          <w:i/>
          <w:iCs/>
          <w:sz w:val="24"/>
          <w:szCs w:val="24"/>
          <w:lang w:eastAsia="en-GB"/>
        </w:rPr>
        <w:t xml:space="preserve"> (2008); Illum (2003); Hamman (2010); </w:t>
      </w:r>
      <w:proofErr w:type="spellStart"/>
      <w:r w:rsidRPr="009F5601">
        <w:rPr>
          <w:rFonts w:ascii="Times New Roman" w:eastAsia="Times New Roman" w:hAnsi="Times New Roman" w:cs="Times New Roman"/>
          <w:i/>
          <w:iCs/>
          <w:sz w:val="24"/>
          <w:szCs w:val="24"/>
          <w:lang w:eastAsia="en-GB"/>
        </w:rPr>
        <w:t>Gaudana</w:t>
      </w:r>
      <w:proofErr w:type="spellEnd"/>
      <w:r w:rsidRPr="009F5601">
        <w:rPr>
          <w:rFonts w:ascii="Times New Roman" w:eastAsia="Times New Roman" w:hAnsi="Times New Roman" w:cs="Times New Roman"/>
          <w:i/>
          <w:iCs/>
          <w:sz w:val="24"/>
          <w:szCs w:val="24"/>
          <w:lang w:eastAsia="en-GB"/>
        </w:rPr>
        <w:t xml:space="preserve"> et al. (2010); </w:t>
      </w:r>
      <w:proofErr w:type="spellStart"/>
      <w:r w:rsidRPr="009F5601">
        <w:rPr>
          <w:rFonts w:ascii="Times New Roman" w:eastAsia="Times New Roman" w:hAnsi="Times New Roman" w:cs="Times New Roman"/>
          <w:i/>
          <w:iCs/>
          <w:sz w:val="24"/>
          <w:szCs w:val="24"/>
          <w:lang w:eastAsia="en-GB"/>
        </w:rPr>
        <w:t>DeMerlis</w:t>
      </w:r>
      <w:proofErr w:type="spellEnd"/>
      <w:r w:rsidRPr="009F5601">
        <w:rPr>
          <w:rFonts w:ascii="Times New Roman" w:eastAsia="Times New Roman" w:hAnsi="Times New Roman" w:cs="Times New Roman"/>
          <w:i/>
          <w:iCs/>
          <w:sz w:val="24"/>
          <w:szCs w:val="24"/>
          <w:lang w:eastAsia="en-GB"/>
        </w:rPr>
        <w:t xml:space="preserve"> &amp; </w:t>
      </w:r>
      <w:proofErr w:type="spellStart"/>
      <w:r w:rsidRPr="009F5601">
        <w:rPr>
          <w:rFonts w:ascii="Times New Roman" w:eastAsia="Times New Roman" w:hAnsi="Times New Roman" w:cs="Times New Roman"/>
          <w:i/>
          <w:iCs/>
          <w:sz w:val="24"/>
          <w:szCs w:val="24"/>
          <w:lang w:eastAsia="en-GB"/>
        </w:rPr>
        <w:t>Schoneker</w:t>
      </w:r>
      <w:proofErr w:type="spellEnd"/>
      <w:r w:rsidRPr="009F5601">
        <w:rPr>
          <w:rFonts w:ascii="Times New Roman" w:eastAsia="Times New Roman" w:hAnsi="Times New Roman" w:cs="Times New Roman"/>
          <w:i/>
          <w:iCs/>
          <w:sz w:val="24"/>
          <w:szCs w:val="24"/>
          <w:lang w:eastAsia="en-GB"/>
        </w:rPr>
        <w:t xml:space="preserve"> (2003).</w:t>
      </w:r>
    </w:p>
    <w:p w14:paraId="7AEC57F1"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57F6B2C2"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7. Characterisation and Quality Control</w:t>
      </w:r>
    </w:p>
    <w:p w14:paraId="2E34A035"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7.1 Physical and Mechanical Characterisation</w:t>
      </w:r>
    </w:p>
    <w:p w14:paraId="33F2E207"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The characterisation of FFS formulations encompasses two distinct phases: evaluation of the spray formulation in its liquid state, and assessment of the film formed upon application to the intended substrate. Spray characterisation—including droplet size distribution, spray pattern geometry, plume characteristics, and uniformity of delivered dose per actuation—is required to establish that the atomisation process is reproducible and appropriate for the intended application surface. Laser diffraction is the standard technique for droplet size measurement, whilst phase Doppler interferometry and optical spray pattern analysis provide complementary information on droplet velocity and spatial distribution within the plume. Uniformity of dose delivered per spray actuation, determined gravimetrically across a representative series of actuations, is a primary quality attribute with direct implications for dose consistency and clinical predictability.</w:t>
      </w:r>
    </w:p>
    <w:p w14:paraId="07D5F90B"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Following deposition and solvent evaporation, the mechanical properties of the resultant film are assessed by tensile testing, yielding parameters of tensile strength, elongation at break, and elastic modulus. For wound care FFS in particular, elongation at break is a critical attribute: the film must accommodate the mechanical deformation associated with normal bodily movement without fracture or delamination, making adequate flexibility non-negotiable (Repka &amp; McGinity, 2000). Film thickness, measured by profilometry or micrometry on free-standing films cast under controlled conditions, determines drug loading per unit area and is an indirect predictor of drug reservoir capacity and release duration. Adhesion to biological substrates is assessed by peel testing or lap shear methods using excised tissue or tissue </w:t>
      </w:r>
      <w:proofErr w:type="spellStart"/>
      <w:r w:rsidRPr="009F5601">
        <w:rPr>
          <w:rFonts w:ascii="Times New Roman" w:eastAsia="Times New Roman" w:hAnsi="Times New Roman" w:cs="Times New Roman"/>
          <w:sz w:val="24"/>
          <w:szCs w:val="24"/>
          <w:lang w:eastAsia="en-GB"/>
        </w:rPr>
        <w:t>analog</w:t>
      </w:r>
      <w:proofErr w:type="spellEnd"/>
      <w:r w:rsidRPr="009F5601">
        <w:rPr>
          <w:rFonts w:ascii="Times New Roman" w:eastAsia="Times New Roman" w:hAnsi="Times New Roman" w:cs="Times New Roman"/>
          <w:sz w:val="24"/>
          <w:szCs w:val="24"/>
          <w:lang w:eastAsia="en-GB"/>
        </w:rPr>
        <w:t xml:space="preserve"> surfaces, and moisture vapour transmission rate is quantified gravimetrically to characterise the occlusive character of the film (Boateng &amp; Catanzano, 2015). Differential scanning calorimetry and X-ray powder diffraction are employed to characterise the physical state of polymer and drug within the film, detect phase transitions, and confirm the absence of unintended drug crystallinity—a critical concern for poorly soluble APIs in amorphous formulations (</w:t>
      </w:r>
      <w:proofErr w:type="spellStart"/>
      <w:r w:rsidRPr="009F5601">
        <w:rPr>
          <w:rFonts w:ascii="Times New Roman" w:eastAsia="Times New Roman" w:hAnsi="Times New Roman" w:cs="Times New Roman"/>
          <w:sz w:val="24"/>
          <w:szCs w:val="24"/>
          <w:lang w:eastAsia="en-GB"/>
        </w:rPr>
        <w:t>Hadgraft</w:t>
      </w:r>
      <w:proofErr w:type="spellEnd"/>
      <w:r w:rsidRPr="009F5601">
        <w:rPr>
          <w:rFonts w:ascii="Times New Roman" w:eastAsia="Times New Roman" w:hAnsi="Times New Roman" w:cs="Times New Roman"/>
          <w:sz w:val="24"/>
          <w:szCs w:val="24"/>
          <w:lang w:eastAsia="en-GB"/>
        </w:rPr>
        <w:t xml:space="preserve"> &amp; Lane, 2016).</w:t>
      </w:r>
    </w:p>
    <w:p w14:paraId="36BFCDF3"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7.2 Drug Release Testing</w:t>
      </w:r>
    </w:p>
    <w:p w14:paraId="774CAA8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In vitro drug release testing from FFS presents methodological challenges distinct from those encountered with conventional oral dosage forms. The Franz diffusion cell, in which the film is applied to the donor surface of a synthetic or biological membrane whilst the receptor compartment is sampled at defined time intervals, is the most widely adopted apparatus for FFS drug release characterisation (Boateng &amp; Catanzano, 2015). The choice of membrane profoundly influences the measured release profile: synthetic membranes—cellulose acetate, </w:t>
      </w:r>
      <w:proofErr w:type="spellStart"/>
      <w:r w:rsidRPr="009F5601">
        <w:rPr>
          <w:rFonts w:ascii="Times New Roman" w:eastAsia="Times New Roman" w:hAnsi="Times New Roman" w:cs="Times New Roman"/>
          <w:sz w:val="24"/>
          <w:szCs w:val="24"/>
          <w:lang w:eastAsia="en-GB"/>
        </w:rPr>
        <w:t>polysulfone</w:t>
      </w:r>
      <w:proofErr w:type="spellEnd"/>
      <w:r w:rsidRPr="009F5601">
        <w:rPr>
          <w:rFonts w:ascii="Times New Roman" w:eastAsia="Times New Roman" w:hAnsi="Times New Roman" w:cs="Times New Roman"/>
          <w:sz w:val="24"/>
          <w:szCs w:val="24"/>
          <w:lang w:eastAsia="en-GB"/>
        </w:rPr>
        <w:t xml:space="preserve">, and silicone—provide reproducible physical barriers suitable for comparative formulation studies, whilst excised porcine or human skin offers greater physiological relevance at the cost of increased inter-donor variability. For nail formulations, excised human nail clippings serve as the standard membrane model, enabling direct measurement of </w:t>
      </w:r>
      <w:proofErr w:type="spellStart"/>
      <w:r w:rsidRPr="009F5601">
        <w:rPr>
          <w:rFonts w:ascii="Times New Roman" w:eastAsia="Times New Roman" w:hAnsi="Times New Roman" w:cs="Times New Roman"/>
          <w:sz w:val="24"/>
          <w:szCs w:val="24"/>
          <w:lang w:eastAsia="en-GB"/>
        </w:rPr>
        <w:t>transonychial</w:t>
      </w:r>
      <w:proofErr w:type="spellEnd"/>
      <w:r w:rsidRPr="009F5601">
        <w:rPr>
          <w:rFonts w:ascii="Times New Roman" w:eastAsia="Times New Roman" w:hAnsi="Times New Roman" w:cs="Times New Roman"/>
          <w:sz w:val="24"/>
          <w:szCs w:val="24"/>
          <w:lang w:eastAsia="en-GB"/>
        </w:rPr>
        <w:t xml:space="preserve"> drug permeation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The interpretation of release profiles in terms of operative mechanisms is facilitated by the power law modelling framework (Ritger &amp; Peppas, 1987), and comparative dissolution profiling using similarity factors provides a statistically grounded approach for formulation comparison in development and regulatory contexts (Costa &amp; Lobo, 2001).</w:t>
      </w:r>
    </w:p>
    <w:p w14:paraId="533719A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7.3 In Vitro and In Vivo Performance Evaluation</w:t>
      </w:r>
    </w:p>
    <w:p w14:paraId="03DF9AB3"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Skin permeation studies conducted in Franz cells using excised human or porcine skin provide data on the cutaneous bioavailability achievable with a given FFS formulation and </w:t>
      </w:r>
      <w:r w:rsidRPr="009F5601">
        <w:rPr>
          <w:rFonts w:ascii="Times New Roman" w:eastAsia="Times New Roman" w:hAnsi="Times New Roman" w:cs="Times New Roman"/>
          <w:sz w:val="24"/>
          <w:szCs w:val="24"/>
          <w:lang w:eastAsia="en-GB"/>
        </w:rPr>
        <w:lastRenderedPageBreak/>
        <w:t>form a standard component of the preclinical characterisation package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The tape-stripping technique—applied sequentially to the skin surface following formulation exposure, followed by extraction and quantification of drug from individual tape strips—enables reconstruction of the drug concentration profile through the stratum corneum and distinguishes between epidermal drug retention and dermal penetration. Confocal laser scanning microscopy and two-photon microscopy are increasingly employed to visualise drug and fluorescent probe distribution within the skin following FFS application, providing spatial resolution not achievable by extraction-based methods.</w:t>
      </w:r>
    </w:p>
    <w:p w14:paraId="343E6AA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vivo efficacy studies in relevant animal models—murine excision wound models for wound care FFS and murine or guinea pig skin inflammation models for dermatological applications—provide proof-of-concept data supporting the transition towards clinical investigation. Given the acknowledged limitations of rodent models in predicting human wound healing outcomes, these results are most valuably interpreted alongside in vitro mechanistic data rather than as primary evidence of human clinical efficacy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 The establishment of validated in vitro–in vivo correlations for FFS remains a significant outstanding challenge, as discussed in Section 10.</w:t>
      </w:r>
    </w:p>
    <w:p w14:paraId="598DF676"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3634E163"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8. Regulatory Considerations</w:t>
      </w:r>
    </w:p>
    <w:p w14:paraId="25B7689C"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8.1 Classification and Regulatory Pathway</w:t>
      </w:r>
    </w:p>
    <w:p w14:paraId="0834F3C1"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regulatory status of FFS products varies according to their intended use, the nature of their active components, and the claimed therapeutic function. Products applied to the skin or mucosa with an explicit therapeutic claim are classified as topical drug products, subject to the pharmaceutical quality requirements applicable to semi-solid dosage forms. In the European Union, quality requirements for topical drug products including film-forming preparations are addressed within existing pharmaceutical quality guidelines, with the EMA guideline on quality of transdermal patches providing relevant technical precedents for membrane-based and film-forming systems (European Medicines Agency, 2014). In the United States, the FDA's framework for topical drug products requires demonstration of adequate bioavailability, bioequivalence where applicable, and in vitro release performance demonstrating consistency of drug delivery (U.S. Food and Drug Administration, </w:t>
      </w:r>
      <w:r w:rsidR="00456AB7">
        <w:rPr>
          <w:rFonts w:ascii="Times New Roman" w:eastAsia="Times New Roman" w:hAnsi="Times New Roman" w:cs="Times New Roman"/>
          <w:sz w:val="24"/>
          <w:szCs w:val="24"/>
          <w:lang w:eastAsia="en-GB"/>
        </w:rPr>
        <w:t>1998</w:t>
      </w:r>
      <w:r w:rsidRPr="009F5601">
        <w:rPr>
          <w:rFonts w:ascii="Times New Roman" w:eastAsia="Times New Roman" w:hAnsi="Times New Roman" w:cs="Times New Roman"/>
          <w:sz w:val="24"/>
          <w:szCs w:val="24"/>
          <w:lang w:eastAsia="en-GB"/>
        </w:rPr>
        <w:t>).</w:t>
      </w:r>
    </w:p>
    <w:p w14:paraId="7277E6BC"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classification of a given FFS as a drug product versus a medical device—particularly relevant for wound care film sprays incorporating antimicrobial agents—depends on the concentration of the active substance and the nature of the labelled therapeutic claim. Film sprays making explicit antimicrobial therapeutic claims at pharmacologically active drug concentrations will generally be classified as drug products and subject to the full pharmaceutical quality development dossier. Those providing only passive barrier or wound management functions without a pharmacological active may qualify as medical devices, triggering a distinct regulatory pathway with different technical data requirements. The ICH Q8(R2) guideline on Pharmaceutical Development constitutes the key regulatory framework for quality-by-design approaches in FFS product development, advocating systematic characterisation of the relationship between formulation variables and critical quality attributes through well-designed experimental programmes (International Council for Harmonisation, 2009). Application of these principles—through design of experiments, response surface modelling, and defined design spaces—is increasingly expected by </w:t>
      </w:r>
      <w:r w:rsidRPr="009F5601">
        <w:rPr>
          <w:rFonts w:ascii="Times New Roman" w:eastAsia="Times New Roman" w:hAnsi="Times New Roman" w:cs="Times New Roman"/>
          <w:sz w:val="24"/>
          <w:szCs w:val="24"/>
          <w:lang w:eastAsia="en-GB"/>
        </w:rPr>
        <w:lastRenderedPageBreak/>
        <w:t>regulatory authorities and constitutes the scientific rigour necessary for robust product performance claims.</w:t>
      </w:r>
    </w:p>
    <w:p w14:paraId="7CDBC044"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8.2 Safety and Biocompatibility</w:t>
      </w:r>
    </w:p>
    <w:p w14:paraId="156BE837"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safety profile of FFS formulations is determined by the combined toxicological profiles of all components: polymer, solvent, plasticiser, permeation enhancer, preservative, and API. Cellulose derivatives, polymethacrylates, and PVA have well-established safety records in pharmaceutical applications, supported by extensive clinical use in oral formulations and human data from topical applications on intact skin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2003). Chitosan and alginate carry similarly strong biocompatibility credentials, with chitosan's biodegradation products being naturally occurring glucosamine residues of minimal toxicological concern (Dash et al., 2011).</w:t>
      </w:r>
    </w:p>
    <w:p w14:paraId="67B85507"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Solvents present a more complex safety profile. Ethanol, the most widely used co-solvent in FFS, is accepted in topical formulations at concentrations that do not cause undue irritation to intact skin, but its use must be carefully justified and limited for formulations applied to broken, inflamed, or macerated skin where systemic absorption through the disrupted barrier may be significantly higher than usual (Williams &amp; Barry, 2004). The penetration-enhancing properties of chemical excipients, whilst therapeutically advantageous, are also potential sources of sensitisation and irritation, particularly upon repeated application to the same site. Standard dermal safety protocols—including maximisation tests and human repeat insult patch tests—are required to characterise the irritation and sensitisation potential of the complete formulation under conditions representative of intended clinical use. For wound care applications, cytotoxicity testing on relevant cell types (keratinocytes, dermal fibroblasts) is an additional safety datum of direct clinical relevance, and the impact of formulation excipients on wound healing biology must be systematically assessed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w:t>
      </w:r>
    </w:p>
    <w:p w14:paraId="25A2DF96"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74684280"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9. Recent Advances and Future Directions</w:t>
      </w:r>
    </w:p>
    <w:p w14:paraId="5ECC0D80"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9.1 Nanotechnology-Integrated Film-Forming Sprays</w:t>
      </w:r>
    </w:p>
    <w:p w14:paraId="552EE20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integration of nanotechnology into FFS represents arguably the most active current area of development within the field. NLCs embedded within polymeric film matrices offer several advantages over their SLN predecessors, including greater drug loading capacity, reduced drug expulsion during storage owing to the less ordered lipid matrix, and enhanced skin interaction properties attributable to the liquid lipid component (Pardeike et al., 2009). NLC-loaded FFS have demonstrated enhanced in vitro skin permeation of anti-inflammatory drugs and antifungals compared to conventional dispersions alone, suggesting a synergistic contribution from both the film occlusive effect and nanocarrier-mediated penetration enhancement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w:t>
      </w:r>
    </w:p>
    <w:p w14:paraId="02A13FE5"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Polymeric nanoparticles based on PLGA and polylactic acid incorporated within wound care FFS achieve extended antimicrobial drug release, with nanoparticles acting as depots whose progressive degradation releases antibiotic into the wound environment over days to weeks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Makadia &amp; Siegel, 2011). This approach is particularly appealing for the management of chronic wound biofilm, where continuous exposure to adequate antibiotic </w:t>
      </w:r>
      <w:r w:rsidRPr="009F5601">
        <w:rPr>
          <w:rFonts w:ascii="Times New Roman" w:eastAsia="Times New Roman" w:hAnsi="Times New Roman" w:cs="Times New Roman"/>
          <w:sz w:val="24"/>
          <w:szCs w:val="24"/>
          <w:lang w:eastAsia="en-GB"/>
        </w:rPr>
        <w:lastRenderedPageBreak/>
        <w:t xml:space="preserve">concentrations over extended periods may be required to achieve meaningful bacterial reduction (Percival et al., 2015). The enhanced skin penetration properties of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 xml:space="preserve">, first thoroughly characterised by Touitou et al. (2000) through comparison with conventional liposomes, make them attractive candidates for incorporation within polymeric FFS matrices to augment dermal drug delivery—an area that warrants further systematic investigation for drugs with limited passive permeation. Spray drying of nanoparticle-loaded polymer solutions constitutes a scalable manufacturing route to dry, </w:t>
      </w:r>
      <w:proofErr w:type="spellStart"/>
      <w:r w:rsidRPr="009F5601">
        <w:rPr>
          <w:rFonts w:ascii="Times New Roman" w:eastAsia="Times New Roman" w:hAnsi="Times New Roman" w:cs="Times New Roman"/>
          <w:sz w:val="24"/>
          <w:szCs w:val="24"/>
          <w:lang w:eastAsia="en-GB"/>
        </w:rPr>
        <w:t>reconstitutable</w:t>
      </w:r>
      <w:proofErr w:type="spellEnd"/>
      <w:r w:rsidRPr="009F5601">
        <w:rPr>
          <w:rFonts w:ascii="Times New Roman" w:eastAsia="Times New Roman" w:hAnsi="Times New Roman" w:cs="Times New Roman"/>
          <w:sz w:val="24"/>
          <w:szCs w:val="24"/>
          <w:lang w:eastAsia="en-GB"/>
        </w:rPr>
        <w:t xml:space="preserve"> nanocomposite FFS materials that address the colloidal stability limitations of liquid nanoparticle dispersions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w:t>
      </w:r>
    </w:p>
    <w:p w14:paraId="7F1CED82"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9.2 Stimuli-Responsive Film-Forming Systems</w:t>
      </w:r>
    </w:p>
    <w:p w14:paraId="13D092B6"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development of FFS that respond to physical or chemical stimuli present at the application site represents a conceptually rich frontier in the field. Temperature-triggered gelation, exploiting the LCST behaviour of </w:t>
      </w: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polymers, enables formulations to remain in a sprayable low-viscosity state at ambient temperature and consolidate rapidly into a film upon contact with the warmer skin surface (Ward &amp; Georgiou, 2011). This principle offers the theoretical advantage of improved film uniformity compared to evaporation-only systems, particularly over highly irregular topographies.</w:t>
      </w:r>
    </w:p>
    <w:p w14:paraId="43990BAF"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pH-responsive polymer systems, whose dissolution or swelling behaviour is governed by the protonation state of pendant ionisable groups, can provide intrinsically self-regulating drug release from FFS matrices tuned to respond to the pH gradients characteristic of wound healing progression. The broader landscape of stimuli-responsive polymer applications—encompassing pH, temperature, light, and redox triggers across a diverse range of biomedical scenarios—has been comprehensively catalogued by Stuart et al. (2010), and the translation of these principles into FFS design offers substantial future opportunities. Reactive oxygen species (ROS)-responsive formulations, exploiting the oxidative environment of inflamed and infected wounds to trigger drug release from ROS-sensitive polymer linkages or nanoparticle coatings, represent a more recent development that aligns pharmaceutical release mechanisms with the underlying biochemistry of wound pathology.</w:t>
      </w:r>
    </w:p>
    <w:p w14:paraId="616221EC"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9.3 Advanced Manufacturing and Digital Technologies</w:t>
      </w:r>
    </w:p>
    <w:p w14:paraId="0CBC436A"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Additive manufacturing, and specifically three-dimensional printing, is beginning to influence the design and fabrication of film-based drug delivery systems (</w:t>
      </w: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 Whilst direct three-dimensional printing of FFS as a commercial dosage form is not yet widely reported, the principles of precision material deposition and layer-by-layer fabrication that characterise this technology are directly relevant to the development of multi-layered or spatially patterned film systems with defined drug gradients. Inkjet printing of drug-loaded polymeric solutions onto biological surfaces is a conceptually related technology that has demonstrated the feasibility of applying precise, programmable patterns of drug-containing film to wound surfaces, raising the prospect of patient-specific dosing guided by wound geometry and clinical severity.</w:t>
      </w:r>
    </w:p>
    <w:p w14:paraId="2D72E378"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Spray-drying coupled with precision </w:t>
      </w:r>
      <w:proofErr w:type="spellStart"/>
      <w:r w:rsidRPr="009F5601">
        <w:rPr>
          <w:rFonts w:ascii="Times New Roman" w:eastAsia="Times New Roman" w:hAnsi="Times New Roman" w:cs="Times New Roman"/>
          <w:sz w:val="24"/>
          <w:szCs w:val="24"/>
          <w:lang w:eastAsia="en-GB"/>
        </w:rPr>
        <w:t>aerosolisation</w:t>
      </w:r>
      <w:proofErr w:type="spellEnd"/>
      <w:r w:rsidRPr="009F5601">
        <w:rPr>
          <w:rFonts w:ascii="Times New Roman" w:eastAsia="Times New Roman" w:hAnsi="Times New Roman" w:cs="Times New Roman"/>
          <w:sz w:val="24"/>
          <w:szCs w:val="24"/>
          <w:lang w:eastAsia="en-GB"/>
        </w:rPr>
        <w:t xml:space="preserve"> technology offers an avenue to highly reproducible FFS application, potentially reducing the operator-dependent variability inherent in manual pump spray delivery. Computational fluid dynamics modelling of spray nozzle design and atomisation parameters, combined with real-time process analytical technology (PAT) approaches that monitor critical spray attributes during manufacture, represents an </w:t>
      </w:r>
      <w:r w:rsidRPr="009F5601">
        <w:rPr>
          <w:rFonts w:ascii="Times New Roman" w:eastAsia="Times New Roman" w:hAnsi="Times New Roman" w:cs="Times New Roman"/>
          <w:sz w:val="24"/>
          <w:szCs w:val="24"/>
          <w:lang w:eastAsia="en-GB"/>
        </w:rPr>
        <w:lastRenderedPageBreak/>
        <w:t xml:space="preserve">emerging methodology that could substantially advance both the manufacturing quality and the quality-by-design characterisation of FFS products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 Table 4 provides an overview of the most significant recent innovations in FFS technology, their current development stage, and the key references documenting them.</w:t>
      </w:r>
    </w:p>
    <w:p w14:paraId="2B8D41A5"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651C229E"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4. Recent advances and emerging innovations in film-forming spray systems</w:t>
      </w:r>
    </w:p>
    <w:tbl>
      <w:tblPr>
        <w:tblStyle w:val="TableGrid"/>
        <w:tblW w:w="0" w:type="auto"/>
        <w:tblLook w:val="04A0" w:firstRow="1" w:lastRow="0" w:firstColumn="1" w:lastColumn="0" w:noHBand="0" w:noVBand="1"/>
      </w:tblPr>
      <w:tblGrid>
        <w:gridCol w:w="2277"/>
        <w:gridCol w:w="1756"/>
        <w:gridCol w:w="1745"/>
        <w:gridCol w:w="1611"/>
        <w:gridCol w:w="1853"/>
      </w:tblGrid>
      <w:tr w:rsidR="009F5601" w:rsidRPr="009F5601" w14:paraId="3B15B859" w14:textId="77777777" w:rsidTr="00456AB7">
        <w:tc>
          <w:tcPr>
            <w:tcW w:w="0" w:type="auto"/>
            <w:hideMark/>
          </w:tcPr>
          <w:p w14:paraId="0368F2C6"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Innovation Category</w:t>
            </w:r>
          </w:p>
        </w:tc>
        <w:tc>
          <w:tcPr>
            <w:tcW w:w="0" w:type="auto"/>
            <w:hideMark/>
          </w:tcPr>
          <w:p w14:paraId="6C365491"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Specific Approach</w:t>
            </w:r>
          </w:p>
        </w:tc>
        <w:tc>
          <w:tcPr>
            <w:tcW w:w="0" w:type="auto"/>
            <w:hideMark/>
          </w:tcPr>
          <w:p w14:paraId="7B57392E"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Principal Advantage</w:t>
            </w:r>
          </w:p>
        </w:tc>
        <w:tc>
          <w:tcPr>
            <w:tcW w:w="0" w:type="auto"/>
            <w:hideMark/>
          </w:tcPr>
          <w:p w14:paraId="5C399950"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Current Development Stage</w:t>
            </w:r>
          </w:p>
        </w:tc>
        <w:tc>
          <w:tcPr>
            <w:tcW w:w="0" w:type="auto"/>
            <w:hideMark/>
          </w:tcPr>
          <w:p w14:paraId="28BB78CA" w14:textId="77777777" w:rsidR="009F5601" w:rsidRPr="009F5601" w:rsidRDefault="009F5601" w:rsidP="003553A3">
            <w:pPr>
              <w:jc w:val="both"/>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68A47F20" w14:textId="77777777" w:rsidTr="00456AB7">
        <w:tc>
          <w:tcPr>
            <w:tcW w:w="0" w:type="auto"/>
            <w:hideMark/>
          </w:tcPr>
          <w:p w14:paraId="4B4DF57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NLC-embedded FFS</w:t>
            </w:r>
          </w:p>
        </w:tc>
        <w:tc>
          <w:tcPr>
            <w:tcW w:w="0" w:type="auto"/>
            <w:hideMark/>
          </w:tcPr>
          <w:p w14:paraId="08CDB1F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NLC in HPMC/EC polymeric film</w:t>
            </w:r>
          </w:p>
        </w:tc>
        <w:tc>
          <w:tcPr>
            <w:tcW w:w="0" w:type="auto"/>
            <w:hideMark/>
          </w:tcPr>
          <w:p w14:paraId="56320AC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skin penetration; reduced drug expulsion during storage</w:t>
            </w:r>
          </w:p>
        </w:tc>
        <w:tc>
          <w:tcPr>
            <w:tcW w:w="0" w:type="auto"/>
            <w:hideMark/>
          </w:tcPr>
          <w:p w14:paraId="58D371C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vitro / pre-clinical</w:t>
            </w:r>
          </w:p>
        </w:tc>
        <w:tc>
          <w:tcPr>
            <w:tcW w:w="0" w:type="auto"/>
            <w:hideMark/>
          </w:tcPr>
          <w:p w14:paraId="42C05C5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Pardeike et al. (2009);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w:t>
            </w:r>
          </w:p>
        </w:tc>
      </w:tr>
      <w:tr w:rsidR="009F5601" w:rsidRPr="009F5601" w14:paraId="405911C9" w14:textId="77777777" w:rsidTr="00456AB7">
        <w:tc>
          <w:tcPr>
            <w:tcW w:w="0" w:type="auto"/>
            <w:hideMark/>
          </w:tcPr>
          <w:p w14:paraId="09ADEDE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PLGA nanoparticle wound film</w:t>
            </w:r>
          </w:p>
        </w:tc>
        <w:tc>
          <w:tcPr>
            <w:tcW w:w="0" w:type="auto"/>
            <w:hideMark/>
          </w:tcPr>
          <w:p w14:paraId="708D8E3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Biodegradable NP dispersed in film matrix</w:t>
            </w:r>
          </w:p>
        </w:tc>
        <w:tc>
          <w:tcPr>
            <w:tcW w:w="0" w:type="auto"/>
            <w:hideMark/>
          </w:tcPr>
          <w:p w14:paraId="01969EA5"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antimicrobial release; biocompatible degradation</w:t>
            </w:r>
          </w:p>
        </w:tc>
        <w:tc>
          <w:tcPr>
            <w:tcW w:w="0" w:type="auto"/>
            <w:hideMark/>
          </w:tcPr>
          <w:p w14:paraId="0A50C36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Pre-clinical</w:t>
            </w:r>
          </w:p>
        </w:tc>
        <w:tc>
          <w:tcPr>
            <w:tcW w:w="0" w:type="auto"/>
            <w:hideMark/>
          </w:tcPr>
          <w:p w14:paraId="57645D3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Makadia &amp; Siegel (2011);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w:t>
            </w:r>
          </w:p>
        </w:tc>
      </w:tr>
      <w:tr w:rsidR="009F5601" w:rsidRPr="009F5601" w14:paraId="25F14325" w14:textId="77777777" w:rsidTr="00456AB7">
        <w:tc>
          <w:tcPr>
            <w:tcW w:w="0" w:type="auto"/>
            <w:hideMark/>
          </w:tcPr>
          <w:p w14:paraId="340C257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Liposome/</w:t>
            </w:r>
            <w:proofErr w:type="spellStart"/>
            <w:r w:rsidRPr="009F5601">
              <w:rPr>
                <w:rFonts w:ascii="Times New Roman" w:eastAsia="Times New Roman" w:hAnsi="Times New Roman" w:cs="Times New Roman"/>
                <w:sz w:val="24"/>
                <w:szCs w:val="24"/>
                <w:lang w:eastAsia="en-GB"/>
              </w:rPr>
              <w:t>ethosome</w:t>
            </w:r>
            <w:proofErr w:type="spellEnd"/>
            <w:r w:rsidRPr="009F5601">
              <w:rPr>
                <w:rFonts w:ascii="Times New Roman" w:eastAsia="Times New Roman" w:hAnsi="Times New Roman" w:cs="Times New Roman"/>
                <w:sz w:val="24"/>
                <w:szCs w:val="24"/>
                <w:lang w:eastAsia="en-GB"/>
              </w:rPr>
              <w:t>-loaded FFS</w:t>
            </w:r>
          </w:p>
        </w:tc>
        <w:tc>
          <w:tcPr>
            <w:tcW w:w="0" w:type="auto"/>
            <w:hideMark/>
          </w:tcPr>
          <w:p w14:paraId="5106DB3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Vesicular carrier within polymer film</w:t>
            </w:r>
          </w:p>
        </w:tc>
        <w:tc>
          <w:tcPr>
            <w:tcW w:w="0" w:type="auto"/>
            <w:hideMark/>
          </w:tcPr>
          <w:p w14:paraId="0F15A128"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membrane-mediated drug penetration</w:t>
            </w:r>
          </w:p>
        </w:tc>
        <w:tc>
          <w:tcPr>
            <w:tcW w:w="0" w:type="auto"/>
            <w:hideMark/>
          </w:tcPr>
          <w:p w14:paraId="4BD447E2"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vitro</w:t>
            </w:r>
          </w:p>
        </w:tc>
        <w:tc>
          <w:tcPr>
            <w:tcW w:w="0" w:type="auto"/>
            <w:hideMark/>
          </w:tcPr>
          <w:p w14:paraId="29D6867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Touitou et al. (2000); Allen &amp; Cullis (2013)</w:t>
            </w:r>
          </w:p>
        </w:tc>
      </w:tr>
      <w:tr w:rsidR="009F5601" w:rsidRPr="009F5601" w14:paraId="5452098F" w14:textId="77777777" w:rsidTr="00456AB7">
        <w:tc>
          <w:tcPr>
            <w:tcW w:w="0" w:type="auto"/>
            <w:hideMark/>
          </w:tcPr>
          <w:p w14:paraId="33A9B9F5"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FFS</w:t>
            </w:r>
          </w:p>
        </w:tc>
        <w:tc>
          <w:tcPr>
            <w:tcW w:w="0" w:type="auto"/>
            <w:hideMark/>
          </w:tcPr>
          <w:p w14:paraId="114FCBD7"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LCST polymer; phase transition at body temperature</w:t>
            </w:r>
          </w:p>
        </w:tc>
        <w:tc>
          <w:tcPr>
            <w:tcW w:w="0" w:type="auto"/>
            <w:hideMark/>
          </w:tcPr>
          <w:p w14:paraId="3D4BB6C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Improved film uniformity; temperature-triggered consolidation</w:t>
            </w:r>
          </w:p>
        </w:tc>
        <w:tc>
          <w:tcPr>
            <w:tcW w:w="0" w:type="auto"/>
            <w:hideMark/>
          </w:tcPr>
          <w:p w14:paraId="1CB072B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stage</w:t>
            </w:r>
          </w:p>
        </w:tc>
        <w:tc>
          <w:tcPr>
            <w:tcW w:w="0" w:type="auto"/>
            <w:hideMark/>
          </w:tcPr>
          <w:p w14:paraId="382DE90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Ward &amp; Georgiou (2011)</w:t>
            </w:r>
          </w:p>
        </w:tc>
      </w:tr>
      <w:tr w:rsidR="009F5601" w:rsidRPr="009F5601" w14:paraId="4F7348EC" w14:textId="77777777" w:rsidTr="00456AB7">
        <w:tc>
          <w:tcPr>
            <w:tcW w:w="0" w:type="auto"/>
            <w:hideMark/>
          </w:tcPr>
          <w:p w14:paraId="6A45A67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pH-responsive FFS</w:t>
            </w:r>
          </w:p>
        </w:tc>
        <w:tc>
          <w:tcPr>
            <w:tcW w:w="0" w:type="auto"/>
            <w:hideMark/>
          </w:tcPr>
          <w:p w14:paraId="0D10E6B3"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pH-sensitive polymer dissolution or swelling</w:t>
            </w:r>
          </w:p>
        </w:tc>
        <w:tc>
          <w:tcPr>
            <w:tcW w:w="0" w:type="auto"/>
            <w:hideMark/>
          </w:tcPr>
          <w:p w14:paraId="5C6F19F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Self-regulating release; responds to wound biology</w:t>
            </w:r>
          </w:p>
        </w:tc>
        <w:tc>
          <w:tcPr>
            <w:tcW w:w="0" w:type="auto"/>
            <w:hideMark/>
          </w:tcPr>
          <w:p w14:paraId="2D44411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stage</w:t>
            </w:r>
          </w:p>
        </w:tc>
        <w:tc>
          <w:tcPr>
            <w:tcW w:w="0" w:type="auto"/>
            <w:hideMark/>
          </w:tcPr>
          <w:p w14:paraId="2E82152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Stuart et al. (2010)</w:t>
            </w:r>
          </w:p>
        </w:tc>
      </w:tr>
      <w:tr w:rsidR="009F5601" w:rsidRPr="009F5601" w14:paraId="79831E3D" w14:textId="77777777" w:rsidTr="00456AB7">
        <w:tc>
          <w:tcPr>
            <w:tcW w:w="0" w:type="auto"/>
            <w:hideMark/>
          </w:tcPr>
          <w:p w14:paraId="14C15CF4"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ROS-responsive FFS</w:t>
            </w:r>
          </w:p>
        </w:tc>
        <w:tc>
          <w:tcPr>
            <w:tcW w:w="0" w:type="auto"/>
            <w:hideMark/>
          </w:tcPr>
          <w:p w14:paraId="5917C09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Oxidation-sensitive bonds in polymer or nanoparticle surface</w:t>
            </w:r>
          </w:p>
        </w:tc>
        <w:tc>
          <w:tcPr>
            <w:tcW w:w="0" w:type="auto"/>
            <w:hideMark/>
          </w:tcPr>
          <w:p w14:paraId="7F44A41D"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Pathology-triggered, spatially selective release</w:t>
            </w:r>
          </w:p>
        </w:tc>
        <w:tc>
          <w:tcPr>
            <w:tcW w:w="0" w:type="auto"/>
            <w:hideMark/>
          </w:tcPr>
          <w:p w14:paraId="0758FA6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Early research</w:t>
            </w:r>
          </w:p>
        </w:tc>
        <w:tc>
          <w:tcPr>
            <w:tcW w:w="0" w:type="auto"/>
            <w:hideMark/>
          </w:tcPr>
          <w:p w14:paraId="7B8A08DE"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Stuart et al. (2010)</w:t>
            </w:r>
          </w:p>
        </w:tc>
      </w:tr>
      <w:tr w:rsidR="009F5601" w:rsidRPr="009F5601" w14:paraId="692802C8" w14:textId="77777777" w:rsidTr="00456AB7">
        <w:tc>
          <w:tcPr>
            <w:tcW w:w="0" w:type="auto"/>
            <w:hideMark/>
          </w:tcPr>
          <w:p w14:paraId="362BF21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3D printing / inkjet for FFS</w:t>
            </w:r>
          </w:p>
        </w:tc>
        <w:tc>
          <w:tcPr>
            <w:tcW w:w="0" w:type="auto"/>
            <w:hideMark/>
          </w:tcPr>
          <w:p w14:paraId="4EF30D6F"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Precision drug deposition on biological surfaces</w:t>
            </w:r>
          </w:p>
        </w:tc>
        <w:tc>
          <w:tcPr>
            <w:tcW w:w="0" w:type="auto"/>
            <w:hideMark/>
          </w:tcPr>
          <w:p w14:paraId="5D573430"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Patient-specific dosing; spatial drug patterning</w:t>
            </w:r>
          </w:p>
        </w:tc>
        <w:tc>
          <w:tcPr>
            <w:tcW w:w="0" w:type="auto"/>
            <w:hideMark/>
          </w:tcPr>
          <w:p w14:paraId="7579FF9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Early research</w:t>
            </w:r>
          </w:p>
        </w:tc>
        <w:tc>
          <w:tcPr>
            <w:tcW w:w="0" w:type="auto"/>
            <w:hideMark/>
          </w:tcPr>
          <w:p w14:paraId="644FEC45" w14:textId="77777777" w:rsidR="009F5601" w:rsidRPr="009F5601" w:rsidRDefault="009F5601" w:rsidP="003553A3">
            <w:pPr>
              <w:jc w:val="both"/>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w:t>
            </w:r>
          </w:p>
        </w:tc>
      </w:tr>
      <w:tr w:rsidR="009F5601" w:rsidRPr="009F5601" w14:paraId="396BB7E0" w14:textId="77777777" w:rsidTr="00456AB7">
        <w:tc>
          <w:tcPr>
            <w:tcW w:w="0" w:type="auto"/>
            <w:hideMark/>
          </w:tcPr>
          <w:p w14:paraId="3EFFAC31"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Spray-dried nanocomposite FFS</w:t>
            </w:r>
          </w:p>
        </w:tc>
        <w:tc>
          <w:tcPr>
            <w:tcW w:w="0" w:type="auto"/>
            <w:hideMark/>
          </w:tcPr>
          <w:p w14:paraId="717D9F1A"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Dried powder reconstituted before use</w:t>
            </w:r>
          </w:p>
        </w:tc>
        <w:tc>
          <w:tcPr>
            <w:tcW w:w="0" w:type="auto"/>
            <w:hideMark/>
          </w:tcPr>
          <w:p w14:paraId="7B4D9756"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Physical stability advantage for nanoparticle systems</w:t>
            </w:r>
          </w:p>
        </w:tc>
        <w:tc>
          <w:tcPr>
            <w:tcW w:w="0" w:type="auto"/>
            <w:hideMark/>
          </w:tcPr>
          <w:p w14:paraId="6AB3B7D9"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 early development</w:t>
            </w:r>
          </w:p>
        </w:tc>
        <w:tc>
          <w:tcPr>
            <w:tcW w:w="0" w:type="auto"/>
            <w:hideMark/>
          </w:tcPr>
          <w:p w14:paraId="0BA0F88C" w14:textId="77777777" w:rsidR="009F5601" w:rsidRPr="009F5601" w:rsidRDefault="009F5601" w:rsidP="003553A3">
            <w:pPr>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xml:space="preserve"> (2015)</w:t>
            </w:r>
          </w:p>
        </w:tc>
      </w:tr>
    </w:tbl>
    <w:p w14:paraId="7479DBDF"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lastRenderedPageBreak/>
        <w:t xml:space="preserve">Note: NLC = nanostructured lipid carriers;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LCST = lower critical solution temperature; ROS = reactive oxygen species.</w:t>
      </w:r>
    </w:p>
    <w:p w14:paraId="01F4EF81"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Pardeike et al. (2009); </w:t>
      </w:r>
      <w:proofErr w:type="spellStart"/>
      <w:r w:rsidRPr="009F5601">
        <w:rPr>
          <w:rFonts w:ascii="Times New Roman" w:eastAsia="Times New Roman" w:hAnsi="Times New Roman" w:cs="Times New Roman"/>
          <w:i/>
          <w:iCs/>
          <w:sz w:val="24"/>
          <w:szCs w:val="24"/>
          <w:lang w:eastAsia="en-GB"/>
        </w:rPr>
        <w:t>Nastiti</w:t>
      </w:r>
      <w:proofErr w:type="spellEnd"/>
      <w:r w:rsidRPr="009F5601">
        <w:rPr>
          <w:rFonts w:ascii="Times New Roman" w:eastAsia="Times New Roman" w:hAnsi="Times New Roman" w:cs="Times New Roman"/>
          <w:i/>
          <w:iCs/>
          <w:sz w:val="24"/>
          <w:szCs w:val="24"/>
          <w:lang w:eastAsia="en-GB"/>
        </w:rPr>
        <w:t xml:space="preserve"> et al. (2017); Makadia &amp; Siegel (2011); </w:t>
      </w:r>
      <w:proofErr w:type="spellStart"/>
      <w:r w:rsidRPr="009F5601">
        <w:rPr>
          <w:rFonts w:ascii="Times New Roman" w:eastAsia="Times New Roman" w:hAnsi="Times New Roman" w:cs="Times New Roman"/>
          <w:i/>
          <w:iCs/>
          <w:sz w:val="24"/>
          <w:szCs w:val="24"/>
          <w:lang w:eastAsia="en-GB"/>
        </w:rPr>
        <w:t>Soppimath</w:t>
      </w:r>
      <w:proofErr w:type="spellEnd"/>
      <w:r w:rsidRPr="009F5601">
        <w:rPr>
          <w:rFonts w:ascii="Times New Roman" w:eastAsia="Times New Roman" w:hAnsi="Times New Roman" w:cs="Times New Roman"/>
          <w:i/>
          <w:iCs/>
          <w:sz w:val="24"/>
          <w:szCs w:val="24"/>
          <w:lang w:eastAsia="en-GB"/>
        </w:rPr>
        <w:t xml:space="preserve"> et al. (2001); Touitou et al. (2000); Allen &amp; Cullis (2013); Ward &amp; Georgiou (2011); Stuart et al. (2010); </w:t>
      </w:r>
      <w:proofErr w:type="spellStart"/>
      <w:r w:rsidRPr="009F5601">
        <w:rPr>
          <w:rFonts w:ascii="Times New Roman" w:eastAsia="Times New Roman" w:hAnsi="Times New Roman" w:cs="Times New Roman"/>
          <w:i/>
          <w:iCs/>
          <w:sz w:val="24"/>
          <w:szCs w:val="24"/>
          <w:lang w:eastAsia="en-GB"/>
        </w:rPr>
        <w:t>Jamróz</w:t>
      </w:r>
      <w:proofErr w:type="spellEnd"/>
      <w:r w:rsidRPr="009F5601">
        <w:rPr>
          <w:rFonts w:ascii="Times New Roman" w:eastAsia="Times New Roman" w:hAnsi="Times New Roman" w:cs="Times New Roman"/>
          <w:i/>
          <w:iCs/>
          <w:sz w:val="24"/>
          <w:szCs w:val="24"/>
          <w:lang w:eastAsia="en-GB"/>
        </w:rPr>
        <w:t xml:space="preserve"> et al. (2018); Sosnik &amp; </w:t>
      </w:r>
      <w:proofErr w:type="spellStart"/>
      <w:r w:rsidRPr="009F5601">
        <w:rPr>
          <w:rFonts w:ascii="Times New Roman" w:eastAsia="Times New Roman" w:hAnsi="Times New Roman" w:cs="Times New Roman"/>
          <w:i/>
          <w:iCs/>
          <w:sz w:val="24"/>
          <w:szCs w:val="24"/>
          <w:lang w:eastAsia="en-GB"/>
        </w:rPr>
        <w:t>Seremeta</w:t>
      </w:r>
      <w:proofErr w:type="spellEnd"/>
      <w:r w:rsidRPr="009F5601">
        <w:rPr>
          <w:rFonts w:ascii="Times New Roman" w:eastAsia="Times New Roman" w:hAnsi="Times New Roman" w:cs="Times New Roman"/>
          <w:i/>
          <w:iCs/>
          <w:sz w:val="24"/>
          <w:szCs w:val="24"/>
          <w:lang w:eastAsia="en-GB"/>
        </w:rPr>
        <w:t xml:space="preserve"> (2015).</w:t>
      </w:r>
    </w:p>
    <w:p w14:paraId="2C94D426"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649B76B1"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10. Challenges and Critical Appraisal</w:t>
      </w:r>
    </w:p>
    <w:p w14:paraId="3B2560AF"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10.1 Formulation and Stability Challenges</w:t>
      </w:r>
    </w:p>
    <w:p w14:paraId="23FAE12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Despite the clear scientific advantages of FFS technology, several formulation challenges remain incompletely resolved in the current literature. Solvent selection continues to present a fundamental tension between performance and safety; whilst organic solvents and high-ethanol vehicles may yield superior film formation kinetics and drug loading, their tolerability over compromised or sensitised skin and their environmental impact are genuine concerns requiring systematic justification (Williams &amp; Barry, 2004). The development of aqueous or low-solvent FFS formulations with performance equivalent to their hydroalcoholic counterparts represents an important but incompletely addressed scientific challenge.</w:t>
      </w:r>
    </w:p>
    <w:p w14:paraId="6A9B9ABC"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Long-term physical and chemical stability of FFS formulations—particularly those incorporating nanoparticulate carriers—is a recognised vulnerability. Nanoparticle agglomeration, Ostwald ripening in emulsified systems, and polymorphic transitions in lipid-based nanoparticles during storage can compromise the consistency of drug release performance and must be systematically managed through formulation design, packaging selection, and controlled storage conditions (Wissing et al., 2004). The adoption of dried </w:t>
      </w:r>
      <w:proofErr w:type="spellStart"/>
      <w:r w:rsidRPr="009F5601">
        <w:rPr>
          <w:rFonts w:ascii="Times New Roman" w:eastAsia="Times New Roman" w:hAnsi="Times New Roman" w:cs="Times New Roman"/>
          <w:sz w:val="24"/>
          <w:szCs w:val="24"/>
          <w:lang w:eastAsia="en-GB"/>
        </w:rPr>
        <w:t>reconstitutable</w:t>
      </w:r>
      <w:proofErr w:type="spellEnd"/>
      <w:r w:rsidRPr="009F5601">
        <w:rPr>
          <w:rFonts w:ascii="Times New Roman" w:eastAsia="Times New Roman" w:hAnsi="Times New Roman" w:cs="Times New Roman"/>
          <w:sz w:val="24"/>
          <w:szCs w:val="24"/>
          <w:lang w:eastAsia="en-GB"/>
        </w:rPr>
        <w:t xml:space="preserve"> formats, prepared by spray drying or freeze drying of the nanoparticle-containing liquid, addresses many colloidal stability challenges by eliminating the aqueous phase that drives particle growth and phase separation, but introduces additional manufacturing complexity and patient preparation steps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w:t>
      </w:r>
    </w:p>
    <w:p w14:paraId="6E8BFFC7"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10.2 Delivery Reproducibility and Patient Variability</w:t>
      </w:r>
    </w:p>
    <w:p w14:paraId="0BE05B33"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 persistently underappreciated challenge in FFS research is the variability in film quality and drug dose arising from differences in application technique between individual users. Unlike transdermal patches, which deliver a precisely defined dose by area, pump spray formulations are susceptible to inconsistencies in the volume delivered per actuation, the spray-to-skin distance, the angle of application, and the degree of spreading prior to film formation. These user-dependent variables can translate into meaningful differences in film thickness, drug loading per unit area, and ultimately drug bioavailability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The design of spray devices that minimise technique sensitivity—through feedback mechanisms, self-regulating actuators, or user training aids—is an engineering and human factors challenge with important clinical implications for dose consistency and therapeutic outcomes.</w:t>
      </w:r>
    </w:p>
    <w:p w14:paraId="39176834"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Patient skin condition introduces further variability of genuine significance. The permeability of compromised, inflamed, or aged skin differs substantially from that of normal intact skin </w:t>
      </w:r>
      <w:r w:rsidRPr="009F5601">
        <w:rPr>
          <w:rFonts w:ascii="Times New Roman" w:eastAsia="Times New Roman" w:hAnsi="Times New Roman" w:cs="Times New Roman"/>
          <w:sz w:val="24"/>
          <w:szCs w:val="24"/>
          <w:lang w:eastAsia="en-GB"/>
        </w:rPr>
        <w:lastRenderedPageBreak/>
        <w:t>(Proksch et al., 2008), with implications for both the rate of drug absorption from the film and the tolerability of excipients, particularly solvents and penetration enhancers. Elderly patients, whose skin is characteristically thinner, more permeable, and more susceptible to irritation, represent a population for whom FFS formulations require particularly careful optimisation and dedicated tolerability assessment studies.</w:t>
      </w:r>
    </w:p>
    <w:p w14:paraId="520560F7"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10.3 In Vitro–In Vivo Correlation</w:t>
      </w:r>
    </w:p>
    <w:p w14:paraId="3365C7E9"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 recurrent limitation in the FFS literature is the relative scarcity of well-established and validated in vitro–in vivo correlations. Much of the published work characterises FFS performance through in vitro release and permeation studies using synthetic membranes or excised animal or human skin under static conditions that may inadequately replicate the dynamic complexity of the living tissue environment. The continuous renewal of the skin surface through desquamation, the movement of subcutaneous lymph and tissue fluid, variations in local skin temperature and blood flow with activity and posture, and the effects of physical movement on film integrity—collectively introduce in vivo variables that are challenging to model in vitro (Boateng &amp; Catanzano, 2015). The establishment of validated in vitro–in vivo correlations for FFS would substantially advance the field by enabling more confident in vitro prediction of in vivo performance, reducing animal testing requirements, and streamlining regulatory data packages.</w:t>
      </w:r>
    </w:p>
    <w:p w14:paraId="62B309DD" w14:textId="77777777" w:rsidR="009F5601" w:rsidRPr="009F5601" w:rsidRDefault="009F5601" w:rsidP="003553A3">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10.4 Regulatory and Translation Gaps</w:t>
      </w:r>
    </w:p>
    <w:p w14:paraId="098E436C"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regulatory landscape for FFS remains in a state of evolution, with neither the EMA nor the FDA having published product-specific guidance addressing the unique characteristics of this dosage form. The application of existing guidance for transdermal patches (European Medicines Agency, 2014) or conventional topical semi-solids (U.S. Food and Drug Administration, </w:t>
      </w:r>
      <w:r w:rsidR="00456AB7">
        <w:rPr>
          <w:rFonts w:ascii="Times New Roman" w:eastAsia="Times New Roman" w:hAnsi="Times New Roman" w:cs="Times New Roman"/>
          <w:sz w:val="24"/>
          <w:szCs w:val="24"/>
          <w:lang w:eastAsia="en-GB"/>
        </w:rPr>
        <w:t>1998</w:t>
      </w:r>
      <w:r w:rsidRPr="009F5601">
        <w:rPr>
          <w:rFonts w:ascii="Times New Roman" w:eastAsia="Times New Roman" w:hAnsi="Times New Roman" w:cs="Times New Roman"/>
          <w:sz w:val="24"/>
          <w:szCs w:val="24"/>
          <w:lang w:eastAsia="en-GB"/>
        </w:rPr>
        <w:t>) provides a reasonable starting framework but may not be fully adequate for the characterisation requirements of nano-enabled, stimuli-responsive, or combination product FFS (International Council for Harmonisation, 2009). The absence of consensus on critical quality attributes specific to FFS—including standardised definitions and testing methods for film uniformity, adhesion strength, and spray pattern parameters—creates developmental uncertainty and may delay the translation of promising laboratory formulations into marketed products.</w:t>
      </w:r>
    </w:p>
    <w:p w14:paraId="31BD3B6F"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439DE9D1"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11. Conclusions</w:t>
      </w:r>
    </w:p>
    <w:p w14:paraId="1C1FBE43"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Film-forming spray systems represent a technologically sophisticated and clinically versatile class of drug delivery platform whose scientific development has accelerated substantially over the past two decades. Their capacity to form adherent, drug-loaded films on biological surfaces upon solvent evaporation confers unique advantages over conventional topical preparations, particularly in terms of coverage of irregular anatomical surfaces, customisable drug release kinetics, and the patient acceptability that is central to adherence and therapeutic success. The polymeric toolbox available to FFS formulators is extensive and continues to expand, with cellulose derivatives, polymethacrylates, chitosan, alginate, polyvinyl alcohol, and a growing portfolio of synthetic biodegradable and stimuli-responsive polymers each offering distinct and exploitable characteristics. The integration of nanocarrier systems—solid lipid nanoparticles, nanostructured lipid carriers, PLGA nanoparticles, liposomes, and </w:t>
      </w:r>
      <w:proofErr w:type="spellStart"/>
      <w:r w:rsidRPr="009F5601">
        <w:rPr>
          <w:rFonts w:ascii="Times New Roman" w:eastAsia="Times New Roman" w:hAnsi="Times New Roman" w:cs="Times New Roman"/>
          <w:sz w:val="24"/>
          <w:szCs w:val="24"/>
          <w:lang w:eastAsia="en-GB"/>
        </w:rPr>
        <w:lastRenderedPageBreak/>
        <w:t>ethosomes</w:t>
      </w:r>
      <w:proofErr w:type="spellEnd"/>
      <w:r w:rsidRPr="009F5601">
        <w:rPr>
          <w:rFonts w:ascii="Times New Roman" w:eastAsia="Times New Roman" w:hAnsi="Times New Roman" w:cs="Times New Roman"/>
          <w:sz w:val="24"/>
          <w:szCs w:val="24"/>
          <w:lang w:eastAsia="en-GB"/>
        </w:rPr>
        <w:t>—within FFS matrices has opened new avenues for achieving sustained, targeted drug release that would be difficult to realise with polymer matrices alone. Advances in stimuli-responsive polymer design, precision spray manufacturing, and additive manufacturing technologies further augment the capabilities available to developers of next-generation FFS.</w:t>
      </w:r>
    </w:p>
    <w:p w14:paraId="08D2C0D2" w14:textId="77777777" w:rsidR="009F5601" w:rsidRPr="009F5601" w:rsidRDefault="009F5601"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Therapeutic applications have matured most fully in wound care, where the combination of physical barrier function, exudate management, and controlled antimicrobial drug delivery makes FFS particularly compelling, and in nail drug delivery, where the persistent clinical challenge of onychomycosis continues to drive formulation innovation. Mucoadhesive, ocular, and dermatological applications offer promising prospects that justify continued research investment. Notwithstanding these advances, the field must contend with unresolved challenges in solvent safety, formulation stability, delivery reproducibility, in vitro–in vivo correlation, and a regulatory landscape that has yet to produce specific guidance for this dosage form. Addressing these challenges will require sustained and interdisciplinary collaboration between formulation scientists, polymer chemists, dermatologists, wound care specialists, bioanalytical chemists, and regulatory scientists. As the evidence base matures and regulatory frameworks adapt to accommodate this distinctive dosage form, film-forming spray systems appear well positioned to transition from scientifically promising platforms into broadly applied, clinically validated drug delivery modalities.</w:t>
      </w:r>
    </w:p>
    <w:p w14:paraId="183BFFC6" w14:textId="77777777" w:rsidR="009F5601" w:rsidRPr="009F5601" w:rsidRDefault="009F5601" w:rsidP="003553A3">
      <w:pPr>
        <w:spacing w:after="0" w:line="240" w:lineRule="auto"/>
        <w:jc w:val="both"/>
        <w:rPr>
          <w:rFonts w:ascii="Times New Roman" w:eastAsia="Times New Roman" w:hAnsi="Times New Roman" w:cs="Times New Roman"/>
          <w:sz w:val="24"/>
          <w:szCs w:val="24"/>
          <w:lang w:eastAsia="en-GB"/>
        </w:rPr>
      </w:pPr>
    </w:p>
    <w:p w14:paraId="50D00D58" w14:textId="77777777" w:rsidR="004007B5" w:rsidRPr="004007B5" w:rsidRDefault="004007B5"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4007B5">
        <w:rPr>
          <w:rFonts w:ascii="Times New Roman" w:eastAsia="Times New Roman" w:hAnsi="Times New Roman" w:cs="Times New Roman"/>
          <w:b/>
          <w:bCs/>
          <w:sz w:val="27"/>
          <w:szCs w:val="27"/>
          <w:lang w:eastAsia="en-GB"/>
        </w:rPr>
        <w:t>12. Limitations</w:t>
      </w:r>
    </w:p>
    <w:p w14:paraId="589CCE92"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This review is subject to several limitations that should be considered when interpreting its conclusions. As a narrative rather than systematic review, study selection was guided by expert judgement and the defined conceptual scope rather than by a pre-registered protocol with formal quantitative synthesis. This introduces the potential for selection bias, whereby studies reporting positive or notable findings may be more prominently represented than those documenting formulation failures, negative results, or null clinical outcomes—a tendency that could overstate the maturity and clinical readiness of certain FFS platforms.</w:t>
      </w:r>
    </w:p>
    <w:p w14:paraId="12AD9C92"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Much of the evidence base reviewed rests on in vitro and pre-clinical data, particularly for nanotechnology-integrated and stimuli-responsive systems. The translation of favourable in vitro findings into human clinical outcomes is by no means guaranteed, and conclusions regarding therapeutic utility should be treated with appropriate caution until corroborated by rigorous clinical evidence. The heterogeneity of experimental models, membrane types, drug classes, and analytical methodologies across the reviewed literature further limits direct cross-study comparison.</w:t>
      </w:r>
    </w:p>
    <w:p w14:paraId="295C453D"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A substantive limitation of the broader field, reflected in this review's conclusions, is the complete absence of FFS-specific regulatory guidance from either the EMA or FDA. This gap means that product developers must operate by analogy with guidance instruments designed for other dosage forms, introducing interpretive uncertainty that cannot be resolved through existing literature alone and limiting the strength of regulatory conclusions that any review of this kind can legitimately draw.</w:t>
      </w:r>
    </w:p>
    <w:p w14:paraId="53D8F17A"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 xml:space="preserve">Safety and toxicological characterisation represent a further under-examined dimension. For emerging polymer systems—particularly </w:t>
      </w:r>
      <w:proofErr w:type="spellStart"/>
      <w:r w:rsidRPr="004007B5">
        <w:rPr>
          <w:rFonts w:ascii="Times New Roman" w:eastAsia="Times New Roman" w:hAnsi="Times New Roman" w:cs="Times New Roman"/>
          <w:sz w:val="24"/>
          <w:szCs w:val="24"/>
          <w:lang w:eastAsia="en-GB"/>
        </w:rPr>
        <w:t>thermoresponsive</w:t>
      </w:r>
      <w:proofErr w:type="spellEnd"/>
      <w:r w:rsidRPr="004007B5">
        <w:rPr>
          <w:rFonts w:ascii="Times New Roman" w:eastAsia="Times New Roman" w:hAnsi="Times New Roman" w:cs="Times New Roman"/>
          <w:sz w:val="24"/>
          <w:szCs w:val="24"/>
          <w:lang w:eastAsia="en-GB"/>
        </w:rPr>
        <w:t xml:space="preserve"> copolymers and ROS-sensitive </w:t>
      </w:r>
      <w:r w:rsidRPr="004007B5">
        <w:rPr>
          <w:rFonts w:ascii="Times New Roman" w:eastAsia="Times New Roman" w:hAnsi="Times New Roman" w:cs="Times New Roman"/>
          <w:sz w:val="24"/>
          <w:szCs w:val="24"/>
          <w:lang w:eastAsia="en-GB"/>
        </w:rPr>
        <w:lastRenderedPageBreak/>
        <w:t>nanocarriers—long-term dermal and systemic toxicity data in humans are largely absent. The safety of novel excipient combinations applied repeatedly to compromised or chronically diseased skin, where barrier disruption may substantially increase systemic absorption, remains incompletely understood and warrants dedicated investigation before broad clinical deployment.</w:t>
      </w:r>
    </w:p>
    <w:p w14:paraId="44B4B7A0"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Ethical dimensions of FFS clinical research also merit acknowledgement. Clinical trials in wound care frequently enrol elderly, immunocompromised, or cognitively impaired patients—populations whose capacity to provide fully informed consent may be diminished and who may be susceptible to exploitation if trial oversight is inadequate. The representation of diverse demographic groups, including patients from low- and middle-income countries where the burden of chronic wounds and onychomycosis is disproportionately high, has been limited in published FFS clinical studies. This raises concerns about the generalisability of findings and about justice in the distribution of benefits arising from FFS innovation. Equitable access to advanced FFS products, whose manufacture may involve costly nanocarrier technologies, represents a further ethical consideration that the field has not yet substantively addressed.</w:t>
      </w:r>
    </w:p>
    <w:p w14:paraId="63F55AF3" w14:textId="77777777" w:rsidR="004007B5" w:rsidRPr="004007B5" w:rsidRDefault="004007B5" w:rsidP="003553A3">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007B5">
        <w:rPr>
          <w:rFonts w:ascii="Times New Roman" w:eastAsia="Times New Roman" w:hAnsi="Times New Roman" w:cs="Times New Roman"/>
          <w:sz w:val="24"/>
          <w:szCs w:val="24"/>
          <w:lang w:eastAsia="en-GB"/>
        </w:rPr>
        <w:t>Finally, a restriction to English-language publications may have excluded relevant contributions from non-English-speaking research communities, and the literature search cutoff of April 2026 means that very recent work is not captured in this synthesis.</w:t>
      </w:r>
    </w:p>
    <w:p w14:paraId="56AF16B6" w14:textId="77777777" w:rsidR="009F5601" w:rsidRDefault="009F5601" w:rsidP="003553A3">
      <w:pPr>
        <w:spacing w:after="0" w:line="240" w:lineRule="auto"/>
        <w:jc w:val="both"/>
        <w:rPr>
          <w:rFonts w:ascii="Times New Roman" w:eastAsia="Times New Roman" w:hAnsi="Times New Roman" w:cs="Times New Roman"/>
          <w:sz w:val="24"/>
          <w:szCs w:val="24"/>
          <w:lang w:eastAsia="en-GB"/>
        </w:rPr>
      </w:pPr>
    </w:p>
    <w:p w14:paraId="16C26CBB" w14:textId="77777777" w:rsidR="00155112" w:rsidRPr="00155112" w:rsidRDefault="00155112" w:rsidP="00155112">
      <w:pPr>
        <w:rPr>
          <w:b/>
          <w:bCs/>
          <w:highlight w:val="yellow"/>
        </w:rPr>
      </w:pPr>
      <w:r w:rsidRPr="00155112">
        <w:rPr>
          <w:b/>
          <w:bCs/>
          <w:highlight w:val="yellow"/>
        </w:rPr>
        <w:t>Disclaimer (Artificial intelligence)</w:t>
      </w:r>
    </w:p>
    <w:p w14:paraId="03DCCAFF" w14:textId="77777777" w:rsidR="00155112" w:rsidRDefault="00155112" w:rsidP="00155112">
      <w:r w:rsidRPr="00155112">
        <w:rPr>
          <w:highlight w:val="yellow"/>
        </w:rPr>
        <w:t xml:space="preserve">Author(s) hereby </w:t>
      </w:r>
      <w:proofErr w:type="gramStart"/>
      <w:r w:rsidRPr="00155112">
        <w:rPr>
          <w:highlight w:val="yellow"/>
        </w:rPr>
        <w:t>declare</w:t>
      </w:r>
      <w:proofErr w:type="gramEnd"/>
      <w:r w:rsidRPr="00155112">
        <w:rPr>
          <w:highlight w:val="yellow"/>
        </w:rPr>
        <w:t xml:space="preserve"> that NO generative AI technologies such as Large Language Models (ChatGPT, COPILOT, etc.) and text-to-image generators have been used during the writing or editing of this manuscript.</w:t>
      </w:r>
      <w:r>
        <w:t xml:space="preserve"> </w:t>
      </w:r>
    </w:p>
    <w:p w14:paraId="5C53D294" w14:textId="77777777" w:rsidR="00155112" w:rsidRPr="009F5601" w:rsidRDefault="00155112" w:rsidP="003553A3">
      <w:pPr>
        <w:spacing w:after="0" w:line="240" w:lineRule="auto"/>
        <w:jc w:val="both"/>
        <w:rPr>
          <w:rFonts w:ascii="Times New Roman" w:eastAsia="Times New Roman" w:hAnsi="Times New Roman" w:cs="Times New Roman"/>
          <w:sz w:val="24"/>
          <w:szCs w:val="24"/>
          <w:lang w:eastAsia="en-GB"/>
        </w:rPr>
      </w:pPr>
    </w:p>
    <w:p w14:paraId="16071651" w14:textId="77777777" w:rsidR="009F5601" w:rsidRPr="009F5601" w:rsidRDefault="009F5601" w:rsidP="003553A3">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References</w:t>
      </w:r>
    </w:p>
    <w:p w14:paraId="28EFDEDE"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Aderibigbe, B. A., &amp; Buyana, B. (2018). Alginate in wound dressings. Pharmaceutics, 10(2), Article 42. https://doi.org/10.3390/pharmaceutics10020042</w:t>
      </w:r>
    </w:p>
    <w:p w14:paraId="1545C264"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Allen, T. M., &amp; Cullis, P. R. (2013). Liposomal drug delivery systems: From concept to clinical applications. Advanced Drug Delivery Reviews, 65(1), 36–48. https://doi.org/10.1016/j.addr.2012.09.037</w:t>
      </w:r>
    </w:p>
    <w:p w14:paraId="303F44B4"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Barry, B. W. (2001). Novel mechanisms and devices to enable successful transdermal drug delivery. European Journal of Pharmaceutical Sciences, 14(2), 101–114. https://doi.org/10.1016/S0928-0987(01)00167-1</w:t>
      </w:r>
    </w:p>
    <w:p w14:paraId="063B8715"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Boateng, J., &amp; Catanzano, O. (2015). Advanced therapeutic dressings for effective wound healing—a review. Journal of Pharmaceutical Sciences, 104(11), 3653–3680. https://doi.org/10.1002/jps.24610</w:t>
      </w:r>
    </w:p>
    <w:p w14:paraId="34B9F45D"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lastRenderedPageBreak/>
        <w:t>Boateng, J. S., Matthews, K. H., Stevens, H. N. E., &amp; Eccleston, G. M. (2008). Wound healing dressings and drug delivery systems: A review. Journal of Pharmaceutical Sciences, 97(8), 2892–2923. https://doi.org/10.1002/jps.21210</w:t>
      </w:r>
    </w:p>
    <w:p w14:paraId="5CE0756A"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Costa, P., &amp; Sousa Lobo, J. M. (2001). </w:t>
      </w:r>
      <w:proofErr w:type="spellStart"/>
      <w:r w:rsidRPr="00456AB7">
        <w:rPr>
          <w:rFonts w:ascii="Times New Roman" w:hAnsi="Times New Roman" w:cs="Times New Roman"/>
          <w:sz w:val="24"/>
          <w:szCs w:val="24"/>
        </w:rPr>
        <w:t>Modeling</w:t>
      </w:r>
      <w:proofErr w:type="spellEnd"/>
      <w:r w:rsidRPr="00456AB7">
        <w:rPr>
          <w:rFonts w:ascii="Times New Roman" w:hAnsi="Times New Roman" w:cs="Times New Roman"/>
          <w:sz w:val="24"/>
          <w:szCs w:val="24"/>
        </w:rPr>
        <w:t xml:space="preserve"> and comparison of dissolution profiles. European Journal of Pharmaceutical Sciences, 13(2), 123–133. https://doi.org/10.1016/S0928-0987(01)00095-1</w:t>
      </w:r>
    </w:p>
    <w:p w14:paraId="2A055759"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Dash, M., Chiellini, F., </w:t>
      </w:r>
      <w:proofErr w:type="spellStart"/>
      <w:r w:rsidRPr="00456AB7">
        <w:rPr>
          <w:rFonts w:ascii="Times New Roman" w:hAnsi="Times New Roman" w:cs="Times New Roman"/>
          <w:sz w:val="24"/>
          <w:szCs w:val="24"/>
        </w:rPr>
        <w:t>Ottenbrite</w:t>
      </w:r>
      <w:proofErr w:type="spellEnd"/>
      <w:r w:rsidRPr="00456AB7">
        <w:rPr>
          <w:rFonts w:ascii="Times New Roman" w:hAnsi="Times New Roman" w:cs="Times New Roman"/>
          <w:sz w:val="24"/>
          <w:szCs w:val="24"/>
        </w:rPr>
        <w:t>, R. M., &amp; Chiellini, E. (2011). Chitosan—a versatile semi-synthetic polymer in biomedical applications. Progress in Polymer Science, 36(8), 981–1014. https://doi.org/10.1016/j.progpolymsci.2011.02.001</w:t>
      </w:r>
    </w:p>
    <w:p w14:paraId="29F4C421"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DeMerlis, C. C., &amp; </w:t>
      </w:r>
      <w:proofErr w:type="spellStart"/>
      <w:r w:rsidRPr="00456AB7">
        <w:rPr>
          <w:rFonts w:ascii="Times New Roman" w:hAnsi="Times New Roman" w:cs="Times New Roman"/>
          <w:sz w:val="24"/>
          <w:szCs w:val="24"/>
        </w:rPr>
        <w:t>Schoneker</w:t>
      </w:r>
      <w:proofErr w:type="spellEnd"/>
      <w:r w:rsidRPr="00456AB7">
        <w:rPr>
          <w:rFonts w:ascii="Times New Roman" w:hAnsi="Times New Roman" w:cs="Times New Roman"/>
          <w:sz w:val="24"/>
          <w:szCs w:val="24"/>
        </w:rPr>
        <w:t>, D. R. (2003). Review of the oral toxicity of polyvinyl alcohol (PVA). Food and Chemical Toxicology, 41(3), 319–326. https://doi.org/10.1016/S0278-6915(02)00258-2</w:t>
      </w:r>
    </w:p>
    <w:p w14:paraId="2E14F4D0"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Dinge, A., &amp; </w:t>
      </w:r>
      <w:proofErr w:type="spellStart"/>
      <w:r w:rsidRPr="00456AB7">
        <w:rPr>
          <w:rFonts w:ascii="Times New Roman" w:hAnsi="Times New Roman" w:cs="Times New Roman"/>
          <w:sz w:val="24"/>
          <w:szCs w:val="24"/>
        </w:rPr>
        <w:t>Nagarsenker</w:t>
      </w:r>
      <w:proofErr w:type="spellEnd"/>
      <w:r w:rsidRPr="00456AB7">
        <w:rPr>
          <w:rFonts w:ascii="Times New Roman" w:hAnsi="Times New Roman" w:cs="Times New Roman"/>
          <w:sz w:val="24"/>
          <w:szCs w:val="24"/>
        </w:rPr>
        <w:t xml:space="preserve">, M. (2008). Formulation and evaluation of fast dissolving films for delivery of triclosan to the oral cavity. AAPS </w:t>
      </w:r>
      <w:proofErr w:type="spellStart"/>
      <w:r w:rsidRPr="00456AB7">
        <w:rPr>
          <w:rFonts w:ascii="Times New Roman" w:hAnsi="Times New Roman" w:cs="Times New Roman"/>
          <w:sz w:val="24"/>
          <w:szCs w:val="24"/>
        </w:rPr>
        <w:t>PharmSciTech</w:t>
      </w:r>
      <w:proofErr w:type="spellEnd"/>
      <w:r w:rsidRPr="00456AB7">
        <w:rPr>
          <w:rFonts w:ascii="Times New Roman" w:hAnsi="Times New Roman" w:cs="Times New Roman"/>
          <w:sz w:val="24"/>
          <w:szCs w:val="24"/>
        </w:rPr>
        <w:t xml:space="preserve">, 9(2), 349–356. https://doi.org/10.1208/s12249-008-9047-7 </w:t>
      </w:r>
    </w:p>
    <w:p w14:paraId="7500ACB2"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Dixit, R. P., &amp; Puthli, S. P. (2009). Oral strip technology: Overview and future potential. Journal of Controlled Release, 139(2), 94–107. https://doi.org/10.1016/j.jconrel.2009.06.014</w:t>
      </w:r>
    </w:p>
    <w:p w14:paraId="35EE2067"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Eming</w:t>
      </w:r>
      <w:proofErr w:type="spellEnd"/>
      <w:r w:rsidRPr="00456AB7">
        <w:rPr>
          <w:rFonts w:ascii="Times New Roman" w:hAnsi="Times New Roman" w:cs="Times New Roman"/>
          <w:sz w:val="24"/>
          <w:szCs w:val="24"/>
        </w:rPr>
        <w:t>, S. A., Martin, P., &amp; Tomic-</w:t>
      </w:r>
      <w:proofErr w:type="spellStart"/>
      <w:r w:rsidRPr="00456AB7">
        <w:rPr>
          <w:rFonts w:ascii="Times New Roman" w:hAnsi="Times New Roman" w:cs="Times New Roman"/>
          <w:sz w:val="24"/>
          <w:szCs w:val="24"/>
        </w:rPr>
        <w:t>Canic</w:t>
      </w:r>
      <w:proofErr w:type="spellEnd"/>
      <w:r w:rsidRPr="00456AB7">
        <w:rPr>
          <w:rFonts w:ascii="Times New Roman" w:hAnsi="Times New Roman" w:cs="Times New Roman"/>
          <w:sz w:val="24"/>
          <w:szCs w:val="24"/>
        </w:rPr>
        <w:t xml:space="preserve">, M. (2014). Wound repair and regeneration: Mechanisms, </w:t>
      </w:r>
      <w:proofErr w:type="spellStart"/>
      <w:r w:rsidRPr="00456AB7">
        <w:rPr>
          <w:rFonts w:ascii="Times New Roman" w:hAnsi="Times New Roman" w:cs="Times New Roman"/>
          <w:sz w:val="24"/>
          <w:szCs w:val="24"/>
        </w:rPr>
        <w:t>signaling</w:t>
      </w:r>
      <w:proofErr w:type="spellEnd"/>
      <w:r w:rsidRPr="00456AB7">
        <w:rPr>
          <w:rFonts w:ascii="Times New Roman" w:hAnsi="Times New Roman" w:cs="Times New Roman"/>
          <w:sz w:val="24"/>
          <w:szCs w:val="24"/>
        </w:rPr>
        <w:t>, and translation. Science Translational Medicine, 6(265), 265sr6. https://doi.org/10.1126/scitranslmed.3009337</w:t>
      </w:r>
    </w:p>
    <w:p w14:paraId="0B5DCD16"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European Medicines Agency. (2014). Guideline on quality of transdermal patches (EMA/CHMP/QWP/608924/2014). https://www.ema.europa.eu/en/quality-transdermal-patches-scientific-guideline</w:t>
      </w:r>
    </w:p>
    <w:p w14:paraId="28918B47"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Gaudana</w:t>
      </w:r>
      <w:proofErr w:type="spellEnd"/>
      <w:r w:rsidRPr="00456AB7">
        <w:rPr>
          <w:rFonts w:ascii="Times New Roman" w:hAnsi="Times New Roman" w:cs="Times New Roman"/>
          <w:sz w:val="24"/>
          <w:szCs w:val="24"/>
        </w:rPr>
        <w:t xml:space="preserve">, R., </w:t>
      </w:r>
      <w:proofErr w:type="spellStart"/>
      <w:r w:rsidRPr="00456AB7">
        <w:rPr>
          <w:rFonts w:ascii="Times New Roman" w:hAnsi="Times New Roman" w:cs="Times New Roman"/>
          <w:sz w:val="24"/>
          <w:szCs w:val="24"/>
        </w:rPr>
        <w:t>Ananthula</w:t>
      </w:r>
      <w:proofErr w:type="spellEnd"/>
      <w:r w:rsidRPr="00456AB7">
        <w:rPr>
          <w:rFonts w:ascii="Times New Roman" w:hAnsi="Times New Roman" w:cs="Times New Roman"/>
          <w:sz w:val="24"/>
          <w:szCs w:val="24"/>
        </w:rPr>
        <w:t xml:space="preserve">, H. K., </w:t>
      </w:r>
      <w:proofErr w:type="spellStart"/>
      <w:r w:rsidRPr="00456AB7">
        <w:rPr>
          <w:rFonts w:ascii="Times New Roman" w:hAnsi="Times New Roman" w:cs="Times New Roman"/>
          <w:sz w:val="24"/>
          <w:szCs w:val="24"/>
        </w:rPr>
        <w:t>Parenky</w:t>
      </w:r>
      <w:proofErr w:type="spellEnd"/>
      <w:r w:rsidRPr="00456AB7">
        <w:rPr>
          <w:rFonts w:ascii="Times New Roman" w:hAnsi="Times New Roman" w:cs="Times New Roman"/>
          <w:sz w:val="24"/>
          <w:szCs w:val="24"/>
        </w:rPr>
        <w:t>, A., &amp; Mitra, A. K. (2010). Ocular drug delivery. The AAPS Journal, 12(3), 348–360. https://doi.org/10.1208/s12248-010-9183-3</w:t>
      </w:r>
    </w:p>
    <w:p w14:paraId="7298E4CD"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Grant, M. J., &amp; Booth, A. (2009). A typology of reviews: An analysis of 14 review types and associated methodologies. Health Information &amp; Libraries Journal, 26(2), 91–108. https://doi.org/10.1111/j.1471-1842.2009.00848.x</w:t>
      </w:r>
    </w:p>
    <w:p w14:paraId="6E8E8DA6"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Grice, E. A., &amp; Segre, J. A. (2011). The skin microbiome. Nature Reviews Microbiology, 9(4), 244–253. https://doi.org/10.1038/nrmicro2537</w:t>
      </w:r>
    </w:p>
    <w:p w14:paraId="6DDCF8D6"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Gunt</w:t>
      </w:r>
      <w:proofErr w:type="spellEnd"/>
      <w:r w:rsidRPr="00456AB7">
        <w:rPr>
          <w:rFonts w:ascii="Times New Roman" w:hAnsi="Times New Roman" w:cs="Times New Roman"/>
          <w:sz w:val="24"/>
          <w:szCs w:val="24"/>
        </w:rPr>
        <w:t xml:space="preserve">, H. B., &amp; Kasting, G. B. (2007). Effect of hydration on the permeation of ketoconazole through human nail plate in vitro. European Journal of Pharmaceutical Sciences, 32(4–5), 254–260. https://doi.org/10.1016/j.ejps.2007.07.009 </w:t>
      </w:r>
    </w:p>
    <w:p w14:paraId="51431A5C"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Hadgraft</w:t>
      </w:r>
      <w:proofErr w:type="spellEnd"/>
      <w:r w:rsidRPr="00456AB7">
        <w:rPr>
          <w:rFonts w:ascii="Times New Roman" w:hAnsi="Times New Roman" w:cs="Times New Roman"/>
          <w:sz w:val="24"/>
          <w:szCs w:val="24"/>
        </w:rPr>
        <w:t xml:space="preserve">, J., &amp; Lane, M. E. (2016). Drug crystallization—implications for topical and transdermal delivery. Expert Opinion on Drug Delivery, 13(6), 817–830. https://doi.org/10.1517/17425247.2016.1140146 </w:t>
      </w:r>
    </w:p>
    <w:p w14:paraId="16571590"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lastRenderedPageBreak/>
        <w:t>Hamman, J. H. (2010). Chitosan based polyelectrolyte complexes as potential carrier materials in drug delivery systems. Marine Drugs, 8(4), 1305–1322. https://doi.org/10.3390/md8041305</w:t>
      </w:r>
    </w:p>
    <w:p w14:paraId="25E2FC7F"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Hoare, T. R., &amp; </w:t>
      </w:r>
      <w:proofErr w:type="spellStart"/>
      <w:r w:rsidRPr="00456AB7">
        <w:rPr>
          <w:rFonts w:ascii="Times New Roman" w:hAnsi="Times New Roman" w:cs="Times New Roman"/>
          <w:sz w:val="24"/>
          <w:szCs w:val="24"/>
        </w:rPr>
        <w:t>Kohane</w:t>
      </w:r>
      <w:proofErr w:type="spellEnd"/>
      <w:r w:rsidRPr="00456AB7">
        <w:rPr>
          <w:rFonts w:ascii="Times New Roman" w:hAnsi="Times New Roman" w:cs="Times New Roman"/>
          <w:sz w:val="24"/>
          <w:szCs w:val="24"/>
        </w:rPr>
        <w:t>, D. S. (2008). Hydrogels in drug delivery: Progress and challenges. Polymer, 49(8), 1993–2007. https://doi.org/10.1016/j.polymer.2008.01.027</w:t>
      </w:r>
    </w:p>
    <w:p w14:paraId="0FFD5D0C"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Illum, L. (2003). Nasal drug delivery—possibilities, problems and solutions. Journal of Controlled Release, 87(1–3), 187–198. https://doi.org/10.1016/S0168-3659(02)00363-2</w:t>
      </w:r>
    </w:p>
    <w:p w14:paraId="05E73EB9"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International Council for Harmonisation. (2009). ICH harmonised tripartite guideline: Pharmaceutical development Q8(R2). https://database.ich.org/sites/default/files/Q8_R2_Guideline.pdf</w:t>
      </w:r>
    </w:p>
    <w:p w14:paraId="135DFCE0"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Jamróz</w:t>
      </w:r>
      <w:proofErr w:type="spellEnd"/>
      <w:r w:rsidRPr="00456AB7">
        <w:rPr>
          <w:rFonts w:ascii="Times New Roman" w:hAnsi="Times New Roman" w:cs="Times New Roman"/>
          <w:sz w:val="24"/>
          <w:szCs w:val="24"/>
        </w:rPr>
        <w:t>, W., Szafraniec, J., Kurek, M., &amp; Jachowicz, R. (2018). 3D printing in pharmaceutical and medical applications—recent achievements and challenges. Pharmaceutical Research, 35(9), Article 176. https://doi.org/10.1007/s11095-018-2454-x</w:t>
      </w:r>
    </w:p>
    <w:p w14:paraId="17BAE3A9"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Kamoun, E. A., Kenawy, E.-R. S., &amp; Chen, X. (2017). A review on polymeric hydrogel membranes for wound dressing applications: PVA-based hydrogel dressings. Journal of Advanced Research, 8(3), 217–233. https://doi.org/10.1016/j.jare.2017.01.005</w:t>
      </w:r>
    </w:p>
    <w:p w14:paraId="77BC8C67"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Karande</w:t>
      </w:r>
      <w:proofErr w:type="spellEnd"/>
      <w:r w:rsidRPr="00456AB7">
        <w:rPr>
          <w:rFonts w:ascii="Times New Roman" w:hAnsi="Times New Roman" w:cs="Times New Roman"/>
          <w:sz w:val="24"/>
          <w:szCs w:val="24"/>
        </w:rPr>
        <w:t>, P., Jain, A., Ergun, K., Kispersky, V., &amp; Mitragotri, S. (2005). Design principles of chemical penetration enhancers for transdermal drug delivery. Proceedings of the National Academy of Sciences of the United States of America, 102(13), 4688–4693. https://doi.org/10.1073/pnas.0501176102</w:t>
      </w:r>
    </w:p>
    <w:p w14:paraId="17634C99"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Makadia, H. K., &amp; Siegel, S. J. (2011). Poly lactic-co-glycolic acid (PLGA) as biodegradable controlled drug delivery carrier. Polymers, 3(3), 1377–1397. https://doi.org/10.3390/polym3031377</w:t>
      </w:r>
    </w:p>
    <w:p w14:paraId="577E42C0"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Morales, J. O., &amp; McConville, J. T. (2011). Manufacture and characterization of mucoadhesive buccal films. European Journal of Pharmaceutics and Biopharmaceutics, 77(2), 187–199. https://doi.org/10.1016/j.ejpb.2010.11.023</w:t>
      </w:r>
    </w:p>
    <w:p w14:paraId="21D3B04B"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Müller, R. H., </w:t>
      </w:r>
      <w:proofErr w:type="spellStart"/>
      <w:r w:rsidRPr="00456AB7">
        <w:rPr>
          <w:rFonts w:ascii="Times New Roman" w:hAnsi="Times New Roman" w:cs="Times New Roman"/>
          <w:sz w:val="24"/>
          <w:szCs w:val="24"/>
        </w:rPr>
        <w:t>Mäder</w:t>
      </w:r>
      <w:proofErr w:type="spellEnd"/>
      <w:r w:rsidRPr="00456AB7">
        <w:rPr>
          <w:rFonts w:ascii="Times New Roman" w:hAnsi="Times New Roman" w:cs="Times New Roman"/>
          <w:sz w:val="24"/>
          <w:szCs w:val="24"/>
        </w:rPr>
        <w:t xml:space="preserve">, K., &amp; </w:t>
      </w:r>
      <w:proofErr w:type="spellStart"/>
      <w:r w:rsidRPr="00456AB7">
        <w:rPr>
          <w:rFonts w:ascii="Times New Roman" w:hAnsi="Times New Roman" w:cs="Times New Roman"/>
          <w:sz w:val="24"/>
          <w:szCs w:val="24"/>
        </w:rPr>
        <w:t>Gohla</w:t>
      </w:r>
      <w:proofErr w:type="spellEnd"/>
      <w:r w:rsidRPr="00456AB7">
        <w:rPr>
          <w:rFonts w:ascii="Times New Roman" w:hAnsi="Times New Roman" w:cs="Times New Roman"/>
          <w:sz w:val="24"/>
          <w:szCs w:val="24"/>
        </w:rPr>
        <w:t>, S. (2000). Solid lipid nanoparticles (SLN) for controlled drug delivery: A review of the state of the art. European Journal of Pharmaceutics and Biopharmaceutics, 50(1), 161–177. https://doi.org/10.1016/S0939-6411(00)00087-4</w:t>
      </w:r>
    </w:p>
    <w:p w14:paraId="511F0057"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Murdan</w:t>
      </w:r>
      <w:proofErr w:type="spellEnd"/>
      <w:r w:rsidRPr="00456AB7">
        <w:rPr>
          <w:rFonts w:ascii="Times New Roman" w:hAnsi="Times New Roman" w:cs="Times New Roman"/>
          <w:sz w:val="24"/>
          <w:szCs w:val="24"/>
        </w:rPr>
        <w:t xml:space="preserve">, S. (2002). Drug delivery to the nail following topical application. International Journal of Pharmaceutics, 236(1–2), 1–26. https://doi.org/10.1016/S0378-5173(01)00989-9 </w:t>
      </w:r>
    </w:p>
    <w:p w14:paraId="2D5CF44E"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Nastiti</w:t>
      </w:r>
      <w:proofErr w:type="spellEnd"/>
      <w:r w:rsidRPr="00456AB7">
        <w:rPr>
          <w:rFonts w:ascii="Times New Roman" w:hAnsi="Times New Roman" w:cs="Times New Roman"/>
          <w:sz w:val="24"/>
          <w:szCs w:val="24"/>
        </w:rPr>
        <w:t>, C. M. R. R., Ponto, T., Abd, E., Grice, J. E., Benson, H. A. E., &amp; Roberts, M. S. (2017). Topical nano and microemulsions for skin delivery. Pharmaceutics, 9(4), 37. https://doi.org/10.3390/pharmaceutics9040037</w:t>
      </w:r>
    </w:p>
    <w:p w14:paraId="621520FC"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Pardeike, J., </w:t>
      </w:r>
      <w:proofErr w:type="spellStart"/>
      <w:r w:rsidRPr="00456AB7">
        <w:rPr>
          <w:rFonts w:ascii="Times New Roman" w:hAnsi="Times New Roman" w:cs="Times New Roman"/>
          <w:sz w:val="24"/>
          <w:szCs w:val="24"/>
        </w:rPr>
        <w:t>Hommoss</w:t>
      </w:r>
      <w:proofErr w:type="spellEnd"/>
      <w:r w:rsidRPr="00456AB7">
        <w:rPr>
          <w:rFonts w:ascii="Times New Roman" w:hAnsi="Times New Roman" w:cs="Times New Roman"/>
          <w:sz w:val="24"/>
          <w:szCs w:val="24"/>
        </w:rPr>
        <w:t>, A., &amp; Müller, R. H. (2009). Lipid nanoparticles (SLN, NLC) in cosmetic and pharmaceutical dermal products. International Journal of Pharmaceutics, 366(1–2), 170–184. https://doi.org/10.1016/j.ijpharm.2008.10.003</w:t>
      </w:r>
    </w:p>
    <w:p w14:paraId="5F9F5CC7"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lastRenderedPageBreak/>
        <w:t xml:space="preserve">Pawar, H. V., Tetteh, J., &amp; Boateng, J. S. (2013). Preparation, optimisation and characterisation of novel wound healing film dressings loaded with streptomycin and diclofenac. Colloids and Surfaces B: </w:t>
      </w:r>
      <w:proofErr w:type="spellStart"/>
      <w:r w:rsidRPr="00456AB7">
        <w:rPr>
          <w:rFonts w:ascii="Times New Roman" w:hAnsi="Times New Roman" w:cs="Times New Roman"/>
          <w:sz w:val="24"/>
          <w:szCs w:val="24"/>
        </w:rPr>
        <w:t>Biointerfaces</w:t>
      </w:r>
      <w:proofErr w:type="spellEnd"/>
      <w:r w:rsidRPr="00456AB7">
        <w:rPr>
          <w:rFonts w:ascii="Times New Roman" w:hAnsi="Times New Roman" w:cs="Times New Roman"/>
          <w:sz w:val="24"/>
          <w:szCs w:val="24"/>
        </w:rPr>
        <w:t>, 102, 102–110. https://doi.org/10.1016/j.colsurfb.2012.08.014</w:t>
      </w:r>
    </w:p>
    <w:p w14:paraId="7FB73A72"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Percival, S. L., Suleman, L., Vuotto, C., &amp; Donelli, G. (2015). Healthcare-associated infections, medical devices and biofilms: Risk, tolerance and control. Journal of Medical Microbiology, 64(4), 323–334. https://doi.org/10.1099/jmm.0.000032</w:t>
      </w:r>
    </w:p>
    <w:p w14:paraId="334A26CB"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Prausnitz</w:t>
      </w:r>
      <w:proofErr w:type="spellEnd"/>
      <w:r w:rsidRPr="00456AB7">
        <w:rPr>
          <w:rFonts w:ascii="Times New Roman" w:hAnsi="Times New Roman" w:cs="Times New Roman"/>
          <w:sz w:val="24"/>
          <w:szCs w:val="24"/>
        </w:rPr>
        <w:t>, M. R., &amp; Langer, R. (2008). Transdermal drug delivery. Nature Biotechnology, 26(11), 1261–1268. https://doi.org/10.1038/nbt.1504</w:t>
      </w:r>
    </w:p>
    <w:p w14:paraId="3EBF0B7E"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Proksch, E., Brandner, J. M., &amp; Jensen, J. M. (2008). The skin: An indispensable barrier. Experimental Dermatology, 17(12), 1063–1072. https://doi.org/10.1111/j.1600-0625.2008.00786.x</w:t>
      </w:r>
    </w:p>
    <w:p w14:paraId="4228C122"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Repka, M. A., &amp; McGinity, J. W. (2000). Physical–mechanical, moisture absorption and </w:t>
      </w:r>
      <w:proofErr w:type="spellStart"/>
      <w:r w:rsidRPr="00456AB7">
        <w:rPr>
          <w:rFonts w:ascii="Times New Roman" w:hAnsi="Times New Roman" w:cs="Times New Roman"/>
          <w:sz w:val="24"/>
          <w:szCs w:val="24"/>
        </w:rPr>
        <w:t>bioadhesive</w:t>
      </w:r>
      <w:proofErr w:type="spellEnd"/>
      <w:r w:rsidRPr="00456AB7">
        <w:rPr>
          <w:rFonts w:ascii="Times New Roman" w:hAnsi="Times New Roman" w:cs="Times New Roman"/>
          <w:sz w:val="24"/>
          <w:szCs w:val="24"/>
        </w:rPr>
        <w:t xml:space="preserve"> properties of </w:t>
      </w:r>
      <w:proofErr w:type="spellStart"/>
      <w:r w:rsidRPr="00456AB7">
        <w:rPr>
          <w:rFonts w:ascii="Times New Roman" w:hAnsi="Times New Roman" w:cs="Times New Roman"/>
          <w:sz w:val="24"/>
          <w:szCs w:val="24"/>
        </w:rPr>
        <w:t>hydroxypropylcellulose</w:t>
      </w:r>
      <w:proofErr w:type="spellEnd"/>
      <w:r w:rsidRPr="00456AB7">
        <w:rPr>
          <w:rFonts w:ascii="Times New Roman" w:hAnsi="Times New Roman" w:cs="Times New Roman"/>
          <w:sz w:val="24"/>
          <w:szCs w:val="24"/>
        </w:rPr>
        <w:t xml:space="preserve"> hot-melt extruded films. Biomaterials, 21(14), 1509–1517. https://doi.org/10.1016/S0142-9612(00)00046-6 </w:t>
      </w:r>
    </w:p>
    <w:p w14:paraId="3085FF75"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Ritger, P. L., &amp; Peppas, N. A. (1987). A simple equation for description of solute release I: </w:t>
      </w:r>
      <w:proofErr w:type="spellStart"/>
      <w:r w:rsidRPr="00456AB7">
        <w:rPr>
          <w:rFonts w:ascii="Times New Roman" w:hAnsi="Times New Roman" w:cs="Times New Roman"/>
          <w:sz w:val="24"/>
          <w:szCs w:val="24"/>
        </w:rPr>
        <w:t>Fickian</w:t>
      </w:r>
      <w:proofErr w:type="spellEnd"/>
      <w:r w:rsidRPr="00456AB7">
        <w:rPr>
          <w:rFonts w:ascii="Times New Roman" w:hAnsi="Times New Roman" w:cs="Times New Roman"/>
          <w:sz w:val="24"/>
          <w:szCs w:val="24"/>
        </w:rPr>
        <w:t xml:space="preserve"> and non-</w:t>
      </w:r>
      <w:proofErr w:type="spellStart"/>
      <w:r w:rsidRPr="00456AB7">
        <w:rPr>
          <w:rFonts w:ascii="Times New Roman" w:hAnsi="Times New Roman" w:cs="Times New Roman"/>
          <w:sz w:val="24"/>
          <w:szCs w:val="24"/>
        </w:rPr>
        <w:t>fickian</w:t>
      </w:r>
      <w:proofErr w:type="spellEnd"/>
      <w:r w:rsidRPr="00456AB7">
        <w:rPr>
          <w:rFonts w:ascii="Times New Roman" w:hAnsi="Times New Roman" w:cs="Times New Roman"/>
          <w:sz w:val="24"/>
          <w:szCs w:val="24"/>
        </w:rPr>
        <w:t xml:space="preserve"> release from non-swellable devices in the form of slabs, spheres, cylinders or discs. Journal of Controlled Release, 5(1), 23–36. https://doi.org/10.1016/0168-3659(87)90034-4</w:t>
      </w:r>
    </w:p>
    <w:p w14:paraId="1FA5F7A2"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Siepmann, F., Siepmann, J., Walther, M., MacRae, R. J., &amp; </w:t>
      </w:r>
      <w:proofErr w:type="spellStart"/>
      <w:r w:rsidRPr="00456AB7">
        <w:rPr>
          <w:rFonts w:ascii="Times New Roman" w:hAnsi="Times New Roman" w:cs="Times New Roman"/>
          <w:sz w:val="24"/>
          <w:szCs w:val="24"/>
        </w:rPr>
        <w:t>Bodmeier</w:t>
      </w:r>
      <w:proofErr w:type="spellEnd"/>
      <w:r w:rsidRPr="00456AB7">
        <w:rPr>
          <w:rFonts w:ascii="Times New Roman" w:hAnsi="Times New Roman" w:cs="Times New Roman"/>
          <w:sz w:val="24"/>
          <w:szCs w:val="24"/>
        </w:rPr>
        <w:t>, R. (2008). Polymer blends for controlled release coatings. Journal of Controlled Release, 125(1), 1–15. https://doi.org/10.1016/j.jconrel.2007.09.012</w:t>
      </w:r>
    </w:p>
    <w:p w14:paraId="3D19CA4F"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Siepmann, J., &amp; Peppas, N. A. (2001). </w:t>
      </w:r>
      <w:proofErr w:type="spellStart"/>
      <w:r w:rsidRPr="00456AB7">
        <w:rPr>
          <w:rFonts w:ascii="Times New Roman" w:hAnsi="Times New Roman" w:cs="Times New Roman"/>
          <w:sz w:val="24"/>
          <w:szCs w:val="24"/>
        </w:rPr>
        <w:t>Modeling</w:t>
      </w:r>
      <w:proofErr w:type="spellEnd"/>
      <w:r w:rsidRPr="00456AB7">
        <w:rPr>
          <w:rFonts w:ascii="Times New Roman" w:hAnsi="Times New Roman" w:cs="Times New Roman"/>
          <w:sz w:val="24"/>
          <w:szCs w:val="24"/>
        </w:rPr>
        <w:t xml:space="preserve"> of drug release from delivery systems based on hydroxypropyl methylcellulose (HPMC). Advanced Drug Delivery Reviews, 48(2–3), 139–157. https://doi.org/10.1016/S0169-409X(01)00112-0</w:t>
      </w:r>
    </w:p>
    <w:p w14:paraId="217304FA"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Smart, J. D. (2005). The basics and underlying mechanisms of </w:t>
      </w:r>
      <w:proofErr w:type="spellStart"/>
      <w:r w:rsidRPr="00456AB7">
        <w:rPr>
          <w:rFonts w:ascii="Times New Roman" w:hAnsi="Times New Roman" w:cs="Times New Roman"/>
          <w:sz w:val="24"/>
          <w:szCs w:val="24"/>
        </w:rPr>
        <w:t>mucoadhesion</w:t>
      </w:r>
      <w:proofErr w:type="spellEnd"/>
      <w:r w:rsidRPr="00456AB7">
        <w:rPr>
          <w:rFonts w:ascii="Times New Roman" w:hAnsi="Times New Roman" w:cs="Times New Roman"/>
          <w:sz w:val="24"/>
          <w:szCs w:val="24"/>
        </w:rPr>
        <w:t>. Advanced Drug Delivery Reviews, 57(11), 1556–1568. https://doi.org/10.1016/j.addr.2005.07.001</w:t>
      </w:r>
    </w:p>
    <w:p w14:paraId="5492C136"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proofErr w:type="spellStart"/>
      <w:r w:rsidRPr="00456AB7">
        <w:rPr>
          <w:rFonts w:ascii="Times New Roman" w:hAnsi="Times New Roman" w:cs="Times New Roman"/>
          <w:sz w:val="24"/>
          <w:szCs w:val="24"/>
        </w:rPr>
        <w:t>Soppimath</w:t>
      </w:r>
      <w:proofErr w:type="spellEnd"/>
      <w:r w:rsidRPr="00456AB7">
        <w:rPr>
          <w:rFonts w:ascii="Times New Roman" w:hAnsi="Times New Roman" w:cs="Times New Roman"/>
          <w:sz w:val="24"/>
          <w:szCs w:val="24"/>
        </w:rPr>
        <w:t xml:space="preserve">, K. S., </w:t>
      </w:r>
      <w:proofErr w:type="spellStart"/>
      <w:r w:rsidRPr="00456AB7">
        <w:rPr>
          <w:rFonts w:ascii="Times New Roman" w:hAnsi="Times New Roman" w:cs="Times New Roman"/>
          <w:sz w:val="24"/>
          <w:szCs w:val="24"/>
        </w:rPr>
        <w:t>Aminabhavi</w:t>
      </w:r>
      <w:proofErr w:type="spellEnd"/>
      <w:r w:rsidRPr="00456AB7">
        <w:rPr>
          <w:rFonts w:ascii="Times New Roman" w:hAnsi="Times New Roman" w:cs="Times New Roman"/>
          <w:sz w:val="24"/>
          <w:szCs w:val="24"/>
        </w:rPr>
        <w:t>, T. M., Kulkarni, A. R., &amp; Rudzinski, W. E. (2001). Biodegradable polymeric nanoparticles as drug delivery devices. Journal of Controlled Release, 70(1–2), 1–20. https://doi.org/10.1016/S0168-3659(00)00339-4</w:t>
      </w:r>
    </w:p>
    <w:p w14:paraId="1D0B1F05"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Sosnik, A., &amp; </w:t>
      </w:r>
      <w:proofErr w:type="spellStart"/>
      <w:r w:rsidRPr="00456AB7">
        <w:rPr>
          <w:rFonts w:ascii="Times New Roman" w:hAnsi="Times New Roman" w:cs="Times New Roman"/>
          <w:sz w:val="24"/>
          <w:szCs w:val="24"/>
        </w:rPr>
        <w:t>Seremeta</w:t>
      </w:r>
      <w:proofErr w:type="spellEnd"/>
      <w:r w:rsidRPr="00456AB7">
        <w:rPr>
          <w:rFonts w:ascii="Times New Roman" w:hAnsi="Times New Roman" w:cs="Times New Roman"/>
          <w:sz w:val="24"/>
          <w:szCs w:val="24"/>
        </w:rPr>
        <w:t>, K. P. (2015). Advantages and challenges of the spray-drying technology for the production of pure drug particles and drug-loaded polymeric carriers. Advances in Colloid and Interface Science, 223, 40–54. https://doi.org/10.1016/j.cis.2015.05.003</w:t>
      </w:r>
    </w:p>
    <w:p w14:paraId="4EB1B398"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Stuart, M. A. C., Huck, W. T. S., Genzer, J., Müller, M., Ober, C., Stamm, M., Sukhorukov, G. B., </w:t>
      </w:r>
      <w:proofErr w:type="spellStart"/>
      <w:r w:rsidRPr="00456AB7">
        <w:rPr>
          <w:rFonts w:ascii="Times New Roman" w:hAnsi="Times New Roman" w:cs="Times New Roman"/>
          <w:sz w:val="24"/>
          <w:szCs w:val="24"/>
        </w:rPr>
        <w:t>Szleifer</w:t>
      </w:r>
      <w:proofErr w:type="spellEnd"/>
      <w:r w:rsidRPr="00456AB7">
        <w:rPr>
          <w:rFonts w:ascii="Times New Roman" w:hAnsi="Times New Roman" w:cs="Times New Roman"/>
          <w:sz w:val="24"/>
          <w:szCs w:val="24"/>
        </w:rPr>
        <w:t xml:space="preserve">, I., </w:t>
      </w:r>
      <w:proofErr w:type="spellStart"/>
      <w:r w:rsidRPr="00456AB7">
        <w:rPr>
          <w:rFonts w:ascii="Times New Roman" w:hAnsi="Times New Roman" w:cs="Times New Roman"/>
          <w:sz w:val="24"/>
          <w:szCs w:val="24"/>
        </w:rPr>
        <w:t>Tsukruk</w:t>
      </w:r>
      <w:proofErr w:type="spellEnd"/>
      <w:r w:rsidRPr="00456AB7">
        <w:rPr>
          <w:rFonts w:ascii="Times New Roman" w:hAnsi="Times New Roman" w:cs="Times New Roman"/>
          <w:sz w:val="24"/>
          <w:szCs w:val="24"/>
        </w:rPr>
        <w:t>, V. V., Urban, M., Winnik, F., Zauscher, S., Luzinov, I., &amp; Minko, S. (2010). Emerging applications of stimuli-responsive polymer materials. Nature Materials, 9(2), 101–113. https://doi.org/10.1038/nmat2614</w:t>
      </w:r>
    </w:p>
    <w:p w14:paraId="1243B194"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lastRenderedPageBreak/>
        <w:t xml:space="preserve">Touitou, E., Dayan, N., </w:t>
      </w:r>
      <w:proofErr w:type="spellStart"/>
      <w:r w:rsidRPr="00456AB7">
        <w:rPr>
          <w:rFonts w:ascii="Times New Roman" w:hAnsi="Times New Roman" w:cs="Times New Roman"/>
          <w:sz w:val="24"/>
          <w:szCs w:val="24"/>
        </w:rPr>
        <w:t>Bergelson</w:t>
      </w:r>
      <w:proofErr w:type="spellEnd"/>
      <w:r w:rsidRPr="00456AB7">
        <w:rPr>
          <w:rFonts w:ascii="Times New Roman" w:hAnsi="Times New Roman" w:cs="Times New Roman"/>
          <w:sz w:val="24"/>
          <w:szCs w:val="24"/>
        </w:rPr>
        <w:t xml:space="preserve">, L., Godin, B., &amp; Eliaz, M. (2000). </w:t>
      </w:r>
      <w:proofErr w:type="spellStart"/>
      <w:r w:rsidRPr="00456AB7">
        <w:rPr>
          <w:rFonts w:ascii="Times New Roman" w:hAnsi="Times New Roman" w:cs="Times New Roman"/>
          <w:sz w:val="24"/>
          <w:szCs w:val="24"/>
        </w:rPr>
        <w:t>Ethosomes</w:t>
      </w:r>
      <w:proofErr w:type="spellEnd"/>
      <w:r w:rsidRPr="00456AB7">
        <w:rPr>
          <w:rFonts w:ascii="Times New Roman" w:hAnsi="Times New Roman" w:cs="Times New Roman"/>
          <w:sz w:val="24"/>
          <w:szCs w:val="24"/>
        </w:rPr>
        <w:t>: Novel vesicular carriers for enhanced delivery: Characterization and skin penetration properties. Journal of Controlled Release, 65(3), 403–418. https://doi.org/10.1016/S0168-3659(99)00222-9</w:t>
      </w:r>
    </w:p>
    <w:p w14:paraId="4A0028B2"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U.S. Food and Drug Administration. (1998). Topical dermatological drug product NDAs and ANDAs—in vivo bioavailability, bioequivalence, in vitro release, and associated studies: Draft guidance for industry. Federal Register. https://www.federalregister.gov/documents/1998/06/18/98-16141/draft-guidance-for-industry-on-topical-dermatological-drug-product-ndas-and-andasin-vivo </w:t>
      </w:r>
    </w:p>
    <w:p w14:paraId="03261BC5"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Vieira, M. G. A., da Silva, M. A., dos Santos, L. O., &amp; Beppu, M. M. (2011). Natural-based plasticizers and biopolymer films: A review. European Polymer Journal, 47(3), 254–263. https://doi.org/10.1016/j.eurpolymj.2010.12.011</w:t>
      </w:r>
    </w:p>
    <w:p w14:paraId="680405A4"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Ward, M. A., &amp; Georgiou, T. K. (2011). </w:t>
      </w:r>
      <w:proofErr w:type="spellStart"/>
      <w:r w:rsidRPr="00456AB7">
        <w:rPr>
          <w:rFonts w:ascii="Times New Roman" w:hAnsi="Times New Roman" w:cs="Times New Roman"/>
          <w:sz w:val="24"/>
          <w:szCs w:val="24"/>
        </w:rPr>
        <w:t>Thermoresponsive</w:t>
      </w:r>
      <w:proofErr w:type="spellEnd"/>
      <w:r w:rsidRPr="00456AB7">
        <w:rPr>
          <w:rFonts w:ascii="Times New Roman" w:hAnsi="Times New Roman" w:cs="Times New Roman"/>
          <w:sz w:val="24"/>
          <w:szCs w:val="24"/>
        </w:rPr>
        <w:t xml:space="preserve"> polymers for biomedical applications. Polymers, 3(3), 1215–1242. https://doi.org/10.3390/polym3031215</w:t>
      </w:r>
    </w:p>
    <w:p w14:paraId="7D5963CE"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Williams, A. C., &amp; Barry, B. W. (2004). Penetration enhancers. Advanced Drug Delivery Reviews, 56(5), 603–618. https://doi.org/10.1016/j.addr.2003.10.025</w:t>
      </w:r>
    </w:p>
    <w:p w14:paraId="6956D703" w14:textId="77777777" w:rsidR="00456AB7"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Wissing, S. A., Kayser, O., &amp; Müller, R. H. (2004). Solid lipid nanoparticles for parenteral drug delivery. Advanced Drug Delivery Reviews, 56(9), 1257–1272. https://doi.org/10.1016/j.addr.2003.12.002</w:t>
      </w:r>
    </w:p>
    <w:p w14:paraId="43836DA0" w14:textId="77777777" w:rsidR="004841B3" w:rsidRPr="00456AB7" w:rsidRDefault="00456AB7" w:rsidP="003553A3">
      <w:pPr>
        <w:spacing w:before="100" w:beforeAutospacing="1" w:after="100" w:afterAutospacing="1" w:line="240" w:lineRule="auto"/>
        <w:jc w:val="both"/>
        <w:rPr>
          <w:rFonts w:ascii="Times New Roman" w:hAnsi="Times New Roman" w:cs="Times New Roman"/>
          <w:sz w:val="24"/>
          <w:szCs w:val="24"/>
        </w:rPr>
      </w:pPr>
      <w:r w:rsidRPr="00456AB7">
        <w:rPr>
          <w:rFonts w:ascii="Times New Roman" w:hAnsi="Times New Roman" w:cs="Times New Roman"/>
          <w:sz w:val="24"/>
          <w:szCs w:val="24"/>
        </w:rPr>
        <w:t xml:space="preserve">Zhang, Z., Tsai, P. C., </w:t>
      </w:r>
      <w:proofErr w:type="spellStart"/>
      <w:r w:rsidRPr="00456AB7">
        <w:rPr>
          <w:rFonts w:ascii="Times New Roman" w:hAnsi="Times New Roman" w:cs="Times New Roman"/>
          <w:sz w:val="24"/>
          <w:szCs w:val="24"/>
        </w:rPr>
        <w:t>Ramezanli</w:t>
      </w:r>
      <w:proofErr w:type="spellEnd"/>
      <w:r w:rsidRPr="00456AB7">
        <w:rPr>
          <w:rFonts w:ascii="Times New Roman" w:hAnsi="Times New Roman" w:cs="Times New Roman"/>
          <w:sz w:val="24"/>
          <w:szCs w:val="24"/>
        </w:rPr>
        <w:t>, T., &amp; Michniak-Kohn, B. B. (2013). Polymeric nanoparticles-based topical delivery systems for the treatment of dermatological diseases. Wiley Interdisciplinary Reviews: Nanomedicine and Nanobiotechnology, 5(3), 205–218. https://doi.org/10.1002/wnan.1211</w:t>
      </w:r>
    </w:p>
    <w:sectPr w:rsidR="004841B3" w:rsidRPr="00456AB7" w:rsidSect="00484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37CC0"/>
    <w:multiLevelType w:val="multilevel"/>
    <w:tmpl w:val="3248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866BE"/>
    <w:multiLevelType w:val="multilevel"/>
    <w:tmpl w:val="831E7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9530D1"/>
    <w:multiLevelType w:val="hybridMultilevel"/>
    <w:tmpl w:val="FBB4B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180570">
    <w:abstractNumId w:val="2"/>
  </w:num>
  <w:num w:numId="2" w16cid:durableId="1910308982">
    <w:abstractNumId w:val="1"/>
  </w:num>
  <w:num w:numId="3" w16cid:durableId="192506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UxMzU2MzY3MjIwMjVX0lEKTi0uzszPAykwrAUAKO9cwiwAAAA="/>
  </w:docVars>
  <w:rsids>
    <w:rsidRoot w:val="009F5601"/>
    <w:rsid w:val="00155112"/>
    <w:rsid w:val="001C53A0"/>
    <w:rsid w:val="00270EF9"/>
    <w:rsid w:val="00320608"/>
    <w:rsid w:val="003553A3"/>
    <w:rsid w:val="003E50A7"/>
    <w:rsid w:val="004007B5"/>
    <w:rsid w:val="00456AB7"/>
    <w:rsid w:val="004841B3"/>
    <w:rsid w:val="00684EB6"/>
    <w:rsid w:val="006E40CB"/>
    <w:rsid w:val="00753BBC"/>
    <w:rsid w:val="007C05B5"/>
    <w:rsid w:val="007D3914"/>
    <w:rsid w:val="0083683A"/>
    <w:rsid w:val="008B5111"/>
    <w:rsid w:val="009B6D8A"/>
    <w:rsid w:val="009F5601"/>
    <w:rsid w:val="00A47C87"/>
    <w:rsid w:val="00C7101F"/>
    <w:rsid w:val="00D7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CDA0B"/>
  <w15:docId w15:val="{336A1404-F2D7-4061-B915-097BBD88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9F56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F560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F560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56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F560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F5601"/>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9F56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5601"/>
    <w:rPr>
      <w:b/>
      <w:bCs/>
    </w:rPr>
  </w:style>
  <w:style w:type="character" w:styleId="Emphasis">
    <w:name w:val="Emphasis"/>
    <w:basedOn w:val="DefaultParagraphFont"/>
    <w:uiPriority w:val="20"/>
    <w:qFormat/>
    <w:rsid w:val="009F5601"/>
    <w:rPr>
      <w:i/>
      <w:iCs/>
    </w:rPr>
  </w:style>
  <w:style w:type="character" w:styleId="Hyperlink">
    <w:name w:val="Hyperlink"/>
    <w:basedOn w:val="DefaultParagraphFont"/>
    <w:uiPriority w:val="99"/>
    <w:semiHidden/>
    <w:unhideWhenUsed/>
    <w:rsid w:val="009F5601"/>
    <w:rPr>
      <w:color w:val="0000FF"/>
      <w:u w:val="single"/>
    </w:rPr>
  </w:style>
  <w:style w:type="paragraph" w:styleId="ListParagraph">
    <w:name w:val="List Paragraph"/>
    <w:basedOn w:val="Normal"/>
    <w:uiPriority w:val="34"/>
    <w:qFormat/>
    <w:rsid w:val="00C7101F"/>
    <w:pPr>
      <w:ind w:left="720"/>
      <w:contextualSpacing/>
    </w:pPr>
  </w:style>
  <w:style w:type="paragraph" w:styleId="NormalWeb">
    <w:name w:val="Normal (Web)"/>
    <w:basedOn w:val="Normal"/>
    <w:uiPriority w:val="99"/>
    <w:semiHidden/>
    <w:unhideWhenUsed/>
    <w:rsid w:val="00C7101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456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9013">
      <w:bodyDiv w:val="1"/>
      <w:marLeft w:val="0"/>
      <w:marRight w:val="0"/>
      <w:marTop w:val="0"/>
      <w:marBottom w:val="0"/>
      <w:divBdr>
        <w:top w:val="none" w:sz="0" w:space="0" w:color="auto"/>
        <w:left w:val="none" w:sz="0" w:space="0" w:color="auto"/>
        <w:bottom w:val="none" w:sz="0" w:space="0" w:color="auto"/>
        <w:right w:val="none" w:sz="0" w:space="0" w:color="auto"/>
      </w:divBdr>
      <w:divsChild>
        <w:div w:id="975991813">
          <w:marLeft w:val="0"/>
          <w:marRight w:val="0"/>
          <w:marTop w:val="0"/>
          <w:marBottom w:val="0"/>
          <w:divBdr>
            <w:top w:val="none" w:sz="0" w:space="0" w:color="auto"/>
            <w:left w:val="none" w:sz="0" w:space="0" w:color="auto"/>
            <w:bottom w:val="none" w:sz="0" w:space="0" w:color="auto"/>
            <w:right w:val="none" w:sz="0" w:space="0" w:color="auto"/>
          </w:divBdr>
          <w:divsChild>
            <w:div w:id="1052576063">
              <w:marLeft w:val="0"/>
              <w:marRight w:val="0"/>
              <w:marTop w:val="0"/>
              <w:marBottom w:val="0"/>
              <w:divBdr>
                <w:top w:val="none" w:sz="0" w:space="0" w:color="auto"/>
                <w:left w:val="none" w:sz="0" w:space="0" w:color="auto"/>
                <w:bottom w:val="none" w:sz="0" w:space="0" w:color="auto"/>
                <w:right w:val="none" w:sz="0" w:space="0" w:color="auto"/>
              </w:divBdr>
              <w:divsChild>
                <w:div w:id="371074673">
                  <w:marLeft w:val="0"/>
                  <w:marRight w:val="0"/>
                  <w:marTop w:val="0"/>
                  <w:marBottom w:val="0"/>
                  <w:divBdr>
                    <w:top w:val="none" w:sz="0" w:space="0" w:color="auto"/>
                    <w:left w:val="none" w:sz="0" w:space="0" w:color="auto"/>
                    <w:bottom w:val="none" w:sz="0" w:space="0" w:color="auto"/>
                    <w:right w:val="none" w:sz="0" w:space="0" w:color="auto"/>
                  </w:divBdr>
                  <w:divsChild>
                    <w:div w:id="1572302326">
                      <w:marLeft w:val="0"/>
                      <w:marRight w:val="0"/>
                      <w:marTop w:val="0"/>
                      <w:marBottom w:val="0"/>
                      <w:divBdr>
                        <w:top w:val="none" w:sz="0" w:space="0" w:color="auto"/>
                        <w:left w:val="none" w:sz="0" w:space="0" w:color="auto"/>
                        <w:bottom w:val="none" w:sz="0" w:space="0" w:color="auto"/>
                        <w:right w:val="none" w:sz="0" w:space="0" w:color="auto"/>
                      </w:divBdr>
                      <w:divsChild>
                        <w:div w:id="726535989">
                          <w:marLeft w:val="0"/>
                          <w:marRight w:val="0"/>
                          <w:marTop w:val="0"/>
                          <w:marBottom w:val="0"/>
                          <w:divBdr>
                            <w:top w:val="none" w:sz="0" w:space="0" w:color="auto"/>
                            <w:left w:val="none" w:sz="0" w:space="0" w:color="auto"/>
                            <w:bottom w:val="none" w:sz="0" w:space="0" w:color="auto"/>
                            <w:right w:val="none" w:sz="0" w:space="0" w:color="auto"/>
                          </w:divBdr>
                          <w:divsChild>
                            <w:div w:id="625352467">
                              <w:marLeft w:val="0"/>
                              <w:marRight w:val="0"/>
                              <w:marTop w:val="0"/>
                              <w:marBottom w:val="0"/>
                              <w:divBdr>
                                <w:top w:val="none" w:sz="0" w:space="0" w:color="auto"/>
                                <w:left w:val="none" w:sz="0" w:space="0" w:color="auto"/>
                                <w:bottom w:val="none" w:sz="0" w:space="0" w:color="auto"/>
                                <w:right w:val="none" w:sz="0" w:space="0" w:color="auto"/>
                              </w:divBdr>
                              <w:divsChild>
                                <w:div w:id="2017724417">
                                  <w:marLeft w:val="0"/>
                                  <w:marRight w:val="0"/>
                                  <w:marTop w:val="0"/>
                                  <w:marBottom w:val="0"/>
                                  <w:divBdr>
                                    <w:top w:val="none" w:sz="0" w:space="0" w:color="auto"/>
                                    <w:left w:val="none" w:sz="0" w:space="0" w:color="auto"/>
                                    <w:bottom w:val="none" w:sz="0" w:space="0" w:color="auto"/>
                                    <w:right w:val="none" w:sz="0" w:space="0" w:color="auto"/>
                                  </w:divBdr>
                                  <w:divsChild>
                                    <w:div w:id="8765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718430">
      <w:bodyDiv w:val="1"/>
      <w:marLeft w:val="0"/>
      <w:marRight w:val="0"/>
      <w:marTop w:val="0"/>
      <w:marBottom w:val="0"/>
      <w:divBdr>
        <w:top w:val="none" w:sz="0" w:space="0" w:color="auto"/>
        <w:left w:val="none" w:sz="0" w:space="0" w:color="auto"/>
        <w:bottom w:val="none" w:sz="0" w:space="0" w:color="auto"/>
        <w:right w:val="none" w:sz="0" w:space="0" w:color="auto"/>
      </w:divBdr>
    </w:div>
    <w:div w:id="776414355">
      <w:bodyDiv w:val="1"/>
      <w:marLeft w:val="0"/>
      <w:marRight w:val="0"/>
      <w:marTop w:val="0"/>
      <w:marBottom w:val="0"/>
      <w:divBdr>
        <w:top w:val="none" w:sz="0" w:space="0" w:color="auto"/>
        <w:left w:val="none" w:sz="0" w:space="0" w:color="auto"/>
        <w:bottom w:val="none" w:sz="0" w:space="0" w:color="auto"/>
        <w:right w:val="none" w:sz="0" w:space="0" w:color="auto"/>
      </w:divBdr>
    </w:div>
    <w:div w:id="885333299">
      <w:bodyDiv w:val="1"/>
      <w:marLeft w:val="0"/>
      <w:marRight w:val="0"/>
      <w:marTop w:val="0"/>
      <w:marBottom w:val="0"/>
      <w:divBdr>
        <w:top w:val="none" w:sz="0" w:space="0" w:color="auto"/>
        <w:left w:val="none" w:sz="0" w:space="0" w:color="auto"/>
        <w:bottom w:val="none" w:sz="0" w:space="0" w:color="auto"/>
        <w:right w:val="none" w:sz="0" w:space="0" w:color="auto"/>
      </w:divBdr>
      <w:divsChild>
        <w:div w:id="872960890">
          <w:marLeft w:val="0"/>
          <w:marRight w:val="0"/>
          <w:marTop w:val="0"/>
          <w:marBottom w:val="0"/>
          <w:divBdr>
            <w:top w:val="none" w:sz="0" w:space="0" w:color="auto"/>
            <w:left w:val="none" w:sz="0" w:space="0" w:color="auto"/>
            <w:bottom w:val="none" w:sz="0" w:space="0" w:color="auto"/>
            <w:right w:val="none" w:sz="0" w:space="0" w:color="auto"/>
          </w:divBdr>
        </w:div>
        <w:div w:id="217131211">
          <w:marLeft w:val="0"/>
          <w:marRight w:val="0"/>
          <w:marTop w:val="0"/>
          <w:marBottom w:val="0"/>
          <w:divBdr>
            <w:top w:val="none" w:sz="0" w:space="0" w:color="auto"/>
            <w:left w:val="none" w:sz="0" w:space="0" w:color="auto"/>
            <w:bottom w:val="none" w:sz="0" w:space="0" w:color="auto"/>
            <w:right w:val="none" w:sz="0" w:space="0" w:color="auto"/>
          </w:divBdr>
        </w:div>
        <w:div w:id="46730090">
          <w:marLeft w:val="0"/>
          <w:marRight w:val="0"/>
          <w:marTop w:val="0"/>
          <w:marBottom w:val="0"/>
          <w:divBdr>
            <w:top w:val="none" w:sz="0" w:space="0" w:color="auto"/>
            <w:left w:val="none" w:sz="0" w:space="0" w:color="auto"/>
            <w:bottom w:val="none" w:sz="0" w:space="0" w:color="auto"/>
            <w:right w:val="none" w:sz="0" w:space="0" w:color="auto"/>
          </w:divBdr>
        </w:div>
        <w:div w:id="1605918811">
          <w:marLeft w:val="0"/>
          <w:marRight w:val="0"/>
          <w:marTop w:val="0"/>
          <w:marBottom w:val="0"/>
          <w:divBdr>
            <w:top w:val="none" w:sz="0" w:space="0" w:color="auto"/>
            <w:left w:val="none" w:sz="0" w:space="0" w:color="auto"/>
            <w:bottom w:val="none" w:sz="0" w:space="0" w:color="auto"/>
            <w:right w:val="none" w:sz="0" w:space="0" w:color="auto"/>
          </w:divBdr>
        </w:div>
      </w:divsChild>
    </w:div>
    <w:div w:id="1136872568">
      <w:bodyDiv w:val="1"/>
      <w:marLeft w:val="0"/>
      <w:marRight w:val="0"/>
      <w:marTop w:val="0"/>
      <w:marBottom w:val="0"/>
      <w:divBdr>
        <w:top w:val="none" w:sz="0" w:space="0" w:color="auto"/>
        <w:left w:val="none" w:sz="0" w:space="0" w:color="auto"/>
        <w:bottom w:val="none" w:sz="0" w:space="0" w:color="auto"/>
        <w:right w:val="none" w:sz="0" w:space="0" w:color="auto"/>
      </w:divBdr>
    </w:div>
    <w:div w:id="1147819638">
      <w:bodyDiv w:val="1"/>
      <w:marLeft w:val="0"/>
      <w:marRight w:val="0"/>
      <w:marTop w:val="0"/>
      <w:marBottom w:val="0"/>
      <w:divBdr>
        <w:top w:val="none" w:sz="0" w:space="0" w:color="auto"/>
        <w:left w:val="none" w:sz="0" w:space="0" w:color="auto"/>
        <w:bottom w:val="none" w:sz="0" w:space="0" w:color="auto"/>
        <w:right w:val="none" w:sz="0" w:space="0" w:color="auto"/>
      </w:divBdr>
    </w:div>
    <w:div w:id="1155536929">
      <w:bodyDiv w:val="1"/>
      <w:marLeft w:val="0"/>
      <w:marRight w:val="0"/>
      <w:marTop w:val="0"/>
      <w:marBottom w:val="0"/>
      <w:divBdr>
        <w:top w:val="none" w:sz="0" w:space="0" w:color="auto"/>
        <w:left w:val="none" w:sz="0" w:space="0" w:color="auto"/>
        <w:bottom w:val="none" w:sz="0" w:space="0" w:color="auto"/>
        <w:right w:val="none" w:sz="0" w:space="0" w:color="auto"/>
      </w:divBdr>
    </w:div>
    <w:div w:id="184080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29</Pages>
  <Words>13338</Words>
  <Characters>76027</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PC New 16</cp:lastModifiedBy>
  <cp:revision>10</cp:revision>
  <dcterms:created xsi:type="dcterms:W3CDTF">2026-06-02T09:31:00Z</dcterms:created>
  <dcterms:modified xsi:type="dcterms:W3CDTF">2026-06-09T07:57:00Z</dcterms:modified>
</cp:coreProperties>
</file>