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FB76E" w14:textId="77777777" w:rsidR="00D73052" w:rsidRPr="0066219F" w:rsidRDefault="00D73052" w:rsidP="001F2824">
      <w:pPr>
        <w:spacing w:line="276" w:lineRule="auto"/>
        <w:jc w:val="center"/>
        <w:rPr>
          <w:rFonts w:ascii="Times New Roman" w:hAnsi="Times New Roman" w:cs="Times New Roman"/>
          <w:b/>
          <w:bCs/>
          <w:color w:val="000000" w:themeColor="text1"/>
          <w:sz w:val="28"/>
          <w:szCs w:val="28"/>
        </w:rPr>
      </w:pPr>
    </w:p>
    <w:p w14:paraId="4DFCD9F1" w14:textId="77777777" w:rsidR="007C075E" w:rsidRPr="00F8705E" w:rsidRDefault="000F424C" w:rsidP="001F2824">
      <w:pPr>
        <w:spacing w:line="276" w:lineRule="auto"/>
        <w:jc w:val="center"/>
        <w:rPr>
          <w:rFonts w:ascii="Times New Roman" w:hAnsi="Times New Roman" w:cs="Times New Roman"/>
          <w:b/>
          <w:bCs/>
          <w:color w:val="000000" w:themeColor="text1"/>
          <w:sz w:val="28"/>
          <w:szCs w:val="28"/>
        </w:rPr>
      </w:pPr>
      <w:r w:rsidRPr="00F8705E">
        <w:rPr>
          <w:rFonts w:ascii="Times New Roman" w:hAnsi="Times New Roman" w:cs="Times New Roman"/>
          <w:b/>
          <w:bCs/>
          <w:color w:val="000000" w:themeColor="text1"/>
          <w:sz w:val="28"/>
          <w:szCs w:val="28"/>
        </w:rPr>
        <w:t xml:space="preserve">MICRONUTRIENTS </w:t>
      </w:r>
      <w:r w:rsidR="007C075E" w:rsidRPr="00F8705E">
        <w:rPr>
          <w:rFonts w:ascii="Times New Roman" w:hAnsi="Times New Roman" w:cs="Times New Roman"/>
          <w:b/>
          <w:bCs/>
          <w:color w:val="000000" w:themeColor="text1"/>
          <w:sz w:val="28"/>
          <w:szCs w:val="28"/>
        </w:rPr>
        <w:t xml:space="preserve">COMPOSITION OF CAKE PRODUCED FROM FERMENTED SORGHUM AND PIGEON PEA </w:t>
      </w:r>
      <w:r w:rsidRPr="00F8705E">
        <w:rPr>
          <w:rFonts w:ascii="Times New Roman" w:hAnsi="Times New Roman" w:cs="Times New Roman"/>
          <w:b/>
          <w:bCs/>
          <w:color w:val="000000" w:themeColor="text1"/>
          <w:sz w:val="28"/>
          <w:szCs w:val="28"/>
        </w:rPr>
        <w:t xml:space="preserve">COMPOSITE </w:t>
      </w:r>
      <w:r w:rsidR="007C075E" w:rsidRPr="00F8705E">
        <w:rPr>
          <w:rFonts w:ascii="Times New Roman" w:hAnsi="Times New Roman" w:cs="Times New Roman"/>
          <w:b/>
          <w:bCs/>
          <w:color w:val="000000" w:themeColor="text1"/>
          <w:sz w:val="28"/>
          <w:szCs w:val="28"/>
        </w:rPr>
        <w:t>FLOUR</w:t>
      </w:r>
    </w:p>
    <w:p w14:paraId="7841CA5D" w14:textId="77777777" w:rsidR="006838FD" w:rsidRPr="00F8705E" w:rsidRDefault="006838FD" w:rsidP="00770CD1">
      <w:pPr>
        <w:spacing w:after="0" w:line="240" w:lineRule="auto"/>
        <w:jc w:val="center"/>
        <w:rPr>
          <w:rFonts w:ascii="Times New Roman" w:eastAsia="Calibri" w:hAnsi="Times New Roman" w:cs="Times New Roman"/>
          <w:color w:val="000000" w:themeColor="text1"/>
          <w:sz w:val="24"/>
          <w:szCs w:val="24"/>
          <w:lang w:val="en-GB"/>
        </w:rPr>
      </w:pPr>
    </w:p>
    <w:p w14:paraId="0EFD4D7F" w14:textId="77777777" w:rsidR="00D1327C" w:rsidRPr="00F8705E" w:rsidRDefault="00D1327C" w:rsidP="00770CD1">
      <w:pPr>
        <w:spacing w:after="0" w:line="276" w:lineRule="auto"/>
        <w:jc w:val="both"/>
        <w:rPr>
          <w:rFonts w:ascii="Times New Roman" w:hAnsi="Times New Roman" w:cs="Times New Roman"/>
          <w:b/>
          <w:bCs/>
          <w:color w:val="000000" w:themeColor="text1"/>
          <w:sz w:val="24"/>
          <w:szCs w:val="24"/>
        </w:rPr>
      </w:pPr>
      <w:r w:rsidRPr="00F8705E">
        <w:rPr>
          <w:rFonts w:ascii="Times New Roman" w:hAnsi="Times New Roman" w:cs="Times New Roman"/>
          <w:b/>
          <w:bCs/>
          <w:color w:val="000000" w:themeColor="text1"/>
          <w:sz w:val="24"/>
          <w:szCs w:val="24"/>
        </w:rPr>
        <w:t>Abstract</w:t>
      </w:r>
    </w:p>
    <w:p w14:paraId="0180BE97" w14:textId="77777777" w:rsidR="00F8705E" w:rsidRPr="00F8705E" w:rsidRDefault="00F8705E" w:rsidP="00030F6B">
      <w:pPr>
        <w:jc w:val="both"/>
        <w:rPr>
          <w:rStyle w:val="Strong"/>
        </w:rPr>
      </w:pPr>
      <w:r w:rsidRPr="00F8705E">
        <w:t xml:space="preserve">This study evaluated the micronutrient composition of cakes produced from fermented sorghum and pigeon pea composite flours. Sorghum and pigeon pea are locally available crops with potential for improving the nutrient profile of bakery products and reducing reliance on wheat flour. Fermented sorghum and pigeon pea flours were prepared and incorporated into cake formulations at different substitution levels, while a 100% wheat flour cake served as the control. The cakes were </w:t>
      </w:r>
      <w:proofErr w:type="spellStart"/>
      <w:r w:rsidRPr="00F8705E">
        <w:t>analysed</w:t>
      </w:r>
      <w:proofErr w:type="spellEnd"/>
      <w:r w:rsidRPr="00F8705E">
        <w:t xml:space="preserve"> for selected minerals and B vitamins using standard analytical procedures. The results showed that all cake samples contained measurable amounts of the assessed micronutrients. Magnesium ranged from 173.55 to 197.81 mg/100 g, potassium from 352.06 to 387.07 mg/100 g, calcium from 301.77 to 322.14 mg/100 g, phosphorus from 34.98 to 46.25 mg/100 g and iron from 0.34 to 6.73 mg/100 g. The inclusion of fermented sorghum and pigeon pea flours increased potassium, calcium, magnesium and phosphorus contents, although iron decreased with increasing substitution. Vitamin B1 ranged from 0.021 to 0.035 mg/100 g, vitamin B2 from 0.328 to 0.377 mg/100 g and vitamin B3 from 0.002 to 0.023 mg/100 g. The findings indicate that fermented sorghum and pigeon pea flours can improve selected mineral and vitamin contents of cakes and may support the development of value-added bakery products from local crops.</w:t>
      </w:r>
      <w:r w:rsidRPr="00F8705E">
        <w:rPr>
          <w:rStyle w:val="Strong"/>
        </w:rPr>
        <w:t xml:space="preserve"> </w:t>
      </w:r>
    </w:p>
    <w:p w14:paraId="765B559D" w14:textId="3DA5176E" w:rsidR="00CF1E83" w:rsidRPr="00F8705E" w:rsidRDefault="00CF1E83" w:rsidP="00030F6B">
      <w:pPr>
        <w:jc w:val="both"/>
      </w:pPr>
      <w:r w:rsidRPr="00F8705E">
        <w:rPr>
          <w:rStyle w:val="Strong"/>
        </w:rPr>
        <w:t>Keywords:</w:t>
      </w:r>
      <w:r w:rsidRPr="00F8705E">
        <w:t xml:space="preserve"> Fermented sorghum flour; pigeon pea flour; composite flour; cake; micronutrients; minerals; B vitamins; wheat substitution; fermentation; gluten-free baked products.</w:t>
      </w:r>
    </w:p>
    <w:p w14:paraId="2FC42EE9" w14:textId="77777777" w:rsidR="00BF2141" w:rsidRPr="00F8705E" w:rsidRDefault="00BF2141" w:rsidP="001C1ED3">
      <w:pPr>
        <w:spacing w:line="276" w:lineRule="auto"/>
        <w:jc w:val="both"/>
        <w:rPr>
          <w:rFonts w:ascii="Times New Roman" w:hAnsi="Times New Roman" w:cs="Times New Roman"/>
          <w:bCs/>
          <w:color w:val="000000" w:themeColor="text1"/>
          <w:sz w:val="24"/>
          <w:szCs w:val="24"/>
        </w:rPr>
      </w:pPr>
    </w:p>
    <w:p w14:paraId="21181B45" w14:textId="7D79411F" w:rsidR="007C075E" w:rsidRPr="00F8705E" w:rsidRDefault="00A82D31" w:rsidP="001C1ED3">
      <w:pPr>
        <w:spacing w:line="276" w:lineRule="auto"/>
        <w:jc w:val="both"/>
        <w:rPr>
          <w:rFonts w:ascii="Times New Roman" w:hAnsi="Times New Roman" w:cs="Times New Roman"/>
          <w:b/>
          <w:bCs/>
          <w:color w:val="000000" w:themeColor="text1"/>
          <w:sz w:val="24"/>
          <w:szCs w:val="24"/>
        </w:rPr>
      </w:pPr>
      <w:r w:rsidRPr="00F8705E">
        <w:rPr>
          <w:rFonts w:ascii="Times New Roman" w:hAnsi="Times New Roman" w:cs="Times New Roman"/>
          <w:b/>
          <w:bCs/>
          <w:color w:val="000000" w:themeColor="text1"/>
          <w:sz w:val="24"/>
          <w:szCs w:val="24"/>
        </w:rPr>
        <w:t xml:space="preserve">1.1 </w:t>
      </w:r>
      <w:r w:rsidR="007C075E" w:rsidRPr="00F8705E">
        <w:rPr>
          <w:rFonts w:ascii="Times New Roman" w:hAnsi="Times New Roman" w:cs="Times New Roman"/>
          <w:b/>
          <w:bCs/>
          <w:color w:val="000000" w:themeColor="text1"/>
          <w:sz w:val="24"/>
          <w:szCs w:val="24"/>
        </w:rPr>
        <w:t>Background of the Study</w:t>
      </w:r>
    </w:p>
    <w:p w14:paraId="34DADF50" w14:textId="77777777" w:rsidR="006F7E45" w:rsidRPr="00F8705E" w:rsidRDefault="00BA4759" w:rsidP="001C1ED3">
      <w:pPr>
        <w:spacing w:line="276" w:lineRule="auto"/>
        <w:jc w:val="both"/>
        <w:rPr>
          <w:rFonts w:ascii="Times New Roman" w:hAnsi="Times New Roman" w:cs="Times New Roman"/>
          <w:color w:val="000000" w:themeColor="text1"/>
          <w:sz w:val="24"/>
          <w:szCs w:val="24"/>
        </w:rPr>
      </w:pPr>
      <w:r w:rsidRPr="00F8705E">
        <w:t>Cake is one of the most popular bakery products worldwide because of its sensory appeal, affordability and convenience. Wheat flour has traditionally been used as the main ingredient in cakes because of its ability to form gluten, which contributes to the desired structure and texture. However, in many developing countries, including Nigeria, wheat flour is highly dependent on imports and is limited in some micronutrients; this increases production costs and contributes to food insecurity (FAO, 2022). Cake is traditionally produced from wheat flour, but individuals with gluten-related conditions, such as coeliac disease, may be intolerant to wheat because it contains gluten (Biesiekierski, 2017). Sorghum and pigeon pea composite flour may therefore provide a possible substitute for producing gluten-free and nutrient-dense cakes. The growing demand for wholesome and functional foods has encouraged research on alternative flours produced from indigenous crops such as sorghum and pigeon pea. Sorghum (</w:t>
      </w:r>
      <w:r w:rsidRPr="00F8705E">
        <w:rPr>
          <w:i/>
        </w:rPr>
        <w:t>Sorghum bicolor</w:t>
      </w:r>
      <w:r w:rsidRPr="00F8705E">
        <w:t xml:space="preserve"> L.) is a major cereal crop widely cultivated in Asia and Africa. It is rich in carbohydrates, minerals such as iron, magnesium and phosphorus, and bioactive compounds with antioxidant properties (Emojorho et al., 2025). However, the protein quality of sorghum is limited by its relatively low lysine content, an essential amino acid. Cereal and legume grains constitute a substantial part of human diets, particularly in developing countries, where they provide inexpensive sources of vitamins, minerals, proteins and carbohydrates. Sorghum is one of the most important cereal crops globally and ranks fifth in </w:t>
      </w:r>
      <w:r w:rsidRPr="00F8705E">
        <w:lastRenderedPageBreak/>
        <w:t>production after wheat, rice, barley and maize (Emojorho et al., 2025). Because of its drought tolerance and adaptability to harsh environmental conditions, it is widely grown in Asia and Africa. Sorghum grains are rich in carbohydrates, dietary fibre, iron, phosphorus and B-complex vitamins, but they are low in some essential amino acids, including lysine (Ratnavathi &amp; Komala, 2016). Conversely, legumes are valuable sources of protein and vitamins. Pigeon pea is an underutilised tropical legume that is rich in protein, iron, zinc, calcium and vitamins (Saxena et al., 2010). It has been identified as a useful crop for improving nutritional security, particularly in areas affected by micronutrient and protein deficiencies.</w:t>
      </w:r>
    </w:p>
    <w:p w14:paraId="4BB5D136" w14:textId="77777777" w:rsidR="0071225F" w:rsidRPr="00F8705E" w:rsidRDefault="00000000">
      <w:pPr>
        <w:spacing w:line="276" w:lineRule="auto"/>
        <w:jc w:val="both"/>
        <w:rPr>
          <w:rFonts w:ascii="Times New Roman" w:hAnsi="Times New Roman" w:cs="Times New Roman"/>
          <w:color w:val="000000" w:themeColor="text1"/>
          <w:sz w:val="24"/>
          <w:szCs w:val="24"/>
        </w:rPr>
      </w:pPr>
      <w:r w:rsidRPr="00F8705E">
        <w:t>Recent assessment of sorghum varieties also indicates that proximate composition and phytic acid content differ among varieties, supporting the need to evaluate sorghum-based products in relation to nutrient contribution and anti-nutritional constraints (Hein et al., 2025).</w:t>
      </w:r>
    </w:p>
    <w:p w14:paraId="1927D398" w14:textId="77777777" w:rsidR="00BA4759" w:rsidRPr="00F8705E" w:rsidRDefault="007C79DD" w:rsidP="00BA4759">
      <w:pPr>
        <w:spacing w:line="276" w:lineRule="auto"/>
        <w:jc w:val="both"/>
        <w:rPr>
          <w:rFonts w:ascii="Times New Roman" w:hAnsi="Times New Roman" w:cs="Times New Roman"/>
          <w:color w:val="000000" w:themeColor="text1"/>
          <w:sz w:val="24"/>
          <w:szCs w:val="24"/>
        </w:rPr>
      </w:pPr>
      <w:r w:rsidRPr="00F8705E">
        <w:t>After barley, rice, maize and wheat, sorghum is the fifth most widely cultivated cereal crop in the world (Emojorho et al., 2025). Sorghum grains and sorghum flour (SF) are rich in proteins, minerals, vitamins, phenolic compounds, micronutrients, macronutrients and bioactive substances (Emojorho et al., 2025). Sorghum has binding properties that support the formation and retention of food structures because of its distinct protein composition. SF can absorb and retain emulsifiers, lipids and oils. This property is beneficial in baked goods because it can improve the volume, tenderness and storage duration of bread, cakes and pastries (Emojorho et al., 2025). Pigeon pea (</w:t>
      </w:r>
      <w:r w:rsidRPr="00F8705E">
        <w:rPr>
          <w:i/>
        </w:rPr>
        <w:t>Cajanus cajan</w:t>
      </w:r>
      <w:r w:rsidRPr="00F8705E">
        <w:t>) is a protein-rich legume that also contains essential amino acids, vitamins and minerals such as calcium, potassium and iron (Olagunju et al., 2018). It is also a good source of nutrients, particularly B vitamins. The complementary protein and micronutrient compositions of cereals and legumes enhance nutritional quality. Consequently, the production of cake with fermented sorghum and pigeon pea flours may increase micronutrient content, including vitamins and minerals, while promoting the use of local crops and reducing dependence on imported wheat flour (Olagunju et al., 2018).</w:t>
      </w:r>
    </w:p>
    <w:p w14:paraId="27ED32EE" w14:textId="77777777" w:rsidR="0071225F" w:rsidRPr="00F8705E" w:rsidRDefault="00000000">
      <w:pPr>
        <w:spacing w:line="276" w:lineRule="auto"/>
        <w:jc w:val="both"/>
        <w:rPr>
          <w:rFonts w:ascii="Times New Roman" w:hAnsi="Times New Roman" w:cs="Times New Roman"/>
          <w:color w:val="000000" w:themeColor="text1"/>
          <w:sz w:val="24"/>
          <w:szCs w:val="24"/>
        </w:rPr>
      </w:pPr>
      <w:r w:rsidRPr="00F8705E">
        <w:t>Fermentation of pigeon pea flour has been reported to improve selected functional and proximate properties, indicating its suitability as a supplementary ingredient in food formulations (Olanipekun et al., 2021).</w:t>
      </w:r>
    </w:p>
    <w:p w14:paraId="51C79D97" w14:textId="77777777" w:rsidR="00A82D31" w:rsidRPr="00F8705E" w:rsidRDefault="00BA4759" w:rsidP="00BA4759">
      <w:pPr>
        <w:spacing w:line="276" w:lineRule="auto"/>
        <w:jc w:val="both"/>
        <w:rPr>
          <w:rFonts w:ascii="Times New Roman" w:hAnsi="Times New Roman" w:cs="Times New Roman"/>
          <w:color w:val="000000" w:themeColor="text1"/>
          <w:sz w:val="24"/>
          <w:szCs w:val="24"/>
        </w:rPr>
      </w:pPr>
      <w:r w:rsidRPr="00F8705E">
        <w:t xml:space="preserve">The nutritional value and functional properties of baked products, including bread, biscuits and cakes, have been improved successfully through the use of sorghum-legume composite flours. Despite their nutritional benefits, sorghum and pigeon pea contain anti-nutritional factors such as phytates, tannins and oxalates, which can reduce mineral absorption (Nkhata et al., 2018). Fermentation is a traditional food-processing method that can increase vitamin content, improve mineral absorption, enhance nutrient bioavailability and reduce anti-nutritional factors such as tannins and phytates (Adebo &amp; Medina-Meza, 2020). Fermentation can also improve the functional and sensory properties of flour. Microorganisms such as </w:t>
      </w:r>
      <w:r w:rsidRPr="00F8705E">
        <w:rPr>
          <w:i/>
        </w:rPr>
        <w:t>Saccharomyces cerevisiae</w:t>
      </w:r>
      <w:r w:rsidRPr="00F8705E">
        <w:t xml:space="preserve"> and </w:t>
      </w:r>
      <w:r w:rsidRPr="00F8705E">
        <w:rPr>
          <w:i/>
        </w:rPr>
        <w:t>Lactobacillus</w:t>
      </w:r>
      <w:r w:rsidRPr="00F8705E">
        <w:t xml:space="preserve"> are involved in fermentation and produce enzymes that degrade anti-nutritional compounds and synthesise some vitamins (Marco et al., 2021). Combining cereals with legumes enhances the nutritional value of food because of their complementary amino acid profiles and increased micronutrient density. Therefore, this study evaluated the effect of fermentation on the mineral and vitamin composition of cake produced from sorghum and pigeon pea flours. The aim of this study was to assess the mineral, vitamin and phytochemical content of cake produced from fermented sorghum and pigeon pea composite flours. In developing countries such as Nigeria, </w:t>
      </w:r>
      <w:r w:rsidRPr="00F8705E">
        <w:lastRenderedPageBreak/>
        <w:t>micronutrient deficiencies, especially deficiencies in iron, zinc, calcium and vitamins, remain a serious public health concern (World Health Organization, 2021). Traditional cakes prepared with refined wheat flour often contain low levels of vitamins and phytochemicals because of processing losses and the absence of fortification. In addition, reliance on wheat imports is high because wheat is not commonly grown in tropical regions. This situation supports the need to develop bakery products from nutrient-dense, locally available crops such as pigeon pea and sorghum. Although sorghum and pigeon pea are nutritionally valuable, anti-nutritional compounds such as phytates and tannins may restrict mineral absorption. Nkhata et al. (2018) reported that these compounds bind minerals and reduce their absorption in the human body. Fermentation has been shown to improve mineral and vitamin bioavailability; however, limited research exists on the mineral and vitamin composition of cake produced from fermented sorghum and pigeon pea flour blends. In addition, cakes produced from conventional wheat flour may not provide sufficient micronutrients and may be unsuitable for gluten-intolerant individuals.</w:t>
      </w:r>
    </w:p>
    <w:p w14:paraId="71F58E7B" w14:textId="77777777" w:rsidR="0071225F" w:rsidRPr="00F8705E" w:rsidRDefault="00000000">
      <w:pPr>
        <w:spacing w:line="276" w:lineRule="auto"/>
        <w:jc w:val="both"/>
        <w:rPr>
          <w:rFonts w:ascii="Times New Roman" w:hAnsi="Times New Roman" w:cs="Times New Roman"/>
          <w:color w:val="000000" w:themeColor="text1"/>
          <w:sz w:val="24"/>
          <w:szCs w:val="24"/>
        </w:rPr>
      </w:pPr>
      <w:r w:rsidRPr="00F8705E">
        <w:t>Recent work on pigeon pea flour cookies showed that germination and solid-state fermentation can alter chemical, functional and nutritional properties while supporting the use of fermented pigeon pea flour in cookie-type products (Sobowale et al., 2024).</w:t>
      </w:r>
    </w:p>
    <w:p w14:paraId="746802B6" w14:textId="77777777" w:rsidR="0071225F" w:rsidRPr="00F8705E" w:rsidRDefault="00000000">
      <w:pPr>
        <w:spacing w:line="276" w:lineRule="auto"/>
        <w:jc w:val="both"/>
        <w:rPr>
          <w:rFonts w:ascii="Times New Roman" w:hAnsi="Times New Roman" w:cs="Times New Roman"/>
          <w:color w:val="000000" w:themeColor="text1"/>
          <w:sz w:val="24"/>
          <w:szCs w:val="24"/>
        </w:rPr>
      </w:pPr>
      <w:r w:rsidRPr="00F8705E">
        <w:t>Similarly, whole sorghum flour has recently been examined in gluten-free cake formulation, underscoring the need to evaluate how sorghum processing and inclusion affect technological, antioxidant and sensory quality in cake systems (Teles et al., 2025).</w:t>
      </w:r>
    </w:p>
    <w:p w14:paraId="553CEE09" w14:textId="77777777" w:rsidR="0071225F" w:rsidRPr="00F8705E" w:rsidRDefault="00000000">
      <w:pPr>
        <w:spacing w:line="276" w:lineRule="auto"/>
        <w:jc w:val="both"/>
        <w:rPr>
          <w:rFonts w:ascii="Times New Roman" w:hAnsi="Times New Roman" w:cs="Times New Roman"/>
          <w:color w:val="000000" w:themeColor="text1"/>
          <w:sz w:val="24"/>
          <w:szCs w:val="24"/>
        </w:rPr>
      </w:pPr>
      <w:r w:rsidRPr="00F8705E">
        <w:t>Nevertheless, evidence remains limited on how fermented sorghum and pigeon pea flours, when used in cake formulations, influence the specific mineral and B-vitamin composition of the final product.</w:t>
      </w:r>
    </w:p>
    <w:p w14:paraId="1D84BB18" w14:textId="77777777" w:rsidR="0071225F" w:rsidRPr="00F8705E" w:rsidRDefault="00000000">
      <w:pPr>
        <w:spacing w:line="276" w:lineRule="auto"/>
        <w:jc w:val="both"/>
        <w:rPr>
          <w:rFonts w:ascii="Times New Roman" w:hAnsi="Times New Roman" w:cs="Times New Roman"/>
          <w:color w:val="000000" w:themeColor="text1"/>
          <w:sz w:val="24"/>
          <w:szCs w:val="24"/>
        </w:rPr>
      </w:pPr>
      <w:r w:rsidRPr="00F8705E">
        <w:rPr>
          <w:rFonts w:ascii="Times New Roman" w:hAnsi="Times New Roman"/>
          <w:b/>
          <w:sz w:val="24"/>
        </w:rPr>
        <w:t>Objective of the Study</w:t>
      </w:r>
    </w:p>
    <w:p w14:paraId="080A49CF" w14:textId="77777777" w:rsidR="0071225F" w:rsidRPr="00F8705E" w:rsidRDefault="00000000">
      <w:pPr>
        <w:spacing w:line="276" w:lineRule="auto"/>
        <w:jc w:val="both"/>
        <w:rPr>
          <w:rFonts w:ascii="Times New Roman" w:hAnsi="Times New Roman" w:cs="Times New Roman"/>
          <w:color w:val="000000" w:themeColor="text1"/>
          <w:sz w:val="24"/>
          <w:szCs w:val="24"/>
        </w:rPr>
      </w:pPr>
      <w:r w:rsidRPr="00F8705E">
        <w:t>The objective of this study was to determine the micronutrient content of cake produced from blends of fermented sorghum and pigeon pea flours.</w:t>
      </w:r>
    </w:p>
    <w:p w14:paraId="0DBE459F" w14:textId="77777777" w:rsidR="007C075E" w:rsidRPr="00F8705E" w:rsidRDefault="007C075E" w:rsidP="001C1ED3">
      <w:pPr>
        <w:spacing w:line="276" w:lineRule="auto"/>
        <w:jc w:val="both"/>
        <w:rPr>
          <w:rFonts w:ascii="Times New Roman" w:hAnsi="Times New Roman" w:cs="Times New Roman"/>
          <w:b/>
          <w:bCs/>
          <w:color w:val="000000" w:themeColor="text1"/>
          <w:sz w:val="24"/>
          <w:szCs w:val="24"/>
        </w:rPr>
      </w:pPr>
      <w:r w:rsidRPr="00F8705E">
        <w:rPr>
          <w:rFonts w:ascii="Times New Roman" w:hAnsi="Times New Roman" w:cs="Times New Roman"/>
          <w:b/>
          <w:bCs/>
          <w:color w:val="000000" w:themeColor="text1"/>
          <w:sz w:val="24"/>
          <w:szCs w:val="24"/>
        </w:rPr>
        <w:t>MATERIALS AND METHODS</w:t>
      </w:r>
    </w:p>
    <w:p w14:paraId="578199CF" w14:textId="77777777" w:rsidR="003B469D" w:rsidRPr="00F8705E" w:rsidRDefault="008819D2" w:rsidP="003B469D">
      <w:pPr>
        <w:spacing w:line="276" w:lineRule="auto"/>
        <w:jc w:val="both"/>
        <w:rPr>
          <w:rFonts w:ascii="Times New Roman" w:hAnsi="Times New Roman" w:cs="Times New Roman"/>
          <w:color w:val="000000" w:themeColor="text1"/>
          <w:sz w:val="24"/>
          <w:szCs w:val="24"/>
        </w:rPr>
      </w:pPr>
      <w:r w:rsidRPr="00F8705E">
        <w:t>2.1 Materials: Sorghum grains, pigeon pea seeds, wheat flour (control), sugar, butter, eggs, baking powder, milk, vanilla flavour, nitric acid, hydrochloric acid, standard mineral solutions and vitamin standards were purchased from the Ozoro and Asaba main markets.</w:t>
      </w:r>
    </w:p>
    <w:p w14:paraId="21F68B1E" w14:textId="77777777" w:rsidR="00AE5D89" w:rsidRPr="00F8705E" w:rsidRDefault="008819D2" w:rsidP="00AE5D89">
      <w:pPr>
        <w:spacing w:line="276" w:lineRule="auto"/>
        <w:jc w:val="both"/>
        <w:rPr>
          <w:rFonts w:ascii="Times New Roman" w:hAnsi="Times New Roman" w:cs="Times New Roman"/>
          <w:bCs/>
          <w:color w:val="000000" w:themeColor="text1"/>
          <w:sz w:val="24"/>
          <w:szCs w:val="24"/>
        </w:rPr>
      </w:pPr>
      <w:r w:rsidRPr="00F8705E">
        <w:t>2.2 Preparation of Fermented Sorghum Flour: Fermented sorghum flour was prepared using wet milling. The sorghum grains were cleaned to remove extraneous materials and broken grains. The grains were cooked in water (1:2 w/v) at 100 ± 2 ºC for 2 min. In a professional sorghum mill, the cooked grains were wet milled and filtered through cheesecloth with additional water. The resulting slurry was allowed to settle and ferment at room temperature (27 ± 2 ºC) for three days. After the water had been decanted, the resulting paste was oven-dried at 40 ºC for two days. The dried mixture was ground into flour using a sorghum mill (type Corona-2N, England). The flour was sieved (45 µm), packaged in 55 µm-thick polyethylene bags and stored in a refrigerator at 4 ºC until required (Ityotagher et al., 2022).</w:t>
      </w:r>
    </w:p>
    <w:p w14:paraId="0A43CD7A" w14:textId="77777777" w:rsidR="00AE5D89" w:rsidRPr="00F8705E" w:rsidRDefault="008819D2" w:rsidP="00AE5D89">
      <w:pPr>
        <w:spacing w:line="276" w:lineRule="auto"/>
        <w:jc w:val="both"/>
        <w:rPr>
          <w:rFonts w:ascii="Times New Roman" w:hAnsi="Times New Roman" w:cs="Times New Roman"/>
          <w:color w:val="000000" w:themeColor="text1"/>
          <w:sz w:val="24"/>
          <w:szCs w:val="24"/>
          <w:shd w:val="clear" w:color="auto" w:fill="FFFFFF"/>
        </w:rPr>
      </w:pPr>
      <w:r w:rsidRPr="00F8705E">
        <w:lastRenderedPageBreak/>
        <w:t>2.3 Preparation of Fermented Pigeon Pea Flour: As described by Akubor (2017), a portion of the raw pigeon pea flour (RPPF) was mixed with water in a covered plastic bowl at a ratio of 3.2 (water: flour). The paste underwent three days of fermentation, oven drying at 60 °C for three hours, attrition milling and screening through a 60-mesh sieve (0.1 mm). Before use, all flour samples were stored in high-density polyethylene (HDPE) bags that were 0.77 mm thick.</w:t>
      </w:r>
    </w:p>
    <w:p w14:paraId="662E710C" w14:textId="77777777" w:rsidR="007C075E" w:rsidRPr="00F8705E" w:rsidRDefault="008819D2" w:rsidP="00AE5D89">
      <w:pPr>
        <w:spacing w:line="276" w:lineRule="auto"/>
        <w:jc w:val="both"/>
        <w:rPr>
          <w:rFonts w:ascii="Times New Roman" w:hAnsi="Times New Roman" w:cs="Times New Roman"/>
          <w:b/>
          <w:bCs/>
          <w:color w:val="000000" w:themeColor="text1"/>
          <w:sz w:val="24"/>
          <w:szCs w:val="24"/>
        </w:rPr>
      </w:pPr>
      <w:r w:rsidRPr="00F8705E">
        <w:rPr>
          <w:rFonts w:ascii="Times New Roman" w:hAnsi="Times New Roman" w:cs="Times New Roman"/>
          <w:b/>
          <w:bCs/>
          <w:color w:val="000000" w:themeColor="text1"/>
          <w:sz w:val="24"/>
          <w:szCs w:val="24"/>
        </w:rPr>
        <w:t>2</w:t>
      </w:r>
      <w:r w:rsidR="00C366A6" w:rsidRPr="00F8705E">
        <w:rPr>
          <w:rFonts w:ascii="Times New Roman" w:hAnsi="Times New Roman" w:cs="Times New Roman"/>
          <w:b/>
          <w:bCs/>
          <w:color w:val="000000" w:themeColor="text1"/>
          <w:sz w:val="24"/>
          <w:szCs w:val="24"/>
        </w:rPr>
        <w:t>.4</w:t>
      </w:r>
      <w:r w:rsidR="007C075E" w:rsidRPr="00F8705E">
        <w:rPr>
          <w:rFonts w:ascii="Times New Roman" w:hAnsi="Times New Roman" w:cs="Times New Roman"/>
          <w:b/>
          <w:bCs/>
          <w:color w:val="000000" w:themeColor="text1"/>
          <w:sz w:val="24"/>
          <w:szCs w:val="24"/>
        </w:rPr>
        <w:t xml:space="preserve"> Flour Formulation</w:t>
      </w:r>
    </w:p>
    <w:p w14:paraId="1EB3CE40" w14:textId="77777777" w:rsidR="00EB53ED" w:rsidRPr="00F8705E" w:rsidRDefault="00EB53ED" w:rsidP="00E10A6A">
      <w:pPr>
        <w:spacing w:after="0" w:line="276" w:lineRule="auto"/>
        <w:jc w:val="both"/>
        <w:rPr>
          <w:rFonts w:ascii="Times New Roman" w:hAnsi="Times New Roman" w:cs="Times New Roman"/>
          <w:color w:val="000000" w:themeColor="text1"/>
        </w:rPr>
      </w:pPr>
      <w:r w:rsidRPr="00F8705E">
        <w:t>Composite flour blends were prepared in the following ratios:</w:t>
      </w:r>
    </w:p>
    <w:tbl>
      <w:tblPr>
        <w:tblStyle w:val="TableGrid"/>
        <w:tblW w:w="0" w:type="auto"/>
        <w:tblLook w:val="04A0" w:firstRow="1" w:lastRow="0" w:firstColumn="1" w:lastColumn="0" w:noHBand="0" w:noVBand="1"/>
      </w:tblPr>
      <w:tblGrid>
        <w:gridCol w:w="2337"/>
        <w:gridCol w:w="2337"/>
        <w:gridCol w:w="2338"/>
        <w:gridCol w:w="2338"/>
      </w:tblGrid>
      <w:tr w:rsidR="0066219F" w:rsidRPr="00F8705E" w14:paraId="75BD7C39" w14:textId="77777777" w:rsidTr="008E70EB">
        <w:trPr>
          <w:trHeight w:val="386"/>
        </w:trPr>
        <w:tc>
          <w:tcPr>
            <w:tcW w:w="2337" w:type="dxa"/>
          </w:tcPr>
          <w:p w14:paraId="72FC2E82" w14:textId="77777777" w:rsidR="00EB53ED" w:rsidRPr="00F8705E" w:rsidRDefault="00EB53ED"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 xml:space="preserve">Sample </w:t>
            </w:r>
          </w:p>
        </w:tc>
        <w:tc>
          <w:tcPr>
            <w:tcW w:w="2337" w:type="dxa"/>
          </w:tcPr>
          <w:p w14:paraId="4F913972" w14:textId="77777777" w:rsidR="00EB53ED" w:rsidRPr="00F8705E" w:rsidRDefault="00EB53ED"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Wheat (%)</w:t>
            </w:r>
          </w:p>
        </w:tc>
        <w:tc>
          <w:tcPr>
            <w:tcW w:w="2338" w:type="dxa"/>
          </w:tcPr>
          <w:p w14:paraId="1155ACF3" w14:textId="77777777" w:rsidR="00EB53ED" w:rsidRPr="00F8705E" w:rsidRDefault="00EB53ED"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Sorghum (%)</w:t>
            </w:r>
          </w:p>
        </w:tc>
        <w:tc>
          <w:tcPr>
            <w:tcW w:w="2338" w:type="dxa"/>
          </w:tcPr>
          <w:p w14:paraId="1ED89449" w14:textId="77777777" w:rsidR="00EB53ED" w:rsidRPr="00F8705E" w:rsidRDefault="00EB53ED"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Pigeon Pea (%)</w:t>
            </w:r>
          </w:p>
        </w:tc>
      </w:tr>
      <w:tr w:rsidR="0066219F" w:rsidRPr="00F8705E" w14:paraId="41FBBCE7" w14:textId="77777777" w:rsidTr="00613D0E">
        <w:tc>
          <w:tcPr>
            <w:tcW w:w="2337" w:type="dxa"/>
          </w:tcPr>
          <w:p w14:paraId="01539065" w14:textId="77777777" w:rsidR="00EB53ED" w:rsidRPr="00F8705E" w:rsidRDefault="008E70EB"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CC</w:t>
            </w:r>
          </w:p>
        </w:tc>
        <w:tc>
          <w:tcPr>
            <w:tcW w:w="2337" w:type="dxa"/>
          </w:tcPr>
          <w:p w14:paraId="7DD72590" w14:textId="77777777" w:rsidR="00EB53ED" w:rsidRPr="00F8705E" w:rsidRDefault="00EB53ED"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100</w:t>
            </w:r>
          </w:p>
        </w:tc>
        <w:tc>
          <w:tcPr>
            <w:tcW w:w="2338" w:type="dxa"/>
          </w:tcPr>
          <w:p w14:paraId="41C91254" w14:textId="77777777" w:rsidR="00EB53ED" w:rsidRPr="00F8705E" w:rsidRDefault="00EB53ED"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0</w:t>
            </w:r>
          </w:p>
        </w:tc>
        <w:tc>
          <w:tcPr>
            <w:tcW w:w="2338" w:type="dxa"/>
          </w:tcPr>
          <w:p w14:paraId="59D1000C" w14:textId="77777777" w:rsidR="00EB53ED" w:rsidRPr="00F8705E" w:rsidRDefault="00EB53ED"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0</w:t>
            </w:r>
          </w:p>
        </w:tc>
      </w:tr>
      <w:tr w:rsidR="0066219F" w:rsidRPr="00F8705E" w14:paraId="5C1856BE" w14:textId="77777777" w:rsidTr="00613D0E">
        <w:tc>
          <w:tcPr>
            <w:tcW w:w="2337" w:type="dxa"/>
          </w:tcPr>
          <w:p w14:paraId="718ABD03" w14:textId="77777777" w:rsidR="00EB53ED" w:rsidRPr="00F8705E" w:rsidRDefault="008E70EB"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CP25</w:t>
            </w:r>
          </w:p>
        </w:tc>
        <w:tc>
          <w:tcPr>
            <w:tcW w:w="2337" w:type="dxa"/>
          </w:tcPr>
          <w:p w14:paraId="728206C9" w14:textId="77777777" w:rsidR="00EB53ED" w:rsidRPr="00F8705E" w:rsidRDefault="008819D2"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75</w:t>
            </w:r>
          </w:p>
        </w:tc>
        <w:tc>
          <w:tcPr>
            <w:tcW w:w="2338" w:type="dxa"/>
          </w:tcPr>
          <w:p w14:paraId="014B400A" w14:textId="77777777" w:rsidR="00EB53ED" w:rsidRPr="00F8705E" w:rsidRDefault="008819D2"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25</w:t>
            </w:r>
          </w:p>
        </w:tc>
        <w:tc>
          <w:tcPr>
            <w:tcW w:w="2338" w:type="dxa"/>
          </w:tcPr>
          <w:p w14:paraId="3EE46C37" w14:textId="77777777" w:rsidR="00EB53ED" w:rsidRPr="00F8705E" w:rsidRDefault="00EB53ED"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0</w:t>
            </w:r>
          </w:p>
        </w:tc>
      </w:tr>
      <w:tr w:rsidR="0066219F" w:rsidRPr="00F8705E" w14:paraId="45E0AF4D" w14:textId="77777777" w:rsidTr="00613D0E">
        <w:tc>
          <w:tcPr>
            <w:tcW w:w="2337" w:type="dxa"/>
          </w:tcPr>
          <w:p w14:paraId="2CC49762" w14:textId="77777777" w:rsidR="00EB53ED" w:rsidRPr="00F8705E" w:rsidRDefault="008E70EB"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CP50</w:t>
            </w:r>
          </w:p>
        </w:tc>
        <w:tc>
          <w:tcPr>
            <w:tcW w:w="2337" w:type="dxa"/>
          </w:tcPr>
          <w:p w14:paraId="0CF054B6" w14:textId="77777777" w:rsidR="00EB53ED" w:rsidRPr="00F8705E" w:rsidRDefault="008819D2"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50</w:t>
            </w:r>
          </w:p>
        </w:tc>
        <w:tc>
          <w:tcPr>
            <w:tcW w:w="2338" w:type="dxa"/>
          </w:tcPr>
          <w:p w14:paraId="7AEE6FE1" w14:textId="77777777" w:rsidR="00EB53ED" w:rsidRPr="00F8705E" w:rsidRDefault="008819D2"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50</w:t>
            </w:r>
          </w:p>
        </w:tc>
        <w:tc>
          <w:tcPr>
            <w:tcW w:w="2338" w:type="dxa"/>
          </w:tcPr>
          <w:p w14:paraId="2846F98F" w14:textId="77777777" w:rsidR="00EB53ED" w:rsidRPr="00F8705E" w:rsidRDefault="00EB53ED"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0</w:t>
            </w:r>
          </w:p>
        </w:tc>
      </w:tr>
      <w:tr w:rsidR="0066219F" w:rsidRPr="00F8705E" w14:paraId="4C7408DA" w14:textId="77777777" w:rsidTr="00613D0E">
        <w:tc>
          <w:tcPr>
            <w:tcW w:w="2337" w:type="dxa"/>
          </w:tcPr>
          <w:p w14:paraId="57B1FA55" w14:textId="77777777" w:rsidR="00EB53ED" w:rsidRPr="00F8705E" w:rsidRDefault="000266B5"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SC</w:t>
            </w:r>
            <w:r w:rsidR="008E70EB" w:rsidRPr="00F8705E">
              <w:rPr>
                <w:rFonts w:ascii="Times New Roman" w:hAnsi="Times New Roman" w:cs="Times New Roman"/>
                <w:color w:val="000000" w:themeColor="text1"/>
              </w:rPr>
              <w:t>25</w:t>
            </w:r>
          </w:p>
        </w:tc>
        <w:tc>
          <w:tcPr>
            <w:tcW w:w="2337" w:type="dxa"/>
          </w:tcPr>
          <w:p w14:paraId="61DD7527" w14:textId="77777777" w:rsidR="00EB53ED" w:rsidRPr="00F8705E" w:rsidRDefault="008819D2"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75</w:t>
            </w:r>
          </w:p>
        </w:tc>
        <w:tc>
          <w:tcPr>
            <w:tcW w:w="2338" w:type="dxa"/>
          </w:tcPr>
          <w:p w14:paraId="07E4570D" w14:textId="77777777" w:rsidR="00EB53ED" w:rsidRPr="00F8705E" w:rsidRDefault="008E70EB"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0</w:t>
            </w:r>
          </w:p>
        </w:tc>
        <w:tc>
          <w:tcPr>
            <w:tcW w:w="2338" w:type="dxa"/>
          </w:tcPr>
          <w:p w14:paraId="5DEC4731" w14:textId="77777777" w:rsidR="00EB53ED" w:rsidRPr="00F8705E" w:rsidRDefault="008819D2"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25</w:t>
            </w:r>
          </w:p>
        </w:tc>
      </w:tr>
      <w:tr w:rsidR="0066219F" w:rsidRPr="00F8705E" w14:paraId="46D9E2BB" w14:textId="77777777" w:rsidTr="00613D0E">
        <w:tc>
          <w:tcPr>
            <w:tcW w:w="2337" w:type="dxa"/>
          </w:tcPr>
          <w:p w14:paraId="1A847C2C" w14:textId="77777777" w:rsidR="00EB53ED" w:rsidRPr="00F8705E" w:rsidRDefault="000266B5"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SC</w:t>
            </w:r>
            <w:r w:rsidR="008E70EB" w:rsidRPr="00F8705E">
              <w:rPr>
                <w:rFonts w:ascii="Times New Roman" w:hAnsi="Times New Roman" w:cs="Times New Roman"/>
                <w:color w:val="000000" w:themeColor="text1"/>
              </w:rPr>
              <w:t>50</w:t>
            </w:r>
          </w:p>
        </w:tc>
        <w:tc>
          <w:tcPr>
            <w:tcW w:w="2337" w:type="dxa"/>
          </w:tcPr>
          <w:p w14:paraId="679C69D1" w14:textId="77777777" w:rsidR="00EB53ED" w:rsidRPr="00F8705E" w:rsidRDefault="008819D2"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50</w:t>
            </w:r>
          </w:p>
        </w:tc>
        <w:tc>
          <w:tcPr>
            <w:tcW w:w="2338" w:type="dxa"/>
          </w:tcPr>
          <w:p w14:paraId="76945BDA" w14:textId="77777777" w:rsidR="00EB53ED" w:rsidRPr="00F8705E" w:rsidRDefault="008E70EB"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0</w:t>
            </w:r>
          </w:p>
        </w:tc>
        <w:tc>
          <w:tcPr>
            <w:tcW w:w="2338" w:type="dxa"/>
          </w:tcPr>
          <w:p w14:paraId="3494ADBC" w14:textId="77777777" w:rsidR="00EB53ED" w:rsidRPr="00F8705E" w:rsidRDefault="008819D2" w:rsidP="001C1ED3">
            <w:pPr>
              <w:spacing w:line="276"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50</w:t>
            </w:r>
          </w:p>
        </w:tc>
      </w:tr>
    </w:tbl>
    <w:p w14:paraId="2FDC0D2E" w14:textId="77777777" w:rsidR="00752ED9" w:rsidRPr="00F8705E" w:rsidRDefault="00752ED9" w:rsidP="00E10A6A">
      <w:pPr>
        <w:spacing w:after="0" w:line="276" w:lineRule="auto"/>
        <w:jc w:val="both"/>
        <w:rPr>
          <w:rFonts w:ascii="Times New Roman" w:hAnsi="Times New Roman" w:cs="Times New Roman"/>
          <w:color w:val="000000" w:themeColor="text1"/>
        </w:rPr>
      </w:pPr>
    </w:p>
    <w:p w14:paraId="27F2711C" w14:textId="77777777" w:rsidR="00AE5D89" w:rsidRPr="00F8705E" w:rsidRDefault="008819D2" w:rsidP="00E10A6A">
      <w:pPr>
        <w:spacing w:after="0" w:line="276" w:lineRule="auto"/>
        <w:jc w:val="both"/>
        <w:rPr>
          <w:rFonts w:ascii="Times New Roman" w:hAnsi="Times New Roman" w:cs="Times New Roman"/>
          <w:color w:val="000000" w:themeColor="text1"/>
          <w:sz w:val="24"/>
          <w:szCs w:val="24"/>
        </w:rPr>
      </w:pPr>
      <w:r w:rsidRPr="00F8705E">
        <w:t>2.5 Cake Production Procedure: The cakes were produced using the creaming method. Baking powder, baking soda and Amul powder were sieved into the flour. The oil and sugar were creamed in a container using a hand blender, and the other ingredients were added. The cream was mixed with the sieved flour mixture. The batter was prepared by proper mixing, and milk or water was used to maintain the required consistency. After preparation, the batter was poured into a greased cake tin, baked at 180 °C, allowed to cool and stored at room temperature.</w:t>
      </w:r>
    </w:p>
    <w:p w14:paraId="1AE9F905" w14:textId="77777777" w:rsidR="00691A9D" w:rsidRPr="00F8705E" w:rsidRDefault="00691A9D" w:rsidP="00E10A6A">
      <w:pPr>
        <w:spacing w:after="0" w:line="276" w:lineRule="auto"/>
        <w:jc w:val="both"/>
        <w:rPr>
          <w:rFonts w:ascii="Times New Roman" w:hAnsi="Times New Roman" w:cs="Times New Roman"/>
          <w:b/>
          <w:color w:val="000000" w:themeColor="text1"/>
          <w:sz w:val="24"/>
          <w:szCs w:val="24"/>
        </w:rPr>
      </w:pPr>
    </w:p>
    <w:p w14:paraId="1D02F0FC" w14:textId="77777777" w:rsidR="00225456" w:rsidRPr="00F8705E" w:rsidRDefault="008819D2" w:rsidP="00E10A6A">
      <w:pPr>
        <w:spacing w:after="0" w:line="276" w:lineRule="auto"/>
        <w:jc w:val="both"/>
        <w:rPr>
          <w:rFonts w:ascii="Times New Roman" w:hAnsi="Times New Roman" w:cs="Times New Roman"/>
          <w:b/>
          <w:color w:val="000000" w:themeColor="text1"/>
          <w:sz w:val="24"/>
          <w:szCs w:val="24"/>
        </w:rPr>
      </w:pPr>
      <w:r w:rsidRPr="00F8705E">
        <w:rPr>
          <w:rFonts w:ascii="Times New Roman" w:hAnsi="Times New Roman" w:cs="Times New Roman"/>
          <w:b/>
          <w:color w:val="000000" w:themeColor="text1"/>
          <w:sz w:val="24"/>
          <w:szCs w:val="24"/>
        </w:rPr>
        <w:t>2</w:t>
      </w:r>
      <w:r w:rsidR="00C366A6" w:rsidRPr="00F8705E">
        <w:rPr>
          <w:rFonts w:ascii="Times New Roman" w:hAnsi="Times New Roman" w:cs="Times New Roman"/>
          <w:b/>
          <w:color w:val="000000" w:themeColor="text1"/>
          <w:sz w:val="24"/>
          <w:szCs w:val="24"/>
        </w:rPr>
        <w:t xml:space="preserve">.6 </w:t>
      </w:r>
      <w:r w:rsidR="00225456" w:rsidRPr="00F8705E">
        <w:rPr>
          <w:rFonts w:ascii="Times New Roman" w:hAnsi="Times New Roman" w:cs="Times New Roman"/>
          <w:b/>
          <w:color w:val="000000" w:themeColor="text1"/>
          <w:sz w:val="24"/>
          <w:szCs w:val="24"/>
        </w:rPr>
        <w:t>Determination of mineral</w:t>
      </w:r>
      <w:r w:rsidR="001C1ED3" w:rsidRPr="00F8705E">
        <w:rPr>
          <w:rFonts w:ascii="Times New Roman" w:hAnsi="Times New Roman" w:cs="Times New Roman"/>
          <w:b/>
          <w:color w:val="000000" w:themeColor="text1"/>
          <w:sz w:val="24"/>
          <w:szCs w:val="24"/>
        </w:rPr>
        <w:t xml:space="preserve"> and vitamin</w:t>
      </w:r>
      <w:r w:rsidR="00225456" w:rsidRPr="00F8705E">
        <w:rPr>
          <w:rFonts w:ascii="Times New Roman" w:hAnsi="Times New Roman" w:cs="Times New Roman"/>
          <w:b/>
          <w:color w:val="000000" w:themeColor="text1"/>
          <w:sz w:val="24"/>
          <w:szCs w:val="24"/>
        </w:rPr>
        <w:t xml:space="preserve"> composition</w:t>
      </w:r>
    </w:p>
    <w:p w14:paraId="14E3C7EB" w14:textId="5BEADBE9" w:rsidR="00813CFA" w:rsidRPr="00F8705E" w:rsidRDefault="00AE5D89" w:rsidP="00813CFA">
      <w:pPr>
        <w:spacing w:line="276" w:lineRule="auto"/>
        <w:jc w:val="both"/>
        <w:rPr>
          <w:rFonts w:ascii="Times New Roman" w:hAnsi="Times New Roman" w:cs="Times New Roman"/>
          <w:b/>
          <w:color w:val="000000" w:themeColor="text1"/>
          <w:sz w:val="24"/>
          <w:szCs w:val="24"/>
        </w:rPr>
      </w:pPr>
      <w:r w:rsidRPr="00F8705E">
        <w:t xml:space="preserve">In accordance with standardised procedures stipulated by the Association of Official Analytical Chemists (AOAC International, 2023) and </w:t>
      </w:r>
      <w:r w:rsidR="00833961" w:rsidRPr="00833961">
        <w:t>Adeyanju</w:t>
      </w:r>
      <w:r w:rsidRPr="00F8705E">
        <w:t xml:space="preserve"> et al. (2021), the mineral contents of the samples, namely phosphorus, iron, calcium, magnesium and potassium, were determined. AOAC International (2023) was used to measure vitamin B1 (thiamine), vitamin B2 and vitamin B3.</w:t>
      </w:r>
    </w:p>
    <w:p w14:paraId="01794A15" w14:textId="77777777" w:rsidR="008A18A7" w:rsidRPr="00F8705E" w:rsidRDefault="008819D2" w:rsidP="00D36572">
      <w:pPr>
        <w:spacing w:line="276" w:lineRule="auto"/>
        <w:jc w:val="both"/>
        <w:rPr>
          <w:rFonts w:ascii="Times New Roman" w:hAnsi="Times New Roman" w:cs="Times New Roman"/>
          <w:bCs/>
          <w:color w:val="000000" w:themeColor="text1"/>
          <w:sz w:val="24"/>
          <w:szCs w:val="24"/>
        </w:rPr>
      </w:pPr>
      <w:r w:rsidRPr="00F8705E">
        <w:t>2.9 Experimental Design: The experiment was conducted using a completely randomised design. The collected data were analysed using analysis of variance (ANOVA). The least significant difference (LSD) test was used to identify significantly different means. Significance was accepted at p &lt; 0.05.</w:t>
      </w:r>
    </w:p>
    <w:p w14:paraId="251BB496" w14:textId="77777777" w:rsidR="00A943E3" w:rsidRPr="00F8705E" w:rsidRDefault="00A943E3" w:rsidP="00D36572">
      <w:pPr>
        <w:spacing w:line="276" w:lineRule="auto"/>
        <w:jc w:val="both"/>
        <w:rPr>
          <w:rFonts w:ascii="Times New Roman" w:hAnsi="Times New Roman" w:cs="Times New Roman"/>
          <w:b/>
          <w:color w:val="000000" w:themeColor="text1"/>
        </w:rPr>
      </w:pPr>
      <w:r w:rsidRPr="00F8705E">
        <w:t>RESULTS AND DISCUSSION</w:t>
      </w:r>
    </w:p>
    <w:p w14:paraId="32EBB7BC" w14:textId="77777777" w:rsidR="00A943E3" w:rsidRPr="00F8705E" w:rsidRDefault="008819D2" w:rsidP="00A943E3">
      <w:pPr>
        <w:spacing w:line="360" w:lineRule="auto"/>
        <w:jc w:val="both"/>
        <w:rPr>
          <w:rFonts w:ascii="Times New Roman" w:hAnsi="Times New Roman" w:cs="Times New Roman"/>
          <w:b/>
          <w:color w:val="000000" w:themeColor="text1"/>
        </w:rPr>
      </w:pPr>
      <w:r w:rsidRPr="00F8705E">
        <w:rPr>
          <w:rFonts w:ascii="Times New Roman" w:hAnsi="Times New Roman" w:cs="Times New Roman"/>
          <w:b/>
          <w:color w:val="000000" w:themeColor="text1"/>
        </w:rPr>
        <w:t>3.1 Mineral concentration of cakes produced from blends of wheat, pigeon pea and sorghum flour</w:t>
      </w:r>
    </w:p>
    <w:p w14:paraId="17F47317" w14:textId="77777777" w:rsidR="008819D2" w:rsidRPr="00F8705E" w:rsidRDefault="008819D2" w:rsidP="00346EA4">
      <w:pPr>
        <w:spacing w:line="360" w:lineRule="auto"/>
        <w:jc w:val="both"/>
        <w:rPr>
          <w:rFonts w:ascii="Times New Roman" w:hAnsi="Times New Roman" w:cs="Times New Roman"/>
          <w:b/>
          <w:color w:val="000000" w:themeColor="text1"/>
        </w:rPr>
      </w:pPr>
      <w:r w:rsidRPr="00F8705E">
        <w:rPr>
          <w:rFonts w:ascii="Times New Roman" w:hAnsi="Times New Roman" w:cs="Times New Roman"/>
          <w:b/>
          <w:color w:val="000000" w:themeColor="text1"/>
        </w:rPr>
        <w:t>Table 1: mineral concentration of cakes produced from blends of whe</w:t>
      </w:r>
      <w:r w:rsidR="00415A52" w:rsidRPr="00F8705E">
        <w:rPr>
          <w:rFonts w:ascii="Times New Roman" w:hAnsi="Times New Roman" w:cs="Times New Roman"/>
          <w:b/>
          <w:color w:val="000000" w:themeColor="text1"/>
        </w:rPr>
        <w:t>at, pigeon pea and sorghum flou</w:t>
      </w:r>
      <w:r w:rsidR="00A64513" w:rsidRPr="00F8705E">
        <w:rPr>
          <w:rFonts w:ascii="Times New Roman" w:hAnsi="Times New Roman" w:cs="Times New Roman"/>
          <w:b/>
          <w:color w:val="000000" w:themeColor="text1"/>
        </w:rPr>
        <w:t>r</w:t>
      </w:r>
    </w:p>
    <w:p w14:paraId="17EFF5A3" w14:textId="77777777" w:rsidR="00363E44" w:rsidRPr="00F8705E" w:rsidRDefault="00363E44" w:rsidP="00346EA4">
      <w:pPr>
        <w:spacing w:line="360" w:lineRule="auto"/>
        <w:jc w:val="both"/>
        <w:rPr>
          <w:rFonts w:ascii="Times New Roman" w:hAnsi="Times New Roman" w:cs="Times New Roman"/>
          <w:b/>
          <w:color w:val="000000" w:themeColor="text1"/>
        </w:rPr>
      </w:pPr>
      <w:r w:rsidRPr="00F8705E">
        <w:t>The mineral composition of the cake samples is shown in Table 1.</w:t>
      </w:r>
    </w:p>
    <w:tbl>
      <w:tblPr>
        <w:tblW w:w="5000" w:type="pct"/>
        <w:tblLook w:val="04A0" w:firstRow="1" w:lastRow="0" w:firstColumn="1" w:lastColumn="0" w:noHBand="0" w:noVBand="1"/>
      </w:tblPr>
      <w:tblGrid>
        <w:gridCol w:w="1165"/>
        <w:gridCol w:w="948"/>
        <w:gridCol w:w="636"/>
        <w:gridCol w:w="953"/>
        <w:gridCol w:w="496"/>
        <w:gridCol w:w="1144"/>
        <w:gridCol w:w="578"/>
        <w:gridCol w:w="1198"/>
        <w:gridCol w:w="524"/>
        <w:gridCol w:w="1031"/>
        <w:gridCol w:w="687"/>
      </w:tblGrid>
      <w:tr w:rsidR="0066219F" w:rsidRPr="00F8705E" w14:paraId="49CEBFB4" w14:textId="77777777" w:rsidTr="00813CFA">
        <w:trPr>
          <w:trHeight w:val="288"/>
        </w:trPr>
        <w:tc>
          <w:tcPr>
            <w:tcW w:w="622" w:type="pct"/>
            <w:tcBorders>
              <w:top w:val="single" w:sz="4" w:space="0" w:color="auto"/>
              <w:left w:val="nil"/>
              <w:bottom w:val="single" w:sz="4" w:space="0" w:color="auto"/>
              <w:right w:val="nil"/>
            </w:tcBorders>
            <w:noWrap/>
            <w:vAlign w:val="bottom"/>
            <w:hideMark/>
          </w:tcPr>
          <w:p w14:paraId="6BAF39DA"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SAMPLE</w:t>
            </w:r>
          </w:p>
        </w:tc>
        <w:tc>
          <w:tcPr>
            <w:tcW w:w="506" w:type="pct"/>
            <w:tcBorders>
              <w:top w:val="single" w:sz="4" w:space="0" w:color="auto"/>
              <w:left w:val="nil"/>
              <w:bottom w:val="single" w:sz="4" w:space="0" w:color="auto"/>
              <w:right w:val="nil"/>
            </w:tcBorders>
            <w:noWrap/>
            <w:vAlign w:val="bottom"/>
            <w:hideMark/>
          </w:tcPr>
          <w:p w14:paraId="3C4B5B44"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P</w:t>
            </w:r>
          </w:p>
        </w:tc>
        <w:tc>
          <w:tcPr>
            <w:tcW w:w="340" w:type="pct"/>
            <w:tcBorders>
              <w:top w:val="single" w:sz="4" w:space="0" w:color="auto"/>
              <w:left w:val="nil"/>
              <w:bottom w:val="single" w:sz="4" w:space="0" w:color="auto"/>
              <w:right w:val="nil"/>
            </w:tcBorders>
            <w:noWrap/>
            <w:vAlign w:val="bottom"/>
            <w:hideMark/>
          </w:tcPr>
          <w:p w14:paraId="31F913B3" w14:textId="77777777" w:rsidR="00A943E3" w:rsidRPr="00F8705E" w:rsidRDefault="00A943E3" w:rsidP="00A943E3">
            <w:pPr>
              <w:spacing w:line="360" w:lineRule="auto"/>
              <w:jc w:val="both"/>
              <w:rPr>
                <w:rFonts w:ascii="Times New Roman" w:hAnsi="Times New Roman" w:cs="Times New Roman"/>
                <w:color w:val="000000" w:themeColor="text1"/>
              </w:rPr>
            </w:pPr>
          </w:p>
        </w:tc>
        <w:tc>
          <w:tcPr>
            <w:tcW w:w="509" w:type="pct"/>
            <w:tcBorders>
              <w:top w:val="single" w:sz="4" w:space="0" w:color="auto"/>
              <w:left w:val="nil"/>
              <w:bottom w:val="single" w:sz="4" w:space="0" w:color="auto"/>
              <w:right w:val="nil"/>
            </w:tcBorders>
            <w:noWrap/>
            <w:vAlign w:val="bottom"/>
            <w:hideMark/>
          </w:tcPr>
          <w:p w14:paraId="3B758542"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Fe</w:t>
            </w:r>
          </w:p>
        </w:tc>
        <w:tc>
          <w:tcPr>
            <w:tcW w:w="265" w:type="pct"/>
            <w:tcBorders>
              <w:top w:val="single" w:sz="4" w:space="0" w:color="auto"/>
              <w:left w:val="nil"/>
              <w:bottom w:val="single" w:sz="4" w:space="0" w:color="auto"/>
              <w:right w:val="nil"/>
            </w:tcBorders>
            <w:noWrap/>
            <w:vAlign w:val="bottom"/>
            <w:hideMark/>
          </w:tcPr>
          <w:p w14:paraId="2685F68A" w14:textId="77777777" w:rsidR="00A943E3" w:rsidRPr="00F8705E" w:rsidRDefault="00A943E3" w:rsidP="00A943E3">
            <w:pPr>
              <w:spacing w:line="360" w:lineRule="auto"/>
              <w:jc w:val="both"/>
              <w:rPr>
                <w:rFonts w:ascii="Times New Roman" w:hAnsi="Times New Roman" w:cs="Times New Roman"/>
                <w:color w:val="000000" w:themeColor="text1"/>
              </w:rPr>
            </w:pPr>
          </w:p>
        </w:tc>
        <w:tc>
          <w:tcPr>
            <w:tcW w:w="611" w:type="pct"/>
            <w:tcBorders>
              <w:top w:val="single" w:sz="4" w:space="0" w:color="auto"/>
              <w:left w:val="nil"/>
              <w:bottom w:val="single" w:sz="4" w:space="0" w:color="auto"/>
              <w:right w:val="nil"/>
            </w:tcBorders>
            <w:noWrap/>
            <w:vAlign w:val="bottom"/>
            <w:hideMark/>
          </w:tcPr>
          <w:p w14:paraId="7C4FE37F"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Ca</w:t>
            </w:r>
          </w:p>
        </w:tc>
        <w:tc>
          <w:tcPr>
            <w:tcW w:w="309" w:type="pct"/>
            <w:tcBorders>
              <w:top w:val="single" w:sz="4" w:space="0" w:color="auto"/>
              <w:left w:val="nil"/>
              <w:bottom w:val="single" w:sz="4" w:space="0" w:color="auto"/>
              <w:right w:val="nil"/>
            </w:tcBorders>
            <w:noWrap/>
            <w:vAlign w:val="bottom"/>
            <w:hideMark/>
          </w:tcPr>
          <w:p w14:paraId="1FD77766" w14:textId="77777777" w:rsidR="00A943E3" w:rsidRPr="00F8705E" w:rsidRDefault="00A943E3" w:rsidP="00A943E3">
            <w:pPr>
              <w:spacing w:line="360" w:lineRule="auto"/>
              <w:jc w:val="both"/>
              <w:rPr>
                <w:rFonts w:ascii="Times New Roman" w:hAnsi="Times New Roman" w:cs="Times New Roman"/>
                <w:color w:val="000000" w:themeColor="text1"/>
              </w:rPr>
            </w:pPr>
          </w:p>
        </w:tc>
        <w:tc>
          <w:tcPr>
            <w:tcW w:w="640" w:type="pct"/>
            <w:tcBorders>
              <w:top w:val="single" w:sz="4" w:space="0" w:color="auto"/>
              <w:left w:val="nil"/>
              <w:bottom w:val="single" w:sz="4" w:space="0" w:color="auto"/>
              <w:right w:val="nil"/>
            </w:tcBorders>
            <w:noWrap/>
            <w:vAlign w:val="bottom"/>
            <w:hideMark/>
          </w:tcPr>
          <w:p w14:paraId="280C4C10"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Mg</w:t>
            </w:r>
          </w:p>
        </w:tc>
        <w:tc>
          <w:tcPr>
            <w:tcW w:w="280" w:type="pct"/>
            <w:tcBorders>
              <w:top w:val="single" w:sz="4" w:space="0" w:color="auto"/>
              <w:left w:val="nil"/>
              <w:bottom w:val="single" w:sz="4" w:space="0" w:color="auto"/>
              <w:right w:val="nil"/>
            </w:tcBorders>
            <w:noWrap/>
            <w:vAlign w:val="bottom"/>
            <w:hideMark/>
          </w:tcPr>
          <w:p w14:paraId="7ACECAA4" w14:textId="77777777" w:rsidR="00A943E3" w:rsidRPr="00F8705E" w:rsidRDefault="00A943E3" w:rsidP="00A943E3">
            <w:pPr>
              <w:spacing w:line="360" w:lineRule="auto"/>
              <w:jc w:val="both"/>
              <w:rPr>
                <w:rFonts w:ascii="Times New Roman" w:hAnsi="Times New Roman" w:cs="Times New Roman"/>
                <w:color w:val="000000" w:themeColor="text1"/>
              </w:rPr>
            </w:pPr>
          </w:p>
        </w:tc>
        <w:tc>
          <w:tcPr>
            <w:tcW w:w="551" w:type="pct"/>
            <w:tcBorders>
              <w:top w:val="single" w:sz="4" w:space="0" w:color="auto"/>
              <w:left w:val="nil"/>
              <w:bottom w:val="single" w:sz="4" w:space="0" w:color="auto"/>
              <w:right w:val="nil"/>
            </w:tcBorders>
            <w:noWrap/>
            <w:vAlign w:val="bottom"/>
            <w:hideMark/>
          </w:tcPr>
          <w:p w14:paraId="6A40E4B2"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K</w:t>
            </w:r>
          </w:p>
        </w:tc>
        <w:tc>
          <w:tcPr>
            <w:tcW w:w="367" w:type="pct"/>
            <w:tcBorders>
              <w:top w:val="single" w:sz="4" w:space="0" w:color="auto"/>
              <w:left w:val="nil"/>
              <w:bottom w:val="single" w:sz="4" w:space="0" w:color="auto"/>
              <w:right w:val="nil"/>
            </w:tcBorders>
            <w:noWrap/>
            <w:vAlign w:val="bottom"/>
            <w:hideMark/>
          </w:tcPr>
          <w:p w14:paraId="569268E3" w14:textId="77777777" w:rsidR="00A943E3" w:rsidRPr="00F8705E" w:rsidRDefault="00A943E3" w:rsidP="00A943E3">
            <w:pPr>
              <w:spacing w:line="360" w:lineRule="auto"/>
              <w:jc w:val="both"/>
              <w:rPr>
                <w:rFonts w:ascii="Times New Roman" w:hAnsi="Times New Roman" w:cs="Times New Roman"/>
                <w:color w:val="000000" w:themeColor="text1"/>
              </w:rPr>
            </w:pPr>
          </w:p>
        </w:tc>
      </w:tr>
      <w:tr w:rsidR="0066219F" w:rsidRPr="00F8705E" w14:paraId="3B4430F1" w14:textId="77777777" w:rsidTr="00813CFA">
        <w:trPr>
          <w:trHeight w:val="288"/>
        </w:trPr>
        <w:tc>
          <w:tcPr>
            <w:tcW w:w="622" w:type="pct"/>
            <w:tcBorders>
              <w:top w:val="single" w:sz="4" w:space="0" w:color="auto"/>
              <w:left w:val="nil"/>
              <w:bottom w:val="nil"/>
              <w:right w:val="nil"/>
            </w:tcBorders>
            <w:noWrap/>
            <w:vAlign w:val="bottom"/>
            <w:hideMark/>
          </w:tcPr>
          <w:p w14:paraId="1B9D442B" w14:textId="77777777" w:rsidR="00A943E3" w:rsidRPr="00F8705E" w:rsidRDefault="00363E44"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lastRenderedPageBreak/>
              <w:t>CP25</w:t>
            </w:r>
          </w:p>
        </w:tc>
        <w:tc>
          <w:tcPr>
            <w:tcW w:w="846" w:type="pct"/>
            <w:gridSpan w:val="2"/>
            <w:tcBorders>
              <w:top w:val="single" w:sz="4" w:space="0" w:color="auto"/>
              <w:left w:val="nil"/>
              <w:bottom w:val="nil"/>
              <w:right w:val="nil"/>
            </w:tcBorders>
            <w:noWrap/>
            <w:vAlign w:val="bottom"/>
            <w:hideMark/>
          </w:tcPr>
          <w:p w14:paraId="7B4CEF0C"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40.26</w:t>
            </w:r>
            <w:r w:rsidRPr="00F8705E">
              <w:rPr>
                <w:rFonts w:ascii="Times New Roman" w:hAnsi="Times New Roman" w:cs="Times New Roman"/>
                <w:color w:val="000000" w:themeColor="text1"/>
                <w:vertAlign w:val="superscript"/>
              </w:rPr>
              <w:t>c</w:t>
            </w:r>
            <w:r w:rsidRPr="00F8705E">
              <w:rPr>
                <w:rFonts w:ascii="Times New Roman" w:hAnsi="Times New Roman" w:cs="Times New Roman"/>
                <w:color w:val="000000" w:themeColor="text1"/>
              </w:rPr>
              <w:t>+0.04</w:t>
            </w:r>
          </w:p>
        </w:tc>
        <w:tc>
          <w:tcPr>
            <w:tcW w:w="774" w:type="pct"/>
            <w:gridSpan w:val="2"/>
            <w:tcBorders>
              <w:top w:val="single" w:sz="4" w:space="0" w:color="auto"/>
              <w:left w:val="nil"/>
              <w:bottom w:val="nil"/>
              <w:right w:val="nil"/>
            </w:tcBorders>
            <w:noWrap/>
            <w:vAlign w:val="bottom"/>
            <w:hideMark/>
          </w:tcPr>
          <w:p w14:paraId="517B9FDC"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2.08</w:t>
            </w:r>
            <w:r w:rsidRPr="00F8705E">
              <w:rPr>
                <w:rFonts w:ascii="Times New Roman" w:hAnsi="Times New Roman" w:cs="Times New Roman"/>
                <w:color w:val="000000" w:themeColor="text1"/>
                <w:vertAlign w:val="superscript"/>
              </w:rPr>
              <w:t>b</w:t>
            </w:r>
            <w:r w:rsidRPr="00F8705E">
              <w:rPr>
                <w:rFonts w:ascii="Times New Roman" w:hAnsi="Times New Roman" w:cs="Times New Roman"/>
                <w:color w:val="000000" w:themeColor="text1"/>
              </w:rPr>
              <w:t>+0.01</w:t>
            </w:r>
          </w:p>
        </w:tc>
        <w:tc>
          <w:tcPr>
            <w:tcW w:w="920" w:type="pct"/>
            <w:gridSpan w:val="2"/>
            <w:tcBorders>
              <w:top w:val="single" w:sz="4" w:space="0" w:color="auto"/>
              <w:left w:val="nil"/>
              <w:bottom w:val="nil"/>
              <w:right w:val="nil"/>
            </w:tcBorders>
            <w:noWrap/>
            <w:vAlign w:val="bottom"/>
            <w:hideMark/>
          </w:tcPr>
          <w:p w14:paraId="0EB0A88C"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309.44</w:t>
            </w:r>
            <w:r w:rsidRPr="00F8705E">
              <w:rPr>
                <w:rFonts w:ascii="Times New Roman" w:hAnsi="Times New Roman" w:cs="Times New Roman"/>
                <w:color w:val="000000" w:themeColor="text1"/>
                <w:vertAlign w:val="superscript"/>
              </w:rPr>
              <w:t>d</w:t>
            </w:r>
            <w:r w:rsidRPr="00F8705E">
              <w:rPr>
                <w:rFonts w:ascii="Times New Roman" w:hAnsi="Times New Roman" w:cs="Times New Roman"/>
                <w:color w:val="000000" w:themeColor="text1"/>
              </w:rPr>
              <w:t>+0.02</w:t>
            </w:r>
          </w:p>
        </w:tc>
        <w:tc>
          <w:tcPr>
            <w:tcW w:w="920" w:type="pct"/>
            <w:gridSpan w:val="2"/>
            <w:tcBorders>
              <w:top w:val="single" w:sz="4" w:space="0" w:color="auto"/>
              <w:left w:val="nil"/>
              <w:bottom w:val="nil"/>
              <w:right w:val="nil"/>
            </w:tcBorders>
            <w:noWrap/>
            <w:vAlign w:val="bottom"/>
            <w:hideMark/>
          </w:tcPr>
          <w:p w14:paraId="2A3EAC5F"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185.74</w:t>
            </w:r>
            <w:r w:rsidRPr="00F8705E">
              <w:rPr>
                <w:rFonts w:ascii="Times New Roman" w:hAnsi="Times New Roman" w:cs="Times New Roman"/>
                <w:color w:val="000000" w:themeColor="text1"/>
                <w:vertAlign w:val="superscript"/>
              </w:rPr>
              <w:t>d</w:t>
            </w:r>
            <w:r w:rsidRPr="00F8705E">
              <w:rPr>
                <w:rFonts w:ascii="Times New Roman" w:hAnsi="Times New Roman" w:cs="Times New Roman"/>
                <w:color w:val="000000" w:themeColor="text1"/>
              </w:rPr>
              <w:t>+0.04</w:t>
            </w:r>
          </w:p>
        </w:tc>
        <w:tc>
          <w:tcPr>
            <w:tcW w:w="918" w:type="pct"/>
            <w:gridSpan w:val="2"/>
            <w:tcBorders>
              <w:top w:val="single" w:sz="4" w:space="0" w:color="auto"/>
              <w:left w:val="nil"/>
              <w:bottom w:val="nil"/>
              <w:right w:val="nil"/>
            </w:tcBorders>
            <w:noWrap/>
            <w:vAlign w:val="bottom"/>
            <w:hideMark/>
          </w:tcPr>
          <w:p w14:paraId="4167841D" w14:textId="77777777" w:rsidR="00A943E3" w:rsidRPr="00F8705E" w:rsidRDefault="005B087D"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362</w:t>
            </w:r>
            <w:r w:rsidR="00A943E3" w:rsidRPr="00F8705E">
              <w:rPr>
                <w:rFonts w:ascii="Times New Roman" w:hAnsi="Times New Roman" w:cs="Times New Roman"/>
                <w:color w:val="000000" w:themeColor="text1"/>
              </w:rPr>
              <w:t>.67</w:t>
            </w:r>
            <w:r w:rsidR="00A943E3" w:rsidRPr="00F8705E">
              <w:rPr>
                <w:rFonts w:ascii="Times New Roman" w:hAnsi="Times New Roman" w:cs="Times New Roman"/>
                <w:color w:val="000000" w:themeColor="text1"/>
                <w:vertAlign w:val="superscript"/>
              </w:rPr>
              <w:t>c</w:t>
            </w:r>
            <w:r w:rsidR="00A943E3" w:rsidRPr="00F8705E">
              <w:rPr>
                <w:rFonts w:ascii="Times New Roman" w:hAnsi="Times New Roman" w:cs="Times New Roman"/>
                <w:color w:val="000000" w:themeColor="text1"/>
              </w:rPr>
              <w:t>+0.64</w:t>
            </w:r>
          </w:p>
        </w:tc>
      </w:tr>
      <w:tr w:rsidR="0066219F" w:rsidRPr="00F8705E" w14:paraId="294D81A5" w14:textId="77777777" w:rsidTr="00813CFA">
        <w:trPr>
          <w:trHeight w:val="288"/>
        </w:trPr>
        <w:tc>
          <w:tcPr>
            <w:tcW w:w="622" w:type="pct"/>
            <w:tcBorders>
              <w:top w:val="nil"/>
              <w:left w:val="nil"/>
              <w:bottom w:val="nil"/>
              <w:right w:val="nil"/>
            </w:tcBorders>
            <w:noWrap/>
            <w:vAlign w:val="bottom"/>
            <w:hideMark/>
          </w:tcPr>
          <w:p w14:paraId="42165050" w14:textId="77777777" w:rsidR="00A943E3" w:rsidRPr="00F8705E" w:rsidRDefault="00363E44"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CP50</w:t>
            </w:r>
          </w:p>
        </w:tc>
        <w:tc>
          <w:tcPr>
            <w:tcW w:w="846" w:type="pct"/>
            <w:gridSpan w:val="2"/>
            <w:tcBorders>
              <w:top w:val="nil"/>
              <w:left w:val="nil"/>
              <w:bottom w:val="nil"/>
              <w:right w:val="nil"/>
            </w:tcBorders>
            <w:noWrap/>
            <w:vAlign w:val="bottom"/>
            <w:hideMark/>
          </w:tcPr>
          <w:p w14:paraId="6D13E0D4"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47.86</w:t>
            </w:r>
            <w:r w:rsidRPr="00F8705E">
              <w:rPr>
                <w:rFonts w:ascii="Times New Roman" w:hAnsi="Times New Roman" w:cs="Times New Roman"/>
                <w:color w:val="000000" w:themeColor="text1"/>
                <w:vertAlign w:val="superscript"/>
              </w:rPr>
              <w:t>a</w:t>
            </w:r>
            <w:r w:rsidRPr="00F8705E">
              <w:rPr>
                <w:rFonts w:ascii="Times New Roman" w:hAnsi="Times New Roman" w:cs="Times New Roman"/>
                <w:color w:val="000000" w:themeColor="text1"/>
              </w:rPr>
              <w:t>+0.08</w:t>
            </w:r>
          </w:p>
        </w:tc>
        <w:tc>
          <w:tcPr>
            <w:tcW w:w="774" w:type="pct"/>
            <w:gridSpan w:val="2"/>
            <w:tcBorders>
              <w:top w:val="nil"/>
              <w:left w:val="nil"/>
              <w:bottom w:val="nil"/>
              <w:right w:val="nil"/>
            </w:tcBorders>
            <w:noWrap/>
            <w:vAlign w:val="bottom"/>
            <w:hideMark/>
          </w:tcPr>
          <w:p w14:paraId="2EA52811"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0.34</w:t>
            </w:r>
            <w:r w:rsidR="004361E2" w:rsidRPr="00F8705E">
              <w:rPr>
                <w:rFonts w:ascii="Times New Roman" w:hAnsi="Times New Roman" w:cs="Times New Roman"/>
                <w:color w:val="000000" w:themeColor="text1"/>
                <w:vertAlign w:val="superscript"/>
              </w:rPr>
              <w:t>d</w:t>
            </w:r>
            <w:r w:rsidRPr="00F8705E">
              <w:rPr>
                <w:rFonts w:ascii="Times New Roman" w:hAnsi="Times New Roman" w:cs="Times New Roman"/>
                <w:color w:val="000000" w:themeColor="text1"/>
              </w:rPr>
              <w:t>+0.01</w:t>
            </w:r>
          </w:p>
        </w:tc>
        <w:tc>
          <w:tcPr>
            <w:tcW w:w="920" w:type="pct"/>
            <w:gridSpan w:val="2"/>
            <w:tcBorders>
              <w:top w:val="nil"/>
              <w:left w:val="nil"/>
              <w:bottom w:val="nil"/>
              <w:right w:val="nil"/>
            </w:tcBorders>
            <w:noWrap/>
            <w:vAlign w:val="bottom"/>
            <w:hideMark/>
          </w:tcPr>
          <w:p w14:paraId="10FEE22E"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316.28</w:t>
            </w:r>
            <w:r w:rsidR="005B087D" w:rsidRPr="00F8705E">
              <w:rPr>
                <w:rFonts w:ascii="Times New Roman" w:hAnsi="Times New Roman" w:cs="Times New Roman"/>
                <w:color w:val="000000" w:themeColor="text1"/>
                <w:vertAlign w:val="superscript"/>
              </w:rPr>
              <w:t>b</w:t>
            </w:r>
            <w:r w:rsidRPr="00F8705E">
              <w:rPr>
                <w:rFonts w:ascii="Times New Roman" w:hAnsi="Times New Roman" w:cs="Times New Roman"/>
                <w:color w:val="000000" w:themeColor="text1"/>
              </w:rPr>
              <w:t>+1.17</w:t>
            </w:r>
          </w:p>
        </w:tc>
        <w:tc>
          <w:tcPr>
            <w:tcW w:w="920" w:type="pct"/>
            <w:gridSpan w:val="2"/>
            <w:tcBorders>
              <w:top w:val="nil"/>
              <w:left w:val="nil"/>
              <w:bottom w:val="nil"/>
              <w:right w:val="nil"/>
            </w:tcBorders>
            <w:noWrap/>
            <w:vAlign w:val="bottom"/>
            <w:hideMark/>
          </w:tcPr>
          <w:p w14:paraId="1D37B590"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192.25</w:t>
            </w:r>
            <w:r w:rsidRPr="00F8705E">
              <w:rPr>
                <w:rFonts w:ascii="Times New Roman" w:hAnsi="Times New Roman" w:cs="Times New Roman"/>
                <w:color w:val="000000" w:themeColor="text1"/>
                <w:vertAlign w:val="superscript"/>
              </w:rPr>
              <w:t>b</w:t>
            </w:r>
            <w:r w:rsidRPr="00F8705E">
              <w:rPr>
                <w:rFonts w:ascii="Times New Roman" w:hAnsi="Times New Roman" w:cs="Times New Roman"/>
                <w:color w:val="000000" w:themeColor="text1"/>
              </w:rPr>
              <w:t>+0.25</w:t>
            </w:r>
          </w:p>
        </w:tc>
        <w:tc>
          <w:tcPr>
            <w:tcW w:w="918" w:type="pct"/>
            <w:gridSpan w:val="2"/>
            <w:tcBorders>
              <w:top w:val="nil"/>
              <w:left w:val="nil"/>
              <w:bottom w:val="nil"/>
              <w:right w:val="nil"/>
            </w:tcBorders>
            <w:noWrap/>
            <w:vAlign w:val="bottom"/>
            <w:hideMark/>
          </w:tcPr>
          <w:p w14:paraId="7D3D0749"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372.00</w:t>
            </w:r>
            <w:r w:rsidR="005B087D" w:rsidRPr="00F8705E">
              <w:rPr>
                <w:rFonts w:ascii="Times New Roman" w:hAnsi="Times New Roman" w:cs="Times New Roman"/>
                <w:color w:val="000000" w:themeColor="text1"/>
                <w:vertAlign w:val="superscript"/>
              </w:rPr>
              <w:t>b</w:t>
            </w:r>
            <w:r w:rsidRPr="00F8705E">
              <w:rPr>
                <w:rFonts w:ascii="Times New Roman" w:hAnsi="Times New Roman" w:cs="Times New Roman"/>
                <w:color w:val="000000" w:themeColor="text1"/>
              </w:rPr>
              <w:t>+2.02</w:t>
            </w:r>
          </w:p>
        </w:tc>
      </w:tr>
      <w:tr w:rsidR="0066219F" w:rsidRPr="00F8705E" w14:paraId="47459818" w14:textId="77777777" w:rsidTr="00813CFA">
        <w:trPr>
          <w:trHeight w:val="288"/>
        </w:trPr>
        <w:tc>
          <w:tcPr>
            <w:tcW w:w="622" w:type="pct"/>
            <w:tcBorders>
              <w:top w:val="nil"/>
              <w:left w:val="nil"/>
              <w:bottom w:val="nil"/>
              <w:right w:val="nil"/>
            </w:tcBorders>
            <w:noWrap/>
            <w:vAlign w:val="bottom"/>
            <w:hideMark/>
          </w:tcPr>
          <w:p w14:paraId="1D734FD0" w14:textId="77777777" w:rsidR="00A943E3" w:rsidRPr="00F8705E" w:rsidRDefault="00363E44"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SC25</w:t>
            </w:r>
          </w:p>
        </w:tc>
        <w:tc>
          <w:tcPr>
            <w:tcW w:w="846" w:type="pct"/>
            <w:gridSpan w:val="2"/>
            <w:tcBorders>
              <w:top w:val="nil"/>
              <w:left w:val="nil"/>
              <w:bottom w:val="nil"/>
              <w:right w:val="nil"/>
            </w:tcBorders>
            <w:noWrap/>
            <w:vAlign w:val="bottom"/>
            <w:hideMark/>
          </w:tcPr>
          <w:p w14:paraId="6BC9B33B"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39.00</w:t>
            </w:r>
            <w:r w:rsidRPr="00F8705E">
              <w:rPr>
                <w:rFonts w:ascii="Times New Roman" w:hAnsi="Times New Roman" w:cs="Times New Roman"/>
                <w:color w:val="000000" w:themeColor="text1"/>
                <w:vertAlign w:val="superscript"/>
              </w:rPr>
              <w:t>d</w:t>
            </w:r>
            <w:r w:rsidRPr="00F8705E">
              <w:rPr>
                <w:rFonts w:ascii="Times New Roman" w:hAnsi="Times New Roman" w:cs="Times New Roman"/>
                <w:color w:val="000000" w:themeColor="text1"/>
              </w:rPr>
              <w:t>+0.05</w:t>
            </w:r>
          </w:p>
        </w:tc>
        <w:tc>
          <w:tcPr>
            <w:tcW w:w="774" w:type="pct"/>
            <w:gridSpan w:val="2"/>
            <w:tcBorders>
              <w:top w:val="nil"/>
              <w:left w:val="nil"/>
              <w:bottom w:val="nil"/>
              <w:right w:val="nil"/>
            </w:tcBorders>
            <w:noWrap/>
            <w:vAlign w:val="bottom"/>
            <w:hideMark/>
          </w:tcPr>
          <w:p w14:paraId="33EDC204"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2.17</w:t>
            </w:r>
            <w:r w:rsidR="004361E2" w:rsidRPr="00F8705E">
              <w:rPr>
                <w:rFonts w:ascii="Times New Roman" w:hAnsi="Times New Roman" w:cs="Times New Roman"/>
                <w:color w:val="000000" w:themeColor="text1"/>
                <w:vertAlign w:val="superscript"/>
              </w:rPr>
              <w:t>c</w:t>
            </w:r>
            <w:r w:rsidRPr="00F8705E">
              <w:rPr>
                <w:rFonts w:ascii="Times New Roman" w:hAnsi="Times New Roman" w:cs="Times New Roman"/>
                <w:color w:val="000000" w:themeColor="text1"/>
              </w:rPr>
              <w:t>+0.04</w:t>
            </w:r>
          </w:p>
        </w:tc>
        <w:tc>
          <w:tcPr>
            <w:tcW w:w="920" w:type="pct"/>
            <w:gridSpan w:val="2"/>
            <w:tcBorders>
              <w:top w:val="nil"/>
              <w:left w:val="nil"/>
              <w:bottom w:val="nil"/>
              <w:right w:val="nil"/>
            </w:tcBorders>
            <w:noWrap/>
            <w:vAlign w:val="bottom"/>
            <w:hideMark/>
          </w:tcPr>
          <w:p w14:paraId="4338D65D"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311.63</w:t>
            </w:r>
            <w:r w:rsidR="005B087D" w:rsidRPr="00F8705E">
              <w:rPr>
                <w:rFonts w:ascii="Times New Roman" w:hAnsi="Times New Roman" w:cs="Times New Roman"/>
                <w:color w:val="000000" w:themeColor="text1"/>
                <w:vertAlign w:val="superscript"/>
              </w:rPr>
              <w:t>c</w:t>
            </w:r>
            <w:r w:rsidRPr="00F8705E">
              <w:rPr>
                <w:rFonts w:ascii="Times New Roman" w:hAnsi="Times New Roman" w:cs="Times New Roman"/>
                <w:color w:val="000000" w:themeColor="text1"/>
              </w:rPr>
              <w:t>+0.04</w:t>
            </w:r>
          </w:p>
        </w:tc>
        <w:tc>
          <w:tcPr>
            <w:tcW w:w="920" w:type="pct"/>
            <w:gridSpan w:val="2"/>
            <w:tcBorders>
              <w:top w:val="nil"/>
              <w:left w:val="nil"/>
              <w:bottom w:val="nil"/>
              <w:right w:val="nil"/>
            </w:tcBorders>
            <w:noWrap/>
            <w:vAlign w:val="bottom"/>
            <w:hideMark/>
          </w:tcPr>
          <w:p w14:paraId="76848F7D"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189.45</w:t>
            </w:r>
            <w:r w:rsidRPr="00F8705E">
              <w:rPr>
                <w:rFonts w:ascii="Times New Roman" w:hAnsi="Times New Roman" w:cs="Times New Roman"/>
                <w:color w:val="000000" w:themeColor="text1"/>
                <w:vertAlign w:val="superscript"/>
              </w:rPr>
              <w:t>c</w:t>
            </w:r>
            <w:r w:rsidRPr="00F8705E">
              <w:rPr>
                <w:rFonts w:ascii="Times New Roman" w:hAnsi="Times New Roman" w:cs="Times New Roman"/>
                <w:color w:val="000000" w:themeColor="text1"/>
              </w:rPr>
              <w:t>+0.15</w:t>
            </w:r>
          </w:p>
        </w:tc>
        <w:tc>
          <w:tcPr>
            <w:tcW w:w="918" w:type="pct"/>
            <w:gridSpan w:val="2"/>
            <w:tcBorders>
              <w:top w:val="nil"/>
              <w:left w:val="nil"/>
              <w:bottom w:val="nil"/>
              <w:right w:val="nil"/>
            </w:tcBorders>
            <w:noWrap/>
            <w:vAlign w:val="bottom"/>
            <w:hideMark/>
          </w:tcPr>
          <w:p w14:paraId="5681A937"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373.20</w:t>
            </w:r>
            <w:r w:rsidRPr="00F8705E">
              <w:rPr>
                <w:rFonts w:ascii="Times New Roman" w:hAnsi="Times New Roman" w:cs="Times New Roman"/>
                <w:color w:val="000000" w:themeColor="text1"/>
                <w:vertAlign w:val="superscript"/>
              </w:rPr>
              <w:t>b</w:t>
            </w:r>
            <w:r w:rsidRPr="00F8705E">
              <w:rPr>
                <w:rFonts w:ascii="Times New Roman" w:hAnsi="Times New Roman" w:cs="Times New Roman"/>
                <w:color w:val="000000" w:themeColor="text1"/>
              </w:rPr>
              <w:t>+0.65</w:t>
            </w:r>
          </w:p>
        </w:tc>
      </w:tr>
      <w:tr w:rsidR="0066219F" w:rsidRPr="00F8705E" w14:paraId="57B882AE" w14:textId="77777777" w:rsidTr="00813CFA">
        <w:trPr>
          <w:trHeight w:val="288"/>
        </w:trPr>
        <w:tc>
          <w:tcPr>
            <w:tcW w:w="622" w:type="pct"/>
            <w:tcBorders>
              <w:top w:val="nil"/>
              <w:left w:val="nil"/>
              <w:bottom w:val="nil"/>
              <w:right w:val="nil"/>
            </w:tcBorders>
            <w:noWrap/>
            <w:vAlign w:val="bottom"/>
            <w:hideMark/>
          </w:tcPr>
          <w:p w14:paraId="53E8A6E3" w14:textId="77777777" w:rsidR="00A943E3" w:rsidRPr="00F8705E" w:rsidRDefault="00363E44"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SC50</w:t>
            </w:r>
          </w:p>
        </w:tc>
        <w:tc>
          <w:tcPr>
            <w:tcW w:w="846" w:type="pct"/>
            <w:gridSpan w:val="2"/>
            <w:tcBorders>
              <w:top w:val="nil"/>
              <w:left w:val="nil"/>
              <w:bottom w:val="nil"/>
              <w:right w:val="nil"/>
            </w:tcBorders>
            <w:noWrap/>
            <w:vAlign w:val="bottom"/>
            <w:hideMark/>
          </w:tcPr>
          <w:p w14:paraId="1F5727F6"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46.25</w:t>
            </w:r>
            <w:r w:rsidRPr="00F8705E">
              <w:rPr>
                <w:rFonts w:ascii="Times New Roman" w:hAnsi="Times New Roman" w:cs="Times New Roman"/>
                <w:color w:val="000000" w:themeColor="text1"/>
                <w:vertAlign w:val="superscript"/>
              </w:rPr>
              <w:t>b</w:t>
            </w:r>
            <w:r w:rsidRPr="00F8705E">
              <w:rPr>
                <w:rFonts w:ascii="Times New Roman" w:hAnsi="Times New Roman" w:cs="Times New Roman"/>
                <w:color w:val="000000" w:themeColor="text1"/>
              </w:rPr>
              <w:t>+0.47</w:t>
            </w:r>
          </w:p>
        </w:tc>
        <w:tc>
          <w:tcPr>
            <w:tcW w:w="774" w:type="pct"/>
            <w:gridSpan w:val="2"/>
            <w:tcBorders>
              <w:top w:val="nil"/>
              <w:left w:val="nil"/>
              <w:bottom w:val="nil"/>
              <w:right w:val="nil"/>
            </w:tcBorders>
            <w:noWrap/>
            <w:vAlign w:val="bottom"/>
            <w:hideMark/>
          </w:tcPr>
          <w:p w14:paraId="6DA4C582"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0.35</w:t>
            </w:r>
            <w:r w:rsidR="004361E2" w:rsidRPr="00F8705E">
              <w:rPr>
                <w:rFonts w:ascii="Times New Roman" w:hAnsi="Times New Roman" w:cs="Times New Roman"/>
                <w:color w:val="000000" w:themeColor="text1"/>
                <w:vertAlign w:val="superscript"/>
              </w:rPr>
              <w:t>d</w:t>
            </w:r>
            <w:r w:rsidRPr="00F8705E">
              <w:rPr>
                <w:rFonts w:ascii="Times New Roman" w:hAnsi="Times New Roman" w:cs="Times New Roman"/>
                <w:color w:val="000000" w:themeColor="text1"/>
              </w:rPr>
              <w:t>+0.01</w:t>
            </w:r>
          </w:p>
        </w:tc>
        <w:tc>
          <w:tcPr>
            <w:tcW w:w="920" w:type="pct"/>
            <w:gridSpan w:val="2"/>
            <w:tcBorders>
              <w:top w:val="nil"/>
              <w:left w:val="nil"/>
              <w:bottom w:val="nil"/>
              <w:right w:val="nil"/>
            </w:tcBorders>
            <w:noWrap/>
            <w:vAlign w:val="bottom"/>
            <w:hideMark/>
          </w:tcPr>
          <w:p w14:paraId="6539EE75"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322.14</w:t>
            </w:r>
            <w:r w:rsidRPr="00F8705E">
              <w:rPr>
                <w:rFonts w:ascii="Times New Roman" w:hAnsi="Times New Roman" w:cs="Times New Roman"/>
                <w:color w:val="000000" w:themeColor="text1"/>
                <w:vertAlign w:val="superscript"/>
              </w:rPr>
              <w:t>a</w:t>
            </w:r>
            <w:r w:rsidRPr="00F8705E">
              <w:rPr>
                <w:rFonts w:ascii="Times New Roman" w:hAnsi="Times New Roman" w:cs="Times New Roman"/>
                <w:color w:val="000000" w:themeColor="text1"/>
              </w:rPr>
              <w:t>+0.20</w:t>
            </w:r>
          </w:p>
        </w:tc>
        <w:tc>
          <w:tcPr>
            <w:tcW w:w="920" w:type="pct"/>
            <w:gridSpan w:val="2"/>
            <w:tcBorders>
              <w:top w:val="nil"/>
              <w:left w:val="nil"/>
              <w:bottom w:val="nil"/>
              <w:right w:val="nil"/>
            </w:tcBorders>
            <w:noWrap/>
            <w:vAlign w:val="bottom"/>
            <w:hideMark/>
          </w:tcPr>
          <w:p w14:paraId="7A7DDD6F"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197.81</w:t>
            </w:r>
            <w:r w:rsidRPr="00F8705E">
              <w:rPr>
                <w:rFonts w:ascii="Times New Roman" w:hAnsi="Times New Roman" w:cs="Times New Roman"/>
                <w:color w:val="000000" w:themeColor="text1"/>
                <w:vertAlign w:val="superscript"/>
              </w:rPr>
              <w:t>a</w:t>
            </w:r>
            <w:r w:rsidRPr="00F8705E">
              <w:rPr>
                <w:rFonts w:ascii="Times New Roman" w:hAnsi="Times New Roman" w:cs="Times New Roman"/>
                <w:color w:val="000000" w:themeColor="text1"/>
              </w:rPr>
              <w:t>+0.62</w:t>
            </w:r>
          </w:p>
        </w:tc>
        <w:tc>
          <w:tcPr>
            <w:tcW w:w="918" w:type="pct"/>
            <w:gridSpan w:val="2"/>
            <w:tcBorders>
              <w:top w:val="nil"/>
              <w:left w:val="nil"/>
              <w:bottom w:val="nil"/>
              <w:right w:val="nil"/>
            </w:tcBorders>
            <w:noWrap/>
            <w:vAlign w:val="bottom"/>
            <w:hideMark/>
          </w:tcPr>
          <w:p w14:paraId="49A4F0D9"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387.07</w:t>
            </w:r>
            <w:r w:rsidRPr="00F8705E">
              <w:rPr>
                <w:rFonts w:ascii="Times New Roman" w:hAnsi="Times New Roman" w:cs="Times New Roman"/>
                <w:color w:val="000000" w:themeColor="text1"/>
                <w:vertAlign w:val="superscript"/>
              </w:rPr>
              <w:t>a</w:t>
            </w:r>
            <w:r w:rsidRPr="00F8705E">
              <w:rPr>
                <w:rFonts w:ascii="Times New Roman" w:hAnsi="Times New Roman" w:cs="Times New Roman"/>
                <w:color w:val="000000" w:themeColor="text1"/>
              </w:rPr>
              <w:t>+0.48</w:t>
            </w:r>
          </w:p>
        </w:tc>
      </w:tr>
      <w:tr w:rsidR="0066219F" w:rsidRPr="00F8705E" w14:paraId="784EE1D1" w14:textId="77777777" w:rsidTr="00813CFA">
        <w:trPr>
          <w:trHeight w:val="288"/>
        </w:trPr>
        <w:tc>
          <w:tcPr>
            <w:tcW w:w="622" w:type="pct"/>
            <w:tcBorders>
              <w:top w:val="nil"/>
              <w:left w:val="nil"/>
              <w:bottom w:val="single" w:sz="4" w:space="0" w:color="auto"/>
              <w:right w:val="nil"/>
            </w:tcBorders>
            <w:noWrap/>
            <w:vAlign w:val="bottom"/>
            <w:hideMark/>
          </w:tcPr>
          <w:p w14:paraId="5C7A42D9" w14:textId="77777777" w:rsidR="00A943E3" w:rsidRPr="00F8705E" w:rsidRDefault="00363E44"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CC</w:t>
            </w:r>
          </w:p>
        </w:tc>
        <w:tc>
          <w:tcPr>
            <w:tcW w:w="846" w:type="pct"/>
            <w:gridSpan w:val="2"/>
            <w:tcBorders>
              <w:top w:val="nil"/>
              <w:left w:val="nil"/>
              <w:bottom w:val="single" w:sz="4" w:space="0" w:color="auto"/>
              <w:right w:val="nil"/>
            </w:tcBorders>
            <w:noWrap/>
            <w:vAlign w:val="bottom"/>
            <w:hideMark/>
          </w:tcPr>
          <w:p w14:paraId="59635F6A"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34.98</w:t>
            </w:r>
            <w:r w:rsidRPr="00F8705E">
              <w:rPr>
                <w:rFonts w:ascii="Times New Roman" w:hAnsi="Times New Roman" w:cs="Times New Roman"/>
                <w:color w:val="000000" w:themeColor="text1"/>
                <w:vertAlign w:val="superscript"/>
              </w:rPr>
              <w:t>e</w:t>
            </w:r>
            <w:r w:rsidRPr="00F8705E">
              <w:rPr>
                <w:rFonts w:ascii="Times New Roman" w:hAnsi="Times New Roman" w:cs="Times New Roman"/>
                <w:color w:val="000000" w:themeColor="text1"/>
              </w:rPr>
              <w:t>+0.97</w:t>
            </w:r>
          </w:p>
        </w:tc>
        <w:tc>
          <w:tcPr>
            <w:tcW w:w="774" w:type="pct"/>
            <w:gridSpan w:val="2"/>
            <w:tcBorders>
              <w:top w:val="nil"/>
              <w:left w:val="nil"/>
              <w:bottom w:val="single" w:sz="4" w:space="0" w:color="auto"/>
              <w:right w:val="nil"/>
            </w:tcBorders>
            <w:noWrap/>
            <w:vAlign w:val="bottom"/>
            <w:hideMark/>
          </w:tcPr>
          <w:p w14:paraId="54504484"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6.73</w:t>
            </w:r>
            <w:r w:rsidRPr="00F8705E">
              <w:rPr>
                <w:rFonts w:ascii="Times New Roman" w:hAnsi="Times New Roman" w:cs="Times New Roman"/>
                <w:color w:val="000000" w:themeColor="text1"/>
                <w:vertAlign w:val="superscript"/>
              </w:rPr>
              <w:t>a</w:t>
            </w:r>
            <w:r w:rsidRPr="00F8705E">
              <w:rPr>
                <w:rFonts w:ascii="Times New Roman" w:hAnsi="Times New Roman" w:cs="Times New Roman"/>
                <w:color w:val="000000" w:themeColor="text1"/>
              </w:rPr>
              <w:t>+0.40</w:t>
            </w:r>
          </w:p>
        </w:tc>
        <w:tc>
          <w:tcPr>
            <w:tcW w:w="920" w:type="pct"/>
            <w:gridSpan w:val="2"/>
            <w:tcBorders>
              <w:top w:val="nil"/>
              <w:left w:val="nil"/>
              <w:bottom w:val="single" w:sz="4" w:space="0" w:color="auto"/>
              <w:right w:val="nil"/>
            </w:tcBorders>
            <w:noWrap/>
            <w:vAlign w:val="bottom"/>
            <w:hideMark/>
          </w:tcPr>
          <w:p w14:paraId="26616215"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301.77</w:t>
            </w:r>
            <w:r w:rsidRPr="00F8705E">
              <w:rPr>
                <w:rFonts w:ascii="Times New Roman" w:hAnsi="Times New Roman" w:cs="Times New Roman"/>
                <w:color w:val="000000" w:themeColor="text1"/>
                <w:vertAlign w:val="superscript"/>
              </w:rPr>
              <w:t>e</w:t>
            </w:r>
            <w:r w:rsidRPr="00F8705E">
              <w:rPr>
                <w:rFonts w:ascii="Times New Roman" w:hAnsi="Times New Roman" w:cs="Times New Roman"/>
                <w:color w:val="000000" w:themeColor="text1"/>
              </w:rPr>
              <w:t>+0.47</w:t>
            </w:r>
          </w:p>
        </w:tc>
        <w:tc>
          <w:tcPr>
            <w:tcW w:w="920" w:type="pct"/>
            <w:gridSpan w:val="2"/>
            <w:tcBorders>
              <w:top w:val="nil"/>
              <w:left w:val="nil"/>
              <w:bottom w:val="single" w:sz="4" w:space="0" w:color="auto"/>
              <w:right w:val="nil"/>
            </w:tcBorders>
            <w:noWrap/>
            <w:vAlign w:val="bottom"/>
            <w:hideMark/>
          </w:tcPr>
          <w:p w14:paraId="00FC8936"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173.55</w:t>
            </w:r>
            <w:r w:rsidR="005B087D" w:rsidRPr="00F8705E">
              <w:rPr>
                <w:rFonts w:ascii="Times New Roman" w:hAnsi="Times New Roman" w:cs="Times New Roman"/>
                <w:color w:val="000000" w:themeColor="text1"/>
                <w:vertAlign w:val="superscript"/>
              </w:rPr>
              <w:t>e</w:t>
            </w:r>
            <w:r w:rsidRPr="00F8705E">
              <w:rPr>
                <w:rFonts w:ascii="Times New Roman" w:hAnsi="Times New Roman" w:cs="Times New Roman"/>
                <w:color w:val="000000" w:themeColor="text1"/>
              </w:rPr>
              <w:t>+0.97</w:t>
            </w:r>
          </w:p>
        </w:tc>
        <w:tc>
          <w:tcPr>
            <w:tcW w:w="918" w:type="pct"/>
            <w:gridSpan w:val="2"/>
            <w:tcBorders>
              <w:top w:val="nil"/>
              <w:left w:val="nil"/>
              <w:bottom w:val="single" w:sz="4" w:space="0" w:color="auto"/>
              <w:right w:val="nil"/>
            </w:tcBorders>
            <w:noWrap/>
            <w:vAlign w:val="bottom"/>
            <w:hideMark/>
          </w:tcPr>
          <w:p w14:paraId="73289E54"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352.06</w:t>
            </w:r>
            <w:r w:rsidRPr="00F8705E">
              <w:rPr>
                <w:rFonts w:ascii="Times New Roman" w:hAnsi="Times New Roman" w:cs="Times New Roman"/>
                <w:color w:val="000000" w:themeColor="text1"/>
                <w:vertAlign w:val="superscript"/>
              </w:rPr>
              <w:t>c</w:t>
            </w:r>
            <w:r w:rsidRPr="00F8705E">
              <w:rPr>
                <w:rFonts w:ascii="Times New Roman" w:hAnsi="Times New Roman" w:cs="Times New Roman"/>
                <w:color w:val="000000" w:themeColor="text1"/>
              </w:rPr>
              <w:t>+0.23</w:t>
            </w:r>
          </w:p>
        </w:tc>
      </w:tr>
    </w:tbl>
    <w:p w14:paraId="053A0A7D" w14:textId="77777777" w:rsidR="00A943E3" w:rsidRPr="00F8705E" w:rsidRDefault="008A18A7" w:rsidP="00813CFA">
      <w:pPr>
        <w:spacing w:after="0" w:line="24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 xml:space="preserve">The values represent three replications' means ± standard deviations. Values in the same column with similar superscripts do not differ substantially (p&gt;0.05), however values in the same column with varying superscripts differ significantly (p&lt;0.05). </w:t>
      </w:r>
      <w:r w:rsidR="00813CFA" w:rsidRPr="00F8705E">
        <w:rPr>
          <w:rFonts w:ascii="Times New Roman" w:hAnsi="Times New Roman" w:cs="Times New Roman"/>
          <w:color w:val="000000" w:themeColor="text1"/>
        </w:rPr>
        <w:t>CP25: cake made with 25% pigeon pea flour; CP50: cake made with 50% pigeon pea flour; CS: CS25: cake made with 25% sorghum flour; CS50: cake made with 50% sorghum flour;</w:t>
      </w:r>
    </w:p>
    <w:p w14:paraId="1EB0FEC1" w14:textId="77777777" w:rsidR="00813CFA" w:rsidRPr="00F8705E" w:rsidRDefault="00813CFA" w:rsidP="00A943E3">
      <w:pPr>
        <w:spacing w:line="360" w:lineRule="auto"/>
        <w:jc w:val="both"/>
        <w:rPr>
          <w:rFonts w:ascii="Times New Roman" w:hAnsi="Times New Roman" w:cs="Times New Roman"/>
          <w:color w:val="000000" w:themeColor="text1"/>
        </w:rPr>
      </w:pPr>
    </w:p>
    <w:p w14:paraId="072A0570" w14:textId="77777777" w:rsidR="00F2788B" w:rsidRPr="00F8705E" w:rsidRDefault="00813CFA" w:rsidP="004361E2">
      <w:pPr>
        <w:spacing w:line="360" w:lineRule="auto"/>
        <w:jc w:val="both"/>
        <w:rPr>
          <w:rFonts w:ascii="Times New Roman" w:hAnsi="Times New Roman"/>
          <w:color w:val="000000" w:themeColor="text1"/>
          <w:sz w:val="24"/>
          <w:szCs w:val="24"/>
        </w:rPr>
      </w:pPr>
      <w:r w:rsidRPr="00F8705E">
        <w:t>The potassium content of the cake samples ranged from 352.06 to 387.07 mg/100 g, with the 100% wheat flour cake having the lowest value of 352.06 mg/100 g. According to Onuoha et al. (2025) and Emojorho et al. (2023), these values were higher than the 149.94 to 195.54 mg/100 g and 156.49 to 270.271 mg/100 g reported, respectively, for biscuits produced from composite flour. Higher levels of sorghum and pigeon pea flours significantly increased the potassium content of the cakes. Potassium concentrations were higher when sorghum flour was used than when pigeon pea flour was supplemented; the formulation containing 50% sorghum flour had the highest value of 387.07 mg/100 g. The potassium concentrations of the cakes differed significantly (p &lt; 0.05).</w:t>
      </w:r>
    </w:p>
    <w:p w14:paraId="721F4C90" w14:textId="77777777" w:rsidR="004361E2" w:rsidRPr="00F8705E" w:rsidRDefault="00813CFA" w:rsidP="004361E2">
      <w:pPr>
        <w:spacing w:line="360" w:lineRule="auto"/>
        <w:jc w:val="both"/>
        <w:rPr>
          <w:rFonts w:ascii="Times New Roman" w:hAnsi="Times New Roman" w:cs="Times New Roman"/>
          <w:color w:val="000000" w:themeColor="text1"/>
        </w:rPr>
      </w:pPr>
      <w:r w:rsidRPr="00F8705E">
        <w:t>The magnesium content of the cake samples ranged from 173.55 to 197.81 mg/100 g, with the cake produced entirely from wheat flour having the lowest value of 173.55 mg/100 g. The values were slightly higher than the 126.75 to 168.34 mg/100 g reported by Onuoha et al. (2025) for biscuits produced from composite flour. Higher proportions of sorghum and pigeon pea flours significantly increased the magnesium content of the cakes. Adinkwu et al. (2025) also reported elevated levels in bread samples containing sorghum flour, ranging from 123.43 to 182.34 mg/100 g. Magnesium concentrations were higher when sorghum flour was substituted than when pigeon pea flour was supplemented, reaching a maximum of 197.81 mg/100 g in the formulation containing 50% sorghum flour. The magnesium concentrations of the cakes differed significantly (p &lt; 0.05).</w:t>
      </w:r>
    </w:p>
    <w:p w14:paraId="35C916F7" w14:textId="77777777" w:rsidR="00A943E3" w:rsidRPr="00F8705E" w:rsidRDefault="00A943E3" w:rsidP="00A943E3">
      <w:pPr>
        <w:spacing w:line="360" w:lineRule="auto"/>
        <w:jc w:val="both"/>
        <w:rPr>
          <w:rFonts w:ascii="Times New Roman" w:hAnsi="Times New Roman" w:cs="Times New Roman"/>
          <w:color w:val="000000" w:themeColor="text1"/>
        </w:rPr>
      </w:pPr>
    </w:p>
    <w:p w14:paraId="7E82D5DF" w14:textId="77777777" w:rsidR="00A943E3" w:rsidRPr="00F8705E" w:rsidRDefault="00813CFA" w:rsidP="00A943E3">
      <w:pPr>
        <w:spacing w:line="360" w:lineRule="auto"/>
        <w:jc w:val="both"/>
        <w:rPr>
          <w:rFonts w:ascii="Times New Roman" w:hAnsi="Times New Roman" w:cs="Times New Roman"/>
          <w:color w:val="000000" w:themeColor="text1"/>
        </w:rPr>
      </w:pPr>
      <w:r w:rsidRPr="00F8705E">
        <w:t xml:space="preserve">The calcium content of the cake samples ranged from 301.77 to 322.14 mg/100 g, with the cake produced entirely from wheat flour having the lowest value. These values were higher than the 0.45 to 1.02 mg/100 </w:t>
      </w:r>
      <w:r w:rsidRPr="00F8705E">
        <w:lastRenderedPageBreak/>
        <w:t>g reported by Ihedinachi et al. (2025) for complementary food produced from composite flour. Higher levels of sorghum and pigeon pea flours significantly increased the calcium content of the cakes. Calcium concentrations were higher when sorghum flour was substituted than when pigeon pea flour was supplemented, reaching a peak of 322.14 mg/100 g in the formulation containing 50% sorghum flour. The calcium concentrations of the cakes differed significantly (p &lt; 0.05).</w:t>
      </w:r>
    </w:p>
    <w:p w14:paraId="7C53CB89" w14:textId="77777777" w:rsidR="00A943E3" w:rsidRPr="00F8705E" w:rsidRDefault="00F2788B" w:rsidP="00A943E3">
      <w:pPr>
        <w:spacing w:line="360" w:lineRule="auto"/>
        <w:jc w:val="both"/>
        <w:rPr>
          <w:rFonts w:ascii="Times New Roman" w:hAnsi="Times New Roman" w:cs="Times New Roman"/>
          <w:color w:val="000000" w:themeColor="text1"/>
        </w:rPr>
      </w:pPr>
      <w:r w:rsidRPr="00F8705E">
        <w:t>The iron content of the cake samples ranged from 0.34 to 6.73 mg/100 g, with the cake produced entirely from wheat flour having the highest value of 6.73 mg/100 g and the cake supplemented with 50% pigeon pea flour having the lowest value of 0.34 mg/100 g. The findings were slightly higher than the 0.44 to 1.17 mg/100 g reported by Ihedinachi et al. (2025) for complementary food produced from composite wheat. The iron content of the cakes decreased significantly with increasing levels of sorghum and pigeon pea flours. Notably, pigeon pea substitution resulted in lower phosphorus concentrations than sorghum supplementation. The iron contents of the cakes varied significantly (p &lt; 0.05). The reduction in iron content may be associated with leaching during fermentation.</w:t>
      </w:r>
    </w:p>
    <w:p w14:paraId="35B44CF8" w14:textId="77777777" w:rsidR="00A943E3" w:rsidRPr="00F8705E" w:rsidRDefault="00813CFA" w:rsidP="00A943E3">
      <w:pPr>
        <w:spacing w:line="360" w:lineRule="auto"/>
        <w:jc w:val="both"/>
        <w:rPr>
          <w:rFonts w:ascii="Times New Roman" w:hAnsi="Times New Roman" w:cs="Times New Roman"/>
          <w:color w:val="000000" w:themeColor="text1"/>
        </w:rPr>
      </w:pPr>
      <w:r w:rsidRPr="00F8705E">
        <w:t>The phosphorus content of the cake samples ranged from 34.98 to 46.25 mg/100 g, with the 100% wheat flour cake having the lowest value of 34.98 mg/100 g. The results were slightly lower than the 40.64 to 51.97 mg/100 g reported by Onuoha et al. (2025) for biscuits produced with composite flour. Higher levels of sorghum and pigeon pea flours significantly increased the phosphorus content of the cakes. According to Adinkwu et al. (2025), bread samples with increased sorghum flour had higher phosphorus levels. Phosphorus concentrations were significantly higher when pigeon pea flour was substituted than when sorghum flour was used, reaching a peak of 47.86 mg/100 g in the formulation containing 50% pigeon pea flour. The phosphorus concentrations of the cakes differed significantly (p &lt; 0.05).</w:t>
      </w:r>
    </w:p>
    <w:p w14:paraId="60F985DB" w14:textId="77777777" w:rsidR="00A943E3" w:rsidRPr="00F8705E" w:rsidRDefault="00415A52" w:rsidP="00A943E3">
      <w:pPr>
        <w:spacing w:line="360" w:lineRule="auto"/>
        <w:jc w:val="both"/>
        <w:rPr>
          <w:rFonts w:ascii="Times New Roman" w:hAnsi="Times New Roman" w:cs="Times New Roman"/>
          <w:b/>
          <w:color w:val="000000" w:themeColor="text1"/>
        </w:rPr>
      </w:pPr>
      <w:r w:rsidRPr="00F8705E">
        <w:t>3.2 Vitamin concentration of cakes produced from blends of wheat, pigeon pea and sorghum flour</w:t>
      </w:r>
    </w:p>
    <w:p w14:paraId="5F911280" w14:textId="77777777" w:rsidR="00A943E3" w:rsidRPr="00F8705E" w:rsidRDefault="00415A52" w:rsidP="00A943E3">
      <w:pPr>
        <w:spacing w:line="360" w:lineRule="auto"/>
        <w:jc w:val="both"/>
        <w:rPr>
          <w:rFonts w:ascii="Times New Roman" w:hAnsi="Times New Roman" w:cs="Times New Roman"/>
          <w:b/>
          <w:color w:val="000000" w:themeColor="text1"/>
        </w:rPr>
      </w:pPr>
      <w:r w:rsidRPr="00F8705E">
        <w:rPr>
          <w:rFonts w:ascii="Times New Roman" w:hAnsi="Times New Roman" w:cs="Times New Roman"/>
          <w:b/>
          <w:color w:val="000000" w:themeColor="text1"/>
        </w:rPr>
        <w:t xml:space="preserve">Table 2: </w:t>
      </w:r>
      <w:r w:rsidR="00A64513" w:rsidRPr="00F8705E">
        <w:rPr>
          <w:rFonts w:ascii="Times New Roman" w:hAnsi="Times New Roman" w:cs="Times New Roman"/>
          <w:b/>
          <w:color w:val="000000" w:themeColor="text1"/>
        </w:rPr>
        <w:t>Vitamins. Concentration of cakes produced from blends of wheat, pigeon pea and sorghum flour</w:t>
      </w:r>
      <w:r w:rsidR="001D2594" w:rsidRPr="00F8705E">
        <w:rPr>
          <w:rFonts w:ascii="Times New Roman" w:hAnsi="Times New Roman" w:cs="Times New Roman"/>
          <w:b/>
          <w:color w:val="000000" w:themeColor="text1"/>
        </w:rPr>
        <w:t xml:space="preserve"> (mg/100g)</w:t>
      </w:r>
    </w:p>
    <w:p w14:paraId="5B7FA093" w14:textId="77777777" w:rsidR="00FF7CC4" w:rsidRPr="00F8705E" w:rsidRDefault="00FF7CC4" w:rsidP="00A943E3">
      <w:pPr>
        <w:spacing w:line="360" w:lineRule="auto"/>
        <w:jc w:val="both"/>
        <w:rPr>
          <w:rFonts w:ascii="Times New Roman" w:hAnsi="Times New Roman" w:cs="Times New Roman"/>
          <w:color w:val="000000" w:themeColor="text1"/>
        </w:rPr>
      </w:pPr>
      <w:r w:rsidRPr="00F8705E">
        <w:t>The vitamin composition of the cake samples is shown in Table 2.</w:t>
      </w:r>
    </w:p>
    <w:tbl>
      <w:tblPr>
        <w:tblW w:w="5000" w:type="pct"/>
        <w:tblLook w:val="04A0" w:firstRow="1" w:lastRow="0" w:firstColumn="1" w:lastColumn="0" w:noHBand="0" w:noVBand="1"/>
      </w:tblPr>
      <w:tblGrid>
        <w:gridCol w:w="1676"/>
        <w:gridCol w:w="1739"/>
        <w:gridCol w:w="861"/>
        <w:gridCol w:w="1739"/>
        <w:gridCol w:w="861"/>
        <w:gridCol w:w="1660"/>
        <w:gridCol w:w="824"/>
      </w:tblGrid>
      <w:tr w:rsidR="0066219F" w:rsidRPr="00F8705E" w14:paraId="1E3D1302" w14:textId="77777777" w:rsidTr="00722AB6">
        <w:trPr>
          <w:trHeight w:val="288"/>
        </w:trPr>
        <w:tc>
          <w:tcPr>
            <w:tcW w:w="895" w:type="pct"/>
            <w:tcBorders>
              <w:top w:val="single" w:sz="4" w:space="0" w:color="auto"/>
              <w:left w:val="nil"/>
              <w:bottom w:val="single" w:sz="4" w:space="0" w:color="auto"/>
              <w:right w:val="nil"/>
            </w:tcBorders>
            <w:noWrap/>
            <w:vAlign w:val="bottom"/>
            <w:hideMark/>
          </w:tcPr>
          <w:p w14:paraId="4A400CB5"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SAMPLE</w:t>
            </w:r>
          </w:p>
        </w:tc>
        <w:tc>
          <w:tcPr>
            <w:tcW w:w="929" w:type="pct"/>
            <w:tcBorders>
              <w:top w:val="single" w:sz="4" w:space="0" w:color="auto"/>
              <w:left w:val="nil"/>
              <w:bottom w:val="single" w:sz="4" w:space="0" w:color="auto"/>
              <w:right w:val="nil"/>
            </w:tcBorders>
            <w:noWrap/>
            <w:vAlign w:val="bottom"/>
            <w:hideMark/>
          </w:tcPr>
          <w:p w14:paraId="16344569"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B1</w:t>
            </w:r>
          </w:p>
        </w:tc>
        <w:tc>
          <w:tcPr>
            <w:tcW w:w="460" w:type="pct"/>
            <w:tcBorders>
              <w:top w:val="single" w:sz="4" w:space="0" w:color="auto"/>
              <w:left w:val="nil"/>
              <w:bottom w:val="single" w:sz="4" w:space="0" w:color="auto"/>
              <w:right w:val="nil"/>
            </w:tcBorders>
            <w:noWrap/>
            <w:vAlign w:val="bottom"/>
            <w:hideMark/>
          </w:tcPr>
          <w:p w14:paraId="6E5795D3"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p>
        </w:tc>
        <w:tc>
          <w:tcPr>
            <w:tcW w:w="929" w:type="pct"/>
            <w:tcBorders>
              <w:top w:val="single" w:sz="4" w:space="0" w:color="auto"/>
              <w:left w:val="nil"/>
              <w:bottom w:val="single" w:sz="4" w:space="0" w:color="auto"/>
              <w:right w:val="nil"/>
            </w:tcBorders>
            <w:noWrap/>
            <w:vAlign w:val="bottom"/>
            <w:hideMark/>
          </w:tcPr>
          <w:p w14:paraId="311BA0D6"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B2</w:t>
            </w:r>
          </w:p>
        </w:tc>
        <w:tc>
          <w:tcPr>
            <w:tcW w:w="460" w:type="pct"/>
            <w:tcBorders>
              <w:top w:val="single" w:sz="4" w:space="0" w:color="auto"/>
              <w:left w:val="nil"/>
              <w:bottom w:val="single" w:sz="4" w:space="0" w:color="auto"/>
              <w:right w:val="nil"/>
            </w:tcBorders>
            <w:noWrap/>
            <w:vAlign w:val="bottom"/>
            <w:hideMark/>
          </w:tcPr>
          <w:p w14:paraId="0BF5FBDA"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p>
        </w:tc>
        <w:tc>
          <w:tcPr>
            <w:tcW w:w="887" w:type="pct"/>
            <w:tcBorders>
              <w:top w:val="single" w:sz="4" w:space="0" w:color="auto"/>
              <w:left w:val="nil"/>
              <w:bottom w:val="single" w:sz="4" w:space="0" w:color="auto"/>
              <w:right w:val="nil"/>
            </w:tcBorders>
            <w:noWrap/>
            <w:vAlign w:val="bottom"/>
            <w:hideMark/>
          </w:tcPr>
          <w:p w14:paraId="76CB7FF5"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B3</w:t>
            </w:r>
          </w:p>
        </w:tc>
        <w:tc>
          <w:tcPr>
            <w:tcW w:w="440" w:type="pct"/>
            <w:tcBorders>
              <w:top w:val="single" w:sz="4" w:space="0" w:color="auto"/>
              <w:left w:val="nil"/>
              <w:bottom w:val="single" w:sz="4" w:space="0" w:color="auto"/>
              <w:right w:val="nil"/>
            </w:tcBorders>
            <w:noWrap/>
            <w:vAlign w:val="bottom"/>
            <w:hideMark/>
          </w:tcPr>
          <w:p w14:paraId="77F8C8D2"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p>
        </w:tc>
      </w:tr>
      <w:tr w:rsidR="0066219F" w:rsidRPr="00F8705E" w14:paraId="722D5DDC" w14:textId="77777777" w:rsidTr="00722AB6">
        <w:trPr>
          <w:trHeight w:val="288"/>
        </w:trPr>
        <w:tc>
          <w:tcPr>
            <w:tcW w:w="895" w:type="pct"/>
            <w:tcBorders>
              <w:top w:val="single" w:sz="4" w:space="0" w:color="auto"/>
              <w:left w:val="nil"/>
              <w:bottom w:val="nil"/>
              <w:right w:val="nil"/>
            </w:tcBorders>
            <w:noWrap/>
            <w:vAlign w:val="bottom"/>
            <w:hideMark/>
          </w:tcPr>
          <w:p w14:paraId="280EEACD" w14:textId="77777777" w:rsidR="00A943E3" w:rsidRPr="00F8705E" w:rsidRDefault="000266B5"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CP25</w:t>
            </w:r>
          </w:p>
        </w:tc>
        <w:tc>
          <w:tcPr>
            <w:tcW w:w="1389" w:type="pct"/>
            <w:gridSpan w:val="2"/>
            <w:tcBorders>
              <w:top w:val="single" w:sz="4" w:space="0" w:color="auto"/>
              <w:left w:val="nil"/>
              <w:bottom w:val="nil"/>
              <w:right w:val="nil"/>
            </w:tcBorders>
            <w:noWrap/>
            <w:vAlign w:val="bottom"/>
            <w:hideMark/>
          </w:tcPr>
          <w:p w14:paraId="5F52815A"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0.028</w:t>
            </w:r>
            <w:r w:rsidRPr="00F8705E">
              <w:rPr>
                <w:rFonts w:ascii="Times New Roman" w:eastAsia="Times New Roman" w:hAnsi="Times New Roman" w:cs="Times New Roman"/>
                <w:color w:val="000000" w:themeColor="text1"/>
                <w:vertAlign w:val="superscript"/>
              </w:rPr>
              <w:t>b</w:t>
            </w:r>
            <w:r w:rsidRPr="00F8705E">
              <w:rPr>
                <w:rFonts w:ascii="Times New Roman" w:eastAsia="Times New Roman" w:hAnsi="Times New Roman" w:cs="Times New Roman"/>
                <w:color w:val="000000" w:themeColor="text1"/>
              </w:rPr>
              <w:t>+0.001</w:t>
            </w:r>
          </w:p>
        </w:tc>
        <w:tc>
          <w:tcPr>
            <w:tcW w:w="1389" w:type="pct"/>
            <w:gridSpan w:val="2"/>
            <w:tcBorders>
              <w:top w:val="single" w:sz="4" w:space="0" w:color="auto"/>
              <w:left w:val="nil"/>
              <w:bottom w:val="nil"/>
              <w:right w:val="nil"/>
            </w:tcBorders>
            <w:noWrap/>
            <w:vAlign w:val="bottom"/>
            <w:hideMark/>
          </w:tcPr>
          <w:p w14:paraId="7B395373"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0.367</w:t>
            </w:r>
            <w:r w:rsidR="004361E2" w:rsidRPr="00F8705E">
              <w:rPr>
                <w:rFonts w:ascii="Times New Roman" w:eastAsia="Times New Roman" w:hAnsi="Times New Roman" w:cs="Times New Roman"/>
                <w:color w:val="000000" w:themeColor="text1"/>
                <w:vertAlign w:val="superscript"/>
              </w:rPr>
              <w:t>ab</w:t>
            </w:r>
            <w:r w:rsidRPr="00F8705E">
              <w:rPr>
                <w:rFonts w:ascii="Times New Roman" w:eastAsia="Times New Roman" w:hAnsi="Times New Roman" w:cs="Times New Roman"/>
                <w:color w:val="000000" w:themeColor="text1"/>
              </w:rPr>
              <w:t>+0.001</w:t>
            </w:r>
          </w:p>
        </w:tc>
        <w:tc>
          <w:tcPr>
            <w:tcW w:w="1327" w:type="pct"/>
            <w:gridSpan w:val="2"/>
            <w:tcBorders>
              <w:top w:val="single" w:sz="4" w:space="0" w:color="auto"/>
              <w:left w:val="nil"/>
              <w:bottom w:val="nil"/>
              <w:right w:val="nil"/>
            </w:tcBorders>
            <w:noWrap/>
            <w:vAlign w:val="bottom"/>
            <w:hideMark/>
          </w:tcPr>
          <w:p w14:paraId="61436959"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0.004</w:t>
            </w:r>
            <w:r w:rsidRPr="00F8705E">
              <w:rPr>
                <w:rFonts w:ascii="Times New Roman" w:eastAsia="Times New Roman" w:hAnsi="Times New Roman" w:cs="Times New Roman"/>
                <w:color w:val="000000" w:themeColor="text1"/>
                <w:vertAlign w:val="superscript"/>
              </w:rPr>
              <w:t>c</w:t>
            </w:r>
            <w:r w:rsidRPr="00F8705E">
              <w:rPr>
                <w:rFonts w:ascii="Times New Roman" w:eastAsia="Times New Roman" w:hAnsi="Times New Roman" w:cs="Times New Roman"/>
                <w:color w:val="000000" w:themeColor="text1"/>
              </w:rPr>
              <w:t>+0.000</w:t>
            </w:r>
          </w:p>
        </w:tc>
      </w:tr>
      <w:tr w:rsidR="0066219F" w:rsidRPr="00F8705E" w14:paraId="40B7104B" w14:textId="77777777" w:rsidTr="00722AB6">
        <w:trPr>
          <w:trHeight w:val="288"/>
        </w:trPr>
        <w:tc>
          <w:tcPr>
            <w:tcW w:w="895" w:type="pct"/>
            <w:tcBorders>
              <w:top w:val="nil"/>
              <w:left w:val="nil"/>
              <w:bottom w:val="nil"/>
              <w:right w:val="nil"/>
            </w:tcBorders>
            <w:noWrap/>
            <w:vAlign w:val="bottom"/>
            <w:hideMark/>
          </w:tcPr>
          <w:p w14:paraId="5176BBA7" w14:textId="77777777" w:rsidR="00A943E3" w:rsidRPr="00F8705E" w:rsidRDefault="000266B5"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CP50</w:t>
            </w:r>
          </w:p>
        </w:tc>
        <w:tc>
          <w:tcPr>
            <w:tcW w:w="1389" w:type="pct"/>
            <w:gridSpan w:val="2"/>
            <w:tcBorders>
              <w:top w:val="nil"/>
              <w:left w:val="nil"/>
              <w:bottom w:val="nil"/>
              <w:right w:val="nil"/>
            </w:tcBorders>
            <w:noWrap/>
            <w:vAlign w:val="bottom"/>
            <w:hideMark/>
          </w:tcPr>
          <w:p w14:paraId="5309E3E3"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0.027</w:t>
            </w:r>
            <w:r w:rsidRPr="00F8705E">
              <w:rPr>
                <w:rFonts w:ascii="Times New Roman" w:eastAsia="Times New Roman" w:hAnsi="Times New Roman" w:cs="Times New Roman"/>
                <w:color w:val="000000" w:themeColor="text1"/>
                <w:vertAlign w:val="superscript"/>
              </w:rPr>
              <w:t>b</w:t>
            </w:r>
            <w:r w:rsidRPr="00F8705E">
              <w:rPr>
                <w:rFonts w:ascii="Times New Roman" w:eastAsia="Times New Roman" w:hAnsi="Times New Roman" w:cs="Times New Roman"/>
                <w:color w:val="000000" w:themeColor="text1"/>
              </w:rPr>
              <w:t>+0.002</w:t>
            </w:r>
          </w:p>
        </w:tc>
        <w:tc>
          <w:tcPr>
            <w:tcW w:w="1389" w:type="pct"/>
            <w:gridSpan w:val="2"/>
            <w:tcBorders>
              <w:top w:val="nil"/>
              <w:left w:val="nil"/>
              <w:bottom w:val="nil"/>
              <w:right w:val="nil"/>
            </w:tcBorders>
            <w:noWrap/>
            <w:vAlign w:val="bottom"/>
            <w:hideMark/>
          </w:tcPr>
          <w:p w14:paraId="3D785CB9"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0.377</w:t>
            </w:r>
            <w:r w:rsidR="004361E2" w:rsidRPr="00F8705E">
              <w:rPr>
                <w:rFonts w:ascii="Times New Roman" w:eastAsia="Times New Roman" w:hAnsi="Times New Roman" w:cs="Times New Roman"/>
                <w:color w:val="000000" w:themeColor="text1"/>
                <w:vertAlign w:val="superscript"/>
              </w:rPr>
              <w:t>a</w:t>
            </w:r>
            <w:r w:rsidRPr="00F8705E">
              <w:rPr>
                <w:rFonts w:ascii="Times New Roman" w:eastAsia="Times New Roman" w:hAnsi="Times New Roman" w:cs="Times New Roman"/>
                <w:color w:val="000000" w:themeColor="text1"/>
              </w:rPr>
              <w:t>+0.006</w:t>
            </w:r>
          </w:p>
        </w:tc>
        <w:tc>
          <w:tcPr>
            <w:tcW w:w="1327" w:type="pct"/>
            <w:gridSpan w:val="2"/>
            <w:tcBorders>
              <w:top w:val="nil"/>
              <w:left w:val="nil"/>
              <w:bottom w:val="nil"/>
              <w:right w:val="nil"/>
            </w:tcBorders>
            <w:noWrap/>
            <w:vAlign w:val="bottom"/>
            <w:hideMark/>
          </w:tcPr>
          <w:p w14:paraId="4D89F634"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0.002</w:t>
            </w:r>
            <w:r w:rsidRPr="00F8705E">
              <w:rPr>
                <w:rFonts w:ascii="Times New Roman" w:eastAsia="Times New Roman" w:hAnsi="Times New Roman" w:cs="Times New Roman"/>
                <w:color w:val="000000" w:themeColor="text1"/>
                <w:vertAlign w:val="superscript"/>
              </w:rPr>
              <w:t>c</w:t>
            </w:r>
            <w:r w:rsidRPr="00F8705E">
              <w:rPr>
                <w:rFonts w:ascii="Times New Roman" w:eastAsia="Times New Roman" w:hAnsi="Times New Roman" w:cs="Times New Roman"/>
                <w:color w:val="000000" w:themeColor="text1"/>
              </w:rPr>
              <w:t>+0.000</w:t>
            </w:r>
          </w:p>
        </w:tc>
      </w:tr>
      <w:tr w:rsidR="0066219F" w:rsidRPr="00F8705E" w14:paraId="3334FE23" w14:textId="77777777" w:rsidTr="00722AB6">
        <w:trPr>
          <w:trHeight w:val="288"/>
        </w:trPr>
        <w:tc>
          <w:tcPr>
            <w:tcW w:w="895" w:type="pct"/>
            <w:tcBorders>
              <w:top w:val="nil"/>
              <w:left w:val="nil"/>
              <w:bottom w:val="nil"/>
              <w:right w:val="nil"/>
            </w:tcBorders>
            <w:noWrap/>
            <w:vAlign w:val="bottom"/>
            <w:hideMark/>
          </w:tcPr>
          <w:p w14:paraId="49F8DA32" w14:textId="77777777" w:rsidR="00A943E3" w:rsidRPr="00F8705E" w:rsidRDefault="000266B5"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SC25</w:t>
            </w:r>
          </w:p>
        </w:tc>
        <w:tc>
          <w:tcPr>
            <w:tcW w:w="1389" w:type="pct"/>
            <w:gridSpan w:val="2"/>
            <w:tcBorders>
              <w:top w:val="nil"/>
              <w:left w:val="nil"/>
              <w:bottom w:val="nil"/>
              <w:right w:val="nil"/>
            </w:tcBorders>
            <w:noWrap/>
            <w:vAlign w:val="bottom"/>
            <w:hideMark/>
          </w:tcPr>
          <w:p w14:paraId="6AD79EE8"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0.030</w:t>
            </w:r>
            <w:r w:rsidRPr="00F8705E">
              <w:rPr>
                <w:rFonts w:ascii="Times New Roman" w:eastAsia="Times New Roman" w:hAnsi="Times New Roman" w:cs="Times New Roman"/>
                <w:color w:val="000000" w:themeColor="text1"/>
                <w:vertAlign w:val="superscript"/>
              </w:rPr>
              <w:t>ab</w:t>
            </w:r>
            <w:r w:rsidRPr="00F8705E">
              <w:rPr>
                <w:rFonts w:ascii="Times New Roman" w:eastAsia="Times New Roman" w:hAnsi="Times New Roman" w:cs="Times New Roman"/>
                <w:color w:val="000000" w:themeColor="text1"/>
              </w:rPr>
              <w:t>+0.001</w:t>
            </w:r>
          </w:p>
        </w:tc>
        <w:tc>
          <w:tcPr>
            <w:tcW w:w="1389" w:type="pct"/>
            <w:gridSpan w:val="2"/>
            <w:tcBorders>
              <w:top w:val="nil"/>
              <w:left w:val="nil"/>
              <w:bottom w:val="nil"/>
              <w:right w:val="nil"/>
            </w:tcBorders>
            <w:noWrap/>
            <w:vAlign w:val="bottom"/>
            <w:hideMark/>
          </w:tcPr>
          <w:p w14:paraId="6CF815F3"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0.333</w:t>
            </w:r>
            <w:r w:rsidR="004361E2" w:rsidRPr="00F8705E">
              <w:rPr>
                <w:rFonts w:ascii="Times New Roman" w:eastAsia="Times New Roman" w:hAnsi="Times New Roman" w:cs="Times New Roman"/>
                <w:color w:val="000000" w:themeColor="text1"/>
                <w:vertAlign w:val="superscript"/>
              </w:rPr>
              <w:t>d</w:t>
            </w:r>
            <w:r w:rsidRPr="00F8705E">
              <w:rPr>
                <w:rFonts w:ascii="Times New Roman" w:eastAsia="Times New Roman" w:hAnsi="Times New Roman" w:cs="Times New Roman"/>
                <w:color w:val="000000" w:themeColor="text1"/>
              </w:rPr>
              <w:t>+0.002</w:t>
            </w:r>
          </w:p>
        </w:tc>
        <w:tc>
          <w:tcPr>
            <w:tcW w:w="1327" w:type="pct"/>
            <w:gridSpan w:val="2"/>
            <w:tcBorders>
              <w:top w:val="nil"/>
              <w:left w:val="nil"/>
              <w:bottom w:val="nil"/>
              <w:right w:val="nil"/>
            </w:tcBorders>
            <w:noWrap/>
            <w:vAlign w:val="bottom"/>
            <w:hideMark/>
          </w:tcPr>
          <w:p w14:paraId="046F0C3C"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0.009</w:t>
            </w:r>
            <w:r w:rsidRPr="00F8705E">
              <w:rPr>
                <w:rFonts w:ascii="Times New Roman" w:eastAsia="Times New Roman" w:hAnsi="Times New Roman" w:cs="Times New Roman"/>
                <w:color w:val="000000" w:themeColor="text1"/>
                <w:vertAlign w:val="superscript"/>
              </w:rPr>
              <w:t>b</w:t>
            </w:r>
            <w:r w:rsidRPr="00F8705E">
              <w:rPr>
                <w:rFonts w:ascii="Times New Roman" w:eastAsia="Times New Roman" w:hAnsi="Times New Roman" w:cs="Times New Roman"/>
                <w:color w:val="000000" w:themeColor="text1"/>
              </w:rPr>
              <w:t>+0.001</w:t>
            </w:r>
          </w:p>
        </w:tc>
      </w:tr>
      <w:tr w:rsidR="0066219F" w:rsidRPr="00F8705E" w14:paraId="66219B73" w14:textId="77777777" w:rsidTr="00722AB6">
        <w:trPr>
          <w:trHeight w:val="288"/>
        </w:trPr>
        <w:tc>
          <w:tcPr>
            <w:tcW w:w="895" w:type="pct"/>
            <w:tcBorders>
              <w:top w:val="nil"/>
              <w:left w:val="nil"/>
              <w:bottom w:val="nil"/>
              <w:right w:val="nil"/>
            </w:tcBorders>
            <w:noWrap/>
            <w:vAlign w:val="bottom"/>
            <w:hideMark/>
          </w:tcPr>
          <w:p w14:paraId="1306623A" w14:textId="77777777" w:rsidR="00A943E3" w:rsidRPr="00F8705E" w:rsidRDefault="000266B5"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SC50</w:t>
            </w:r>
          </w:p>
        </w:tc>
        <w:tc>
          <w:tcPr>
            <w:tcW w:w="1389" w:type="pct"/>
            <w:gridSpan w:val="2"/>
            <w:tcBorders>
              <w:top w:val="nil"/>
              <w:left w:val="nil"/>
              <w:bottom w:val="nil"/>
              <w:right w:val="nil"/>
            </w:tcBorders>
            <w:noWrap/>
            <w:vAlign w:val="bottom"/>
            <w:hideMark/>
          </w:tcPr>
          <w:p w14:paraId="76F318EB"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0.035</w:t>
            </w:r>
            <w:r w:rsidRPr="00F8705E">
              <w:rPr>
                <w:rFonts w:ascii="Times New Roman" w:eastAsia="Times New Roman" w:hAnsi="Times New Roman" w:cs="Times New Roman"/>
                <w:color w:val="000000" w:themeColor="text1"/>
                <w:vertAlign w:val="superscript"/>
              </w:rPr>
              <w:t>a</w:t>
            </w:r>
            <w:r w:rsidRPr="00F8705E">
              <w:rPr>
                <w:rFonts w:ascii="Times New Roman" w:eastAsia="Times New Roman" w:hAnsi="Times New Roman" w:cs="Times New Roman"/>
                <w:color w:val="000000" w:themeColor="text1"/>
              </w:rPr>
              <w:t>+0.004</w:t>
            </w:r>
          </w:p>
        </w:tc>
        <w:tc>
          <w:tcPr>
            <w:tcW w:w="1389" w:type="pct"/>
            <w:gridSpan w:val="2"/>
            <w:tcBorders>
              <w:top w:val="nil"/>
              <w:left w:val="nil"/>
              <w:bottom w:val="nil"/>
              <w:right w:val="nil"/>
            </w:tcBorders>
            <w:noWrap/>
            <w:vAlign w:val="bottom"/>
            <w:hideMark/>
          </w:tcPr>
          <w:p w14:paraId="670FE502"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0.340</w:t>
            </w:r>
            <w:r w:rsidR="004361E2" w:rsidRPr="00F8705E">
              <w:rPr>
                <w:rFonts w:ascii="Times New Roman" w:eastAsia="Times New Roman" w:hAnsi="Times New Roman" w:cs="Times New Roman"/>
                <w:color w:val="000000" w:themeColor="text1"/>
                <w:vertAlign w:val="superscript"/>
              </w:rPr>
              <w:t>b</w:t>
            </w:r>
            <w:r w:rsidRPr="00F8705E">
              <w:rPr>
                <w:rFonts w:ascii="Times New Roman" w:eastAsia="Times New Roman" w:hAnsi="Times New Roman" w:cs="Times New Roman"/>
                <w:color w:val="000000" w:themeColor="text1"/>
              </w:rPr>
              <w:t>+0.004</w:t>
            </w:r>
          </w:p>
        </w:tc>
        <w:tc>
          <w:tcPr>
            <w:tcW w:w="1327" w:type="pct"/>
            <w:gridSpan w:val="2"/>
            <w:tcBorders>
              <w:top w:val="nil"/>
              <w:left w:val="nil"/>
              <w:bottom w:val="nil"/>
              <w:right w:val="nil"/>
            </w:tcBorders>
            <w:noWrap/>
            <w:vAlign w:val="bottom"/>
            <w:hideMark/>
          </w:tcPr>
          <w:p w14:paraId="67D15E75"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0.023</w:t>
            </w:r>
            <w:r w:rsidRPr="00F8705E">
              <w:rPr>
                <w:rFonts w:ascii="Times New Roman" w:eastAsia="Times New Roman" w:hAnsi="Times New Roman" w:cs="Times New Roman"/>
                <w:color w:val="000000" w:themeColor="text1"/>
                <w:vertAlign w:val="superscript"/>
              </w:rPr>
              <w:t>a</w:t>
            </w:r>
            <w:r w:rsidRPr="00F8705E">
              <w:rPr>
                <w:rFonts w:ascii="Times New Roman" w:eastAsia="Times New Roman" w:hAnsi="Times New Roman" w:cs="Times New Roman"/>
                <w:color w:val="000000" w:themeColor="text1"/>
              </w:rPr>
              <w:t>+0.001</w:t>
            </w:r>
          </w:p>
        </w:tc>
      </w:tr>
      <w:tr w:rsidR="0066219F" w:rsidRPr="00F8705E" w14:paraId="2C34739E" w14:textId="77777777" w:rsidTr="00722AB6">
        <w:trPr>
          <w:trHeight w:val="288"/>
        </w:trPr>
        <w:tc>
          <w:tcPr>
            <w:tcW w:w="895" w:type="pct"/>
            <w:tcBorders>
              <w:top w:val="nil"/>
              <w:left w:val="nil"/>
              <w:bottom w:val="single" w:sz="4" w:space="0" w:color="auto"/>
              <w:right w:val="nil"/>
            </w:tcBorders>
            <w:noWrap/>
            <w:vAlign w:val="bottom"/>
            <w:hideMark/>
          </w:tcPr>
          <w:p w14:paraId="325568AA"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lastRenderedPageBreak/>
              <w:t>Control</w:t>
            </w:r>
          </w:p>
        </w:tc>
        <w:tc>
          <w:tcPr>
            <w:tcW w:w="1389" w:type="pct"/>
            <w:gridSpan w:val="2"/>
            <w:tcBorders>
              <w:top w:val="nil"/>
              <w:left w:val="nil"/>
              <w:bottom w:val="single" w:sz="4" w:space="0" w:color="auto"/>
              <w:right w:val="nil"/>
            </w:tcBorders>
            <w:noWrap/>
            <w:vAlign w:val="bottom"/>
            <w:hideMark/>
          </w:tcPr>
          <w:p w14:paraId="119D0C17"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0.021</w:t>
            </w:r>
            <w:r w:rsidRPr="00F8705E">
              <w:rPr>
                <w:rFonts w:ascii="Times New Roman" w:eastAsia="Times New Roman" w:hAnsi="Times New Roman" w:cs="Times New Roman"/>
                <w:color w:val="000000" w:themeColor="text1"/>
                <w:vertAlign w:val="superscript"/>
              </w:rPr>
              <w:t>c</w:t>
            </w:r>
            <w:r w:rsidRPr="00F8705E">
              <w:rPr>
                <w:rFonts w:ascii="Times New Roman" w:eastAsia="Times New Roman" w:hAnsi="Times New Roman" w:cs="Times New Roman"/>
                <w:color w:val="000000" w:themeColor="text1"/>
              </w:rPr>
              <w:t>+0.001</w:t>
            </w:r>
          </w:p>
        </w:tc>
        <w:tc>
          <w:tcPr>
            <w:tcW w:w="1389" w:type="pct"/>
            <w:gridSpan w:val="2"/>
            <w:tcBorders>
              <w:top w:val="nil"/>
              <w:left w:val="nil"/>
              <w:bottom w:val="single" w:sz="4" w:space="0" w:color="auto"/>
              <w:right w:val="nil"/>
            </w:tcBorders>
            <w:noWrap/>
            <w:vAlign w:val="bottom"/>
            <w:hideMark/>
          </w:tcPr>
          <w:p w14:paraId="50E58906"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0.328</w:t>
            </w:r>
            <w:r w:rsidR="004361E2" w:rsidRPr="00F8705E">
              <w:rPr>
                <w:rFonts w:ascii="Times New Roman" w:eastAsia="Times New Roman" w:hAnsi="Times New Roman" w:cs="Times New Roman"/>
                <w:color w:val="000000" w:themeColor="text1"/>
                <w:vertAlign w:val="superscript"/>
              </w:rPr>
              <w:t>c</w:t>
            </w:r>
            <w:r w:rsidRPr="00F8705E">
              <w:rPr>
                <w:rFonts w:ascii="Times New Roman" w:eastAsia="Times New Roman" w:hAnsi="Times New Roman" w:cs="Times New Roman"/>
                <w:color w:val="000000" w:themeColor="text1"/>
              </w:rPr>
              <w:t>+0.004</w:t>
            </w:r>
          </w:p>
        </w:tc>
        <w:tc>
          <w:tcPr>
            <w:tcW w:w="1327" w:type="pct"/>
            <w:gridSpan w:val="2"/>
            <w:tcBorders>
              <w:top w:val="nil"/>
              <w:left w:val="nil"/>
              <w:bottom w:val="single" w:sz="4" w:space="0" w:color="auto"/>
              <w:right w:val="nil"/>
            </w:tcBorders>
            <w:noWrap/>
            <w:vAlign w:val="bottom"/>
            <w:hideMark/>
          </w:tcPr>
          <w:p w14:paraId="10C68DA3" w14:textId="77777777" w:rsidR="00A943E3" w:rsidRPr="00F8705E" w:rsidRDefault="00A943E3" w:rsidP="00A943E3">
            <w:pPr>
              <w:spacing w:after="0" w:line="360" w:lineRule="auto"/>
              <w:jc w:val="both"/>
              <w:rPr>
                <w:rFonts w:ascii="Times New Roman" w:eastAsia="Times New Roman" w:hAnsi="Times New Roman" w:cs="Times New Roman"/>
                <w:color w:val="000000" w:themeColor="text1"/>
              </w:rPr>
            </w:pPr>
            <w:r w:rsidRPr="00F8705E">
              <w:rPr>
                <w:rFonts w:ascii="Times New Roman" w:eastAsia="Times New Roman" w:hAnsi="Times New Roman" w:cs="Times New Roman"/>
                <w:color w:val="000000" w:themeColor="text1"/>
              </w:rPr>
              <w:t>0.006</w:t>
            </w:r>
            <w:r w:rsidRPr="00F8705E">
              <w:rPr>
                <w:rFonts w:ascii="Times New Roman" w:eastAsia="Times New Roman" w:hAnsi="Times New Roman" w:cs="Times New Roman"/>
                <w:color w:val="000000" w:themeColor="text1"/>
                <w:vertAlign w:val="superscript"/>
              </w:rPr>
              <w:t>b</w:t>
            </w:r>
            <w:r w:rsidRPr="00F8705E">
              <w:rPr>
                <w:rFonts w:ascii="Times New Roman" w:eastAsia="Times New Roman" w:hAnsi="Times New Roman" w:cs="Times New Roman"/>
                <w:color w:val="000000" w:themeColor="text1"/>
              </w:rPr>
              <w:t>+0.003</w:t>
            </w:r>
          </w:p>
        </w:tc>
      </w:tr>
    </w:tbl>
    <w:p w14:paraId="73444039" w14:textId="77777777" w:rsidR="00A943E3" w:rsidRPr="00F8705E" w:rsidRDefault="00A943E3" w:rsidP="00A943E3">
      <w:pPr>
        <w:spacing w:line="360" w:lineRule="auto"/>
        <w:jc w:val="both"/>
        <w:rPr>
          <w:rFonts w:ascii="Times New Roman" w:hAnsi="Times New Roman" w:cs="Times New Roman"/>
          <w:color w:val="000000" w:themeColor="text1"/>
        </w:rPr>
      </w:pPr>
      <w:r w:rsidRPr="00F8705E">
        <w:rPr>
          <w:rFonts w:ascii="Times New Roman" w:hAnsi="Times New Roman" w:cs="Times New Roman"/>
          <w:color w:val="000000" w:themeColor="text1"/>
        </w:rPr>
        <w:t>Values are means ± SD of two determinations. Values in the same column bearing similar superscripts are not significantly (p&gt;0.05) different, while values in the same column with different superscript are significantly (p&lt;0.05) different.</w:t>
      </w:r>
    </w:p>
    <w:p w14:paraId="1C60C405" w14:textId="77777777" w:rsidR="00813CFA" w:rsidRPr="00F8705E" w:rsidRDefault="00813CFA" w:rsidP="00A943E3">
      <w:pPr>
        <w:spacing w:line="360" w:lineRule="auto"/>
        <w:jc w:val="both"/>
        <w:rPr>
          <w:rFonts w:ascii="Times New Roman" w:hAnsi="Times New Roman" w:cs="Times New Roman"/>
          <w:color w:val="000000" w:themeColor="text1"/>
        </w:rPr>
      </w:pPr>
      <w:r w:rsidRPr="00F8705E">
        <w:t>The vitamin B1 content of the cake samples ranged from 0.021 to 0.035 mg/100 g, with the 100% wheat flour cake having the lowest value of 0.021 mg/100 g. The values were comparable to the 0.035 to 0.315 mg/100 g reported by Aniemena et al. (2024) for cupcakes produced from wheat-garri flour blends, but lower than the 1.00 to 2.33 mg/100 g reported by Anene et al. (2023) for composite flour. With higher levels of sorghum and pigeon pea flours, the vitamin B1 contents of the cakes increased markedly. Vitamin B1 concentrations were higher when sorghum flour was substituted than when pigeon pea flour was supplemented; the formulation containing 50% sorghum flour had the highest value of 0.035 mg/100 g. The vitamin B1 concentrations of the cakes differed significantly (p &lt; 0.05).</w:t>
      </w:r>
    </w:p>
    <w:p w14:paraId="474CAA4A" w14:textId="77777777" w:rsidR="004361E2" w:rsidRPr="00F8705E" w:rsidRDefault="00813CFA" w:rsidP="004361E2">
      <w:pPr>
        <w:spacing w:line="360" w:lineRule="auto"/>
        <w:jc w:val="both"/>
        <w:rPr>
          <w:rFonts w:ascii="Times New Roman" w:hAnsi="Times New Roman" w:cs="Times New Roman"/>
          <w:color w:val="000000" w:themeColor="text1"/>
        </w:rPr>
      </w:pPr>
      <w:r w:rsidRPr="00F8705E">
        <w:t>The vitamin B2 content of the cake samples ranged from 0.328 to 0.377 mg/100 g, with the 100% wheat flour cake having the lowest value of 0.328 mg/100 g. According to Adinkwu et al. (2025), the values reported for bread produced with sorghum flour ranged from 0.99 to 1.04 mg/100 g. As the levels of sorghum and pigeon pea flours increased, the vitamin B2 content of the cakes increased markedly. Vitamin B2 concentrations were higher when pigeon pea flour was substituted than when sorghum flour was supplemented; the formulation containing 50% pigeon pea flour had the highest value of 0.377 mg/100 g. There were significant differences (p &lt; 0.05) in the vitamin B2 contents among the cakes.</w:t>
      </w:r>
    </w:p>
    <w:p w14:paraId="632DB4BE" w14:textId="77777777" w:rsidR="00207157" w:rsidRPr="00F8705E" w:rsidRDefault="00207157" w:rsidP="00207157">
      <w:pPr>
        <w:spacing w:line="360" w:lineRule="auto"/>
        <w:jc w:val="both"/>
        <w:rPr>
          <w:rFonts w:ascii="Times New Roman" w:hAnsi="Times New Roman" w:cs="Times New Roman"/>
          <w:color w:val="000000" w:themeColor="text1"/>
        </w:rPr>
      </w:pPr>
    </w:p>
    <w:p w14:paraId="6B7BD162" w14:textId="77777777" w:rsidR="00207157" w:rsidRDefault="00207157" w:rsidP="00207157">
      <w:pPr>
        <w:spacing w:line="360" w:lineRule="auto"/>
        <w:jc w:val="both"/>
      </w:pPr>
      <w:r w:rsidRPr="00F8705E">
        <w:t>The vitamin B3 content of the cake samples ranged from 0.002 to 0.023 mg/100 g, with the 50% pigeon pea cake having the lowest value of 0.002 mg/100 g. The values were lower than the 0.56 to 1.63 mg/100 g reported by Emojorho et al. (2023) for biscuits produced from composite flours. When the amount of sorghum flour in the cake increased, the vitamin B3 content increased noticeably, whereas increased pigeon pea flour reduced the vitamin B3 content. Vitamin B3 concentrations were higher when sorghum flour was substituted than when pigeon pea flour was supplemented; the formulation containing 50% sorghum flour had the highest value of 0.023 mg/100 g. The vitamin B3 contents of the cakes differed significantly (p &lt; 0.05).</w:t>
      </w:r>
    </w:p>
    <w:p w14:paraId="32F5D2B7" w14:textId="77777777" w:rsidR="00F8705E" w:rsidRDefault="00F8705E" w:rsidP="00207157">
      <w:pPr>
        <w:spacing w:line="360" w:lineRule="auto"/>
        <w:jc w:val="both"/>
      </w:pPr>
    </w:p>
    <w:p w14:paraId="1EF9B92C" w14:textId="77777777" w:rsidR="00F8705E" w:rsidRPr="00F8705E" w:rsidRDefault="00F8705E" w:rsidP="00207157">
      <w:pPr>
        <w:spacing w:line="360" w:lineRule="auto"/>
        <w:jc w:val="both"/>
        <w:rPr>
          <w:rFonts w:ascii="Times New Roman" w:hAnsi="Times New Roman" w:cs="Times New Roman"/>
          <w:color w:val="000000" w:themeColor="text1"/>
        </w:rPr>
      </w:pPr>
    </w:p>
    <w:p w14:paraId="081CA02E" w14:textId="77777777" w:rsidR="00A943E3" w:rsidRPr="00F8705E" w:rsidRDefault="00A943E3" w:rsidP="00207157">
      <w:pPr>
        <w:spacing w:line="360" w:lineRule="auto"/>
        <w:jc w:val="both"/>
        <w:rPr>
          <w:rFonts w:ascii="Times New Roman" w:hAnsi="Times New Roman" w:cs="Times New Roman"/>
          <w:b/>
          <w:bCs/>
          <w:color w:val="000000" w:themeColor="text1"/>
        </w:rPr>
      </w:pPr>
      <w:r w:rsidRPr="00F8705E">
        <w:rPr>
          <w:rFonts w:ascii="Times New Roman" w:hAnsi="Times New Roman" w:cs="Times New Roman"/>
          <w:b/>
          <w:bCs/>
          <w:color w:val="000000" w:themeColor="text1"/>
        </w:rPr>
        <w:lastRenderedPageBreak/>
        <w:t>Conclusion</w:t>
      </w:r>
    </w:p>
    <w:p w14:paraId="4D39B6B0" w14:textId="77777777" w:rsidR="00207157" w:rsidRPr="00F8705E" w:rsidRDefault="00207157" w:rsidP="00207157">
      <w:pPr>
        <w:spacing w:line="360" w:lineRule="auto"/>
        <w:jc w:val="both"/>
        <w:rPr>
          <w:rFonts w:ascii="Times New Roman" w:hAnsi="Times New Roman" w:cs="Times New Roman"/>
          <w:color w:val="000000" w:themeColor="text1"/>
        </w:rPr>
      </w:pPr>
      <w:r w:rsidRPr="00F8705E">
        <w:t>The current study showed that adding sorghum and pigeon pea flours to cake formulations improved the mineral and vitamin contents of the cakes. The findings showed that as the level of sorghum and pigeon pea substitution in the flour blends increased, the concentrations of potassium, calcium, magnesium, vitamin B1 (thiamine), vitamin B2 (riboflavin) and vitamin B3 (niacin) also increased; however, the iron content decreased with increased levels of sorghum and pigeon pea. Fermentation and soaking reduced the iron contents of sorghum and pigeon pea flours, possibly because of leaching. This suggests that the composite flour cakes had improved micronutrient quality when compared with cakes produced solely from traditional wheat flour.</w:t>
      </w:r>
    </w:p>
    <w:p w14:paraId="3A225DB2" w14:textId="77777777" w:rsidR="00207157" w:rsidRPr="00F8705E" w:rsidRDefault="00207157" w:rsidP="00207157">
      <w:pPr>
        <w:spacing w:line="360" w:lineRule="auto"/>
        <w:jc w:val="both"/>
        <w:rPr>
          <w:rFonts w:ascii="Times New Roman" w:hAnsi="Times New Roman" w:cs="Times New Roman"/>
          <w:color w:val="000000" w:themeColor="text1"/>
        </w:rPr>
      </w:pPr>
      <w:r w:rsidRPr="00F8705E">
        <w:t>The observed improvement in mineral and vitamin contents highlights the nutritional potential of sorghum and pigeon pea as useful ingredients in baked products. The inclusion of these locally grown crops in cakes may enhance the dietary intake of micronutrients required for healthy physiological functions and general well-being. In addition, using pigeon pea and sorghum flours in cake production could promote the use of underutilised indigenous crops, diversify bakery raw materials and reduce reliance on imported wheat flour.</w:t>
      </w:r>
    </w:p>
    <w:p w14:paraId="537154BF" w14:textId="77777777" w:rsidR="00207157" w:rsidRDefault="00207157" w:rsidP="00207157">
      <w:pPr>
        <w:spacing w:line="360" w:lineRule="auto"/>
        <w:jc w:val="both"/>
      </w:pPr>
      <w:r w:rsidRPr="00F8705E">
        <w:t>Cakes produced from blends of sorghum and pigeon pea flours can therefore be considered nutritionally improved in terms of minerals and vitamins, and they may contribute to the development of value-added functional bakery products for consumers seeking healthier dietary options. Further research could focus on nutrient bioavailability, storage stability and sensory acceptance of the developed products.</w:t>
      </w:r>
    </w:p>
    <w:p w14:paraId="0711E7B6" w14:textId="6878CCB0" w:rsidR="00F8705E" w:rsidRPr="00F8705E" w:rsidRDefault="00F8705E" w:rsidP="00207157">
      <w:pPr>
        <w:spacing w:line="360" w:lineRule="auto"/>
        <w:jc w:val="both"/>
        <w:rPr>
          <w:rFonts w:ascii="Times New Roman" w:hAnsi="Times New Roman" w:cs="Times New Roman"/>
          <w:color w:val="000000" w:themeColor="text1"/>
        </w:rPr>
      </w:pPr>
      <w:r>
        <w:rPr>
          <w:rStyle w:val="Strong"/>
        </w:rPr>
        <w:t>Limitation</w:t>
      </w:r>
      <w:r>
        <w:br/>
        <w:t>This study was limited to the determination of selected minerals and B vitamins in cake samples produced from fermented sorghum and pigeon pea composite flours. It did not evaluate nutrient bioavailability, anti-nutritional reduction after fermentation, sensory acceptance, shelf stability or consumer preference. These aspects should be investigated in future studies to support wider application.</w:t>
      </w:r>
    </w:p>
    <w:p w14:paraId="3DCD107C" w14:textId="77777777" w:rsidR="00A943E3" w:rsidRPr="00F8705E" w:rsidRDefault="00A943E3" w:rsidP="00207157">
      <w:pPr>
        <w:spacing w:line="360" w:lineRule="auto"/>
        <w:jc w:val="both"/>
        <w:rPr>
          <w:rFonts w:ascii="Times New Roman" w:eastAsia="Times New Roman" w:hAnsi="Times New Roman" w:cs="Times New Roman"/>
          <w:b/>
          <w:bCs/>
          <w:color w:val="000000" w:themeColor="text1"/>
          <w:sz w:val="27"/>
          <w:szCs w:val="27"/>
        </w:rPr>
      </w:pPr>
      <w:r w:rsidRPr="00F8705E">
        <w:rPr>
          <w:rFonts w:ascii="Times New Roman" w:eastAsia="Times New Roman" w:hAnsi="Times New Roman" w:cs="Times New Roman"/>
          <w:b/>
          <w:bCs/>
          <w:color w:val="000000" w:themeColor="text1"/>
          <w:sz w:val="27"/>
          <w:szCs w:val="27"/>
        </w:rPr>
        <w:t>Recommendations</w:t>
      </w:r>
    </w:p>
    <w:p w14:paraId="7EFE2A80" w14:textId="77777777" w:rsidR="00207157" w:rsidRPr="00F8705E" w:rsidRDefault="00207157" w:rsidP="00207157">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F8705E">
        <w:t>1. Because sorghum and pigeon pea flours can improve the nutritional quality of cakes, especially in terms of mineral and vitamin content, their increased use in baked products is recommended.</w:t>
      </w:r>
    </w:p>
    <w:p w14:paraId="77B17F4F" w14:textId="77777777" w:rsidR="00207157" w:rsidRPr="00F8705E" w:rsidRDefault="00207157" w:rsidP="00207157">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F8705E">
        <w:t>2. As healthier substitutes for traditional wheat-based cakes, the food industry and commercial bakers should investigate the large-scale production of composite flour cakes.</w:t>
      </w:r>
    </w:p>
    <w:p w14:paraId="6F6E01FE" w14:textId="77777777" w:rsidR="00207157" w:rsidRPr="00F8705E" w:rsidRDefault="00207157" w:rsidP="00207157">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F8705E">
        <w:lastRenderedPageBreak/>
        <w:t>3. To help address micronutrient deficiencies, particularly in developing countries, nutritionists and public health organisations should promote the intake of products produced from sorghum and pigeon peas.</w:t>
      </w:r>
    </w:p>
    <w:p w14:paraId="6A4F56B2" w14:textId="77777777" w:rsidR="00A943E3" w:rsidRPr="00F8705E" w:rsidRDefault="00207157" w:rsidP="00207157">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F8705E">
        <w:t>4. Further research should be conducted on the sensory properties, shelf stability, consumer acceptability and storage characteristics of cakes produced using blends of sorghum and pigeon pea flours.</w:t>
      </w:r>
    </w:p>
    <w:p w14:paraId="00BDDA63" w14:textId="77777777" w:rsidR="00BE7CC2" w:rsidRPr="00F8705E" w:rsidRDefault="00BE7CC2" w:rsidP="00BE7CC2">
      <w:pPr>
        <w:pStyle w:val="NoSpacing"/>
        <w:rPr>
          <w:rFonts w:ascii="Arial" w:hAnsi="Arial" w:cs="Arial"/>
          <w:b/>
          <w:bCs/>
        </w:rPr>
      </w:pPr>
      <w:r w:rsidRPr="00F8705E">
        <w:rPr>
          <w:rFonts w:ascii="Arial" w:hAnsi="Arial" w:cs="Arial"/>
          <w:b/>
          <w:bCs/>
        </w:rPr>
        <w:t>Declaration of AI Use</w:t>
      </w:r>
    </w:p>
    <w:p w14:paraId="0E6FB4C6" w14:textId="77777777" w:rsidR="00A56E11" w:rsidRPr="00F8705E" w:rsidRDefault="00BE7CC2" w:rsidP="00BE7CC2">
      <w:pPr>
        <w:pStyle w:val="NoSpacing"/>
        <w:rPr>
          <w:rFonts w:ascii="Arial" w:hAnsi="Arial" w:cs="Arial"/>
        </w:rPr>
      </w:pPr>
      <w:r w:rsidRPr="00F8705E">
        <w:rPr>
          <w:rFonts w:ascii="Arial" w:hAnsi="Arial" w:cs="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E76DB3B" w14:textId="77777777" w:rsidR="00A56E11" w:rsidRPr="00F8705E" w:rsidRDefault="00A56E11" w:rsidP="00A56E11">
      <w:pPr>
        <w:pStyle w:val="NoSpacing"/>
        <w:rPr>
          <w:rFonts w:ascii="Arial" w:hAnsi="Arial" w:cs="Arial"/>
        </w:rPr>
      </w:pPr>
    </w:p>
    <w:p w14:paraId="60C560D4" w14:textId="77777777" w:rsidR="00A56E11" w:rsidRPr="00F8705E" w:rsidRDefault="00A56E11" w:rsidP="00207157">
      <w:pPr>
        <w:spacing w:before="100" w:beforeAutospacing="1" w:after="100" w:afterAutospacing="1" w:line="360" w:lineRule="auto"/>
        <w:jc w:val="both"/>
        <w:rPr>
          <w:rFonts w:ascii="Times New Roman" w:eastAsia="Times New Roman" w:hAnsi="Times New Roman" w:cs="Times New Roman"/>
          <w:color w:val="000000" w:themeColor="text1"/>
          <w:sz w:val="24"/>
          <w:szCs w:val="24"/>
        </w:rPr>
      </w:pPr>
    </w:p>
    <w:p w14:paraId="0F2086F3" w14:textId="77777777" w:rsidR="007C075E" w:rsidRPr="00F8705E" w:rsidRDefault="00AF0B55" w:rsidP="001C1ED3">
      <w:pPr>
        <w:spacing w:line="276" w:lineRule="auto"/>
        <w:jc w:val="both"/>
        <w:rPr>
          <w:rFonts w:ascii="Times New Roman" w:hAnsi="Times New Roman" w:cs="Times New Roman"/>
          <w:b/>
          <w:bCs/>
          <w:color w:val="000000" w:themeColor="text1"/>
          <w:sz w:val="24"/>
          <w:szCs w:val="24"/>
        </w:rPr>
      </w:pPr>
      <w:r w:rsidRPr="00F8705E">
        <w:rPr>
          <w:rFonts w:ascii="Times New Roman" w:hAnsi="Times New Roman" w:cs="Times New Roman"/>
          <w:b/>
          <w:bCs/>
          <w:color w:val="000000" w:themeColor="text1"/>
          <w:sz w:val="24"/>
          <w:szCs w:val="24"/>
        </w:rPr>
        <w:t xml:space="preserve">References </w:t>
      </w:r>
    </w:p>
    <w:p w14:paraId="0A8F1D08" w14:textId="7278BC21"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r w:rsidRPr="00833961">
        <w:rPr>
          <w:rFonts w:ascii="Times New Roman" w:eastAsia="Times New Roman" w:hAnsi="Times New Roman" w:cs="Times New Roman"/>
          <w:sz w:val="24"/>
          <w:szCs w:val="24"/>
        </w:rPr>
        <w:t xml:space="preserve">Adebo, O. A., &amp; Medina-Meza, I. G. (2020). Impact of fermentation on the phenolic compounds and antioxidant activity of whole cereal grains: A mini review. </w:t>
      </w:r>
      <w:r w:rsidRPr="00833961">
        <w:rPr>
          <w:rFonts w:ascii="Times New Roman" w:eastAsia="Times New Roman" w:hAnsi="Times New Roman" w:cs="Times New Roman"/>
          <w:i/>
          <w:iCs/>
          <w:sz w:val="24"/>
          <w:szCs w:val="24"/>
        </w:rPr>
        <w:t>Molecules, 25</w:t>
      </w:r>
      <w:r w:rsidRPr="00833961">
        <w:rPr>
          <w:rFonts w:ascii="Times New Roman" w:eastAsia="Times New Roman" w:hAnsi="Times New Roman" w:cs="Times New Roman"/>
          <w:sz w:val="24"/>
          <w:szCs w:val="24"/>
        </w:rPr>
        <w:t xml:space="preserve">(4), Article 927. </w:t>
      </w:r>
      <w:hyperlink r:id="rId6" w:history="1">
        <w:r w:rsidRPr="00833961">
          <w:rPr>
            <w:rFonts w:ascii="Times New Roman" w:eastAsia="Times New Roman" w:hAnsi="Times New Roman" w:cs="Times New Roman"/>
            <w:color w:val="0000FF"/>
            <w:sz w:val="24"/>
            <w:szCs w:val="24"/>
            <w:u w:val="single"/>
          </w:rPr>
          <w:t>https://doi.org/10.3390/molecules25040927</w:t>
        </w:r>
      </w:hyperlink>
    </w:p>
    <w:p w14:paraId="2F59838A" w14:textId="08D154C3"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r w:rsidRPr="00833961">
        <w:rPr>
          <w:rFonts w:ascii="Times New Roman" w:eastAsia="Times New Roman" w:hAnsi="Times New Roman" w:cs="Times New Roman"/>
          <w:sz w:val="24"/>
          <w:szCs w:val="24"/>
          <w:lang w:val="nl-BE"/>
        </w:rPr>
        <w:t xml:space="preserve">Adeyanju, J. A., Babarinde, G. O., Olanipekun, B. F., Bolarinwa, I. F., &amp; Oladokun, S. O. (2021). </w:t>
      </w:r>
      <w:r w:rsidRPr="00833961">
        <w:rPr>
          <w:rFonts w:ascii="Times New Roman" w:eastAsia="Times New Roman" w:hAnsi="Times New Roman" w:cs="Times New Roman"/>
          <w:sz w:val="24"/>
          <w:szCs w:val="24"/>
        </w:rPr>
        <w:t xml:space="preserve">Quality assessment of flour and cookies from wheat, African yam bean and </w:t>
      </w:r>
      <w:proofErr w:type="spellStart"/>
      <w:r w:rsidRPr="00833961">
        <w:rPr>
          <w:rFonts w:ascii="Times New Roman" w:eastAsia="Times New Roman" w:hAnsi="Times New Roman" w:cs="Times New Roman"/>
          <w:sz w:val="24"/>
          <w:szCs w:val="24"/>
        </w:rPr>
        <w:t>acha</w:t>
      </w:r>
      <w:proofErr w:type="spellEnd"/>
      <w:r w:rsidRPr="00833961">
        <w:rPr>
          <w:rFonts w:ascii="Times New Roman" w:eastAsia="Times New Roman" w:hAnsi="Times New Roman" w:cs="Times New Roman"/>
          <w:sz w:val="24"/>
          <w:szCs w:val="24"/>
        </w:rPr>
        <w:t xml:space="preserve"> flours. Food Research, 5(1), 371–379. </w:t>
      </w:r>
      <w:hyperlink r:id="rId7" w:history="1">
        <w:r w:rsidRPr="00833961">
          <w:rPr>
            <w:rFonts w:ascii="Times New Roman" w:eastAsia="Times New Roman" w:hAnsi="Times New Roman" w:cs="Times New Roman"/>
            <w:color w:val="0000FF"/>
            <w:sz w:val="24"/>
            <w:szCs w:val="24"/>
            <w:u w:val="single"/>
          </w:rPr>
          <w:t>https://doi.org/10.26656/fr.2017.5(1).370</w:t>
        </w:r>
      </w:hyperlink>
    </w:p>
    <w:p w14:paraId="1818117D" w14:textId="0B61B80C"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proofErr w:type="spellStart"/>
      <w:r w:rsidRPr="00833961">
        <w:rPr>
          <w:rFonts w:ascii="Times New Roman" w:eastAsia="Times New Roman" w:hAnsi="Times New Roman" w:cs="Times New Roman"/>
          <w:sz w:val="24"/>
          <w:szCs w:val="24"/>
        </w:rPr>
        <w:t>Adinkwu</w:t>
      </w:r>
      <w:proofErr w:type="spellEnd"/>
      <w:r w:rsidRPr="00833961">
        <w:rPr>
          <w:rFonts w:ascii="Times New Roman" w:eastAsia="Times New Roman" w:hAnsi="Times New Roman" w:cs="Times New Roman"/>
          <w:sz w:val="24"/>
          <w:szCs w:val="24"/>
        </w:rPr>
        <w:t xml:space="preserve">, O. M., </w:t>
      </w:r>
      <w:proofErr w:type="spellStart"/>
      <w:r w:rsidRPr="00833961">
        <w:rPr>
          <w:rFonts w:ascii="Times New Roman" w:eastAsia="Times New Roman" w:hAnsi="Times New Roman" w:cs="Times New Roman"/>
          <w:sz w:val="24"/>
          <w:szCs w:val="24"/>
        </w:rPr>
        <w:t>Emojorho</w:t>
      </w:r>
      <w:proofErr w:type="spellEnd"/>
      <w:r w:rsidRPr="00833961">
        <w:rPr>
          <w:rFonts w:ascii="Times New Roman" w:eastAsia="Times New Roman" w:hAnsi="Times New Roman" w:cs="Times New Roman"/>
          <w:sz w:val="24"/>
          <w:szCs w:val="24"/>
        </w:rPr>
        <w:t xml:space="preserve">, E. E., </w:t>
      </w:r>
      <w:proofErr w:type="spellStart"/>
      <w:r w:rsidRPr="00833961">
        <w:rPr>
          <w:rFonts w:ascii="Times New Roman" w:eastAsia="Times New Roman" w:hAnsi="Times New Roman" w:cs="Times New Roman"/>
          <w:sz w:val="24"/>
          <w:szCs w:val="24"/>
        </w:rPr>
        <w:t>Ogboli</w:t>
      </w:r>
      <w:proofErr w:type="spellEnd"/>
      <w:r w:rsidRPr="00833961">
        <w:rPr>
          <w:rFonts w:ascii="Times New Roman" w:eastAsia="Times New Roman" w:hAnsi="Times New Roman" w:cs="Times New Roman"/>
          <w:sz w:val="24"/>
          <w:szCs w:val="24"/>
        </w:rPr>
        <w:t xml:space="preserve">, C. C., Ogwu, C., &amp; </w:t>
      </w:r>
      <w:proofErr w:type="spellStart"/>
      <w:r w:rsidRPr="00833961">
        <w:rPr>
          <w:rFonts w:ascii="Times New Roman" w:eastAsia="Times New Roman" w:hAnsi="Times New Roman" w:cs="Times New Roman"/>
          <w:sz w:val="24"/>
          <w:szCs w:val="24"/>
        </w:rPr>
        <w:t>Obruche</w:t>
      </w:r>
      <w:proofErr w:type="spellEnd"/>
      <w:r w:rsidRPr="00833961">
        <w:rPr>
          <w:rFonts w:ascii="Times New Roman" w:eastAsia="Times New Roman" w:hAnsi="Times New Roman" w:cs="Times New Roman"/>
          <w:sz w:val="24"/>
          <w:szCs w:val="24"/>
        </w:rPr>
        <w:t xml:space="preserve">, F. (2025). Minerals and vitamin composition of bread from </w:t>
      </w:r>
      <w:proofErr w:type="spellStart"/>
      <w:r w:rsidRPr="00833961">
        <w:rPr>
          <w:rFonts w:ascii="Times New Roman" w:eastAsia="Times New Roman" w:hAnsi="Times New Roman" w:cs="Times New Roman"/>
          <w:sz w:val="24"/>
          <w:szCs w:val="24"/>
        </w:rPr>
        <w:t>bambara</w:t>
      </w:r>
      <w:proofErr w:type="spellEnd"/>
      <w:r w:rsidRPr="00833961">
        <w:rPr>
          <w:rFonts w:ascii="Times New Roman" w:eastAsia="Times New Roman" w:hAnsi="Times New Roman" w:cs="Times New Roman"/>
          <w:sz w:val="24"/>
          <w:szCs w:val="24"/>
        </w:rPr>
        <w:t xml:space="preserve"> groundnut and sorghum flour. </w:t>
      </w:r>
      <w:r w:rsidRPr="00833961">
        <w:rPr>
          <w:rFonts w:ascii="Times New Roman" w:eastAsia="Times New Roman" w:hAnsi="Times New Roman" w:cs="Times New Roman"/>
          <w:i/>
          <w:iCs/>
          <w:sz w:val="24"/>
          <w:szCs w:val="24"/>
        </w:rPr>
        <w:t>International Journal of Multidisciplinary Research and Development, 12</w:t>
      </w:r>
      <w:r w:rsidRPr="00833961">
        <w:rPr>
          <w:rFonts w:ascii="Times New Roman" w:eastAsia="Times New Roman" w:hAnsi="Times New Roman" w:cs="Times New Roman"/>
          <w:sz w:val="24"/>
          <w:szCs w:val="24"/>
        </w:rPr>
        <w:t xml:space="preserve">(10), 1–6. </w:t>
      </w:r>
      <w:hyperlink r:id="rId8" w:history="1">
        <w:r w:rsidRPr="00833961">
          <w:rPr>
            <w:rFonts w:ascii="Times New Roman" w:eastAsia="Times New Roman" w:hAnsi="Times New Roman" w:cs="Times New Roman"/>
            <w:color w:val="0000FF"/>
            <w:sz w:val="24"/>
            <w:szCs w:val="24"/>
            <w:u w:val="single"/>
          </w:rPr>
          <w:t>https://www.allsubjectjournal.com/assets/archives/2025/vol12issue10/12251.pdf</w:t>
        </w:r>
      </w:hyperlink>
    </w:p>
    <w:p w14:paraId="6E639F68" w14:textId="722504B2"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r w:rsidRPr="00833961">
        <w:rPr>
          <w:rFonts w:ascii="Times New Roman" w:eastAsia="Times New Roman" w:hAnsi="Times New Roman" w:cs="Times New Roman"/>
          <w:sz w:val="24"/>
          <w:szCs w:val="24"/>
        </w:rPr>
        <w:t xml:space="preserve">Akubor, P. I. (2017). Effect of processing methods on the chemical composition and functional properties of pigeon pea seed. </w:t>
      </w:r>
      <w:r w:rsidRPr="00833961">
        <w:rPr>
          <w:rFonts w:ascii="Times New Roman" w:eastAsia="Times New Roman" w:hAnsi="Times New Roman" w:cs="Times New Roman"/>
          <w:i/>
          <w:iCs/>
          <w:sz w:val="24"/>
          <w:szCs w:val="24"/>
        </w:rPr>
        <w:t>Asian Journal of Advances in Agricultural Research, 2</w:t>
      </w:r>
      <w:r w:rsidRPr="00833961">
        <w:rPr>
          <w:rFonts w:ascii="Times New Roman" w:eastAsia="Times New Roman" w:hAnsi="Times New Roman" w:cs="Times New Roman"/>
          <w:sz w:val="24"/>
          <w:szCs w:val="24"/>
        </w:rPr>
        <w:t xml:space="preserve">(2), 1–8. </w:t>
      </w:r>
      <w:hyperlink r:id="rId9" w:history="1">
        <w:r w:rsidRPr="00833961">
          <w:rPr>
            <w:rFonts w:ascii="Times New Roman" w:eastAsia="Times New Roman" w:hAnsi="Times New Roman" w:cs="Times New Roman"/>
            <w:color w:val="0000FF"/>
            <w:sz w:val="24"/>
            <w:szCs w:val="24"/>
            <w:u w:val="single"/>
          </w:rPr>
          <w:t>https://journalajaar.com/index.php/AJAAR/article/view/109</w:t>
        </w:r>
      </w:hyperlink>
    </w:p>
    <w:p w14:paraId="7EE73F0E" w14:textId="3A273D57"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r w:rsidRPr="00833961">
        <w:rPr>
          <w:rFonts w:ascii="Times New Roman" w:eastAsia="Times New Roman" w:hAnsi="Times New Roman" w:cs="Times New Roman"/>
          <w:sz w:val="24"/>
          <w:szCs w:val="24"/>
        </w:rPr>
        <w:t xml:space="preserve">Anene, M. N., </w:t>
      </w:r>
      <w:proofErr w:type="spellStart"/>
      <w:r w:rsidRPr="00833961">
        <w:rPr>
          <w:rFonts w:ascii="Times New Roman" w:eastAsia="Times New Roman" w:hAnsi="Times New Roman" w:cs="Times New Roman"/>
          <w:sz w:val="24"/>
          <w:szCs w:val="24"/>
        </w:rPr>
        <w:t>Emojorho</w:t>
      </w:r>
      <w:proofErr w:type="spellEnd"/>
      <w:r w:rsidRPr="00833961">
        <w:rPr>
          <w:rFonts w:ascii="Times New Roman" w:eastAsia="Times New Roman" w:hAnsi="Times New Roman" w:cs="Times New Roman"/>
          <w:sz w:val="24"/>
          <w:szCs w:val="24"/>
        </w:rPr>
        <w:t xml:space="preserve">, E. E., Chiedu, U. C., &amp; </w:t>
      </w:r>
      <w:proofErr w:type="spellStart"/>
      <w:r w:rsidRPr="00833961">
        <w:rPr>
          <w:rFonts w:ascii="Times New Roman" w:eastAsia="Times New Roman" w:hAnsi="Times New Roman" w:cs="Times New Roman"/>
          <w:sz w:val="24"/>
          <w:szCs w:val="24"/>
        </w:rPr>
        <w:t>Anyaiwe</w:t>
      </w:r>
      <w:proofErr w:type="spellEnd"/>
      <w:r w:rsidRPr="00833961">
        <w:rPr>
          <w:rFonts w:ascii="Times New Roman" w:eastAsia="Times New Roman" w:hAnsi="Times New Roman" w:cs="Times New Roman"/>
          <w:sz w:val="24"/>
          <w:szCs w:val="24"/>
        </w:rPr>
        <w:t xml:space="preserve">, U. C. (2023). Rheological, micronutrients and microbial quality of </w:t>
      </w:r>
      <w:proofErr w:type="spellStart"/>
      <w:r w:rsidRPr="00833961">
        <w:rPr>
          <w:rFonts w:ascii="Times New Roman" w:eastAsia="Times New Roman" w:hAnsi="Times New Roman" w:cs="Times New Roman"/>
          <w:sz w:val="24"/>
          <w:szCs w:val="24"/>
        </w:rPr>
        <w:t>idli</w:t>
      </w:r>
      <w:proofErr w:type="spellEnd"/>
      <w:r w:rsidRPr="00833961">
        <w:rPr>
          <w:rFonts w:ascii="Times New Roman" w:eastAsia="Times New Roman" w:hAnsi="Times New Roman" w:cs="Times New Roman"/>
          <w:sz w:val="24"/>
          <w:szCs w:val="24"/>
        </w:rPr>
        <w:t xml:space="preserve"> produced from blends of rice (</w:t>
      </w:r>
      <w:r w:rsidRPr="00833961">
        <w:rPr>
          <w:rFonts w:ascii="Times New Roman" w:eastAsia="Times New Roman" w:hAnsi="Times New Roman" w:cs="Times New Roman"/>
          <w:i/>
          <w:iCs/>
          <w:sz w:val="24"/>
          <w:szCs w:val="24"/>
        </w:rPr>
        <w:t>Oryza sativa</w:t>
      </w:r>
      <w:r w:rsidRPr="00833961">
        <w:rPr>
          <w:rFonts w:ascii="Times New Roman" w:eastAsia="Times New Roman" w:hAnsi="Times New Roman" w:cs="Times New Roman"/>
          <w:sz w:val="24"/>
          <w:szCs w:val="24"/>
        </w:rPr>
        <w:t>), African yam bean (</w:t>
      </w:r>
      <w:proofErr w:type="spellStart"/>
      <w:r w:rsidRPr="00833961">
        <w:rPr>
          <w:rFonts w:ascii="Times New Roman" w:eastAsia="Times New Roman" w:hAnsi="Times New Roman" w:cs="Times New Roman"/>
          <w:i/>
          <w:iCs/>
          <w:sz w:val="24"/>
          <w:szCs w:val="24"/>
        </w:rPr>
        <w:t>Sphenostylis</w:t>
      </w:r>
      <w:proofErr w:type="spellEnd"/>
      <w:r w:rsidRPr="00833961">
        <w:rPr>
          <w:rFonts w:ascii="Times New Roman" w:eastAsia="Times New Roman" w:hAnsi="Times New Roman" w:cs="Times New Roman"/>
          <w:i/>
          <w:iCs/>
          <w:sz w:val="24"/>
          <w:szCs w:val="24"/>
        </w:rPr>
        <w:t xml:space="preserve"> </w:t>
      </w:r>
      <w:proofErr w:type="spellStart"/>
      <w:r w:rsidRPr="00833961">
        <w:rPr>
          <w:rFonts w:ascii="Times New Roman" w:eastAsia="Times New Roman" w:hAnsi="Times New Roman" w:cs="Times New Roman"/>
          <w:i/>
          <w:iCs/>
          <w:sz w:val="24"/>
          <w:szCs w:val="24"/>
        </w:rPr>
        <w:t>sternocarpa</w:t>
      </w:r>
      <w:proofErr w:type="spellEnd"/>
      <w:r w:rsidRPr="00833961">
        <w:rPr>
          <w:rFonts w:ascii="Times New Roman" w:eastAsia="Times New Roman" w:hAnsi="Times New Roman" w:cs="Times New Roman"/>
          <w:sz w:val="24"/>
          <w:szCs w:val="24"/>
        </w:rPr>
        <w:t>) and pigeon pea (</w:t>
      </w:r>
      <w:r w:rsidRPr="00833961">
        <w:rPr>
          <w:rFonts w:ascii="Times New Roman" w:eastAsia="Times New Roman" w:hAnsi="Times New Roman" w:cs="Times New Roman"/>
          <w:i/>
          <w:iCs/>
          <w:sz w:val="24"/>
          <w:szCs w:val="24"/>
        </w:rPr>
        <w:t xml:space="preserve">Cajanus </w:t>
      </w:r>
      <w:proofErr w:type="spellStart"/>
      <w:r w:rsidRPr="00833961">
        <w:rPr>
          <w:rFonts w:ascii="Times New Roman" w:eastAsia="Times New Roman" w:hAnsi="Times New Roman" w:cs="Times New Roman"/>
          <w:i/>
          <w:iCs/>
          <w:sz w:val="24"/>
          <w:szCs w:val="24"/>
        </w:rPr>
        <w:t>cajan</w:t>
      </w:r>
      <w:proofErr w:type="spellEnd"/>
      <w:r w:rsidRPr="00833961">
        <w:rPr>
          <w:rFonts w:ascii="Times New Roman" w:eastAsia="Times New Roman" w:hAnsi="Times New Roman" w:cs="Times New Roman"/>
          <w:sz w:val="24"/>
          <w:szCs w:val="24"/>
        </w:rPr>
        <w:t xml:space="preserve">). </w:t>
      </w:r>
      <w:r w:rsidRPr="00833961">
        <w:rPr>
          <w:rFonts w:ascii="Times New Roman" w:eastAsia="Times New Roman" w:hAnsi="Times New Roman" w:cs="Times New Roman"/>
          <w:i/>
          <w:iCs/>
          <w:sz w:val="24"/>
          <w:szCs w:val="24"/>
        </w:rPr>
        <w:t>Global Scientific Journals, 11</w:t>
      </w:r>
      <w:r w:rsidRPr="00833961">
        <w:rPr>
          <w:rFonts w:ascii="Times New Roman" w:eastAsia="Times New Roman" w:hAnsi="Times New Roman" w:cs="Times New Roman"/>
          <w:sz w:val="24"/>
          <w:szCs w:val="24"/>
        </w:rPr>
        <w:t xml:space="preserve">(11), 1941–1962. </w:t>
      </w:r>
      <w:hyperlink r:id="rId10" w:history="1">
        <w:r w:rsidRPr="00833961">
          <w:rPr>
            <w:rFonts w:ascii="Times New Roman" w:eastAsia="Times New Roman" w:hAnsi="Times New Roman" w:cs="Times New Roman"/>
            <w:color w:val="0000FF"/>
            <w:sz w:val="24"/>
            <w:szCs w:val="24"/>
            <w:u w:val="single"/>
          </w:rPr>
          <w:t>https://www.globalscientificjournal.com/researchpaper/RHEOLOGICAL_MICRONUTRIENTS_AND_MICROBIAL_QUALITY_OF_IDLI_PRODUCED_FROM_BLENDS_OF_RICE_Oryza_sativa_AFRICAN_YAM_BEAN_Sphenostylis_sternocarpa_AND_PIGEON_PEA_Cajanus_cajan_.pdf</w:t>
        </w:r>
      </w:hyperlink>
    </w:p>
    <w:p w14:paraId="086AFA0B" w14:textId="537BDD1A"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proofErr w:type="spellStart"/>
      <w:r w:rsidRPr="00833961">
        <w:rPr>
          <w:rFonts w:ascii="Times New Roman" w:eastAsia="Times New Roman" w:hAnsi="Times New Roman" w:cs="Times New Roman"/>
          <w:sz w:val="24"/>
          <w:szCs w:val="24"/>
        </w:rPr>
        <w:t>Aniemena</w:t>
      </w:r>
      <w:proofErr w:type="spellEnd"/>
      <w:r w:rsidRPr="00833961">
        <w:rPr>
          <w:rFonts w:ascii="Times New Roman" w:eastAsia="Times New Roman" w:hAnsi="Times New Roman" w:cs="Times New Roman"/>
          <w:sz w:val="24"/>
          <w:szCs w:val="24"/>
        </w:rPr>
        <w:t xml:space="preserve">, C. C., </w:t>
      </w:r>
      <w:proofErr w:type="spellStart"/>
      <w:r w:rsidRPr="00833961">
        <w:rPr>
          <w:rFonts w:ascii="Times New Roman" w:eastAsia="Times New Roman" w:hAnsi="Times New Roman" w:cs="Times New Roman"/>
          <w:sz w:val="24"/>
          <w:szCs w:val="24"/>
        </w:rPr>
        <w:t>Emojorho</w:t>
      </w:r>
      <w:proofErr w:type="spellEnd"/>
      <w:r w:rsidRPr="00833961">
        <w:rPr>
          <w:rFonts w:ascii="Times New Roman" w:eastAsia="Times New Roman" w:hAnsi="Times New Roman" w:cs="Times New Roman"/>
          <w:sz w:val="24"/>
          <w:szCs w:val="24"/>
        </w:rPr>
        <w:t xml:space="preserve">, E. E., Onuoha, L. N., Okoronkwo, C. N., </w:t>
      </w:r>
      <w:proofErr w:type="spellStart"/>
      <w:r w:rsidRPr="00833961">
        <w:rPr>
          <w:rFonts w:ascii="Times New Roman" w:eastAsia="Times New Roman" w:hAnsi="Times New Roman" w:cs="Times New Roman"/>
          <w:sz w:val="24"/>
          <w:szCs w:val="24"/>
        </w:rPr>
        <w:t>Nwagbo</w:t>
      </w:r>
      <w:proofErr w:type="spellEnd"/>
      <w:r w:rsidRPr="00833961">
        <w:rPr>
          <w:rFonts w:ascii="Times New Roman" w:eastAsia="Times New Roman" w:hAnsi="Times New Roman" w:cs="Times New Roman"/>
          <w:sz w:val="24"/>
          <w:szCs w:val="24"/>
        </w:rPr>
        <w:t>, C. C., &amp; Ugwu, I. O. (2024). Quality assessment of cupcake produced from wheat-</w:t>
      </w:r>
      <w:proofErr w:type="spellStart"/>
      <w:r w:rsidRPr="00833961">
        <w:rPr>
          <w:rFonts w:ascii="Times New Roman" w:eastAsia="Times New Roman" w:hAnsi="Times New Roman" w:cs="Times New Roman"/>
          <w:sz w:val="24"/>
          <w:szCs w:val="24"/>
        </w:rPr>
        <w:t>garri</w:t>
      </w:r>
      <w:proofErr w:type="spellEnd"/>
      <w:r w:rsidRPr="00833961">
        <w:rPr>
          <w:rFonts w:ascii="Times New Roman" w:eastAsia="Times New Roman" w:hAnsi="Times New Roman" w:cs="Times New Roman"/>
          <w:sz w:val="24"/>
          <w:szCs w:val="24"/>
        </w:rPr>
        <w:t xml:space="preserve"> flour blends. </w:t>
      </w:r>
      <w:r w:rsidRPr="00833961">
        <w:rPr>
          <w:rFonts w:ascii="Times New Roman" w:eastAsia="Times New Roman" w:hAnsi="Times New Roman" w:cs="Times New Roman"/>
          <w:i/>
          <w:iCs/>
          <w:sz w:val="24"/>
          <w:szCs w:val="24"/>
        </w:rPr>
        <w:t xml:space="preserve">Asian </w:t>
      </w:r>
      <w:r w:rsidRPr="00833961">
        <w:rPr>
          <w:rFonts w:ascii="Times New Roman" w:eastAsia="Times New Roman" w:hAnsi="Times New Roman" w:cs="Times New Roman"/>
          <w:i/>
          <w:iCs/>
          <w:sz w:val="24"/>
          <w:szCs w:val="24"/>
        </w:rPr>
        <w:lastRenderedPageBreak/>
        <w:t>Journal of Advanced Research and Reports, 18</w:t>
      </w:r>
      <w:r w:rsidRPr="00833961">
        <w:rPr>
          <w:rFonts w:ascii="Times New Roman" w:eastAsia="Times New Roman" w:hAnsi="Times New Roman" w:cs="Times New Roman"/>
          <w:sz w:val="24"/>
          <w:szCs w:val="24"/>
        </w:rPr>
        <w:t xml:space="preserve">(7), 159–166. </w:t>
      </w:r>
      <w:hyperlink r:id="rId11" w:history="1">
        <w:r w:rsidRPr="00833961">
          <w:rPr>
            <w:rFonts w:ascii="Times New Roman" w:eastAsia="Times New Roman" w:hAnsi="Times New Roman" w:cs="Times New Roman"/>
            <w:color w:val="0000FF"/>
            <w:sz w:val="24"/>
            <w:szCs w:val="24"/>
            <w:u w:val="single"/>
          </w:rPr>
          <w:t>https://doi.org/10.9734/ajarr/2024/v18i7692</w:t>
        </w:r>
      </w:hyperlink>
    </w:p>
    <w:p w14:paraId="0B073883" w14:textId="56B21112"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r w:rsidRPr="00833961">
        <w:rPr>
          <w:rFonts w:ascii="Times New Roman" w:eastAsia="Times New Roman" w:hAnsi="Times New Roman" w:cs="Times New Roman"/>
          <w:sz w:val="24"/>
          <w:szCs w:val="24"/>
        </w:rPr>
        <w:t xml:space="preserve">AOAC International. (2023). </w:t>
      </w:r>
      <w:r w:rsidRPr="00833961">
        <w:rPr>
          <w:rFonts w:ascii="Times New Roman" w:eastAsia="Times New Roman" w:hAnsi="Times New Roman" w:cs="Times New Roman"/>
          <w:i/>
          <w:iCs/>
          <w:sz w:val="24"/>
          <w:szCs w:val="24"/>
        </w:rPr>
        <w:t>Official methods of analysis of AOAC International</w:t>
      </w:r>
      <w:r w:rsidRPr="00833961">
        <w:rPr>
          <w:rFonts w:ascii="Times New Roman" w:eastAsia="Times New Roman" w:hAnsi="Times New Roman" w:cs="Times New Roman"/>
          <w:sz w:val="24"/>
          <w:szCs w:val="24"/>
        </w:rPr>
        <w:t xml:space="preserve"> (G. W. Latimer Jr., Ed.; 22nd ed.). Oxford University Press. </w:t>
      </w:r>
      <w:hyperlink r:id="rId12" w:history="1">
        <w:r w:rsidRPr="00833961">
          <w:rPr>
            <w:rFonts w:ascii="Times New Roman" w:eastAsia="Times New Roman" w:hAnsi="Times New Roman" w:cs="Times New Roman"/>
            <w:color w:val="0000FF"/>
            <w:sz w:val="24"/>
            <w:szCs w:val="24"/>
            <w:u w:val="single"/>
          </w:rPr>
          <w:t>https://doi.org/10.1093/9780197610145.001.0001</w:t>
        </w:r>
      </w:hyperlink>
    </w:p>
    <w:p w14:paraId="2F0FBC21" w14:textId="5659C3C3"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r w:rsidRPr="00833961">
        <w:rPr>
          <w:rFonts w:ascii="Times New Roman" w:eastAsia="Times New Roman" w:hAnsi="Times New Roman" w:cs="Times New Roman"/>
          <w:sz w:val="24"/>
          <w:szCs w:val="24"/>
        </w:rPr>
        <w:t xml:space="preserve">Biesiekierski, J. R. (2017). What is gluten? </w:t>
      </w:r>
      <w:r w:rsidRPr="00833961">
        <w:rPr>
          <w:rFonts w:ascii="Times New Roman" w:eastAsia="Times New Roman" w:hAnsi="Times New Roman" w:cs="Times New Roman"/>
          <w:i/>
          <w:iCs/>
          <w:sz w:val="24"/>
          <w:szCs w:val="24"/>
        </w:rPr>
        <w:t>Journal of Gastroenterology and Hepatology, 32</w:t>
      </w:r>
      <w:r w:rsidRPr="00833961">
        <w:rPr>
          <w:rFonts w:ascii="Times New Roman" w:eastAsia="Times New Roman" w:hAnsi="Times New Roman" w:cs="Times New Roman"/>
          <w:sz w:val="24"/>
          <w:szCs w:val="24"/>
        </w:rPr>
        <w:t xml:space="preserve">(S1), 78–81. </w:t>
      </w:r>
      <w:hyperlink r:id="rId13" w:history="1">
        <w:r w:rsidRPr="00833961">
          <w:rPr>
            <w:rFonts w:ascii="Times New Roman" w:eastAsia="Times New Roman" w:hAnsi="Times New Roman" w:cs="Times New Roman"/>
            <w:color w:val="0000FF"/>
            <w:sz w:val="24"/>
            <w:szCs w:val="24"/>
            <w:u w:val="single"/>
          </w:rPr>
          <w:t>https://doi.org/10.1111/jgh.13703</w:t>
        </w:r>
      </w:hyperlink>
    </w:p>
    <w:p w14:paraId="09B0FCDB" w14:textId="1F67160C"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proofErr w:type="spellStart"/>
      <w:r w:rsidRPr="00833961">
        <w:rPr>
          <w:rFonts w:ascii="Times New Roman" w:eastAsia="Times New Roman" w:hAnsi="Times New Roman" w:cs="Times New Roman"/>
          <w:sz w:val="24"/>
          <w:szCs w:val="24"/>
        </w:rPr>
        <w:t>Emojorho</w:t>
      </w:r>
      <w:proofErr w:type="spellEnd"/>
      <w:r w:rsidRPr="00833961">
        <w:rPr>
          <w:rFonts w:ascii="Times New Roman" w:eastAsia="Times New Roman" w:hAnsi="Times New Roman" w:cs="Times New Roman"/>
          <w:sz w:val="24"/>
          <w:szCs w:val="24"/>
        </w:rPr>
        <w:t xml:space="preserve">, E. E., </w:t>
      </w:r>
      <w:proofErr w:type="spellStart"/>
      <w:r w:rsidRPr="00833961">
        <w:rPr>
          <w:rFonts w:ascii="Times New Roman" w:eastAsia="Times New Roman" w:hAnsi="Times New Roman" w:cs="Times New Roman"/>
          <w:sz w:val="24"/>
          <w:szCs w:val="24"/>
        </w:rPr>
        <w:t>Adinkwu</w:t>
      </w:r>
      <w:proofErr w:type="spellEnd"/>
      <w:r w:rsidRPr="00833961">
        <w:rPr>
          <w:rFonts w:ascii="Times New Roman" w:eastAsia="Times New Roman" w:hAnsi="Times New Roman" w:cs="Times New Roman"/>
          <w:sz w:val="24"/>
          <w:szCs w:val="24"/>
        </w:rPr>
        <w:t xml:space="preserve">, O. M., </w:t>
      </w:r>
      <w:proofErr w:type="spellStart"/>
      <w:r w:rsidRPr="00833961">
        <w:rPr>
          <w:rFonts w:ascii="Times New Roman" w:eastAsia="Times New Roman" w:hAnsi="Times New Roman" w:cs="Times New Roman"/>
          <w:sz w:val="24"/>
          <w:szCs w:val="24"/>
        </w:rPr>
        <w:t>Obetta</w:t>
      </w:r>
      <w:proofErr w:type="spellEnd"/>
      <w:r w:rsidRPr="00833961">
        <w:rPr>
          <w:rFonts w:ascii="Times New Roman" w:eastAsia="Times New Roman" w:hAnsi="Times New Roman" w:cs="Times New Roman"/>
          <w:sz w:val="24"/>
          <w:szCs w:val="24"/>
        </w:rPr>
        <w:t xml:space="preserve">, R. N., </w:t>
      </w:r>
      <w:proofErr w:type="spellStart"/>
      <w:r w:rsidRPr="00833961">
        <w:rPr>
          <w:rFonts w:ascii="Times New Roman" w:eastAsia="Times New Roman" w:hAnsi="Times New Roman" w:cs="Times New Roman"/>
          <w:sz w:val="24"/>
          <w:szCs w:val="24"/>
        </w:rPr>
        <w:t>Oboreh</w:t>
      </w:r>
      <w:proofErr w:type="spellEnd"/>
      <w:r w:rsidRPr="00833961">
        <w:rPr>
          <w:rFonts w:ascii="Times New Roman" w:eastAsia="Times New Roman" w:hAnsi="Times New Roman" w:cs="Times New Roman"/>
          <w:sz w:val="24"/>
          <w:szCs w:val="24"/>
        </w:rPr>
        <w:t xml:space="preserve">, O. J., Taiga, A., </w:t>
      </w:r>
      <w:proofErr w:type="spellStart"/>
      <w:r w:rsidRPr="00833961">
        <w:rPr>
          <w:rFonts w:ascii="Times New Roman" w:eastAsia="Times New Roman" w:hAnsi="Times New Roman" w:cs="Times New Roman"/>
          <w:sz w:val="24"/>
          <w:szCs w:val="24"/>
        </w:rPr>
        <w:t>Ogboli</w:t>
      </w:r>
      <w:proofErr w:type="spellEnd"/>
      <w:r w:rsidRPr="00833961">
        <w:rPr>
          <w:rFonts w:ascii="Times New Roman" w:eastAsia="Times New Roman" w:hAnsi="Times New Roman" w:cs="Times New Roman"/>
          <w:sz w:val="24"/>
          <w:szCs w:val="24"/>
        </w:rPr>
        <w:t xml:space="preserve">, C. C., &amp; </w:t>
      </w:r>
      <w:proofErr w:type="spellStart"/>
      <w:r w:rsidRPr="00833961">
        <w:rPr>
          <w:rFonts w:ascii="Times New Roman" w:eastAsia="Times New Roman" w:hAnsi="Times New Roman" w:cs="Times New Roman"/>
          <w:sz w:val="24"/>
          <w:szCs w:val="24"/>
        </w:rPr>
        <w:t>Ayomavoro</w:t>
      </w:r>
      <w:proofErr w:type="spellEnd"/>
      <w:r w:rsidRPr="00833961">
        <w:rPr>
          <w:rFonts w:ascii="Times New Roman" w:eastAsia="Times New Roman" w:hAnsi="Times New Roman" w:cs="Times New Roman"/>
          <w:sz w:val="24"/>
          <w:szCs w:val="24"/>
        </w:rPr>
        <w:t xml:space="preserve">, F. (2025). Development of nutrient-dense biscuits from sorghum and </w:t>
      </w:r>
      <w:proofErr w:type="spellStart"/>
      <w:r w:rsidRPr="00833961">
        <w:rPr>
          <w:rFonts w:ascii="Times New Roman" w:eastAsia="Times New Roman" w:hAnsi="Times New Roman" w:cs="Times New Roman"/>
          <w:sz w:val="24"/>
          <w:szCs w:val="24"/>
        </w:rPr>
        <w:t>bambara</w:t>
      </w:r>
      <w:proofErr w:type="spellEnd"/>
      <w:r w:rsidRPr="00833961">
        <w:rPr>
          <w:rFonts w:ascii="Times New Roman" w:eastAsia="Times New Roman" w:hAnsi="Times New Roman" w:cs="Times New Roman"/>
          <w:sz w:val="24"/>
          <w:szCs w:val="24"/>
        </w:rPr>
        <w:t xml:space="preserve"> groundnut flour. </w:t>
      </w:r>
      <w:r w:rsidRPr="00833961">
        <w:rPr>
          <w:rFonts w:ascii="Times New Roman" w:eastAsia="Times New Roman" w:hAnsi="Times New Roman" w:cs="Times New Roman"/>
          <w:i/>
          <w:iCs/>
          <w:sz w:val="24"/>
          <w:szCs w:val="24"/>
        </w:rPr>
        <w:t>Asian Journal of Applied Chemistry Research, 16</w:t>
      </w:r>
      <w:r w:rsidRPr="00833961">
        <w:rPr>
          <w:rFonts w:ascii="Times New Roman" w:eastAsia="Times New Roman" w:hAnsi="Times New Roman" w:cs="Times New Roman"/>
          <w:sz w:val="24"/>
          <w:szCs w:val="24"/>
        </w:rPr>
        <w:t xml:space="preserve">(4), 68–77. </w:t>
      </w:r>
      <w:hyperlink r:id="rId14" w:history="1">
        <w:r w:rsidRPr="00833961">
          <w:rPr>
            <w:rFonts w:ascii="Times New Roman" w:eastAsia="Times New Roman" w:hAnsi="Times New Roman" w:cs="Times New Roman"/>
            <w:color w:val="0000FF"/>
            <w:sz w:val="24"/>
            <w:szCs w:val="24"/>
            <w:u w:val="single"/>
          </w:rPr>
          <w:t>https://doi.org/10.9734/ajacr/2025/v16i4356</w:t>
        </w:r>
      </w:hyperlink>
    </w:p>
    <w:p w14:paraId="65E1203E" w14:textId="656B01A1"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proofErr w:type="spellStart"/>
      <w:r w:rsidRPr="00833961">
        <w:rPr>
          <w:rFonts w:ascii="Times New Roman" w:eastAsia="Times New Roman" w:hAnsi="Times New Roman" w:cs="Times New Roman"/>
          <w:sz w:val="24"/>
          <w:szCs w:val="24"/>
        </w:rPr>
        <w:t>Emojorho</w:t>
      </w:r>
      <w:proofErr w:type="spellEnd"/>
      <w:r w:rsidRPr="00833961">
        <w:rPr>
          <w:rFonts w:ascii="Times New Roman" w:eastAsia="Times New Roman" w:hAnsi="Times New Roman" w:cs="Times New Roman"/>
          <w:sz w:val="24"/>
          <w:szCs w:val="24"/>
        </w:rPr>
        <w:t xml:space="preserve">, E. E., Anene, M. N., &amp; Chiedu, U. C. (2023). Minerals, vitamins and anti-nutritional properties of biscuits produced from defatted and </w:t>
      </w:r>
      <w:proofErr w:type="spellStart"/>
      <w:r w:rsidRPr="00833961">
        <w:rPr>
          <w:rFonts w:ascii="Times New Roman" w:eastAsia="Times New Roman" w:hAnsi="Times New Roman" w:cs="Times New Roman"/>
          <w:sz w:val="24"/>
          <w:szCs w:val="24"/>
        </w:rPr>
        <w:t>undefatted</w:t>
      </w:r>
      <w:proofErr w:type="spellEnd"/>
      <w:r w:rsidRPr="00833961">
        <w:rPr>
          <w:rFonts w:ascii="Times New Roman" w:eastAsia="Times New Roman" w:hAnsi="Times New Roman" w:cs="Times New Roman"/>
          <w:sz w:val="24"/>
          <w:szCs w:val="24"/>
        </w:rPr>
        <w:t xml:space="preserve"> debittered orange seed flours. </w:t>
      </w:r>
      <w:r w:rsidRPr="00833961">
        <w:rPr>
          <w:rFonts w:ascii="Times New Roman" w:eastAsia="Times New Roman" w:hAnsi="Times New Roman" w:cs="Times New Roman"/>
          <w:i/>
          <w:iCs/>
          <w:sz w:val="24"/>
          <w:szCs w:val="24"/>
        </w:rPr>
        <w:t>American Journal of Food Sciences and Nutrition, 5</w:t>
      </w:r>
      <w:r w:rsidRPr="00833961">
        <w:rPr>
          <w:rFonts w:ascii="Times New Roman" w:eastAsia="Times New Roman" w:hAnsi="Times New Roman" w:cs="Times New Roman"/>
          <w:sz w:val="24"/>
          <w:szCs w:val="24"/>
        </w:rPr>
        <w:t xml:space="preserve">(2), 67–82. </w:t>
      </w:r>
      <w:hyperlink r:id="rId15" w:history="1">
        <w:r w:rsidRPr="00833961">
          <w:rPr>
            <w:rFonts w:ascii="Times New Roman" w:eastAsia="Times New Roman" w:hAnsi="Times New Roman" w:cs="Times New Roman"/>
            <w:color w:val="0000FF"/>
            <w:sz w:val="24"/>
            <w:szCs w:val="24"/>
            <w:u w:val="single"/>
          </w:rPr>
          <w:t>https://doi.org/10.47672/ajfsn.1694</w:t>
        </w:r>
      </w:hyperlink>
    </w:p>
    <w:p w14:paraId="089EDDB1" w14:textId="25E31D25"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r w:rsidRPr="00833961">
        <w:rPr>
          <w:rFonts w:ascii="Times New Roman" w:eastAsia="Times New Roman" w:hAnsi="Times New Roman" w:cs="Times New Roman"/>
          <w:sz w:val="24"/>
          <w:szCs w:val="24"/>
        </w:rPr>
        <w:t xml:space="preserve">Food and Agriculture Organization of the United Nations. (2022). </w:t>
      </w:r>
      <w:r w:rsidRPr="00833961">
        <w:rPr>
          <w:rFonts w:ascii="Times New Roman" w:eastAsia="Times New Roman" w:hAnsi="Times New Roman" w:cs="Times New Roman"/>
          <w:i/>
          <w:iCs/>
          <w:sz w:val="24"/>
          <w:szCs w:val="24"/>
        </w:rPr>
        <w:t>The state of food and agriculture 2022: Leveraging agricultural automation for transforming agrifood systems</w:t>
      </w:r>
      <w:r w:rsidRPr="00833961">
        <w:rPr>
          <w:rFonts w:ascii="Times New Roman" w:eastAsia="Times New Roman" w:hAnsi="Times New Roman" w:cs="Times New Roman"/>
          <w:sz w:val="24"/>
          <w:szCs w:val="24"/>
        </w:rPr>
        <w:t xml:space="preserve">. </w:t>
      </w:r>
      <w:hyperlink r:id="rId16" w:history="1">
        <w:r w:rsidRPr="00833961">
          <w:rPr>
            <w:rFonts w:ascii="Times New Roman" w:eastAsia="Times New Roman" w:hAnsi="Times New Roman" w:cs="Times New Roman"/>
            <w:color w:val="0000FF"/>
            <w:sz w:val="24"/>
            <w:szCs w:val="24"/>
            <w:u w:val="single"/>
          </w:rPr>
          <w:t>https://doi.org/10.4060/cb9479en</w:t>
        </w:r>
      </w:hyperlink>
    </w:p>
    <w:p w14:paraId="51AB89BE" w14:textId="70620142"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r w:rsidRPr="00833961">
        <w:rPr>
          <w:rFonts w:ascii="Times New Roman" w:eastAsia="Times New Roman" w:hAnsi="Times New Roman" w:cs="Times New Roman"/>
          <w:sz w:val="24"/>
          <w:szCs w:val="24"/>
        </w:rPr>
        <w:t>Hein, P. P., Khaing, K. K., Khaing, A. A., Yee, T. W., &amp; Lin, M. (2025). Proximate composition and anti-nutritional factor of different sorghum (</w:t>
      </w:r>
      <w:r w:rsidRPr="00833961">
        <w:rPr>
          <w:rFonts w:ascii="Times New Roman" w:eastAsia="Times New Roman" w:hAnsi="Times New Roman" w:cs="Times New Roman"/>
          <w:i/>
          <w:iCs/>
          <w:sz w:val="24"/>
          <w:szCs w:val="24"/>
        </w:rPr>
        <w:t>Sorghum bicolor</w:t>
      </w:r>
      <w:r w:rsidRPr="00833961">
        <w:rPr>
          <w:rFonts w:ascii="Times New Roman" w:eastAsia="Times New Roman" w:hAnsi="Times New Roman" w:cs="Times New Roman"/>
          <w:sz w:val="24"/>
          <w:szCs w:val="24"/>
        </w:rPr>
        <w:t xml:space="preserve"> L. Moench) varieties. </w:t>
      </w:r>
      <w:r w:rsidRPr="00833961">
        <w:rPr>
          <w:rFonts w:ascii="Times New Roman" w:eastAsia="Times New Roman" w:hAnsi="Times New Roman" w:cs="Times New Roman"/>
          <w:i/>
          <w:iCs/>
          <w:sz w:val="24"/>
          <w:szCs w:val="24"/>
        </w:rPr>
        <w:t>Asian Research Journal of Current Science, 7</w:t>
      </w:r>
      <w:r w:rsidRPr="00833961">
        <w:rPr>
          <w:rFonts w:ascii="Times New Roman" w:eastAsia="Times New Roman" w:hAnsi="Times New Roman" w:cs="Times New Roman"/>
          <w:sz w:val="24"/>
          <w:szCs w:val="24"/>
        </w:rPr>
        <w:t xml:space="preserve">(1), 210–219. </w:t>
      </w:r>
      <w:hyperlink r:id="rId17" w:history="1">
        <w:r w:rsidRPr="00833961">
          <w:rPr>
            <w:rFonts w:ascii="Times New Roman" w:eastAsia="Times New Roman" w:hAnsi="Times New Roman" w:cs="Times New Roman"/>
            <w:color w:val="0000FF"/>
            <w:sz w:val="24"/>
            <w:szCs w:val="24"/>
            <w:u w:val="single"/>
          </w:rPr>
          <w:t>https://doi.org/10.56557/arjocs/2025/v7i1144</w:t>
        </w:r>
      </w:hyperlink>
    </w:p>
    <w:p w14:paraId="3CD031F0" w14:textId="4F59CA7F"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proofErr w:type="spellStart"/>
      <w:r w:rsidRPr="00833961">
        <w:rPr>
          <w:rFonts w:ascii="Times New Roman" w:eastAsia="Times New Roman" w:hAnsi="Times New Roman" w:cs="Times New Roman"/>
          <w:sz w:val="24"/>
          <w:szCs w:val="24"/>
        </w:rPr>
        <w:t>Ihedinachi</w:t>
      </w:r>
      <w:proofErr w:type="spellEnd"/>
      <w:r w:rsidRPr="00833961">
        <w:rPr>
          <w:rFonts w:ascii="Times New Roman" w:eastAsia="Times New Roman" w:hAnsi="Times New Roman" w:cs="Times New Roman"/>
          <w:sz w:val="24"/>
          <w:szCs w:val="24"/>
        </w:rPr>
        <w:t xml:space="preserve">, O. A., Udeh, C. C., </w:t>
      </w:r>
      <w:proofErr w:type="spellStart"/>
      <w:r w:rsidRPr="00833961">
        <w:rPr>
          <w:rFonts w:ascii="Times New Roman" w:eastAsia="Times New Roman" w:hAnsi="Times New Roman" w:cs="Times New Roman"/>
          <w:sz w:val="24"/>
          <w:szCs w:val="24"/>
        </w:rPr>
        <w:t>Emojorho</w:t>
      </w:r>
      <w:proofErr w:type="spellEnd"/>
      <w:r w:rsidRPr="00833961">
        <w:rPr>
          <w:rFonts w:ascii="Times New Roman" w:eastAsia="Times New Roman" w:hAnsi="Times New Roman" w:cs="Times New Roman"/>
          <w:sz w:val="24"/>
          <w:szCs w:val="24"/>
        </w:rPr>
        <w:t xml:space="preserve">, E. E., </w:t>
      </w:r>
      <w:proofErr w:type="spellStart"/>
      <w:r w:rsidRPr="00833961">
        <w:rPr>
          <w:rFonts w:ascii="Times New Roman" w:eastAsia="Times New Roman" w:hAnsi="Times New Roman" w:cs="Times New Roman"/>
          <w:sz w:val="24"/>
          <w:szCs w:val="24"/>
        </w:rPr>
        <w:t>Amonyeze</w:t>
      </w:r>
      <w:proofErr w:type="spellEnd"/>
      <w:r w:rsidRPr="00833961">
        <w:rPr>
          <w:rFonts w:ascii="Times New Roman" w:eastAsia="Times New Roman" w:hAnsi="Times New Roman" w:cs="Times New Roman"/>
          <w:sz w:val="24"/>
          <w:szCs w:val="24"/>
        </w:rPr>
        <w:t xml:space="preserve">, A. O., </w:t>
      </w:r>
      <w:proofErr w:type="spellStart"/>
      <w:r w:rsidRPr="00833961">
        <w:rPr>
          <w:rFonts w:ascii="Times New Roman" w:eastAsia="Times New Roman" w:hAnsi="Times New Roman" w:cs="Times New Roman"/>
          <w:sz w:val="24"/>
          <w:szCs w:val="24"/>
        </w:rPr>
        <w:t>Nwaorgu</w:t>
      </w:r>
      <w:proofErr w:type="spellEnd"/>
      <w:r w:rsidRPr="00833961">
        <w:rPr>
          <w:rFonts w:ascii="Times New Roman" w:eastAsia="Times New Roman" w:hAnsi="Times New Roman" w:cs="Times New Roman"/>
          <w:sz w:val="24"/>
          <w:szCs w:val="24"/>
        </w:rPr>
        <w:t xml:space="preserve">, S. I., &amp; </w:t>
      </w:r>
      <w:proofErr w:type="spellStart"/>
      <w:r w:rsidRPr="00833961">
        <w:rPr>
          <w:rFonts w:ascii="Times New Roman" w:eastAsia="Times New Roman" w:hAnsi="Times New Roman" w:cs="Times New Roman"/>
          <w:sz w:val="24"/>
          <w:szCs w:val="24"/>
        </w:rPr>
        <w:t>Aniemena</w:t>
      </w:r>
      <w:proofErr w:type="spellEnd"/>
      <w:r w:rsidRPr="00833961">
        <w:rPr>
          <w:rFonts w:ascii="Times New Roman" w:eastAsia="Times New Roman" w:hAnsi="Times New Roman" w:cs="Times New Roman"/>
          <w:sz w:val="24"/>
          <w:szCs w:val="24"/>
        </w:rPr>
        <w:t xml:space="preserve">, C. C. (2025). Evaluation of nutritional qualities of complementary food produce from malted rice, soybean and pumpkin pulp flour. </w:t>
      </w:r>
      <w:r w:rsidRPr="00833961">
        <w:rPr>
          <w:rFonts w:ascii="Times New Roman" w:eastAsia="Times New Roman" w:hAnsi="Times New Roman" w:cs="Times New Roman"/>
          <w:i/>
          <w:iCs/>
          <w:sz w:val="24"/>
          <w:szCs w:val="24"/>
        </w:rPr>
        <w:t>Food Chemistry Advances, 6</w:t>
      </w:r>
      <w:r w:rsidRPr="00833961">
        <w:rPr>
          <w:rFonts w:ascii="Times New Roman" w:eastAsia="Times New Roman" w:hAnsi="Times New Roman" w:cs="Times New Roman"/>
          <w:sz w:val="24"/>
          <w:szCs w:val="24"/>
        </w:rPr>
        <w:t xml:space="preserve">, Article 100863. </w:t>
      </w:r>
      <w:hyperlink r:id="rId18" w:history="1">
        <w:r w:rsidRPr="00833961">
          <w:rPr>
            <w:rFonts w:ascii="Times New Roman" w:eastAsia="Times New Roman" w:hAnsi="Times New Roman" w:cs="Times New Roman"/>
            <w:color w:val="0000FF"/>
            <w:sz w:val="24"/>
            <w:szCs w:val="24"/>
            <w:u w:val="single"/>
          </w:rPr>
          <w:t>https://doi.org/10.1016/j.focha.2024.100863</w:t>
        </w:r>
      </w:hyperlink>
    </w:p>
    <w:p w14:paraId="1A189DF4" w14:textId="42330F15"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proofErr w:type="spellStart"/>
      <w:r w:rsidRPr="00833961">
        <w:rPr>
          <w:rFonts w:ascii="Times New Roman" w:eastAsia="Times New Roman" w:hAnsi="Times New Roman" w:cs="Times New Roman"/>
          <w:sz w:val="24"/>
          <w:szCs w:val="24"/>
        </w:rPr>
        <w:t>Ityotagher</w:t>
      </w:r>
      <w:proofErr w:type="spellEnd"/>
      <w:r w:rsidRPr="00833961">
        <w:rPr>
          <w:rFonts w:ascii="Times New Roman" w:eastAsia="Times New Roman" w:hAnsi="Times New Roman" w:cs="Times New Roman"/>
          <w:sz w:val="24"/>
          <w:szCs w:val="24"/>
        </w:rPr>
        <w:t xml:space="preserve">, A. P., Stephen, Y. T., &amp; </w:t>
      </w:r>
      <w:proofErr w:type="spellStart"/>
      <w:r w:rsidRPr="00833961">
        <w:rPr>
          <w:rFonts w:ascii="Times New Roman" w:eastAsia="Times New Roman" w:hAnsi="Times New Roman" w:cs="Times New Roman"/>
          <w:sz w:val="24"/>
          <w:szCs w:val="24"/>
        </w:rPr>
        <w:t>Seember</w:t>
      </w:r>
      <w:proofErr w:type="spellEnd"/>
      <w:r w:rsidRPr="00833961">
        <w:rPr>
          <w:rFonts w:ascii="Times New Roman" w:eastAsia="Times New Roman" w:hAnsi="Times New Roman" w:cs="Times New Roman"/>
          <w:sz w:val="24"/>
          <w:szCs w:val="24"/>
        </w:rPr>
        <w:t xml:space="preserve">, I. J. (2022). Proximate composition and sensory properties of fermented sorghum and full-fat soy flour blends for </w:t>
      </w:r>
      <w:proofErr w:type="spellStart"/>
      <w:r w:rsidRPr="00833961">
        <w:rPr>
          <w:rFonts w:ascii="Times New Roman" w:eastAsia="Times New Roman" w:hAnsi="Times New Roman" w:cs="Times New Roman"/>
          <w:sz w:val="24"/>
          <w:szCs w:val="24"/>
        </w:rPr>
        <w:t>ogi</w:t>
      </w:r>
      <w:proofErr w:type="spellEnd"/>
      <w:r w:rsidRPr="00833961">
        <w:rPr>
          <w:rFonts w:ascii="Times New Roman" w:eastAsia="Times New Roman" w:hAnsi="Times New Roman" w:cs="Times New Roman"/>
          <w:sz w:val="24"/>
          <w:szCs w:val="24"/>
        </w:rPr>
        <w:t xml:space="preserve"> production. </w:t>
      </w:r>
      <w:r w:rsidRPr="00833961">
        <w:rPr>
          <w:rFonts w:ascii="Times New Roman" w:eastAsia="Times New Roman" w:hAnsi="Times New Roman" w:cs="Times New Roman"/>
          <w:i/>
          <w:iCs/>
          <w:sz w:val="24"/>
          <w:szCs w:val="24"/>
        </w:rPr>
        <w:t>African Journal of Food Science and Technology, 13</w:t>
      </w:r>
      <w:r w:rsidRPr="00833961">
        <w:rPr>
          <w:rFonts w:ascii="Times New Roman" w:eastAsia="Times New Roman" w:hAnsi="Times New Roman" w:cs="Times New Roman"/>
          <w:sz w:val="24"/>
          <w:szCs w:val="24"/>
        </w:rPr>
        <w:t xml:space="preserve">(9), 1–4. </w:t>
      </w:r>
      <w:hyperlink r:id="rId19" w:history="1">
        <w:r w:rsidRPr="00833961">
          <w:rPr>
            <w:rFonts w:ascii="Times New Roman" w:eastAsia="Times New Roman" w:hAnsi="Times New Roman" w:cs="Times New Roman"/>
            <w:color w:val="0000FF"/>
            <w:sz w:val="24"/>
            <w:szCs w:val="24"/>
            <w:u w:val="single"/>
          </w:rPr>
          <w:t>https://doi.org/10.14303/ajfst.2022.041</w:t>
        </w:r>
      </w:hyperlink>
    </w:p>
    <w:p w14:paraId="3D706458" w14:textId="56A73AB5"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r w:rsidRPr="00833961">
        <w:rPr>
          <w:rFonts w:ascii="Times New Roman" w:eastAsia="Times New Roman" w:hAnsi="Times New Roman" w:cs="Times New Roman"/>
          <w:sz w:val="24"/>
          <w:szCs w:val="24"/>
        </w:rPr>
        <w:t xml:space="preserve">Marco, M. L., Sanders, M. E., </w:t>
      </w:r>
      <w:proofErr w:type="spellStart"/>
      <w:r w:rsidRPr="00833961">
        <w:rPr>
          <w:rFonts w:ascii="Times New Roman" w:eastAsia="Times New Roman" w:hAnsi="Times New Roman" w:cs="Times New Roman"/>
          <w:sz w:val="24"/>
          <w:szCs w:val="24"/>
        </w:rPr>
        <w:t>Gänzle</w:t>
      </w:r>
      <w:proofErr w:type="spellEnd"/>
      <w:r w:rsidRPr="00833961">
        <w:rPr>
          <w:rFonts w:ascii="Times New Roman" w:eastAsia="Times New Roman" w:hAnsi="Times New Roman" w:cs="Times New Roman"/>
          <w:sz w:val="24"/>
          <w:szCs w:val="24"/>
        </w:rPr>
        <w:t xml:space="preserve">, M., Arrieta, M. C., Cotter, P. D., De Vuyst, L., Hill, C., Holzapfel, W., </w:t>
      </w:r>
      <w:proofErr w:type="spellStart"/>
      <w:r w:rsidRPr="00833961">
        <w:rPr>
          <w:rFonts w:ascii="Times New Roman" w:eastAsia="Times New Roman" w:hAnsi="Times New Roman" w:cs="Times New Roman"/>
          <w:sz w:val="24"/>
          <w:szCs w:val="24"/>
        </w:rPr>
        <w:t>Lebeer</w:t>
      </w:r>
      <w:proofErr w:type="spellEnd"/>
      <w:r w:rsidRPr="00833961">
        <w:rPr>
          <w:rFonts w:ascii="Times New Roman" w:eastAsia="Times New Roman" w:hAnsi="Times New Roman" w:cs="Times New Roman"/>
          <w:sz w:val="24"/>
          <w:szCs w:val="24"/>
        </w:rPr>
        <w:t xml:space="preserve">, S., Merenstein, D., Reid, G., Wolfe, B. E., &amp; </w:t>
      </w:r>
      <w:proofErr w:type="spellStart"/>
      <w:r w:rsidRPr="00833961">
        <w:rPr>
          <w:rFonts w:ascii="Times New Roman" w:eastAsia="Times New Roman" w:hAnsi="Times New Roman" w:cs="Times New Roman"/>
          <w:sz w:val="24"/>
          <w:szCs w:val="24"/>
        </w:rPr>
        <w:t>Hutkins</w:t>
      </w:r>
      <w:proofErr w:type="spellEnd"/>
      <w:r w:rsidRPr="00833961">
        <w:rPr>
          <w:rFonts w:ascii="Times New Roman" w:eastAsia="Times New Roman" w:hAnsi="Times New Roman" w:cs="Times New Roman"/>
          <w:sz w:val="24"/>
          <w:szCs w:val="24"/>
        </w:rPr>
        <w:t xml:space="preserve">, R. (2021). The International Scientific Association for Probiotics and Prebiotics (ISAPP) consensus statement on fermented foods. </w:t>
      </w:r>
      <w:r w:rsidRPr="00833961">
        <w:rPr>
          <w:rFonts w:ascii="Times New Roman" w:eastAsia="Times New Roman" w:hAnsi="Times New Roman" w:cs="Times New Roman"/>
          <w:i/>
          <w:iCs/>
          <w:sz w:val="24"/>
          <w:szCs w:val="24"/>
        </w:rPr>
        <w:t>Nature Reviews Gastroenterology &amp; Hepatology, 18</w:t>
      </w:r>
      <w:r w:rsidRPr="00833961">
        <w:rPr>
          <w:rFonts w:ascii="Times New Roman" w:eastAsia="Times New Roman" w:hAnsi="Times New Roman" w:cs="Times New Roman"/>
          <w:sz w:val="24"/>
          <w:szCs w:val="24"/>
        </w:rPr>
        <w:t xml:space="preserve">(3), 196–208. </w:t>
      </w:r>
      <w:hyperlink r:id="rId20" w:history="1">
        <w:r w:rsidRPr="00833961">
          <w:rPr>
            <w:rFonts w:ascii="Times New Roman" w:eastAsia="Times New Roman" w:hAnsi="Times New Roman" w:cs="Times New Roman"/>
            <w:color w:val="0000FF"/>
            <w:sz w:val="24"/>
            <w:szCs w:val="24"/>
            <w:u w:val="single"/>
          </w:rPr>
          <w:t>https://doi.org/10.1038/s41575-020-00390-5</w:t>
        </w:r>
      </w:hyperlink>
    </w:p>
    <w:p w14:paraId="1BC6617B" w14:textId="1A0DC79B"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r w:rsidRPr="00833961">
        <w:rPr>
          <w:rFonts w:ascii="Times New Roman" w:eastAsia="Times New Roman" w:hAnsi="Times New Roman" w:cs="Times New Roman"/>
          <w:sz w:val="24"/>
          <w:szCs w:val="24"/>
        </w:rPr>
        <w:t xml:space="preserve">Nkhata, S. G., </w:t>
      </w:r>
      <w:proofErr w:type="spellStart"/>
      <w:r w:rsidRPr="00833961">
        <w:rPr>
          <w:rFonts w:ascii="Times New Roman" w:eastAsia="Times New Roman" w:hAnsi="Times New Roman" w:cs="Times New Roman"/>
          <w:sz w:val="24"/>
          <w:szCs w:val="24"/>
        </w:rPr>
        <w:t>Ayua</w:t>
      </w:r>
      <w:proofErr w:type="spellEnd"/>
      <w:r w:rsidRPr="00833961">
        <w:rPr>
          <w:rFonts w:ascii="Times New Roman" w:eastAsia="Times New Roman" w:hAnsi="Times New Roman" w:cs="Times New Roman"/>
          <w:sz w:val="24"/>
          <w:szCs w:val="24"/>
        </w:rPr>
        <w:t xml:space="preserve">, E., Kamau, E. H., &amp; </w:t>
      </w:r>
      <w:proofErr w:type="spellStart"/>
      <w:r w:rsidRPr="00833961">
        <w:rPr>
          <w:rFonts w:ascii="Times New Roman" w:eastAsia="Times New Roman" w:hAnsi="Times New Roman" w:cs="Times New Roman"/>
          <w:sz w:val="24"/>
          <w:szCs w:val="24"/>
        </w:rPr>
        <w:t>Shingiro</w:t>
      </w:r>
      <w:proofErr w:type="spellEnd"/>
      <w:r w:rsidRPr="00833961">
        <w:rPr>
          <w:rFonts w:ascii="Times New Roman" w:eastAsia="Times New Roman" w:hAnsi="Times New Roman" w:cs="Times New Roman"/>
          <w:sz w:val="24"/>
          <w:szCs w:val="24"/>
        </w:rPr>
        <w:t xml:space="preserve">, J. B. (2018). Fermentation and germination improve nutritional value of cereals and legumes through activation of endogenous enzymes. </w:t>
      </w:r>
      <w:r w:rsidRPr="00833961">
        <w:rPr>
          <w:rFonts w:ascii="Times New Roman" w:eastAsia="Times New Roman" w:hAnsi="Times New Roman" w:cs="Times New Roman"/>
          <w:i/>
          <w:iCs/>
          <w:sz w:val="24"/>
          <w:szCs w:val="24"/>
        </w:rPr>
        <w:t>Food Science &amp; Nutrition, 6</w:t>
      </w:r>
      <w:r w:rsidRPr="00833961">
        <w:rPr>
          <w:rFonts w:ascii="Times New Roman" w:eastAsia="Times New Roman" w:hAnsi="Times New Roman" w:cs="Times New Roman"/>
          <w:sz w:val="24"/>
          <w:szCs w:val="24"/>
        </w:rPr>
        <w:t xml:space="preserve">(8), 2446–2458. </w:t>
      </w:r>
      <w:hyperlink r:id="rId21" w:history="1">
        <w:r w:rsidRPr="00833961">
          <w:rPr>
            <w:rFonts w:ascii="Times New Roman" w:eastAsia="Times New Roman" w:hAnsi="Times New Roman" w:cs="Times New Roman"/>
            <w:color w:val="0000FF"/>
            <w:sz w:val="24"/>
            <w:szCs w:val="24"/>
            <w:u w:val="single"/>
          </w:rPr>
          <w:t>https://doi.org/10.1002/fsn3.846</w:t>
        </w:r>
      </w:hyperlink>
    </w:p>
    <w:p w14:paraId="24967989" w14:textId="7798863D"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r w:rsidRPr="00833961">
        <w:rPr>
          <w:rFonts w:ascii="Times New Roman" w:eastAsia="Times New Roman" w:hAnsi="Times New Roman" w:cs="Times New Roman"/>
          <w:sz w:val="24"/>
          <w:szCs w:val="24"/>
        </w:rPr>
        <w:t xml:space="preserve">Olagunju, A. I., </w:t>
      </w:r>
      <w:proofErr w:type="spellStart"/>
      <w:r w:rsidRPr="00833961">
        <w:rPr>
          <w:rFonts w:ascii="Times New Roman" w:eastAsia="Times New Roman" w:hAnsi="Times New Roman" w:cs="Times New Roman"/>
          <w:sz w:val="24"/>
          <w:szCs w:val="24"/>
        </w:rPr>
        <w:t>Omoba</w:t>
      </w:r>
      <w:proofErr w:type="spellEnd"/>
      <w:r w:rsidRPr="00833961">
        <w:rPr>
          <w:rFonts w:ascii="Times New Roman" w:eastAsia="Times New Roman" w:hAnsi="Times New Roman" w:cs="Times New Roman"/>
          <w:sz w:val="24"/>
          <w:szCs w:val="24"/>
        </w:rPr>
        <w:t xml:space="preserve">, O. S., </w:t>
      </w:r>
      <w:proofErr w:type="spellStart"/>
      <w:r w:rsidRPr="00833961">
        <w:rPr>
          <w:rFonts w:ascii="Times New Roman" w:eastAsia="Times New Roman" w:hAnsi="Times New Roman" w:cs="Times New Roman"/>
          <w:sz w:val="24"/>
          <w:szCs w:val="24"/>
        </w:rPr>
        <w:t>Enujiugha</w:t>
      </w:r>
      <w:proofErr w:type="spellEnd"/>
      <w:r w:rsidRPr="00833961">
        <w:rPr>
          <w:rFonts w:ascii="Times New Roman" w:eastAsia="Times New Roman" w:hAnsi="Times New Roman" w:cs="Times New Roman"/>
          <w:sz w:val="24"/>
          <w:szCs w:val="24"/>
        </w:rPr>
        <w:t xml:space="preserve">, V. N., &amp; Aluko, R. E. (2018). Development of value-added nutritious crackers with high antidiabetic properties from blends of </w:t>
      </w:r>
      <w:proofErr w:type="spellStart"/>
      <w:r w:rsidRPr="00833961">
        <w:rPr>
          <w:rFonts w:ascii="Times New Roman" w:eastAsia="Times New Roman" w:hAnsi="Times New Roman" w:cs="Times New Roman"/>
          <w:sz w:val="24"/>
          <w:szCs w:val="24"/>
        </w:rPr>
        <w:t>acha</w:t>
      </w:r>
      <w:proofErr w:type="spellEnd"/>
      <w:r w:rsidRPr="00833961">
        <w:rPr>
          <w:rFonts w:ascii="Times New Roman" w:eastAsia="Times New Roman" w:hAnsi="Times New Roman" w:cs="Times New Roman"/>
          <w:sz w:val="24"/>
          <w:szCs w:val="24"/>
        </w:rPr>
        <w:t xml:space="preserve"> (</w:t>
      </w:r>
      <w:proofErr w:type="spellStart"/>
      <w:r w:rsidRPr="00833961">
        <w:rPr>
          <w:rFonts w:ascii="Times New Roman" w:eastAsia="Times New Roman" w:hAnsi="Times New Roman" w:cs="Times New Roman"/>
          <w:i/>
          <w:iCs/>
          <w:sz w:val="24"/>
          <w:szCs w:val="24"/>
        </w:rPr>
        <w:t>Digitaria</w:t>
      </w:r>
      <w:proofErr w:type="spellEnd"/>
      <w:r w:rsidRPr="00833961">
        <w:rPr>
          <w:rFonts w:ascii="Times New Roman" w:eastAsia="Times New Roman" w:hAnsi="Times New Roman" w:cs="Times New Roman"/>
          <w:i/>
          <w:iCs/>
          <w:sz w:val="24"/>
          <w:szCs w:val="24"/>
        </w:rPr>
        <w:t xml:space="preserve"> exilis</w:t>
      </w:r>
      <w:r w:rsidRPr="00833961">
        <w:rPr>
          <w:rFonts w:ascii="Times New Roman" w:eastAsia="Times New Roman" w:hAnsi="Times New Roman" w:cs="Times New Roman"/>
          <w:sz w:val="24"/>
          <w:szCs w:val="24"/>
        </w:rPr>
        <w:t>) and blanched pigeon pea (</w:t>
      </w:r>
      <w:r w:rsidRPr="00833961">
        <w:rPr>
          <w:rFonts w:ascii="Times New Roman" w:eastAsia="Times New Roman" w:hAnsi="Times New Roman" w:cs="Times New Roman"/>
          <w:i/>
          <w:iCs/>
          <w:sz w:val="24"/>
          <w:szCs w:val="24"/>
        </w:rPr>
        <w:t xml:space="preserve">Cajanus </w:t>
      </w:r>
      <w:proofErr w:type="spellStart"/>
      <w:r w:rsidRPr="00833961">
        <w:rPr>
          <w:rFonts w:ascii="Times New Roman" w:eastAsia="Times New Roman" w:hAnsi="Times New Roman" w:cs="Times New Roman"/>
          <w:i/>
          <w:iCs/>
          <w:sz w:val="24"/>
          <w:szCs w:val="24"/>
        </w:rPr>
        <w:t>cajan</w:t>
      </w:r>
      <w:proofErr w:type="spellEnd"/>
      <w:r w:rsidRPr="00833961">
        <w:rPr>
          <w:rFonts w:ascii="Times New Roman" w:eastAsia="Times New Roman" w:hAnsi="Times New Roman" w:cs="Times New Roman"/>
          <w:sz w:val="24"/>
          <w:szCs w:val="24"/>
        </w:rPr>
        <w:t xml:space="preserve">). </w:t>
      </w:r>
      <w:r w:rsidRPr="00833961">
        <w:rPr>
          <w:rFonts w:ascii="Times New Roman" w:eastAsia="Times New Roman" w:hAnsi="Times New Roman" w:cs="Times New Roman"/>
          <w:i/>
          <w:iCs/>
          <w:sz w:val="24"/>
          <w:szCs w:val="24"/>
        </w:rPr>
        <w:t>Food Science &amp; Nutrition, 6</w:t>
      </w:r>
      <w:r w:rsidRPr="00833961">
        <w:rPr>
          <w:rFonts w:ascii="Times New Roman" w:eastAsia="Times New Roman" w:hAnsi="Times New Roman" w:cs="Times New Roman"/>
          <w:sz w:val="24"/>
          <w:szCs w:val="24"/>
        </w:rPr>
        <w:t xml:space="preserve">(7), 1791–1802. </w:t>
      </w:r>
      <w:hyperlink r:id="rId22" w:history="1">
        <w:r w:rsidRPr="00833961">
          <w:rPr>
            <w:rFonts w:ascii="Times New Roman" w:eastAsia="Times New Roman" w:hAnsi="Times New Roman" w:cs="Times New Roman"/>
            <w:color w:val="0000FF"/>
            <w:sz w:val="24"/>
            <w:szCs w:val="24"/>
            <w:u w:val="single"/>
          </w:rPr>
          <w:t>https://doi.org/10.1002/fsn3.748</w:t>
        </w:r>
      </w:hyperlink>
    </w:p>
    <w:p w14:paraId="3BC14C0B" w14:textId="148D0E06"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r w:rsidRPr="00833961">
        <w:rPr>
          <w:rFonts w:ascii="Times New Roman" w:eastAsia="Times New Roman" w:hAnsi="Times New Roman" w:cs="Times New Roman"/>
          <w:sz w:val="24"/>
          <w:szCs w:val="24"/>
          <w:lang w:val="nl-BE"/>
        </w:rPr>
        <w:t xml:space="preserve">Olanipekun, B. F., Ilevbare, J. A., Oyelade, O. J., Adelakun, O. E., &amp; Olajire, A. S. (2021). </w:t>
      </w:r>
      <w:r w:rsidRPr="00833961">
        <w:rPr>
          <w:rFonts w:ascii="Times New Roman" w:eastAsia="Times New Roman" w:hAnsi="Times New Roman" w:cs="Times New Roman"/>
          <w:sz w:val="24"/>
          <w:szCs w:val="24"/>
        </w:rPr>
        <w:t>Experimental investigation of the functional and proximate properties of pigeon pea (</w:t>
      </w:r>
      <w:r w:rsidRPr="00833961">
        <w:rPr>
          <w:rFonts w:ascii="Times New Roman" w:eastAsia="Times New Roman" w:hAnsi="Times New Roman" w:cs="Times New Roman"/>
          <w:i/>
          <w:iCs/>
          <w:sz w:val="24"/>
          <w:szCs w:val="24"/>
        </w:rPr>
        <w:t xml:space="preserve">Cajanus </w:t>
      </w:r>
      <w:proofErr w:type="spellStart"/>
      <w:r w:rsidRPr="00833961">
        <w:rPr>
          <w:rFonts w:ascii="Times New Roman" w:eastAsia="Times New Roman" w:hAnsi="Times New Roman" w:cs="Times New Roman"/>
          <w:i/>
          <w:iCs/>
          <w:sz w:val="24"/>
          <w:szCs w:val="24"/>
        </w:rPr>
        <w:t>cajan</w:t>
      </w:r>
      <w:proofErr w:type="spellEnd"/>
      <w:r w:rsidRPr="00833961">
        <w:rPr>
          <w:rFonts w:ascii="Times New Roman" w:eastAsia="Times New Roman" w:hAnsi="Times New Roman" w:cs="Times New Roman"/>
          <w:sz w:val="24"/>
          <w:szCs w:val="24"/>
        </w:rPr>
        <w:t xml:space="preserve">) using fermentation process. </w:t>
      </w:r>
      <w:r w:rsidRPr="00833961">
        <w:rPr>
          <w:rFonts w:ascii="Times New Roman" w:eastAsia="Times New Roman" w:hAnsi="Times New Roman" w:cs="Times New Roman"/>
          <w:i/>
          <w:iCs/>
          <w:sz w:val="24"/>
          <w:szCs w:val="24"/>
        </w:rPr>
        <w:t>European Journal of Nutrition &amp; Food Safety, 13</w:t>
      </w:r>
      <w:r w:rsidRPr="00833961">
        <w:rPr>
          <w:rFonts w:ascii="Times New Roman" w:eastAsia="Times New Roman" w:hAnsi="Times New Roman" w:cs="Times New Roman"/>
          <w:sz w:val="24"/>
          <w:szCs w:val="24"/>
        </w:rPr>
        <w:t xml:space="preserve">(5), 45–52. </w:t>
      </w:r>
      <w:hyperlink r:id="rId23" w:history="1">
        <w:r w:rsidRPr="00833961">
          <w:rPr>
            <w:rFonts w:ascii="Times New Roman" w:eastAsia="Times New Roman" w:hAnsi="Times New Roman" w:cs="Times New Roman"/>
            <w:color w:val="0000FF"/>
            <w:sz w:val="24"/>
            <w:szCs w:val="24"/>
            <w:u w:val="single"/>
          </w:rPr>
          <w:t>https://doi.org/10.9734/ejnfs/2021/v13i530418</w:t>
        </w:r>
      </w:hyperlink>
    </w:p>
    <w:p w14:paraId="018F2295" w14:textId="7156B378"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r w:rsidRPr="00833961">
        <w:rPr>
          <w:rFonts w:ascii="Times New Roman" w:eastAsia="Times New Roman" w:hAnsi="Times New Roman" w:cs="Times New Roman"/>
          <w:sz w:val="24"/>
          <w:szCs w:val="24"/>
        </w:rPr>
        <w:lastRenderedPageBreak/>
        <w:t xml:space="preserve">Onuoha, L. N., </w:t>
      </w:r>
      <w:proofErr w:type="spellStart"/>
      <w:r w:rsidRPr="00833961">
        <w:rPr>
          <w:rFonts w:ascii="Times New Roman" w:eastAsia="Times New Roman" w:hAnsi="Times New Roman" w:cs="Times New Roman"/>
          <w:sz w:val="24"/>
          <w:szCs w:val="24"/>
        </w:rPr>
        <w:t>Emojorho</w:t>
      </w:r>
      <w:proofErr w:type="spellEnd"/>
      <w:r w:rsidRPr="00833961">
        <w:rPr>
          <w:rFonts w:ascii="Times New Roman" w:eastAsia="Times New Roman" w:hAnsi="Times New Roman" w:cs="Times New Roman"/>
          <w:sz w:val="24"/>
          <w:szCs w:val="24"/>
        </w:rPr>
        <w:t xml:space="preserve">, E. E., </w:t>
      </w:r>
      <w:proofErr w:type="spellStart"/>
      <w:r w:rsidRPr="00833961">
        <w:rPr>
          <w:rFonts w:ascii="Times New Roman" w:eastAsia="Times New Roman" w:hAnsi="Times New Roman" w:cs="Times New Roman"/>
          <w:sz w:val="24"/>
          <w:szCs w:val="24"/>
        </w:rPr>
        <w:t>Oboreh</w:t>
      </w:r>
      <w:proofErr w:type="spellEnd"/>
      <w:r w:rsidRPr="00833961">
        <w:rPr>
          <w:rFonts w:ascii="Times New Roman" w:eastAsia="Times New Roman" w:hAnsi="Times New Roman" w:cs="Times New Roman"/>
          <w:sz w:val="24"/>
          <w:szCs w:val="24"/>
        </w:rPr>
        <w:t xml:space="preserve">, O. J., </w:t>
      </w:r>
      <w:proofErr w:type="spellStart"/>
      <w:r w:rsidRPr="00833961">
        <w:rPr>
          <w:rFonts w:ascii="Times New Roman" w:eastAsia="Times New Roman" w:hAnsi="Times New Roman" w:cs="Times New Roman"/>
          <w:sz w:val="24"/>
          <w:szCs w:val="24"/>
        </w:rPr>
        <w:t>Obetta</w:t>
      </w:r>
      <w:proofErr w:type="spellEnd"/>
      <w:r w:rsidRPr="00833961">
        <w:rPr>
          <w:rFonts w:ascii="Times New Roman" w:eastAsia="Times New Roman" w:hAnsi="Times New Roman" w:cs="Times New Roman"/>
          <w:sz w:val="24"/>
          <w:szCs w:val="24"/>
        </w:rPr>
        <w:t xml:space="preserve">, R. N., </w:t>
      </w:r>
      <w:proofErr w:type="spellStart"/>
      <w:r w:rsidRPr="00833961">
        <w:rPr>
          <w:rFonts w:ascii="Times New Roman" w:eastAsia="Times New Roman" w:hAnsi="Times New Roman" w:cs="Times New Roman"/>
          <w:sz w:val="24"/>
          <w:szCs w:val="24"/>
        </w:rPr>
        <w:t>Adinkwu</w:t>
      </w:r>
      <w:proofErr w:type="spellEnd"/>
      <w:r w:rsidRPr="00833961">
        <w:rPr>
          <w:rFonts w:ascii="Times New Roman" w:eastAsia="Times New Roman" w:hAnsi="Times New Roman" w:cs="Times New Roman"/>
          <w:sz w:val="24"/>
          <w:szCs w:val="24"/>
        </w:rPr>
        <w:t xml:space="preserve">, O. M., Akubor, P., Ogboli, C. C., &amp; </w:t>
      </w:r>
      <w:proofErr w:type="spellStart"/>
      <w:r w:rsidRPr="00833961">
        <w:rPr>
          <w:rFonts w:ascii="Times New Roman" w:eastAsia="Times New Roman" w:hAnsi="Times New Roman" w:cs="Times New Roman"/>
          <w:sz w:val="24"/>
          <w:szCs w:val="24"/>
        </w:rPr>
        <w:t>Akinnuoye</w:t>
      </w:r>
      <w:proofErr w:type="spellEnd"/>
      <w:r w:rsidRPr="00833961">
        <w:rPr>
          <w:rFonts w:ascii="Times New Roman" w:eastAsia="Times New Roman" w:hAnsi="Times New Roman" w:cs="Times New Roman"/>
          <w:sz w:val="24"/>
          <w:szCs w:val="24"/>
        </w:rPr>
        <w:t xml:space="preserve">, V. M. (2025). Evaluation of nutritional and functional characteristics of biscuits enriched with groundnut-wheat composite flour. </w:t>
      </w:r>
      <w:r w:rsidRPr="00833961">
        <w:rPr>
          <w:rFonts w:ascii="Times New Roman" w:eastAsia="Times New Roman" w:hAnsi="Times New Roman" w:cs="Times New Roman"/>
          <w:i/>
          <w:iCs/>
          <w:sz w:val="24"/>
          <w:szCs w:val="24"/>
        </w:rPr>
        <w:t>International Journal of Advanced Multidisciplinary Research and Studies, 5</w:t>
      </w:r>
      <w:r w:rsidRPr="00833961">
        <w:rPr>
          <w:rFonts w:ascii="Times New Roman" w:eastAsia="Times New Roman" w:hAnsi="Times New Roman" w:cs="Times New Roman"/>
          <w:sz w:val="24"/>
          <w:szCs w:val="24"/>
        </w:rPr>
        <w:t xml:space="preserve">(5), 781–787. </w:t>
      </w:r>
      <w:hyperlink r:id="rId24" w:history="1">
        <w:r w:rsidRPr="00833961">
          <w:rPr>
            <w:rFonts w:ascii="Times New Roman" w:eastAsia="Times New Roman" w:hAnsi="Times New Roman" w:cs="Times New Roman"/>
            <w:color w:val="0000FF"/>
            <w:sz w:val="24"/>
            <w:szCs w:val="24"/>
            <w:u w:val="single"/>
          </w:rPr>
          <w:t>https://www.multiresearchjournal.com/arclist/list-2025.5.5/id-5006</w:t>
        </w:r>
      </w:hyperlink>
    </w:p>
    <w:p w14:paraId="6B2E66C6" w14:textId="20A2FDEC"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r w:rsidRPr="00833961">
        <w:rPr>
          <w:rFonts w:ascii="Times New Roman" w:eastAsia="Times New Roman" w:hAnsi="Times New Roman" w:cs="Times New Roman"/>
          <w:sz w:val="24"/>
          <w:szCs w:val="24"/>
          <w:lang w:val="nl-BE"/>
        </w:rPr>
        <w:t xml:space="preserve">Ratnavathi, C. V., &amp; Komala, V. V. (2016). </w:t>
      </w:r>
      <w:r w:rsidRPr="00833961">
        <w:rPr>
          <w:rFonts w:ascii="Times New Roman" w:eastAsia="Times New Roman" w:hAnsi="Times New Roman" w:cs="Times New Roman"/>
          <w:sz w:val="24"/>
          <w:szCs w:val="24"/>
        </w:rPr>
        <w:t xml:space="preserve">Sorghum grain quality. In C. V. Ratnavathi, J. V. Patil, &amp; U. D. Chavan (Eds.), </w:t>
      </w:r>
      <w:r w:rsidRPr="00833961">
        <w:rPr>
          <w:rFonts w:ascii="Times New Roman" w:eastAsia="Times New Roman" w:hAnsi="Times New Roman" w:cs="Times New Roman"/>
          <w:i/>
          <w:iCs/>
          <w:sz w:val="24"/>
          <w:szCs w:val="24"/>
        </w:rPr>
        <w:t>Sorghum biochemistry: An industrial perspective</w:t>
      </w:r>
      <w:r w:rsidRPr="00833961">
        <w:rPr>
          <w:rFonts w:ascii="Times New Roman" w:eastAsia="Times New Roman" w:hAnsi="Times New Roman" w:cs="Times New Roman"/>
          <w:sz w:val="24"/>
          <w:szCs w:val="24"/>
        </w:rPr>
        <w:t xml:space="preserve"> (pp. 1–61). Academic Press. </w:t>
      </w:r>
      <w:hyperlink r:id="rId25" w:history="1">
        <w:r w:rsidRPr="00833961">
          <w:rPr>
            <w:rFonts w:ascii="Times New Roman" w:eastAsia="Times New Roman" w:hAnsi="Times New Roman" w:cs="Times New Roman"/>
            <w:color w:val="0000FF"/>
            <w:sz w:val="24"/>
            <w:szCs w:val="24"/>
            <w:u w:val="single"/>
          </w:rPr>
          <w:t>https://doi.org/10.1016/B978-0-12-803157-5.00001-0</w:t>
        </w:r>
      </w:hyperlink>
    </w:p>
    <w:p w14:paraId="6E29A00E" w14:textId="02757D19"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r w:rsidRPr="00833961">
        <w:rPr>
          <w:rFonts w:ascii="Times New Roman" w:eastAsia="Times New Roman" w:hAnsi="Times New Roman" w:cs="Times New Roman"/>
          <w:sz w:val="24"/>
          <w:szCs w:val="24"/>
        </w:rPr>
        <w:t xml:space="preserve">Saxena, K. B., Kumar, R. V., &amp; Sultana, R. (2010). Quality nutrition through </w:t>
      </w:r>
      <w:proofErr w:type="spellStart"/>
      <w:r w:rsidRPr="00833961">
        <w:rPr>
          <w:rFonts w:ascii="Times New Roman" w:eastAsia="Times New Roman" w:hAnsi="Times New Roman" w:cs="Times New Roman"/>
          <w:sz w:val="24"/>
          <w:szCs w:val="24"/>
        </w:rPr>
        <w:t>pigeonpea</w:t>
      </w:r>
      <w:proofErr w:type="spellEnd"/>
      <w:r w:rsidRPr="00833961">
        <w:rPr>
          <w:rFonts w:ascii="Times New Roman" w:eastAsia="Times New Roman" w:hAnsi="Times New Roman" w:cs="Times New Roman"/>
          <w:sz w:val="24"/>
          <w:szCs w:val="24"/>
        </w:rPr>
        <w:t xml:space="preserve">: A review. </w:t>
      </w:r>
      <w:r w:rsidRPr="00833961">
        <w:rPr>
          <w:rFonts w:ascii="Times New Roman" w:eastAsia="Times New Roman" w:hAnsi="Times New Roman" w:cs="Times New Roman"/>
          <w:i/>
          <w:iCs/>
          <w:sz w:val="24"/>
          <w:szCs w:val="24"/>
        </w:rPr>
        <w:t>Health, 2</w:t>
      </w:r>
      <w:r w:rsidRPr="00833961">
        <w:rPr>
          <w:rFonts w:ascii="Times New Roman" w:eastAsia="Times New Roman" w:hAnsi="Times New Roman" w:cs="Times New Roman"/>
          <w:sz w:val="24"/>
          <w:szCs w:val="24"/>
        </w:rPr>
        <w:t xml:space="preserve">(11), 1335–1344. </w:t>
      </w:r>
      <w:hyperlink r:id="rId26" w:history="1">
        <w:r w:rsidRPr="00833961">
          <w:rPr>
            <w:rFonts w:ascii="Times New Roman" w:eastAsia="Times New Roman" w:hAnsi="Times New Roman" w:cs="Times New Roman"/>
            <w:color w:val="0000FF"/>
            <w:sz w:val="24"/>
            <w:szCs w:val="24"/>
            <w:u w:val="single"/>
          </w:rPr>
          <w:t>https://doi.org/10.4236/health.2010.211199</w:t>
        </w:r>
      </w:hyperlink>
    </w:p>
    <w:p w14:paraId="4DEE34A4" w14:textId="15AAD9A1"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proofErr w:type="spellStart"/>
      <w:r w:rsidRPr="00833961">
        <w:rPr>
          <w:rFonts w:ascii="Times New Roman" w:eastAsia="Times New Roman" w:hAnsi="Times New Roman" w:cs="Times New Roman"/>
          <w:sz w:val="24"/>
          <w:szCs w:val="24"/>
        </w:rPr>
        <w:t>Sobowale</w:t>
      </w:r>
      <w:proofErr w:type="spellEnd"/>
      <w:r w:rsidRPr="00833961">
        <w:rPr>
          <w:rFonts w:ascii="Times New Roman" w:eastAsia="Times New Roman" w:hAnsi="Times New Roman" w:cs="Times New Roman"/>
          <w:sz w:val="24"/>
          <w:szCs w:val="24"/>
        </w:rPr>
        <w:t xml:space="preserve">, S. S., </w:t>
      </w:r>
      <w:proofErr w:type="spellStart"/>
      <w:r w:rsidRPr="00833961">
        <w:rPr>
          <w:rFonts w:ascii="Times New Roman" w:eastAsia="Times New Roman" w:hAnsi="Times New Roman" w:cs="Times New Roman"/>
          <w:sz w:val="24"/>
          <w:szCs w:val="24"/>
        </w:rPr>
        <w:t>Otolowo</w:t>
      </w:r>
      <w:proofErr w:type="spellEnd"/>
      <w:r w:rsidRPr="00833961">
        <w:rPr>
          <w:rFonts w:ascii="Times New Roman" w:eastAsia="Times New Roman" w:hAnsi="Times New Roman" w:cs="Times New Roman"/>
          <w:sz w:val="24"/>
          <w:szCs w:val="24"/>
        </w:rPr>
        <w:t xml:space="preserve">, D. T., Kayode, O. T., &amp; </w:t>
      </w:r>
      <w:proofErr w:type="spellStart"/>
      <w:r w:rsidRPr="00833961">
        <w:rPr>
          <w:rFonts w:ascii="Times New Roman" w:eastAsia="Times New Roman" w:hAnsi="Times New Roman" w:cs="Times New Roman"/>
          <w:sz w:val="24"/>
          <w:szCs w:val="24"/>
        </w:rPr>
        <w:t>Agbawodike</w:t>
      </w:r>
      <w:proofErr w:type="spellEnd"/>
      <w:r w:rsidRPr="00833961">
        <w:rPr>
          <w:rFonts w:ascii="Times New Roman" w:eastAsia="Times New Roman" w:hAnsi="Times New Roman" w:cs="Times New Roman"/>
          <w:sz w:val="24"/>
          <w:szCs w:val="24"/>
        </w:rPr>
        <w:t xml:space="preserve">, J. I. (2024). Effect of germination and solid-state fermentation on the chemical, functional and nutritional composition of pigeon pea flour and the sensory properties of the resultant cookies. </w:t>
      </w:r>
      <w:r w:rsidRPr="00833961">
        <w:rPr>
          <w:rFonts w:ascii="Times New Roman" w:eastAsia="Times New Roman" w:hAnsi="Times New Roman" w:cs="Times New Roman"/>
          <w:i/>
          <w:iCs/>
          <w:sz w:val="24"/>
          <w:szCs w:val="24"/>
        </w:rPr>
        <w:t>Food Chemistry Advances, 5</w:t>
      </w:r>
      <w:r w:rsidRPr="00833961">
        <w:rPr>
          <w:rFonts w:ascii="Times New Roman" w:eastAsia="Times New Roman" w:hAnsi="Times New Roman" w:cs="Times New Roman"/>
          <w:sz w:val="24"/>
          <w:szCs w:val="24"/>
        </w:rPr>
        <w:t xml:space="preserve">, Article 100837. </w:t>
      </w:r>
      <w:hyperlink r:id="rId27" w:history="1">
        <w:r w:rsidRPr="00833961">
          <w:rPr>
            <w:rFonts w:ascii="Times New Roman" w:eastAsia="Times New Roman" w:hAnsi="Times New Roman" w:cs="Times New Roman"/>
            <w:color w:val="0000FF"/>
            <w:sz w:val="24"/>
            <w:szCs w:val="24"/>
            <w:u w:val="single"/>
          </w:rPr>
          <w:t>https://doi.org/10.1016/j.focha.2024.100837</w:t>
        </w:r>
      </w:hyperlink>
    </w:p>
    <w:p w14:paraId="466665A6" w14:textId="0B22F17C" w:rsidR="00833961" w:rsidRPr="00833961" w:rsidRDefault="00833961" w:rsidP="00833961">
      <w:pPr>
        <w:spacing w:after="0" w:line="240" w:lineRule="auto"/>
        <w:ind w:left="540" w:hanging="540"/>
        <w:jc w:val="both"/>
        <w:rPr>
          <w:rFonts w:ascii="Times New Roman" w:eastAsia="Times New Roman" w:hAnsi="Times New Roman" w:cs="Times New Roman"/>
          <w:sz w:val="24"/>
          <w:szCs w:val="24"/>
        </w:rPr>
      </w:pPr>
      <w:r w:rsidRPr="00833961">
        <w:rPr>
          <w:rFonts w:ascii="Times New Roman" w:eastAsia="Times New Roman" w:hAnsi="Times New Roman" w:cs="Times New Roman"/>
          <w:sz w:val="24"/>
          <w:szCs w:val="24"/>
        </w:rPr>
        <w:t xml:space="preserve">Teles, A. G., da Silva, W. A., de Menezes, C. B., Carlos, L. A., Gonçalves, A. C. A., de Carvalho, C. W. P., </w:t>
      </w:r>
      <w:proofErr w:type="spellStart"/>
      <w:r w:rsidRPr="00833961">
        <w:rPr>
          <w:rFonts w:ascii="Times New Roman" w:eastAsia="Times New Roman" w:hAnsi="Times New Roman" w:cs="Times New Roman"/>
          <w:sz w:val="24"/>
          <w:szCs w:val="24"/>
        </w:rPr>
        <w:t>Dizlek</w:t>
      </w:r>
      <w:proofErr w:type="spellEnd"/>
      <w:r w:rsidRPr="00833961">
        <w:rPr>
          <w:rFonts w:ascii="Times New Roman" w:eastAsia="Times New Roman" w:hAnsi="Times New Roman" w:cs="Times New Roman"/>
          <w:sz w:val="24"/>
          <w:szCs w:val="24"/>
        </w:rPr>
        <w:t xml:space="preserve">, H., &amp; Queiroz, V. A. V. (2025). Processes applied to whole sorghum flour: Effects on technological, antioxidant and sensory properties of gluten-free cakes. </w:t>
      </w:r>
      <w:r w:rsidRPr="00833961">
        <w:rPr>
          <w:rFonts w:ascii="Times New Roman" w:eastAsia="Times New Roman" w:hAnsi="Times New Roman" w:cs="Times New Roman"/>
          <w:i/>
          <w:iCs/>
          <w:sz w:val="24"/>
          <w:szCs w:val="24"/>
        </w:rPr>
        <w:t>Journal of Food Measurement and Characterization, 19</w:t>
      </w:r>
      <w:r w:rsidRPr="00833961">
        <w:rPr>
          <w:rFonts w:ascii="Times New Roman" w:eastAsia="Times New Roman" w:hAnsi="Times New Roman" w:cs="Times New Roman"/>
          <w:sz w:val="24"/>
          <w:szCs w:val="24"/>
        </w:rPr>
        <w:t xml:space="preserve">, 5848–5856. </w:t>
      </w:r>
      <w:hyperlink r:id="rId28" w:history="1">
        <w:r w:rsidRPr="00833961">
          <w:rPr>
            <w:rFonts w:ascii="Times New Roman" w:eastAsia="Times New Roman" w:hAnsi="Times New Roman" w:cs="Times New Roman"/>
            <w:color w:val="0000FF"/>
            <w:sz w:val="24"/>
            <w:szCs w:val="24"/>
            <w:u w:val="single"/>
          </w:rPr>
          <w:t>https://doi.org/10.1007/s11694-025-03358-8</w:t>
        </w:r>
      </w:hyperlink>
    </w:p>
    <w:p w14:paraId="04A7EC0A" w14:textId="3ECA760E" w:rsidR="0071225F" w:rsidRDefault="00833961" w:rsidP="00833961">
      <w:pPr>
        <w:spacing w:after="0"/>
        <w:ind w:left="540" w:hanging="540"/>
        <w:jc w:val="both"/>
      </w:pPr>
      <w:r w:rsidRPr="00833961">
        <w:rPr>
          <w:rFonts w:ascii="Times New Roman" w:eastAsia="Times New Roman" w:hAnsi="Times New Roman" w:cs="Times New Roman"/>
          <w:sz w:val="24"/>
          <w:szCs w:val="24"/>
        </w:rPr>
        <w:t xml:space="preserve">World Health Organization. (2021). </w:t>
      </w:r>
      <w:r w:rsidRPr="00833961">
        <w:rPr>
          <w:rFonts w:ascii="Times New Roman" w:eastAsia="Times New Roman" w:hAnsi="Times New Roman" w:cs="Times New Roman"/>
          <w:i/>
          <w:iCs/>
          <w:sz w:val="24"/>
          <w:szCs w:val="24"/>
        </w:rPr>
        <w:t>World health statistics 2021: Monitoring health for the SDGs, sustainable development goals</w:t>
      </w:r>
      <w:r w:rsidRPr="00833961">
        <w:rPr>
          <w:rFonts w:ascii="Times New Roman" w:eastAsia="Times New Roman" w:hAnsi="Times New Roman" w:cs="Times New Roman"/>
          <w:sz w:val="24"/>
          <w:szCs w:val="24"/>
        </w:rPr>
        <w:t xml:space="preserve">. </w:t>
      </w:r>
      <w:hyperlink r:id="rId29" w:history="1">
        <w:r w:rsidRPr="00833961">
          <w:rPr>
            <w:rFonts w:ascii="Times New Roman" w:eastAsia="Times New Roman" w:hAnsi="Times New Roman" w:cs="Times New Roman"/>
            <w:color w:val="0000FF"/>
            <w:sz w:val="24"/>
            <w:szCs w:val="24"/>
            <w:u w:val="single"/>
          </w:rPr>
          <w:t>https://www.who.int/publications/i/item/9789240027053</w:t>
        </w:r>
      </w:hyperlink>
    </w:p>
    <w:sectPr w:rsidR="007122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4C74"/>
    <w:multiLevelType w:val="hybridMultilevel"/>
    <w:tmpl w:val="371C965C"/>
    <w:lvl w:ilvl="0" w:tplc="69D8FC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51774"/>
    <w:multiLevelType w:val="multilevel"/>
    <w:tmpl w:val="F84C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3770A"/>
    <w:multiLevelType w:val="hybridMultilevel"/>
    <w:tmpl w:val="279AC54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57003D"/>
    <w:multiLevelType w:val="multilevel"/>
    <w:tmpl w:val="B55E5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AB649F"/>
    <w:multiLevelType w:val="multilevel"/>
    <w:tmpl w:val="CCCC5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944B84"/>
    <w:multiLevelType w:val="multilevel"/>
    <w:tmpl w:val="7E9EE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5620E7"/>
    <w:multiLevelType w:val="multilevel"/>
    <w:tmpl w:val="CD9A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22523E"/>
    <w:multiLevelType w:val="multilevel"/>
    <w:tmpl w:val="D1DEA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0A2A93"/>
    <w:multiLevelType w:val="hybridMultilevel"/>
    <w:tmpl w:val="E8B88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4024CA"/>
    <w:multiLevelType w:val="hybridMultilevel"/>
    <w:tmpl w:val="A648CB4A"/>
    <w:lvl w:ilvl="0" w:tplc="54D24F68">
      <w:start w:val="32"/>
      <w:numFmt w:val="bullet"/>
      <w:lvlText w:val=""/>
      <w:lvlJc w:val="left"/>
      <w:pPr>
        <w:ind w:left="735" w:hanging="375"/>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7B598D"/>
    <w:multiLevelType w:val="multilevel"/>
    <w:tmpl w:val="9838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FC68B2"/>
    <w:multiLevelType w:val="multilevel"/>
    <w:tmpl w:val="9894F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AB0966"/>
    <w:multiLevelType w:val="multilevel"/>
    <w:tmpl w:val="85EE8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F361130"/>
    <w:multiLevelType w:val="multilevel"/>
    <w:tmpl w:val="25EE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471127"/>
    <w:multiLevelType w:val="multilevel"/>
    <w:tmpl w:val="842E5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6E625F"/>
    <w:multiLevelType w:val="hybridMultilevel"/>
    <w:tmpl w:val="371C965C"/>
    <w:lvl w:ilvl="0" w:tplc="69D8FC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8F5E82"/>
    <w:multiLevelType w:val="multilevel"/>
    <w:tmpl w:val="B68A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066FCA"/>
    <w:multiLevelType w:val="multilevel"/>
    <w:tmpl w:val="AB8A5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5A45E0"/>
    <w:multiLevelType w:val="multilevel"/>
    <w:tmpl w:val="BBE83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1F2A49"/>
    <w:multiLevelType w:val="multilevel"/>
    <w:tmpl w:val="F42A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07741C"/>
    <w:multiLevelType w:val="multilevel"/>
    <w:tmpl w:val="35BA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001BDD"/>
    <w:multiLevelType w:val="multilevel"/>
    <w:tmpl w:val="44641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E109A7"/>
    <w:multiLevelType w:val="multilevel"/>
    <w:tmpl w:val="E1DE985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0F66F51"/>
    <w:multiLevelType w:val="multilevel"/>
    <w:tmpl w:val="7D6E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9F36F4"/>
    <w:multiLevelType w:val="multilevel"/>
    <w:tmpl w:val="F7C6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6531215">
    <w:abstractNumId w:val="12"/>
  </w:num>
  <w:num w:numId="2" w16cid:durableId="734281093">
    <w:abstractNumId w:val="21"/>
  </w:num>
  <w:num w:numId="3" w16cid:durableId="657804022">
    <w:abstractNumId w:val="7"/>
  </w:num>
  <w:num w:numId="4" w16cid:durableId="1278949177">
    <w:abstractNumId w:val="4"/>
  </w:num>
  <w:num w:numId="5" w16cid:durableId="1388606613">
    <w:abstractNumId w:val="17"/>
  </w:num>
  <w:num w:numId="6" w16cid:durableId="1132134948">
    <w:abstractNumId w:val="14"/>
  </w:num>
  <w:num w:numId="7" w16cid:durableId="840395947">
    <w:abstractNumId w:val="3"/>
  </w:num>
  <w:num w:numId="8" w16cid:durableId="95103907">
    <w:abstractNumId w:val="1"/>
  </w:num>
  <w:num w:numId="9" w16cid:durableId="854613506">
    <w:abstractNumId w:val="24"/>
  </w:num>
  <w:num w:numId="10" w16cid:durableId="100079046">
    <w:abstractNumId w:val="13"/>
  </w:num>
  <w:num w:numId="11" w16cid:durableId="1983607876">
    <w:abstractNumId w:val="10"/>
  </w:num>
  <w:num w:numId="12" w16cid:durableId="826745340">
    <w:abstractNumId w:val="23"/>
  </w:num>
  <w:num w:numId="13" w16cid:durableId="852842028">
    <w:abstractNumId w:val="20"/>
  </w:num>
  <w:num w:numId="14" w16cid:durableId="664430767">
    <w:abstractNumId w:val="19"/>
  </w:num>
  <w:num w:numId="15" w16cid:durableId="826283848">
    <w:abstractNumId w:val="16"/>
  </w:num>
  <w:num w:numId="16" w16cid:durableId="1431463281">
    <w:abstractNumId w:val="11"/>
  </w:num>
  <w:num w:numId="17" w16cid:durableId="1154297545">
    <w:abstractNumId w:val="5"/>
  </w:num>
  <w:num w:numId="18" w16cid:durableId="330526308">
    <w:abstractNumId w:val="6"/>
  </w:num>
  <w:num w:numId="19" w16cid:durableId="1229418088">
    <w:abstractNumId w:val="22"/>
  </w:num>
  <w:num w:numId="20" w16cid:durableId="507672440">
    <w:abstractNumId w:val="15"/>
  </w:num>
  <w:num w:numId="21" w16cid:durableId="245766615">
    <w:abstractNumId w:val="0"/>
  </w:num>
  <w:num w:numId="22" w16cid:durableId="1059093403">
    <w:abstractNumId w:val="18"/>
  </w:num>
  <w:num w:numId="23" w16cid:durableId="1904678816">
    <w:abstractNumId w:val="2"/>
  </w:num>
  <w:num w:numId="24" w16cid:durableId="545801194">
    <w:abstractNumId w:val="8"/>
  </w:num>
  <w:num w:numId="25" w16cid:durableId="2164808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MwtTQ3NzE0szQyMzBU0lEKTi0uzszPAykwqgUAoXKXxCwAAAA="/>
  </w:docVars>
  <w:rsids>
    <w:rsidRoot w:val="007C075E"/>
    <w:rsid w:val="00017395"/>
    <w:rsid w:val="000266B5"/>
    <w:rsid w:val="00027ED9"/>
    <w:rsid w:val="00030F6B"/>
    <w:rsid w:val="00080845"/>
    <w:rsid w:val="00091B1D"/>
    <w:rsid w:val="000E13A8"/>
    <w:rsid w:val="000E42B1"/>
    <w:rsid w:val="000F424C"/>
    <w:rsid w:val="000F5A17"/>
    <w:rsid w:val="00111272"/>
    <w:rsid w:val="001172A5"/>
    <w:rsid w:val="0012323F"/>
    <w:rsid w:val="00134E2E"/>
    <w:rsid w:val="0014080D"/>
    <w:rsid w:val="00156A82"/>
    <w:rsid w:val="00162DFA"/>
    <w:rsid w:val="001A6FDF"/>
    <w:rsid w:val="001C1ED3"/>
    <w:rsid w:val="001D2594"/>
    <w:rsid w:val="001D7253"/>
    <w:rsid w:val="001E25D9"/>
    <w:rsid w:val="001F23DD"/>
    <w:rsid w:val="001F2824"/>
    <w:rsid w:val="00205113"/>
    <w:rsid w:val="00207157"/>
    <w:rsid w:val="00212769"/>
    <w:rsid w:val="00225456"/>
    <w:rsid w:val="00231013"/>
    <w:rsid w:val="00293730"/>
    <w:rsid w:val="002B47EF"/>
    <w:rsid w:val="003133FA"/>
    <w:rsid w:val="00313448"/>
    <w:rsid w:val="00346EA4"/>
    <w:rsid w:val="00363E44"/>
    <w:rsid w:val="003A465B"/>
    <w:rsid w:val="003B225B"/>
    <w:rsid w:val="003B469D"/>
    <w:rsid w:val="003E0E92"/>
    <w:rsid w:val="003F092B"/>
    <w:rsid w:val="003F27D8"/>
    <w:rsid w:val="003F5A5D"/>
    <w:rsid w:val="00415A52"/>
    <w:rsid w:val="004360D2"/>
    <w:rsid w:val="004361E2"/>
    <w:rsid w:val="0043750B"/>
    <w:rsid w:val="004940D0"/>
    <w:rsid w:val="004A575C"/>
    <w:rsid w:val="004B349A"/>
    <w:rsid w:val="004B74E9"/>
    <w:rsid w:val="004E557D"/>
    <w:rsid w:val="004F12E5"/>
    <w:rsid w:val="005022AD"/>
    <w:rsid w:val="005155FD"/>
    <w:rsid w:val="00557B1A"/>
    <w:rsid w:val="00566790"/>
    <w:rsid w:val="005B087D"/>
    <w:rsid w:val="005C429F"/>
    <w:rsid w:val="0066219F"/>
    <w:rsid w:val="00677759"/>
    <w:rsid w:val="006838FD"/>
    <w:rsid w:val="00691A9D"/>
    <w:rsid w:val="006F534E"/>
    <w:rsid w:val="006F7E45"/>
    <w:rsid w:val="007049E9"/>
    <w:rsid w:val="0071225F"/>
    <w:rsid w:val="00715DC2"/>
    <w:rsid w:val="00751D2E"/>
    <w:rsid w:val="00752ED9"/>
    <w:rsid w:val="00770CD1"/>
    <w:rsid w:val="00780D88"/>
    <w:rsid w:val="007B67BB"/>
    <w:rsid w:val="007C075E"/>
    <w:rsid w:val="007C79DD"/>
    <w:rsid w:val="00802FD5"/>
    <w:rsid w:val="008122A5"/>
    <w:rsid w:val="00813CFA"/>
    <w:rsid w:val="00830AD9"/>
    <w:rsid w:val="00833961"/>
    <w:rsid w:val="008819D2"/>
    <w:rsid w:val="00897374"/>
    <w:rsid w:val="008A18A7"/>
    <w:rsid w:val="008C18A3"/>
    <w:rsid w:val="008E16DA"/>
    <w:rsid w:val="008E70EB"/>
    <w:rsid w:val="008E7226"/>
    <w:rsid w:val="008F22D7"/>
    <w:rsid w:val="009169EE"/>
    <w:rsid w:val="009678DD"/>
    <w:rsid w:val="00A13D6C"/>
    <w:rsid w:val="00A178F1"/>
    <w:rsid w:val="00A56E11"/>
    <w:rsid w:val="00A64513"/>
    <w:rsid w:val="00A77045"/>
    <w:rsid w:val="00A82D31"/>
    <w:rsid w:val="00A943E3"/>
    <w:rsid w:val="00AB6EBE"/>
    <w:rsid w:val="00AE5D89"/>
    <w:rsid w:val="00AE64F5"/>
    <w:rsid w:val="00AF0B55"/>
    <w:rsid w:val="00AF411F"/>
    <w:rsid w:val="00B4293E"/>
    <w:rsid w:val="00B62F58"/>
    <w:rsid w:val="00B71A35"/>
    <w:rsid w:val="00B77BAB"/>
    <w:rsid w:val="00B86A9C"/>
    <w:rsid w:val="00BA4759"/>
    <w:rsid w:val="00BA5994"/>
    <w:rsid w:val="00BB377E"/>
    <w:rsid w:val="00BB4C86"/>
    <w:rsid w:val="00BD417E"/>
    <w:rsid w:val="00BE7CC2"/>
    <w:rsid w:val="00BF18EE"/>
    <w:rsid w:val="00BF2141"/>
    <w:rsid w:val="00BF6EA9"/>
    <w:rsid w:val="00C366A6"/>
    <w:rsid w:val="00C60516"/>
    <w:rsid w:val="00C70512"/>
    <w:rsid w:val="00CF1E83"/>
    <w:rsid w:val="00D1327C"/>
    <w:rsid w:val="00D24057"/>
    <w:rsid w:val="00D24792"/>
    <w:rsid w:val="00D34A2F"/>
    <w:rsid w:val="00D36572"/>
    <w:rsid w:val="00D475F0"/>
    <w:rsid w:val="00D55972"/>
    <w:rsid w:val="00D65A37"/>
    <w:rsid w:val="00D73052"/>
    <w:rsid w:val="00D929D6"/>
    <w:rsid w:val="00DB6C18"/>
    <w:rsid w:val="00DC56A7"/>
    <w:rsid w:val="00E002B7"/>
    <w:rsid w:val="00E10A6A"/>
    <w:rsid w:val="00E21196"/>
    <w:rsid w:val="00E84BFD"/>
    <w:rsid w:val="00EB53ED"/>
    <w:rsid w:val="00ED6E25"/>
    <w:rsid w:val="00EE7B1D"/>
    <w:rsid w:val="00F07665"/>
    <w:rsid w:val="00F24B28"/>
    <w:rsid w:val="00F2788B"/>
    <w:rsid w:val="00F32B74"/>
    <w:rsid w:val="00F60F99"/>
    <w:rsid w:val="00F6275F"/>
    <w:rsid w:val="00F8705E"/>
    <w:rsid w:val="00F96E68"/>
    <w:rsid w:val="00FB573D"/>
    <w:rsid w:val="00FD04B5"/>
    <w:rsid w:val="00FF7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B7F17"/>
  <w15:chartTrackingRefBased/>
  <w15:docId w15:val="{6BA72203-F580-4F93-858B-435E0772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155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155F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155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155F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5F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155F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155F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155F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155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5155FD"/>
  </w:style>
  <w:style w:type="character" w:styleId="Emphasis">
    <w:name w:val="Emphasis"/>
    <w:basedOn w:val="DefaultParagraphFont"/>
    <w:uiPriority w:val="20"/>
    <w:qFormat/>
    <w:rsid w:val="005155FD"/>
    <w:rPr>
      <w:i/>
      <w:iCs/>
    </w:rPr>
  </w:style>
  <w:style w:type="character" w:styleId="Strong">
    <w:name w:val="Strong"/>
    <w:basedOn w:val="DefaultParagraphFont"/>
    <w:uiPriority w:val="22"/>
    <w:qFormat/>
    <w:rsid w:val="005155FD"/>
    <w:rPr>
      <w:b/>
      <w:bCs/>
    </w:rPr>
  </w:style>
  <w:style w:type="paragraph" w:styleId="z-TopofForm">
    <w:name w:val="HTML Top of Form"/>
    <w:basedOn w:val="Normal"/>
    <w:next w:val="Normal"/>
    <w:link w:val="z-TopofFormChar"/>
    <w:hidden/>
    <w:uiPriority w:val="99"/>
    <w:semiHidden/>
    <w:unhideWhenUsed/>
    <w:rsid w:val="005155F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155F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155F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155FD"/>
    <w:rPr>
      <w:rFonts w:ascii="Arial" w:eastAsia="Times New Roman" w:hAnsi="Arial" w:cs="Arial"/>
      <w:vanish/>
      <w:sz w:val="16"/>
      <w:szCs w:val="16"/>
    </w:rPr>
  </w:style>
  <w:style w:type="paragraph" w:styleId="ListParagraph">
    <w:name w:val="List Paragraph"/>
    <w:basedOn w:val="Normal"/>
    <w:uiPriority w:val="34"/>
    <w:qFormat/>
    <w:rsid w:val="00ED6E25"/>
    <w:pPr>
      <w:ind w:left="720"/>
      <w:contextualSpacing/>
    </w:pPr>
  </w:style>
  <w:style w:type="character" w:styleId="Hyperlink">
    <w:name w:val="Hyperlink"/>
    <w:basedOn w:val="DefaultParagraphFont"/>
    <w:uiPriority w:val="99"/>
    <w:unhideWhenUsed/>
    <w:rsid w:val="000E42B1"/>
    <w:rPr>
      <w:color w:val="0563C1" w:themeColor="hyperlink"/>
      <w:u w:val="single"/>
    </w:rPr>
  </w:style>
  <w:style w:type="table" w:styleId="TableGrid">
    <w:name w:val="Table Grid"/>
    <w:basedOn w:val="TableNormal"/>
    <w:uiPriority w:val="39"/>
    <w:rsid w:val="00EB5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2D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D31"/>
    <w:rPr>
      <w:rFonts w:ascii="Segoe UI" w:hAnsi="Segoe UI" w:cs="Segoe UI"/>
      <w:sz w:val="18"/>
      <w:szCs w:val="18"/>
    </w:rPr>
  </w:style>
  <w:style w:type="paragraph" w:styleId="NoSpacing">
    <w:name w:val="No Spacing"/>
    <w:uiPriority w:val="1"/>
    <w:qFormat/>
    <w:rsid w:val="00A56E11"/>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25044">
      <w:bodyDiv w:val="1"/>
      <w:marLeft w:val="0"/>
      <w:marRight w:val="0"/>
      <w:marTop w:val="0"/>
      <w:marBottom w:val="0"/>
      <w:divBdr>
        <w:top w:val="none" w:sz="0" w:space="0" w:color="auto"/>
        <w:left w:val="none" w:sz="0" w:space="0" w:color="auto"/>
        <w:bottom w:val="none" w:sz="0" w:space="0" w:color="auto"/>
        <w:right w:val="none" w:sz="0" w:space="0" w:color="auto"/>
      </w:divBdr>
      <w:divsChild>
        <w:div w:id="1508246498">
          <w:marLeft w:val="0"/>
          <w:marRight w:val="0"/>
          <w:marTop w:val="0"/>
          <w:marBottom w:val="0"/>
          <w:divBdr>
            <w:top w:val="none" w:sz="0" w:space="0" w:color="auto"/>
            <w:left w:val="none" w:sz="0" w:space="0" w:color="auto"/>
            <w:bottom w:val="none" w:sz="0" w:space="0" w:color="auto"/>
            <w:right w:val="none" w:sz="0" w:space="0" w:color="auto"/>
          </w:divBdr>
          <w:divsChild>
            <w:div w:id="203299834">
              <w:marLeft w:val="0"/>
              <w:marRight w:val="0"/>
              <w:marTop w:val="0"/>
              <w:marBottom w:val="0"/>
              <w:divBdr>
                <w:top w:val="none" w:sz="0" w:space="0" w:color="auto"/>
                <w:left w:val="none" w:sz="0" w:space="0" w:color="auto"/>
                <w:bottom w:val="none" w:sz="0" w:space="0" w:color="auto"/>
                <w:right w:val="none" w:sz="0" w:space="0" w:color="auto"/>
              </w:divBdr>
              <w:divsChild>
                <w:div w:id="1453594986">
                  <w:marLeft w:val="0"/>
                  <w:marRight w:val="0"/>
                  <w:marTop w:val="0"/>
                  <w:marBottom w:val="0"/>
                  <w:divBdr>
                    <w:top w:val="none" w:sz="0" w:space="0" w:color="auto"/>
                    <w:left w:val="none" w:sz="0" w:space="0" w:color="auto"/>
                    <w:bottom w:val="none" w:sz="0" w:space="0" w:color="auto"/>
                    <w:right w:val="none" w:sz="0" w:space="0" w:color="auto"/>
                  </w:divBdr>
                  <w:divsChild>
                    <w:div w:id="715086806">
                      <w:marLeft w:val="0"/>
                      <w:marRight w:val="0"/>
                      <w:marTop w:val="0"/>
                      <w:marBottom w:val="0"/>
                      <w:divBdr>
                        <w:top w:val="none" w:sz="0" w:space="0" w:color="auto"/>
                        <w:left w:val="none" w:sz="0" w:space="0" w:color="auto"/>
                        <w:bottom w:val="none" w:sz="0" w:space="0" w:color="auto"/>
                        <w:right w:val="none" w:sz="0" w:space="0" w:color="auto"/>
                      </w:divBdr>
                      <w:divsChild>
                        <w:div w:id="1632856649">
                          <w:marLeft w:val="0"/>
                          <w:marRight w:val="0"/>
                          <w:marTop w:val="0"/>
                          <w:marBottom w:val="0"/>
                          <w:divBdr>
                            <w:top w:val="none" w:sz="0" w:space="0" w:color="auto"/>
                            <w:left w:val="none" w:sz="0" w:space="0" w:color="auto"/>
                            <w:bottom w:val="none" w:sz="0" w:space="0" w:color="auto"/>
                            <w:right w:val="none" w:sz="0" w:space="0" w:color="auto"/>
                          </w:divBdr>
                          <w:divsChild>
                            <w:div w:id="1672560060">
                              <w:marLeft w:val="0"/>
                              <w:marRight w:val="0"/>
                              <w:marTop w:val="0"/>
                              <w:marBottom w:val="0"/>
                              <w:divBdr>
                                <w:top w:val="none" w:sz="0" w:space="0" w:color="auto"/>
                                <w:left w:val="none" w:sz="0" w:space="0" w:color="auto"/>
                                <w:bottom w:val="none" w:sz="0" w:space="0" w:color="auto"/>
                                <w:right w:val="none" w:sz="0" w:space="0" w:color="auto"/>
                              </w:divBdr>
                              <w:divsChild>
                                <w:div w:id="180927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3684108">
      <w:bodyDiv w:val="1"/>
      <w:marLeft w:val="0"/>
      <w:marRight w:val="0"/>
      <w:marTop w:val="0"/>
      <w:marBottom w:val="0"/>
      <w:divBdr>
        <w:top w:val="none" w:sz="0" w:space="0" w:color="auto"/>
        <w:left w:val="none" w:sz="0" w:space="0" w:color="auto"/>
        <w:bottom w:val="none" w:sz="0" w:space="0" w:color="auto"/>
        <w:right w:val="none" w:sz="0" w:space="0" w:color="auto"/>
      </w:divBdr>
    </w:div>
    <w:div w:id="1407259621">
      <w:bodyDiv w:val="1"/>
      <w:marLeft w:val="0"/>
      <w:marRight w:val="0"/>
      <w:marTop w:val="0"/>
      <w:marBottom w:val="0"/>
      <w:divBdr>
        <w:top w:val="none" w:sz="0" w:space="0" w:color="auto"/>
        <w:left w:val="none" w:sz="0" w:space="0" w:color="auto"/>
        <w:bottom w:val="none" w:sz="0" w:space="0" w:color="auto"/>
        <w:right w:val="none" w:sz="0" w:space="0" w:color="auto"/>
      </w:divBdr>
    </w:div>
    <w:div w:id="1536577786">
      <w:bodyDiv w:val="1"/>
      <w:marLeft w:val="0"/>
      <w:marRight w:val="0"/>
      <w:marTop w:val="0"/>
      <w:marBottom w:val="0"/>
      <w:divBdr>
        <w:top w:val="none" w:sz="0" w:space="0" w:color="auto"/>
        <w:left w:val="none" w:sz="0" w:space="0" w:color="auto"/>
        <w:bottom w:val="none" w:sz="0" w:space="0" w:color="auto"/>
        <w:right w:val="none" w:sz="0" w:space="0" w:color="auto"/>
      </w:divBdr>
    </w:div>
    <w:div w:id="1691108138">
      <w:bodyDiv w:val="1"/>
      <w:marLeft w:val="0"/>
      <w:marRight w:val="0"/>
      <w:marTop w:val="0"/>
      <w:marBottom w:val="0"/>
      <w:divBdr>
        <w:top w:val="none" w:sz="0" w:space="0" w:color="auto"/>
        <w:left w:val="none" w:sz="0" w:space="0" w:color="auto"/>
        <w:bottom w:val="none" w:sz="0" w:space="0" w:color="auto"/>
        <w:right w:val="none" w:sz="0" w:space="0" w:color="auto"/>
      </w:divBdr>
    </w:div>
    <w:div w:id="1862162902">
      <w:bodyDiv w:val="1"/>
      <w:marLeft w:val="0"/>
      <w:marRight w:val="0"/>
      <w:marTop w:val="0"/>
      <w:marBottom w:val="0"/>
      <w:divBdr>
        <w:top w:val="none" w:sz="0" w:space="0" w:color="auto"/>
        <w:left w:val="none" w:sz="0" w:space="0" w:color="auto"/>
        <w:bottom w:val="none" w:sz="0" w:space="0" w:color="auto"/>
        <w:right w:val="none" w:sz="0" w:space="0" w:color="auto"/>
      </w:divBdr>
    </w:div>
    <w:div w:id="1899127522">
      <w:bodyDiv w:val="1"/>
      <w:marLeft w:val="0"/>
      <w:marRight w:val="0"/>
      <w:marTop w:val="0"/>
      <w:marBottom w:val="0"/>
      <w:divBdr>
        <w:top w:val="none" w:sz="0" w:space="0" w:color="auto"/>
        <w:left w:val="none" w:sz="0" w:space="0" w:color="auto"/>
        <w:bottom w:val="none" w:sz="0" w:space="0" w:color="auto"/>
        <w:right w:val="none" w:sz="0" w:space="0" w:color="auto"/>
      </w:divBdr>
    </w:div>
    <w:div w:id="2017144841">
      <w:bodyDiv w:val="1"/>
      <w:marLeft w:val="0"/>
      <w:marRight w:val="0"/>
      <w:marTop w:val="0"/>
      <w:marBottom w:val="0"/>
      <w:divBdr>
        <w:top w:val="none" w:sz="0" w:space="0" w:color="auto"/>
        <w:left w:val="none" w:sz="0" w:space="0" w:color="auto"/>
        <w:bottom w:val="none" w:sz="0" w:space="0" w:color="auto"/>
        <w:right w:val="none" w:sz="0" w:space="0" w:color="auto"/>
      </w:divBdr>
      <w:divsChild>
        <w:div w:id="314770165">
          <w:marLeft w:val="0"/>
          <w:marRight w:val="0"/>
          <w:marTop w:val="0"/>
          <w:marBottom w:val="0"/>
          <w:divBdr>
            <w:top w:val="none" w:sz="0" w:space="0" w:color="auto"/>
            <w:left w:val="none" w:sz="0" w:space="0" w:color="auto"/>
            <w:bottom w:val="none" w:sz="0" w:space="0" w:color="auto"/>
            <w:right w:val="none" w:sz="0" w:space="0" w:color="auto"/>
          </w:divBdr>
          <w:divsChild>
            <w:div w:id="319581155">
              <w:marLeft w:val="0"/>
              <w:marRight w:val="0"/>
              <w:marTop w:val="0"/>
              <w:marBottom w:val="0"/>
              <w:divBdr>
                <w:top w:val="none" w:sz="0" w:space="0" w:color="auto"/>
                <w:left w:val="none" w:sz="0" w:space="0" w:color="auto"/>
                <w:bottom w:val="none" w:sz="0" w:space="0" w:color="auto"/>
                <w:right w:val="none" w:sz="0" w:space="0" w:color="auto"/>
              </w:divBdr>
              <w:divsChild>
                <w:div w:id="2071808623">
                  <w:marLeft w:val="0"/>
                  <w:marRight w:val="0"/>
                  <w:marTop w:val="0"/>
                  <w:marBottom w:val="0"/>
                  <w:divBdr>
                    <w:top w:val="none" w:sz="0" w:space="0" w:color="auto"/>
                    <w:left w:val="none" w:sz="0" w:space="0" w:color="auto"/>
                    <w:bottom w:val="none" w:sz="0" w:space="0" w:color="auto"/>
                    <w:right w:val="none" w:sz="0" w:space="0" w:color="auto"/>
                  </w:divBdr>
                  <w:divsChild>
                    <w:div w:id="85228986">
                      <w:marLeft w:val="0"/>
                      <w:marRight w:val="0"/>
                      <w:marTop w:val="0"/>
                      <w:marBottom w:val="0"/>
                      <w:divBdr>
                        <w:top w:val="none" w:sz="0" w:space="0" w:color="auto"/>
                        <w:left w:val="none" w:sz="0" w:space="0" w:color="auto"/>
                        <w:bottom w:val="none" w:sz="0" w:space="0" w:color="auto"/>
                        <w:right w:val="none" w:sz="0" w:space="0" w:color="auto"/>
                      </w:divBdr>
                      <w:divsChild>
                        <w:div w:id="834416056">
                          <w:marLeft w:val="0"/>
                          <w:marRight w:val="0"/>
                          <w:marTop w:val="0"/>
                          <w:marBottom w:val="0"/>
                          <w:divBdr>
                            <w:top w:val="none" w:sz="0" w:space="0" w:color="auto"/>
                            <w:left w:val="none" w:sz="0" w:space="0" w:color="auto"/>
                            <w:bottom w:val="none" w:sz="0" w:space="0" w:color="auto"/>
                            <w:right w:val="none" w:sz="0" w:space="0" w:color="auto"/>
                          </w:divBdr>
                          <w:divsChild>
                            <w:div w:id="350030113">
                              <w:marLeft w:val="0"/>
                              <w:marRight w:val="0"/>
                              <w:marTop w:val="0"/>
                              <w:marBottom w:val="0"/>
                              <w:divBdr>
                                <w:top w:val="none" w:sz="0" w:space="0" w:color="auto"/>
                                <w:left w:val="none" w:sz="0" w:space="0" w:color="auto"/>
                                <w:bottom w:val="none" w:sz="0" w:space="0" w:color="auto"/>
                                <w:right w:val="none" w:sz="0" w:space="0" w:color="auto"/>
                              </w:divBdr>
                              <w:divsChild>
                                <w:div w:id="552740103">
                                  <w:marLeft w:val="0"/>
                                  <w:marRight w:val="0"/>
                                  <w:marTop w:val="0"/>
                                  <w:marBottom w:val="0"/>
                                  <w:divBdr>
                                    <w:top w:val="none" w:sz="0" w:space="0" w:color="auto"/>
                                    <w:left w:val="none" w:sz="0" w:space="0" w:color="auto"/>
                                    <w:bottom w:val="none" w:sz="0" w:space="0" w:color="auto"/>
                                    <w:right w:val="none" w:sz="0" w:space="0" w:color="auto"/>
                                  </w:divBdr>
                                  <w:divsChild>
                                    <w:div w:id="221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590512">
          <w:marLeft w:val="0"/>
          <w:marRight w:val="0"/>
          <w:marTop w:val="0"/>
          <w:marBottom w:val="0"/>
          <w:divBdr>
            <w:top w:val="none" w:sz="0" w:space="0" w:color="auto"/>
            <w:left w:val="none" w:sz="0" w:space="0" w:color="auto"/>
            <w:bottom w:val="none" w:sz="0" w:space="0" w:color="auto"/>
            <w:right w:val="none" w:sz="0" w:space="0" w:color="auto"/>
          </w:divBdr>
          <w:divsChild>
            <w:div w:id="684794389">
              <w:marLeft w:val="0"/>
              <w:marRight w:val="0"/>
              <w:marTop w:val="0"/>
              <w:marBottom w:val="0"/>
              <w:divBdr>
                <w:top w:val="none" w:sz="0" w:space="0" w:color="auto"/>
                <w:left w:val="none" w:sz="0" w:space="0" w:color="auto"/>
                <w:bottom w:val="none" w:sz="0" w:space="0" w:color="auto"/>
                <w:right w:val="none" w:sz="0" w:space="0" w:color="auto"/>
              </w:divBdr>
              <w:divsChild>
                <w:div w:id="1408727560">
                  <w:marLeft w:val="0"/>
                  <w:marRight w:val="0"/>
                  <w:marTop w:val="0"/>
                  <w:marBottom w:val="0"/>
                  <w:divBdr>
                    <w:top w:val="none" w:sz="0" w:space="0" w:color="auto"/>
                    <w:left w:val="none" w:sz="0" w:space="0" w:color="auto"/>
                    <w:bottom w:val="none" w:sz="0" w:space="0" w:color="auto"/>
                    <w:right w:val="none" w:sz="0" w:space="0" w:color="auto"/>
                  </w:divBdr>
                  <w:divsChild>
                    <w:div w:id="545793996">
                      <w:marLeft w:val="0"/>
                      <w:marRight w:val="0"/>
                      <w:marTop w:val="0"/>
                      <w:marBottom w:val="0"/>
                      <w:divBdr>
                        <w:top w:val="none" w:sz="0" w:space="0" w:color="auto"/>
                        <w:left w:val="none" w:sz="0" w:space="0" w:color="auto"/>
                        <w:bottom w:val="none" w:sz="0" w:space="0" w:color="auto"/>
                        <w:right w:val="none" w:sz="0" w:space="0" w:color="auto"/>
                      </w:divBdr>
                      <w:divsChild>
                        <w:div w:id="1979845580">
                          <w:marLeft w:val="0"/>
                          <w:marRight w:val="0"/>
                          <w:marTop w:val="0"/>
                          <w:marBottom w:val="0"/>
                          <w:divBdr>
                            <w:top w:val="none" w:sz="0" w:space="0" w:color="auto"/>
                            <w:left w:val="none" w:sz="0" w:space="0" w:color="auto"/>
                            <w:bottom w:val="none" w:sz="0" w:space="0" w:color="auto"/>
                            <w:right w:val="none" w:sz="0" w:space="0" w:color="auto"/>
                          </w:divBdr>
                          <w:divsChild>
                            <w:div w:id="227153791">
                              <w:marLeft w:val="0"/>
                              <w:marRight w:val="0"/>
                              <w:marTop w:val="0"/>
                              <w:marBottom w:val="0"/>
                              <w:divBdr>
                                <w:top w:val="none" w:sz="0" w:space="0" w:color="auto"/>
                                <w:left w:val="none" w:sz="0" w:space="0" w:color="auto"/>
                                <w:bottom w:val="none" w:sz="0" w:space="0" w:color="auto"/>
                                <w:right w:val="none" w:sz="0" w:space="0" w:color="auto"/>
                              </w:divBdr>
                              <w:divsChild>
                                <w:div w:id="1306355636">
                                  <w:marLeft w:val="0"/>
                                  <w:marRight w:val="0"/>
                                  <w:marTop w:val="0"/>
                                  <w:marBottom w:val="0"/>
                                  <w:divBdr>
                                    <w:top w:val="none" w:sz="0" w:space="0" w:color="auto"/>
                                    <w:left w:val="none" w:sz="0" w:space="0" w:color="auto"/>
                                    <w:bottom w:val="none" w:sz="0" w:space="0" w:color="auto"/>
                                    <w:right w:val="none" w:sz="0" w:space="0" w:color="auto"/>
                                  </w:divBdr>
                                  <w:divsChild>
                                    <w:div w:id="572468726">
                                      <w:marLeft w:val="0"/>
                                      <w:marRight w:val="0"/>
                                      <w:marTop w:val="0"/>
                                      <w:marBottom w:val="0"/>
                                      <w:divBdr>
                                        <w:top w:val="none" w:sz="0" w:space="0" w:color="auto"/>
                                        <w:left w:val="none" w:sz="0" w:space="0" w:color="auto"/>
                                        <w:bottom w:val="none" w:sz="0" w:space="0" w:color="auto"/>
                                        <w:right w:val="none" w:sz="0" w:space="0" w:color="auto"/>
                                      </w:divBdr>
                                      <w:divsChild>
                                        <w:div w:id="11332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subjectjournal.com/assets/archives/2025/vol12issue10/12251.pdf" TargetMode="External"/><Relationship Id="rId13" Type="http://schemas.openxmlformats.org/officeDocument/2006/relationships/hyperlink" Target="https://doi.org/10.1111/jgh.13703" TargetMode="External"/><Relationship Id="rId18" Type="http://schemas.openxmlformats.org/officeDocument/2006/relationships/hyperlink" Target="https://doi.org/10.1016/j.focha.2024.100863" TargetMode="External"/><Relationship Id="rId26" Type="http://schemas.openxmlformats.org/officeDocument/2006/relationships/hyperlink" Target="https://doi.org/10.4236/health.2010.211199" TargetMode="External"/><Relationship Id="rId3" Type="http://schemas.openxmlformats.org/officeDocument/2006/relationships/styles" Target="styles.xml"/><Relationship Id="rId21" Type="http://schemas.openxmlformats.org/officeDocument/2006/relationships/hyperlink" Target="https://doi.org/10.1002/fsn3.846" TargetMode="External"/><Relationship Id="rId7" Type="http://schemas.openxmlformats.org/officeDocument/2006/relationships/hyperlink" Target="https://doi.org/10.26656/fr.2017.5(1).370" TargetMode="External"/><Relationship Id="rId12" Type="http://schemas.openxmlformats.org/officeDocument/2006/relationships/hyperlink" Target="https://doi.org/10.1093/9780197610145.001.0001" TargetMode="External"/><Relationship Id="rId17" Type="http://schemas.openxmlformats.org/officeDocument/2006/relationships/hyperlink" Target="https://doi.org/10.56557/arjocs/2025/v7i1144" TargetMode="External"/><Relationship Id="rId25" Type="http://schemas.openxmlformats.org/officeDocument/2006/relationships/hyperlink" Target="https://doi.org/10.1016/B978-0-12-803157-5.00001-0" TargetMode="External"/><Relationship Id="rId2" Type="http://schemas.openxmlformats.org/officeDocument/2006/relationships/numbering" Target="numbering.xml"/><Relationship Id="rId16" Type="http://schemas.openxmlformats.org/officeDocument/2006/relationships/hyperlink" Target="https://doi.org/10.4060/cb9479en" TargetMode="External"/><Relationship Id="rId20" Type="http://schemas.openxmlformats.org/officeDocument/2006/relationships/hyperlink" Target="https://doi.org/10.1038/s41575-020-00390-5" TargetMode="External"/><Relationship Id="rId29" Type="http://schemas.openxmlformats.org/officeDocument/2006/relationships/hyperlink" Target="https://www.who.int/publications/i/item/9789240027053" TargetMode="External"/><Relationship Id="rId1" Type="http://schemas.openxmlformats.org/officeDocument/2006/relationships/customXml" Target="../customXml/item1.xml"/><Relationship Id="rId6" Type="http://schemas.openxmlformats.org/officeDocument/2006/relationships/hyperlink" Target="https://doi.org/10.3390/molecules25040927" TargetMode="External"/><Relationship Id="rId11" Type="http://schemas.openxmlformats.org/officeDocument/2006/relationships/hyperlink" Target="https://doi.org/10.9734/ajarr/2024/v18i7692" TargetMode="External"/><Relationship Id="rId24" Type="http://schemas.openxmlformats.org/officeDocument/2006/relationships/hyperlink" Target="https://www.multiresearchjournal.com/arclist/list-2025.5.5/id-5006" TargetMode="External"/><Relationship Id="rId5" Type="http://schemas.openxmlformats.org/officeDocument/2006/relationships/webSettings" Target="webSettings.xml"/><Relationship Id="rId15" Type="http://schemas.openxmlformats.org/officeDocument/2006/relationships/hyperlink" Target="https://doi.org/10.47672/ajfsn.1694" TargetMode="External"/><Relationship Id="rId23" Type="http://schemas.openxmlformats.org/officeDocument/2006/relationships/hyperlink" Target="https://doi.org/10.9734/ejnfs/2021/v13i530418" TargetMode="External"/><Relationship Id="rId28" Type="http://schemas.openxmlformats.org/officeDocument/2006/relationships/hyperlink" Target="https://doi.org/10.1007/s11694-025-03358-8" TargetMode="External"/><Relationship Id="rId10" Type="http://schemas.openxmlformats.org/officeDocument/2006/relationships/hyperlink" Target="https://www.globalscientificjournal.com/researchpaper/RHEOLOGICAL_MICRONUTRIENTS_AND_MICROBIAL_QUALITY_OF_IDLI_PRODUCED_FROM_BLENDS_OF_RICE_Oryza_sativa_AFRICAN_YAM_BEAN_Sphenostylis_sternocarpa_AND_PIGEON_PEA_Cajanus_cajan_.pdf" TargetMode="External"/><Relationship Id="rId19" Type="http://schemas.openxmlformats.org/officeDocument/2006/relationships/hyperlink" Target="https://doi.org/10.14303/ajfst.2022.04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urnalajaar.com/index.php/AJAAR/article/view/109" TargetMode="External"/><Relationship Id="rId14" Type="http://schemas.openxmlformats.org/officeDocument/2006/relationships/hyperlink" Target="https://doi.org/10.9734/ajacr/2025/v16i4356" TargetMode="External"/><Relationship Id="rId22" Type="http://schemas.openxmlformats.org/officeDocument/2006/relationships/hyperlink" Target="https://doi.org/10.1002/fsn3.748" TargetMode="External"/><Relationship Id="rId27" Type="http://schemas.openxmlformats.org/officeDocument/2006/relationships/hyperlink" Target="https://doi.org/10.1016/j.focha.2024.100837"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E6ECE-4661-4010-BF5F-CB3CDD6CF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11</Pages>
  <Words>4844</Words>
  <Characters>27617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Editor-90</cp:lastModifiedBy>
  <cp:revision>24</cp:revision>
  <cp:lastPrinted>2026-03-23T03:58:00Z</cp:lastPrinted>
  <dcterms:created xsi:type="dcterms:W3CDTF">2026-06-12T12:53:00Z</dcterms:created>
  <dcterms:modified xsi:type="dcterms:W3CDTF">2026-06-26T06:57:00Z</dcterms:modified>
</cp:coreProperties>
</file>