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4363" w14:textId="77777777" w:rsidR="00A17AE7" w:rsidRPr="00560D34" w:rsidRDefault="00A17AE7" w:rsidP="004336DD">
      <w:pPr>
        <w:spacing w:after="0" w:line="240" w:lineRule="auto"/>
        <w:jc w:val="center"/>
        <w:rPr>
          <w:rFonts w:ascii="Times New Roman" w:eastAsia="Times New Roman" w:hAnsi="Times New Roman" w:cs="Times New Roman"/>
          <w:i/>
          <w:sz w:val="14"/>
          <w:szCs w:val="20"/>
        </w:rPr>
      </w:pPr>
    </w:p>
    <w:p w14:paraId="22B1EB3B" w14:textId="255F060B" w:rsidR="004336DD" w:rsidRPr="00560D34" w:rsidRDefault="003C6BF8" w:rsidP="004336DD">
      <w:pPr>
        <w:spacing w:after="0" w:line="240" w:lineRule="auto"/>
        <w:jc w:val="right"/>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12"/>
          <w:szCs w:val="20"/>
          <w:lang w:val="ru-RU" w:eastAsia="ru-RU"/>
        </w:rPr>
        <mc:AlternateContent>
          <mc:Choice Requires="wps">
            <w:drawing>
              <wp:inline distT="0" distB="0" distL="0" distR="0" wp14:anchorId="5B23C91D" wp14:editId="068131C5">
                <wp:extent cx="5723890" cy="635"/>
                <wp:effectExtent l="9525" t="18415" r="10160" b="9525"/>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723890" cy="635"/>
                        </a:xfrm>
                        <a:prstGeom prst="bentConnector3">
                          <a:avLst>
                            <a:gd name="adj1" fmla="val 49995"/>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5F82E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dNRgIAAIcEAAAOAAAAZHJzL2Uyb0RvYy54bWysVF1v2jAUfZ+0/2DlnSaBQEnUUFUJ7KVb&#10;kdr9AGM7xJu/ZLsENO2/79oE1G4v0zQejD+uzz3n3uPc3R+lQAdmHdeqTvKbLEFMEU252tfJ15fN&#10;ZJkg57GiWGjF6uTEXHK/+vjhbjAVm+peC8osAhDlqsHUSe+9qdLUkZ5J7G60YQoOO20l9rC0+5Ra&#10;PAC6FOk0yxbpoC01VhPmHOy258NkFfG7jhH/1HWOeSTqBLj5ONo47sKYru5wtbfY9JyMNPA/sJCY&#10;K0h6hWqxx+jV8j+gJCdWO935G6JlqruOExY1gJo8+03Nc48Ni1qgOM5cy+T+Hyz5cthaxGmdzBKk&#10;sIQWPbx6HTOjWSjPYFwFUY3a2iCQHNWzedTku0NKNz1We/bgDNQZug8I41a8/3IyAJcHkPQdSlg4&#10;A3l3w2dNIQZDyli+Y2dlyAKFQcfYpdO1S+zoEYHN+e10tiyhmQTOFrN5xMfV5aqxzn9iWqIwqZMd&#10;U77RSgFDbWcxCT48Oh+bRUfJmH4D8p0U0PsDFqgoy/KCO0anuLogh6tKb7gQ0T1CoQFkltk8i/BO&#10;C07DaYhzdr9rhEWACkLib+T7LkxyD89AcFkny2sQrnqG6VrRmMZjLs5zoCJUAIeKjEpCbaLdfpRZ&#10;uV6ul8WkmC7WkyJr28nDpikmi01+O29nbdO0+c/AMy+qnlPKVKB6sX5e/J21xkd4Nu3V/NeipO/R&#10;of+R7OU/ko6WCC44W2yn6WlrL1YBt8fg8WWG5/R2DfO334/VLwAAAP//AwBQSwMEFAAGAAgAAAAh&#10;ALwU4MPYAAAAAgEAAA8AAABkcnMvZG93bnJldi54bWxMj8FOwzAQRO9I/IO1lbhRJwhQE+JUqBLi&#10;ggQEPmAbb5NQex3ZbpP+PS4XehlpNaOZt9V6tkYcyYfBsYJ8mYEgbp0euFPw/fVyuwIRIrJG45gU&#10;nCjAur6+qrDUbuJPOjaxE6mEQ4kK+hjHUsrQ9mQxLN1InLyd8xZjOn0ntccplVsj77LsUVocOC30&#10;ONKmp3bfHKyCj/efYvPgC/36ZvLQrHg67fyk1M1ifn4CEWmO/2E44yd0qBPT1h1YB2EUpEfinyav&#10;yPJ7ENtzSNaVvESvfwEAAP//AwBQSwECLQAUAAYACAAAACEAtoM4kv4AAADhAQAAEwAAAAAAAAAA&#10;AAAAAAAAAAAAW0NvbnRlbnRfVHlwZXNdLnhtbFBLAQItABQABgAIAAAAIQA4/SH/1gAAAJQBAAAL&#10;AAAAAAAAAAAAAAAAAC8BAABfcmVscy8ucmVsc1BLAQItABQABgAIAAAAIQCsxLdNRgIAAIcEAAAO&#10;AAAAAAAAAAAAAAAAAC4CAABkcnMvZTJvRG9jLnhtbFBLAQItABQABgAIAAAAIQC8FODD2AAAAAIB&#10;AAAPAAAAAAAAAAAAAAAAAKAEAABkcnMvZG93bnJldi54bWxQSwUGAAAAAAQABADzAAAApQUAAAAA&#10;" adj="10799" strokeweight="1.5pt">
                <o:lock v:ext="edit" aspectratio="t"/>
                <w10:anchorlock/>
              </v:shape>
            </w:pict>
          </mc:Fallback>
        </mc:AlternateContent>
      </w:r>
    </w:p>
    <w:p w14:paraId="1E9A0E1B" w14:textId="77777777" w:rsidR="00444654" w:rsidRPr="00560D34" w:rsidRDefault="00444654" w:rsidP="00444654">
      <w:pPr>
        <w:spacing w:after="0" w:line="240" w:lineRule="auto"/>
        <w:jc w:val="right"/>
        <w:rPr>
          <w:rFonts w:ascii="Times New Roman" w:eastAsia="Times New Roman" w:hAnsi="Times New Roman" w:cs="Times New Roman"/>
          <w:b/>
          <w:bCs/>
          <w:color w:val="000000"/>
          <w:sz w:val="20"/>
          <w:szCs w:val="36"/>
        </w:rPr>
      </w:pPr>
    </w:p>
    <w:p w14:paraId="171BD9DC" w14:textId="215F7BCB" w:rsidR="00EB63D6" w:rsidRPr="00560D34" w:rsidRDefault="00EE3544" w:rsidP="003B134C">
      <w:pPr>
        <w:pStyle w:val="Heading1"/>
        <w:rPr>
          <w:rFonts w:ascii="Times New Roman" w:eastAsia="Times New Roman" w:hAnsi="Times New Roman" w:cs="Times New Roman"/>
          <w:kern w:val="28"/>
          <w:sz w:val="48"/>
          <w:szCs w:val="48"/>
        </w:rPr>
      </w:pPr>
      <w:r w:rsidRPr="00560D34">
        <w:rPr>
          <w:rFonts w:ascii="Times New Roman" w:eastAsia="Times New Roman" w:hAnsi="Times New Roman" w:cs="Times New Roman"/>
          <w:kern w:val="28"/>
          <w:sz w:val="48"/>
          <w:szCs w:val="48"/>
        </w:rPr>
        <w:t>Effect of Fermentation and Germination on the Functional, Microbial, Pasting and Sensory Properties of Maize–Black Kidney Bean–Date Flour Breakfast Meal Blends</w:t>
      </w:r>
    </w:p>
    <w:p w14:paraId="22817B4E" w14:textId="77777777" w:rsidR="00EB63D6" w:rsidRPr="00560D34" w:rsidRDefault="00EB63D6" w:rsidP="00EB63D6">
      <w:pPr>
        <w:spacing w:after="0" w:line="240" w:lineRule="auto"/>
        <w:contextualSpacing/>
        <w:jc w:val="right"/>
        <w:rPr>
          <w:rFonts w:ascii="Times New Roman" w:eastAsia="Times New Roman" w:hAnsi="Times New Roman" w:cs="Times New Roman"/>
          <w:b/>
          <w:bCs/>
          <w:sz w:val="36"/>
          <w:szCs w:val="20"/>
        </w:rPr>
      </w:pPr>
    </w:p>
    <w:p w14:paraId="2277D0C7" w14:textId="65808A16" w:rsidR="00444654" w:rsidRPr="00560D34" w:rsidRDefault="003C6BF8" w:rsidP="00444654">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noProof/>
          <w:sz w:val="24"/>
          <w:szCs w:val="20"/>
          <w:lang w:val="ru-RU" w:eastAsia="ru-RU"/>
        </w:rPr>
        <mc:AlternateContent>
          <mc:Choice Requires="wps">
            <w:drawing>
              <wp:inline distT="0" distB="0" distL="0" distR="0" wp14:anchorId="417A4900" wp14:editId="3452BF45">
                <wp:extent cx="5723890" cy="635"/>
                <wp:effectExtent l="9525" t="13970" r="10160" b="1460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C8416B" id="_x0000_t32" coordsize="21600,21600" o:spt="32" o:oned="t" path="m,l21600,21600e" filled="f">
                <v:path arrowok="t" fillok="f" o:connecttype="none"/>
                <o:lock v:ext="edit" shapetype="t"/>
              </v:shapetype>
              <v:shape id="AutoShape 2" o:spid="_x0000_s1026" type="#_x0000_t32"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S/HgIAADw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iCja&#10;o0TPewehMpn48Qza5hhVqq3xDbKjetUvwL5boqBsqWpECH47acxNfUb8LsVfrMYiu+EzcIyhiB9m&#10;daxN7yFxCuQYJDndJBFHRxh+nD5OHuYLVI5dfTHNr4naWPdJQE+8UUTWGSqb1pWgFAoPJg1l6OHF&#10;Ok+L5tcEX1XBRnZd0L9TZEDui2SahAwLneTe6+OsaXZlZ8iB+hUKv9Akeu7DDOwVD2itoHx9sR2V&#10;3dnG6p3yeNgZ8rlY5x35sUgW6/l6no2yyWw9ypKqGj1vymw026SP0+qhKssq/emppVneSs6F8uyu&#10;+5pmf7cPl5dz3rTbxt7mEL9HDwNDstf/QDpI69U878UO+GlrrpLjiobgy3Pyb+D+jvb9o1/9AgAA&#10;//8DAFBLAwQUAAYACAAAACEA7+K8RNYAAAACAQAADwAAAGRycy9kb3ducmV2LnhtbEyPwUrEQBBE&#10;74L/MLTgRdzJiiwxZrKI4MmDcdcP6GTaJJjpCZnOZvx7Z73opaCpoup1uY9uVCeaw+DZwHaTgSJu&#10;vR24M/BxfLnNQQVBtjh6JgPfFGBfXV6UWFi/8judDtKpVMKhQAO9yFRoHdqeHIaNn4iT9+lnh5LO&#10;udN2xjWVu1HfZdlOOxw4LfQ40XNP7ddhcQbi244l1nlsVl5eQ35TR3S1MddX8ekRlFCUvzCc8RM6&#10;VImp8QvboEYD6RH51eQ9ZNt7UM05pKtS/0evfgAAAP//AwBQSwECLQAUAAYACAAAACEAtoM4kv4A&#10;AADhAQAAEwAAAAAAAAAAAAAAAAAAAAAAW0NvbnRlbnRfVHlwZXNdLnhtbFBLAQItABQABgAIAAAA&#10;IQA4/SH/1gAAAJQBAAALAAAAAAAAAAAAAAAAAC8BAABfcmVscy8ucmVsc1BLAQItABQABgAIAAAA&#10;IQAdBYS/HgIAADwEAAAOAAAAAAAAAAAAAAAAAC4CAABkcnMvZTJvRG9jLnhtbFBLAQItABQABgAI&#10;AAAAIQDv4rxE1gAAAAIBAAAPAAAAAAAAAAAAAAAAAHgEAABkcnMvZG93bnJldi54bWxQSwUGAAAA&#10;AAQABADzAAAAewUAAAAA&#10;" strokeweight="1.5pt">
                <w10:anchorlock/>
              </v:shape>
            </w:pict>
          </mc:Fallback>
        </mc:AlternateContent>
      </w:r>
    </w:p>
    <w:p w14:paraId="69911937"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p w14:paraId="7E813249" w14:textId="45E82EB9" w:rsidR="00444654" w:rsidRPr="00560D34" w:rsidRDefault="00ED4643" w:rsidP="003B134C">
      <w:pPr>
        <w:pStyle w:val="Heading2"/>
        <w:rPr>
          <w:rFonts w:ascii="Times New Roman" w:eastAsia="Times New Roman" w:hAnsi="Times New Roman" w:cs="Times New Roman"/>
        </w:rPr>
      </w:pPr>
      <w:r w:rsidRPr="00560D34">
        <w:rPr>
          <w:rFonts w:ascii="Times New Roman" w:eastAsia="Times New Roman" w:hAnsi="Times New Roman" w:cs="Times New Roman"/>
        </w:rPr>
        <w:t>Abstract</w:t>
      </w:r>
    </w:p>
    <w:p w14:paraId="3D731C85"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560D34" w14:paraId="4082A4D1" w14:textId="77777777" w:rsidTr="001808B9">
        <w:trPr>
          <w:jc w:val="center"/>
        </w:trPr>
        <w:tc>
          <w:tcPr>
            <w:tcW w:w="9040" w:type="dxa"/>
          </w:tcPr>
          <w:p w14:paraId="0419F9DB" w14:textId="2D1909C5" w:rsidR="00EB63D6" w:rsidRPr="00560D34" w:rsidRDefault="00EE3544" w:rsidP="00EB63D6">
            <w:pPr>
              <w:spacing w:after="0" w:line="240" w:lineRule="auto"/>
              <w:contextualSpacing/>
              <w:jc w:val="both"/>
              <w:rPr>
                <w:rFonts w:ascii="Times New Roman" w:eastAsia="Calibri" w:hAnsi="Times New Roman" w:cs="Times New Roman"/>
                <w:sz w:val="20"/>
              </w:rPr>
            </w:pPr>
            <w:r>
              <w:rPr>
                <w:rFonts w:ascii="Times New Roman" w:hAnsi="Times New Roman"/>
                <w:sz w:val="20"/>
                <w:highlight w:val="yellow"/>
              </w:rPr>
              <w:t>This study investigated the effects of fermentation and germination on the functional, microbial, pasting and sensory properties of breakfast meal flour blends formulated from maize, black kidney bean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used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capacity from 1.35 to 2.51 g/g, and viscosity from 32.35 to 241.69 cP. GFMSBD exhibited the highest water absorption capacity, oil absorption capacity, foaming capacity, emulsifying activity and swelling capacity, indicating that combined germination and fermentation improved the functional characteristics of the flour blends. Microbial analysis showed that all samples were microbiologically acceptable, with bacterial and fungal counts within stated limits and no coliform contamination. Pasting properties indicated that germination and fermentation reduced viscosity and setback values, while sensory evaluation showed that GFMSBD had the highest overall acceptability score (8.77). The study concluded that the combined application of fermentation and germination improved the functional performance, microbial quality, pasting behaviour and sensory acceptability of maize-black kidney bean-date flour breakfast meal blends.</w:t>
            </w:r>
          </w:p>
          <w:p w14:paraId="3B838B45" w14:textId="77777777" w:rsidR="00EB63D6" w:rsidRPr="00560D34" w:rsidRDefault="00EB63D6" w:rsidP="00EE3544">
            <w:pPr>
              <w:spacing w:after="0" w:line="240" w:lineRule="auto"/>
              <w:jc w:val="both"/>
              <w:rPr>
                <w:rFonts w:ascii="Times New Roman" w:eastAsia="Times New Roman" w:hAnsi="Times New Roman" w:cs="Times New Roman"/>
                <w:bCs/>
                <w:sz w:val="16"/>
                <w:szCs w:val="20"/>
              </w:rPr>
            </w:pPr>
          </w:p>
        </w:tc>
      </w:tr>
    </w:tbl>
    <w:p w14:paraId="6EF9BC17" w14:textId="77777777" w:rsidR="00444654" w:rsidRPr="00560D34" w:rsidRDefault="00444654" w:rsidP="00444654">
      <w:pPr>
        <w:spacing w:after="0" w:line="240" w:lineRule="auto"/>
        <w:ind w:left="990" w:hanging="990"/>
        <w:jc w:val="both"/>
        <w:textAlignment w:val="top"/>
        <w:rPr>
          <w:rFonts w:ascii="Times New Roman" w:eastAsia="Times New Roman" w:hAnsi="Times New Roman" w:cs="Times New Roman"/>
          <w:i/>
          <w:sz w:val="16"/>
          <w:szCs w:val="16"/>
        </w:rPr>
      </w:pPr>
    </w:p>
    <w:p w14:paraId="7DB1BA35" w14:textId="4D938894" w:rsidR="00EB63D6" w:rsidRPr="00560D34" w:rsidRDefault="00EE3544" w:rsidP="00EB63D6">
      <w:pPr>
        <w:spacing w:after="0" w:line="240" w:lineRule="auto"/>
        <w:ind w:left="1080" w:hanging="1080"/>
        <w:contextualSpacing/>
        <w:jc w:val="both"/>
        <w:rPr>
          <w:rFonts w:ascii="Times New Roman" w:eastAsia="Times New Roman" w:hAnsi="Times New Roman" w:cs="Times New Roman"/>
          <w:bCs/>
          <w:i/>
          <w:iCs/>
          <w:sz w:val="20"/>
          <w:szCs w:val="20"/>
        </w:rPr>
      </w:pPr>
      <w:r>
        <w:rPr>
          <w:rFonts w:ascii="Times New Roman" w:hAnsi="Times New Roman"/>
          <w:i/>
          <w:sz w:val="20"/>
          <w:highlight w:val="yellow"/>
        </w:rPr>
        <w:t>Keywords:</w:t>
      </w:r>
      <w:r>
        <w:rPr>
          <w:rFonts w:ascii="Times New Roman" w:hAnsi="Times New Roman"/>
          <w:i/>
          <w:sz w:val="20"/>
          <w:highlight w:val="yellow"/>
        </w:rPr>
        <w:tab/>
        <w:t>Fermentation; germination; breakfast meal; maize flour; black kidney bean; date flour; functional properties; sensory evaluation.</w:t>
      </w:r>
    </w:p>
    <w:p w14:paraId="2FEB869C" w14:textId="37D92F85" w:rsidR="00EE3544" w:rsidRPr="00560D34" w:rsidRDefault="00EE3544" w:rsidP="00EE3544">
      <w:pPr>
        <w:spacing w:after="0" w:line="240" w:lineRule="auto"/>
        <w:contextualSpacing/>
        <w:jc w:val="both"/>
        <w:rPr>
          <w:rFonts w:ascii="Times New Roman" w:eastAsia="Times New Roman" w:hAnsi="Times New Roman" w:cs="Times New Roman"/>
          <w:bCs/>
          <w:iCs/>
          <w:sz w:val="16"/>
          <w:szCs w:val="16"/>
        </w:rPr>
      </w:pPr>
    </w:p>
    <w:p w14:paraId="121C1C49" w14:textId="1CECEFBB"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1. Introduction</w:t>
      </w:r>
    </w:p>
    <w:p w14:paraId="1712EC24"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B75D324" w14:textId="01B02928"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Breakfast is often considered an important meal because it supplies the body with nutrients and energy required for growth, mental focus and normal metabolic functions (</w:t>
      </w:r>
      <w:r w:rsidR="001B366B" w:rsidRPr="00A30099">
        <w:rPr>
          <w:rFonts w:ascii="Times New Roman" w:hAnsi="Times New Roman"/>
          <w:sz w:val="20"/>
          <w:highlight w:val="yellow"/>
        </w:rPr>
        <w:t xml:space="preserve">Hamzah </w:t>
      </w:r>
      <w:r>
        <w:rPr>
          <w:rFonts w:ascii="Times New Roman" w:hAnsi="Times New Roman"/>
          <w:sz w:val="20"/>
          <w:highlight w:val="yellow"/>
        </w:rPr>
        <w:t>et al., 2025). Regular consumption of a nutritious breakfast has been associated with better concentration, higher academic performance, improved nutrient intake and a lower risk of chronic disease (Rani et al., 2021). However, in many developing countries, breakfast meals rely heavily on cereals, resulting in foods with low-quality protein, insufficient micronutrients and limited dietary diversity (Feyera, 2020; Edima-Nyah &amp; Ntukidem, 2019; Gibney et al., 2018). These limitations contribute to protein-energy malnutrition, micronutrient deficiencies and poor health outcomes, particularly among children and low-income groups (Tesfay et al., 2020).</w:t>
      </w:r>
    </w:p>
    <w:p w14:paraId="2AE72D05"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231F5E0" w14:textId="274F0685"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Maize is one of the most widely consumed cereal grains in the world and serves as a major staple food in many African countries due to its affordability, availability, and high carbohydrate content </w:t>
      </w:r>
      <w:r w:rsidRPr="00560D34">
        <w:rPr>
          <w:rFonts w:ascii="Times New Roman" w:eastAsia="Times New Roman" w:hAnsi="Times New Roman" w:cs="Times New Roman"/>
          <w:bCs/>
          <w:noProof/>
          <w:sz w:val="20"/>
          <w:szCs w:val="20"/>
        </w:rPr>
        <w:t>(Jacinto et al., 2018)</w:t>
      </w:r>
      <w:r w:rsidRPr="00560D34">
        <w:rPr>
          <w:rFonts w:ascii="Times New Roman" w:eastAsia="Times New Roman" w:hAnsi="Times New Roman" w:cs="Times New Roman"/>
          <w:bCs/>
          <w:sz w:val="20"/>
          <w:szCs w:val="20"/>
        </w:rPr>
        <w:t xml:space="preserve">. Despite its importance as an energy source, maize is deficient in essential amino acids such as lysine and tryptophan, thereby limiting its protein quality. Therefore, the nutritional quality of maize-based foods can be improved </w:t>
      </w:r>
      <w:r w:rsidRPr="00560D34">
        <w:rPr>
          <w:rFonts w:ascii="Times New Roman" w:eastAsia="Times New Roman" w:hAnsi="Times New Roman" w:cs="Times New Roman"/>
          <w:bCs/>
          <w:sz w:val="20"/>
          <w:szCs w:val="20"/>
        </w:rPr>
        <w:lastRenderedPageBreak/>
        <w:t>through supplementation with legumes and fruits that provide proteins, minerals, vitamins, and bioactive compounds (Edima-Nyah et al., 2024).</w:t>
      </w:r>
    </w:p>
    <w:p w14:paraId="1DB9F6E8"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61B27E7F" w14:textId="3E67C866"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Black kidney beans are rich sources of protein, dietary fibre, minerals and phytochemicals (Srenuja et al., 2023). They contain approximately 20-25% protein and are rich in dietary fibre, B vitamins, and minerals, including iron, zinc and potassium (Kimothi &amp; Dhaliwal, 2020). The incorporation of legumes into cereal-based products has been reported to improve amino acid balance, enhance protein quality and increase micronutrient content (Mostafa et al., 2017).</w:t>
      </w:r>
    </w:p>
    <w:p w14:paraId="2E7FC341"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17ABAC19" w14:textId="691FFD1E"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Date fruit contains natural sugars, antioxidants, vitamins, minerals and dietary fibre, making it a valuable ingredient for improving the flavour, sweetness and sensory acceptability of food products (Aljaloud et al., 2020).</w:t>
      </w:r>
    </w:p>
    <w:p w14:paraId="0B3E45B6"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2FF60C61" w14:textId="368537E0"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Processing techniques such as fermentation and germination are widely used to enhance the nutritional quality and functional performance of cereal-legume foods (Adebo et al., 2022). Fermentation improves flavour, digestibility, microbial safety and mineral bioavailability through microbial and enzymatic activities. It also reduces anti-nutritional factors and enhances shelf stability (Ikujenlola &amp; Iwayemi, 2025). Germination activates endogenous enzymes, such as amylases and proteases, leading to starch hydrolysis, protein modification and improved nutrient availability (Sobowale, 2025).</w:t>
      </w:r>
    </w:p>
    <w:p w14:paraId="72BF512C" w14:textId="77777777" w:rsidR="0077328A" w:rsidRPr="00560D34" w:rsidRDefault="0077328A" w:rsidP="0077328A">
      <w:pPr>
        <w:spacing w:after="0" w:line="240" w:lineRule="auto"/>
        <w:jc w:val="both"/>
        <w:rPr>
          <w:rFonts w:ascii="Times New Roman" w:eastAsia="Calibri" w:hAnsi="Times New Roman" w:cs="Times New Roman"/>
          <w:sz w:val="16"/>
          <w:szCs w:val="16"/>
        </w:rPr>
      </w:pPr>
    </w:p>
    <w:p w14:paraId="0D45C227" w14:textId="7777777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However, blending raw cereals and legumes often results in poor functional properties, including low water and oil absorption, high viscosity, rapid retrogradation and undesirable sensory attributes, such as gritty texture and off-flavours. Traditional bioprocessing techniques, including fermentation and germination (sprouting), have therefore attracted scientific interest as approaches for addressing these limitations. Although each technique has been studied individually, limited information is available on their combined effects in ternary blends of cereal, legume and fruit flour, particularly for breakfast meal applications. Therefore, this study aimed to evaluate the functional, pasting, microbial and sensory properties of breakfast meal flour blends produced from fermented and germinated maize combined with sprouted and non-sprouted black kidney beans and date flour.</w:t>
      </w:r>
    </w:p>
    <w:p w14:paraId="48360EA3" w14:textId="77777777" w:rsidR="0077328A" w:rsidRPr="00560D34" w:rsidRDefault="0077328A" w:rsidP="0077328A">
      <w:pPr>
        <w:spacing w:after="0" w:line="240" w:lineRule="auto"/>
        <w:jc w:val="both"/>
        <w:outlineLvl w:val="0"/>
        <w:rPr>
          <w:rFonts w:ascii="Times New Roman" w:eastAsia="Times New Roman" w:hAnsi="Times New Roman" w:cs="Times New Roman"/>
          <w:b/>
          <w:kern w:val="36"/>
          <w:sz w:val="14"/>
          <w:szCs w:val="16"/>
        </w:rPr>
      </w:pPr>
    </w:p>
    <w:p w14:paraId="5CDC4D18" w14:textId="77777777"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kern w:val="36"/>
          <w:szCs w:val="20"/>
        </w:rPr>
        <w:t>2. Materials and Methods</w:t>
      </w:r>
    </w:p>
    <w:p w14:paraId="633F7164"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866F4F" w14:textId="1CA4398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2.1 Raw Materials Procurement </w:t>
      </w:r>
    </w:p>
    <w:p w14:paraId="09F6C784" w14:textId="77777777" w:rsidR="0077328A" w:rsidRPr="00560D34" w:rsidRDefault="0077328A" w:rsidP="0077328A">
      <w:pPr>
        <w:spacing w:after="0" w:line="240" w:lineRule="auto"/>
        <w:jc w:val="both"/>
        <w:rPr>
          <w:rFonts w:ascii="Times New Roman" w:eastAsia="Times New Roman" w:hAnsi="Times New Roman" w:cs="Times New Roman"/>
          <w:sz w:val="14"/>
          <w:szCs w:val="16"/>
        </w:rPr>
      </w:pPr>
    </w:p>
    <w:p w14:paraId="6268D827" w14:textId="0B72B3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Yellow maize and date fruits were procured from Wurukum Market in Makurdi, Benue State, Nigeria. Black kidney beans were purchased from Bamenda Food Market, Cameroon.</w:t>
      </w:r>
    </w:p>
    <w:p w14:paraId="4A5423D3" w14:textId="77777777" w:rsidR="0077328A" w:rsidRPr="00560D34" w:rsidRDefault="0077328A" w:rsidP="0077328A">
      <w:pPr>
        <w:spacing w:after="0" w:line="240" w:lineRule="auto"/>
        <w:jc w:val="both"/>
        <w:rPr>
          <w:rFonts w:ascii="Times New Roman" w:eastAsia="Times New Roman" w:hAnsi="Times New Roman" w:cs="Times New Roman"/>
          <w:b/>
          <w:sz w:val="14"/>
          <w:szCs w:val="16"/>
        </w:rPr>
      </w:pPr>
    </w:p>
    <w:p w14:paraId="6B3941AF" w14:textId="2716120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Pr>
          <w:rFonts w:ascii="Times New Roman" w:hAnsi="Times New Roman"/>
          <w:b/>
          <w:highlight w:val="yellow"/>
        </w:rPr>
        <w:t>2.2 Preparation of Flour Samples</w:t>
      </w:r>
    </w:p>
    <w:p w14:paraId="14BDEE29"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291D7A" w14:textId="42AEB01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2.2.1 Production of Fermented Yellow Maize Seeds Flour</w:t>
      </w:r>
    </w:p>
    <w:p w14:paraId="0BECE2AF"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3A22B80B" w14:textId="17A40F55" w:rsidR="0077328A" w:rsidRPr="00560D34" w:rsidRDefault="0077328A" w:rsidP="0077328A">
      <w:pPr>
        <w:spacing w:after="0" w:line="240" w:lineRule="auto"/>
        <w:jc w:val="both"/>
        <w:outlineLvl w:val="1"/>
        <w:rPr>
          <w:rFonts w:ascii="Times New Roman" w:eastAsia="Times New Roman" w:hAnsi="Times New Roman" w:cs="Times New Roman"/>
          <w:bCs/>
          <w:sz w:val="20"/>
          <w:szCs w:val="20"/>
        </w:rPr>
      </w:pPr>
      <w:r>
        <w:rPr>
          <w:rFonts w:ascii="Times New Roman" w:hAnsi="Times New Roman"/>
          <w:sz w:val="20"/>
          <w:highlight w:val="yellow"/>
        </w:rPr>
        <w:t>Fermented yellow maize flour was processed using the method described by Anaemene and Fadupin (2020). Four kilograms of yellow maize seeds were cleaned, washed, soaked in excess tepid water (1:3 w/v) and allowed to ferment naturally for 72 h at room temperature (30 ± 2 °C). The fermented seeds were washed and dried in a dehydrator at 60 °C (model: ST 0-2) for 24 h. The seeds were milled using an electric grinder (DE-2000 g) and sieved through a 450 µm pore sieve to obtain fermented maize flour. The flour obtained was packaged in zip-lock bags and stored in a refrigerator at 4 °C.</w:t>
      </w:r>
    </w:p>
    <w:p w14:paraId="33538597"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BD21A9" w14:textId="12FD1112"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2.2.2 Production of Germinated/Fermented Yellow Maize Seeds Flour</w:t>
      </w:r>
    </w:p>
    <w:p w14:paraId="775930CE"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263D14B7" w14:textId="7DC7DC3E" w:rsidR="0077328A" w:rsidRPr="00560D34" w:rsidRDefault="0077328A" w:rsidP="0077328A">
      <w:pPr>
        <w:spacing w:after="0" w:line="240" w:lineRule="auto"/>
        <w:jc w:val="both"/>
        <w:outlineLvl w:val="1"/>
        <w:rPr>
          <w:rFonts w:ascii="Times New Roman" w:eastAsia="Times New Roman" w:hAnsi="Times New Roman" w:cs="Times New Roman"/>
          <w:b/>
          <w:bCs/>
          <w:sz w:val="20"/>
          <w:szCs w:val="20"/>
        </w:rPr>
      </w:pPr>
      <w:r>
        <w:rPr>
          <w:rFonts w:ascii="Times New Roman" w:hAnsi="Times New Roman"/>
          <w:sz w:val="20"/>
          <w:highlight w:val="yellow"/>
        </w:rPr>
        <w:t>Four kilograms of yellow maize seeds were cleaned and soaked in excess tepid water for 24 h, with rinsing at 12 h intervals to prevent fermentation. The maize seeds were washed, drained and spread again at the 24th and 48th hours of germination, and were allowed to continue sprouting at room temperature until 72 h using a modified method of Anaemene and Fadupin (2020). Water was sprinkled once or twice daily during the germination period to encourage aeration. The germinated maize was washed and fermented in water for 48 h at 30 °C. The sprouted fermented seeds were dried in a dehydrator at 60 °C (model: ST 0-2) for 24 h. The rootlets and hulls were removed, and the seeds were milled, sieved through a 450 µm pore sieve, packed in zip-lock bags and stored at 4 °C as germinated/fermented maize flour for further analysis.</w:t>
      </w:r>
    </w:p>
    <w:p w14:paraId="105087B3"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69CDE91F" w14:textId="0760E263" w:rsidR="0077328A" w:rsidRPr="00560D34"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
          <w:bCs/>
          <w:sz w:val="20"/>
          <w:szCs w:val="20"/>
          <w:lang w:val="en-GB"/>
        </w:rPr>
      </w:pPr>
      <w:r w:rsidRPr="00560D34">
        <w:rPr>
          <w:rFonts w:ascii="Times New Roman" w:eastAsia="Times New Roman" w:hAnsi="Times New Roman" w:cs="Times New Roman"/>
          <w:b/>
          <w:bCs/>
          <w:sz w:val="20"/>
          <w:szCs w:val="20"/>
          <w:lang w:val="en-GB"/>
        </w:rPr>
        <w:t>2.2.3 Preparation of Black Kidney Flour</w:t>
      </w:r>
    </w:p>
    <w:p w14:paraId="52C97CC3" w14:textId="36A126BA" w:rsidR="0077328A"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F579186" w14:textId="11E90A85" w:rsidR="0049170D" w:rsidRPr="0049170D"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8"/>
          <w:szCs w:val="16"/>
          <w:lang w:val="en-GB"/>
        </w:rPr>
      </w:pPr>
      <w:r>
        <w:rPr>
          <w:rFonts w:ascii="Times New Roman" w:hAnsi="Times New Roman"/>
          <w:sz w:val="18"/>
          <w:highlight w:val="yellow"/>
        </w:rPr>
        <w:t>Black kidney bean flour was prepared following the steps shown in the flowchart below:</w:t>
      </w:r>
    </w:p>
    <w:p w14:paraId="34454837" w14:textId="77777777" w:rsidR="0049170D" w:rsidRPr="00560D34"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87D47B5" w14:textId="72C8FEE5" w:rsidR="0077328A" w:rsidRPr="00560D34" w:rsidRDefault="006C6D05"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r w:rsidRPr="00560D34">
        <w:rPr>
          <w:noProof/>
          <w:lang w:val="ru-RU" w:eastAsia="ru-RU"/>
        </w:rPr>
        <w:lastRenderedPageBreak/>
        <w:drawing>
          <wp:inline distT="0" distB="0" distL="0" distR="0" wp14:anchorId="23E7911A" wp14:editId="6DD12E40">
            <wp:extent cx="2751431" cy="2951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5044" cy="2965619"/>
                    </a:xfrm>
                    <a:prstGeom prst="rect">
                      <a:avLst/>
                    </a:prstGeom>
                  </pic:spPr>
                </pic:pic>
              </a:graphicData>
            </a:graphic>
          </wp:inline>
        </w:drawing>
      </w:r>
    </w:p>
    <w:p w14:paraId="51E4605B" w14:textId="77777777" w:rsidR="0077328A" w:rsidRPr="00560D34" w:rsidRDefault="0077328A"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p>
    <w:p w14:paraId="3498574D" w14:textId="71A68675" w:rsidR="0077328A" w:rsidRPr="00560D34" w:rsidRDefault="006C6D05" w:rsidP="006C6D05">
      <w:pPr>
        <w:tabs>
          <w:tab w:val="left" w:pos="6561"/>
        </w:tabs>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Fig. 1. </w:t>
      </w:r>
      <w:r w:rsidR="0077328A" w:rsidRPr="00560D34">
        <w:rPr>
          <w:rFonts w:ascii="Times New Roman" w:eastAsia="Times New Roman" w:hAnsi="Times New Roman" w:cs="Times New Roman"/>
          <w:b/>
          <w:sz w:val="20"/>
          <w:szCs w:val="20"/>
        </w:rPr>
        <w:t>Flow chart for the production of non-sprouted and sprouted black kidney beans flour</w:t>
      </w:r>
    </w:p>
    <w:p w14:paraId="5359EF00" w14:textId="2F893F28" w:rsidR="0077328A" w:rsidRPr="00560D34" w:rsidRDefault="0077328A" w:rsidP="006C6D05">
      <w:pPr>
        <w:tabs>
          <w:tab w:val="left" w:pos="6561"/>
        </w:tabs>
        <w:spacing w:after="0" w:line="240" w:lineRule="auto"/>
        <w:jc w:val="center"/>
        <w:rPr>
          <w:rFonts w:ascii="Times New Roman" w:eastAsia="Times New Roman" w:hAnsi="Times New Roman" w:cs="Times New Roman"/>
          <w:i/>
          <w:sz w:val="18"/>
          <w:szCs w:val="20"/>
        </w:rPr>
      </w:pPr>
      <w:r>
        <w:rPr>
          <w:rFonts w:ascii="Times New Roman" w:hAnsi="Times New Roman"/>
          <w:i/>
          <w:sz w:val="18"/>
          <w:highlight w:val="yellow"/>
        </w:rPr>
        <w:t>Source: Abera et al. (2023) and Heuvey et al. (2023).</w:t>
      </w:r>
    </w:p>
    <w:p w14:paraId="01C3E743" w14:textId="34C6239B" w:rsidR="0077328A" w:rsidRPr="00560D34" w:rsidRDefault="006C6D05" w:rsidP="0077328A">
      <w:pPr>
        <w:tabs>
          <w:tab w:val="left" w:pos="6561"/>
        </w:tabs>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2.2.4 </w:t>
      </w:r>
      <w:r w:rsidR="0077328A" w:rsidRPr="00560D34">
        <w:rPr>
          <w:rFonts w:ascii="Times New Roman" w:eastAsia="Times New Roman" w:hAnsi="Times New Roman" w:cs="Times New Roman"/>
          <w:b/>
          <w:szCs w:val="20"/>
        </w:rPr>
        <w:t xml:space="preserve">Processing of </w:t>
      </w:r>
      <w:r w:rsidRPr="00560D34">
        <w:rPr>
          <w:rFonts w:ascii="Times New Roman" w:eastAsia="Times New Roman" w:hAnsi="Times New Roman" w:cs="Times New Roman"/>
          <w:b/>
          <w:szCs w:val="20"/>
        </w:rPr>
        <w:t>Date Flour</w:t>
      </w:r>
    </w:p>
    <w:p w14:paraId="328A5BD0" w14:textId="77777777" w:rsidR="006C6D05" w:rsidRPr="00560D34" w:rsidRDefault="006C6D05" w:rsidP="0077328A">
      <w:pPr>
        <w:tabs>
          <w:tab w:val="left" w:pos="6561"/>
        </w:tabs>
        <w:spacing w:after="0" w:line="240" w:lineRule="auto"/>
        <w:jc w:val="both"/>
        <w:rPr>
          <w:rFonts w:ascii="Times New Roman" w:eastAsia="Times New Roman" w:hAnsi="Times New Roman" w:cs="Times New Roman"/>
          <w:b/>
          <w:sz w:val="20"/>
          <w:szCs w:val="20"/>
        </w:rPr>
      </w:pPr>
    </w:p>
    <w:p w14:paraId="48B90DE0" w14:textId="7927760E" w:rsidR="006C6D05" w:rsidRPr="00560D34" w:rsidRDefault="0077328A" w:rsidP="006C6D05">
      <w:pPr>
        <w:tabs>
          <w:tab w:val="left" w:pos="6561"/>
        </w:tabs>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Date fruit flour was produced following Ahmadu et al. (2023), with minor modifications to the drying temperature. Two kilograms of dates were sorted, washed and soaked in 2.5 litres of water at 30 ± 2 °C for 24 h, with the water changed every 6 h to prevent fermentation. The seeds were removed, and the pulp was rinsed, spread on trays and dried in a dehydrator at 60 °C (model: ST 0-2) for 20 h, with stirring every 30 min. The dried pulp was milled, sieved (500 µm), mixed with 0.2% calcium triphosphate to prevent caking, packaged in a covered plastic container and stored at 4 °C.</w:t>
      </w:r>
    </w:p>
    <w:p w14:paraId="7E5B91C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73E48D4F" w14:textId="554C6295" w:rsidR="0077328A" w:rsidRPr="00560D34" w:rsidRDefault="0077328A" w:rsidP="006C6D05">
      <w:pPr>
        <w:tabs>
          <w:tab w:val="left" w:pos="6561"/>
        </w:tabs>
        <w:spacing w:after="0" w:line="240" w:lineRule="auto"/>
        <w:jc w:val="both"/>
        <w:rPr>
          <w:rFonts w:ascii="Times New Roman" w:eastAsia="Times New Roman" w:hAnsi="Times New Roman" w:cs="Times New Roman"/>
          <w:bCs/>
          <w:sz w:val="20"/>
          <w:szCs w:val="20"/>
          <w:lang w:val="en-GB"/>
        </w:rPr>
      </w:pPr>
      <w:r>
        <w:rPr>
          <w:rFonts w:ascii="Times New Roman" w:hAnsi="Times New Roman"/>
          <w:sz w:val="20"/>
          <w:highlight w:val="yellow"/>
        </w:rPr>
        <w:t>Samples were formulated after proximate analysis through material balancing, targeting 16% protein per 100 g.</w:t>
      </w:r>
    </w:p>
    <w:p w14:paraId="6E6EC27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0E79BA35" w14:textId="3F16A734" w:rsidR="0077328A" w:rsidRPr="00560D34" w:rsidRDefault="006C6D05" w:rsidP="006C6D05">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Table 1. </w:t>
      </w:r>
      <w:r w:rsidR="0077328A" w:rsidRPr="00560D34">
        <w:rPr>
          <w:rFonts w:ascii="Times New Roman" w:eastAsia="Times New Roman" w:hAnsi="Times New Roman" w:cs="Times New Roman"/>
          <w:b/>
          <w:sz w:val="20"/>
          <w:szCs w:val="20"/>
        </w:rPr>
        <w:t>Sample formulation</w:t>
      </w:r>
    </w:p>
    <w:p w14:paraId="63194816" w14:textId="77777777" w:rsidR="006C6D05" w:rsidRPr="00560D34" w:rsidRDefault="006C6D05" w:rsidP="0077328A">
      <w:pPr>
        <w:spacing w:after="0" w:line="240" w:lineRule="auto"/>
        <w:jc w:val="both"/>
        <w:rPr>
          <w:rFonts w:ascii="Times New Roman" w:eastAsia="Times New Roman"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353"/>
        <w:gridCol w:w="2381"/>
        <w:gridCol w:w="2025"/>
      </w:tblGrid>
      <w:tr w:rsidR="0077328A" w:rsidRPr="00560D34" w14:paraId="790D6D91" w14:textId="77777777" w:rsidTr="00F95923">
        <w:trPr>
          <w:trHeight w:val="20"/>
          <w:jc w:val="center"/>
        </w:trPr>
        <w:tc>
          <w:tcPr>
            <w:tcW w:w="2128" w:type="dxa"/>
            <w:tcBorders>
              <w:top w:val="single" w:sz="4" w:space="0" w:color="auto"/>
              <w:bottom w:val="single" w:sz="4" w:space="0" w:color="auto"/>
            </w:tcBorders>
            <w:hideMark/>
          </w:tcPr>
          <w:p w14:paraId="6EE92C03" w14:textId="77777777" w:rsidR="0077328A" w:rsidRPr="00560D34" w:rsidRDefault="0077328A" w:rsidP="006C6D05">
            <w:pPr>
              <w:rPr>
                <w:rFonts w:ascii="Times New Roman" w:eastAsia="Times New Roman" w:hAnsi="Times New Roman" w:cs="Times New Roman"/>
                <w:b/>
                <w:sz w:val="16"/>
              </w:rPr>
            </w:pPr>
            <w:bookmarkStart w:id="0" w:name="_Toc193211153"/>
            <w:bookmarkStart w:id="1" w:name="_Toc197993473"/>
            <w:bookmarkStart w:id="2" w:name="_Toc224479153"/>
            <w:bookmarkStart w:id="3" w:name="_Toc224493792"/>
            <w:bookmarkStart w:id="4" w:name="_Toc228872098"/>
            <w:bookmarkStart w:id="5" w:name="_Toc228874072"/>
            <w:r w:rsidRPr="00560D34">
              <w:rPr>
                <w:rFonts w:ascii="Times New Roman" w:eastAsia="Times New Roman" w:hAnsi="Times New Roman" w:cs="Times New Roman"/>
                <w:b/>
                <w:sz w:val="16"/>
              </w:rPr>
              <w:t>Sample code</w:t>
            </w:r>
            <w:bookmarkEnd w:id="0"/>
            <w:bookmarkEnd w:id="1"/>
            <w:bookmarkEnd w:id="2"/>
            <w:bookmarkEnd w:id="3"/>
            <w:bookmarkEnd w:id="4"/>
            <w:bookmarkEnd w:id="5"/>
          </w:p>
        </w:tc>
        <w:tc>
          <w:tcPr>
            <w:tcW w:w="2414" w:type="dxa"/>
            <w:tcBorders>
              <w:top w:val="single" w:sz="4" w:space="0" w:color="auto"/>
              <w:bottom w:val="single" w:sz="4" w:space="0" w:color="auto"/>
            </w:tcBorders>
            <w:hideMark/>
          </w:tcPr>
          <w:p w14:paraId="024A681A" w14:textId="77777777" w:rsidR="0077328A" w:rsidRPr="00560D34" w:rsidRDefault="0077328A" w:rsidP="006C6D05">
            <w:pPr>
              <w:rPr>
                <w:rFonts w:ascii="Times New Roman" w:eastAsia="Times New Roman" w:hAnsi="Times New Roman" w:cs="Times New Roman"/>
                <w:b/>
                <w:sz w:val="16"/>
              </w:rPr>
            </w:pPr>
            <w:bookmarkStart w:id="6" w:name="_Toc193211150"/>
            <w:bookmarkStart w:id="7" w:name="_Toc197993470"/>
            <w:bookmarkStart w:id="8" w:name="_Toc224479154"/>
            <w:bookmarkStart w:id="9" w:name="_Toc224493793"/>
            <w:bookmarkStart w:id="10" w:name="_Toc228872099"/>
            <w:bookmarkStart w:id="11" w:name="_Toc228874073"/>
            <w:r w:rsidRPr="00560D34">
              <w:rPr>
                <w:rFonts w:ascii="Times New Roman" w:eastAsia="Times New Roman" w:hAnsi="Times New Roman" w:cs="Times New Roman"/>
                <w:b/>
                <w:sz w:val="16"/>
              </w:rPr>
              <w:t>Maize</w:t>
            </w:r>
            <w:bookmarkEnd w:id="6"/>
            <w:bookmarkEnd w:id="7"/>
            <w:bookmarkEnd w:id="8"/>
            <w:bookmarkEnd w:id="9"/>
            <w:bookmarkEnd w:id="10"/>
            <w:bookmarkEnd w:id="11"/>
            <w:r w:rsidRPr="00560D34">
              <w:rPr>
                <w:rFonts w:ascii="Times New Roman" w:eastAsia="Times New Roman" w:hAnsi="Times New Roman" w:cs="Times New Roman"/>
                <w:b/>
                <w:sz w:val="16"/>
              </w:rPr>
              <w:t xml:space="preserve"> </w:t>
            </w:r>
          </w:p>
        </w:tc>
        <w:tc>
          <w:tcPr>
            <w:tcW w:w="2443" w:type="dxa"/>
            <w:tcBorders>
              <w:top w:val="single" w:sz="4" w:space="0" w:color="auto"/>
              <w:bottom w:val="single" w:sz="4" w:space="0" w:color="auto"/>
            </w:tcBorders>
            <w:hideMark/>
          </w:tcPr>
          <w:p w14:paraId="7B886E68" w14:textId="77777777" w:rsidR="0077328A" w:rsidRPr="00560D34" w:rsidRDefault="0077328A" w:rsidP="006C6D05">
            <w:pPr>
              <w:rPr>
                <w:rFonts w:ascii="Times New Roman" w:eastAsia="Times New Roman" w:hAnsi="Times New Roman" w:cs="Times New Roman"/>
                <w:b/>
                <w:sz w:val="16"/>
              </w:rPr>
            </w:pPr>
            <w:bookmarkStart w:id="12" w:name="_Toc193211151"/>
            <w:bookmarkStart w:id="13" w:name="_Toc197993471"/>
            <w:bookmarkStart w:id="14" w:name="_Toc224479155"/>
            <w:bookmarkStart w:id="15" w:name="_Toc224493794"/>
            <w:bookmarkStart w:id="16" w:name="_Toc228872100"/>
            <w:bookmarkStart w:id="17" w:name="_Toc228874074"/>
            <w:r w:rsidRPr="00560D34">
              <w:rPr>
                <w:rFonts w:ascii="Times New Roman" w:eastAsia="Times New Roman" w:hAnsi="Times New Roman" w:cs="Times New Roman"/>
                <w:b/>
                <w:sz w:val="16"/>
              </w:rPr>
              <w:t>Black beans</w:t>
            </w:r>
            <w:bookmarkEnd w:id="12"/>
            <w:bookmarkEnd w:id="13"/>
            <w:bookmarkEnd w:id="14"/>
            <w:bookmarkEnd w:id="15"/>
            <w:bookmarkEnd w:id="16"/>
            <w:bookmarkEnd w:id="17"/>
          </w:p>
        </w:tc>
        <w:tc>
          <w:tcPr>
            <w:tcW w:w="2075" w:type="dxa"/>
            <w:tcBorders>
              <w:top w:val="single" w:sz="4" w:space="0" w:color="auto"/>
              <w:bottom w:val="single" w:sz="4" w:space="0" w:color="auto"/>
            </w:tcBorders>
            <w:hideMark/>
          </w:tcPr>
          <w:p w14:paraId="3C007821" w14:textId="77777777" w:rsidR="0077328A" w:rsidRPr="00560D34" w:rsidRDefault="0077328A" w:rsidP="006C6D05">
            <w:pPr>
              <w:rPr>
                <w:rFonts w:ascii="Times New Roman" w:eastAsia="Times New Roman" w:hAnsi="Times New Roman" w:cs="Times New Roman"/>
                <w:b/>
                <w:sz w:val="16"/>
              </w:rPr>
            </w:pPr>
            <w:bookmarkStart w:id="18" w:name="_Toc193211152"/>
            <w:bookmarkStart w:id="19" w:name="_Toc197993472"/>
            <w:bookmarkStart w:id="20" w:name="_Toc224479156"/>
            <w:bookmarkStart w:id="21" w:name="_Toc224493795"/>
            <w:bookmarkStart w:id="22" w:name="_Toc228872101"/>
            <w:bookmarkStart w:id="23" w:name="_Toc228874075"/>
            <w:r w:rsidRPr="00560D34">
              <w:rPr>
                <w:rFonts w:ascii="Times New Roman" w:eastAsia="Times New Roman" w:hAnsi="Times New Roman" w:cs="Times New Roman"/>
                <w:b/>
                <w:sz w:val="16"/>
              </w:rPr>
              <w:t>Dates</w:t>
            </w:r>
            <w:bookmarkEnd w:id="18"/>
            <w:bookmarkEnd w:id="19"/>
            <w:bookmarkEnd w:id="20"/>
            <w:bookmarkEnd w:id="21"/>
            <w:bookmarkEnd w:id="22"/>
            <w:bookmarkEnd w:id="23"/>
            <w:r w:rsidRPr="00560D34">
              <w:rPr>
                <w:rFonts w:ascii="Times New Roman" w:eastAsia="Times New Roman" w:hAnsi="Times New Roman" w:cs="Times New Roman"/>
                <w:b/>
                <w:sz w:val="16"/>
              </w:rPr>
              <w:t xml:space="preserve"> </w:t>
            </w:r>
          </w:p>
        </w:tc>
      </w:tr>
      <w:tr w:rsidR="0077328A" w:rsidRPr="00560D34" w14:paraId="36170A1C" w14:textId="77777777" w:rsidTr="00F95923">
        <w:trPr>
          <w:trHeight w:val="20"/>
          <w:jc w:val="center"/>
        </w:trPr>
        <w:tc>
          <w:tcPr>
            <w:tcW w:w="2128" w:type="dxa"/>
            <w:tcBorders>
              <w:top w:val="single" w:sz="4" w:space="0" w:color="auto"/>
            </w:tcBorders>
            <w:hideMark/>
          </w:tcPr>
          <w:p w14:paraId="13313CE1" w14:textId="77777777" w:rsidR="0077328A" w:rsidRPr="00560D34" w:rsidRDefault="0077328A" w:rsidP="006C6D05">
            <w:pPr>
              <w:rPr>
                <w:rFonts w:ascii="Times New Roman" w:eastAsia="Times New Roman" w:hAnsi="Times New Roman" w:cs="Times New Roman"/>
                <w:sz w:val="16"/>
              </w:rPr>
            </w:pPr>
            <w:bookmarkStart w:id="24" w:name="_Toc193211156"/>
            <w:bookmarkStart w:id="25" w:name="_Toc197993476"/>
            <w:bookmarkStart w:id="26" w:name="_Toc224479157"/>
            <w:bookmarkStart w:id="27" w:name="_Toc224493796"/>
            <w:bookmarkStart w:id="28" w:name="_Toc228872102"/>
            <w:bookmarkStart w:id="29" w:name="_Toc228874076"/>
            <w:r w:rsidRPr="00560D34">
              <w:rPr>
                <w:rFonts w:ascii="Times New Roman" w:eastAsia="Times New Roman" w:hAnsi="Times New Roman" w:cs="Times New Roman"/>
                <w:sz w:val="16"/>
              </w:rPr>
              <w:t>FM</w:t>
            </w:r>
            <w:bookmarkEnd w:id="24"/>
            <w:bookmarkEnd w:id="25"/>
            <w:bookmarkEnd w:id="26"/>
            <w:bookmarkEnd w:id="27"/>
            <w:bookmarkEnd w:id="28"/>
            <w:bookmarkEnd w:id="29"/>
          </w:p>
        </w:tc>
        <w:tc>
          <w:tcPr>
            <w:tcW w:w="2414" w:type="dxa"/>
            <w:tcBorders>
              <w:top w:val="single" w:sz="4" w:space="0" w:color="auto"/>
            </w:tcBorders>
            <w:hideMark/>
          </w:tcPr>
          <w:p w14:paraId="62F9381D" w14:textId="77777777" w:rsidR="0077328A" w:rsidRPr="00560D34" w:rsidRDefault="0077328A" w:rsidP="006C6D05">
            <w:pPr>
              <w:rPr>
                <w:rFonts w:ascii="Times New Roman" w:eastAsia="Times New Roman" w:hAnsi="Times New Roman" w:cs="Times New Roman"/>
                <w:bCs/>
                <w:sz w:val="16"/>
              </w:rPr>
            </w:pPr>
            <w:bookmarkStart w:id="30" w:name="_Toc224479158"/>
            <w:bookmarkStart w:id="31" w:name="_Toc224493797"/>
            <w:bookmarkStart w:id="32" w:name="_Toc228872103"/>
            <w:bookmarkStart w:id="33" w:name="_Toc228874077"/>
            <w:r w:rsidRPr="00560D34">
              <w:rPr>
                <w:rFonts w:ascii="Times New Roman" w:eastAsia="Times New Roman" w:hAnsi="Times New Roman" w:cs="Times New Roman"/>
                <w:bCs/>
                <w:sz w:val="16"/>
              </w:rPr>
              <w:t>100</w:t>
            </w:r>
            <w:bookmarkEnd w:id="30"/>
            <w:bookmarkEnd w:id="31"/>
            <w:bookmarkEnd w:id="32"/>
            <w:bookmarkEnd w:id="33"/>
          </w:p>
        </w:tc>
        <w:tc>
          <w:tcPr>
            <w:tcW w:w="2443" w:type="dxa"/>
            <w:tcBorders>
              <w:top w:val="single" w:sz="4" w:space="0" w:color="auto"/>
            </w:tcBorders>
            <w:hideMark/>
          </w:tcPr>
          <w:p w14:paraId="0DEA891B" w14:textId="77777777" w:rsidR="0077328A" w:rsidRPr="00560D34" w:rsidRDefault="0077328A" w:rsidP="006C6D05">
            <w:pPr>
              <w:rPr>
                <w:rFonts w:ascii="Times New Roman" w:eastAsia="Times New Roman" w:hAnsi="Times New Roman" w:cs="Times New Roman"/>
                <w:bCs/>
                <w:sz w:val="16"/>
              </w:rPr>
            </w:pPr>
            <w:bookmarkStart w:id="34" w:name="_Toc224479159"/>
            <w:bookmarkStart w:id="35" w:name="_Toc224493798"/>
            <w:bookmarkStart w:id="36" w:name="_Toc228872104"/>
            <w:bookmarkStart w:id="37" w:name="_Toc228874078"/>
            <w:r w:rsidRPr="00560D34">
              <w:rPr>
                <w:rFonts w:ascii="Times New Roman" w:eastAsia="Times New Roman" w:hAnsi="Times New Roman" w:cs="Times New Roman"/>
                <w:bCs/>
                <w:sz w:val="16"/>
              </w:rPr>
              <w:t>-</w:t>
            </w:r>
            <w:bookmarkEnd w:id="34"/>
            <w:bookmarkEnd w:id="35"/>
            <w:bookmarkEnd w:id="36"/>
            <w:bookmarkEnd w:id="37"/>
          </w:p>
        </w:tc>
        <w:tc>
          <w:tcPr>
            <w:tcW w:w="2075" w:type="dxa"/>
            <w:tcBorders>
              <w:top w:val="single" w:sz="4" w:space="0" w:color="auto"/>
            </w:tcBorders>
            <w:hideMark/>
          </w:tcPr>
          <w:p w14:paraId="799A78BE" w14:textId="77777777" w:rsidR="0077328A" w:rsidRPr="00560D34" w:rsidRDefault="0077328A" w:rsidP="006C6D05">
            <w:pPr>
              <w:rPr>
                <w:rFonts w:ascii="Times New Roman" w:eastAsia="Times New Roman" w:hAnsi="Times New Roman" w:cs="Times New Roman"/>
                <w:bCs/>
                <w:sz w:val="16"/>
              </w:rPr>
            </w:pPr>
            <w:bookmarkStart w:id="38" w:name="_Toc224479160"/>
            <w:bookmarkStart w:id="39" w:name="_Toc224493799"/>
            <w:bookmarkStart w:id="40" w:name="_Toc228872105"/>
            <w:bookmarkStart w:id="41" w:name="_Toc228874079"/>
            <w:r w:rsidRPr="00560D34">
              <w:rPr>
                <w:rFonts w:ascii="Times New Roman" w:eastAsia="Times New Roman" w:hAnsi="Times New Roman" w:cs="Times New Roman"/>
                <w:bCs/>
                <w:sz w:val="16"/>
              </w:rPr>
              <w:t>-</w:t>
            </w:r>
            <w:bookmarkEnd w:id="38"/>
            <w:bookmarkEnd w:id="39"/>
            <w:bookmarkEnd w:id="40"/>
            <w:bookmarkEnd w:id="41"/>
          </w:p>
        </w:tc>
      </w:tr>
      <w:tr w:rsidR="0077328A" w:rsidRPr="00560D34" w14:paraId="72D6AB96" w14:textId="77777777" w:rsidTr="00F95923">
        <w:trPr>
          <w:trHeight w:val="20"/>
          <w:jc w:val="center"/>
        </w:trPr>
        <w:tc>
          <w:tcPr>
            <w:tcW w:w="2128" w:type="dxa"/>
            <w:hideMark/>
          </w:tcPr>
          <w:p w14:paraId="2CEB9C08" w14:textId="77777777" w:rsidR="0077328A" w:rsidRPr="00560D34" w:rsidRDefault="0077328A" w:rsidP="006C6D05">
            <w:pPr>
              <w:rPr>
                <w:rFonts w:ascii="Times New Roman" w:eastAsia="Times New Roman" w:hAnsi="Times New Roman" w:cs="Times New Roman"/>
                <w:sz w:val="16"/>
              </w:rPr>
            </w:pPr>
            <w:bookmarkStart w:id="42" w:name="_Toc193211161"/>
            <w:bookmarkStart w:id="43" w:name="_Toc197993481"/>
            <w:bookmarkStart w:id="44" w:name="_Toc224479161"/>
            <w:bookmarkStart w:id="45" w:name="_Toc224493800"/>
            <w:bookmarkStart w:id="46" w:name="_Toc228872106"/>
            <w:bookmarkStart w:id="47" w:name="_Toc228874080"/>
            <w:r w:rsidRPr="00560D34">
              <w:rPr>
                <w:rFonts w:ascii="Times New Roman" w:eastAsia="Times New Roman" w:hAnsi="Times New Roman" w:cs="Times New Roman"/>
                <w:sz w:val="16"/>
              </w:rPr>
              <w:t>FMSBD</w:t>
            </w:r>
            <w:bookmarkEnd w:id="42"/>
            <w:bookmarkEnd w:id="43"/>
            <w:bookmarkEnd w:id="44"/>
            <w:bookmarkEnd w:id="45"/>
            <w:bookmarkEnd w:id="46"/>
            <w:bookmarkEnd w:id="47"/>
          </w:p>
        </w:tc>
        <w:tc>
          <w:tcPr>
            <w:tcW w:w="2414" w:type="dxa"/>
            <w:hideMark/>
          </w:tcPr>
          <w:p w14:paraId="65CD99CC" w14:textId="77777777" w:rsidR="0077328A" w:rsidRPr="00560D34" w:rsidRDefault="0077328A" w:rsidP="006C6D05">
            <w:pPr>
              <w:rPr>
                <w:rFonts w:ascii="Times New Roman" w:eastAsia="Times New Roman" w:hAnsi="Times New Roman" w:cs="Times New Roman"/>
                <w:bCs/>
                <w:sz w:val="16"/>
              </w:rPr>
            </w:pPr>
            <w:bookmarkStart w:id="48" w:name="_Toc224479162"/>
            <w:bookmarkStart w:id="49" w:name="_Toc224493801"/>
            <w:bookmarkStart w:id="50" w:name="_Toc228872107"/>
            <w:bookmarkStart w:id="51" w:name="_Toc228874081"/>
            <w:r w:rsidRPr="00560D34">
              <w:rPr>
                <w:rFonts w:ascii="Times New Roman" w:eastAsia="Times New Roman" w:hAnsi="Times New Roman" w:cs="Times New Roman"/>
                <w:bCs/>
                <w:sz w:val="16"/>
              </w:rPr>
              <w:t>44.76</w:t>
            </w:r>
            <w:bookmarkEnd w:id="48"/>
            <w:bookmarkEnd w:id="49"/>
            <w:bookmarkEnd w:id="50"/>
            <w:bookmarkEnd w:id="51"/>
          </w:p>
        </w:tc>
        <w:tc>
          <w:tcPr>
            <w:tcW w:w="2443" w:type="dxa"/>
            <w:hideMark/>
          </w:tcPr>
          <w:p w14:paraId="1B921E79" w14:textId="77777777" w:rsidR="0077328A" w:rsidRPr="00560D34" w:rsidRDefault="0077328A" w:rsidP="006C6D05">
            <w:pPr>
              <w:rPr>
                <w:rFonts w:ascii="Times New Roman" w:eastAsia="Times New Roman" w:hAnsi="Times New Roman" w:cs="Times New Roman"/>
                <w:bCs/>
                <w:sz w:val="16"/>
              </w:rPr>
            </w:pPr>
            <w:bookmarkStart w:id="52" w:name="_Toc224479163"/>
            <w:bookmarkStart w:id="53" w:name="_Toc224493802"/>
            <w:bookmarkStart w:id="54" w:name="_Toc228872108"/>
            <w:bookmarkStart w:id="55" w:name="_Toc228874082"/>
            <w:r w:rsidRPr="00560D34">
              <w:rPr>
                <w:rFonts w:ascii="Times New Roman" w:eastAsia="Times New Roman" w:hAnsi="Times New Roman" w:cs="Times New Roman"/>
                <w:bCs/>
                <w:sz w:val="16"/>
              </w:rPr>
              <w:t>45.24</w:t>
            </w:r>
            <w:bookmarkEnd w:id="52"/>
            <w:bookmarkEnd w:id="53"/>
            <w:bookmarkEnd w:id="54"/>
            <w:bookmarkEnd w:id="55"/>
            <w:r w:rsidRPr="00560D34">
              <w:rPr>
                <w:rFonts w:ascii="Times New Roman" w:eastAsia="Times New Roman" w:hAnsi="Times New Roman" w:cs="Times New Roman"/>
                <w:bCs/>
                <w:sz w:val="16"/>
              </w:rPr>
              <w:t xml:space="preserve"> </w:t>
            </w:r>
          </w:p>
        </w:tc>
        <w:tc>
          <w:tcPr>
            <w:tcW w:w="2075" w:type="dxa"/>
            <w:hideMark/>
          </w:tcPr>
          <w:p w14:paraId="4FA7C8FF" w14:textId="77777777" w:rsidR="0077328A" w:rsidRPr="00560D34" w:rsidRDefault="0077328A" w:rsidP="006C6D05">
            <w:pPr>
              <w:rPr>
                <w:rFonts w:ascii="Times New Roman" w:eastAsia="Times New Roman" w:hAnsi="Times New Roman" w:cs="Times New Roman"/>
                <w:bCs/>
                <w:sz w:val="16"/>
              </w:rPr>
            </w:pPr>
            <w:bookmarkStart w:id="56" w:name="_Toc224479164"/>
            <w:bookmarkStart w:id="57" w:name="_Toc224493803"/>
            <w:bookmarkStart w:id="58" w:name="_Toc228872109"/>
            <w:bookmarkStart w:id="59" w:name="_Toc228874083"/>
            <w:r w:rsidRPr="00560D34">
              <w:rPr>
                <w:rFonts w:ascii="Times New Roman" w:eastAsia="Times New Roman" w:hAnsi="Times New Roman" w:cs="Times New Roman"/>
                <w:bCs/>
                <w:sz w:val="16"/>
              </w:rPr>
              <w:t>10</w:t>
            </w:r>
            <w:bookmarkEnd w:id="56"/>
            <w:bookmarkEnd w:id="57"/>
            <w:bookmarkEnd w:id="58"/>
            <w:bookmarkEnd w:id="59"/>
          </w:p>
        </w:tc>
      </w:tr>
      <w:tr w:rsidR="0077328A" w:rsidRPr="00560D34" w14:paraId="1C73C231" w14:textId="77777777" w:rsidTr="00F95923">
        <w:trPr>
          <w:trHeight w:val="20"/>
          <w:jc w:val="center"/>
        </w:trPr>
        <w:tc>
          <w:tcPr>
            <w:tcW w:w="2128" w:type="dxa"/>
            <w:hideMark/>
          </w:tcPr>
          <w:p w14:paraId="3081883D" w14:textId="77777777" w:rsidR="0077328A" w:rsidRPr="00560D34" w:rsidRDefault="0077328A" w:rsidP="006C6D05">
            <w:pPr>
              <w:rPr>
                <w:rFonts w:ascii="Times New Roman" w:eastAsia="Times New Roman" w:hAnsi="Times New Roman" w:cs="Times New Roman"/>
                <w:sz w:val="16"/>
              </w:rPr>
            </w:pPr>
            <w:bookmarkStart w:id="60" w:name="_Toc193211166"/>
            <w:bookmarkStart w:id="61" w:name="_Toc197993486"/>
            <w:bookmarkStart w:id="62" w:name="_Toc224479165"/>
            <w:bookmarkStart w:id="63" w:name="_Toc224493804"/>
            <w:bookmarkStart w:id="64" w:name="_Toc228872110"/>
            <w:bookmarkStart w:id="65" w:name="_Toc228874084"/>
            <w:r w:rsidRPr="00560D34">
              <w:rPr>
                <w:rFonts w:ascii="Times New Roman" w:eastAsia="Times New Roman" w:hAnsi="Times New Roman" w:cs="Times New Roman"/>
                <w:sz w:val="16"/>
              </w:rPr>
              <w:t>FMNSBD</w:t>
            </w:r>
            <w:bookmarkEnd w:id="60"/>
            <w:bookmarkEnd w:id="61"/>
            <w:bookmarkEnd w:id="62"/>
            <w:bookmarkEnd w:id="63"/>
            <w:bookmarkEnd w:id="64"/>
            <w:bookmarkEnd w:id="65"/>
          </w:p>
        </w:tc>
        <w:tc>
          <w:tcPr>
            <w:tcW w:w="2414" w:type="dxa"/>
            <w:hideMark/>
          </w:tcPr>
          <w:p w14:paraId="7454519E" w14:textId="77777777" w:rsidR="0077328A" w:rsidRPr="00560D34" w:rsidRDefault="0077328A" w:rsidP="006C6D05">
            <w:pPr>
              <w:rPr>
                <w:rFonts w:ascii="Times New Roman" w:eastAsia="Times New Roman" w:hAnsi="Times New Roman" w:cs="Times New Roman"/>
                <w:bCs/>
                <w:sz w:val="16"/>
              </w:rPr>
            </w:pPr>
            <w:bookmarkStart w:id="66" w:name="_Toc224479166"/>
            <w:bookmarkStart w:id="67" w:name="_Toc224493805"/>
            <w:bookmarkStart w:id="68" w:name="_Toc228872111"/>
            <w:bookmarkStart w:id="69" w:name="_Toc228874085"/>
            <w:r w:rsidRPr="00560D34">
              <w:rPr>
                <w:rFonts w:ascii="Times New Roman" w:eastAsia="Times New Roman" w:hAnsi="Times New Roman" w:cs="Times New Roman"/>
                <w:bCs/>
                <w:sz w:val="16"/>
              </w:rPr>
              <w:t>41.5</w:t>
            </w:r>
            <w:bookmarkEnd w:id="66"/>
            <w:bookmarkEnd w:id="67"/>
            <w:bookmarkEnd w:id="68"/>
            <w:bookmarkEnd w:id="69"/>
            <w:r w:rsidRPr="00560D34">
              <w:rPr>
                <w:rFonts w:ascii="Times New Roman" w:eastAsia="Times New Roman" w:hAnsi="Times New Roman" w:cs="Times New Roman"/>
                <w:bCs/>
                <w:sz w:val="16"/>
              </w:rPr>
              <w:t>0</w:t>
            </w:r>
          </w:p>
        </w:tc>
        <w:tc>
          <w:tcPr>
            <w:tcW w:w="2443" w:type="dxa"/>
            <w:hideMark/>
          </w:tcPr>
          <w:p w14:paraId="61CC02D9" w14:textId="77777777" w:rsidR="0077328A" w:rsidRPr="00560D34" w:rsidRDefault="0077328A" w:rsidP="006C6D05">
            <w:pPr>
              <w:rPr>
                <w:rFonts w:ascii="Times New Roman" w:eastAsia="Times New Roman" w:hAnsi="Times New Roman" w:cs="Times New Roman"/>
                <w:bCs/>
                <w:sz w:val="16"/>
              </w:rPr>
            </w:pPr>
            <w:bookmarkStart w:id="70" w:name="_Toc224479167"/>
            <w:bookmarkStart w:id="71" w:name="_Toc224493806"/>
            <w:bookmarkStart w:id="72" w:name="_Toc228872112"/>
            <w:bookmarkStart w:id="73" w:name="_Toc228874086"/>
            <w:r w:rsidRPr="00560D34">
              <w:rPr>
                <w:rFonts w:ascii="Times New Roman" w:eastAsia="Times New Roman" w:hAnsi="Times New Roman" w:cs="Times New Roman"/>
                <w:bCs/>
                <w:sz w:val="16"/>
              </w:rPr>
              <w:t>48.5</w:t>
            </w:r>
            <w:bookmarkEnd w:id="70"/>
            <w:bookmarkEnd w:id="71"/>
            <w:bookmarkEnd w:id="72"/>
            <w:bookmarkEnd w:id="73"/>
          </w:p>
        </w:tc>
        <w:tc>
          <w:tcPr>
            <w:tcW w:w="2075" w:type="dxa"/>
            <w:hideMark/>
          </w:tcPr>
          <w:p w14:paraId="6A9620C3" w14:textId="77777777" w:rsidR="0077328A" w:rsidRPr="00560D34" w:rsidRDefault="0077328A" w:rsidP="006C6D05">
            <w:pPr>
              <w:rPr>
                <w:rFonts w:ascii="Times New Roman" w:eastAsia="Times New Roman" w:hAnsi="Times New Roman" w:cs="Times New Roman"/>
                <w:bCs/>
                <w:sz w:val="16"/>
              </w:rPr>
            </w:pPr>
            <w:bookmarkStart w:id="74" w:name="_Toc224479168"/>
            <w:bookmarkStart w:id="75" w:name="_Toc224493807"/>
            <w:bookmarkStart w:id="76" w:name="_Toc228872113"/>
            <w:bookmarkStart w:id="77" w:name="_Toc228874087"/>
            <w:r w:rsidRPr="00560D34">
              <w:rPr>
                <w:rFonts w:ascii="Times New Roman" w:eastAsia="Times New Roman" w:hAnsi="Times New Roman" w:cs="Times New Roman"/>
                <w:bCs/>
                <w:sz w:val="16"/>
              </w:rPr>
              <w:t>10</w:t>
            </w:r>
            <w:bookmarkEnd w:id="74"/>
            <w:bookmarkEnd w:id="75"/>
            <w:bookmarkEnd w:id="76"/>
            <w:bookmarkEnd w:id="77"/>
          </w:p>
        </w:tc>
      </w:tr>
      <w:tr w:rsidR="0077328A" w:rsidRPr="00560D34" w14:paraId="56A72198" w14:textId="77777777" w:rsidTr="00F95923">
        <w:trPr>
          <w:trHeight w:val="20"/>
          <w:jc w:val="center"/>
        </w:trPr>
        <w:tc>
          <w:tcPr>
            <w:tcW w:w="2128" w:type="dxa"/>
            <w:hideMark/>
          </w:tcPr>
          <w:p w14:paraId="1FED941D" w14:textId="77777777" w:rsidR="0077328A" w:rsidRPr="00560D34" w:rsidRDefault="0077328A" w:rsidP="006C6D05">
            <w:pPr>
              <w:rPr>
                <w:rFonts w:ascii="Times New Roman" w:eastAsia="Times New Roman" w:hAnsi="Times New Roman" w:cs="Times New Roman"/>
                <w:sz w:val="16"/>
              </w:rPr>
            </w:pPr>
            <w:bookmarkStart w:id="78" w:name="_Toc193211171"/>
            <w:bookmarkStart w:id="79" w:name="_Toc197993491"/>
            <w:bookmarkStart w:id="80" w:name="_Toc224479169"/>
            <w:bookmarkStart w:id="81" w:name="_Toc224493808"/>
            <w:bookmarkStart w:id="82" w:name="_Toc228872114"/>
            <w:bookmarkStart w:id="83" w:name="_Toc228874088"/>
            <w:r w:rsidRPr="00560D34">
              <w:rPr>
                <w:rFonts w:ascii="Times New Roman" w:eastAsia="Times New Roman" w:hAnsi="Times New Roman" w:cs="Times New Roman"/>
                <w:sz w:val="16"/>
              </w:rPr>
              <w:t>GFMSBD</w:t>
            </w:r>
            <w:bookmarkEnd w:id="78"/>
            <w:bookmarkEnd w:id="79"/>
            <w:bookmarkEnd w:id="80"/>
            <w:bookmarkEnd w:id="81"/>
            <w:bookmarkEnd w:id="82"/>
            <w:bookmarkEnd w:id="83"/>
          </w:p>
        </w:tc>
        <w:tc>
          <w:tcPr>
            <w:tcW w:w="2414" w:type="dxa"/>
            <w:hideMark/>
          </w:tcPr>
          <w:p w14:paraId="7857ECDB" w14:textId="77777777" w:rsidR="0077328A" w:rsidRPr="00560D34" w:rsidRDefault="0077328A" w:rsidP="006C6D05">
            <w:pPr>
              <w:rPr>
                <w:rFonts w:ascii="Times New Roman" w:eastAsia="Times New Roman" w:hAnsi="Times New Roman" w:cs="Times New Roman"/>
                <w:bCs/>
                <w:sz w:val="16"/>
              </w:rPr>
            </w:pPr>
            <w:bookmarkStart w:id="84" w:name="_Toc224479170"/>
            <w:bookmarkStart w:id="85" w:name="_Toc224493809"/>
            <w:bookmarkStart w:id="86" w:name="_Toc228872115"/>
            <w:bookmarkStart w:id="87" w:name="_Toc228874089"/>
            <w:r w:rsidRPr="00560D34">
              <w:rPr>
                <w:rFonts w:ascii="Times New Roman" w:eastAsia="Times New Roman" w:hAnsi="Times New Roman" w:cs="Times New Roman"/>
                <w:bCs/>
                <w:sz w:val="16"/>
              </w:rPr>
              <w:t>44.25</w:t>
            </w:r>
            <w:bookmarkEnd w:id="84"/>
            <w:bookmarkEnd w:id="85"/>
            <w:bookmarkEnd w:id="86"/>
            <w:bookmarkEnd w:id="87"/>
          </w:p>
        </w:tc>
        <w:tc>
          <w:tcPr>
            <w:tcW w:w="2443" w:type="dxa"/>
            <w:hideMark/>
          </w:tcPr>
          <w:p w14:paraId="602682F8" w14:textId="77777777" w:rsidR="0077328A" w:rsidRPr="00560D34" w:rsidRDefault="0077328A" w:rsidP="006C6D05">
            <w:pPr>
              <w:rPr>
                <w:rFonts w:ascii="Times New Roman" w:eastAsia="Times New Roman" w:hAnsi="Times New Roman" w:cs="Times New Roman"/>
                <w:bCs/>
                <w:sz w:val="16"/>
              </w:rPr>
            </w:pPr>
            <w:r w:rsidRPr="00560D34">
              <w:rPr>
                <w:rFonts w:ascii="Times New Roman" w:eastAsia="Times New Roman" w:hAnsi="Times New Roman" w:cs="Times New Roman"/>
                <w:bCs/>
                <w:sz w:val="16"/>
              </w:rPr>
              <w:t xml:space="preserve">  </w:t>
            </w:r>
            <w:bookmarkStart w:id="88" w:name="_Toc224479171"/>
            <w:bookmarkStart w:id="89" w:name="_Toc224493810"/>
            <w:bookmarkStart w:id="90" w:name="_Toc228872116"/>
            <w:bookmarkStart w:id="91" w:name="_Toc228874090"/>
            <w:r w:rsidRPr="00560D34">
              <w:rPr>
                <w:rFonts w:ascii="Times New Roman" w:eastAsia="Times New Roman" w:hAnsi="Times New Roman" w:cs="Times New Roman"/>
                <w:bCs/>
                <w:sz w:val="16"/>
              </w:rPr>
              <w:t>45.75</w:t>
            </w:r>
            <w:bookmarkEnd w:id="88"/>
            <w:bookmarkEnd w:id="89"/>
            <w:bookmarkEnd w:id="90"/>
            <w:bookmarkEnd w:id="91"/>
          </w:p>
        </w:tc>
        <w:tc>
          <w:tcPr>
            <w:tcW w:w="2075" w:type="dxa"/>
            <w:hideMark/>
          </w:tcPr>
          <w:p w14:paraId="407B5636" w14:textId="77777777" w:rsidR="0077328A" w:rsidRPr="00560D34" w:rsidRDefault="0077328A" w:rsidP="006C6D05">
            <w:pPr>
              <w:rPr>
                <w:rFonts w:ascii="Times New Roman" w:eastAsia="Times New Roman" w:hAnsi="Times New Roman" w:cs="Times New Roman"/>
                <w:bCs/>
                <w:sz w:val="16"/>
              </w:rPr>
            </w:pPr>
            <w:bookmarkStart w:id="92" w:name="_Toc224479172"/>
            <w:bookmarkStart w:id="93" w:name="_Toc224493811"/>
            <w:bookmarkStart w:id="94" w:name="_Toc228872117"/>
            <w:bookmarkStart w:id="95" w:name="_Toc228874091"/>
            <w:r w:rsidRPr="00560D34">
              <w:rPr>
                <w:rFonts w:ascii="Times New Roman" w:eastAsia="Times New Roman" w:hAnsi="Times New Roman" w:cs="Times New Roman"/>
                <w:bCs/>
                <w:sz w:val="16"/>
              </w:rPr>
              <w:t>10</w:t>
            </w:r>
            <w:bookmarkEnd w:id="92"/>
            <w:bookmarkEnd w:id="93"/>
            <w:bookmarkEnd w:id="94"/>
            <w:bookmarkEnd w:id="95"/>
          </w:p>
        </w:tc>
      </w:tr>
      <w:tr w:rsidR="0077328A" w:rsidRPr="00560D34" w14:paraId="019C76A2" w14:textId="77777777" w:rsidTr="00F95923">
        <w:trPr>
          <w:trHeight w:val="20"/>
          <w:jc w:val="center"/>
        </w:trPr>
        <w:tc>
          <w:tcPr>
            <w:tcW w:w="2128" w:type="dxa"/>
            <w:hideMark/>
          </w:tcPr>
          <w:p w14:paraId="64C0A519" w14:textId="77777777" w:rsidR="0077328A" w:rsidRPr="00560D34" w:rsidRDefault="0077328A" w:rsidP="006C6D05">
            <w:pPr>
              <w:rPr>
                <w:rFonts w:ascii="Times New Roman" w:eastAsia="Times New Roman" w:hAnsi="Times New Roman" w:cs="Times New Roman"/>
                <w:sz w:val="16"/>
              </w:rPr>
            </w:pPr>
            <w:bookmarkStart w:id="96" w:name="_Toc193211176"/>
            <w:bookmarkStart w:id="97" w:name="_Toc197993496"/>
            <w:bookmarkStart w:id="98" w:name="_Toc224479173"/>
            <w:bookmarkStart w:id="99" w:name="_Toc224493812"/>
            <w:bookmarkStart w:id="100" w:name="_Toc228872118"/>
            <w:bookmarkStart w:id="101" w:name="_Toc228874092"/>
            <w:r w:rsidRPr="00560D34">
              <w:rPr>
                <w:rFonts w:ascii="Times New Roman" w:eastAsia="Times New Roman" w:hAnsi="Times New Roman" w:cs="Times New Roman"/>
                <w:sz w:val="16"/>
              </w:rPr>
              <w:t>GFMNSBD</w:t>
            </w:r>
            <w:bookmarkEnd w:id="96"/>
            <w:bookmarkEnd w:id="97"/>
            <w:bookmarkEnd w:id="98"/>
            <w:bookmarkEnd w:id="99"/>
            <w:bookmarkEnd w:id="100"/>
            <w:bookmarkEnd w:id="101"/>
          </w:p>
        </w:tc>
        <w:tc>
          <w:tcPr>
            <w:tcW w:w="2414" w:type="dxa"/>
            <w:hideMark/>
          </w:tcPr>
          <w:p w14:paraId="4D8AAAF7" w14:textId="77777777" w:rsidR="0077328A" w:rsidRPr="00560D34" w:rsidRDefault="0077328A" w:rsidP="006C6D05">
            <w:pPr>
              <w:rPr>
                <w:rFonts w:ascii="Times New Roman" w:eastAsia="Times New Roman" w:hAnsi="Times New Roman" w:cs="Times New Roman"/>
                <w:bCs/>
                <w:sz w:val="16"/>
              </w:rPr>
            </w:pPr>
            <w:bookmarkStart w:id="102" w:name="_Toc224479174"/>
            <w:bookmarkStart w:id="103" w:name="_Toc224493813"/>
            <w:bookmarkStart w:id="104" w:name="_Toc228872119"/>
            <w:bookmarkStart w:id="105" w:name="_Toc228874093"/>
            <w:r w:rsidRPr="00560D34">
              <w:rPr>
                <w:rFonts w:ascii="Times New Roman" w:eastAsia="Times New Roman" w:hAnsi="Times New Roman" w:cs="Times New Roman"/>
                <w:bCs/>
                <w:sz w:val="16"/>
              </w:rPr>
              <w:t>41.02</w:t>
            </w:r>
            <w:bookmarkEnd w:id="102"/>
            <w:bookmarkEnd w:id="103"/>
            <w:bookmarkEnd w:id="104"/>
            <w:bookmarkEnd w:id="105"/>
          </w:p>
        </w:tc>
        <w:tc>
          <w:tcPr>
            <w:tcW w:w="2443" w:type="dxa"/>
            <w:hideMark/>
          </w:tcPr>
          <w:p w14:paraId="5BCD9B5F" w14:textId="77777777" w:rsidR="0077328A" w:rsidRPr="00560D34" w:rsidRDefault="0077328A" w:rsidP="006C6D05">
            <w:pPr>
              <w:rPr>
                <w:rFonts w:ascii="Times New Roman" w:eastAsia="Times New Roman" w:hAnsi="Times New Roman" w:cs="Times New Roman"/>
                <w:bCs/>
                <w:sz w:val="16"/>
              </w:rPr>
            </w:pPr>
            <w:bookmarkStart w:id="106" w:name="_Toc224479175"/>
            <w:bookmarkStart w:id="107" w:name="_Toc224493814"/>
            <w:bookmarkStart w:id="108" w:name="_Toc228872120"/>
            <w:bookmarkStart w:id="109" w:name="_Toc228874094"/>
            <w:r w:rsidRPr="00560D34">
              <w:rPr>
                <w:rFonts w:ascii="Times New Roman" w:eastAsia="Times New Roman" w:hAnsi="Times New Roman" w:cs="Times New Roman"/>
                <w:bCs/>
                <w:sz w:val="16"/>
              </w:rPr>
              <w:t>48.98</w:t>
            </w:r>
            <w:bookmarkEnd w:id="106"/>
            <w:bookmarkEnd w:id="107"/>
            <w:bookmarkEnd w:id="108"/>
            <w:bookmarkEnd w:id="109"/>
          </w:p>
        </w:tc>
        <w:tc>
          <w:tcPr>
            <w:tcW w:w="2075" w:type="dxa"/>
            <w:hideMark/>
          </w:tcPr>
          <w:p w14:paraId="79CE7CF3" w14:textId="77777777" w:rsidR="0077328A" w:rsidRPr="00560D34" w:rsidRDefault="0077328A" w:rsidP="006C6D05">
            <w:pPr>
              <w:rPr>
                <w:rFonts w:ascii="Times New Roman" w:eastAsia="Times New Roman" w:hAnsi="Times New Roman" w:cs="Times New Roman"/>
                <w:bCs/>
                <w:sz w:val="16"/>
              </w:rPr>
            </w:pPr>
            <w:bookmarkStart w:id="110" w:name="_Toc224479176"/>
            <w:bookmarkStart w:id="111" w:name="_Toc224493815"/>
            <w:bookmarkStart w:id="112" w:name="_Toc228872121"/>
            <w:bookmarkStart w:id="113" w:name="_Toc228874095"/>
            <w:r w:rsidRPr="00560D34">
              <w:rPr>
                <w:rFonts w:ascii="Times New Roman" w:eastAsia="Times New Roman" w:hAnsi="Times New Roman" w:cs="Times New Roman"/>
                <w:bCs/>
                <w:sz w:val="16"/>
              </w:rPr>
              <w:t>10</w:t>
            </w:r>
            <w:bookmarkEnd w:id="110"/>
            <w:bookmarkEnd w:id="111"/>
            <w:bookmarkEnd w:id="112"/>
            <w:bookmarkEnd w:id="113"/>
          </w:p>
        </w:tc>
      </w:tr>
    </w:tbl>
    <w:p w14:paraId="7167C749" w14:textId="3452981D" w:rsidR="0077328A" w:rsidRPr="00560D34" w:rsidRDefault="0077328A" w:rsidP="00F95923">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29EEF5CA" w14:textId="77777777" w:rsidR="00F95923" w:rsidRPr="00560D34" w:rsidRDefault="00F95923" w:rsidP="0077328A">
      <w:pPr>
        <w:spacing w:after="0" w:line="240" w:lineRule="auto"/>
        <w:jc w:val="both"/>
        <w:rPr>
          <w:rFonts w:ascii="Times New Roman" w:eastAsia="Calibri" w:hAnsi="Times New Roman" w:cs="Times New Roman"/>
          <w:sz w:val="20"/>
          <w:szCs w:val="20"/>
        </w:rPr>
      </w:pPr>
    </w:p>
    <w:p w14:paraId="35552877" w14:textId="77777777"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2.3 Determination of Functional Properties</w:t>
      </w:r>
    </w:p>
    <w:p w14:paraId="1A7A40EC"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EFE3B45" w14:textId="4B407DC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2.3.1 </w:t>
      </w:r>
      <w:r w:rsidR="0077328A" w:rsidRPr="00560D34">
        <w:rPr>
          <w:rFonts w:ascii="Times New Roman" w:eastAsia="Times New Roman" w:hAnsi="Times New Roman" w:cs="Times New Roman"/>
          <w:b/>
          <w:szCs w:val="20"/>
        </w:rPr>
        <w:t xml:space="preserve">Water </w:t>
      </w:r>
      <w:r w:rsidRPr="00560D34">
        <w:rPr>
          <w:rFonts w:ascii="Times New Roman" w:eastAsia="Times New Roman" w:hAnsi="Times New Roman" w:cs="Times New Roman"/>
          <w:b/>
          <w:szCs w:val="20"/>
        </w:rPr>
        <w:t xml:space="preserve">Absorption Capacity </w:t>
      </w:r>
      <w:r w:rsidR="0077328A" w:rsidRPr="00560D34">
        <w:rPr>
          <w:rFonts w:ascii="Times New Roman" w:eastAsia="Times New Roman" w:hAnsi="Times New Roman" w:cs="Times New Roman"/>
          <w:b/>
          <w:szCs w:val="20"/>
        </w:rPr>
        <w:t xml:space="preserve">(WAC) of the </w:t>
      </w:r>
      <w:r w:rsidRPr="00560D34">
        <w:rPr>
          <w:rFonts w:ascii="Times New Roman" w:eastAsia="Times New Roman" w:hAnsi="Times New Roman" w:cs="Times New Roman"/>
          <w:b/>
          <w:szCs w:val="20"/>
        </w:rPr>
        <w:t xml:space="preserve">Breakfast Meal </w:t>
      </w:r>
    </w:p>
    <w:p w14:paraId="4890A05D"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A3477F9" w14:textId="298860E2"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Water absorption capacity was quantified using the method described by Heuvey and Ahure (2024) and Ojo et al. (2017). Ten millilitres of distilled water was added to 1 g of the composite flour sample in a pre-weighed centrifuge tube. The tube was agitated on a vortex mixer for 2 min and subsequently centrifuged at 500 rpm for 30 min. The clear supernatant was carefully decanted and discarded. Water droplets were removed, and the sample was subsequently weighed. Water absorption capacity was expressed as the mass of water retained by 100 g of dried flour.</w:t>
      </w:r>
    </w:p>
    <w:p w14:paraId="2B2098A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9EB3DE2" w14:textId="77777777"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 xml:space="preserve"> 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4B43AC75"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00B1EA50" w14:textId="4409E930"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Water absorbed (mL) = Volume of water added - Volume of water obtained after centrifugation</w:t>
      </w:r>
    </w:p>
    <w:p w14:paraId="47A8D8DE"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44769F0F" w14:textId="773427B0" w:rsidR="0077328A" w:rsidRPr="00560D34" w:rsidRDefault="00F95923" w:rsidP="0077328A">
      <w:pPr>
        <w:spacing w:after="0" w:line="240" w:lineRule="auto"/>
        <w:jc w:val="both"/>
        <w:rPr>
          <w:rFonts w:ascii="Times New Roman" w:eastAsia="Times New Roman" w:hAnsi="Times New Roman" w:cs="Times New Roman"/>
          <w:b/>
          <w:sz w:val="20"/>
          <w:szCs w:val="20"/>
        </w:rPr>
      </w:pPr>
      <w:r>
        <w:rPr>
          <w:rFonts w:ascii="Times New Roman" w:hAnsi="Times New Roman"/>
          <w:b/>
          <w:sz w:val="20"/>
          <w:highlight w:val="yellow"/>
        </w:rPr>
        <w:lastRenderedPageBreak/>
        <w:t>2.3.2 Determination of Oil Absorption Capacity of the Breakfast Meal</w:t>
      </w:r>
    </w:p>
    <w:p w14:paraId="47B220C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15C0CB6F" w14:textId="4C0024E1"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Oil absorption capacity was analysed according to the methods outlined by Arya et al. (2020) and Heuvey and Ahure (2024). One gram of the composite flour sample was combined with 10 mL of refined vegetable oil and allowed to equilibrate at ambient temperature (30 °C) for 30 min. The mixture was then centrifuged for 30 min at 500 rpm. The resultant oil, together with adhering oil droplets, was carefully decanted and discarded. Oil absorption capacity was expressed as the percentage of oil bound per gram of flour.</w:t>
      </w:r>
    </w:p>
    <w:p w14:paraId="781DDEFB"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20491D1F" w14:textId="2BCF2950"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Para>
        <m:oMathParaPr>
          <m:jc m:val="left"/>
        </m:oMathParaPr>
        <m:oMath>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m:oMathPara>
    </w:p>
    <w:p w14:paraId="5FD1399A"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A0C24B1" w14:textId="2FF9012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Oil absorbed (mL) = Volume of oil added</w:t>
      </w:r>
      <w:r w:rsidR="00F95923" w:rsidRPr="00560D34">
        <w:rPr>
          <w:rFonts w:ascii="Times New Roman" w:eastAsia="Times New Roman" w:hAnsi="Times New Roman" w:cs="Times New Roman"/>
          <w:sz w:val="20"/>
          <w:szCs w:val="20"/>
        </w:rPr>
        <w:t xml:space="preserve"> - Volume of oil obtained after </w:t>
      </w:r>
      <w:r w:rsidRPr="00560D34">
        <w:rPr>
          <w:rFonts w:ascii="Times New Roman" w:eastAsia="Times New Roman" w:hAnsi="Times New Roman" w:cs="Times New Roman"/>
          <w:sz w:val="20"/>
          <w:szCs w:val="20"/>
        </w:rPr>
        <w:t xml:space="preserve">centrifugation. </w:t>
      </w:r>
    </w:p>
    <w:p w14:paraId="7E94F38F"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3EE8921D" w14:textId="3975DD6B" w:rsidR="0077328A" w:rsidRPr="00560D34" w:rsidRDefault="00F95923" w:rsidP="0077328A">
      <w:pPr>
        <w:spacing w:after="0" w:line="240" w:lineRule="auto"/>
        <w:jc w:val="both"/>
        <w:rPr>
          <w:rFonts w:ascii="Times New Roman" w:eastAsia="Times New Roman" w:hAnsi="Times New Roman" w:cs="Times New Roman"/>
          <w:b/>
          <w:szCs w:val="20"/>
        </w:rPr>
      </w:pPr>
      <w:r>
        <w:rPr>
          <w:rFonts w:ascii="Times New Roman" w:hAnsi="Times New Roman"/>
          <w:b/>
          <w:highlight w:val="yellow"/>
        </w:rPr>
        <w:t>2.3.3 Determination of Bulk Density (BD) of the Breakfast Meal</w:t>
      </w:r>
    </w:p>
    <w:p w14:paraId="23A3262F"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B3A2717" w14:textId="38F9A90B"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Bulk densities of the flour blends were determined using the methods described by Friday et al. (2019) and Heuvey et al. (2023). Five grams of each flour blend were poured into a 10 mL dry measuring cylinder. For packed bulk density, the bottom of the cylinder was tapped 50 times on the laboratory bench until a constant volume was achieved, and the volume was recorded. For loose bulk density, the bottom of the cylinder was not tapped. The bulk density of the samples was calculated as:</w:t>
      </w:r>
    </w:p>
    <w:p w14:paraId="00FAA548" w14:textId="38D7E11B"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Bulk</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density</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f>
                  <m:fPr>
                    <m:type m:val="skw"/>
                    <m:ctrlPr>
                      <w:rPr>
                        <w:rFonts w:ascii="Cambria Math" w:eastAsia="Calibri" w:hAnsi="Cambria Math" w:cs="Times New Roman"/>
                        <w:sz w:val="20"/>
                        <w:szCs w:val="20"/>
                      </w:rPr>
                    </m:ctrlPr>
                  </m:fPr>
                  <m:num>
                    <m:r>
                      <w:rPr>
                        <w:rFonts w:ascii="Cambria Math" w:eastAsia="Calibri" w:hAnsi="Cambria Math" w:cs="Times New Roman"/>
                        <w:sz w:val="20"/>
                        <w:szCs w:val="20"/>
                      </w:rPr>
                      <m:t>g</m:t>
                    </m:r>
                  </m:num>
                  <m:den>
                    <m:r>
                      <w:rPr>
                        <w:rFonts w:ascii="Cambria Math" w:eastAsia="Calibri" w:hAnsi="Cambria Math" w:cs="Times New Roman"/>
                        <w:sz w:val="20"/>
                        <w:szCs w:val="20"/>
                      </w:rPr>
                      <m:t>mL</m:t>
                    </m:r>
                  </m:den>
                </m:f>
              </m:e>
              <m:sup/>
            </m:sSup>
          </m:e>
        </m:d>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weight</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num>
          <m:den>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after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trapping</m:t>
            </m: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705C90D3"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2AA35B74" w14:textId="1D98EEBF"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2.3.4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Swelling Capacity </w:t>
      </w:r>
      <w:r w:rsidR="0077328A" w:rsidRPr="00560D34">
        <w:rPr>
          <w:rFonts w:ascii="Times New Roman" w:eastAsia="Times New Roman" w:hAnsi="Times New Roman" w:cs="Times New Roman"/>
          <w:b/>
          <w:szCs w:val="20"/>
        </w:rPr>
        <w:t xml:space="preserve">(SC) of the </w:t>
      </w:r>
      <w:r w:rsidRPr="00560D34">
        <w:rPr>
          <w:rFonts w:ascii="Times New Roman" w:eastAsia="Times New Roman" w:hAnsi="Times New Roman" w:cs="Times New Roman"/>
          <w:b/>
          <w:szCs w:val="20"/>
        </w:rPr>
        <w:t>Breakfast Meal</w:t>
      </w:r>
    </w:p>
    <w:p w14:paraId="299AC482"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57F82FA1" w14:textId="46661BE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Swelling capacity was determined using the method described by Ukeyima et al. (2019). Five grams of the sample was weighed into a clean, dry graduated measuring cylinder. Fifty millilitres of boiled distilled water was added and stirred with a glass rod. The mixture was allowed to stand for 15 min, and the change in sample volume was recorded. The ratio of the initial volume to the final volume was calculated as the swelling ratio:</w:t>
      </w:r>
    </w:p>
    <w:p w14:paraId="564A62BC"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7482B8F" w14:textId="5E734D96" w:rsidR="0077328A" w:rsidRPr="00560D34" w:rsidRDefault="0077328A" w:rsidP="00F95923">
      <w:pPr>
        <w:spacing w:after="0" w:line="240" w:lineRule="auto"/>
        <w:ind w:left="720"/>
        <w:jc w:val="both"/>
        <w:rPr>
          <w:rFonts w:ascii="Times New Roman" w:eastAsia="Calibri" w:hAnsi="Times New Roman" w:cs="Times New Roman"/>
          <w:sz w:val="20"/>
          <w:szCs w:val="20"/>
        </w:rPr>
      </w:pPr>
      <m:oMath>
        <m:r>
          <w:rPr>
            <w:rFonts w:ascii="Cambria Math" w:eastAsia="Calibri" w:hAnsi="Cambria Math" w:cs="Times New Roman"/>
            <w:sz w:val="20"/>
            <w:szCs w:val="20"/>
          </w:rPr>
          <m:t>swelling</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chan</m:t>
            </m:r>
            <m:r>
              <m:rPr>
                <m:sty m:val="p"/>
              </m:rPr>
              <w:rPr>
                <w:rFonts w:ascii="Cambria Math" w:eastAsia="Calibri" w:hAnsi="Cambria Math" w:cs="Times New Roman"/>
                <w:sz w:val="20"/>
                <w:szCs w:val="20"/>
              </w:rPr>
              <m:t>g</m:t>
            </m:r>
            <m:r>
              <w:rPr>
                <w:rFonts w:ascii="Cambria Math" w:eastAsia="Calibri" w:hAnsi="Cambria Math" w:cs="Times New Roman"/>
                <w:sz w:val="20"/>
                <w:szCs w:val="20"/>
              </w:rPr>
              <m:t>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in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num>
          <m:den>
            <m:eqArr>
              <m:eqArrPr>
                <m:ctrlPr>
                  <w:rPr>
                    <w:rFonts w:ascii="Cambria Math" w:eastAsia="Calibri" w:hAnsi="Cambria Math" w:cs="Times New Roman"/>
                    <w:sz w:val="20"/>
                    <w:szCs w:val="20"/>
                  </w:rPr>
                </m:ctrlPr>
              </m:eqArrPr>
              <m:e>
                <m:r>
                  <w:rPr>
                    <w:rFonts w:ascii="Cambria Math" w:eastAsia="Calibri" w:hAnsi="Cambria Math" w:cs="Times New Roman"/>
                    <w:sz w:val="20"/>
                    <w:szCs w:val="20"/>
                  </w:rPr>
                  <m:t>original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m:t>
                </m:r>
                <m:r>
                  <w:rPr>
                    <w:rFonts w:ascii="Cambria Math" w:eastAsia="Calibri" w:hAnsi="Cambria Math" w:cs="Times New Roman"/>
                    <w:sz w:val="20"/>
                    <w:szCs w:val="20"/>
                  </w:rPr>
                  <m:t>mL</m:t>
                </m:r>
                <m:r>
                  <m:rPr>
                    <m:sty m:val="p"/>
                  </m:rPr>
                  <w:rPr>
                    <w:rFonts w:ascii="Cambria Math" w:eastAsia="Calibri" w:hAnsi="Cambria Math" w:cs="Times New Roman"/>
                    <w:sz w:val="20"/>
                    <w:szCs w:val="20"/>
                  </w:rPr>
                  <m:t xml:space="preserve">) </m:t>
                </m:r>
              </m:e>
              <m:e>
                <m:r>
                  <m:rPr>
                    <m:sty m:val="p"/>
                  </m:rPr>
                  <w:rPr>
                    <w:rFonts w:ascii="Cambria Math" w:eastAsia="Calibri" w:hAnsi="Cambria Math" w:cs="Times New Roman"/>
                    <w:sz w:val="20"/>
                    <w:szCs w:val="20"/>
                  </w:rPr>
                  <m:t xml:space="preserve"> </m:t>
                </m:r>
              </m:e>
            </m:eqAr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362C3523" w14:textId="77777777" w:rsidR="00F95923" w:rsidRPr="00560D34" w:rsidRDefault="00F95923" w:rsidP="0077328A">
      <w:pPr>
        <w:spacing w:after="0" w:line="240" w:lineRule="auto"/>
        <w:jc w:val="both"/>
        <w:rPr>
          <w:rFonts w:ascii="Times New Roman" w:eastAsia="Times New Roman" w:hAnsi="Times New Roman" w:cs="Times New Roman"/>
          <w:b/>
          <w:sz w:val="14"/>
          <w:szCs w:val="16"/>
        </w:rPr>
      </w:pPr>
    </w:p>
    <w:p w14:paraId="56BBFD0A" w14:textId="11E2A99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2.3.5 </w:t>
      </w:r>
      <w:r w:rsidR="0077328A" w:rsidRPr="00560D34">
        <w:rPr>
          <w:rFonts w:ascii="Times New Roman" w:eastAsia="Times New Roman" w:hAnsi="Times New Roman" w:cs="Times New Roman"/>
          <w:b/>
          <w:szCs w:val="20"/>
        </w:rPr>
        <w:t>Determina</w:t>
      </w:r>
      <w:r w:rsidRPr="00560D34">
        <w:rPr>
          <w:rFonts w:ascii="Times New Roman" w:eastAsia="Times New Roman" w:hAnsi="Times New Roman" w:cs="Times New Roman"/>
          <w:b/>
          <w:szCs w:val="20"/>
        </w:rPr>
        <w:t>tion of Viscosity</w:t>
      </w:r>
    </w:p>
    <w:p w14:paraId="5756828B"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04E75EA6" w14:textId="410C129D"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Gruels were prepared from both the control and formulated samples of the breakfast meal flour blends. Exactly 60 g of each sample was dissolved in 150 mL of potable water to produce a slurry. Then, 180 mL of boiling water was added to each slurry with continuous stirring to obtain homogeneous gruels (Okoye et al., 2021; Marcel et al., 2021). The viscosity of the gruels was measured using a Brookfield viscometer (Model DVI+, Italy). Cooked gruels were placed in a water bath maintained at 30 °C, which was the ambient temperature at which viscosity measurements were taken. The Brookfield viscometer was used to measure gruel viscosity in centipoise (cP) using spindle number 4 at a shear rate of 50 rpm (Tesfay et al., 2020; Okoye et al., 2021).</w:t>
      </w:r>
    </w:p>
    <w:p w14:paraId="0732D63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3B26BD01" w14:textId="49DBA5B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2.4 Determination of Pasting Properties</w:t>
      </w:r>
    </w:p>
    <w:p w14:paraId="0A70C19C"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582D99C4" w14:textId="59CF6DD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Pasting properties, including peak viscosity, trough viscosity, breakdown viscosity, final viscosity, setback viscosity, peak time and pasting temperature, were determined using a Rapid Visco Analyzer (RVA).</w:t>
      </w:r>
    </w:p>
    <w:p w14:paraId="05B6F26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6870DC34" w14:textId="5C03B7F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2.5 Determination of Microbial Quality</w:t>
      </w:r>
    </w:p>
    <w:p w14:paraId="15B509E6"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CBC953A" w14:textId="689179B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Total bacterial count, total fungi count, and coliform count were determined using standard microbiological methods (</w:t>
      </w:r>
      <w:r w:rsidRPr="00560D34">
        <w:rPr>
          <w:rFonts w:ascii="Times New Roman" w:eastAsia="Times New Roman" w:hAnsi="Times New Roman" w:cs="Times New Roman"/>
          <w:sz w:val="20"/>
          <w:szCs w:val="20"/>
          <w:highlight w:val="yellow"/>
        </w:rPr>
        <w:t xml:space="preserve">Horwitz &amp; </w:t>
      </w:r>
      <w:r w:rsidR="00560D34" w:rsidRPr="00560D34">
        <w:rPr>
          <w:rFonts w:ascii="Times New Roman" w:eastAsia="Times New Roman" w:hAnsi="Times New Roman" w:cs="Times New Roman"/>
          <w:sz w:val="20"/>
          <w:szCs w:val="20"/>
          <w:highlight w:val="yellow"/>
        </w:rPr>
        <w:t>Latimer</w:t>
      </w:r>
      <w:r w:rsidRPr="00560D34">
        <w:rPr>
          <w:rFonts w:ascii="Times New Roman" w:eastAsia="Times New Roman" w:hAnsi="Times New Roman" w:cs="Times New Roman"/>
          <w:sz w:val="20"/>
          <w:szCs w:val="20"/>
          <w:highlight w:val="yellow"/>
        </w:rPr>
        <w:t>, 2006</w:t>
      </w:r>
      <w:r w:rsidRPr="00560D34">
        <w:rPr>
          <w:rFonts w:ascii="Times New Roman" w:eastAsia="Times New Roman" w:hAnsi="Times New Roman" w:cs="Times New Roman"/>
          <w:sz w:val="20"/>
          <w:szCs w:val="20"/>
        </w:rPr>
        <w:t>)</w:t>
      </w:r>
      <w:r w:rsidR="00F95923" w:rsidRPr="00560D34">
        <w:rPr>
          <w:rFonts w:ascii="Times New Roman" w:eastAsia="Times New Roman" w:hAnsi="Times New Roman" w:cs="Times New Roman"/>
          <w:sz w:val="20"/>
          <w:szCs w:val="20"/>
        </w:rPr>
        <w:t>.</w:t>
      </w:r>
    </w:p>
    <w:p w14:paraId="33DBCE8D"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79B59FD8" w14:textId="463CBD3E"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2.6 Sensory Evaluation</w:t>
      </w:r>
    </w:p>
    <w:p w14:paraId="2334C559"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7C21023" w14:textId="28F68DC6"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t>Breakfast gruels were prepared from the flour blends and evaluated by panellists using a 9-point hedonic scale. Sixty grams of each sample was combined with 150 mL of potable water to generate a slurry. Subsequently, 180 mL of boiling water was incorporated into the slurry with continuous agitation to achieve a uniform gruel consistency. The resulting gruel was cooked at 100 °C on a gas stove for 3 min. Sensory evaluation was conducted in a dedicated sensory evaluation area to assess appearance (colour), taste, aroma, texture and overall acceptability, using both descriptive and affective testing methods.</w:t>
      </w:r>
    </w:p>
    <w:p w14:paraId="15A99BE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7AF1F37D" w14:textId="5C195C29"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lastRenderedPageBreak/>
        <w:t>The sample scores were based on the degree of liking and acceptance using a 9-point hedonic scale, where 1 = dislike extremely, 2 = dislike very much, 3 = dislike moderately, 4 = dislike slightly, 5 = neither like nor dislike, 6 = like slightly, 7 = like moderately, 8 = like very much and 9 = like extremely.</w:t>
      </w:r>
    </w:p>
    <w:p w14:paraId="53F1870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2F170E61" w14:textId="177CF7CB"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2.7 Statistical Analysis</w:t>
      </w:r>
    </w:p>
    <w:p w14:paraId="303AE337"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228F5E68" w14:textId="77777777"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All analyses were conducted in triplicate. Data were subjected to analysis of variance (ANOVA), and means were separated using Duncan’s multiple range test at p &lt; 0.05.</w:t>
      </w:r>
    </w:p>
    <w:p w14:paraId="78FAF637"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712573FA" w14:textId="00FDE96E" w:rsidR="0077328A" w:rsidRPr="00560D34" w:rsidRDefault="0077328A"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3. Results and Discussion</w:t>
      </w:r>
    </w:p>
    <w:p w14:paraId="27F0C29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44DF2080" w14:textId="4864E54F"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3.1 Functional Properties of Breakfast Meal Flour Blends</w:t>
      </w:r>
    </w:p>
    <w:p w14:paraId="61BDE5E2"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3EEEB0E2" w14:textId="4F3AD82E"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3.1.1 </w:t>
      </w:r>
      <w:r w:rsidR="0077328A" w:rsidRPr="00560D34">
        <w:rPr>
          <w:rFonts w:ascii="Times New Roman" w:eastAsia="Times New Roman" w:hAnsi="Times New Roman" w:cs="Times New Roman"/>
          <w:b/>
          <w:bCs/>
          <w:kern w:val="36"/>
          <w:szCs w:val="20"/>
        </w:rPr>
        <w:t>Bulk Density</w:t>
      </w:r>
    </w:p>
    <w:p w14:paraId="4BB1476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20"/>
        </w:rPr>
      </w:pPr>
    </w:p>
    <w:p w14:paraId="66049488" w14:textId="33A313BD" w:rsidR="0077328A" w:rsidRPr="00560D34" w:rsidRDefault="0077328A" w:rsidP="0077328A">
      <w:pPr>
        <w:spacing w:after="0" w:line="240" w:lineRule="auto"/>
        <w:jc w:val="both"/>
        <w:outlineLvl w:val="0"/>
        <w:rPr>
          <w:rFonts w:ascii="Times New Roman" w:eastAsia="Times New Roman" w:hAnsi="Times New Roman" w:cs="Times New Roman"/>
          <w:bCs/>
          <w:kern w:val="36"/>
          <w:sz w:val="20"/>
          <w:szCs w:val="20"/>
        </w:rPr>
      </w:pPr>
      <w:r>
        <w:rPr>
          <w:rFonts w:ascii="Times New Roman" w:hAnsi="Times New Roman"/>
          <w:sz w:val="20"/>
          <w:highlight w:val="yellow"/>
        </w:rPr>
        <w:t>The bulk density of the breakfast meal flour blends, as presented in Table 2, ranged from 0.66 to 0.84 g/cm³. Significant differences (p &lt; 0.05) were observed in the bulk density of the germinated and fermented samples. The higher bulk density observed in FMNSBD may be attributed to structural modifications during fermentation, which can enhance particle density and reduce inter-particle void spaces. Lower bulk density, as observed in GFMSBD, is desirable in complementary and breakfast foods because it allows greater nutrient density at lower viscosity and may improve energy intake in children. The values obtained in this study were lower than those reported by Edima-Nyah et al. (2024) (0.90-0.97 g/cm³) in the production of breakfast cereals. This difference may be due to variation in fermentation time and material composition. Similar findings were reported by Adebowale et al. (2025), who observed reduced bulk density in fermented cereal-legume blends due to enzymatic breakdown of complex macromolecules, such as carbohydrates and proteins, into less dense compounds. Likewise, Adebiyi et al. (2021) reported that sprouting of legumes altered particle size distribution, thereby influencing bulk packing characteristics.</w:t>
      </w:r>
    </w:p>
    <w:p w14:paraId="78D410FE" w14:textId="77777777" w:rsidR="00F95923" w:rsidRPr="00560D34" w:rsidRDefault="00F95923" w:rsidP="0077328A">
      <w:pPr>
        <w:spacing w:after="0" w:line="240" w:lineRule="auto"/>
        <w:jc w:val="both"/>
        <w:outlineLvl w:val="0"/>
        <w:rPr>
          <w:rFonts w:ascii="Times New Roman" w:eastAsia="Times New Roman" w:hAnsi="Times New Roman" w:cs="Times New Roman"/>
          <w:bCs/>
          <w:kern w:val="36"/>
          <w:sz w:val="20"/>
          <w:szCs w:val="20"/>
        </w:rPr>
      </w:pPr>
    </w:p>
    <w:p w14:paraId="58C31BB8" w14:textId="39C5B1B5"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3.1.2 </w:t>
      </w:r>
      <w:r w:rsidR="0077328A" w:rsidRPr="00560D34">
        <w:rPr>
          <w:rFonts w:ascii="Times New Roman" w:eastAsia="Times New Roman" w:hAnsi="Times New Roman" w:cs="Times New Roman"/>
          <w:b/>
          <w:bCs/>
          <w:kern w:val="36"/>
          <w:szCs w:val="20"/>
        </w:rPr>
        <w:t>Water Absorption Capacity (WAC)</w:t>
      </w:r>
    </w:p>
    <w:p w14:paraId="7F6958EC"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20"/>
          <w:szCs w:val="20"/>
        </w:rPr>
      </w:pPr>
    </w:p>
    <w:p w14:paraId="500B346A" w14:textId="12B47253" w:rsidR="0077328A" w:rsidRPr="00560D34" w:rsidRDefault="0077328A" w:rsidP="0077328A">
      <w:pPr>
        <w:spacing w:after="0" w:line="240" w:lineRule="auto"/>
        <w:jc w:val="both"/>
        <w:rPr>
          <w:rFonts w:ascii="Times New Roman" w:eastAsia="Times New Roman" w:hAnsi="Times New Roman" w:cs="Times New Roman"/>
          <w:bCs/>
          <w:kern w:val="36"/>
          <w:sz w:val="20"/>
          <w:szCs w:val="20"/>
        </w:rPr>
      </w:pPr>
      <w:r>
        <w:rPr>
          <w:rFonts w:ascii="Times New Roman" w:hAnsi="Times New Roman"/>
          <w:sz w:val="20"/>
          <w:highlight w:val="yellow"/>
        </w:rPr>
        <w:t>WAC varied significantly (p &lt; 0.05) from 2.02 to 2.81 g/g, with GFMSBD (2.81 g/g) recording the highest value. The increased WAC in the GFMSBD blend may be due to the combined effects of fermentation and germination, including exposure of hydrophilic amino acid residues and partial starch hydrolysis during enzymatic activity, which enhance water-binding sites. Similar results (2.40-2.60 g/g) were obtained by Edima-Nyah et al. (2024). High WAC improves dough handling, reconstitution and viscosity development in cereal-based products (Falade &amp; Oyeyinka, 2020). The lower WAC observed in FMNSBD (2.36 g/g) may reflect intact starch granules and limited protein unfolding compared with germinated blends. High WAC is beneficial in breakfast cereals and porridges because it contributes to improved consistency and mouthfeel (Arya et al., 2020).</w:t>
      </w:r>
    </w:p>
    <w:p w14:paraId="0B1D803E" w14:textId="77777777" w:rsidR="00F95923" w:rsidRPr="00560D34" w:rsidRDefault="00F95923" w:rsidP="00F95923">
      <w:pPr>
        <w:spacing w:after="0" w:line="240" w:lineRule="auto"/>
        <w:jc w:val="both"/>
        <w:rPr>
          <w:rFonts w:ascii="Times New Roman" w:eastAsia="Times New Roman" w:hAnsi="Times New Roman" w:cs="Times New Roman"/>
          <w:b/>
          <w:bCs/>
          <w:sz w:val="20"/>
          <w:szCs w:val="20"/>
        </w:rPr>
      </w:pPr>
    </w:p>
    <w:p w14:paraId="4FC3E4B5" w14:textId="3086F858" w:rsidR="00F95923" w:rsidRPr="00560D34" w:rsidRDefault="00F95923" w:rsidP="00F95923">
      <w:pPr>
        <w:spacing w:after="0" w:line="240" w:lineRule="auto"/>
        <w:jc w:val="both"/>
        <w:rPr>
          <w:rFonts w:ascii="Times New Roman" w:eastAsia="Calibri" w:hAnsi="Times New Roman" w:cs="Times New Roman"/>
          <w:szCs w:val="20"/>
        </w:rPr>
      </w:pPr>
      <w:r w:rsidRPr="00560D34">
        <w:rPr>
          <w:rFonts w:ascii="Times New Roman" w:eastAsia="Times New Roman" w:hAnsi="Times New Roman" w:cs="Times New Roman"/>
          <w:b/>
          <w:bCs/>
          <w:szCs w:val="20"/>
        </w:rPr>
        <w:t xml:space="preserve">3.1.3 </w:t>
      </w:r>
      <w:r w:rsidR="0077328A" w:rsidRPr="00560D34">
        <w:rPr>
          <w:rFonts w:ascii="Times New Roman" w:eastAsia="Times New Roman" w:hAnsi="Times New Roman" w:cs="Times New Roman"/>
          <w:b/>
          <w:bCs/>
          <w:szCs w:val="20"/>
        </w:rPr>
        <w:t>Oil Absorption Capacity (OAC)</w:t>
      </w:r>
      <w:r w:rsidRPr="00560D34">
        <w:rPr>
          <w:rFonts w:ascii="Times New Roman" w:eastAsia="Calibri" w:hAnsi="Times New Roman" w:cs="Times New Roman"/>
          <w:szCs w:val="20"/>
        </w:rPr>
        <w:t xml:space="preserve"> </w:t>
      </w:r>
    </w:p>
    <w:p w14:paraId="14CF388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240E83A6" w14:textId="7F689305" w:rsidR="00F95923" w:rsidRPr="00560D34" w:rsidRDefault="0077328A" w:rsidP="00F95923">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Oil absorption capacity, as shown in Table 2, increased significantly (p &lt; 0.05) from 1.35 g/g in sample FM to 2.51 g/g in sample GFMSBD. The increase in the oil retention capacity of the composite flour may be due to the inclusion of kidney beans, which are high in protein. Oil absorption capacity is primarily influenced by hydrophobic interactions within protein molecules. This result agrees with the study by Elkhalifa and Bernhardt (2018), which reported a 9% increase in sorghum flour after germination and fermentation. According to Adebo et al. (2022), germination breaks down protein and exposes hydrophobic sites, thereby enhancing protein flexibility and surface activity and improving lipid-binding ability. Improved OAC was observed in samples subjected to the combined processing technology, which is advantageous because it enhances flavour retention and mouthfeel in breakfast cereals and reconstituted meals (Peter-Ikechukwu et al., 2020).</w:t>
      </w:r>
    </w:p>
    <w:p w14:paraId="4FE8F54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5258BA59" w14:textId="6840A60D" w:rsidR="0077328A" w:rsidRPr="00560D34" w:rsidRDefault="006667F1" w:rsidP="006667F1">
      <w:pPr>
        <w:spacing w:after="0" w:line="240" w:lineRule="auto"/>
        <w:jc w:val="center"/>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Table 2. </w:t>
      </w:r>
      <w:r w:rsidR="0077328A" w:rsidRPr="00560D34">
        <w:rPr>
          <w:rFonts w:ascii="Times New Roman" w:eastAsia="Calibri" w:hAnsi="Times New Roman" w:cs="Times New Roman"/>
          <w:b/>
          <w:bCs/>
          <w:sz w:val="20"/>
          <w:szCs w:val="20"/>
          <w:lang w:val="en-GB"/>
        </w:rPr>
        <w:t>Functional properties of the breakfast meal flour blends</w:t>
      </w:r>
    </w:p>
    <w:p w14:paraId="1EFF580F" w14:textId="77777777" w:rsidR="00F95923" w:rsidRPr="00560D34" w:rsidRDefault="00F95923" w:rsidP="00F95923">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82"/>
        <w:gridCol w:w="967"/>
        <w:gridCol w:w="974"/>
        <w:gridCol w:w="950"/>
        <w:gridCol w:w="972"/>
        <w:gridCol w:w="1000"/>
        <w:gridCol w:w="950"/>
        <w:gridCol w:w="1043"/>
        <w:gridCol w:w="1010"/>
      </w:tblGrid>
      <w:tr w:rsidR="0077328A" w:rsidRPr="00560D34" w14:paraId="2A47923F" w14:textId="77777777" w:rsidTr="006667F1">
        <w:trPr>
          <w:trHeight w:val="20"/>
          <w:jc w:val="center"/>
        </w:trPr>
        <w:tc>
          <w:tcPr>
            <w:tcW w:w="1006" w:type="dxa"/>
            <w:tcBorders>
              <w:top w:val="single" w:sz="4" w:space="0" w:color="auto"/>
              <w:bottom w:val="single" w:sz="4" w:space="0" w:color="auto"/>
            </w:tcBorders>
          </w:tcPr>
          <w:p w14:paraId="30F1D6C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Sample </w:t>
            </w:r>
          </w:p>
        </w:tc>
        <w:tc>
          <w:tcPr>
            <w:tcW w:w="990" w:type="dxa"/>
            <w:tcBorders>
              <w:top w:val="single" w:sz="4" w:space="0" w:color="auto"/>
              <w:bottom w:val="single" w:sz="4" w:space="0" w:color="auto"/>
            </w:tcBorders>
          </w:tcPr>
          <w:p w14:paraId="48C9601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Bulk density</w:t>
            </w:r>
          </w:p>
          <w:p w14:paraId="70783D5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(g/ml)</w:t>
            </w:r>
          </w:p>
        </w:tc>
        <w:tc>
          <w:tcPr>
            <w:tcW w:w="997" w:type="dxa"/>
            <w:tcBorders>
              <w:top w:val="single" w:sz="4" w:space="0" w:color="auto"/>
              <w:bottom w:val="single" w:sz="4" w:space="0" w:color="auto"/>
            </w:tcBorders>
          </w:tcPr>
          <w:p w14:paraId="4FD68E38"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Water absorption capacity (g/g)</w:t>
            </w:r>
          </w:p>
        </w:tc>
        <w:tc>
          <w:tcPr>
            <w:tcW w:w="973" w:type="dxa"/>
            <w:tcBorders>
              <w:top w:val="single" w:sz="4" w:space="0" w:color="auto"/>
              <w:bottom w:val="single" w:sz="4" w:space="0" w:color="auto"/>
            </w:tcBorders>
          </w:tcPr>
          <w:p w14:paraId="751AE32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Oil absorption capacity (g/g)</w:t>
            </w:r>
          </w:p>
        </w:tc>
        <w:tc>
          <w:tcPr>
            <w:tcW w:w="995" w:type="dxa"/>
            <w:tcBorders>
              <w:top w:val="single" w:sz="4" w:space="0" w:color="auto"/>
              <w:bottom w:val="single" w:sz="4" w:space="0" w:color="auto"/>
            </w:tcBorders>
          </w:tcPr>
          <w:p w14:paraId="2389C6E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Foaming Capacity %</w:t>
            </w:r>
          </w:p>
        </w:tc>
        <w:tc>
          <w:tcPr>
            <w:tcW w:w="1024" w:type="dxa"/>
            <w:tcBorders>
              <w:top w:val="single" w:sz="4" w:space="0" w:color="auto"/>
              <w:bottom w:val="single" w:sz="4" w:space="0" w:color="auto"/>
            </w:tcBorders>
          </w:tcPr>
          <w:p w14:paraId="779F930E"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Emulsion Activity and Stability (EA/ES)%</w:t>
            </w:r>
          </w:p>
        </w:tc>
        <w:tc>
          <w:tcPr>
            <w:tcW w:w="973" w:type="dxa"/>
            <w:tcBorders>
              <w:top w:val="single" w:sz="4" w:space="0" w:color="auto"/>
              <w:bottom w:val="single" w:sz="4" w:space="0" w:color="auto"/>
            </w:tcBorders>
          </w:tcPr>
          <w:p w14:paraId="3FD980D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Solubility Index (swelling capacity) g/g</w:t>
            </w:r>
          </w:p>
        </w:tc>
        <w:tc>
          <w:tcPr>
            <w:tcW w:w="1068" w:type="dxa"/>
            <w:tcBorders>
              <w:top w:val="single" w:sz="4" w:space="0" w:color="auto"/>
              <w:bottom w:val="single" w:sz="4" w:space="0" w:color="auto"/>
            </w:tcBorders>
          </w:tcPr>
          <w:p w14:paraId="162F87CD" w14:textId="77777777" w:rsidR="0077328A" w:rsidRPr="00560D34" w:rsidRDefault="0077328A" w:rsidP="006667F1">
            <w:pPr>
              <w:ind w:right="-193"/>
              <w:rPr>
                <w:rFonts w:ascii="Times New Roman" w:eastAsia="Calibri" w:hAnsi="Times New Roman" w:cs="Times New Roman"/>
                <w:b/>
                <w:sz w:val="16"/>
                <w:szCs w:val="16"/>
              </w:rPr>
            </w:pPr>
            <w:r w:rsidRPr="00560D34">
              <w:rPr>
                <w:rFonts w:ascii="Times New Roman" w:eastAsia="Calibri" w:hAnsi="Times New Roman" w:cs="Times New Roman"/>
                <w:b/>
                <w:sz w:val="16"/>
                <w:szCs w:val="16"/>
              </w:rPr>
              <w:t>Gelatinization Temperature (℃)</w:t>
            </w:r>
          </w:p>
        </w:tc>
        <w:tc>
          <w:tcPr>
            <w:tcW w:w="1034" w:type="dxa"/>
            <w:tcBorders>
              <w:top w:val="single" w:sz="4" w:space="0" w:color="auto"/>
              <w:bottom w:val="single" w:sz="4" w:space="0" w:color="auto"/>
            </w:tcBorders>
          </w:tcPr>
          <w:p w14:paraId="38798DF4"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Viscosity (cP)</w:t>
            </w:r>
          </w:p>
        </w:tc>
      </w:tr>
      <w:tr w:rsidR="0077328A" w:rsidRPr="00560D34" w14:paraId="49651AFB" w14:textId="77777777" w:rsidTr="006667F1">
        <w:trPr>
          <w:trHeight w:val="20"/>
          <w:jc w:val="center"/>
        </w:trPr>
        <w:tc>
          <w:tcPr>
            <w:tcW w:w="1006" w:type="dxa"/>
            <w:tcBorders>
              <w:top w:val="single" w:sz="4" w:space="0" w:color="auto"/>
            </w:tcBorders>
          </w:tcPr>
          <w:p w14:paraId="1F7BC00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990" w:type="dxa"/>
            <w:tcBorders>
              <w:top w:val="single" w:sz="4" w:space="0" w:color="auto"/>
            </w:tcBorders>
          </w:tcPr>
          <w:p w14:paraId="6983671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0.77</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Borders>
              <w:top w:val="single" w:sz="4" w:space="0" w:color="auto"/>
            </w:tcBorders>
          </w:tcPr>
          <w:p w14:paraId="711702A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2.02</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73" w:type="dxa"/>
            <w:tcBorders>
              <w:top w:val="single" w:sz="4" w:space="0" w:color="auto"/>
            </w:tcBorders>
          </w:tcPr>
          <w:p w14:paraId="1ACD689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1.35</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95" w:type="dxa"/>
            <w:tcBorders>
              <w:top w:val="single" w:sz="4" w:space="0" w:color="auto"/>
            </w:tcBorders>
          </w:tcPr>
          <w:p w14:paraId="5532D51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c>
          <w:tcPr>
            <w:tcW w:w="1024" w:type="dxa"/>
            <w:tcBorders>
              <w:top w:val="single" w:sz="4" w:space="0" w:color="auto"/>
            </w:tcBorders>
          </w:tcPr>
          <w:p w14:paraId="1A263BA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9.23</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±0.03</w:t>
            </w:r>
          </w:p>
        </w:tc>
        <w:tc>
          <w:tcPr>
            <w:tcW w:w="973" w:type="dxa"/>
            <w:tcBorders>
              <w:top w:val="single" w:sz="4" w:space="0" w:color="auto"/>
            </w:tcBorders>
          </w:tcPr>
          <w:p w14:paraId="47CA92F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0.99</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±0.04</w:t>
            </w:r>
          </w:p>
        </w:tc>
        <w:tc>
          <w:tcPr>
            <w:tcW w:w="1068" w:type="dxa"/>
            <w:tcBorders>
              <w:top w:val="single" w:sz="4" w:space="0" w:color="auto"/>
            </w:tcBorders>
          </w:tcPr>
          <w:p w14:paraId="4175C54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49.99</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1034" w:type="dxa"/>
            <w:tcBorders>
              <w:top w:val="single" w:sz="4" w:space="0" w:color="auto"/>
            </w:tcBorders>
          </w:tcPr>
          <w:p w14:paraId="5E1E3F09"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198.91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r>
      <w:tr w:rsidR="0077328A" w:rsidRPr="00560D34" w14:paraId="03BF89B9" w14:textId="77777777" w:rsidTr="006667F1">
        <w:trPr>
          <w:trHeight w:val="20"/>
          <w:jc w:val="center"/>
        </w:trPr>
        <w:tc>
          <w:tcPr>
            <w:tcW w:w="1006" w:type="dxa"/>
          </w:tcPr>
          <w:p w14:paraId="46C8D97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990" w:type="dxa"/>
          </w:tcPr>
          <w:p w14:paraId="224A77C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±0.03</w:t>
            </w:r>
          </w:p>
        </w:tc>
        <w:tc>
          <w:tcPr>
            <w:tcW w:w="997" w:type="dxa"/>
          </w:tcPr>
          <w:p w14:paraId="1DE0E75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2.42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±0.52</w:t>
            </w:r>
          </w:p>
        </w:tc>
        <w:tc>
          <w:tcPr>
            <w:tcW w:w="973" w:type="dxa"/>
          </w:tcPr>
          <w:p w14:paraId="58174E8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995" w:type="dxa"/>
          </w:tcPr>
          <w:p w14:paraId="112CF9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83.73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24" w:type="dxa"/>
          </w:tcPr>
          <w:p w14:paraId="0579BB0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53.86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±4.71</w:t>
            </w:r>
          </w:p>
        </w:tc>
        <w:tc>
          <w:tcPr>
            <w:tcW w:w="973" w:type="dxa"/>
          </w:tcPr>
          <w:p w14:paraId="2A0889B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68" w:type="dxa"/>
          </w:tcPr>
          <w:p w14:paraId="2497A4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82.43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34" w:type="dxa"/>
          </w:tcPr>
          <w:p w14:paraId="689DAB3F"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166.04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±0.95</w:t>
            </w:r>
          </w:p>
        </w:tc>
      </w:tr>
      <w:tr w:rsidR="0077328A" w:rsidRPr="00560D34" w14:paraId="384FE7E6" w14:textId="77777777" w:rsidTr="006667F1">
        <w:trPr>
          <w:trHeight w:val="20"/>
          <w:jc w:val="center"/>
        </w:trPr>
        <w:tc>
          <w:tcPr>
            <w:tcW w:w="1006" w:type="dxa"/>
          </w:tcPr>
          <w:p w14:paraId="66133F0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lastRenderedPageBreak/>
              <w:t>FMNSBD</w:t>
            </w:r>
          </w:p>
        </w:tc>
        <w:tc>
          <w:tcPr>
            <w:tcW w:w="990" w:type="dxa"/>
          </w:tcPr>
          <w:p w14:paraId="0B6581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0.84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7" w:type="dxa"/>
          </w:tcPr>
          <w:p w14:paraId="501B62D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45AAB01C"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2.12</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±0.01</w:t>
            </w:r>
          </w:p>
        </w:tc>
        <w:tc>
          <w:tcPr>
            <w:tcW w:w="995" w:type="dxa"/>
          </w:tcPr>
          <w:p w14:paraId="4033074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78.14</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24" w:type="dxa"/>
          </w:tcPr>
          <w:p w14:paraId="00A9FD5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48.73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1469ADD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1.51</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68" w:type="dxa"/>
          </w:tcPr>
          <w:p w14:paraId="353E7E1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87.30</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±0.10</w:t>
            </w:r>
          </w:p>
        </w:tc>
        <w:tc>
          <w:tcPr>
            <w:tcW w:w="1034" w:type="dxa"/>
          </w:tcPr>
          <w:p w14:paraId="39777F00"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241.69</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±0.57</w:t>
            </w:r>
          </w:p>
        </w:tc>
      </w:tr>
      <w:tr w:rsidR="0077328A" w:rsidRPr="00560D34" w14:paraId="664D0501" w14:textId="77777777" w:rsidTr="006667F1">
        <w:trPr>
          <w:trHeight w:val="20"/>
          <w:jc w:val="center"/>
        </w:trPr>
        <w:tc>
          <w:tcPr>
            <w:tcW w:w="1006" w:type="dxa"/>
          </w:tcPr>
          <w:p w14:paraId="6C8029E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990" w:type="dxa"/>
          </w:tcPr>
          <w:p w14:paraId="0BD3C04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0.66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997" w:type="dxa"/>
          </w:tcPr>
          <w:p w14:paraId="55855E4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73" w:type="dxa"/>
          </w:tcPr>
          <w:p w14:paraId="787DCF5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2.51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5" w:type="dxa"/>
          </w:tcPr>
          <w:p w14:paraId="0D88DDE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86.12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1024" w:type="dxa"/>
          </w:tcPr>
          <w:p w14:paraId="56B5CC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59.31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973" w:type="dxa"/>
          </w:tcPr>
          <w:p w14:paraId="17824F3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1068" w:type="dxa"/>
          </w:tcPr>
          <w:p w14:paraId="7D25217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74.13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34" w:type="dxa"/>
          </w:tcPr>
          <w:p w14:paraId="148250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±1.01</w:t>
            </w:r>
          </w:p>
        </w:tc>
      </w:tr>
      <w:tr w:rsidR="0077328A" w:rsidRPr="00560D34" w14:paraId="66765019" w14:textId="77777777" w:rsidTr="006667F1">
        <w:trPr>
          <w:trHeight w:val="20"/>
          <w:jc w:val="center"/>
        </w:trPr>
        <w:tc>
          <w:tcPr>
            <w:tcW w:w="1006" w:type="dxa"/>
          </w:tcPr>
          <w:p w14:paraId="33C5F73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990" w:type="dxa"/>
          </w:tcPr>
          <w:p w14:paraId="4CA8E7F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Pr>
          <w:p w14:paraId="06D8E94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4A79C86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5" w:type="dxa"/>
          </w:tcPr>
          <w:p w14:paraId="3D0A8E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73.23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24" w:type="dxa"/>
          </w:tcPr>
          <w:p w14:paraId="58FF53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54.61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563B44A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68" w:type="dxa"/>
          </w:tcPr>
          <w:p w14:paraId="3AC4DAA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77.52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34" w:type="dxa"/>
          </w:tcPr>
          <w:p w14:paraId="2D0651A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32.35</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±1.13</w:t>
            </w:r>
          </w:p>
        </w:tc>
      </w:tr>
    </w:tbl>
    <w:p w14:paraId="63EBBB47" w14:textId="77777777"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657C77B8" w14:textId="5EED7286"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7309C161" w14:textId="77777777" w:rsidR="0077328A" w:rsidRPr="00560D34" w:rsidRDefault="0077328A" w:rsidP="0077328A">
      <w:pPr>
        <w:spacing w:after="0" w:line="240" w:lineRule="auto"/>
        <w:jc w:val="both"/>
        <w:rPr>
          <w:rFonts w:ascii="Times New Roman" w:eastAsia="Times New Roman" w:hAnsi="Times New Roman" w:cs="Times New Roman"/>
          <w:bCs/>
          <w:sz w:val="20"/>
          <w:szCs w:val="20"/>
        </w:rPr>
      </w:pPr>
    </w:p>
    <w:p w14:paraId="584CA9E3" w14:textId="6D4A2F6F"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3.1.4 </w:t>
      </w:r>
      <w:r w:rsidR="0077328A" w:rsidRPr="00560D34">
        <w:rPr>
          <w:rFonts w:ascii="Times New Roman" w:eastAsia="Times New Roman" w:hAnsi="Times New Roman" w:cs="Times New Roman"/>
          <w:b/>
          <w:bCs/>
          <w:szCs w:val="20"/>
        </w:rPr>
        <w:t>Foaming Capacity</w:t>
      </w:r>
    </w:p>
    <w:p w14:paraId="2175F3B2"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101E48DA" w14:textId="431A300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Foaming capacity ranged from 15.31% to 86.12%, with GFMSBD (86.12%) showing the highest value. Proteins promote foam formation by reducing surface tension and forming stable interfacial films (Adebowale et al., 2025; Godswill et al., 2019). These results are consistent with Xinrui et al. (2024) and Sibian and Riar (2023), who reported increased foaming capacity in kidney beans after germination. Elkhalifa and Bernhardt (2018) also found a 9% increase after fermenting and germinating sorghum flour. Germination and fermentation may have improved protein solubility and molecular flexibility, thereby enhancing foam formation (Xinrui et al., 2024). FM displayed the lowest foaming capacity (15.31%), possibly due to its low protein content compared with the composite blends (FMSBD, FMNSBD, GFMSBD and GFMNSBD).</w:t>
      </w:r>
    </w:p>
    <w:p w14:paraId="5EB2895D"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4DD8F6F" w14:textId="11EBB76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3.1.5 </w:t>
      </w:r>
      <w:r w:rsidR="0077328A" w:rsidRPr="00560D34">
        <w:rPr>
          <w:rFonts w:ascii="Times New Roman" w:eastAsia="Times New Roman" w:hAnsi="Times New Roman" w:cs="Times New Roman"/>
          <w:b/>
          <w:bCs/>
          <w:szCs w:val="20"/>
        </w:rPr>
        <w:t>Emulsion Activity and Stability (EA/ES)</w:t>
      </w:r>
    </w:p>
    <w:p w14:paraId="043A1E91"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2D49706" w14:textId="0D65DF64"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EA/ES values ranged from 9.23% to 59.31%, with GFMSBD (59.31%) demonstrating the highest emulsifying properties. This result agrees with the observations of Xinrui et al. (2024) and Sibian and Riar (2023), who reported increased emulsion properties after kidney bean germination. Emulsification depends on protein solubility and the balance between hydrophilic and hydrophobic domains (Sibian &amp; Riar, 2023; Adebo et al., 2022). Enhanced emulsifying properties in germinated and fermented blends may result from partial proteolysis, which increases surface-active peptides capable of stabilising oil-water interfaces (Adebo et al., 2022).</w:t>
      </w:r>
    </w:p>
    <w:p w14:paraId="6D5F4C18" w14:textId="21243FC3" w:rsidR="006667F1" w:rsidRPr="00560D34" w:rsidRDefault="006667F1" w:rsidP="0077328A">
      <w:pPr>
        <w:spacing w:after="0" w:line="240" w:lineRule="auto"/>
        <w:jc w:val="both"/>
        <w:rPr>
          <w:rFonts w:ascii="Times New Roman" w:eastAsia="Times New Roman" w:hAnsi="Times New Roman" w:cs="Times New Roman"/>
          <w:sz w:val="20"/>
          <w:szCs w:val="20"/>
        </w:rPr>
      </w:pPr>
    </w:p>
    <w:p w14:paraId="60B2AB34" w14:textId="3E24B1E2"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3.1.6 </w:t>
      </w:r>
      <w:r w:rsidR="0077328A" w:rsidRPr="00560D34">
        <w:rPr>
          <w:rFonts w:ascii="Times New Roman" w:eastAsia="Times New Roman" w:hAnsi="Times New Roman" w:cs="Times New Roman"/>
          <w:b/>
          <w:bCs/>
          <w:szCs w:val="20"/>
        </w:rPr>
        <w:t>Solubility Index (Swelling Capacity)</w:t>
      </w:r>
    </w:p>
    <w:p w14:paraId="6AC13C39"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15EC4A1" w14:textId="3A157D5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Swelling capacity, which measures the ability of starch in flour or food to absorb water and swell, increased significantly (p &lt; 0.05) following the inclusion of sprouted and non-sprouted kidney beans and date flour. The increase in the swelling index of the samples processed using the combined method (fermentation and germination/sprouting) may be due to modification of starch granules. Germination activates amylases that hydrolyse starch, improving solubility and dispersibility (Nkhata et al., 2018). A similar result was obtained by Sobowale (2025) after the germination and fermentation of pigeon pea flour. A high swelling index was observed in sample GFMSBD (2.82) due to the combined processing methods. Higher swelling capacity is advantageous for breakfast formulations because it enhances digestibility and rapid reconstitution.</w:t>
      </w:r>
    </w:p>
    <w:p w14:paraId="32128C6B" w14:textId="77777777" w:rsidR="006667F1" w:rsidRPr="00560D34" w:rsidRDefault="006667F1" w:rsidP="0077328A">
      <w:pPr>
        <w:spacing w:after="0" w:line="240" w:lineRule="auto"/>
        <w:jc w:val="both"/>
        <w:rPr>
          <w:rFonts w:ascii="Times New Roman" w:eastAsia="Times New Roman" w:hAnsi="Times New Roman" w:cs="Times New Roman"/>
          <w:b/>
          <w:bCs/>
          <w:sz w:val="20"/>
          <w:szCs w:val="20"/>
        </w:rPr>
      </w:pPr>
    </w:p>
    <w:p w14:paraId="6BAA2D0D" w14:textId="3164D95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3.1.7 </w:t>
      </w:r>
      <w:r w:rsidR="0077328A" w:rsidRPr="00560D34">
        <w:rPr>
          <w:rFonts w:ascii="Times New Roman" w:eastAsia="Times New Roman" w:hAnsi="Times New Roman" w:cs="Times New Roman"/>
          <w:b/>
          <w:bCs/>
          <w:szCs w:val="20"/>
        </w:rPr>
        <w:t>Gelatinization Temperature</w:t>
      </w:r>
    </w:p>
    <w:p w14:paraId="248A37A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A8F4062" w14:textId="6C8A3E1B"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Gelatinisation temperatures ranged from 49.99 °C to 87.30 °C, with the lowest value recorded in FM (49.99 °C) and the highest in FMNSBD (87.30 °C). A lower gelatinisation temperature indicates that less energy is needed to break down starch granules, making processing more energy efficient (Olatunde et al., 2022). In germinated blends, such as GFMSBD (74.13 °C), the reduced gelatinisation temperature indicates that enzymatic activity during sprouting weakens the structure of starch granules.</w:t>
      </w:r>
    </w:p>
    <w:p w14:paraId="0E7D7C23"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4A5E8C2" w14:textId="1A147E29"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3.1.8 </w:t>
      </w:r>
      <w:r w:rsidR="0077328A" w:rsidRPr="00560D34">
        <w:rPr>
          <w:rFonts w:ascii="Times New Roman" w:eastAsia="Times New Roman" w:hAnsi="Times New Roman" w:cs="Times New Roman"/>
          <w:b/>
          <w:bCs/>
          <w:szCs w:val="20"/>
        </w:rPr>
        <w:t>Viscosity</w:t>
      </w:r>
    </w:p>
    <w:p w14:paraId="680E784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BDF4FBD" w14:textId="31D4FBC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Viscosity ranged widely from 32.35 to 241.69 cP, with FMNSBD (241.69 cP) recording the highest value and the germinated samples (GFMSBD and GFMNSBD) recording the lowest values (approximately 32-33 cP). The sharp reduction in viscosity in germinated/fermented samples was attributed to enzymatic breakdown of starch (amylolysis), producing lower-molecular-weight dextrins. Germination increases the activity of α- and β-amylase enzymes in kidney bean. Amylase-producing microorganisms break down starch into simpler sugars, release bound water and reduce viscosity (Heuvey &amp; Ahure, 2024). This is particularly beneficial for infant foods because it allows higher solid concentration without excessive thickness (Anaemene &amp; Fadupin, 2020). The higher viscosity in FMNSBD indicates limited starch degradation, which may be suitable for products requiring a thicker consistency.</w:t>
      </w:r>
    </w:p>
    <w:p w14:paraId="5102E9C3" w14:textId="77777777" w:rsidR="0077328A" w:rsidRPr="00560D34" w:rsidRDefault="0077328A" w:rsidP="0077328A">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lastRenderedPageBreak/>
        <w:t xml:space="preserve">  </w:t>
      </w:r>
    </w:p>
    <w:p w14:paraId="77CED173" w14:textId="27E863C1" w:rsidR="0077328A" w:rsidRPr="00560D34" w:rsidRDefault="0077328A" w:rsidP="0077328A">
      <w:pPr>
        <w:spacing w:after="0" w:line="240" w:lineRule="auto"/>
        <w:jc w:val="both"/>
        <w:rPr>
          <w:rFonts w:ascii="Times New Roman" w:eastAsia="Calibri" w:hAnsi="Times New Roman" w:cs="Times New Roman"/>
          <w:b/>
          <w:szCs w:val="20"/>
        </w:rPr>
      </w:pPr>
      <w:r>
        <w:rPr>
          <w:rFonts w:ascii="Times New Roman" w:hAnsi="Times New Roman"/>
          <w:b/>
          <w:highlight w:val="yellow"/>
        </w:rPr>
        <w:t>3.2 Pasting Properties of the Breakfast Meal Composite Flour</w:t>
      </w:r>
    </w:p>
    <w:p w14:paraId="0E817897"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4463365" w14:textId="2B2ED34C"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The pasting properties of the breakfast meal composite flour showed significant variations among the samples (p &lt; 0.05), indicating that fermentation and sprouting influenced the starch behaviour, viscosity characteristics and cooking quality of the formulated breakfast meals. The parameters evaluated included peak viscosity, trough viscosity, breakdown viscosity, final viscosity, setback viscosity, peak time and pasting temperature.</w:t>
      </w:r>
    </w:p>
    <w:p w14:paraId="3E6CC4C1" w14:textId="03DE596B" w:rsidR="006667F1" w:rsidRPr="00560D34" w:rsidRDefault="006667F1" w:rsidP="0077328A">
      <w:pPr>
        <w:spacing w:after="0" w:line="240" w:lineRule="auto"/>
        <w:jc w:val="both"/>
        <w:rPr>
          <w:rFonts w:ascii="Times New Roman" w:eastAsia="Times New Roman" w:hAnsi="Times New Roman" w:cs="Times New Roman"/>
          <w:sz w:val="20"/>
          <w:szCs w:val="20"/>
        </w:rPr>
      </w:pPr>
    </w:p>
    <w:p w14:paraId="78093020" w14:textId="2FB10575" w:rsidR="006667F1" w:rsidRPr="00560D34" w:rsidRDefault="006667F1" w:rsidP="006667F1">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Peak viscosity ranged from 36 RVU in GFMNSBD to 125 RVU in FM. This suggests that fermented maize flour possessed greater swelling capacity and starch granule integrity during heating than the composite blends. Peak viscosity reflects the ability of starch granules to absorb water and swell before rupture during heating (Ikechukwu, 2023). The high peak viscosity in FM may be attributed to the high starch content of maize flour and lower interference from protein and fibre. The high values recorded in FM and FMSBD indicate the suitability of the blends for products requiring moderate viscosity, such as cookies. Similar observations were reported by Anyadioha et al. (2023) in maize-based composite flour systems, where pure maize flour exhibited higher viscosity than legume-enriched blends due to its higher carbohydrate content and starch availability.</w:t>
      </w:r>
    </w:p>
    <w:p w14:paraId="0419012B"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242E8508" w14:textId="77777777" w:rsidR="0077328A" w:rsidRPr="00560D34" w:rsidRDefault="0077328A" w:rsidP="006667F1">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noProof/>
          <w:sz w:val="20"/>
          <w:szCs w:val="20"/>
          <w:lang w:val="ru-RU" w:eastAsia="ru-RU"/>
        </w:rPr>
        <w:drawing>
          <wp:inline distT="0" distB="0" distL="0" distR="0" wp14:anchorId="2B3283F7" wp14:editId="707F7079">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DFD1DA" w14:textId="77777777" w:rsidR="006667F1" w:rsidRPr="00560D34" w:rsidRDefault="006667F1" w:rsidP="006667F1">
      <w:pPr>
        <w:spacing w:after="0" w:line="240" w:lineRule="auto"/>
        <w:jc w:val="center"/>
        <w:rPr>
          <w:rFonts w:ascii="Times New Roman" w:eastAsia="Calibri" w:hAnsi="Times New Roman" w:cs="Times New Roman"/>
          <w:b/>
          <w:sz w:val="20"/>
          <w:szCs w:val="20"/>
        </w:rPr>
      </w:pPr>
    </w:p>
    <w:p w14:paraId="27B2477E" w14:textId="09AE9FE0"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Fig. 2. Pasting </w:t>
      </w:r>
      <w:r w:rsidR="0077328A" w:rsidRPr="00560D34">
        <w:rPr>
          <w:rFonts w:ascii="Times New Roman" w:eastAsia="Calibri" w:hAnsi="Times New Roman" w:cs="Times New Roman"/>
          <w:b/>
          <w:sz w:val="20"/>
          <w:szCs w:val="20"/>
        </w:rPr>
        <w:t>properties of the breakfast meal composite flour</w:t>
      </w:r>
    </w:p>
    <w:p w14:paraId="0B8555C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CE6514F" w14:textId="499B74C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(Adebowale et al., 2025).</w:t>
      </w:r>
    </w:p>
    <w:p w14:paraId="6BDBAA8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ACA3C1C" w14:textId="2CD1F368"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may be linked to disruption of starch granules during sprouting and fermentation. Similar reductions in trough viscosity were observed in fermented maize-soybean blends (Edima-Nyah et al., 2024).</w:t>
      </w:r>
    </w:p>
    <w:p w14:paraId="0D73B14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1B70D41E" w14:textId="3A07029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Breakdown viscosity indicates the stability of starch granules during heating. FM and FMSBD had higher breakdown values than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Ikechukwu (2023) and Adeyanju et al. (2025) </w:t>
      </w:r>
      <w:r>
        <w:rPr>
          <w:rFonts w:ascii="Times New Roman" w:hAnsi="Times New Roman"/>
          <w:sz w:val="20"/>
          <w:highlight w:val="yellow"/>
        </w:rPr>
        <w:lastRenderedPageBreak/>
        <w:t>in sprouted soybean-maize composite flour, where increased protein and lipid contents restricted starch swelling and reduced breakdown viscosity.</w:t>
      </w:r>
    </w:p>
    <w:p w14:paraId="39FC71A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286437C" w14:textId="66FB91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Final viscosity was higher in FMSBD (approximately 240) and FM/GFMNSBD (approximately 245), indicating strong gel formation upon cooling. Final viscosity, which reflects the ability of flour paste to form a viscous paste or gel after cooling, was markedly reduced in the germinated blends. High final viscosity indicates stronger gel formation and retrogradation tendency during cooling (Adeyanju et al., 2025).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 (Eli et al., 2022).</w:t>
      </w:r>
    </w:p>
    <w:p w14:paraId="5C00E985"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D7DBEB" w14:textId="70BA9F4A"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 (Edima-Nyah et al., 2024).</w:t>
      </w:r>
    </w:p>
    <w:p w14:paraId="427DD5D0"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B1C811E" w14:textId="3B2D443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529F81B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F921EF5" w14:textId="19567A7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Pasting temperature indicates the minimum temperature required for starch gelatinisation and cooking initiation. GFMSBD recorded the highest pasting temperature (approximately 86 °C), followed by FMSBD and GFMNSBD, while FM had the lowest value (approximately 50 °C). Higher pasting temperatures in germinated blends may indicate structural modification of starch granules and protein-starch interactions that delay gelatinisation. Similar observations were reported by Adeyanju et al. (2025), who found increased pasting temperature in legume-enriched cereal blends due to protein interference with starch swelling. Higher pasting temperatures imply increased thermal energy requirements during preparation. Similar observations were reported in fermented maize and composite flour studies, where pasting temperatures were slightly affected by legume supplementation (Adeyanju et al., 2025; Ikechukwu, 2023).</w:t>
      </w:r>
    </w:p>
    <w:p w14:paraId="25A4983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BA8CA7" w14:textId="5F2AADA5"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3. </w:t>
      </w:r>
      <w:r w:rsidR="0077328A" w:rsidRPr="00560D34">
        <w:rPr>
          <w:rFonts w:ascii="Times New Roman" w:eastAsia="Calibri" w:hAnsi="Times New Roman" w:cs="Times New Roman"/>
          <w:b/>
          <w:sz w:val="20"/>
          <w:szCs w:val="20"/>
        </w:rPr>
        <w:t>Microbial composition of breakfast meal composite flour</w:t>
      </w:r>
    </w:p>
    <w:p w14:paraId="22944941" w14:textId="77777777" w:rsidR="006667F1" w:rsidRPr="00560D34" w:rsidRDefault="006667F1" w:rsidP="0077328A">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348"/>
        <w:gridCol w:w="2276"/>
        <w:gridCol w:w="2280"/>
        <w:gridCol w:w="1944"/>
      </w:tblGrid>
      <w:tr w:rsidR="0077328A" w:rsidRPr="00560D34" w14:paraId="4546F970" w14:textId="77777777" w:rsidTr="006667F1">
        <w:trPr>
          <w:trHeight w:val="20"/>
          <w:jc w:val="center"/>
        </w:trPr>
        <w:tc>
          <w:tcPr>
            <w:tcW w:w="2405" w:type="dxa"/>
            <w:tcBorders>
              <w:top w:val="single" w:sz="4" w:space="0" w:color="auto"/>
              <w:bottom w:val="single" w:sz="4" w:space="0" w:color="auto"/>
            </w:tcBorders>
          </w:tcPr>
          <w:p w14:paraId="26B28882" w14:textId="1A4E0A06" w:rsidR="0077328A" w:rsidRPr="00560D34" w:rsidRDefault="006667F1"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Sample</w:t>
            </w:r>
          </w:p>
        </w:tc>
        <w:tc>
          <w:tcPr>
            <w:tcW w:w="2333" w:type="dxa"/>
            <w:tcBorders>
              <w:top w:val="single" w:sz="4" w:space="0" w:color="auto"/>
              <w:bottom w:val="single" w:sz="4" w:space="0" w:color="auto"/>
            </w:tcBorders>
          </w:tcPr>
          <w:p w14:paraId="2A2BB2A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bacterial count</w:t>
            </w:r>
          </w:p>
          <w:p w14:paraId="697178D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2335" w:type="dxa"/>
            <w:tcBorders>
              <w:top w:val="single" w:sz="4" w:space="0" w:color="auto"/>
              <w:bottom w:val="single" w:sz="4" w:space="0" w:color="auto"/>
            </w:tcBorders>
          </w:tcPr>
          <w:p w14:paraId="41350D6B"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fungi count</w:t>
            </w:r>
          </w:p>
          <w:p w14:paraId="2B50A8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1987" w:type="dxa"/>
            <w:tcBorders>
              <w:top w:val="single" w:sz="4" w:space="0" w:color="auto"/>
              <w:bottom w:val="single" w:sz="4" w:space="0" w:color="auto"/>
            </w:tcBorders>
          </w:tcPr>
          <w:p w14:paraId="50669049"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Coliforms </w:t>
            </w:r>
          </w:p>
          <w:p w14:paraId="09BA25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r>
      <w:tr w:rsidR="0077328A" w:rsidRPr="00560D34" w14:paraId="460284AF" w14:textId="77777777" w:rsidTr="006667F1">
        <w:trPr>
          <w:trHeight w:val="20"/>
          <w:jc w:val="center"/>
        </w:trPr>
        <w:tc>
          <w:tcPr>
            <w:tcW w:w="2405" w:type="dxa"/>
            <w:tcBorders>
              <w:top w:val="single" w:sz="4" w:space="0" w:color="auto"/>
            </w:tcBorders>
          </w:tcPr>
          <w:p w14:paraId="0FAB270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2333" w:type="dxa"/>
            <w:tcBorders>
              <w:top w:val="single" w:sz="4" w:space="0" w:color="auto"/>
            </w:tcBorders>
          </w:tcPr>
          <w:p w14:paraId="34043D5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3.87</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2335" w:type="dxa"/>
            <w:tcBorders>
              <w:top w:val="single" w:sz="4" w:space="0" w:color="auto"/>
            </w:tcBorders>
          </w:tcPr>
          <w:p w14:paraId="21B1DC4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3.52</w:t>
            </w:r>
            <w:r w:rsidRPr="00560D34">
              <w:rPr>
                <w:rFonts w:ascii="Times New Roman" w:eastAsia="Calibri" w:hAnsi="Times New Roman" w:cs="Times New Roman"/>
                <w:sz w:val="16"/>
                <w:szCs w:val="16"/>
                <w:vertAlign w:val="superscript"/>
              </w:rPr>
              <w:t>bc</w:t>
            </w:r>
            <w:r w:rsidRPr="00560D34">
              <w:rPr>
                <w:rFonts w:ascii="Times New Roman" w:eastAsia="Calibri" w:hAnsi="Times New Roman" w:cs="Times New Roman"/>
                <w:sz w:val="16"/>
                <w:szCs w:val="16"/>
              </w:rPr>
              <w:t>±0.02</w:t>
            </w:r>
          </w:p>
        </w:tc>
        <w:tc>
          <w:tcPr>
            <w:tcW w:w="1987" w:type="dxa"/>
            <w:tcBorders>
              <w:top w:val="single" w:sz="4" w:space="0" w:color="auto"/>
            </w:tcBorders>
          </w:tcPr>
          <w:p w14:paraId="3F5BF6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02030B35" w14:textId="77777777" w:rsidTr="006667F1">
        <w:trPr>
          <w:trHeight w:val="20"/>
          <w:jc w:val="center"/>
        </w:trPr>
        <w:tc>
          <w:tcPr>
            <w:tcW w:w="2405" w:type="dxa"/>
          </w:tcPr>
          <w:p w14:paraId="69A9177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2333" w:type="dxa"/>
          </w:tcPr>
          <w:p w14:paraId="16F5638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4.58</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±0.23</w:t>
            </w:r>
          </w:p>
        </w:tc>
        <w:tc>
          <w:tcPr>
            <w:tcW w:w="2335" w:type="dxa"/>
          </w:tcPr>
          <w:p w14:paraId="5EF725B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3.68</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±0.05</w:t>
            </w:r>
          </w:p>
        </w:tc>
        <w:tc>
          <w:tcPr>
            <w:tcW w:w="1987" w:type="dxa"/>
          </w:tcPr>
          <w:p w14:paraId="4A6E3C1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5549CD9B" w14:textId="77777777" w:rsidTr="006667F1">
        <w:trPr>
          <w:trHeight w:val="20"/>
          <w:jc w:val="center"/>
        </w:trPr>
        <w:tc>
          <w:tcPr>
            <w:tcW w:w="2405" w:type="dxa"/>
          </w:tcPr>
          <w:p w14:paraId="49D1981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2333" w:type="dxa"/>
          </w:tcPr>
          <w:p w14:paraId="08C582A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6.34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±0.06</w:t>
            </w:r>
          </w:p>
        </w:tc>
        <w:tc>
          <w:tcPr>
            <w:tcW w:w="2335" w:type="dxa"/>
          </w:tcPr>
          <w:p w14:paraId="1C3223A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±0.17</w:t>
            </w:r>
          </w:p>
        </w:tc>
        <w:tc>
          <w:tcPr>
            <w:tcW w:w="1987" w:type="dxa"/>
          </w:tcPr>
          <w:p w14:paraId="4A8E6F1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78B2E0AF" w14:textId="77777777" w:rsidTr="006667F1">
        <w:trPr>
          <w:trHeight w:val="20"/>
          <w:jc w:val="center"/>
        </w:trPr>
        <w:tc>
          <w:tcPr>
            <w:tcW w:w="2405" w:type="dxa"/>
          </w:tcPr>
          <w:p w14:paraId="0B6188E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2333" w:type="dxa"/>
          </w:tcPr>
          <w:p w14:paraId="37CCE3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4.18</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±0.06</w:t>
            </w:r>
          </w:p>
        </w:tc>
        <w:tc>
          <w:tcPr>
            <w:tcW w:w="2335" w:type="dxa"/>
          </w:tcPr>
          <w:p w14:paraId="4A4DD9F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3.55</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±0.12</w:t>
            </w:r>
          </w:p>
        </w:tc>
        <w:tc>
          <w:tcPr>
            <w:tcW w:w="1987" w:type="dxa"/>
          </w:tcPr>
          <w:p w14:paraId="27AED1C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14C4658D" w14:textId="77777777" w:rsidTr="006667F1">
        <w:trPr>
          <w:trHeight w:val="20"/>
          <w:jc w:val="center"/>
        </w:trPr>
        <w:tc>
          <w:tcPr>
            <w:tcW w:w="2405" w:type="dxa"/>
          </w:tcPr>
          <w:p w14:paraId="0162A38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2333" w:type="dxa"/>
          </w:tcPr>
          <w:p w14:paraId="4027E83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2335" w:type="dxa"/>
          </w:tcPr>
          <w:p w14:paraId="5604DAC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4.53</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±0.17</w:t>
            </w:r>
          </w:p>
        </w:tc>
        <w:tc>
          <w:tcPr>
            <w:tcW w:w="1987" w:type="dxa"/>
          </w:tcPr>
          <w:p w14:paraId="1349E43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03C02615" w14:textId="77777777" w:rsidTr="006667F1">
        <w:trPr>
          <w:trHeight w:val="20"/>
          <w:jc w:val="center"/>
        </w:trPr>
        <w:tc>
          <w:tcPr>
            <w:tcW w:w="2405" w:type="dxa"/>
          </w:tcPr>
          <w:p w14:paraId="4D7890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Permissible level</w:t>
            </w:r>
          </w:p>
        </w:tc>
        <w:tc>
          <w:tcPr>
            <w:tcW w:w="2333" w:type="dxa"/>
          </w:tcPr>
          <w:p w14:paraId="255482B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≤10</w:t>
            </w:r>
            <w:r w:rsidRPr="00560D34">
              <w:rPr>
                <w:rFonts w:ascii="Times New Roman" w:eastAsia="Calibri" w:hAnsi="Times New Roman" w:cs="Times New Roman"/>
                <w:sz w:val="16"/>
                <w:szCs w:val="16"/>
                <w:vertAlign w:val="superscript"/>
              </w:rPr>
              <w:t>5</w:t>
            </w:r>
            <w:r w:rsidRPr="00560D34">
              <w:rPr>
                <w:rFonts w:ascii="Times New Roman" w:eastAsia="Calibri" w:hAnsi="Times New Roman" w:cs="Times New Roman"/>
                <w:sz w:val="16"/>
                <w:szCs w:val="16"/>
              </w:rPr>
              <w:t xml:space="preserve"> CFU/g</w:t>
            </w:r>
          </w:p>
        </w:tc>
        <w:tc>
          <w:tcPr>
            <w:tcW w:w="2335" w:type="dxa"/>
          </w:tcPr>
          <w:p w14:paraId="36267B58" w14:textId="77777777" w:rsidR="0077328A" w:rsidRPr="00560D34" w:rsidRDefault="0077328A" w:rsidP="006667F1">
            <w:pPr>
              <w:rPr>
                <w:rFonts w:ascii="Times New Roman" w:eastAsia="Calibri" w:hAnsi="Times New Roman" w:cs="Times New Roman"/>
                <w:sz w:val="16"/>
                <w:szCs w:val="16"/>
                <w:vertAlign w:val="superscript"/>
              </w:rPr>
            </w:pPr>
            <w:r w:rsidRPr="00560D34">
              <w:rPr>
                <w:rFonts w:ascii="Times New Roman" w:eastAsia="Calibri" w:hAnsi="Times New Roman" w:cs="Times New Roman"/>
                <w:sz w:val="16"/>
                <w:szCs w:val="16"/>
              </w:rPr>
              <w:t>≤5×10</w:t>
            </w:r>
            <w:r w:rsidRPr="00560D34">
              <w:rPr>
                <w:rFonts w:ascii="Times New Roman" w:eastAsia="Calibri" w:hAnsi="Times New Roman" w:cs="Times New Roman"/>
                <w:sz w:val="16"/>
                <w:szCs w:val="16"/>
                <w:vertAlign w:val="superscript"/>
              </w:rPr>
              <w:t xml:space="preserve">3 </w:t>
            </w:r>
            <w:r w:rsidRPr="00560D34">
              <w:rPr>
                <w:rFonts w:ascii="Times New Roman" w:eastAsia="Calibri" w:hAnsi="Times New Roman" w:cs="Times New Roman"/>
                <w:sz w:val="16"/>
                <w:szCs w:val="16"/>
              </w:rPr>
              <w:t>CFU/g</w:t>
            </w:r>
          </w:p>
        </w:tc>
        <w:tc>
          <w:tcPr>
            <w:tcW w:w="1987" w:type="dxa"/>
          </w:tcPr>
          <w:p w14:paraId="7D56BDE6" w14:textId="77777777" w:rsidR="0077328A" w:rsidRPr="00560D34" w:rsidRDefault="0077328A" w:rsidP="006667F1">
            <w:pPr>
              <w:rPr>
                <w:rFonts w:ascii="Times New Roman" w:eastAsia="Calibri" w:hAnsi="Times New Roman" w:cs="Times New Roman"/>
                <w:sz w:val="16"/>
                <w:szCs w:val="16"/>
              </w:rPr>
            </w:pPr>
          </w:p>
        </w:tc>
      </w:tr>
    </w:tbl>
    <w:p w14:paraId="7D819B1D" w14:textId="77777777" w:rsidR="0077328A"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7EBB654A" w14:textId="74F5A24A" w:rsidR="006667F1"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1AFFBAD7" w14:textId="77777777" w:rsidR="006667F1" w:rsidRPr="00560D34" w:rsidRDefault="006667F1" w:rsidP="006667F1">
      <w:pPr>
        <w:spacing w:after="0" w:line="240" w:lineRule="auto"/>
        <w:jc w:val="both"/>
        <w:rPr>
          <w:rFonts w:ascii="Times New Roman" w:eastAsia="Calibri" w:hAnsi="Times New Roman" w:cs="Times New Roman"/>
          <w:sz w:val="20"/>
          <w:szCs w:val="20"/>
        </w:rPr>
      </w:pPr>
    </w:p>
    <w:p w14:paraId="612281B7" w14:textId="5398C93B" w:rsidR="0077328A" w:rsidRPr="00560D34" w:rsidRDefault="0077328A" w:rsidP="006667F1">
      <w:pPr>
        <w:spacing w:after="0" w:line="240" w:lineRule="auto"/>
        <w:jc w:val="both"/>
        <w:rPr>
          <w:rFonts w:ascii="Times New Roman" w:eastAsia="Calibri" w:hAnsi="Times New Roman" w:cs="Times New Roman"/>
          <w:szCs w:val="20"/>
        </w:rPr>
      </w:pPr>
      <w:r w:rsidRPr="00560D34">
        <w:rPr>
          <w:rFonts w:ascii="Times New Roman" w:eastAsia="Calibri" w:hAnsi="Times New Roman" w:cs="Times New Roman"/>
          <w:b/>
          <w:szCs w:val="20"/>
          <w:lang w:val="en-GB"/>
        </w:rPr>
        <w:t xml:space="preserve">3.3 Microbial </w:t>
      </w:r>
      <w:r w:rsidR="006667F1" w:rsidRPr="00560D34">
        <w:rPr>
          <w:rFonts w:ascii="Times New Roman" w:eastAsia="Calibri" w:hAnsi="Times New Roman" w:cs="Times New Roman"/>
          <w:b/>
          <w:szCs w:val="20"/>
          <w:lang w:val="en-GB"/>
        </w:rPr>
        <w:t xml:space="preserve">Composition </w:t>
      </w:r>
      <w:r w:rsidRPr="00560D34">
        <w:rPr>
          <w:rFonts w:ascii="Times New Roman" w:eastAsia="Calibri" w:hAnsi="Times New Roman" w:cs="Times New Roman"/>
          <w:b/>
          <w:szCs w:val="20"/>
          <w:lang w:val="en-GB"/>
        </w:rPr>
        <w:t xml:space="preserve">of </w:t>
      </w:r>
      <w:r w:rsidR="006667F1" w:rsidRPr="00560D34">
        <w:rPr>
          <w:rFonts w:ascii="Times New Roman" w:eastAsia="Calibri" w:hAnsi="Times New Roman" w:cs="Times New Roman"/>
          <w:b/>
          <w:szCs w:val="20"/>
          <w:lang w:val="en-GB"/>
        </w:rPr>
        <w:t>Breakfast Meal Composite Flour</w:t>
      </w:r>
    </w:p>
    <w:p w14:paraId="79812F69"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03D73681" w14:textId="7B114F31"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microbial composition of the breakfast meal composite flour (Table 3) indicates that all samples were microbiologically acceptable and within the stated limits for human consumption.</w:t>
      </w:r>
    </w:p>
    <w:p w14:paraId="62180635"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7252B15A" w14:textId="750183A1"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3.3.1 </w:t>
      </w:r>
      <w:r w:rsidR="0077328A" w:rsidRPr="00560D34">
        <w:rPr>
          <w:rFonts w:ascii="Times New Roman" w:eastAsia="Calibri" w:hAnsi="Times New Roman" w:cs="Times New Roman"/>
          <w:b/>
          <w:szCs w:val="20"/>
        </w:rPr>
        <w:t>Total Bacterial Count (TBC)</w:t>
      </w:r>
    </w:p>
    <w:p w14:paraId="4CC5057A"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696AB644" w14:textId="5D46C51A"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The total bacterial count ranged from 3.87 CFU/g (FM) to 6.34 CFU/g (FMNSBD). The significant increase in bacterial counts in the composite samples compared with FM may be attributed to the addition of legumes and date flour, which may introduce additional microbial load and increase nutrient availability (proteins and sugars), thereby supporting microbial growth. Fermentation is known to suppress pathogenic and spoilage microorganisms through the production of organic acids (e.g., lactic acid), pH reduction, bacteriocin production and antimicrobial metabolites. Studies have shown that lactic acid fermentation can reduce bacterial load in cereal-based products </w:t>
      </w:r>
      <w:r>
        <w:rPr>
          <w:rFonts w:ascii="Times New Roman" w:hAnsi="Times New Roman"/>
          <w:sz w:val="20"/>
          <w:highlight w:val="yellow"/>
        </w:rPr>
        <w:lastRenderedPageBreak/>
        <w:t>by creating an unfavourable acidic environment (Adebo et al., 2022; Adebiyi et al., 2021). In comparison with international microbiological standards, even the highest value recorded (6.34 log CFU/g) remains within acceptable limits for flour-based products intended for reconstitution and subsequent cooking, provided pathogens are absent. Comparable total bacterial counts (2-6 log CFU/g) have been reported in fermented cereal-legume blends (Edima-Nyah et al., 2024), indicating that the present findings are consistent with previous research.</w:t>
      </w:r>
    </w:p>
    <w:p w14:paraId="4B8BC038"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DDF302F" w14:textId="7461E14C"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3.3.2 </w:t>
      </w:r>
      <w:r w:rsidR="0077328A" w:rsidRPr="00560D34">
        <w:rPr>
          <w:rFonts w:ascii="Times New Roman" w:eastAsia="Calibri" w:hAnsi="Times New Roman" w:cs="Times New Roman"/>
          <w:b/>
          <w:szCs w:val="20"/>
        </w:rPr>
        <w:t>Total Fungi Count (TFC)</w:t>
      </w:r>
    </w:p>
    <w:p w14:paraId="3E708654"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64860FA" w14:textId="3ED0F94C"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fungal count ranged from 3.32 CFU/g (FMNSBD) to 4.53 CFU/g (GFMNSBD). The relatively higher fungal counts in some samples, particularly GFMNSBD, may be due to increased moisture during germination, which provides favourable moisture and temperature conditions for fungal growth if not strictly controlled. Sprouting increases water activity, which can promote mould proliferation (Oghbaei &amp; Prakash, 2016). However, the significantly lower fungal count in FM suggests that fermentation and adequate drying effectively inhibited fungal survival. Fermentation reduces pH and produces antifungal compounds that suppress mould growth (Adebo et al., 2022).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the combined processing techniques enhanced microbial safety. Fermentation contributes antimicrobial metabolites, while proper drying after germination reduces water activity, thereby limiting microbial growth. The products were microbiologically acceptable within the stated limits.</w:t>
      </w:r>
    </w:p>
    <w:p w14:paraId="6A42DBDE"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1BD31DD" w14:textId="4169F835"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3.3.3 </w:t>
      </w:r>
      <w:r w:rsidR="0077328A" w:rsidRPr="00560D34">
        <w:rPr>
          <w:rFonts w:ascii="Times New Roman" w:eastAsia="Calibri" w:hAnsi="Times New Roman" w:cs="Times New Roman"/>
          <w:b/>
          <w:szCs w:val="20"/>
        </w:rPr>
        <w:t>Coliform Count</w:t>
      </w:r>
    </w:p>
    <w:p w14:paraId="1682F1A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222E9300" w14:textId="76B3537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All samples recorded no coliform count, indicating absence of faecal contamination, good hygienic handling and processing conditions, and microbiological safety with respect to pathogenic bacteria.</w:t>
      </w:r>
    </w:p>
    <w:p w14:paraId="58953C8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FCA24D0" w14:textId="23678A36"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absence of coliforms is a critical safety indicator and aligns with standards set by food safety authorities. This result suggests that, despite variations in total microbial load, the products were free from enteric pathogens. This finding agrees with the work of Adebo et al. (2022), who reported zero coliform counts in properly processed cereal-legume blends, attributing this to adequate heat treatment and hygienic practices.</w:t>
      </w:r>
    </w:p>
    <w:p w14:paraId="562E0B9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8F33A25" w14:textId="4693FD4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36683C3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60A7D93" w14:textId="185CA5B8" w:rsidR="0077328A" w:rsidRPr="00560D34" w:rsidRDefault="00246A63" w:rsidP="00246A63">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4. </w:t>
      </w:r>
      <w:r w:rsidR="0077328A" w:rsidRPr="00560D34">
        <w:rPr>
          <w:rFonts w:ascii="Times New Roman" w:eastAsia="Calibri" w:hAnsi="Times New Roman" w:cs="Times New Roman"/>
          <w:b/>
          <w:sz w:val="20"/>
          <w:szCs w:val="20"/>
        </w:rPr>
        <w:t>Sensory evaluation of breakfast meal gruels</w:t>
      </w:r>
    </w:p>
    <w:p w14:paraId="2CC40343"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542"/>
        <w:gridCol w:w="1371"/>
        <w:gridCol w:w="1364"/>
        <w:gridCol w:w="1458"/>
        <w:gridCol w:w="1614"/>
      </w:tblGrid>
      <w:tr w:rsidR="0077328A" w:rsidRPr="00560D34" w14:paraId="40BFEBDA" w14:textId="77777777" w:rsidTr="00246A63">
        <w:trPr>
          <w:trHeight w:val="20"/>
          <w:jc w:val="center"/>
        </w:trPr>
        <w:tc>
          <w:tcPr>
            <w:tcW w:w="1541" w:type="dxa"/>
            <w:tcBorders>
              <w:top w:val="single" w:sz="4" w:space="0" w:color="auto"/>
              <w:bottom w:val="single" w:sz="4" w:space="0" w:color="auto"/>
            </w:tcBorders>
          </w:tcPr>
          <w:p w14:paraId="3B804BF7" w14:textId="26050E07" w:rsidR="0077328A" w:rsidRPr="00560D34" w:rsidRDefault="00246A63"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Samples</w:t>
            </w:r>
          </w:p>
        </w:tc>
        <w:tc>
          <w:tcPr>
            <w:tcW w:w="1584" w:type="dxa"/>
            <w:tcBorders>
              <w:top w:val="single" w:sz="4" w:space="0" w:color="auto"/>
              <w:bottom w:val="single" w:sz="4" w:space="0" w:color="auto"/>
            </w:tcBorders>
          </w:tcPr>
          <w:p w14:paraId="43EF1B39"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Appearance </w:t>
            </w:r>
          </w:p>
        </w:tc>
        <w:tc>
          <w:tcPr>
            <w:tcW w:w="1410" w:type="dxa"/>
            <w:tcBorders>
              <w:top w:val="single" w:sz="4" w:space="0" w:color="auto"/>
              <w:bottom w:val="single" w:sz="4" w:space="0" w:color="auto"/>
            </w:tcBorders>
          </w:tcPr>
          <w:p w14:paraId="46F4210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Aroma </w:t>
            </w:r>
          </w:p>
        </w:tc>
        <w:tc>
          <w:tcPr>
            <w:tcW w:w="1402" w:type="dxa"/>
            <w:tcBorders>
              <w:top w:val="single" w:sz="4" w:space="0" w:color="auto"/>
              <w:bottom w:val="single" w:sz="4" w:space="0" w:color="auto"/>
            </w:tcBorders>
          </w:tcPr>
          <w:p w14:paraId="1EA4537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Taste </w:t>
            </w:r>
          </w:p>
        </w:tc>
        <w:tc>
          <w:tcPr>
            <w:tcW w:w="1497" w:type="dxa"/>
            <w:tcBorders>
              <w:top w:val="single" w:sz="4" w:space="0" w:color="auto"/>
              <w:bottom w:val="single" w:sz="4" w:space="0" w:color="auto"/>
            </w:tcBorders>
          </w:tcPr>
          <w:p w14:paraId="212336CE"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consistency</w:t>
            </w:r>
          </w:p>
        </w:tc>
        <w:tc>
          <w:tcPr>
            <w:tcW w:w="1658" w:type="dxa"/>
            <w:tcBorders>
              <w:top w:val="single" w:sz="4" w:space="0" w:color="auto"/>
              <w:bottom w:val="single" w:sz="4" w:space="0" w:color="auto"/>
            </w:tcBorders>
          </w:tcPr>
          <w:p w14:paraId="5EFA3B40"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Overall acceptability</w:t>
            </w:r>
          </w:p>
        </w:tc>
      </w:tr>
      <w:tr w:rsidR="0077328A" w:rsidRPr="00560D34" w14:paraId="22F49518" w14:textId="77777777" w:rsidTr="00246A63">
        <w:trPr>
          <w:trHeight w:val="20"/>
          <w:jc w:val="center"/>
        </w:trPr>
        <w:tc>
          <w:tcPr>
            <w:tcW w:w="1541" w:type="dxa"/>
            <w:tcBorders>
              <w:top w:val="single" w:sz="4" w:space="0" w:color="auto"/>
            </w:tcBorders>
          </w:tcPr>
          <w:p w14:paraId="1DC7EFBA"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w:t>
            </w:r>
          </w:p>
        </w:tc>
        <w:tc>
          <w:tcPr>
            <w:tcW w:w="1584" w:type="dxa"/>
            <w:tcBorders>
              <w:top w:val="single" w:sz="4" w:space="0" w:color="auto"/>
            </w:tcBorders>
          </w:tcPr>
          <w:p w14:paraId="1A446AC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±0.56</w:t>
            </w:r>
          </w:p>
        </w:tc>
        <w:tc>
          <w:tcPr>
            <w:tcW w:w="1410" w:type="dxa"/>
            <w:tcBorders>
              <w:top w:val="single" w:sz="4" w:space="0" w:color="auto"/>
            </w:tcBorders>
          </w:tcPr>
          <w:p w14:paraId="4DC0C3E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±0.83</w:t>
            </w:r>
          </w:p>
        </w:tc>
        <w:tc>
          <w:tcPr>
            <w:tcW w:w="1402" w:type="dxa"/>
            <w:tcBorders>
              <w:top w:val="single" w:sz="4" w:space="0" w:color="auto"/>
            </w:tcBorders>
          </w:tcPr>
          <w:p w14:paraId="7727976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7.93</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±1.22</w:t>
            </w:r>
          </w:p>
        </w:tc>
        <w:tc>
          <w:tcPr>
            <w:tcW w:w="1497" w:type="dxa"/>
            <w:tcBorders>
              <w:top w:val="single" w:sz="4" w:space="0" w:color="auto"/>
            </w:tcBorders>
          </w:tcPr>
          <w:p w14:paraId="44E8569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8.07</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±0.94</w:t>
            </w:r>
          </w:p>
        </w:tc>
        <w:tc>
          <w:tcPr>
            <w:tcW w:w="1658" w:type="dxa"/>
            <w:tcBorders>
              <w:top w:val="single" w:sz="4" w:space="0" w:color="auto"/>
            </w:tcBorders>
          </w:tcPr>
          <w:p w14:paraId="204F72D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7.83</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±0.65</w:t>
            </w:r>
          </w:p>
        </w:tc>
      </w:tr>
      <w:tr w:rsidR="0077328A" w:rsidRPr="00560D34" w14:paraId="54AADE2D" w14:textId="77777777" w:rsidTr="00246A63">
        <w:trPr>
          <w:trHeight w:val="20"/>
          <w:jc w:val="center"/>
        </w:trPr>
        <w:tc>
          <w:tcPr>
            <w:tcW w:w="1541" w:type="dxa"/>
          </w:tcPr>
          <w:p w14:paraId="1C08730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FMSBD</w:t>
            </w:r>
          </w:p>
        </w:tc>
        <w:tc>
          <w:tcPr>
            <w:tcW w:w="1584" w:type="dxa"/>
          </w:tcPr>
          <w:p w14:paraId="0B321EC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 xml:space="preserve">±0.60 </w:t>
            </w:r>
          </w:p>
        </w:tc>
        <w:tc>
          <w:tcPr>
            <w:tcW w:w="1410" w:type="dxa"/>
          </w:tcPr>
          <w:p w14:paraId="1CD2769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7.36</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±0.95</w:t>
            </w:r>
          </w:p>
        </w:tc>
        <w:tc>
          <w:tcPr>
            <w:tcW w:w="1402" w:type="dxa"/>
          </w:tcPr>
          <w:p w14:paraId="511CDD6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7.88</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±1.20</w:t>
            </w:r>
          </w:p>
        </w:tc>
        <w:tc>
          <w:tcPr>
            <w:tcW w:w="1497" w:type="dxa"/>
          </w:tcPr>
          <w:p w14:paraId="5B66314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6.96</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±1.56</w:t>
            </w:r>
          </w:p>
        </w:tc>
        <w:tc>
          <w:tcPr>
            <w:tcW w:w="1658" w:type="dxa"/>
          </w:tcPr>
          <w:p w14:paraId="7A7E26FE"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±0.58</w:t>
            </w:r>
          </w:p>
        </w:tc>
      </w:tr>
      <w:tr w:rsidR="0077328A" w:rsidRPr="00560D34" w14:paraId="1C721FE1" w14:textId="77777777" w:rsidTr="00246A63">
        <w:trPr>
          <w:trHeight w:val="20"/>
          <w:jc w:val="center"/>
        </w:trPr>
        <w:tc>
          <w:tcPr>
            <w:tcW w:w="1541" w:type="dxa"/>
          </w:tcPr>
          <w:p w14:paraId="3A1A409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FMNSBD</w:t>
            </w:r>
          </w:p>
        </w:tc>
        <w:tc>
          <w:tcPr>
            <w:tcW w:w="1584" w:type="dxa"/>
          </w:tcPr>
          <w:p w14:paraId="1C2C84F9"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±0.76</w:t>
            </w:r>
          </w:p>
        </w:tc>
        <w:tc>
          <w:tcPr>
            <w:tcW w:w="1410" w:type="dxa"/>
          </w:tcPr>
          <w:p w14:paraId="72F60D0F"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±1.15</w:t>
            </w:r>
          </w:p>
        </w:tc>
        <w:tc>
          <w:tcPr>
            <w:tcW w:w="1402" w:type="dxa"/>
          </w:tcPr>
          <w:p w14:paraId="645FF90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±1.25</w:t>
            </w:r>
          </w:p>
        </w:tc>
        <w:tc>
          <w:tcPr>
            <w:tcW w:w="1497" w:type="dxa"/>
          </w:tcPr>
          <w:p w14:paraId="50E14FB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7.74</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±1.15</w:t>
            </w:r>
          </w:p>
        </w:tc>
        <w:tc>
          <w:tcPr>
            <w:tcW w:w="1658" w:type="dxa"/>
          </w:tcPr>
          <w:p w14:paraId="6EBB247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bc</w:t>
            </w:r>
            <w:r w:rsidRPr="00560D34">
              <w:rPr>
                <w:rFonts w:ascii="Times New Roman" w:hAnsi="Times New Roman" w:cs="Times New Roman"/>
                <w:sz w:val="16"/>
                <w:szCs w:val="16"/>
                <w:lang w:val="en-GB" w:eastAsia="en-GB"/>
              </w:rPr>
              <w:t>±0.72</w:t>
            </w:r>
          </w:p>
        </w:tc>
      </w:tr>
      <w:tr w:rsidR="0077328A" w:rsidRPr="00560D34" w14:paraId="64444984" w14:textId="77777777" w:rsidTr="00246A63">
        <w:trPr>
          <w:trHeight w:val="20"/>
          <w:jc w:val="center"/>
        </w:trPr>
        <w:tc>
          <w:tcPr>
            <w:tcW w:w="1541" w:type="dxa"/>
          </w:tcPr>
          <w:p w14:paraId="613DB4F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GFMSBD</w:t>
            </w:r>
          </w:p>
        </w:tc>
        <w:tc>
          <w:tcPr>
            <w:tcW w:w="1584" w:type="dxa"/>
          </w:tcPr>
          <w:p w14:paraId="1753FA0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±0.72</w:t>
            </w:r>
          </w:p>
        </w:tc>
        <w:tc>
          <w:tcPr>
            <w:tcW w:w="1410" w:type="dxa"/>
          </w:tcPr>
          <w:p w14:paraId="0BAB2B3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±0.88</w:t>
            </w:r>
          </w:p>
        </w:tc>
        <w:tc>
          <w:tcPr>
            <w:tcW w:w="1402" w:type="dxa"/>
          </w:tcPr>
          <w:p w14:paraId="40A5CCE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±1.05</w:t>
            </w:r>
          </w:p>
        </w:tc>
        <w:tc>
          <w:tcPr>
            <w:tcW w:w="1497" w:type="dxa"/>
          </w:tcPr>
          <w:p w14:paraId="33B361D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±0.64</w:t>
            </w:r>
          </w:p>
        </w:tc>
        <w:tc>
          <w:tcPr>
            <w:tcW w:w="1658" w:type="dxa"/>
          </w:tcPr>
          <w:p w14:paraId="03BC278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8.77</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±0.57</w:t>
            </w:r>
          </w:p>
        </w:tc>
      </w:tr>
      <w:tr w:rsidR="0077328A" w:rsidRPr="00560D34" w14:paraId="1B4EE4C5" w14:textId="77777777" w:rsidTr="00246A63">
        <w:trPr>
          <w:trHeight w:val="20"/>
          <w:jc w:val="center"/>
        </w:trPr>
        <w:tc>
          <w:tcPr>
            <w:tcW w:w="1541" w:type="dxa"/>
          </w:tcPr>
          <w:p w14:paraId="2AC53C0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GFMNSBD</w:t>
            </w:r>
          </w:p>
        </w:tc>
        <w:tc>
          <w:tcPr>
            <w:tcW w:w="1584" w:type="dxa"/>
          </w:tcPr>
          <w:p w14:paraId="6B9B86D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±0.67</w:t>
            </w:r>
          </w:p>
        </w:tc>
        <w:tc>
          <w:tcPr>
            <w:tcW w:w="1410" w:type="dxa"/>
          </w:tcPr>
          <w:p w14:paraId="488FF05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±0.62</w:t>
            </w:r>
          </w:p>
        </w:tc>
        <w:tc>
          <w:tcPr>
            <w:tcW w:w="1402" w:type="dxa"/>
          </w:tcPr>
          <w:p w14:paraId="7892BCDA" w14:textId="25DE877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7.58</w:t>
            </w:r>
            <w:r w:rsidRPr="00560D34">
              <w:rPr>
                <w:rFonts w:ascii="Times New Roman" w:hAnsi="Times New Roman" w:cs="Times New Roman"/>
                <w:sz w:val="16"/>
                <w:szCs w:val="16"/>
                <w:vertAlign w:val="superscript"/>
                <w:lang w:val="en-GB" w:eastAsia="en-GB"/>
              </w:rPr>
              <w:t>a</w:t>
            </w:r>
            <w:r w:rsidR="00246A63" w:rsidRPr="00560D34">
              <w:rPr>
                <w:rFonts w:ascii="Times New Roman" w:hAnsi="Times New Roman" w:cs="Times New Roman"/>
                <w:sz w:val="16"/>
                <w:szCs w:val="16"/>
                <w:lang w:val="en-GB" w:eastAsia="en-GB"/>
              </w:rPr>
              <w:t>±0.67</w:t>
            </w:r>
          </w:p>
        </w:tc>
        <w:tc>
          <w:tcPr>
            <w:tcW w:w="1497" w:type="dxa"/>
          </w:tcPr>
          <w:p w14:paraId="04002DDC" w14:textId="7B38E68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b</w:t>
            </w:r>
            <w:r w:rsidR="00246A63" w:rsidRPr="00560D34">
              <w:rPr>
                <w:rFonts w:ascii="Times New Roman" w:hAnsi="Times New Roman" w:cs="Times New Roman"/>
                <w:sz w:val="16"/>
                <w:szCs w:val="16"/>
                <w:lang w:val="en-GB" w:eastAsia="en-GB"/>
              </w:rPr>
              <w:t>±0.67</w:t>
            </w:r>
          </w:p>
        </w:tc>
        <w:tc>
          <w:tcPr>
            <w:tcW w:w="1658" w:type="dxa"/>
          </w:tcPr>
          <w:p w14:paraId="15EC0A2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7.39</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±0.67</w:t>
            </w:r>
          </w:p>
        </w:tc>
      </w:tr>
    </w:tbl>
    <w:p w14:paraId="3CAB288B" w14:textId="77777777" w:rsidR="0077328A"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5E692085" w14:textId="64F56349" w:rsidR="00246A63"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5AA2A031"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49E9B762" w14:textId="19D42A99" w:rsidR="0077328A" w:rsidRPr="00560D34" w:rsidRDefault="00246A63" w:rsidP="00246A63">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3.3.4 </w:t>
      </w:r>
      <w:r w:rsidR="0077328A" w:rsidRPr="00560D34">
        <w:rPr>
          <w:rFonts w:ascii="Times New Roman" w:eastAsia="Calibri" w:hAnsi="Times New Roman" w:cs="Times New Roman"/>
          <w:b/>
          <w:bCs/>
          <w:sz w:val="20"/>
          <w:szCs w:val="20"/>
          <w:lang w:val="en-GB"/>
        </w:rPr>
        <w:t xml:space="preserve">Sensory </w:t>
      </w:r>
      <w:r w:rsidRPr="00560D34">
        <w:rPr>
          <w:rFonts w:ascii="Times New Roman" w:eastAsia="Calibri" w:hAnsi="Times New Roman" w:cs="Times New Roman"/>
          <w:b/>
          <w:bCs/>
          <w:sz w:val="20"/>
          <w:szCs w:val="20"/>
          <w:lang w:val="en-GB"/>
        </w:rPr>
        <w:t xml:space="preserve">Properties </w:t>
      </w:r>
      <w:r w:rsidR="0077328A" w:rsidRPr="00560D34">
        <w:rPr>
          <w:rFonts w:ascii="Times New Roman" w:eastAsia="Calibri" w:hAnsi="Times New Roman" w:cs="Times New Roman"/>
          <w:b/>
          <w:bCs/>
          <w:sz w:val="20"/>
          <w:szCs w:val="20"/>
          <w:lang w:val="en-GB"/>
        </w:rPr>
        <w:t xml:space="preserve">of the </w:t>
      </w:r>
      <w:r w:rsidRPr="00560D34">
        <w:rPr>
          <w:rFonts w:ascii="Times New Roman" w:eastAsia="Calibri" w:hAnsi="Times New Roman" w:cs="Times New Roman"/>
          <w:b/>
          <w:bCs/>
          <w:sz w:val="20"/>
          <w:szCs w:val="20"/>
          <w:lang w:val="en-GB"/>
        </w:rPr>
        <w:t>Breakfast Meal Gruels</w:t>
      </w:r>
    </w:p>
    <w:p w14:paraId="7332F524"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262D0F3B" w14:textId="2D81769D"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sensory evaluation results in Table 4 show differences in consumer preference among the formulated breakfast gruels, with processing methods (fermentation and germination/sprouting) and ingredient combinations exerting significant influence (p &lt; 0.05) on key attributes.</w:t>
      </w:r>
    </w:p>
    <w:p w14:paraId="5AB02DD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29AE221A" w14:textId="749EC124"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3.3.5 </w:t>
      </w:r>
      <w:r w:rsidR="0077328A" w:rsidRPr="00560D34">
        <w:rPr>
          <w:rFonts w:ascii="Times New Roman" w:eastAsia="Calibri" w:hAnsi="Times New Roman" w:cs="Times New Roman"/>
          <w:b/>
          <w:szCs w:val="20"/>
        </w:rPr>
        <w:t>Appearance</w:t>
      </w:r>
    </w:p>
    <w:p w14:paraId="1A0DF5E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185F06DB" w14:textId="294477C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Appearance scores showed significant differences (p &lt; 0.05) among the samples. FM, FMSBD and GFMSBD recorded the highest and statistically similar scores (8.35-8.45), suggesting that fermentation and sprouting </w:t>
      </w:r>
      <w:r>
        <w:rPr>
          <w:rFonts w:ascii="Times New Roman" w:hAnsi="Times New Roman"/>
          <w:sz w:val="20"/>
          <w:highlight w:val="yellow"/>
        </w:rPr>
        <w:lastRenderedPageBreak/>
        <w:t>enhanced the visual appeal of the products. These processing techniques are known to improve colour uniformity and surface characteristics of cereal-legume blends, thereby increasing consumer appeal (Akeem et al., 2018; Nkhata et al., 2018). Germination is known to improve grain pigmentation and colour uniformity through enzymatic activities that influence browning and starch degradation (Ojokoh et al., 2020). By contrast, FMNSBD and GFMNSBD had significantly lower appearance scores (7.40), which may be attributed to the inclusion of non-sprouted kidney beans that could have imparted darker colouration, reducing visual attractiveness. Similar patterns were reported in legume-fortified cereals (Ocheme et al., 2018). Nonetheless, all appearance scores remained within acceptable limits.</w:t>
      </w:r>
    </w:p>
    <w:p w14:paraId="42B31230"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96B702" w14:textId="744D1A7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3.3.6 </w:t>
      </w:r>
      <w:r w:rsidR="0077328A" w:rsidRPr="00560D34">
        <w:rPr>
          <w:rFonts w:ascii="Times New Roman" w:eastAsia="Calibri" w:hAnsi="Times New Roman" w:cs="Times New Roman"/>
          <w:b/>
          <w:szCs w:val="20"/>
        </w:rPr>
        <w:t>Aroma</w:t>
      </w:r>
    </w:p>
    <w:p w14:paraId="07710907"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00F78B17" w14:textId="5939AA2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No significant differences (p &gt; 0.05) were observed in aroma among the samples, with scores ranging from 7.36 to 7.70. Fermentation is known to enhance aroma through the production of organic acids and volatile aromatic compounds (Akeem et al., 2018). Samples containing black kidney beans had slightly reduced aroma scores, likely due to inherent beany volatiles associated with legumes. Sprouting decreases lipoxygenase activity responsible for beany odour (Shimelis &amp; Rakshit, 2007), although traces may remain detectable. The overall aroma acceptability aligns with previous findings that cereal-legume blends maintain moderate to high aroma acceptability despite legume inclusion (Babarinde et al., 2020).</w:t>
      </w:r>
    </w:p>
    <w:p w14:paraId="060C43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39FB025" w14:textId="587B23C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3.3.7 </w:t>
      </w:r>
      <w:r w:rsidR="0077328A" w:rsidRPr="00560D34">
        <w:rPr>
          <w:rFonts w:ascii="Times New Roman" w:eastAsia="Calibri" w:hAnsi="Times New Roman" w:cs="Times New Roman"/>
          <w:b/>
          <w:szCs w:val="20"/>
        </w:rPr>
        <w:t>Taste</w:t>
      </w:r>
    </w:p>
    <w:p w14:paraId="22E7646C"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355D87" w14:textId="03A59C03"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Taste scores did not differ significantly (p &gt; 0.05) among the samples, ranging from 7.41 to 7.93, with FM rated highest. Fermentation enhances flavour by reducing bitterness and increasing the perception of sweetness through organic acid formation and starch hydrolysis (Capuano et al., 2018). Bean-containing samples remained acceptable, partly due to the natural sweetness of date flour, which can mask beany flavours (Al-Farsi &amp; Lee, 2008). Similar studies by Akeem et al. (2018) have shown that adding fruit-based sweeteners improves the flavour profile of cereal/legume products.</w:t>
      </w:r>
    </w:p>
    <w:p w14:paraId="035EBE7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A51BA1A" w14:textId="0A4C5B1F"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3.3.8 </w:t>
      </w:r>
      <w:r w:rsidR="0077328A" w:rsidRPr="00560D34">
        <w:rPr>
          <w:rFonts w:ascii="Times New Roman" w:eastAsia="Calibri" w:hAnsi="Times New Roman" w:cs="Times New Roman"/>
          <w:b/>
          <w:szCs w:val="20"/>
        </w:rPr>
        <w:t>Consistency</w:t>
      </w:r>
    </w:p>
    <w:p w14:paraId="5E9FFEA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5C5D6686" w14:textId="4EC4DD6D"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There were significant differences (p &lt; 0.05) in consistency among the samples. GFMNSBD had the highest consistency rating, indicating that germination improved viscosity and texture by increasing soluble sugars and modifying starch structure (Mucheru-Muna et al., 2010; Singh et al., 2017). The lowest consistency in FMSBD may be linked to the combined effects of fermentation and sprouting, both of which reduce starch content and gel strength due to enzymatic hydrolysis (Adejuwon et al., 2021). Similar reductions in viscosity were reported in cereal porridges enriched with sprouted legumes (Adejuwon et al., 2021).</w:t>
      </w:r>
    </w:p>
    <w:p w14:paraId="716F77E9"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06331A92" w14:textId="28BFE950"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3.3.9 </w:t>
      </w:r>
      <w:r w:rsidR="0077328A" w:rsidRPr="00560D34">
        <w:rPr>
          <w:rFonts w:ascii="Times New Roman" w:eastAsia="Calibri" w:hAnsi="Times New Roman" w:cs="Times New Roman"/>
          <w:b/>
          <w:szCs w:val="20"/>
        </w:rPr>
        <w:t>Overall Acceptability</w:t>
      </w:r>
    </w:p>
    <w:p w14:paraId="53CBA0FA"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718EF820" w14:textId="3279BD3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Overall acceptability scores ranged from 7.39 to 8.77, with GFMSBD being the most preferred formulation. The high score indicates that germinated/fermented maize combined with sprouted beans and date flour achieved a desirable balance of taste, appearance and texture. Although GFMNSBD was the least preferred, it still achieved a rating above 7.0, consistent with observations that sensory acceptability is often moderated by processing-induced flavour and textural changes (Nwosu et al., 2014), which support previous findings that optimising cereal-legume blends through fermentation, germination and natural sweeteners can enhance consumer acceptability (Otegbayo et al., 2018).</w:t>
      </w:r>
    </w:p>
    <w:p w14:paraId="035C5321"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4D1E075" w14:textId="2C847E5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Furthermore, all formulations recorded sensory scores above 7.0 across all attributes, indicating general consumer acceptance, consistent with findings that cereal-legume blends enhanced with natural sweeteners maintain acceptable sensory quality (Adebowale et al., 2025; Bakare et al., 2020). The GFMSBD formulation was the most acceptable sample, demonstrating the positive synergy of fermentation/germination and the use of sprouted beans in breakfast meal formulation.</w:t>
      </w:r>
    </w:p>
    <w:p w14:paraId="71EF145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7D8AA6A2" w14:textId="73E51227" w:rsidR="009D08C1" w:rsidRDefault="009D08C1" w:rsidP="00EF3E1B">
      <w:pPr>
        <w:pStyle w:val="isselectedend"/>
        <w:jc w:val="both"/>
      </w:pPr>
      <w:r>
        <w:rPr>
          <w:rStyle w:val="Strong"/>
        </w:rPr>
        <w:t>Conclusions</w:t>
      </w:r>
      <w:r>
        <w:br/>
      </w:r>
      <w:r w:rsidR="00EF3E1B">
        <w:t xml:space="preserve">This study demonstrated that fermentation and germination are effective methods for enhancing the quality of breakfast meal flour blends made from maize, black kidney beans, and date fruits. Using both sprouted and non-sprouted beans, along with date flour, improved the </w:t>
      </w:r>
      <w:r w:rsidR="00EF3E1B">
        <w:lastRenderedPageBreak/>
        <w:t>blends’ functional, pasting, microbial, and sensory properties. 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children and vulnerable groups. Germination and fermentation also altered starch properties, lowering viscosities and improving digestibility. This allows for higher nutrient concentrations in foods for infants or those at risk of malnutrition without making them too thick. Microbiological tests confirmed that all blends were safe to eat, with low bacteria and fungi levels and no coliforms. This safety is linked to fermentation’s antimicrobial effects, proper drying, and good hygiene during processing. Sensory evaluations showed all products were well-liked in terms of appearance, aroma, taste, and texture. The blend with germinated/fermented maize, sprouted black kidney bean, and date flour (GFMSBD) stood out for its high acceptability and quality. GFMSBD was the top performer, showing the potential of local ingredients to reduce reliance on imports and improve food security in developing regions. The study recommends fermentation and germination as affordable, sustainable ways to create enriched breakfast foods.</w:t>
      </w:r>
    </w:p>
    <w:p w14:paraId="4B278C36" w14:textId="77777777" w:rsidR="009D08C1" w:rsidRDefault="009D08C1" w:rsidP="009D08C1">
      <w:pPr>
        <w:pStyle w:val="NormalWeb"/>
      </w:pPr>
      <w:r>
        <w:rPr>
          <w:rStyle w:val="Strong"/>
        </w:rPr>
        <w:t>Limitation</w:t>
      </w:r>
      <w:r>
        <w:br/>
        <w:t>The study was limited to selected maize–black kidney bean–date flour formulations and did not assess nutrient bioavailability, antinutrient reduction, shelf-life stability, packaging performance or cost analysis during storage and scale-up. The sensory evaluation was based on the tested gruel preparations and may not fully represent consumer responses across wider populations or preparation methods.</w:t>
      </w:r>
    </w:p>
    <w:p w14:paraId="6986F9FD" w14:textId="74F3D9D1" w:rsidR="00EE3544" w:rsidRPr="00560D34" w:rsidRDefault="00EE3544" w:rsidP="00EE3544">
      <w:pPr>
        <w:spacing w:after="0" w:line="240" w:lineRule="auto"/>
        <w:contextualSpacing/>
        <w:jc w:val="both"/>
        <w:rPr>
          <w:rFonts w:ascii="Times New Roman" w:eastAsia="Times New Roman" w:hAnsi="Times New Roman" w:cs="Times New Roman"/>
          <w:bCs/>
          <w:iCs/>
          <w:sz w:val="14"/>
          <w:szCs w:val="16"/>
        </w:rPr>
      </w:pPr>
    </w:p>
    <w:p w14:paraId="2DB835F4" w14:textId="77777777" w:rsidR="00724F4F" w:rsidRPr="00724F4F" w:rsidRDefault="00724F4F" w:rsidP="00724F4F">
      <w:pPr>
        <w:spacing w:after="160" w:line="278" w:lineRule="auto"/>
        <w:rPr>
          <w:rFonts w:ascii="Calibri" w:eastAsia="Calibri" w:hAnsi="Calibri" w:cs="Times New Roman"/>
          <w:b/>
          <w:bCs/>
          <w:kern w:val="2"/>
          <w:sz w:val="24"/>
          <w:szCs w:val="24"/>
          <w14:ligatures w14:val="standardContextual"/>
        </w:rPr>
      </w:pPr>
      <w:r w:rsidRPr="00724F4F">
        <w:rPr>
          <w:rFonts w:ascii="Calibri" w:eastAsia="Calibri" w:hAnsi="Calibri" w:cs="Times New Roman"/>
          <w:b/>
          <w:bCs/>
          <w:kern w:val="2"/>
          <w:sz w:val="24"/>
          <w:szCs w:val="24"/>
          <w14:ligatures w14:val="standardContextual"/>
        </w:rPr>
        <w:t>Declaration of AI Use</w:t>
      </w:r>
    </w:p>
    <w:p w14:paraId="0EFAA783" w14:textId="77777777" w:rsidR="00724F4F" w:rsidRPr="00724F4F" w:rsidRDefault="00724F4F" w:rsidP="00724F4F">
      <w:pPr>
        <w:spacing w:after="160" w:line="278" w:lineRule="auto"/>
        <w:jc w:val="both"/>
        <w:rPr>
          <w:rFonts w:ascii="Calibri" w:eastAsia="Calibri" w:hAnsi="Calibri" w:cs="Times New Roman"/>
          <w:kern w:val="2"/>
          <w:sz w:val="24"/>
          <w:szCs w:val="24"/>
          <w14:ligatures w14:val="standardContextual"/>
        </w:rPr>
      </w:pPr>
      <w:r w:rsidRPr="00724F4F">
        <w:rPr>
          <w:rFonts w:ascii="Calibri" w:eastAsia="Calibri" w:hAnsi="Calibri" w:cs="Times New Roman"/>
          <w:kern w:val="2"/>
          <w:sz w:val="24"/>
          <w:szCs w:val="24"/>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A8341F"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p>
    <w:p w14:paraId="1A61CA66" w14:textId="28D059EA" w:rsidR="00B65653" w:rsidRPr="00560D34" w:rsidRDefault="00ED4643" w:rsidP="00B65653">
      <w:pPr>
        <w:pStyle w:val="ReferHead"/>
        <w:spacing w:after="0"/>
        <w:jc w:val="both"/>
        <w:rPr>
          <w:rFonts w:ascii="Times New Roman" w:hAnsi="Times New Roman"/>
          <w:bCs/>
        </w:rPr>
      </w:pPr>
      <w:r w:rsidRPr="00560D34">
        <w:rPr>
          <w:rFonts w:ascii="Times New Roman" w:hAnsi="Times New Roman"/>
          <w:bCs/>
          <w:caps w:val="0"/>
        </w:rPr>
        <w:t>Competing Interests</w:t>
      </w:r>
    </w:p>
    <w:p w14:paraId="349E5923" w14:textId="77777777" w:rsidR="00B65653" w:rsidRPr="00560D34" w:rsidRDefault="00B65653" w:rsidP="00B65653">
      <w:pPr>
        <w:pStyle w:val="ReferHead"/>
        <w:spacing w:after="0"/>
        <w:rPr>
          <w:rFonts w:ascii="Times New Roman" w:hAnsi="Times New Roman"/>
        </w:rPr>
      </w:pPr>
    </w:p>
    <w:p w14:paraId="39CE6264" w14:textId="77777777" w:rsidR="00B65653" w:rsidRPr="00560D34" w:rsidRDefault="00B65653" w:rsidP="00B65653">
      <w:pPr>
        <w:pStyle w:val="ReferHead"/>
        <w:spacing w:after="0"/>
        <w:jc w:val="both"/>
        <w:rPr>
          <w:rFonts w:ascii="Times New Roman" w:hAnsi="Times New Roman"/>
          <w:b w:val="0"/>
          <w:caps w:val="0"/>
          <w:sz w:val="20"/>
        </w:rPr>
      </w:pPr>
      <w:r>
        <w:rPr>
          <w:rFonts w:ascii="Times New Roman" w:hAnsi="Times New Roman"/>
          <w:b w:val="0"/>
          <w:sz w:val="20"/>
          <w:highlight w:val="yellow"/>
        </w:rPr>
        <w:t>The authors declare that no competing interests exist.</w:t>
      </w:r>
    </w:p>
    <w:p w14:paraId="3DA16587"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3C0C5A8" w14:textId="2D94D1DB" w:rsidR="007E1ABC" w:rsidRPr="00560D34" w:rsidRDefault="00FF7203" w:rsidP="00246A63">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References</w:t>
      </w:r>
    </w:p>
    <w:p w14:paraId="456BA129"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83A37DB"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Abera, S., Yohannes, W., &amp; Chandravanshi, B. S. (2023). Effect of processing methods on antinutritional factors (oxalate, phytate, and tannin) and their interaction with minerals (calcium, iron, and zinc) in red, white, and black kidney beans. </w:t>
      </w:r>
      <w:r w:rsidRPr="00093EDF">
        <w:rPr>
          <w:rFonts w:ascii="Arial" w:eastAsia="Calibri" w:hAnsi="Arial" w:cs="Times New Roman"/>
          <w:i/>
          <w:iCs/>
          <w:kern w:val="2"/>
          <w:sz w:val="20"/>
          <w14:ligatures w14:val="standardContextual"/>
        </w:rPr>
        <w:t>International Journal of Analytical Chemistry, 2023</w:t>
      </w:r>
      <w:r w:rsidRPr="00093EDF">
        <w:rPr>
          <w:rFonts w:ascii="Arial" w:eastAsia="Calibri" w:hAnsi="Arial" w:cs="Times New Roman"/>
          <w:kern w:val="2"/>
          <w:sz w:val="20"/>
          <w14:ligatures w14:val="standardContextual"/>
        </w:rPr>
        <w:t xml:space="preserve">, 6762027. </w:t>
      </w:r>
      <w:hyperlink r:id="rId9" w:tgtFrame="_new" w:history="1">
        <w:r w:rsidRPr="00093EDF">
          <w:rPr>
            <w:rFonts w:ascii="Arial" w:eastAsia="Calibri" w:hAnsi="Arial" w:cs="Times New Roman"/>
            <w:color w:val="0563C1"/>
            <w:kern w:val="2"/>
            <w:sz w:val="20"/>
            <w:u w:val="single"/>
            <w14:ligatures w14:val="standardContextual"/>
          </w:rPr>
          <w:t>https://doi.org/10.1155/2023/6762027</w:t>
        </w:r>
      </w:hyperlink>
    </w:p>
    <w:p w14:paraId="6C7DBEAC"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Abiodun Victor Ikujenlola, A. V., &amp; Iwayemi, E. F. (2025). Nutritional quality of complementary food made from malted-fermented sorghum and soybean flour blends. </w:t>
      </w:r>
      <w:r w:rsidRPr="00093EDF">
        <w:rPr>
          <w:rFonts w:ascii="Arial" w:eastAsia="Calibri" w:hAnsi="Arial" w:cs="Times New Roman"/>
          <w:i/>
          <w:iCs/>
          <w:kern w:val="2"/>
          <w:sz w:val="20"/>
          <w14:ligatures w14:val="standardContextual"/>
        </w:rPr>
        <w:t xml:space="preserve">Acta Universitatis Cibiniensis Series </w:t>
      </w:r>
      <w:r w:rsidRPr="00093EDF">
        <w:rPr>
          <w:rFonts w:ascii="Arial" w:eastAsia="Calibri" w:hAnsi="Arial" w:cs="Times New Roman"/>
          <w:i/>
          <w:iCs/>
          <w:kern w:val="2"/>
          <w:sz w:val="20"/>
          <w14:ligatures w14:val="standardContextual"/>
        </w:rPr>
        <w:lastRenderedPageBreak/>
        <w:t>E: Food Technology, 29</w:t>
      </w:r>
      <w:r w:rsidRPr="00093EDF">
        <w:rPr>
          <w:rFonts w:ascii="Arial" w:eastAsia="Calibri" w:hAnsi="Arial" w:cs="Times New Roman"/>
          <w:kern w:val="2"/>
          <w:sz w:val="20"/>
          <w14:ligatures w14:val="standardContextual"/>
        </w:rPr>
        <w:t xml:space="preserve">(1), 29–42. </w:t>
      </w:r>
      <w:hyperlink r:id="rId10" w:tgtFrame="_new" w:history="1">
        <w:r w:rsidRPr="00093EDF">
          <w:rPr>
            <w:rFonts w:ascii="Arial" w:eastAsia="Calibri" w:hAnsi="Arial" w:cs="Times New Roman"/>
            <w:color w:val="0563C1"/>
            <w:kern w:val="2"/>
            <w:sz w:val="20"/>
            <w:u w:val="single"/>
            <w14:ligatures w14:val="standardContextual"/>
          </w:rPr>
          <w:t>https://sciendo.com/2/v2/download/article/10.2478/aucft-2025-0002.pdf</w:t>
        </w:r>
      </w:hyperlink>
    </w:p>
    <w:p w14:paraId="2F08BEE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Adebiyi, F. G., Adediran, K. I., Olaoye, O. A., Mosuro, A. O., Olaomi, O. A., &amp; Ogunwole, O. A. (2021). Biological evaluation of cereals and legumes weaning blends for infant weaning food. </w:t>
      </w:r>
      <w:r w:rsidRPr="00093EDF">
        <w:rPr>
          <w:rFonts w:ascii="Arial" w:eastAsia="Calibri" w:hAnsi="Arial" w:cs="Times New Roman"/>
          <w:i/>
          <w:iCs/>
          <w:kern w:val="2"/>
          <w:sz w:val="20"/>
          <w14:ligatures w14:val="standardContextual"/>
        </w:rPr>
        <w:t>Food and Public Health, 11</w:t>
      </w:r>
      <w:r w:rsidRPr="00093EDF">
        <w:rPr>
          <w:rFonts w:ascii="Arial" w:eastAsia="Calibri" w:hAnsi="Arial" w:cs="Times New Roman"/>
          <w:kern w:val="2"/>
          <w:sz w:val="20"/>
          <w14:ligatures w14:val="standardContextual"/>
        </w:rPr>
        <w:t xml:space="preserve">(2), 44–52. </w:t>
      </w:r>
      <w:hyperlink r:id="rId11" w:tgtFrame="_new" w:history="1">
        <w:r w:rsidRPr="00093EDF">
          <w:rPr>
            <w:rFonts w:ascii="Arial" w:eastAsia="Calibri" w:hAnsi="Arial" w:cs="Times New Roman"/>
            <w:color w:val="0563C1"/>
            <w:kern w:val="2"/>
            <w:sz w:val="20"/>
            <w:u w:val="single"/>
            <w14:ligatures w14:val="standardContextual"/>
          </w:rPr>
          <w:t>https://doi.org/10.5923/j.fph.20211102.02</w:t>
        </w:r>
      </w:hyperlink>
    </w:p>
    <w:p w14:paraId="7D90657A" w14:textId="77777777"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Adebo, J. A., Berka Njobeh, P., Gbashi, S., Oyedeji, A. B., Mayowa Ogundele, O., Oyeyinka, S. A., &amp; Adebo, O. A. (2022). </w:t>
      </w:r>
      <w:r w:rsidRPr="00093EDF">
        <w:rPr>
          <w:rFonts w:ascii="Arial" w:eastAsia="Calibri" w:hAnsi="Arial" w:cs="Times New Roman"/>
          <w:kern w:val="2"/>
          <w:sz w:val="20"/>
          <w:lang w:val="pt-BR"/>
          <w14:ligatures w14:val="standardContextual"/>
        </w:rPr>
        <w:t xml:space="preserve">Fermentation des céréales et des légumineuses: Impact sur les constituants nutritionnels et la biodisponibilité des nutriments. </w:t>
      </w:r>
      <w:r w:rsidRPr="00093EDF">
        <w:rPr>
          <w:rFonts w:ascii="Arial" w:eastAsia="Calibri" w:hAnsi="Arial" w:cs="Times New Roman"/>
          <w:i/>
          <w:iCs/>
          <w:kern w:val="2"/>
          <w:sz w:val="20"/>
          <w:lang w:val="nb-NO"/>
          <w14:ligatures w14:val="standardContextual"/>
        </w:rPr>
        <w:t>Fermentation, 8</w:t>
      </w:r>
      <w:r w:rsidRPr="00093EDF">
        <w:rPr>
          <w:rFonts w:ascii="Arial" w:eastAsia="Calibri" w:hAnsi="Arial" w:cs="Times New Roman"/>
          <w:kern w:val="2"/>
          <w:sz w:val="20"/>
          <w:lang w:val="nb-NO"/>
          <w14:ligatures w14:val="standardContextual"/>
        </w:rPr>
        <w:t xml:space="preserve">(2), 63. </w:t>
      </w:r>
      <w:hyperlink r:id="rId12" w:tgtFrame="_new" w:history="1">
        <w:r w:rsidRPr="00093EDF">
          <w:rPr>
            <w:rFonts w:ascii="Arial" w:eastAsia="Calibri" w:hAnsi="Arial" w:cs="Times New Roman"/>
            <w:color w:val="0563C1"/>
            <w:kern w:val="2"/>
            <w:sz w:val="20"/>
            <w:u w:val="single"/>
            <w:lang w:val="nb-NO"/>
            <w14:ligatures w14:val="standardContextual"/>
          </w:rPr>
          <w:t>https://www.mdpi.com/2311-5637/8/2/63</w:t>
        </w:r>
      </w:hyperlink>
    </w:p>
    <w:p w14:paraId="2791F70D"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Adebowale, O. J., Ayotunde, A., Mokhele, T., &amp; Bamidele, O. P. (2025). </w:t>
      </w:r>
      <w:r w:rsidRPr="00093EDF">
        <w:rPr>
          <w:rFonts w:ascii="Arial" w:eastAsia="Calibri" w:hAnsi="Arial" w:cs="Times New Roman"/>
          <w:kern w:val="2"/>
          <w:sz w:val="20"/>
          <w14:ligatures w14:val="standardContextual"/>
        </w:rPr>
        <w:t xml:space="preserve">Chemical composition of composite flour from okara powder and whole wheat flour and the sensory evaluation of the biscuits made from the composite flour. </w:t>
      </w:r>
      <w:r w:rsidRPr="00093EDF">
        <w:rPr>
          <w:rFonts w:ascii="Arial" w:eastAsia="Calibri" w:hAnsi="Arial" w:cs="Times New Roman"/>
          <w:i/>
          <w:iCs/>
          <w:kern w:val="2"/>
          <w:sz w:val="20"/>
          <w14:ligatures w14:val="standardContextual"/>
        </w:rPr>
        <w:t>Food Science &amp; Nutrition, 13</w:t>
      </w:r>
      <w:r w:rsidRPr="00093EDF">
        <w:rPr>
          <w:rFonts w:ascii="Arial" w:eastAsia="Calibri" w:hAnsi="Arial" w:cs="Times New Roman"/>
          <w:kern w:val="2"/>
          <w:sz w:val="20"/>
          <w14:ligatures w14:val="standardContextual"/>
        </w:rPr>
        <w:t xml:space="preserve">(6), e70450. </w:t>
      </w:r>
      <w:hyperlink r:id="rId13" w:tgtFrame="_new" w:history="1">
        <w:r w:rsidRPr="00093EDF">
          <w:rPr>
            <w:rFonts w:ascii="Arial" w:eastAsia="Calibri" w:hAnsi="Arial" w:cs="Times New Roman"/>
            <w:color w:val="0563C1"/>
            <w:kern w:val="2"/>
            <w:sz w:val="20"/>
            <w:u w:val="single"/>
            <w14:ligatures w14:val="standardContextual"/>
          </w:rPr>
          <w:t>https://doi.org/10.1002/fsn3.70450</w:t>
        </w:r>
      </w:hyperlink>
    </w:p>
    <w:p w14:paraId="25BF7FC5"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Adejuwon, K. P., Osundahunsi, O. F., Oluwamukomi, M. O., Mwanza, M., &amp; Akinola, S. A. (2021). Effect of fermentation on nutritional quality, growth and hematological parameters of rats fed sorghum-soybean-orange flesh sweet potato complementary diet. </w:t>
      </w:r>
      <w:r w:rsidRPr="00093EDF">
        <w:rPr>
          <w:rFonts w:ascii="Arial" w:eastAsia="Calibri" w:hAnsi="Arial" w:cs="Times New Roman"/>
          <w:i/>
          <w:iCs/>
          <w:kern w:val="2"/>
          <w:sz w:val="20"/>
          <w14:ligatures w14:val="standardContextual"/>
        </w:rPr>
        <w:t>(October 2020)</w:t>
      </w:r>
      <w:r w:rsidRPr="00093EDF">
        <w:rPr>
          <w:rFonts w:ascii="Arial" w:eastAsia="Calibri" w:hAnsi="Arial" w:cs="Times New Roman"/>
          <w:kern w:val="2"/>
          <w:sz w:val="20"/>
          <w14:ligatures w14:val="standardContextual"/>
        </w:rPr>
        <w:t xml:space="preserve">, 639–650. </w:t>
      </w:r>
      <w:hyperlink r:id="rId14" w:tgtFrame="_new" w:history="1">
        <w:r w:rsidRPr="00093EDF">
          <w:rPr>
            <w:rFonts w:ascii="Arial" w:eastAsia="Calibri" w:hAnsi="Arial" w:cs="Times New Roman"/>
            <w:color w:val="0563C1"/>
            <w:kern w:val="2"/>
            <w:sz w:val="20"/>
            <w:u w:val="single"/>
            <w14:ligatures w14:val="standardContextual"/>
          </w:rPr>
          <w:t>https://doi.org/10.1002/fsn3.2013</w:t>
        </w:r>
      </w:hyperlink>
    </w:p>
    <w:p w14:paraId="3E957E6F"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Adeyanju, A. A., Emmanuel, P. O., Adetunji, A. I., &amp; Adebo, O. A. (2025). Nutritional, pasting, rheological, and thermal properties of sorghum–okara composite flours and porridges. </w:t>
      </w:r>
      <w:r w:rsidRPr="00093EDF">
        <w:rPr>
          <w:rFonts w:ascii="Arial" w:eastAsia="Calibri" w:hAnsi="Arial" w:cs="Times New Roman"/>
          <w:i/>
          <w:iCs/>
          <w:kern w:val="2"/>
          <w:sz w:val="20"/>
          <w14:ligatures w14:val="standardContextual"/>
        </w:rPr>
        <w:t>International Journal of Food Science and Technology, 60</w:t>
      </w:r>
      <w:r w:rsidRPr="00093EDF">
        <w:rPr>
          <w:rFonts w:ascii="Arial" w:eastAsia="Calibri" w:hAnsi="Arial" w:cs="Times New Roman"/>
          <w:kern w:val="2"/>
          <w:sz w:val="20"/>
          <w14:ligatures w14:val="standardContextual"/>
        </w:rPr>
        <w:t xml:space="preserve">(1), vvae021. </w:t>
      </w:r>
      <w:hyperlink r:id="rId15" w:tgtFrame="_new" w:history="1">
        <w:r w:rsidRPr="00093EDF">
          <w:rPr>
            <w:rFonts w:ascii="Arial" w:eastAsia="Calibri" w:hAnsi="Arial" w:cs="Times New Roman"/>
            <w:color w:val="0563C1"/>
            <w:kern w:val="2"/>
            <w:sz w:val="20"/>
            <w:u w:val="single"/>
            <w14:ligatures w14:val="standardContextual"/>
          </w:rPr>
          <w:t>https://doi.org/10.1093/ijfood/vvae021</w:t>
        </w:r>
      </w:hyperlink>
    </w:p>
    <w:p w14:paraId="0820485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Akeem, S. A., Yerumoh, O., Leigh, O., Bamgbala, K., Okeke, G., Sokunbi, F., &amp; Olayiwola, I. (2018). Physicochemical properties, colour characteristics, and sensory evaluation of full-cream cow-coconut milk yoghurts. </w:t>
      </w:r>
      <w:r w:rsidRPr="00093EDF">
        <w:rPr>
          <w:rFonts w:ascii="Arial" w:eastAsia="Calibri" w:hAnsi="Arial" w:cs="Times New Roman"/>
          <w:i/>
          <w:iCs/>
          <w:kern w:val="2"/>
          <w:sz w:val="20"/>
          <w14:ligatures w14:val="standardContextual"/>
        </w:rPr>
        <w:t>Croatian Journal of Food Science and Technology, 10</w:t>
      </w:r>
      <w:r w:rsidRPr="00093EDF">
        <w:rPr>
          <w:rFonts w:ascii="Arial" w:eastAsia="Calibri" w:hAnsi="Arial" w:cs="Times New Roman"/>
          <w:kern w:val="2"/>
          <w:sz w:val="20"/>
          <w14:ligatures w14:val="standardContextual"/>
        </w:rPr>
        <w:t xml:space="preserve">(2), 226–233. </w:t>
      </w:r>
      <w:hyperlink r:id="rId16" w:tgtFrame="_new" w:history="1">
        <w:r w:rsidRPr="00093EDF">
          <w:rPr>
            <w:rFonts w:ascii="Arial" w:eastAsia="Calibri" w:hAnsi="Arial" w:cs="Times New Roman"/>
            <w:color w:val="0563C1"/>
            <w:kern w:val="2"/>
            <w:sz w:val="20"/>
            <w:u w:val="single"/>
            <w14:ligatures w14:val="standardContextual"/>
          </w:rPr>
          <w:t>https://doi.org/10.17508/cjfst.2018.10.2.13</w:t>
        </w:r>
      </w:hyperlink>
    </w:p>
    <w:p w14:paraId="5982CC53"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Aljaloud, S., Colleran, H. L., &amp; Ibrahim, S. A. (2020). Nutritional value of date fruits and potential use in nutritional bars for athletes. </w:t>
      </w:r>
      <w:r w:rsidRPr="00093EDF">
        <w:rPr>
          <w:rFonts w:ascii="Arial" w:eastAsia="Calibri" w:hAnsi="Arial" w:cs="Times New Roman"/>
          <w:i/>
          <w:iCs/>
          <w:kern w:val="2"/>
          <w:sz w:val="20"/>
          <w14:ligatures w14:val="standardContextual"/>
        </w:rPr>
        <w:t>Food and Nutrition Sciences, 11</w:t>
      </w:r>
      <w:r w:rsidRPr="00093EDF">
        <w:rPr>
          <w:rFonts w:ascii="Arial" w:eastAsia="Calibri" w:hAnsi="Arial" w:cs="Times New Roman"/>
          <w:kern w:val="2"/>
          <w:sz w:val="20"/>
          <w14:ligatures w14:val="standardContextual"/>
        </w:rPr>
        <w:t xml:space="preserve">(6), 463–480. </w:t>
      </w:r>
      <w:hyperlink r:id="rId17" w:tgtFrame="_new" w:history="1">
        <w:r w:rsidRPr="00093EDF">
          <w:rPr>
            <w:rFonts w:ascii="Arial" w:eastAsia="Calibri" w:hAnsi="Arial" w:cs="Times New Roman"/>
            <w:color w:val="0563C1"/>
            <w:kern w:val="2"/>
            <w:sz w:val="20"/>
            <w:u w:val="single"/>
            <w14:ligatures w14:val="standardContextual"/>
          </w:rPr>
          <w:t>https://doi.org/10.4236/fns.2020.116034</w:t>
        </w:r>
      </w:hyperlink>
    </w:p>
    <w:p w14:paraId="09E56CE3"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Anaemene, &amp; Fadupin. (2020). Effect of fermentation, germination and combined germination-fermentation processing methods on the nutrient and anti-nutrient contents of quality protein maize (QPM) seeds. </w:t>
      </w:r>
      <w:r w:rsidRPr="00093EDF">
        <w:rPr>
          <w:rFonts w:ascii="Arial" w:eastAsia="Calibri" w:hAnsi="Arial" w:cs="Times New Roman"/>
          <w:i/>
          <w:iCs/>
          <w:kern w:val="2"/>
          <w:sz w:val="20"/>
          <w14:ligatures w14:val="standardContextual"/>
        </w:rPr>
        <w:t>Journal of Applied Sciences and Environmental Management, 24</w:t>
      </w:r>
      <w:r w:rsidRPr="00093EDF">
        <w:rPr>
          <w:rFonts w:ascii="Arial" w:eastAsia="Calibri" w:hAnsi="Arial" w:cs="Times New Roman"/>
          <w:kern w:val="2"/>
          <w:sz w:val="20"/>
          <w14:ligatures w14:val="standardContextual"/>
        </w:rPr>
        <w:t xml:space="preserve">(9), 1625–1630. </w:t>
      </w:r>
      <w:hyperlink r:id="rId18" w:tgtFrame="_new" w:history="1">
        <w:r w:rsidRPr="00093EDF">
          <w:rPr>
            <w:rFonts w:ascii="Arial" w:eastAsia="Calibri" w:hAnsi="Arial" w:cs="Times New Roman"/>
            <w:color w:val="0563C1"/>
            <w:kern w:val="2"/>
            <w:sz w:val="20"/>
            <w:u w:val="single"/>
            <w14:ligatures w14:val="standardContextual"/>
          </w:rPr>
          <w:t>https://www.ajol.info/index.php/jasem/article/download/200634/189201</w:t>
        </w:r>
      </w:hyperlink>
    </w:p>
    <w:p w14:paraId="418F070C"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Arya, A. M., Singh, B. R., Samsher Suresh Chandra, N. C., &amp; Singh, V. and S. (2020). Functional properties of jackfruit seed flour. </w:t>
      </w:r>
      <w:r w:rsidRPr="00093EDF">
        <w:rPr>
          <w:rFonts w:ascii="Arial" w:eastAsia="Calibri" w:hAnsi="Arial" w:cs="Times New Roman"/>
          <w:i/>
          <w:iCs/>
          <w:kern w:val="2"/>
          <w:sz w:val="20"/>
          <w14:ligatures w14:val="standardContextual"/>
        </w:rPr>
        <w:t>Food Science Research Journal, 11</w:t>
      </w:r>
      <w:r w:rsidRPr="00093EDF">
        <w:rPr>
          <w:rFonts w:ascii="Arial" w:eastAsia="Calibri" w:hAnsi="Arial" w:cs="Times New Roman"/>
          <w:kern w:val="2"/>
          <w:sz w:val="20"/>
          <w14:ligatures w14:val="standardContextual"/>
        </w:rPr>
        <w:t xml:space="preserve">(Issue 2), 115–119. </w:t>
      </w:r>
      <w:hyperlink r:id="rId19" w:tgtFrame="_new" w:history="1">
        <w:r w:rsidRPr="00093EDF">
          <w:rPr>
            <w:rFonts w:ascii="Arial" w:eastAsia="Calibri" w:hAnsi="Arial" w:cs="Times New Roman"/>
            <w:color w:val="0563C1"/>
            <w:kern w:val="2"/>
            <w:sz w:val="20"/>
            <w:u w:val="single"/>
            <w14:ligatures w14:val="standardContextual"/>
          </w:rPr>
          <w:t>https://doi.org/10.15740/HAS/FSRJ/11.2/115-119</w:t>
        </w:r>
      </w:hyperlink>
    </w:p>
    <w:p w14:paraId="270E353F"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Edima-Nyah, A. P., Ekanem, K. E., Ntukidem, V. E., &amp; Ogbonna, C. V. (2024). Chemical, microbial, and sensory properties of breakfast cereals made from yellow maize and soybean flour blends with firmly ripe banana flavoring. </w:t>
      </w:r>
      <w:r w:rsidRPr="00093EDF">
        <w:rPr>
          <w:rFonts w:ascii="Arial" w:eastAsia="Calibri" w:hAnsi="Arial" w:cs="Times New Roman"/>
          <w:i/>
          <w:iCs/>
          <w:kern w:val="2"/>
          <w:sz w:val="20"/>
          <w14:ligatures w14:val="standardContextual"/>
        </w:rPr>
        <w:t>3</w:t>
      </w:r>
      <w:r w:rsidRPr="00093EDF">
        <w:rPr>
          <w:rFonts w:ascii="Arial" w:eastAsia="Calibri" w:hAnsi="Arial" w:cs="Times New Roman"/>
          <w:kern w:val="2"/>
          <w:sz w:val="20"/>
          <w14:ligatures w14:val="standardContextual"/>
        </w:rPr>
        <w:t xml:space="preserve">(3), 227–233. </w:t>
      </w:r>
      <w:hyperlink r:id="rId20" w:tgtFrame="_new" w:history="1">
        <w:r w:rsidRPr="00093EDF">
          <w:rPr>
            <w:rFonts w:ascii="Arial" w:eastAsia="Calibri" w:hAnsi="Arial" w:cs="Times New Roman"/>
            <w:color w:val="0563C1"/>
            <w:kern w:val="2"/>
            <w:sz w:val="20"/>
            <w:u w:val="single"/>
            <w14:ligatures w14:val="standardContextual"/>
          </w:rPr>
          <w:t>https://journals.ipsintelligentsia.com/food-science/index.php/ijnfs/article/view/55</w:t>
        </w:r>
      </w:hyperlink>
    </w:p>
    <w:p w14:paraId="671D7C3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Edima-Nyah, A., &amp; Ntukidem, V. (2019). Development and quality evaluation of breakfast cereals from blends of local rice (</w:t>
      </w:r>
      <w:r w:rsidRPr="00093EDF">
        <w:rPr>
          <w:rFonts w:ascii="Arial" w:eastAsia="Calibri" w:hAnsi="Arial" w:cs="Times New Roman"/>
          <w:i/>
          <w:iCs/>
          <w:kern w:val="2"/>
          <w:sz w:val="20"/>
          <w14:ligatures w14:val="standardContextual"/>
        </w:rPr>
        <w:t>Oryza sativa</w:t>
      </w:r>
      <w:r w:rsidRPr="00093EDF">
        <w:rPr>
          <w:rFonts w:ascii="Arial" w:eastAsia="Calibri" w:hAnsi="Arial" w:cs="Times New Roman"/>
          <w:kern w:val="2"/>
          <w:sz w:val="20"/>
          <w14:ligatures w14:val="standardContextual"/>
        </w:rPr>
        <w:t>), African yam beans (</w:t>
      </w:r>
      <w:r w:rsidRPr="00093EDF">
        <w:rPr>
          <w:rFonts w:ascii="Arial" w:eastAsia="Calibri" w:hAnsi="Arial" w:cs="Times New Roman"/>
          <w:i/>
          <w:iCs/>
          <w:kern w:val="2"/>
          <w:sz w:val="20"/>
          <w14:ligatures w14:val="standardContextual"/>
        </w:rPr>
        <w:t>Sphenostylis stenocarpa</w:t>
      </w:r>
      <w:r w:rsidRPr="00093EDF">
        <w:rPr>
          <w:rFonts w:ascii="Arial" w:eastAsia="Calibri" w:hAnsi="Arial" w:cs="Times New Roman"/>
          <w:kern w:val="2"/>
          <w:sz w:val="20"/>
          <w14:ligatures w14:val="standardContextual"/>
        </w:rPr>
        <w:t>), and coconut (</w:t>
      </w:r>
      <w:r w:rsidRPr="00093EDF">
        <w:rPr>
          <w:rFonts w:ascii="Arial" w:eastAsia="Calibri" w:hAnsi="Arial" w:cs="Times New Roman"/>
          <w:i/>
          <w:iCs/>
          <w:kern w:val="2"/>
          <w:sz w:val="20"/>
          <w14:ligatures w14:val="standardContextual"/>
        </w:rPr>
        <w:t>Cocos nucifera</w:t>
      </w:r>
      <w:r w:rsidRPr="00093EDF">
        <w:rPr>
          <w:rFonts w:ascii="Arial" w:eastAsia="Calibri" w:hAnsi="Arial" w:cs="Times New Roman"/>
          <w:kern w:val="2"/>
          <w:sz w:val="20"/>
          <w14:ligatures w14:val="standardContextual"/>
        </w:rPr>
        <w:t xml:space="preserve">) flour. </w:t>
      </w:r>
      <w:r w:rsidRPr="00093EDF">
        <w:rPr>
          <w:rFonts w:ascii="Arial" w:eastAsia="Calibri" w:hAnsi="Arial" w:cs="Times New Roman"/>
          <w:i/>
          <w:iCs/>
          <w:kern w:val="2"/>
          <w:sz w:val="20"/>
          <w14:ligatures w14:val="standardContextual"/>
        </w:rPr>
        <w:t>International Journal of Food Nutrition and Safety, 10</w:t>
      </w:r>
      <w:r w:rsidRPr="00093EDF">
        <w:rPr>
          <w:rFonts w:ascii="Arial" w:eastAsia="Calibri" w:hAnsi="Arial" w:cs="Times New Roman"/>
          <w:kern w:val="2"/>
          <w:sz w:val="20"/>
          <w14:ligatures w14:val="standardContextual"/>
        </w:rPr>
        <w:t>(1), 42–58. September.</w:t>
      </w:r>
    </w:p>
    <w:p w14:paraId="71332B03"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Eli, Z. W., Obochi, G. O., &amp; A. D. (2022). Pasting, functional, microbial and sensory evaluation of complementary food blends produced from malted and fermented acha (</w:t>
      </w:r>
      <w:r w:rsidRPr="00093EDF">
        <w:rPr>
          <w:rFonts w:ascii="Arial" w:eastAsia="Calibri" w:hAnsi="Arial" w:cs="Times New Roman"/>
          <w:i/>
          <w:iCs/>
          <w:kern w:val="2"/>
          <w:sz w:val="20"/>
          <w14:ligatures w14:val="standardContextual"/>
        </w:rPr>
        <w:t>Digitaria exilis</w:t>
      </w:r>
      <w:r w:rsidRPr="00093EDF">
        <w:rPr>
          <w:rFonts w:ascii="Arial" w:eastAsia="Calibri" w:hAnsi="Arial" w:cs="Times New Roman"/>
          <w:kern w:val="2"/>
          <w:sz w:val="20"/>
          <w14:ligatures w14:val="standardContextual"/>
        </w:rPr>
        <w:t>) flour supplemented with soybean flour (</w:t>
      </w:r>
      <w:r w:rsidRPr="00093EDF">
        <w:rPr>
          <w:rFonts w:ascii="Arial" w:eastAsia="Calibri" w:hAnsi="Arial" w:cs="Times New Roman"/>
          <w:i/>
          <w:iCs/>
          <w:kern w:val="2"/>
          <w:sz w:val="20"/>
          <w14:ligatures w14:val="standardContextual"/>
        </w:rPr>
        <w:t>Glycine max</w:t>
      </w:r>
      <w:r w:rsidRPr="00093EDF">
        <w:rPr>
          <w:rFonts w:ascii="Arial" w:eastAsia="Calibri" w:hAnsi="Arial" w:cs="Times New Roman"/>
          <w:kern w:val="2"/>
          <w:sz w:val="20"/>
          <w14:ligatures w14:val="standardContextual"/>
        </w:rPr>
        <w:t xml:space="preserve">). </w:t>
      </w:r>
      <w:r w:rsidRPr="00093EDF">
        <w:rPr>
          <w:rFonts w:ascii="Arial" w:eastAsia="Calibri" w:hAnsi="Arial" w:cs="Times New Roman"/>
          <w:i/>
          <w:iCs/>
          <w:kern w:val="2"/>
          <w:sz w:val="20"/>
          <w14:ligatures w14:val="standardContextual"/>
        </w:rPr>
        <w:t>International Journal of Food Science and Nutrition, 7</w:t>
      </w:r>
      <w:r w:rsidRPr="00093EDF">
        <w:rPr>
          <w:rFonts w:ascii="Arial" w:eastAsia="Calibri" w:hAnsi="Arial" w:cs="Times New Roman"/>
          <w:kern w:val="2"/>
          <w:sz w:val="20"/>
          <w14:ligatures w14:val="standardContextual"/>
        </w:rPr>
        <w:t>(4), 4–10.</w:t>
      </w:r>
    </w:p>
    <w:p w14:paraId="5305F48B"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Elkhalifa, A. E. O., &amp; Bernhardt, R. (2018). Combination effect of germination and fermentation on functional properties of sorghum flour. </w:t>
      </w:r>
      <w:r w:rsidRPr="00093EDF">
        <w:rPr>
          <w:rFonts w:ascii="Arial" w:eastAsia="Calibri" w:hAnsi="Arial" w:cs="Times New Roman"/>
          <w:i/>
          <w:iCs/>
          <w:kern w:val="2"/>
          <w:sz w:val="20"/>
          <w14:ligatures w14:val="standardContextual"/>
        </w:rPr>
        <w:t>30</w:t>
      </w:r>
      <w:r w:rsidRPr="00093EDF">
        <w:rPr>
          <w:rFonts w:ascii="Arial" w:eastAsia="Calibri" w:hAnsi="Arial" w:cs="Times New Roman"/>
          <w:kern w:val="2"/>
          <w:sz w:val="20"/>
          <w14:ligatures w14:val="standardContextual"/>
        </w:rPr>
        <w:t xml:space="preserve">(1), 1–12. </w:t>
      </w:r>
      <w:hyperlink r:id="rId21" w:tgtFrame="_new" w:history="1">
        <w:r w:rsidRPr="00093EDF">
          <w:rPr>
            <w:rFonts w:ascii="Arial" w:eastAsia="Calibri" w:hAnsi="Arial" w:cs="Times New Roman"/>
            <w:color w:val="0563C1"/>
            <w:kern w:val="2"/>
            <w:sz w:val="20"/>
            <w:u w:val="single"/>
            <w14:ligatures w14:val="standardContextual"/>
          </w:rPr>
          <w:t>https://doi.org/10.9734/CJAST/2018/44491</w:t>
        </w:r>
      </w:hyperlink>
    </w:p>
    <w:p w14:paraId="26836C6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Feyera, M. (2020). Proximate, anti-nutrients and sensorial acceptability of some cereal and legume based composite biscuits: Review. </w:t>
      </w:r>
      <w:r w:rsidRPr="00093EDF">
        <w:rPr>
          <w:rFonts w:ascii="Arial" w:eastAsia="Calibri" w:hAnsi="Arial" w:cs="Times New Roman"/>
          <w:i/>
          <w:iCs/>
          <w:kern w:val="2"/>
          <w:sz w:val="20"/>
          <w14:ligatures w14:val="standardContextual"/>
        </w:rPr>
        <w:t>Food Science and Quality Management, 98</w:t>
      </w:r>
      <w:r w:rsidRPr="00093EDF">
        <w:rPr>
          <w:rFonts w:ascii="Arial" w:eastAsia="Calibri" w:hAnsi="Arial" w:cs="Times New Roman"/>
          <w:kern w:val="2"/>
          <w:sz w:val="20"/>
          <w14:ligatures w14:val="standardContextual"/>
        </w:rPr>
        <w:t xml:space="preserve">, 18–28. </w:t>
      </w:r>
      <w:hyperlink r:id="rId22" w:tgtFrame="_new" w:history="1">
        <w:r w:rsidRPr="00093EDF">
          <w:rPr>
            <w:rFonts w:ascii="Arial" w:eastAsia="Calibri" w:hAnsi="Arial" w:cs="Times New Roman"/>
            <w:color w:val="0563C1"/>
            <w:kern w:val="2"/>
            <w:sz w:val="20"/>
            <w:u w:val="single"/>
            <w14:ligatures w14:val="standardContextual"/>
          </w:rPr>
          <w:t>https://doi.org/10.7176/fsqm/98-03</w:t>
        </w:r>
      </w:hyperlink>
    </w:p>
    <w:p w14:paraId="4922886C" w14:textId="10E6BD24" w:rsidR="00B51C35" w:rsidRDefault="00B51C35" w:rsidP="00093EDF">
      <w:pPr>
        <w:spacing w:after="0" w:line="240" w:lineRule="auto"/>
        <w:rPr>
          <w:rFonts w:ascii="Arial" w:eastAsia="Calibri" w:hAnsi="Arial" w:cs="Times New Roman"/>
          <w:color w:val="EE0000"/>
          <w:kern w:val="2"/>
          <w:sz w:val="20"/>
          <w14:ligatures w14:val="standardContextual"/>
        </w:rPr>
      </w:pPr>
      <w:r>
        <w:rPr>
          <w:rFonts w:ascii="Arial" w:hAnsi="Arial" w:cs="Arial"/>
          <w:color w:val="222222"/>
          <w:sz w:val="20"/>
          <w:szCs w:val="20"/>
          <w:shd w:val="clear" w:color="auto" w:fill="FFFFFF"/>
        </w:rPr>
        <w:t>Friday, O. A., Julius, A., Nsa, E. S., Rebezov, M., Maksimiuk, N., Kenijz, N., ... &amp; Shariati, M. A. (2021). Influence of pro-vitamin-a-cassava flour and cashew nut flour supplementations on physico-chemical properties of wheat based bread. </w:t>
      </w:r>
      <w:r>
        <w:rPr>
          <w:rFonts w:ascii="Arial" w:hAnsi="Arial" w:cs="Arial"/>
          <w:i/>
          <w:iCs/>
          <w:color w:val="222222"/>
          <w:sz w:val="20"/>
          <w:szCs w:val="20"/>
          <w:shd w:val="clear" w:color="auto" w:fill="FFFFFF"/>
        </w:rPr>
        <w:t>Journal of microbiology, biotechnology and food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(1), e4843-e4843.</w:t>
      </w:r>
    </w:p>
    <w:p w14:paraId="0A9BA25A" w14:textId="5028D28F"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Gibney, M. J., Barr, S. I., Bellisle, F., Drewnowski, A., Fagt, S., Livingstone, B., Masset, G., Moreiras, G. V., Moreno, L. A., Smith, J., Vieux, F., Thielecke, F., &amp; Hopkins, S. (2018). Breakfast in human nutrition: The International Breakfast Research Initiative. </w:t>
      </w:r>
      <w:r w:rsidRPr="00093EDF">
        <w:rPr>
          <w:rFonts w:ascii="Arial" w:eastAsia="Calibri" w:hAnsi="Arial" w:cs="Times New Roman"/>
          <w:i/>
          <w:iCs/>
          <w:kern w:val="2"/>
          <w:sz w:val="20"/>
          <w14:ligatures w14:val="standardContextual"/>
        </w:rPr>
        <w:t>Nutrients, 10</w:t>
      </w:r>
      <w:r w:rsidRPr="00093EDF">
        <w:rPr>
          <w:rFonts w:ascii="Arial" w:eastAsia="Calibri" w:hAnsi="Arial" w:cs="Times New Roman"/>
          <w:kern w:val="2"/>
          <w:sz w:val="20"/>
          <w14:ligatures w14:val="standardContextual"/>
        </w:rPr>
        <w:t xml:space="preserve">(5), 559. </w:t>
      </w:r>
      <w:hyperlink r:id="rId23" w:tgtFrame="_new" w:history="1">
        <w:r w:rsidRPr="00093EDF">
          <w:rPr>
            <w:rFonts w:ascii="Arial" w:eastAsia="Calibri" w:hAnsi="Arial" w:cs="Times New Roman"/>
            <w:color w:val="0563C1"/>
            <w:kern w:val="2"/>
            <w:sz w:val="20"/>
            <w:u w:val="single"/>
            <w:lang w:val="nb-NO"/>
            <w14:ligatures w14:val="standardContextual"/>
          </w:rPr>
          <w:t>https://doi.org/10.3390/nu10050559</w:t>
        </w:r>
      </w:hyperlink>
    </w:p>
    <w:p w14:paraId="0FB00DD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lastRenderedPageBreak/>
        <w:t xml:space="preserve">Godswill, C., Somtochukwu, V., &amp; Kate, C. (2019). </w:t>
      </w:r>
      <w:r w:rsidRPr="00093EDF">
        <w:rPr>
          <w:rFonts w:ascii="Arial" w:eastAsia="Calibri" w:hAnsi="Arial" w:cs="Times New Roman"/>
          <w:kern w:val="2"/>
          <w:sz w:val="20"/>
          <w14:ligatures w14:val="standardContextual"/>
        </w:rPr>
        <w:t xml:space="preserve">The functional properties of foods and flours. </w:t>
      </w:r>
      <w:r w:rsidRPr="00093EDF">
        <w:rPr>
          <w:rFonts w:ascii="Arial" w:eastAsia="Calibri" w:hAnsi="Arial" w:cs="Times New Roman"/>
          <w:i/>
          <w:iCs/>
          <w:kern w:val="2"/>
          <w:sz w:val="20"/>
          <w14:ligatures w14:val="standardContextual"/>
        </w:rPr>
        <w:t>International Journal of Advanced Academic Research, 5</w:t>
      </w:r>
      <w:r w:rsidRPr="00093EDF">
        <w:rPr>
          <w:rFonts w:ascii="Arial" w:eastAsia="Calibri" w:hAnsi="Arial" w:cs="Times New Roman"/>
          <w:kern w:val="2"/>
          <w:sz w:val="20"/>
          <w14:ligatures w14:val="standardContextual"/>
        </w:rPr>
        <w:t>(11), 139–160.</w:t>
      </w:r>
    </w:p>
    <w:p w14:paraId="700FE551"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Heuvey, V., &amp; Ahure, D. (2024). Development of cocoyam, red kidney bean, and mango-based complementary foods: Impact of fermentation and malting on and sensory characteristics. </w:t>
      </w:r>
      <w:r w:rsidRPr="00093EDF">
        <w:rPr>
          <w:rFonts w:ascii="Arial" w:eastAsia="Calibri" w:hAnsi="Arial" w:cs="Times New Roman"/>
          <w:i/>
          <w:iCs/>
          <w:kern w:val="2"/>
          <w:sz w:val="20"/>
          <w14:ligatures w14:val="standardContextual"/>
        </w:rPr>
        <w:t>Asian Journal of Food Research and Nutrition, 3</w:t>
      </w:r>
      <w:r w:rsidRPr="00093EDF">
        <w:rPr>
          <w:rFonts w:ascii="Arial" w:eastAsia="Calibri" w:hAnsi="Arial" w:cs="Times New Roman"/>
          <w:kern w:val="2"/>
          <w:sz w:val="20"/>
          <w14:ligatures w14:val="standardContextual"/>
        </w:rPr>
        <w:t>(3), 485–498.</w:t>
      </w:r>
    </w:p>
    <w:p w14:paraId="2CDD4A11"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Heuvey, V., Amove, J., &amp; Yusufu, M. I. (2023). Characteristics of whole wheat, red kidney bean and defatted coconut flour blends and its application in bread production. </w:t>
      </w:r>
      <w:r w:rsidRPr="00093EDF">
        <w:rPr>
          <w:rFonts w:ascii="Arial" w:eastAsia="Calibri" w:hAnsi="Arial" w:cs="Times New Roman"/>
          <w:i/>
          <w:iCs/>
          <w:kern w:val="2"/>
          <w:sz w:val="20"/>
          <w14:ligatures w14:val="standardContextual"/>
        </w:rPr>
        <w:t>Asian Food Science Journal, 22</w:t>
      </w:r>
      <w:r w:rsidRPr="00093EDF">
        <w:rPr>
          <w:rFonts w:ascii="Arial" w:eastAsia="Calibri" w:hAnsi="Arial" w:cs="Times New Roman"/>
          <w:kern w:val="2"/>
          <w:sz w:val="20"/>
          <w14:ligatures w14:val="standardContextual"/>
        </w:rPr>
        <w:t xml:space="preserve">(9), 23–39. </w:t>
      </w:r>
      <w:hyperlink r:id="rId24" w:tgtFrame="_new" w:history="1">
        <w:r w:rsidRPr="00093EDF">
          <w:rPr>
            <w:rFonts w:ascii="Arial" w:eastAsia="Calibri" w:hAnsi="Arial" w:cs="Times New Roman"/>
            <w:color w:val="0563C1"/>
            <w:kern w:val="2"/>
            <w:sz w:val="20"/>
            <w:u w:val="single"/>
            <w14:ligatures w14:val="standardContextual"/>
          </w:rPr>
          <w:t>https://doi.org/10.9734/AFSJ/2023/v22i9655</w:t>
        </w:r>
      </w:hyperlink>
    </w:p>
    <w:p w14:paraId="406F288C" w14:textId="77777777" w:rsidR="00093EDF" w:rsidRPr="00093EDF" w:rsidRDefault="00093EDF" w:rsidP="00093EDF">
      <w:pPr>
        <w:spacing w:after="0" w:line="240" w:lineRule="auto"/>
        <w:rPr>
          <w:rFonts w:ascii="Arial" w:eastAsia="Calibri" w:hAnsi="Arial" w:cs="Times New Roman"/>
          <w:kern w:val="2"/>
          <w:sz w:val="20"/>
          <w:lang w:val="pt-BR"/>
          <w14:ligatures w14:val="standardContextual"/>
        </w:rPr>
      </w:pPr>
      <w:r w:rsidRPr="00093EDF">
        <w:rPr>
          <w:rFonts w:ascii="Arial" w:eastAsia="Calibri" w:hAnsi="Arial" w:cs="Times New Roman"/>
          <w:kern w:val="2"/>
          <w:sz w:val="20"/>
          <w14:ligatures w14:val="standardContextual"/>
        </w:rPr>
        <w:t>Ikechukwu, J. (2023). Chemical composition, functional and pasting properties of sprouted maize (</w:t>
      </w:r>
      <w:r w:rsidRPr="00093EDF">
        <w:rPr>
          <w:rFonts w:ascii="Arial" w:eastAsia="Calibri" w:hAnsi="Arial" w:cs="Times New Roman"/>
          <w:i/>
          <w:iCs/>
          <w:kern w:val="2"/>
          <w:sz w:val="20"/>
          <w14:ligatures w14:val="standardContextual"/>
        </w:rPr>
        <w:t>Zea mays</w:t>
      </w:r>
      <w:r w:rsidRPr="00093EDF">
        <w:rPr>
          <w:rFonts w:ascii="Arial" w:eastAsia="Calibri" w:hAnsi="Arial" w:cs="Times New Roman"/>
          <w:kern w:val="2"/>
          <w:sz w:val="20"/>
          <w14:ligatures w14:val="standardContextual"/>
        </w:rPr>
        <w:t>)–</w:t>
      </w:r>
      <w:r w:rsidRPr="00093EDF">
        <w:rPr>
          <w:rFonts w:ascii="Arial" w:eastAsia="Calibri" w:hAnsi="Arial" w:cs="Times New Roman"/>
          <w:i/>
          <w:iCs/>
          <w:kern w:val="2"/>
          <w:sz w:val="20"/>
          <w14:ligatures w14:val="standardContextual"/>
        </w:rPr>
        <w:t>Hildegardia barteri</w:t>
      </w:r>
      <w:r w:rsidRPr="00093EDF">
        <w:rPr>
          <w:rFonts w:ascii="Arial" w:eastAsia="Calibri" w:hAnsi="Arial" w:cs="Times New Roman"/>
          <w:kern w:val="2"/>
          <w:sz w:val="20"/>
          <w14:ligatures w14:val="standardContextual"/>
        </w:rPr>
        <w:t xml:space="preserve"> (Kpaakpa)–blanched plantain (</w:t>
      </w:r>
      <w:r w:rsidRPr="00093EDF">
        <w:rPr>
          <w:rFonts w:ascii="Arial" w:eastAsia="Calibri" w:hAnsi="Arial" w:cs="Times New Roman"/>
          <w:i/>
          <w:iCs/>
          <w:kern w:val="2"/>
          <w:sz w:val="20"/>
          <w14:ligatures w14:val="standardContextual"/>
        </w:rPr>
        <w:t>Musa paradisiaca</w:t>
      </w:r>
      <w:r w:rsidRPr="00093EDF">
        <w:rPr>
          <w:rFonts w:ascii="Arial" w:eastAsia="Calibri" w:hAnsi="Arial" w:cs="Times New Roman"/>
          <w:kern w:val="2"/>
          <w:sz w:val="20"/>
          <w14:ligatures w14:val="standardContextual"/>
        </w:rPr>
        <w:t xml:space="preserve">) composite flour. </w:t>
      </w:r>
      <w:r w:rsidRPr="00093EDF">
        <w:rPr>
          <w:rFonts w:ascii="Arial" w:eastAsia="Calibri" w:hAnsi="Arial" w:cs="Times New Roman"/>
          <w:i/>
          <w:iCs/>
          <w:kern w:val="2"/>
          <w:sz w:val="20"/>
          <w:lang w:val="pt-BR"/>
          <w14:ligatures w14:val="standardContextual"/>
        </w:rPr>
        <w:t>2</w:t>
      </w:r>
      <w:r w:rsidRPr="00093EDF">
        <w:rPr>
          <w:rFonts w:ascii="Arial" w:eastAsia="Calibri" w:hAnsi="Arial" w:cs="Times New Roman"/>
          <w:kern w:val="2"/>
          <w:sz w:val="20"/>
          <w:lang w:val="pt-BR"/>
          <w14:ligatures w14:val="standardContextual"/>
        </w:rPr>
        <w:t>(4), 340–350.</w:t>
      </w:r>
    </w:p>
    <w:p w14:paraId="03734972"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Jacinto, B.-P., Cecilia, G.-R. C., Ricardo, C.-J., &amp; Octavio, A. L. L. (2018). </w:t>
      </w:r>
      <w:r w:rsidRPr="00093EDF">
        <w:rPr>
          <w:rFonts w:ascii="Arial" w:eastAsia="Calibri" w:hAnsi="Arial" w:cs="Times New Roman"/>
          <w:kern w:val="2"/>
          <w:sz w:val="20"/>
          <w14:ligatures w14:val="standardContextual"/>
        </w:rPr>
        <w:t xml:space="preserve">The maize contribution in human health. In </w:t>
      </w:r>
      <w:r w:rsidRPr="00093EDF">
        <w:rPr>
          <w:rFonts w:ascii="Arial" w:eastAsia="Calibri" w:hAnsi="Arial" w:cs="Times New Roman"/>
          <w:i/>
          <w:iCs/>
          <w:kern w:val="2"/>
          <w:sz w:val="20"/>
          <w14:ligatures w14:val="standardContextual"/>
        </w:rPr>
        <w:t>Corn—Production and Human Health in Changing Climate</w:t>
      </w:r>
      <w:r w:rsidRPr="00093EDF">
        <w:rPr>
          <w:rFonts w:ascii="Arial" w:eastAsia="Calibri" w:hAnsi="Arial" w:cs="Times New Roman"/>
          <w:kern w:val="2"/>
          <w:sz w:val="20"/>
          <w14:ligatures w14:val="standardContextual"/>
        </w:rPr>
        <w:t xml:space="preserve">. </w:t>
      </w:r>
      <w:hyperlink r:id="rId25" w:tgtFrame="_new" w:history="1">
        <w:r w:rsidRPr="00093EDF">
          <w:rPr>
            <w:rFonts w:ascii="Arial" w:eastAsia="Calibri" w:hAnsi="Arial" w:cs="Times New Roman"/>
            <w:color w:val="0563C1"/>
            <w:kern w:val="2"/>
            <w:sz w:val="20"/>
            <w:u w:val="single"/>
            <w14:ligatures w14:val="standardContextual"/>
          </w:rPr>
          <w:t>https://doi.org/10.5772/intechopen.78700</w:t>
        </w:r>
      </w:hyperlink>
    </w:p>
    <w:p w14:paraId="78D551EF"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Kimothi, S., &amp; Dhaliwal, Y. S. (2020). Nutritional and health promoting attribute of kidney beans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L.): A review. </w:t>
      </w:r>
      <w:r w:rsidRPr="00093EDF">
        <w:rPr>
          <w:rFonts w:ascii="Arial" w:eastAsia="Calibri" w:hAnsi="Arial" w:cs="Times New Roman"/>
          <w:i/>
          <w:iCs/>
          <w:kern w:val="2"/>
          <w:sz w:val="20"/>
          <w14:ligatures w14:val="standardContextual"/>
        </w:rPr>
        <w:t>International Journal of Current Microbiology and Applied Sciences, 9</w:t>
      </w:r>
      <w:r w:rsidRPr="00093EDF">
        <w:rPr>
          <w:rFonts w:ascii="Arial" w:eastAsia="Calibri" w:hAnsi="Arial" w:cs="Times New Roman"/>
          <w:kern w:val="2"/>
          <w:sz w:val="20"/>
          <w14:ligatures w14:val="standardContextual"/>
        </w:rPr>
        <w:t xml:space="preserve">(5), 1201–1209. </w:t>
      </w:r>
      <w:hyperlink r:id="rId26" w:tgtFrame="_new" w:history="1">
        <w:r w:rsidRPr="00093EDF">
          <w:rPr>
            <w:rFonts w:ascii="Arial" w:eastAsia="Calibri" w:hAnsi="Arial" w:cs="Times New Roman"/>
            <w:color w:val="0563C1"/>
            <w:kern w:val="2"/>
            <w:sz w:val="20"/>
            <w:u w:val="single"/>
            <w14:ligatures w14:val="standardContextual"/>
          </w:rPr>
          <w:t>https://www.academia.edu/download/76535391/S._20Kimothi_20and_20Y._20S._20Dhaliwal.pdf</w:t>
        </w:r>
      </w:hyperlink>
    </w:p>
    <w:p w14:paraId="2AB52E85"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Mostafa, A., Haleem, E. M. A., &amp; Gabal, S. (2017). </w:t>
      </w:r>
      <w:r w:rsidRPr="00093EDF">
        <w:rPr>
          <w:rFonts w:ascii="Arial" w:eastAsia="Calibri" w:hAnsi="Arial" w:cs="Times New Roman"/>
          <w:kern w:val="2"/>
          <w:sz w:val="20"/>
          <w14:ligatures w14:val="standardContextual"/>
        </w:rPr>
        <w:t xml:space="preserve">Formulation and evaluation of some novel breakfast blends made from cereals and legumes. </w:t>
      </w:r>
      <w:r w:rsidRPr="00093EDF">
        <w:rPr>
          <w:rFonts w:ascii="Arial" w:eastAsia="Calibri" w:hAnsi="Arial" w:cs="Times New Roman"/>
          <w:i/>
          <w:iCs/>
          <w:kern w:val="2"/>
          <w:sz w:val="20"/>
          <w14:ligatures w14:val="standardContextual"/>
        </w:rPr>
        <w:t>Alex Journal of Food Science and Technology, 14</w:t>
      </w:r>
      <w:r w:rsidRPr="00093EDF">
        <w:rPr>
          <w:rFonts w:ascii="Arial" w:eastAsia="Calibri" w:hAnsi="Arial" w:cs="Times New Roman"/>
          <w:kern w:val="2"/>
          <w:sz w:val="20"/>
          <w14:ligatures w14:val="standardContextual"/>
        </w:rPr>
        <w:t xml:space="preserve">(2), 25–34. </w:t>
      </w:r>
      <w:hyperlink r:id="rId27" w:tgtFrame="_new" w:history="1">
        <w:r w:rsidRPr="00093EDF">
          <w:rPr>
            <w:rFonts w:ascii="Arial" w:eastAsia="Calibri" w:hAnsi="Arial" w:cs="Times New Roman"/>
            <w:color w:val="0563C1"/>
            <w:kern w:val="2"/>
            <w:sz w:val="20"/>
            <w:u w:val="single"/>
            <w14:ligatures w14:val="standardContextual"/>
          </w:rPr>
          <w:t>https://ajfs.journals.ekb.eg/article_16283.html</w:t>
        </w:r>
      </w:hyperlink>
    </w:p>
    <w:p w14:paraId="03C65EFD"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Mucheru-Muna, M., Pypers, P., Mugendi, D., Kung, J., Mugwe, J., Merckx, R., &amp; Vanlauwe, B. (2010). A staggered maize–legume intercrop arrangement robustly increases crop yields and economic returns in the highlands of Central Kenya. </w:t>
      </w:r>
      <w:r w:rsidRPr="00093EDF">
        <w:rPr>
          <w:rFonts w:ascii="Arial" w:eastAsia="Calibri" w:hAnsi="Arial" w:cs="Times New Roman"/>
          <w:i/>
          <w:iCs/>
          <w:kern w:val="2"/>
          <w:sz w:val="20"/>
          <w14:ligatures w14:val="standardContextual"/>
        </w:rPr>
        <w:t>Field Crops Research, 115</w:t>
      </w:r>
      <w:r w:rsidRPr="00093EDF">
        <w:rPr>
          <w:rFonts w:ascii="Arial" w:eastAsia="Calibri" w:hAnsi="Arial" w:cs="Times New Roman"/>
          <w:kern w:val="2"/>
          <w:sz w:val="20"/>
          <w14:ligatures w14:val="standardContextual"/>
        </w:rPr>
        <w:t xml:space="preserve">, 132–139. </w:t>
      </w:r>
      <w:hyperlink r:id="rId28" w:tgtFrame="_new" w:history="1">
        <w:r w:rsidRPr="00093EDF">
          <w:rPr>
            <w:rFonts w:ascii="Arial" w:eastAsia="Calibri" w:hAnsi="Arial" w:cs="Times New Roman"/>
            <w:color w:val="0563C1"/>
            <w:kern w:val="2"/>
            <w:sz w:val="20"/>
            <w:u w:val="single"/>
            <w14:ligatures w14:val="standardContextual"/>
          </w:rPr>
          <w:t>https://doi.org/10.1016/j.fcr.2009.10.013</w:t>
        </w:r>
      </w:hyperlink>
    </w:p>
    <w:p w14:paraId="6C36CC0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Nkhata, S. G., Ayua, E., &amp; Kamau, E. H. (2018). Fermentation and germination improve nutritional value of cereals and legumes through activation of endogenous enzymes. </w:t>
      </w:r>
      <w:r w:rsidRPr="00093EDF">
        <w:rPr>
          <w:rFonts w:ascii="Arial" w:eastAsia="Calibri" w:hAnsi="Arial" w:cs="Times New Roman"/>
          <w:i/>
          <w:iCs/>
          <w:kern w:val="2"/>
          <w:sz w:val="20"/>
          <w14:ligatures w14:val="standardContextual"/>
        </w:rPr>
        <w:t>Food Science &amp; Nutrition, 6</w:t>
      </w:r>
      <w:r w:rsidRPr="00093EDF">
        <w:rPr>
          <w:rFonts w:ascii="Arial" w:eastAsia="Calibri" w:hAnsi="Arial" w:cs="Times New Roman"/>
          <w:kern w:val="2"/>
          <w:sz w:val="20"/>
          <w14:ligatures w14:val="standardContextual"/>
        </w:rPr>
        <w:t xml:space="preserve">(7), 2446–2458. </w:t>
      </w:r>
      <w:hyperlink r:id="rId29" w:tgtFrame="_new" w:history="1">
        <w:r w:rsidRPr="00093EDF">
          <w:rPr>
            <w:rFonts w:ascii="Arial" w:eastAsia="Calibri" w:hAnsi="Arial" w:cs="Times New Roman"/>
            <w:color w:val="0563C1"/>
            <w:kern w:val="2"/>
            <w:sz w:val="20"/>
            <w:u w:val="single"/>
            <w14:ligatures w14:val="standardContextual"/>
          </w:rPr>
          <w:t>https://doi.org/10.1002/fsn3.846</w:t>
        </w:r>
      </w:hyperlink>
    </w:p>
    <w:p w14:paraId="0D3D0FC5"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Ocheme, O. B., Adedeji, O. E., Enyinnaya, C., Caleb, C., Yakubu, M., &amp; Happiness, U. (2018). Proximate composition, functional, and pasting properties of wheat and groundnut protein concentrate flour blends. </w:t>
      </w:r>
      <w:r w:rsidRPr="00093EDF">
        <w:rPr>
          <w:rFonts w:ascii="Arial" w:eastAsia="Calibri" w:hAnsi="Arial" w:cs="Times New Roman"/>
          <w:i/>
          <w:iCs/>
          <w:kern w:val="2"/>
          <w:sz w:val="20"/>
          <w14:ligatures w14:val="standardContextual"/>
        </w:rPr>
        <w:t>Food Science &amp; Nutrition, 6</w:t>
      </w:r>
      <w:r w:rsidRPr="00093EDF">
        <w:rPr>
          <w:rFonts w:ascii="Arial" w:eastAsia="Calibri" w:hAnsi="Arial" w:cs="Times New Roman"/>
          <w:kern w:val="2"/>
          <w:sz w:val="20"/>
          <w14:ligatures w14:val="standardContextual"/>
        </w:rPr>
        <w:t xml:space="preserve">(1), 1173–1178. </w:t>
      </w:r>
      <w:hyperlink r:id="rId30" w:tgtFrame="_new" w:history="1">
        <w:r w:rsidRPr="00093EDF">
          <w:rPr>
            <w:rFonts w:ascii="Arial" w:eastAsia="Calibri" w:hAnsi="Arial" w:cs="Times New Roman"/>
            <w:color w:val="0563C1"/>
            <w:kern w:val="2"/>
            <w:sz w:val="20"/>
            <w:u w:val="single"/>
            <w14:ligatures w14:val="standardContextual"/>
          </w:rPr>
          <w:t>https://doi.org/10.1002/fsn3.670</w:t>
        </w:r>
      </w:hyperlink>
    </w:p>
    <w:p w14:paraId="7A929E1A"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Oghbaei, M., &amp; Prakash, J. (2016). Effect of primary processing of cereals and legumes on its nutritional quality: A comprehensive review. </w:t>
      </w:r>
      <w:r w:rsidRPr="00093EDF">
        <w:rPr>
          <w:rFonts w:ascii="Arial" w:eastAsia="Calibri" w:hAnsi="Arial" w:cs="Times New Roman"/>
          <w:i/>
          <w:iCs/>
          <w:kern w:val="2"/>
          <w:sz w:val="20"/>
          <w14:ligatures w14:val="standardContextual"/>
        </w:rPr>
        <w:t>Cogent Food &amp; Agriculture, 2</w:t>
      </w:r>
      <w:r w:rsidRPr="00093EDF">
        <w:rPr>
          <w:rFonts w:ascii="Arial" w:eastAsia="Calibri" w:hAnsi="Arial" w:cs="Times New Roman"/>
          <w:kern w:val="2"/>
          <w:sz w:val="20"/>
          <w14:ligatures w14:val="standardContextual"/>
        </w:rPr>
        <w:t xml:space="preserve">(1), 1136015. </w:t>
      </w:r>
      <w:hyperlink r:id="rId31" w:tgtFrame="_new" w:history="1">
        <w:r w:rsidRPr="00093EDF">
          <w:rPr>
            <w:rFonts w:ascii="Arial" w:eastAsia="Calibri" w:hAnsi="Arial" w:cs="Times New Roman"/>
            <w:color w:val="0563C1"/>
            <w:kern w:val="2"/>
            <w:sz w:val="20"/>
            <w:u w:val="single"/>
            <w14:ligatures w14:val="standardContextual"/>
          </w:rPr>
          <w:t>https://doi.org/10.1080/23311932.2015.1136015</w:t>
        </w:r>
      </w:hyperlink>
    </w:p>
    <w:p w14:paraId="65C84BB8" w14:textId="77777777" w:rsidR="00093EDF" w:rsidRPr="00093EDF" w:rsidRDefault="00093EDF" w:rsidP="00093EDF">
      <w:pPr>
        <w:spacing w:after="0" w:line="240" w:lineRule="auto"/>
        <w:rPr>
          <w:rFonts w:ascii="Arial" w:eastAsia="Calibri" w:hAnsi="Arial" w:cs="Times New Roman"/>
          <w:kern w:val="2"/>
          <w:sz w:val="20"/>
          <w:lang w:val="nb-NO"/>
          <w14:ligatures w14:val="standardContextual"/>
        </w:rPr>
      </w:pPr>
      <w:r w:rsidRPr="00093EDF">
        <w:rPr>
          <w:rFonts w:ascii="Arial" w:eastAsia="Calibri" w:hAnsi="Arial" w:cs="Times New Roman"/>
          <w:kern w:val="2"/>
          <w:sz w:val="20"/>
          <w14:ligatures w14:val="standardContextual"/>
        </w:rPr>
        <w:t xml:space="preserve">Ojokoh, A. O., Alade, R. A., Ozabor, P. T., &amp; Fadahunsi, I. F. (2020). Effect of fermentation on sorghum and cowpea flour blends. </w:t>
      </w:r>
      <w:r w:rsidRPr="00093EDF">
        <w:rPr>
          <w:rFonts w:ascii="Arial" w:eastAsia="Calibri" w:hAnsi="Arial" w:cs="Times New Roman"/>
          <w:i/>
          <w:iCs/>
          <w:kern w:val="2"/>
          <w:sz w:val="20"/>
          <w14:ligatures w14:val="standardContextual"/>
        </w:rPr>
        <w:t>Journal of Agricultural Biotechnology and Sustainable Development, 12</w:t>
      </w:r>
      <w:r w:rsidRPr="00093EDF">
        <w:rPr>
          <w:rFonts w:ascii="Arial" w:eastAsia="Calibri" w:hAnsi="Arial" w:cs="Times New Roman"/>
          <w:kern w:val="2"/>
          <w:sz w:val="20"/>
          <w14:ligatures w14:val="standardContextual"/>
        </w:rPr>
        <w:t xml:space="preserve">(2), 39–49. </w:t>
      </w:r>
      <w:hyperlink r:id="rId32" w:tgtFrame="_new" w:history="1">
        <w:r w:rsidRPr="00093EDF">
          <w:rPr>
            <w:rFonts w:ascii="Arial" w:eastAsia="Calibri" w:hAnsi="Arial" w:cs="Times New Roman"/>
            <w:color w:val="0563C1"/>
            <w:kern w:val="2"/>
            <w:sz w:val="20"/>
            <w:u w:val="single"/>
            <w:lang w:val="nb-NO"/>
            <w14:ligatures w14:val="standardContextual"/>
          </w:rPr>
          <w:t>https://doi.org/10.5897/JABSD2019.0365</w:t>
        </w:r>
      </w:hyperlink>
    </w:p>
    <w:p w14:paraId="500DD0D9"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Okoye, J. I., Egbujie, A. E., &amp; Ene, G. I. (2021). </w:t>
      </w:r>
      <w:r w:rsidRPr="00093EDF">
        <w:rPr>
          <w:rFonts w:ascii="Arial" w:eastAsia="Calibri" w:hAnsi="Arial" w:cs="Times New Roman"/>
          <w:kern w:val="2"/>
          <w:sz w:val="20"/>
          <w14:ligatures w14:val="standardContextual"/>
        </w:rPr>
        <w:t xml:space="preserve">Evaluation of complementary foods produced from sorghum, soybean and Irish potato composite flours. </w:t>
      </w:r>
      <w:r w:rsidRPr="00093EDF">
        <w:rPr>
          <w:rFonts w:ascii="Arial" w:eastAsia="Calibri" w:hAnsi="Arial" w:cs="Times New Roman"/>
          <w:i/>
          <w:iCs/>
          <w:kern w:val="2"/>
          <w:sz w:val="20"/>
          <w14:ligatures w14:val="standardContextual"/>
        </w:rPr>
        <w:t>16</w:t>
      </w:r>
      <w:r w:rsidRPr="00093EDF">
        <w:rPr>
          <w:rFonts w:ascii="Arial" w:eastAsia="Calibri" w:hAnsi="Arial" w:cs="Times New Roman"/>
          <w:kern w:val="2"/>
          <w:sz w:val="20"/>
          <w14:ligatures w14:val="standardContextual"/>
        </w:rPr>
        <w:t xml:space="preserve">(3), 206–211. </w:t>
      </w:r>
      <w:hyperlink r:id="rId33" w:tgtFrame="_new" w:history="1">
        <w:r w:rsidRPr="00093EDF">
          <w:rPr>
            <w:rFonts w:ascii="Arial" w:eastAsia="Calibri" w:hAnsi="Arial" w:cs="Times New Roman"/>
            <w:color w:val="0563C1"/>
            <w:kern w:val="2"/>
            <w:sz w:val="20"/>
            <w:u w:val="single"/>
            <w14:ligatures w14:val="standardContextual"/>
          </w:rPr>
          <w:t>https://scienceworldjournal.org/article/view/22070</w:t>
        </w:r>
      </w:hyperlink>
    </w:p>
    <w:p w14:paraId="3D11EA1A"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Rani, R., Dharaiya, C. N., &amp; Singh, B. (2021). Importance of not skipping breakfast: A review. </w:t>
      </w:r>
      <w:r w:rsidRPr="00093EDF">
        <w:rPr>
          <w:rFonts w:ascii="Arial" w:eastAsia="Calibri" w:hAnsi="Arial" w:cs="Times New Roman"/>
          <w:i/>
          <w:iCs/>
          <w:kern w:val="2"/>
          <w:sz w:val="20"/>
          <w14:ligatures w14:val="standardContextual"/>
        </w:rPr>
        <w:t>International Journal of Food Science and Technology, 56</w:t>
      </w:r>
      <w:r w:rsidRPr="00093EDF">
        <w:rPr>
          <w:rFonts w:ascii="Arial" w:eastAsia="Calibri" w:hAnsi="Arial" w:cs="Times New Roman"/>
          <w:kern w:val="2"/>
          <w:sz w:val="20"/>
          <w14:ligatures w14:val="standardContextual"/>
        </w:rPr>
        <w:t xml:space="preserve">(2018), 28–38. </w:t>
      </w:r>
      <w:hyperlink r:id="rId34" w:tgtFrame="_new" w:history="1">
        <w:r w:rsidRPr="00093EDF">
          <w:rPr>
            <w:rFonts w:ascii="Arial" w:eastAsia="Calibri" w:hAnsi="Arial" w:cs="Times New Roman"/>
            <w:color w:val="0563C1"/>
            <w:kern w:val="2"/>
            <w:sz w:val="20"/>
            <w:u w:val="single"/>
            <w14:ligatures w14:val="standardContextual"/>
          </w:rPr>
          <w:t>https://doi.org/10.1111/ijfs.14742</w:t>
        </w:r>
      </w:hyperlink>
    </w:p>
    <w:p w14:paraId="1C369A27" w14:textId="77777777" w:rsidR="00A30099" w:rsidRDefault="00A30099" w:rsidP="00093EDF">
      <w:pPr>
        <w:spacing w:after="0" w:line="240" w:lineRule="auto"/>
        <w:rPr>
          <w:rFonts w:ascii="Arial" w:eastAsia="Calibri" w:hAnsi="Arial" w:cs="Times New Roman"/>
          <w:kern w:val="2"/>
          <w:sz w:val="20"/>
          <w14:ligatures w14:val="standardContextual"/>
        </w:rPr>
      </w:pPr>
    </w:p>
    <w:p w14:paraId="7028514A" w14:textId="2019E36D" w:rsidR="000A7DFB" w:rsidRDefault="000A7DFB" w:rsidP="00093EDF">
      <w:pPr>
        <w:spacing w:after="0" w:line="240" w:lineRule="auto"/>
        <w:rPr>
          <w:rFonts w:ascii="Arial" w:eastAsia="Calibri" w:hAnsi="Arial" w:cs="Times New Roman"/>
          <w:kern w:val="2"/>
          <w:sz w:val="20"/>
          <w:lang w:val="pt-BR"/>
          <w14:ligatures w14:val="standardContextual"/>
        </w:rPr>
      </w:pPr>
      <w:r w:rsidRPr="00A30099">
        <w:rPr>
          <w:rFonts w:ascii="Arial" w:eastAsia="Calibri" w:hAnsi="Arial" w:cs="Times New Roman"/>
          <w:kern w:val="2"/>
          <w:sz w:val="20"/>
          <w:lang w:val="pt-BR"/>
          <w14:ligatures w14:val="standardContextual"/>
        </w:rPr>
        <w:t>Hamzah, D. F., Handayani, F., &amp; Sirajuddin, I. N. F. (2025). PENGARUH EDUKASI KESEHATAN TERHADAP PENINGKATAN PENGETAHUAN TENTANG PENTINGNYA SARAPAN PADA SISWA SEKOLAH DASAR DI KECAMATAN MEDAN SUNGGAL KOTA MEDAN. Jurnal Kajian Kesehatan Masyarakat, 6(1), 22-29.</w:t>
      </w:r>
      <w:r>
        <w:rPr>
          <w:rFonts w:ascii="Arial" w:eastAsia="Calibri" w:hAnsi="Arial" w:cs="Times New Roman"/>
          <w:kern w:val="2"/>
          <w:sz w:val="20"/>
          <w:lang w:val="pt-BR"/>
          <w14:ligatures w14:val="standardContextual"/>
        </w:rPr>
        <w:t xml:space="preserve"> </w:t>
      </w:r>
    </w:p>
    <w:p w14:paraId="7B2E9311" w14:textId="77777777" w:rsidR="000A7DFB" w:rsidRPr="00093EDF" w:rsidRDefault="000A7DFB" w:rsidP="00093EDF">
      <w:pPr>
        <w:spacing w:after="0" w:line="240" w:lineRule="auto"/>
        <w:rPr>
          <w:rFonts w:ascii="Arial" w:eastAsia="Calibri" w:hAnsi="Arial" w:cs="Times New Roman"/>
          <w:kern w:val="2"/>
          <w:sz w:val="20"/>
          <w:lang w:val="pt-BR"/>
          <w14:ligatures w14:val="standardContextual"/>
        </w:rPr>
      </w:pPr>
    </w:p>
    <w:p w14:paraId="2DAAB297"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nb-NO"/>
          <w14:ligatures w14:val="standardContextual"/>
        </w:rPr>
        <w:t xml:space="preserve">Shimelis, E. A., &amp; Rakshit, S. K. (2007). </w:t>
      </w:r>
      <w:r w:rsidRPr="00093EDF">
        <w:rPr>
          <w:rFonts w:ascii="Arial" w:eastAsia="Calibri" w:hAnsi="Arial" w:cs="Times New Roman"/>
          <w:kern w:val="2"/>
          <w:sz w:val="20"/>
          <w14:ligatures w14:val="standardContextual"/>
        </w:rPr>
        <w:t>Effect of processing on antinutrients and in vitro digestibility of kidney bean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L.) varieties grown in East Africa. </w:t>
      </w:r>
      <w:r w:rsidRPr="00093EDF">
        <w:rPr>
          <w:rFonts w:ascii="Arial" w:eastAsia="Calibri" w:hAnsi="Arial" w:cs="Times New Roman"/>
          <w:i/>
          <w:iCs/>
          <w:kern w:val="2"/>
          <w:sz w:val="20"/>
          <w14:ligatures w14:val="standardContextual"/>
        </w:rPr>
        <w:t>Food Chemistry, 103</w:t>
      </w:r>
      <w:r w:rsidRPr="00093EDF">
        <w:rPr>
          <w:rFonts w:ascii="Arial" w:eastAsia="Calibri" w:hAnsi="Arial" w:cs="Times New Roman"/>
          <w:kern w:val="2"/>
          <w:sz w:val="20"/>
          <w14:ligatures w14:val="standardContextual"/>
        </w:rPr>
        <w:t xml:space="preserve">(1), 161–172. </w:t>
      </w:r>
      <w:hyperlink r:id="rId35" w:tgtFrame="_new" w:history="1">
        <w:r w:rsidRPr="00093EDF">
          <w:rPr>
            <w:rFonts w:ascii="Arial" w:eastAsia="Calibri" w:hAnsi="Arial" w:cs="Times New Roman"/>
            <w:color w:val="0563C1"/>
            <w:kern w:val="2"/>
            <w:sz w:val="20"/>
            <w:u w:val="single"/>
            <w14:ligatures w14:val="standardContextual"/>
          </w:rPr>
          <w:t>https://doi.org/10.1016/j.foodchem.2006.08.005</w:t>
        </w:r>
      </w:hyperlink>
    </w:p>
    <w:p w14:paraId="08922898"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Sibian, M. S., &amp; Riar, C. S. (2023). Effect of germination on chemical composition, anti-nutritional factors, functional properties and nutritional value of kidney bean (</w:t>
      </w:r>
      <w:r w:rsidRPr="00093EDF">
        <w:rPr>
          <w:rFonts w:ascii="Arial" w:eastAsia="Calibri" w:hAnsi="Arial" w:cs="Times New Roman"/>
          <w:i/>
          <w:iCs/>
          <w:kern w:val="2"/>
          <w:sz w:val="20"/>
          <w14:ligatures w14:val="standardContextual"/>
        </w:rPr>
        <w:t>Phaseolus vulgaris</w:t>
      </w:r>
      <w:r w:rsidRPr="00093EDF">
        <w:rPr>
          <w:rFonts w:ascii="Arial" w:eastAsia="Calibri" w:hAnsi="Arial" w:cs="Times New Roman"/>
          <w:kern w:val="2"/>
          <w:sz w:val="20"/>
          <w14:ligatures w14:val="standardContextual"/>
        </w:rPr>
        <w:t xml:space="preserve">). </w:t>
      </w:r>
      <w:r w:rsidRPr="00093EDF">
        <w:rPr>
          <w:rFonts w:ascii="Arial" w:eastAsia="Calibri" w:hAnsi="Arial" w:cs="Times New Roman"/>
          <w:i/>
          <w:iCs/>
          <w:kern w:val="2"/>
          <w:sz w:val="20"/>
          <w14:ligatures w14:val="standardContextual"/>
        </w:rPr>
        <w:t>Carpathian Journal of Food Science and Technology, 15</w:t>
      </w:r>
      <w:r w:rsidRPr="00093EDF">
        <w:rPr>
          <w:rFonts w:ascii="Arial" w:eastAsia="Calibri" w:hAnsi="Arial" w:cs="Times New Roman"/>
          <w:kern w:val="2"/>
          <w:sz w:val="20"/>
          <w14:ligatures w14:val="standardContextual"/>
        </w:rPr>
        <w:t xml:space="preserve">(1), 208–219. </w:t>
      </w:r>
      <w:hyperlink r:id="rId36" w:tgtFrame="_new" w:history="1">
        <w:r w:rsidRPr="00093EDF">
          <w:rPr>
            <w:rFonts w:ascii="Arial" w:eastAsia="Calibri" w:hAnsi="Arial" w:cs="Times New Roman"/>
            <w:color w:val="0563C1"/>
            <w:kern w:val="2"/>
            <w:sz w:val="20"/>
            <w:u w:val="single"/>
            <w14:ligatures w14:val="standardContextual"/>
          </w:rPr>
          <w:t>https://search.ebscohost.com/login.aspx?direct=true&amp;profile=ehost&amp;scope=site&amp;authtype=crawler&amp;jrnl=20666845&amp;AN=162986617&amp;h=MXx8%2B0MmhCW3%2F2gE%2FkYNfxv66wXKPJml%2FzvCWOAUZfx4aEhyZTidAvFadMgZRE419lQ9IThwJ%2Fe5uoHu4j90tQ%3D%3D&amp;crl=c</w:t>
        </w:r>
      </w:hyperlink>
    </w:p>
    <w:p w14:paraId="6A2C0B9C"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lastRenderedPageBreak/>
        <w:t>Sobowale, S. S. (2025). Effect of germination and subsequent fermentation period on the functional, color, and antinutrients of pigeon pea (</w:t>
      </w:r>
      <w:r w:rsidRPr="00093EDF">
        <w:rPr>
          <w:rFonts w:ascii="Arial" w:eastAsia="Calibri" w:hAnsi="Arial" w:cs="Times New Roman"/>
          <w:i/>
          <w:iCs/>
          <w:kern w:val="2"/>
          <w:sz w:val="20"/>
          <w14:ligatures w14:val="standardContextual"/>
        </w:rPr>
        <w:t>Cajanus cajan</w:t>
      </w:r>
      <w:r w:rsidRPr="00093EDF">
        <w:rPr>
          <w:rFonts w:ascii="Arial" w:eastAsia="Calibri" w:hAnsi="Arial" w:cs="Times New Roman"/>
          <w:kern w:val="2"/>
          <w:sz w:val="20"/>
          <w14:ligatures w14:val="standardContextual"/>
        </w:rPr>
        <w:t xml:space="preserve">) flour and its structural parts. </w:t>
      </w:r>
      <w:r w:rsidRPr="00093EDF">
        <w:rPr>
          <w:rFonts w:ascii="Arial" w:eastAsia="Calibri" w:hAnsi="Arial" w:cs="Times New Roman"/>
          <w:i/>
          <w:iCs/>
          <w:kern w:val="2"/>
          <w:sz w:val="20"/>
          <w14:ligatures w14:val="standardContextual"/>
        </w:rPr>
        <w:t>Food Science &amp; Nutrition, 2025, 13</w:t>
      </w:r>
      <w:r w:rsidRPr="00093EDF">
        <w:rPr>
          <w:rFonts w:ascii="Arial" w:eastAsia="Calibri" w:hAnsi="Arial" w:cs="Times New Roman"/>
          <w:kern w:val="2"/>
          <w:sz w:val="20"/>
          <w14:ligatures w14:val="standardContextual"/>
        </w:rPr>
        <w:t xml:space="preserve">, no. 8: e70750. </w:t>
      </w:r>
      <w:hyperlink r:id="rId37" w:tgtFrame="_new" w:history="1">
        <w:r w:rsidRPr="00093EDF">
          <w:rPr>
            <w:rFonts w:ascii="Arial" w:eastAsia="Calibri" w:hAnsi="Arial" w:cs="Times New Roman"/>
            <w:color w:val="0563C1"/>
            <w:kern w:val="2"/>
            <w:sz w:val="20"/>
            <w:u w:val="single"/>
            <w14:ligatures w14:val="standardContextual"/>
          </w:rPr>
          <w:t>https://doi.org/10.1002/fsn3.70750</w:t>
        </w:r>
      </w:hyperlink>
    </w:p>
    <w:p w14:paraId="36C648F2" w14:textId="77777777" w:rsidR="00093EDF" w:rsidRPr="00093EDF" w:rsidRDefault="00093EDF" w:rsidP="00093EDF">
      <w:pPr>
        <w:spacing w:after="0" w:line="240" w:lineRule="auto"/>
        <w:rPr>
          <w:rFonts w:ascii="Arial" w:eastAsia="Calibri" w:hAnsi="Arial" w:cs="Times New Roman"/>
          <w:kern w:val="2"/>
          <w:sz w:val="20"/>
          <w:lang w:val="pt-BR"/>
          <w14:ligatures w14:val="standardContextual"/>
        </w:rPr>
      </w:pPr>
      <w:r w:rsidRPr="00093EDF">
        <w:rPr>
          <w:rFonts w:ascii="Arial" w:eastAsia="Calibri" w:hAnsi="Arial" w:cs="Times New Roman"/>
          <w:kern w:val="2"/>
          <w:sz w:val="20"/>
          <w14:ligatures w14:val="standardContextual"/>
        </w:rPr>
        <w:t xml:space="preserve">Srenuja, D., Hema, V., Anand, M. T., &amp; Mohan, R. J. (2023). Kidney bean: Protein’s treasure trove and creates avenues for a healthy lifestyle. </w:t>
      </w:r>
      <w:r w:rsidRPr="00093EDF">
        <w:rPr>
          <w:rFonts w:ascii="Arial" w:eastAsia="Calibri" w:hAnsi="Arial" w:cs="Times New Roman"/>
          <w:kern w:val="2"/>
          <w:sz w:val="20"/>
          <w:lang w:val="pt-BR"/>
          <w14:ligatures w14:val="standardContextual"/>
        </w:rPr>
        <w:t xml:space="preserve">1–19. </w:t>
      </w:r>
      <w:hyperlink r:id="rId38" w:tgtFrame="_new" w:history="1">
        <w:r w:rsidRPr="00093EDF">
          <w:rPr>
            <w:rFonts w:ascii="Arial" w:eastAsia="Calibri" w:hAnsi="Arial" w:cs="Times New Roman"/>
            <w:color w:val="0563C1"/>
            <w:kern w:val="2"/>
            <w:sz w:val="20"/>
            <w:u w:val="single"/>
            <w:lang w:val="pt-BR"/>
            <w14:ligatures w14:val="standardContextual"/>
          </w:rPr>
          <w:t>https://doi.org/10.1002/leg3.193</w:t>
        </w:r>
      </w:hyperlink>
    </w:p>
    <w:p w14:paraId="6FE94D9E"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Tesfay Araro, Feyera Gemechu, Aselefech Wotango, &amp; T. E. (2020). </w:t>
      </w:r>
      <w:r w:rsidRPr="00093EDF">
        <w:rPr>
          <w:rFonts w:ascii="Arial" w:eastAsia="Calibri" w:hAnsi="Arial" w:cs="Times New Roman"/>
          <w:kern w:val="2"/>
          <w:sz w:val="20"/>
          <w14:ligatures w14:val="standardContextual"/>
        </w:rPr>
        <w:t xml:space="preserve">Chemical formulation and characterization of complementary foods from blend of orange-fleshed sweet potato, brown teff, and dark red kidney beans. </w:t>
      </w:r>
      <w:r w:rsidRPr="00093EDF">
        <w:rPr>
          <w:rFonts w:ascii="Arial" w:eastAsia="Calibri" w:hAnsi="Arial" w:cs="Times New Roman"/>
          <w:i/>
          <w:iCs/>
          <w:kern w:val="2"/>
          <w:sz w:val="20"/>
          <w14:ligatures w14:val="standardContextual"/>
        </w:rPr>
        <w:t>International Journal of Food Science, 2020</w:t>
      </w:r>
      <w:r w:rsidRPr="00093EDF">
        <w:rPr>
          <w:rFonts w:ascii="Arial" w:eastAsia="Calibri" w:hAnsi="Arial" w:cs="Times New Roman"/>
          <w:kern w:val="2"/>
          <w:sz w:val="20"/>
          <w14:ligatures w14:val="standardContextual"/>
        </w:rPr>
        <w:t xml:space="preserve">(1). </w:t>
      </w:r>
      <w:hyperlink r:id="rId39" w:tgtFrame="_new" w:history="1">
        <w:r w:rsidRPr="00093EDF">
          <w:rPr>
            <w:rFonts w:ascii="Arial" w:eastAsia="Calibri" w:hAnsi="Arial" w:cs="Times New Roman"/>
            <w:color w:val="0563C1"/>
            <w:kern w:val="2"/>
            <w:sz w:val="20"/>
            <w:u w:val="single"/>
            <w14:ligatures w14:val="standardContextual"/>
          </w:rPr>
          <w:t>https://onlinelibrary.wiley.com/doi/abs/10.1155/2020/4803839</w:t>
        </w:r>
      </w:hyperlink>
    </w:p>
    <w:p w14:paraId="6453A134"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lang w:val="pt-BR"/>
          <w14:ligatures w14:val="standardContextual"/>
        </w:rPr>
        <w:t xml:space="preserve">Ukeyima, M. T., Dendegh, T. A., &amp; Isusu, S. E. (2019). </w:t>
      </w:r>
      <w:r w:rsidRPr="00093EDF">
        <w:rPr>
          <w:rFonts w:ascii="Arial" w:eastAsia="Calibri" w:hAnsi="Arial" w:cs="Times New Roman"/>
          <w:kern w:val="2"/>
          <w:sz w:val="20"/>
          <w14:ligatures w14:val="standardContextual"/>
        </w:rPr>
        <w:t xml:space="preserve">Quality characteristics of bread produced from wheat and white kidney bean composite flour. </w:t>
      </w:r>
      <w:r w:rsidRPr="00093EDF">
        <w:rPr>
          <w:rFonts w:ascii="Arial" w:eastAsia="Calibri" w:hAnsi="Arial" w:cs="Times New Roman"/>
          <w:i/>
          <w:iCs/>
          <w:kern w:val="2"/>
          <w:sz w:val="20"/>
          <w14:ligatures w14:val="standardContextual"/>
        </w:rPr>
        <w:t>European Journal of Nutrition &amp; Food Safety, 10</w:t>
      </w:r>
      <w:r w:rsidRPr="00093EDF">
        <w:rPr>
          <w:rFonts w:ascii="Arial" w:eastAsia="Calibri" w:hAnsi="Arial" w:cs="Times New Roman"/>
          <w:kern w:val="2"/>
          <w:sz w:val="20"/>
          <w14:ligatures w14:val="standardContextual"/>
        </w:rPr>
        <w:t xml:space="preserve">(4), 263–272. </w:t>
      </w:r>
      <w:hyperlink r:id="rId40" w:tgtFrame="_new" w:history="1">
        <w:r w:rsidRPr="00093EDF">
          <w:rPr>
            <w:rFonts w:ascii="Arial" w:eastAsia="Calibri" w:hAnsi="Arial" w:cs="Times New Roman"/>
            <w:color w:val="0563C1"/>
            <w:kern w:val="2"/>
            <w:sz w:val="20"/>
            <w:u w:val="single"/>
            <w14:ligatures w14:val="standardContextual"/>
          </w:rPr>
          <w:t>https://doi.org/10.9734/EJNFS/2019/v10i430120</w:t>
        </w:r>
      </w:hyperlink>
    </w:p>
    <w:p w14:paraId="775C3D00" w14:textId="77777777" w:rsidR="00093EDF" w:rsidRPr="00093EDF" w:rsidRDefault="00093EDF" w:rsidP="00093EDF">
      <w:pPr>
        <w:spacing w:after="0" w:line="240" w:lineRule="auto"/>
        <w:rPr>
          <w:rFonts w:ascii="Arial" w:eastAsia="Calibri" w:hAnsi="Arial" w:cs="Times New Roman"/>
          <w:kern w:val="2"/>
          <w:sz w:val="20"/>
          <w14:ligatures w14:val="standardContextual"/>
        </w:rPr>
      </w:pPr>
      <w:r w:rsidRPr="00093EDF">
        <w:rPr>
          <w:rFonts w:ascii="Arial" w:eastAsia="Calibri" w:hAnsi="Arial" w:cs="Times New Roman"/>
          <w:kern w:val="2"/>
          <w:sz w:val="20"/>
          <w14:ligatures w14:val="standardContextual"/>
        </w:rPr>
        <w:t xml:space="preserve">Xinrui Wangi, Fan, Yang Li, Chengxin Fei, Yangyang Xiong, Lin Li, Yanfang Liu, Litao Tong, &amp; Y. H. (2024). Effect of germination on the digestion of legume proteins. </w:t>
      </w:r>
      <w:r w:rsidRPr="00093EDF">
        <w:rPr>
          <w:rFonts w:ascii="Arial" w:eastAsia="Calibri" w:hAnsi="Arial" w:cs="Times New Roman"/>
          <w:i/>
          <w:iCs/>
          <w:kern w:val="2"/>
          <w:sz w:val="20"/>
          <w14:ligatures w14:val="standardContextual"/>
        </w:rPr>
        <w:t>Foods, 13</w:t>
      </w:r>
      <w:r w:rsidRPr="00093EDF">
        <w:rPr>
          <w:rFonts w:ascii="Arial" w:eastAsia="Calibri" w:hAnsi="Arial" w:cs="Times New Roman"/>
          <w:kern w:val="2"/>
          <w:sz w:val="20"/>
          <w14:ligatures w14:val="standardContextual"/>
        </w:rPr>
        <w:t xml:space="preserve">(17), 2655. </w:t>
      </w:r>
      <w:hyperlink r:id="rId41" w:tgtFrame="_new" w:history="1">
        <w:r w:rsidRPr="00093EDF">
          <w:rPr>
            <w:rFonts w:ascii="Arial" w:eastAsia="Calibri" w:hAnsi="Arial" w:cs="Times New Roman"/>
            <w:color w:val="0563C1"/>
            <w:kern w:val="2"/>
            <w:sz w:val="20"/>
            <w:u w:val="single"/>
            <w14:ligatures w14:val="standardContextual"/>
          </w:rPr>
          <w:t>https://www.mdpi.com/2304-8158/13/17/2655</w:t>
        </w:r>
      </w:hyperlink>
    </w:p>
    <w:p w14:paraId="255BF350"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712939C5"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16BC811D"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3BE60E08"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453C9F7"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6F0A40DE"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6EAED30" w14:textId="77777777" w:rsidR="00557096" w:rsidRPr="00560D34" w:rsidRDefault="00557096" w:rsidP="005545C4">
      <w:pPr>
        <w:spacing w:after="0" w:line="240" w:lineRule="auto"/>
        <w:ind w:left="540" w:hanging="540"/>
        <w:jc w:val="both"/>
        <w:rPr>
          <w:rFonts w:ascii="Times New Roman" w:eastAsia="Times New Roman" w:hAnsi="Times New Roman" w:cs="Times New Roman"/>
          <w:sz w:val="20"/>
          <w:szCs w:val="20"/>
        </w:rPr>
      </w:pPr>
    </w:p>
    <w:p w14:paraId="60086315"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00CB4EA3" w14:textId="77777777" w:rsidR="0085334C" w:rsidRPr="00DD7A30" w:rsidRDefault="0085334C">
      <w:pPr>
        <w:rPr>
          <w:rFonts w:ascii="Times New Roman" w:hAnsi="Times New Roman" w:cs="Times New Roman"/>
        </w:rPr>
      </w:pPr>
    </w:p>
    <w:sectPr w:rsidR="0085334C" w:rsidRPr="00DD7A30" w:rsidSect="00A60598">
      <w:headerReference w:type="default" r:id="rId42"/>
      <w:footerReference w:type="default" r:id="rId43"/>
      <w:footerReference w:type="first" r:id="rId44"/>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82F81" w14:textId="77777777" w:rsidR="00EB36CB" w:rsidRDefault="00EB36CB" w:rsidP="004336DD">
      <w:pPr>
        <w:spacing w:after="0" w:line="240" w:lineRule="auto"/>
      </w:pPr>
      <w:r>
        <w:separator/>
      </w:r>
    </w:p>
  </w:endnote>
  <w:endnote w:type="continuationSeparator" w:id="0">
    <w:p w14:paraId="54177BB8" w14:textId="77777777" w:rsidR="00EB36CB" w:rsidRDefault="00EB36CB"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568D" w14:textId="77777777" w:rsidR="0077328A" w:rsidRPr="00DD7A30" w:rsidRDefault="0077328A">
    <w:pPr>
      <w:pStyle w:val="Footer"/>
      <w:jc w:val="center"/>
      <w:rPr>
        <w:rFonts w:ascii="Times New Roman" w:hAnsi="Times New Roman" w:cs="Times New Roman"/>
        <w:sz w:val="28"/>
      </w:rPr>
    </w:pPr>
  </w:p>
  <w:p w14:paraId="1D5E32C5" w14:textId="3019741B" w:rsidR="0077328A" w:rsidRPr="00DD7A30" w:rsidRDefault="00000000">
    <w:pPr>
      <w:pStyle w:val="Footer"/>
      <w:jc w:val="center"/>
      <w:rPr>
        <w:rFonts w:ascii="Times New Roman" w:hAnsi="Times New Roman" w:cs="Times New Roman"/>
        <w:sz w:val="20"/>
      </w:rPr>
    </w:pPr>
    <w:sdt>
      <w:sdtPr>
        <w:rPr>
          <w:rFonts w:ascii="Times New Roman" w:hAnsi="Times New Roman" w:cs="Times New Roman"/>
          <w:sz w:val="20"/>
        </w:rPr>
        <w:id w:val="2976702"/>
        <w:docPartObj>
          <w:docPartGallery w:val="Page Numbers (Bottom of Page)"/>
          <w:docPartUnique/>
        </w:docPartObj>
      </w:sdtPr>
      <w:sdtContent>
        <w:r w:rsidR="0077328A" w:rsidRPr="00DD7A30">
          <w:rPr>
            <w:rFonts w:ascii="Times New Roman" w:hAnsi="Times New Roman" w:cs="Times New Roman"/>
            <w:sz w:val="20"/>
          </w:rPr>
          <w:fldChar w:fldCharType="begin"/>
        </w:r>
        <w:r w:rsidR="0077328A" w:rsidRPr="00DD7A30">
          <w:rPr>
            <w:rFonts w:ascii="Times New Roman" w:hAnsi="Times New Roman" w:cs="Times New Roman"/>
            <w:sz w:val="20"/>
          </w:rPr>
          <w:instrText xml:space="preserve"> PAGE   \* MERGEFORMAT </w:instrText>
        </w:r>
        <w:r w:rsidR="0077328A" w:rsidRPr="00DD7A30">
          <w:rPr>
            <w:rFonts w:ascii="Times New Roman" w:hAnsi="Times New Roman" w:cs="Times New Roman"/>
            <w:sz w:val="20"/>
          </w:rPr>
          <w:fldChar w:fldCharType="separate"/>
        </w:r>
        <w:r w:rsidR="003C6BF8">
          <w:rPr>
            <w:rFonts w:ascii="Times New Roman" w:hAnsi="Times New Roman" w:cs="Times New Roman"/>
            <w:noProof/>
            <w:sz w:val="20"/>
          </w:rPr>
          <w:t>12</w:t>
        </w:r>
        <w:r w:rsidR="0077328A" w:rsidRPr="00DD7A30">
          <w:rPr>
            <w:rFonts w:ascii="Times New Roman" w:hAnsi="Times New Roman" w:cs="Times New Roman"/>
            <w:sz w:val="20"/>
          </w:rPr>
          <w:fldChar w:fldCharType="end"/>
        </w:r>
      </w:sdtContent>
    </w:sdt>
  </w:p>
  <w:p w14:paraId="41CE7759" w14:textId="77777777" w:rsidR="0077328A" w:rsidRPr="00DD7A30" w:rsidRDefault="0077328A">
    <w:pPr>
      <w:pStyle w:val="Footer"/>
      <w:jc w:val="center"/>
      <w:rPr>
        <w:rFonts w:ascii="Times New Roman" w:hAnsi="Times New Roman" w:cs="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87E2" w14:textId="508DE09C" w:rsidR="0077328A" w:rsidRPr="00DD7A30" w:rsidRDefault="0077328A" w:rsidP="00B552F7">
    <w:pPr>
      <w:tabs>
        <w:tab w:val="center" w:pos="4320"/>
        <w:tab w:val="right" w:pos="8640"/>
      </w:tabs>
      <w:spacing w:after="0" w:line="240" w:lineRule="auto"/>
      <w:rPr>
        <w:rFonts w:ascii="Times New Roman" w:eastAsia="Times New Roman" w:hAnsi="Times New Roman" w:cs="Times New Roman"/>
        <w:sz w:val="16"/>
        <w:szCs w:val="20"/>
      </w:rPr>
    </w:pPr>
    <w:r w:rsidRPr="00DD7A30">
      <w:rPr>
        <w:rFonts w:ascii="Times New Roman" w:eastAsia="Times New Roman" w:hAnsi="Times New Roman" w:cs="Times New Roman"/>
        <w:sz w:val="16"/>
        <w:szCs w:val="20"/>
      </w:rPr>
      <w:t>_____________________________________________________________________________________________________</w:t>
    </w:r>
    <w:r>
      <w:rPr>
        <w:rFonts w:ascii="Times New Roman" w:eastAsia="Times New Roman" w:hAnsi="Times New Roman" w:cs="Times New Roman"/>
        <w:sz w:val="16"/>
        <w:szCs w:val="20"/>
      </w:rPr>
      <w:t>___________</w:t>
    </w:r>
  </w:p>
  <w:p w14:paraId="006FA9C5" w14:textId="77777777" w:rsidR="0077328A" w:rsidRPr="00DD7A30" w:rsidRDefault="0077328A" w:rsidP="00B552F7">
    <w:pPr>
      <w:tabs>
        <w:tab w:val="center" w:pos="4320"/>
        <w:tab w:val="right" w:pos="8640"/>
      </w:tabs>
      <w:spacing w:after="0" w:line="240" w:lineRule="auto"/>
      <w:rPr>
        <w:rFonts w:ascii="Times New Roman" w:eastAsia="Times New Roman" w:hAnsi="Times New Roman" w:cs="Times New Roman"/>
        <w:i/>
        <w:sz w:val="16"/>
        <w:szCs w:val="20"/>
      </w:rPr>
    </w:pPr>
  </w:p>
  <w:p w14:paraId="27DD8420"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78228E85"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16B6CD5E"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303E8CAF"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p w14:paraId="6AA7E2D3"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EC2A" w14:textId="77777777" w:rsidR="00EB36CB" w:rsidRDefault="00EB36CB" w:rsidP="004336DD">
      <w:pPr>
        <w:spacing w:after="0" w:line="240" w:lineRule="auto"/>
      </w:pPr>
      <w:r>
        <w:separator/>
      </w:r>
    </w:p>
  </w:footnote>
  <w:footnote w:type="continuationSeparator" w:id="0">
    <w:p w14:paraId="47D8F27B" w14:textId="77777777" w:rsidR="00EB36CB" w:rsidRDefault="00EB36CB"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0A90" w14:textId="77777777" w:rsidR="0077328A" w:rsidRPr="00DD7A30" w:rsidRDefault="0077328A" w:rsidP="006C56FD">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0060505">
    <w:abstractNumId w:val="2"/>
  </w:num>
  <w:num w:numId="2" w16cid:durableId="748961966">
    <w:abstractNumId w:val="0"/>
  </w:num>
  <w:num w:numId="3" w16cid:durableId="623266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AF"/>
    <w:rsid w:val="00000C22"/>
    <w:rsid w:val="00000C57"/>
    <w:rsid w:val="00021DF1"/>
    <w:rsid w:val="0005231F"/>
    <w:rsid w:val="00074755"/>
    <w:rsid w:val="00075E96"/>
    <w:rsid w:val="00085A18"/>
    <w:rsid w:val="00093EDF"/>
    <w:rsid w:val="000A7DFB"/>
    <w:rsid w:val="000C347A"/>
    <w:rsid w:val="000C49A9"/>
    <w:rsid w:val="000D7A83"/>
    <w:rsid w:val="000E3C27"/>
    <w:rsid w:val="000F7DDF"/>
    <w:rsid w:val="00107C60"/>
    <w:rsid w:val="00113FE3"/>
    <w:rsid w:val="001162B0"/>
    <w:rsid w:val="001221FA"/>
    <w:rsid w:val="00122265"/>
    <w:rsid w:val="0015099C"/>
    <w:rsid w:val="001617F8"/>
    <w:rsid w:val="001808B9"/>
    <w:rsid w:val="001A0C23"/>
    <w:rsid w:val="001A5090"/>
    <w:rsid w:val="001B366B"/>
    <w:rsid w:val="001C3908"/>
    <w:rsid w:val="001C4E42"/>
    <w:rsid w:val="001F49B1"/>
    <w:rsid w:val="001F69DF"/>
    <w:rsid w:val="002049DC"/>
    <w:rsid w:val="0020723B"/>
    <w:rsid w:val="00211F6A"/>
    <w:rsid w:val="00222C4C"/>
    <w:rsid w:val="002261C1"/>
    <w:rsid w:val="00244466"/>
    <w:rsid w:val="00246A63"/>
    <w:rsid w:val="0025125E"/>
    <w:rsid w:val="00256AF8"/>
    <w:rsid w:val="00260707"/>
    <w:rsid w:val="00273F76"/>
    <w:rsid w:val="00280B27"/>
    <w:rsid w:val="002B342B"/>
    <w:rsid w:val="002C4566"/>
    <w:rsid w:val="002D3D39"/>
    <w:rsid w:val="002E2A26"/>
    <w:rsid w:val="003020FB"/>
    <w:rsid w:val="00310972"/>
    <w:rsid w:val="00320227"/>
    <w:rsid w:val="003433F2"/>
    <w:rsid w:val="00367484"/>
    <w:rsid w:val="00370C40"/>
    <w:rsid w:val="00372348"/>
    <w:rsid w:val="0039454D"/>
    <w:rsid w:val="003A734B"/>
    <w:rsid w:val="003B0699"/>
    <w:rsid w:val="003B134C"/>
    <w:rsid w:val="003C329E"/>
    <w:rsid w:val="003C6BF8"/>
    <w:rsid w:val="003C7BB2"/>
    <w:rsid w:val="003F3E51"/>
    <w:rsid w:val="003F3F89"/>
    <w:rsid w:val="004018D1"/>
    <w:rsid w:val="00402523"/>
    <w:rsid w:val="00414FEF"/>
    <w:rsid w:val="00422BCA"/>
    <w:rsid w:val="00423C15"/>
    <w:rsid w:val="004313FB"/>
    <w:rsid w:val="004336DD"/>
    <w:rsid w:val="00440011"/>
    <w:rsid w:val="00441F7D"/>
    <w:rsid w:val="00444654"/>
    <w:rsid w:val="00451BC8"/>
    <w:rsid w:val="00452F72"/>
    <w:rsid w:val="00480705"/>
    <w:rsid w:val="00485B30"/>
    <w:rsid w:val="0048676E"/>
    <w:rsid w:val="00487AC7"/>
    <w:rsid w:val="0049170D"/>
    <w:rsid w:val="004B7B8F"/>
    <w:rsid w:val="004D29CA"/>
    <w:rsid w:val="004D5B9F"/>
    <w:rsid w:val="004E690A"/>
    <w:rsid w:val="004F407B"/>
    <w:rsid w:val="004F62DC"/>
    <w:rsid w:val="005011A5"/>
    <w:rsid w:val="0051720C"/>
    <w:rsid w:val="00532B18"/>
    <w:rsid w:val="005334D6"/>
    <w:rsid w:val="005545C4"/>
    <w:rsid w:val="00557096"/>
    <w:rsid w:val="00560975"/>
    <w:rsid w:val="00560D34"/>
    <w:rsid w:val="00565F6A"/>
    <w:rsid w:val="00586E63"/>
    <w:rsid w:val="005E09FF"/>
    <w:rsid w:val="005F5E03"/>
    <w:rsid w:val="00602332"/>
    <w:rsid w:val="006408CA"/>
    <w:rsid w:val="00644569"/>
    <w:rsid w:val="00652FDA"/>
    <w:rsid w:val="006667F1"/>
    <w:rsid w:val="006707CA"/>
    <w:rsid w:val="006A6D7D"/>
    <w:rsid w:val="006B59C9"/>
    <w:rsid w:val="006B62F9"/>
    <w:rsid w:val="006C56FD"/>
    <w:rsid w:val="006C6D05"/>
    <w:rsid w:val="006E1FAF"/>
    <w:rsid w:val="006E779A"/>
    <w:rsid w:val="006F69E6"/>
    <w:rsid w:val="00704817"/>
    <w:rsid w:val="00713CB9"/>
    <w:rsid w:val="00715397"/>
    <w:rsid w:val="00716BBE"/>
    <w:rsid w:val="00724F4F"/>
    <w:rsid w:val="007310C2"/>
    <w:rsid w:val="00742DE0"/>
    <w:rsid w:val="00766FE6"/>
    <w:rsid w:val="0077328A"/>
    <w:rsid w:val="0077451F"/>
    <w:rsid w:val="00777E96"/>
    <w:rsid w:val="007811EA"/>
    <w:rsid w:val="00781D6E"/>
    <w:rsid w:val="00785F0F"/>
    <w:rsid w:val="007920F2"/>
    <w:rsid w:val="00792CE0"/>
    <w:rsid w:val="007A682C"/>
    <w:rsid w:val="007A6B80"/>
    <w:rsid w:val="007A6DDC"/>
    <w:rsid w:val="007B0467"/>
    <w:rsid w:val="007B7C61"/>
    <w:rsid w:val="007C3DF6"/>
    <w:rsid w:val="007C533F"/>
    <w:rsid w:val="007D3E4C"/>
    <w:rsid w:val="007E15A2"/>
    <w:rsid w:val="007E1ABC"/>
    <w:rsid w:val="007E4CFE"/>
    <w:rsid w:val="00810579"/>
    <w:rsid w:val="00817E1D"/>
    <w:rsid w:val="00820886"/>
    <w:rsid w:val="00832082"/>
    <w:rsid w:val="0084348A"/>
    <w:rsid w:val="0085334C"/>
    <w:rsid w:val="00856FDE"/>
    <w:rsid w:val="00862791"/>
    <w:rsid w:val="00885B68"/>
    <w:rsid w:val="008A699A"/>
    <w:rsid w:val="008C1E01"/>
    <w:rsid w:val="008D4062"/>
    <w:rsid w:val="00900C86"/>
    <w:rsid w:val="009164FE"/>
    <w:rsid w:val="00952C78"/>
    <w:rsid w:val="00970BAE"/>
    <w:rsid w:val="00977C8F"/>
    <w:rsid w:val="00987EC7"/>
    <w:rsid w:val="0099159F"/>
    <w:rsid w:val="009B19D3"/>
    <w:rsid w:val="009B4108"/>
    <w:rsid w:val="009C733A"/>
    <w:rsid w:val="009D08C1"/>
    <w:rsid w:val="009D4555"/>
    <w:rsid w:val="009D6E5A"/>
    <w:rsid w:val="009E4A06"/>
    <w:rsid w:val="009F2D19"/>
    <w:rsid w:val="009F49F8"/>
    <w:rsid w:val="00A17AE7"/>
    <w:rsid w:val="00A222FD"/>
    <w:rsid w:val="00A26C26"/>
    <w:rsid w:val="00A30099"/>
    <w:rsid w:val="00A342B6"/>
    <w:rsid w:val="00A40016"/>
    <w:rsid w:val="00A60598"/>
    <w:rsid w:val="00A60CB6"/>
    <w:rsid w:val="00A831D9"/>
    <w:rsid w:val="00A85094"/>
    <w:rsid w:val="00A94927"/>
    <w:rsid w:val="00AA38C6"/>
    <w:rsid w:val="00AF6C64"/>
    <w:rsid w:val="00B03434"/>
    <w:rsid w:val="00B168F5"/>
    <w:rsid w:val="00B34003"/>
    <w:rsid w:val="00B36D57"/>
    <w:rsid w:val="00B51C35"/>
    <w:rsid w:val="00B552F7"/>
    <w:rsid w:val="00B61B1B"/>
    <w:rsid w:val="00B65653"/>
    <w:rsid w:val="00B661B1"/>
    <w:rsid w:val="00B75112"/>
    <w:rsid w:val="00B835A2"/>
    <w:rsid w:val="00B83725"/>
    <w:rsid w:val="00B85C59"/>
    <w:rsid w:val="00B86BB6"/>
    <w:rsid w:val="00BA37F6"/>
    <w:rsid w:val="00BC5F5D"/>
    <w:rsid w:val="00BE129D"/>
    <w:rsid w:val="00BF4F38"/>
    <w:rsid w:val="00C114B2"/>
    <w:rsid w:val="00C232EC"/>
    <w:rsid w:val="00C33824"/>
    <w:rsid w:val="00C46B24"/>
    <w:rsid w:val="00C55AE1"/>
    <w:rsid w:val="00C57C70"/>
    <w:rsid w:val="00C63F9F"/>
    <w:rsid w:val="00C73FED"/>
    <w:rsid w:val="00C914F8"/>
    <w:rsid w:val="00C9653A"/>
    <w:rsid w:val="00CA18C8"/>
    <w:rsid w:val="00CA77DD"/>
    <w:rsid w:val="00D02B9B"/>
    <w:rsid w:val="00D366B3"/>
    <w:rsid w:val="00D44206"/>
    <w:rsid w:val="00D50CE6"/>
    <w:rsid w:val="00D55885"/>
    <w:rsid w:val="00D622D2"/>
    <w:rsid w:val="00D7379A"/>
    <w:rsid w:val="00D84589"/>
    <w:rsid w:val="00D93BE4"/>
    <w:rsid w:val="00D953A9"/>
    <w:rsid w:val="00DA5EB7"/>
    <w:rsid w:val="00DC5E73"/>
    <w:rsid w:val="00DC715F"/>
    <w:rsid w:val="00DD7A30"/>
    <w:rsid w:val="00E1678A"/>
    <w:rsid w:val="00E34943"/>
    <w:rsid w:val="00E36CD7"/>
    <w:rsid w:val="00E46ABD"/>
    <w:rsid w:val="00E52825"/>
    <w:rsid w:val="00E5683E"/>
    <w:rsid w:val="00E66182"/>
    <w:rsid w:val="00E70488"/>
    <w:rsid w:val="00E75755"/>
    <w:rsid w:val="00E770C6"/>
    <w:rsid w:val="00E87ABA"/>
    <w:rsid w:val="00E93A66"/>
    <w:rsid w:val="00E96E71"/>
    <w:rsid w:val="00EB36CB"/>
    <w:rsid w:val="00EB4EFF"/>
    <w:rsid w:val="00EB63D6"/>
    <w:rsid w:val="00EC686F"/>
    <w:rsid w:val="00EC6F31"/>
    <w:rsid w:val="00ED4643"/>
    <w:rsid w:val="00EE0445"/>
    <w:rsid w:val="00EE3544"/>
    <w:rsid w:val="00EE559B"/>
    <w:rsid w:val="00EF3E1B"/>
    <w:rsid w:val="00EF6C37"/>
    <w:rsid w:val="00F10EA2"/>
    <w:rsid w:val="00F12485"/>
    <w:rsid w:val="00F16063"/>
    <w:rsid w:val="00F240C4"/>
    <w:rsid w:val="00F2605E"/>
    <w:rsid w:val="00F31FC0"/>
    <w:rsid w:val="00F36570"/>
    <w:rsid w:val="00F406A5"/>
    <w:rsid w:val="00F45F9B"/>
    <w:rsid w:val="00F95923"/>
    <w:rsid w:val="00FA0DDE"/>
    <w:rsid w:val="00FB09DC"/>
    <w:rsid w:val="00FB0B4C"/>
    <w:rsid w:val="00FB24A4"/>
    <w:rsid w:val="00FB4367"/>
    <w:rsid w:val="00FC6156"/>
    <w:rsid w:val="00FD562F"/>
    <w:rsid w:val="00FF1639"/>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CBD6"/>
  <w15:docId w15:val="{DCDF4851-CBAC-4836-9B9A-DF568BD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016"/>
  </w:style>
  <w:style w:type="paragraph" w:styleId="Heading1">
    <w:name w:val="heading 1"/>
    <w:basedOn w:val="Normal"/>
    <w:next w:val="Normal"/>
    <w:link w:val="Heading1Char"/>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B65653"/>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B134C"/>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B134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644569"/>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D84589"/>
    <w:rPr>
      <w:rFonts w:ascii="Arial" w:eastAsiaTheme="majorEastAsia" w:hAnsi="Arial" w:cstheme="majorBidi"/>
      <w:b/>
      <w:bCs/>
      <w:i/>
      <w:iCs/>
      <w:sz w:val="20"/>
    </w:rPr>
  </w:style>
  <w:style w:type="numbering" w:customStyle="1" w:styleId="NoList1">
    <w:name w:val="No List1"/>
    <w:next w:val="NoList"/>
    <w:uiPriority w:val="99"/>
    <w:semiHidden/>
    <w:unhideWhenUsed/>
    <w:rsid w:val="0077328A"/>
  </w:style>
  <w:style w:type="table" w:customStyle="1" w:styleId="LightShading11">
    <w:name w:val="Light Shading11"/>
    <w:basedOn w:val="TableNormal"/>
    <w:uiPriority w:val="60"/>
    <w:rsid w:val="0077328A"/>
    <w:pPr>
      <w:spacing w:after="0" w:line="240" w:lineRule="auto"/>
    </w:pPr>
    <w:rPr>
      <w:color w:val="000000"/>
      <w:sz w:val="20"/>
      <w:szCs w:val="20"/>
      <w:lang w:val="en-GB"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next w:val="LightShading"/>
    <w:uiPriority w:val="60"/>
    <w:rsid w:val="0077328A"/>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77328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328A"/>
    <w:rPr>
      <w:sz w:val="16"/>
      <w:szCs w:val="16"/>
    </w:rPr>
  </w:style>
  <w:style w:type="paragraph" w:customStyle="1" w:styleId="CommentText1">
    <w:name w:val="Comment Text1"/>
    <w:basedOn w:val="Normal"/>
    <w:next w:val="CommentText"/>
    <w:link w:val="CommentTextChar"/>
    <w:uiPriority w:val="99"/>
    <w:semiHidden/>
    <w:unhideWhenUsed/>
    <w:rsid w:val="0077328A"/>
    <w:pPr>
      <w:spacing w:line="240" w:lineRule="auto"/>
    </w:pPr>
    <w:rPr>
      <w:sz w:val="20"/>
      <w:szCs w:val="20"/>
    </w:rPr>
  </w:style>
  <w:style w:type="character" w:customStyle="1" w:styleId="CommentTextChar">
    <w:name w:val="Comment Text Char"/>
    <w:basedOn w:val="DefaultParagraphFont"/>
    <w:link w:val="CommentText1"/>
    <w:uiPriority w:val="99"/>
    <w:semiHidden/>
    <w:rsid w:val="0077328A"/>
    <w:rPr>
      <w:sz w:val="20"/>
      <w:szCs w:val="20"/>
    </w:rPr>
  </w:style>
  <w:style w:type="paragraph" w:customStyle="1" w:styleId="CommentSubject1">
    <w:name w:val="Comment Subject1"/>
    <w:basedOn w:val="CommentText"/>
    <w:next w:val="CommentText"/>
    <w:uiPriority w:val="99"/>
    <w:semiHidden/>
    <w:unhideWhenUsed/>
    <w:rsid w:val="0077328A"/>
    <w:rPr>
      <w:rFonts w:eastAsia="Calibri"/>
      <w:b/>
      <w:bCs/>
    </w:rPr>
  </w:style>
  <w:style w:type="character" w:customStyle="1" w:styleId="CommentSubjectChar">
    <w:name w:val="Comment Subject Char"/>
    <w:basedOn w:val="CommentTextChar"/>
    <w:link w:val="CommentSubject"/>
    <w:uiPriority w:val="99"/>
    <w:semiHidden/>
    <w:rsid w:val="0077328A"/>
    <w:rPr>
      <w:b/>
      <w:bCs/>
      <w:sz w:val="20"/>
      <w:szCs w:val="20"/>
    </w:rPr>
  </w:style>
  <w:style w:type="paragraph" w:customStyle="1" w:styleId="NoSpacing1">
    <w:name w:val="No Spacing1"/>
    <w:next w:val="NoSpacing"/>
    <w:uiPriority w:val="1"/>
    <w:qFormat/>
    <w:rsid w:val="0077328A"/>
    <w:pPr>
      <w:spacing w:after="0" w:line="240" w:lineRule="auto"/>
    </w:pPr>
    <w:rPr>
      <w:rFonts w:eastAsia="Calibri"/>
    </w:rPr>
  </w:style>
  <w:style w:type="table" w:styleId="LightShading">
    <w:name w:val="Light Shading"/>
    <w:basedOn w:val="TableNormal"/>
    <w:uiPriority w:val="60"/>
    <w:semiHidden/>
    <w:unhideWhenUsed/>
    <w:rsid w:val="007732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1"/>
    <w:uiPriority w:val="99"/>
    <w:semiHidden/>
    <w:unhideWhenUsed/>
    <w:rsid w:val="0077328A"/>
    <w:pPr>
      <w:spacing w:line="240" w:lineRule="auto"/>
    </w:pPr>
    <w:rPr>
      <w:sz w:val="20"/>
      <w:szCs w:val="20"/>
    </w:rPr>
  </w:style>
  <w:style w:type="character" w:customStyle="1" w:styleId="CommentTextChar1">
    <w:name w:val="Comment Text Char1"/>
    <w:basedOn w:val="DefaultParagraphFont"/>
    <w:link w:val="CommentText"/>
    <w:uiPriority w:val="99"/>
    <w:semiHidden/>
    <w:rsid w:val="0077328A"/>
    <w:rPr>
      <w:sz w:val="20"/>
      <w:szCs w:val="20"/>
    </w:rPr>
  </w:style>
  <w:style w:type="paragraph" w:styleId="CommentSubject">
    <w:name w:val="annotation subject"/>
    <w:basedOn w:val="CommentText"/>
    <w:next w:val="CommentText"/>
    <w:link w:val="CommentSubjectChar"/>
    <w:uiPriority w:val="99"/>
    <w:semiHidden/>
    <w:unhideWhenUsed/>
    <w:rsid w:val="0077328A"/>
    <w:rPr>
      <w:b/>
      <w:bCs/>
    </w:rPr>
  </w:style>
  <w:style w:type="character" w:customStyle="1" w:styleId="CommentSubjectChar1">
    <w:name w:val="Comment Subject Char1"/>
    <w:basedOn w:val="CommentTextChar1"/>
    <w:uiPriority w:val="99"/>
    <w:semiHidden/>
    <w:rsid w:val="0077328A"/>
    <w:rPr>
      <w:b/>
      <w:bCs/>
      <w:sz w:val="20"/>
      <w:szCs w:val="20"/>
    </w:rPr>
  </w:style>
  <w:style w:type="paragraph" w:styleId="NoSpacing">
    <w:name w:val="No Spacing"/>
    <w:uiPriority w:val="1"/>
    <w:qFormat/>
    <w:rsid w:val="0077328A"/>
    <w:pPr>
      <w:spacing w:after="0" w:line="240" w:lineRule="auto"/>
    </w:pPr>
  </w:style>
  <w:style w:type="table" w:styleId="TableGridLight">
    <w:name w:val="Grid Table Light"/>
    <w:basedOn w:val="TableNormal"/>
    <w:uiPriority w:val="40"/>
    <w:rsid w:val="006C6D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9D08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08C1"/>
    <w:rPr>
      <w:b/>
      <w:bCs/>
    </w:rPr>
  </w:style>
  <w:style w:type="character" w:styleId="UnresolvedMention">
    <w:name w:val="Unresolved Mention"/>
    <w:basedOn w:val="DefaultParagraphFont"/>
    <w:uiPriority w:val="99"/>
    <w:semiHidden/>
    <w:unhideWhenUsed/>
    <w:rsid w:val="00557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2286">
      <w:bodyDiv w:val="1"/>
      <w:marLeft w:val="0"/>
      <w:marRight w:val="0"/>
      <w:marTop w:val="0"/>
      <w:marBottom w:val="0"/>
      <w:divBdr>
        <w:top w:val="none" w:sz="0" w:space="0" w:color="auto"/>
        <w:left w:val="none" w:sz="0" w:space="0" w:color="auto"/>
        <w:bottom w:val="none" w:sz="0" w:space="0" w:color="auto"/>
        <w:right w:val="none" w:sz="0" w:space="0" w:color="auto"/>
      </w:divBdr>
    </w:div>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218395316">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829178189">
      <w:bodyDiv w:val="1"/>
      <w:marLeft w:val="0"/>
      <w:marRight w:val="0"/>
      <w:marTop w:val="0"/>
      <w:marBottom w:val="0"/>
      <w:divBdr>
        <w:top w:val="none" w:sz="0" w:space="0" w:color="auto"/>
        <w:left w:val="none" w:sz="0" w:space="0" w:color="auto"/>
        <w:bottom w:val="none" w:sz="0" w:space="0" w:color="auto"/>
        <w:right w:val="none" w:sz="0" w:space="0" w:color="auto"/>
      </w:divBdr>
    </w:div>
    <w:div w:id="940604812">
      <w:bodyDiv w:val="1"/>
      <w:marLeft w:val="0"/>
      <w:marRight w:val="0"/>
      <w:marTop w:val="0"/>
      <w:marBottom w:val="0"/>
      <w:divBdr>
        <w:top w:val="none" w:sz="0" w:space="0" w:color="auto"/>
        <w:left w:val="none" w:sz="0" w:space="0" w:color="auto"/>
        <w:bottom w:val="none" w:sz="0" w:space="0" w:color="auto"/>
        <w:right w:val="none" w:sz="0" w:space="0" w:color="auto"/>
      </w:divBdr>
    </w:div>
    <w:div w:id="1389916753">
      <w:bodyDiv w:val="1"/>
      <w:marLeft w:val="0"/>
      <w:marRight w:val="0"/>
      <w:marTop w:val="0"/>
      <w:marBottom w:val="0"/>
      <w:divBdr>
        <w:top w:val="none" w:sz="0" w:space="0" w:color="auto"/>
        <w:left w:val="none" w:sz="0" w:space="0" w:color="auto"/>
        <w:bottom w:val="none" w:sz="0" w:space="0" w:color="auto"/>
        <w:right w:val="none" w:sz="0" w:space="0" w:color="auto"/>
      </w:divBdr>
    </w:div>
    <w:div w:id="2117600932">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fsn3.70450" TargetMode="External"/><Relationship Id="rId18" Type="http://schemas.openxmlformats.org/officeDocument/2006/relationships/hyperlink" Target="https://www.ajol.info/index.php/jasem/article/download/200634/189201" TargetMode="External"/><Relationship Id="rId26" Type="http://schemas.openxmlformats.org/officeDocument/2006/relationships/hyperlink" Target="https://www.academia.edu/download/76535391/S._20Kimothi_20and_20Y._20S._20Dhaliwal.pdf" TargetMode="External"/><Relationship Id="rId39" Type="http://schemas.openxmlformats.org/officeDocument/2006/relationships/hyperlink" Target="https://onlinelibrary.wiley.com/doi/abs/10.1155/2020/4803839" TargetMode="External"/><Relationship Id="rId21" Type="http://schemas.openxmlformats.org/officeDocument/2006/relationships/hyperlink" Target="https://doi.org/10.9734/CJAST/2018/44491" TargetMode="External"/><Relationship Id="rId34" Type="http://schemas.openxmlformats.org/officeDocument/2006/relationships/hyperlink" Target="https://doi.org/10.1111/ijfs.14742" TargetMode="External"/><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7508/cjfst.2018.10.2.13" TargetMode="External"/><Relationship Id="rId29" Type="http://schemas.openxmlformats.org/officeDocument/2006/relationships/hyperlink" Target="https://doi.org/10.1002/fsn3.8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23/j.fph.20211102.02" TargetMode="External"/><Relationship Id="rId24" Type="http://schemas.openxmlformats.org/officeDocument/2006/relationships/hyperlink" Target="https://doi.org/10.9734/AFSJ/2023/v22i9655" TargetMode="External"/><Relationship Id="rId32" Type="http://schemas.openxmlformats.org/officeDocument/2006/relationships/hyperlink" Target="https://doi.org/10.5897/JABSD2019.0365" TargetMode="External"/><Relationship Id="rId37" Type="http://schemas.openxmlformats.org/officeDocument/2006/relationships/hyperlink" Target="https://doi.org/10.1002/fsn3.70750" TargetMode="External"/><Relationship Id="rId40" Type="http://schemas.openxmlformats.org/officeDocument/2006/relationships/hyperlink" Target="https://doi.org/10.9734/EJNFS/2019/v10i430120"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93/ijfood/vvae021" TargetMode="External"/><Relationship Id="rId23" Type="http://schemas.openxmlformats.org/officeDocument/2006/relationships/hyperlink" Target="https://doi.org/10.3390/nu10050559" TargetMode="External"/><Relationship Id="rId28" Type="http://schemas.openxmlformats.org/officeDocument/2006/relationships/hyperlink" Target="https://doi.org/10.1016/j.fcr.2009.10.013" TargetMode="External"/><Relationship Id="rId36" Type="http://schemas.openxmlformats.org/officeDocument/2006/relationships/hyperlink" Target="https://search.ebscohost.com/login.aspx?direct=true&amp;profile=ehost&amp;scope=site&amp;authtype=crawler&amp;jrnl=20666845&amp;AN=162986617&amp;h=MXx8%2B0MmhCW3%2F2gE%2FkYNfxv66wXKPJml%2FzvCWOAUZfx4aEhyZTidAvFadMgZRE419lQ9IThwJ%2Fe5uoHu4j90tQ%3D%3D&amp;crl=c" TargetMode="External"/><Relationship Id="rId10" Type="http://schemas.openxmlformats.org/officeDocument/2006/relationships/hyperlink" Target="https://sciendo.com/2/v2/download/article/10.2478/aucft-2025-0002.pdf" TargetMode="External"/><Relationship Id="rId19" Type="http://schemas.openxmlformats.org/officeDocument/2006/relationships/hyperlink" Target="https://doi.org/10.15740/HAS/FSRJ/11.2/115-119" TargetMode="External"/><Relationship Id="rId31" Type="http://schemas.openxmlformats.org/officeDocument/2006/relationships/hyperlink" Target="https://doi.org/10.1080/23311932.2015.1136015"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55/2023/6762027" TargetMode="External"/><Relationship Id="rId14" Type="http://schemas.openxmlformats.org/officeDocument/2006/relationships/hyperlink" Target="https://doi.org/10.1002/fsn3.2013" TargetMode="External"/><Relationship Id="rId22" Type="http://schemas.openxmlformats.org/officeDocument/2006/relationships/hyperlink" Target="https://doi.org/10.7176/fsqm/98-03" TargetMode="External"/><Relationship Id="rId27" Type="http://schemas.openxmlformats.org/officeDocument/2006/relationships/hyperlink" Target="https://ajfs.journals.ekb.eg/article_16283.html" TargetMode="External"/><Relationship Id="rId30" Type="http://schemas.openxmlformats.org/officeDocument/2006/relationships/hyperlink" Target="https://doi.org/10.1002/fsn3.670" TargetMode="External"/><Relationship Id="rId35" Type="http://schemas.openxmlformats.org/officeDocument/2006/relationships/hyperlink" Target="https://doi.org/10.1016/j.foodchem.2006.08.005" TargetMode="External"/><Relationship Id="rId43" Type="http://schemas.openxmlformats.org/officeDocument/2006/relationships/footer" Target="footer1.xm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hyperlink" Target="https://www.mdpi.com/2311-5637/8/2/63" TargetMode="External"/><Relationship Id="rId17" Type="http://schemas.openxmlformats.org/officeDocument/2006/relationships/hyperlink" Target="https://doi.org/10.4236/fns.2020.116034" TargetMode="External"/><Relationship Id="rId25" Type="http://schemas.openxmlformats.org/officeDocument/2006/relationships/hyperlink" Target="https://doi.org/10.5772/intechopen.78700" TargetMode="External"/><Relationship Id="rId33" Type="http://schemas.openxmlformats.org/officeDocument/2006/relationships/hyperlink" Target="https://scienceworldjournal.org/article/view/22070" TargetMode="External"/><Relationship Id="rId38" Type="http://schemas.openxmlformats.org/officeDocument/2006/relationships/hyperlink" Target="https://doi.org/10.1002/leg3.193" TargetMode="External"/><Relationship Id="rId46" Type="http://schemas.openxmlformats.org/officeDocument/2006/relationships/theme" Target="theme/theme1.xml"/><Relationship Id="rId20" Type="http://schemas.openxmlformats.org/officeDocument/2006/relationships/hyperlink" Target="https://journals.ipsintelligentsia.com/food-science/index.php/ijnfs/article/view/55" TargetMode="External"/><Relationship Id="rId41" Type="http://schemas.openxmlformats.org/officeDocument/2006/relationships/hyperlink" Target="https://www.mdpi.com/2304-8158/13/17/2655"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754-4339-9E63-5ACED7433367}"/>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754-4339-9E63-5ACED7433367}"/>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754-4339-9E63-5ACED7433367}"/>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754-4339-9E63-5ACED7433367}"/>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754-4339-9E63-5ACED7433367}"/>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754-4339-9E63-5ACED7433367}"/>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754-4339-9E63-5ACED7433367}"/>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title>
          <c:tx>
            <c:rich>
              <a:bodyPr/>
              <a:lstStyle/>
              <a:p>
                <a:pPr>
                  <a:defRPr/>
                </a:pPr>
                <a:r>
                  <a:rPr lang="en-US" sz="1000" b="1" i="0" u="none" strike="noStrike" baseline="0">
                    <a:effectLst/>
                  </a:rPr>
                  <a:t>Pasting Properties </a:t>
                </a:r>
                <a:endParaRPr lang="en-US"/>
              </a:p>
            </c:rich>
          </c:tx>
          <c:overlay val="0"/>
        </c:title>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title>
          <c:tx>
            <c:rich>
              <a:bodyPr/>
              <a:lstStyle/>
              <a:p>
                <a:pPr>
                  <a:defRPr/>
                </a:pPr>
                <a:r>
                  <a:rPr lang="en-US" sz="1000" b="1" i="0" u="none" strike="noStrike" baseline="0">
                    <a:effectLst/>
                  </a:rPr>
                  <a:t>Viscocity (cP)</a:t>
                </a:r>
                <a:endParaRPr lang="en-US"/>
              </a:p>
            </c:rich>
          </c:tx>
          <c:overlay val="0"/>
        </c:title>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TotalTime>
  <Pages>14</Pages>
  <Words>8355</Words>
  <Characters>47629</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JAFSAT_15068_v2</dc:title>
  <dc:subject/>
  <dc:creator>007</dc:creator>
  <cp:keywords/>
  <dc:description/>
  <cp:lastModifiedBy>SDI CPU 1117</cp:lastModifiedBy>
  <cp:revision>13</cp:revision>
  <dcterms:created xsi:type="dcterms:W3CDTF">2026-06-16T15:15:00Z</dcterms:created>
  <dcterms:modified xsi:type="dcterms:W3CDTF">2026-06-20T05:31:00Z</dcterms:modified>
</cp:coreProperties>
</file>