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FFF23" w14:textId="77777777" w:rsidR="007872DE" w:rsidRDefault="007872DE" w:rsidP="00D23D07">
      <w:pPr>
        <w:spacing w:line="240" w:lineRule="auto"/>
        <w:jc w:val="both"/>
        <w:rPr>
          <w:rFonts w:ascii="Arial" w:hAnsi="Arial" w:cs="Arial"/>
          <w:sz w:val="20"/>
          <w:szCs w:val="20"/>
          <w:u w:val="single"/>
          <w:lang w:val="en-GB"/>
        </w:rPr>
      </w:pPr>
      <w:bookmarkStart w:id="0" w:name="_Hlk230707788"/>
      <w:bookmarkEnd w:id="0"/>
    </w:p>
    <w:p w14:paraId="74BB94D0" w14:textId="77777777" w:rsidR="00DA4FC5" w:rsidRDefault="00DA4FC5" w:rsidP="00D23D07">
      <w:pPr>
        <w:spacing w:line="240" w:lineRule="auto"/>
        <w:jc w:val="both"/>
        <w:rPr>
          <w:rFonts w:ascii="Arial" w:hAnsi="Arial" w:cs="Arial"/>
          <w:sz w:val="20"/>
          <w:szCs w:val="20"/>
          <w:u w:val="single"/>
          <w:lang w:val="en-GB"/>
        </w:rPr>
      </w:pPr>
    </w:p>
    <w:p w14:paraId="5B48EB1E" w14:textId="77777777" w:rsidR="006567EE" w:rsidRPr="00B20924" w:rsidRDefault="009579C3" w:rsidP="006567EE">
      <w:pPr>
        <w:pStyle w:val="Author"/>
        <w:rPr>
          <w:rFonts w:ascii="Arial" w:hAnsi="Arial" w:cs="Arial"/>
          <w:b w:val="0"/>
          <w:sz w:val="20"/>
        </w:rPr>
      </w:pPr>
      <w:r w:rsidRPr="00B20924">
        <w:rPr>
          <w:rFonts w:ascii="Arial" w:hAnsi="Arial" w:cs="Arial"/>
          <w:b w:val="0"/>
          <w:sz w:val="20"/>
          <w:lang w:val="en-GB"/>
        </w:rPr>
        <w:t xml:space="preserve">    </w:t>
      </w:r>
      <w:r w:rsidR="00DA4FC5" w:rsidRPr="00B20924">
        <w:rPr>
          <w:rFonts w:ascii="Arial" w:hAnsi="Arial" w:cs="Arial"/>
          <w:b w:val="0"/>
          <w:sz w:val="20"/>
          <w:lang w:val="en-GB"/>
        </w:rPr>
        <w:t xml:space="preserve"> </w:t>
      </w:r>
      <w:r w:rsidR="006567EE" w:rsidRPr="00B20924">
        <w:rPr>
          <w:rFonts w:ascii="Arial" w:hAnsi="Arial" w:cs="Arial"/>
          <w:b w:val="0"/>
          <w:sz w:val="20"/>
        </w:rPr>
        <w:t>Original Research Article</w:t>
      </w:r>
    </w:p>
    <w:p w14:paraId="1770CBF9" w14:textId="77777777" w:rsidR="00E24AC9" w:rsidRPr="001F5C9B" w:rsidRDefault="00E24AC9" w:rsidP="001F5C9B">
      <w:pPr>
        <w:spacing w:line="240" w:lineRule="auto"/>
        <w:jc w:val="both"/>
        <w:rPr>
          <w:sz w:val="28"/>
          <w:szCs w:val="28"/>
        </w:rPr>
      </w:pPr>
    </w:p>
    <w:p w14:paraId="2230110A" w14:textId="5B4C5E86" w:rsidR="00DA4FC5" w:rsidRPr="001F5C9B" w:rsidRDefault="009579C3" w:rsidP="001F5C9B">
      <w:pPr>
        <w:spacing w:line="240" w:lineRule="auto"/>
        <w:jc w:val="both"/>
        <w:rPr>
          <w:b/>
          <w:bCs/>
          <w:sz w:val="36"/>
          <w:szCs w:val="36"/>
        </w:rPr>
      </w:pPr>
      <w:r w:rsidRPr="001F5C9B">
        <w:rPr>
          <w:b/>
          <w:bCs/>
          <w:sz w:val="36"/>
          <w:szCs w:val="36"/>
          <w:highlight w:val="yellow"/>
        </w:rPr>
        <w:t>Development and Characterisation of Apple-peel</w:t>
      </w:r>
      <w:r w:rsidR="001F5C9B" w:rsidRPr="001F5C9B">
        <w:rPr>
          <w:b/>
          <w:bCs/>
          <w:sz w:val="36"/>
          <w:szCs w:val="36"/>
          <w:highlight w:val="yellow"/>
        </w:rPr>
        <w:t xml:space="preserve"> </w:t>
      </w:r>
      <w:r w:rsidRPr="001F5C9B">
        <w:rPr>
          <w:b/>
          <w:bCs/>
          <w:sz w:val="36"/>
          <w:szCs w:val="36"/>
          <w:highlight w:val="yellow"/>
        </w:rPr>
        <w:t>Herbal Infusion Enriched with</w:t>
      </w:r>
      <w:r w:rsidR="001F5C9B" w:rsidRPr="001F5C9B">
        <w:rPr>
          <w:b/>
          <w:bCs/>
          <w:sz w:val="36"/>
          <w:szCs w:val="36"/>
          <w:highlight w:val="yellow"/>
        </w:rPr>
        <w:t xml:space="preserve"> </w:t>
      </w:r>
      <w:r w:rsidRPr="001F5C9B">
        <w:rPr>
          <w:b/>
          <w:bCs/>
          <w:sz w:val="36"/>
          <w:szCs w:val="36"/>
          <w:highlight w:val="yellow"/>
        </w:rPr>
        <w:t>Cinnamon and Cardamom</w:t>
      </w:r>
    </w:p>
    <w:p w14:paraId="290A80A1" w14:textId="77777777" w:rsidR="00DA4FC5" w:rsidRPr="00BA39D6" w:rsidRDefault="00DA4FC5" w:rsidP="00DA4FC5">
      <w:pPr>
        <w:pStyle w:val="Author"/>
        <w:spacing w:line="240" w:lineRule="auto"/>
        <w:jc w:val="both"/>
        <w:rPr>
          <w:rFonts w:ascii="Arial" w:hAnsi="Arial" w:cs="Arial"/>
          <w:sz w:val="36"/>
        </w:rPr>
      </w:pPr>
    </w:p>
    <w:p w14:paraId="12F56BB8" w14:textId="77777777" w:rsidR="00DB3F4A" w:rsidRPr="00BA39D6" w:rsidRDefault="00DB3F4A" w:rsidP="00DA4FC5">
      <w:pPr>
        <w:pStyle w:val="Affiliation"/>
        <w:spacing w:after="0" w:line="240" w:lineRule="auto"/>
        <w:rPr>
          <w:rFonts w:ascii="Arial" w:hAnsi="Arial" w:cs="Arial"/>
          <w:i/>
        </w:rPr>
      </w:pPr>
    </w:p>
    <w:p w14:paraId="6C323367" w14:textId="77777777" w:rsidR="00DA4FC5" w:rsidRPr="00BA39D6" w:rsidRDefault="00DA4FC5" w:rsidP="00DA4FC5">
      <w:pPr>
        <w:pStyle w:val="Affiliation"/>
        <w:spacing w:after="0" w:line="240" w:lineRule="auto"/>
        <w:rPr>
          <w:rFonts w:ascii="Arial" w:hAnsi="Arial" w:cs="Arial"/>
          <w:i/>
        </w:rPr>
      </w:pPr>
    </w:p>
    <w:p w14:paraId="5CEAF425" w14:textId="77777777" w:rsidR="00DA4FC5" w:rsidRPr="00BA39D6" w:rsidRDefault="00DA4FC5" w:rsidP="00DA4FC5">
      <w:pPr>
        <w:pStyle w:val="Affiliation"/>
        <w:spacing w:after="0" w:line="240" w:lineRule="auto"/>
        <w:jc w:val="left"/>
        <w:rPr>
          <w:rFonts w:ascii="Arial" w:hAnsi="Arial" w:cs="Arial"/>
          <w:lang w:val="en-GB"/>
        </w:rPr>
      </w:pPr>
    </w:p>
    <w:p w14:paraId="3CA527DA" w14:textId="77777777" w:rsidR="003A198F" w:rsidRPr="00BA39D6" w:rsidRDefault="003A198F" w:rsidP="00D23D07">
      <w:pPr>
        <w:spacing w:line="240" w:lineRule="auto"/>
        <w:jc w:val="both"/>
        <w:rPr>
          <w:rFonts w:ascii="Arial" w:hAnsi="Arial" w:cs="Arial"/>
          <w:sz w:val="20"/>
          <w:szCs w:val="20"/>
          <w:lang w:val="en-GB"/>
        </w:rPr>
      </w:pPr>
    </w:p>
    <w:p w14:paraId="26F6AC11" w14:textId="77777777" w:rsidR="002B7E5C" w:rsidRPr="00BA39D6" w:rsidRDefault="002B7E5C" w:rsidP="00D23D07">
      <w:pPr>
        <w:spacing w:line="240" w:lineRule="auto"/>
        <w:jc w:val="both"/>
        <w:rPr>
          <w:rFonts w:ascii="Arial" w:hAnsi="Arial" w:cs="Arial"/>
          <w:sz w:val="20"/>
          <w:szCs w:val="20"/>
          <w:lang w:val="en-GB"/>
        </w:rPr>
      </w:pPr>
    </w:p>
    <w:p w14:paraId="6033C1CB" w14:textId="77777777" w:rsidR="003A198F" w:rsidRPr="00BA39D6" w:rsidRDefault="003A198F" w:rsidP="00D23D07">
      <w:pPr>
        <w:spacing w:line="240" w:lineRule="auto"/>
        <w:jc w:val="both"/>
        <w:rPr>
          <w:rFonts w:ascii="Arial" w:hAnsi="Arial" w:cs="Arial"/>
          <w:sz w:val="20"/>
          <w:szCs w:val="20"/>
          <w:lang w:val="en-GB"/>
        </w:rPr>
      </w:pPr>
    </w:p>
    <w:p w14:paraId="3C9E7CBC" w14:textId="77777777" w:rsidR="00DA4FC5" w:rsidRPr="00BA39D6" w:rsidRDefault="00DA4FC5" w:rsidP="00D23D07">
      <w:pPr>
        <w:spacing w:line="240" w:lineRule="auto"/>
        <w:jc w:val="both"/>
        <w:rPr>
          <w:rFonts w:ascii="Arial" w:hAnsi="Arial" w:cs="Arial"/>
          <w:b/>
          <w:lang w:val="en-GB"/>
        </w:rPr>
      </w:pPr>
      <w:r w:rsidRPr="00BA39D6">
        <w:rPr>
          <w:rFonts w:ascii="Arial" w:hAnsi="Arial" w:cs="Arial"/>
          <w:b/>
          <w:lang w:val="en-GB"/>
        </w:rPr>
        <w:t>ABSTRACT</w:t>
      </w:r>
    </w:p>
    <w:p w14:paraId="6243A9AF" w14:textId="77777777" w:rsidR="00761829" w:rsidRPr="00BA39D6" w:rsidRDefault="00761829" w:rsidP="00D23D07">
      <w:pPr>
        <w:spacing w:line="240" w:lineRule="auto"/>
        <w:jc w:val="both"/>
        <w:rPr>
          <w:sz w:val="28"/>
          <w:szCs w:val="28"/>
        </w:rPr>
      </w:pPr>
      <w:r w:rsidRPr="00BA39D6">
        <w:rPr>
          <w:sz w:val="28"/>
          <w:szCs w:val="28"/>
        </w:rPr>
        <w:t>The present study aimed to develop and characterise an apple-peel-based herbal infusion powder enriched with cinnamon and cardamom. Apple peel powder, cinnamon powder, and cardamom powder were blended in different proportions, and the formulations were evaluated for sensory attributes using a nine-point hedonic scale. The most preferred formulation, F2, containing 50% apple peel powder, 30% cinnamon, and 20% cardamom, was selected for further physicochemical, proximate, antioxidant, phytochemical, colour, and microbiological analyses. F2 showed a moisture content of 1.56%, ash content of 3.39%, crude fat content of 1.97%, crude fibre content of 21.79%, protein content of 7.57%, carbohydrate content of 85.51%, and energy value of 390.05 kcal. The formulation had a pH of 5.96 and colour values indicating a yellowish-brown tone. The radical scavenging activity of F2 was 401.86 mg/g ascorbic acid equivalent, which was lower than the control value of 508.4 mg/g. Total phenolic and flavonoid contents were slightly lower in F2 than in the control, whereas tannin content was higher in F2. Microbiological evaluation showed that total plate count and yeast and mould counts were within acceptable limits. The findings indicate that apple peel powder, combined with cinnamon and cardamom, can be used to formulate a sensorially acceptable herbal infusion with measurable antioxidant and microbiological quality.</w:t>
      </w:r>
    </w:p>
    <w:p w14:paraId="0AF5AF4D" w14:textId="4D20B2CE" w:rsidR="00DA4FC5" w:rsidRPr="00BA39D6" w:rsidRDefault="00761829" w:rsidP="00D23D07">
      <w:pPr>
        <w:spacing w:line="240" w:lineRule="auto"/>
        <w:jc w:val="both"/>
        <w:rPr>
          <w:sz w:val="28"/>
          <w:szCs w:val="28"/>
        </w:rPr>
      </w:pPr>
      <w:r w:rsidRPr="00BA39D6">
        <w:rPr>
          <w:sz w:val="28"/>
          <w:szCs w:val="28"/>
        </w:rPr>
        <w:t>Keywords: Apple peel powder; herbal infusion; cinnamon; cardamom; antioxidant activity; phenolic compounds; sensory evaluation; proximate composition; microbiological quality; value-added beverage</w:t>
      </w:r>
    </w:p>
    <w:p w14:paraId="0E52C0F1" w14:textId="77777777" w:rsidR="003A198F" w:rsidRPr="00BA39D6" w:rsidRDefault="003A198F" w:rsidP="00D23D07">
      <w:pPr>
        <w:spacing w:line="240" w:lineRule="auto"/>
        <w:jc w:val="both"/>
        <w:rPr>
          <w:rFonts w:ascii="Arial" w:hAnsi="Arial" w:cs="Arial"/>
          <w:sz w:val="20"/>
          <w:szCs w:val="20"/>
          <w:u w:val="single"/>
          <w:lang w:val="en-GB"/>
        </w:rPr>
      </w:pPr>
    </w:p>
    <w:p w14:paraId="17C09839" w14:textId="77777777" w:rsidR="00CE1587" w:rsidRPr="00BA39D6" w:rsidRDefault="00CE1587" w:rsidP="00D23D07">
      <w:pPr>
        <w:spacing w:line="240" w:lineRule="auto"/>
        <w:jc w:val="both"/>
        <w:rPr>
          <w:rFonts w:ascii="Arial" w:hAnsi="Arial" w:cs="Arial"/>
          <w:sz w:val="20"/>
          <w:szCs w:val="20"/>
          <w:lang w:val="en-GB"/>
        </w:rPr>
      </w:pPr>
    </w:p>
    <w:p w14:paraId="529C7ECC" w14:textId="77777777" w:rsidR="00DA4FC5" w:rsidRPr="00BA39D6" w:rsidRDefault="00DA4FC5" w:rsidP="00D23D07">
      <w:pPr>
        <w:spacing w:line="240" w:lineRule="auto"/>
        <w:jc w:val="both"/>
        <w:rPr>
          <w:rFonts w:ascii="Arial" w:hAnsi="Arial" w:cs="Arial"/>
          <w:sz w:val="20"/>
          <w:szCs w:val="20"/>
          <w:u w:val="single"/>
          <w:lang w:val="en-GB"/>
        </w:rPr>
      </w:pPr>
    </w:p>
    <w:p w14:paraId="58B94BDF" w14:textId="77777777" w:rsidR="003A198F" w:rsidRPr="00BA39D6" w:rsidRDefault="003A198F" w:rsidP="00D23D07">
      <w:pPr>
        <w:spacing w:line="240" w:lineRule="auto"/>
        <w:jc w:val="both"/>
        <w:rPr>
          <w:rFonts w:ascii="Arial" w:hAnsi="Arial" w:cs="Arial"/>
          <w:sz w:val="20"/>
          <w:szCs w:val="20"/>
          <w:u w:val="single"/>
          <w:lang w:val="en-GB"/>
        </w:rPr>
      </w:pPr>
    </w:p>
    <w:p w14:paraId="57A09C34" w14:textId="77777777" w:rsidR="003A198F" w:rsidRPr="00BA39D6" w:rsidRDefault="003A198F" w:rsidP="00D23D07">
      <w:pPr>
        <w:spacing w:line="240" w:lineRule="auto"/>
        <w:jc w:val="both"/>
        <w:rPr>
          <w:rFonts w:ascii="Arial" w:hAnsi="Arial" w:cs="Arial"/>
          <w:b/>
          <w:lang w:val="en-GB"/>
        </w:rPr>
      </w:pPr>
    </w:p>
    <w:p w14:paraId="479549D6" w14:textId="77777777" w:rsidR="003A198F" w:rsidRPr="00BA39D6" w:rsidRDefault="003A198F" w:rsidP="00D23D07">
      <w:pPr>
        <w:spacing w:line="240" w:lineRule="auto"/>
        <w:jc w:val="both"/>
        <w:rPr>
          <w:rFonts w:ascii="Arial" w:hAnsi="Arial" w:cs="Arial"/>
          <w:b/>
          <w:lang w:val="en-GB"/>
        </w:rPr>
      </w:pPr>
    </w:p>
    <w:p w14:paraId="453E7381" w14:textId="77777777" w:rsidR="0014679B" w:rsidRPr="00BA39D6" w:rsidRDefault="00D23D07" w:rsidP="00D23D07">
      <w:pPr>
        <w:spacing w:line="240" w:lineRule="auto"/>
        <w:jc w:val="both"/>
        <w:rPr>
          <w:rFonts w:ascii="Arial" w:hAnsi="Arial" w:cs="Arial"/>
          <w:lang w:val="en-GB"/>
        </w:rPr>
      </w:pPr>
      <w:r w:rsidRPr="00BA39D6">
        <w:rPr>
          <w:rFonts w:ascii="Arial" w:hAnsi="Arial" w:cs="Arial"/>
          <w:b/>
          <w:lang w:val="en-GB"/>
        </w:rPr>
        <w:lastRenderedPageBreak/>
        <w:t>1. INTRODUCTION</w:t>
      </w:r>
    </w:p>
    <w:p w14:paraId="07E1F0C3" w14:textId="77777777" w:rsidR="008377C7" w:rsidRPr="00BA39D6" w:rsidRDefault="008377C7" w:rsidP="00D23D07">
      <w:pPr>
        <w:spacing w:line="240" w:lineRule="auto"/>
        <w:jc w:val="both"/>
        <w:rPr>
          <w:rFonts w:ascii="Arial" w:hAnsi="Arial" w:cs="Arial"/>
          <w:b/>
          <w:sz w:val="20"/>
          <w:szCs w:val="20"/>
          <w:u w:val="single"/>
          <w:lang w:val="en-GB"/>
        </w:rPr>
      </w:pPr>
    </w:p>
    <w:p w14:paraId="01DE149A" w14:textId="31B0CEE9" w:rsidR="00081684" w:rsidRPr="00BA39D6" w:rsidRDefault="00F76B48" w:rsidP="00D23D07">
      <w:pPr>
        <w:spacing w:line="240" w:lineRule="auto"/>
        <w:jc w:val="both"/>
        <w:rPr>
          <w:rFonts w:ascii="Arial" w:hAnsi="Arial" w:cs="Arial"/>
          <w:color w:val="000000" w:themeColor="text1"/>
          <w:sz w:val="20"/>
          <w:szCs w:val="20"/>
          <w:shd w:val="clear" w:color="auto" w:fill="FFFFFF"/>
        </w:rPr>
      </w:pPr>
      <w:r w:rsidRPr="00BA39D6">
        <w:t xml:space="preserve">The functional food and beverage market is growing rapidly as consumers seek health benefits beyond basic nutrition. The Indian functional beverages market size reached USD 6.9 billion in 2025 and is expected to reach USD 18.8 billion by 2034, exhibiting a CAGR of 10.74% during 2026-2034 (IMARC Group, </w:t>
      </w:r>
      <w:r w:rsidR="00AD3E95" w:rsidRPr="00AD3E95">
        <w:t>n.d.</w:t>
      </w:r>
      <w:r w:rsidRPr="00BA39D6">
        <w:t>). Functional foods and beverages help improve overall health by supporting digestion, weight management, and bone and muscle strength, and by reducing the risk of long-term conditions such as type 2 diabetes and cardiovascular problems. Tea is the most popular functional beverage. Herbal infusions, a type of herbal tea, are made with flowers, herbs, spices, and dried fruits and are prepared in the same manner as ordinary tea, either loose or in bags (Mensah et al., 2025).</w:t>
      </w:r>
    </w:p>
    <w:p w14:paraId="3FC90E6B" w14:textId="77777777" w:rsidR="00BA192D" w:rsidRPr="00BA39D6" w:rsidRDefault="00307B22">
      <w:pPr>
        <w:spacing w:line="240" w:lineRule="auto"/>
        <w:jc w:val="both"/>
      </w:pPr>
      <w:r w:rsidRPr="00BA39D6">
        <w:t xml:space="preserve">Herbal infusions are an important dietary source of phenolic compounds. They are also recognised as sources of antioxidants that may contribute to dietary defence against oxidative stress (Atoui et al., 2005). Herbal infusions are beverages made by infusing herbs, spices, or other plant materials in water; they are not derived from the tea plant </w:t>
      </w:r>
      <w:r w:rsidRPr="00BA39D6">
        <w:rPr>
          <w:i/>
        </w:rPr>
        <w:t>Camellia sinensis</w:t>
      </w:r>
      <w:r w:rsidRPr="00BA39D6">
        <w:t xml:space="preserve"> and are naturally caffeine-free. They are used for hydration, flavour, and medicinal purposes. The global herbal tea market is expected to reach USD 6.18 billion by 2031 from USD 4.15 billion in 2024, with a CAGR of 6.1% (The Insight Partners, 2025). Compared with apple flesh, apple peel is helpful in inhibiting colon cancer. Cinnamon and cardamom blends increase the antioxidant activity of infusions; as a result, more people are choosing to drink herbal infusions regularly. Herbal infusions could provide a useful supplementary approach for improving well-being. Recent evidence indicates that herbal infusions differ in phenolic content, radical-scavenging capacity, and antibacterial activity; therefore, individual formulations require independent antioxidant and microbiological characterisation (Nowak et al., 2025).</w:t>
      </w:r>
    </w:p>
    <w:p w14:paraId="1F3AFABD" w14:textId="77777777" w:rsidR="00BA192D" w:rsidRPr="00BA39D6" w:rsidRDefault="00473886">
      <w:pPr>
        <w:spacing w:line="240" w:lineRule="auto"/>
        <w:jc w:val="both"/>
      </w:pPr>
      <w:r w:rsidRPr="00BA39D6">
        <w:t>Apple peel plays an important role in contemporary product development because of its polyphenol content, which helps reduce vascular endothelial dysfunction, insulin resistance, and lipid metabolism (Tian et al., 2018). Polyphenols found in apple peel act as strong antioxidants and anti-inflammatory substances in the gut, which may offer protective advantages against harmful intraluminal substances and thus strengthen the body's natural defences against various intestinal disorders, including IBD (Denis et al., 2013). The peel of red apples is rich in cyanidin-3-O-galactoside, an important anthocyanin pigment that gives the fruit peel its red colour and shows considerable antioxidant capability; however, high drying temperatures can reduce the effectiveness of this compound (Rupasinghe et al., 2010). Recent work on apple peel extracts has identified hyperoside, chlorogenic acid, phlorizin, epicatechin, and procyanidin B2 among phenolic constituents and reported antioxidant-related bioactivity, supporting the evaluation of apple peel as a value-added food ingredient (Cano-Lou et al., 2025).</w:t>
      </w:r>
    </w:p>
    <w:p w14:paraId="34B1E34D" w14:textId="77777777" w:rsidR="0080534F" w:rsidRPr="00BA39D6" w:rsidRDefault="009D2FC9" w:rsidP="00D23D07">
      <w:pPr>
        <w:spacing w:after="0" w:line="240" w:lineRule="auto"/>
        <w:jc w:val="both"/>
        <w:rPr>
          <w:rFonts w:ascii="Arial" w:eastAsia="Times New Roman" w:hAnsi="Arial" w:cs="Arial"/>
          <w:sz w:val="20"/>
          <w:szCs w:val="20"/>
          <w:lang w:eastAsia="en-IN"/>
        </w:rPr>
      </w:pPr>
      <w:r w:rsidRPr="00BA39D6">
        <w:t>Apple peel has nutritional value, but its use in the development of herbal infusions remains limited. Fruit-processing by-products are underutilised because most commercial products use apple pulp or extracts rather than apple peel powder. Apple peel powder offers nutritional benefits as well as value addition to fruit-processing by-products. Flavouring apple peel beverages with natural spices has been associated with high concentrations of polyphenols and anti-diabetic and anti-inflammatory properties. Although previous studies have characterised the incorporation of apple peel in food products, specific studies on the development of apple peel herbal infusion are limited, and synergistic blends with cinnamon and cardamom have not been consistently optimised. Therefore, the present study was undertaken to formulate and characterise an apple-peel-based herbal infusion enriched with cinnamon and cardamom and to assess its sensory and functional properties.</w:t>
      </w:r>
    </w:p>
    <w:p w14:paraId="2769D51E" w14:textId="77777777" w:rsidR="003238AE" w:rsidRPr="00BA39D6" w:rsidRDefault="003238AE" w:rsidP="00D23D07">
      <w:pPr>
        <w:spacing w:after="0" w:line="240" w:lineRule="auto"/>
        <w:jc w:val="both"/>
        <w:rPr>
          <w:rFonts w:ascii="Arial" w:eastAsia="Times New Roman" w:hAnsi="Arial" w:cs="Arial"/>
          <w:sz w:val="20"/>
          <w:szCs w:val="20"/>
          <w:lang w:eastAsia="en-IN"/>
        </w:rPr>
      </w:pPr>
    </w:p>
    <w:p w14:paraId="2221B911" w14:textId="77777777" w:rsidR="00BA192D" w:rsidRPr="00BA39D6" w:rsidRDefault="00976AAA">
      <w:pPr>
        <w:spacing w:line="240" w:lineRule="auto"/>
        <w:jc w:val="both"/>
      </w:pPr>
      <w:r w:rsidRPr="00BA39D6">
        <w:t>To maximise the potential health benefits of the herbal infusion, cinnamon was added to impart a warm, sweet, and spicy taste, while cardamom was included to provide a pleasant, aromatic, and sweet flavour. Both spices contain important bioactive compounds with antioxidant and antimicrobial properties, which enhance the functional value of the beverage. Cinnamon aids digestion, promotes good circulation, and provides a relaxing effect, while cardamom helps improve digestion and reduce bloating and gastric discomfort. Combining apple peel powder with cinnamon and cardamom improves both functional and therapeutic value. For botanical beverage systems, formulation assessment should include antioxidant, physicochemical, and microbiological parameters because plant additions may influence product quality during storage (Nwagbo et al., 2026). In related fruit-based product development, changes in fruit incorporation level affected sensory acceptability, underscoring the importance of formulation-level sensory screening before selecting a preferred product (Deka &amp; Das, 2025).</w:t>
      </w:r>
    </w:p>
    <w:p w14:paraId="02C57A80" w14:textId="77777777" w:rsidR="00D23D07" w:rsidRPr="00BA39D6" w:rsidRDefault="00ED0092" w:rsidP="00D23D07">
      <w:pPr>
        <w:spacing w:line="240" w:lineRule="auto"/>
        <w:jc w:val="both"/>
        <w:rPr>
          <w:rFonts w:ascii="Arial" w:hAnsi="Arial" w:cs="Arial"/>
          <w:sz w:val="20"/>
          <w:szCs w:val="20"/>
          <w:lang w:val="en-GB"/>
        </w:rPr>
      </w:pPr>
      <w:r w:rsidRPr="00BA39D6">
        <w:t xml:space="preserve">This research highlights the effective use of apple peel, a fruit-processing by-product, together with cinnamon and cardamom, in the development of a functional herbal infusion with nutritional and antioxidant properties for </w:t>
      </w:r>
      <w:r w:rsidRPr="00BA39D6">
        <w:lastRenderedPageBreak/>
        <w:t>consumers. It also encourages sustainable by-product utilisation and creates scope for the food industry to develop innovative value-added beverage products. However, formulation-specific evidence remains limited for a powdered apple-peel infusion in which apple peel is combined with cinnamon and cardamom and evaluated through sensory, physicochemical, antioxidant, and microbiological parameters. The objective of this study was to develop and characterise an apple peel herbal infusion enriched with cinnamon and cardamom.</w:t>
      </w:r>
    </w:p>
    <w:p w14:paraId="6CF93240" w14:textId="77777777" w:rsidR="00D23D07" w:rsidRPr="00BA39D6" w:rsidRDefault="00D23D07" w:rsidP="00D23D07">
      <w:pPr>
        <w:spacing w:line="240" w:lineRule="auto"/>
        <w:jc w:val="both"/>
        <w:rPr>
          <w:rFonts w:ascii="Arial" w:hAnsi="Arial" w:cs="Arial"/>
          <w:sz w:val="20"/>
          <w:szCs w:val="20"/>
          <w:lang w:val="en-GB"/>
        </w:rPr>
      </w:pPr>
    </w:p>
    <w:p w14:paraId="2F09B278" w14:textId="77777777" w:rsidR="00D23D07" w:rsidRPr="00BA39D6" w:rsidRDefault="00D23D07" w:rsidP="00D23D07">
      <w:pPr>
        <w:spacing w:line="240" w:lineRule="auto"/>
        <w:jc w:val="both"/>
        <w:rPr>
          <w:rFonts w:ascii="Arial" w:hAnsi="Arial" w:cs="Arial"/>
          <w:sz w:val="20"/>
          <w:szCs w:val="20"/>
          <w:lang w:val="en-GB"/>
        </w:rPr>
      </w:pPr>
      <w:r w:rsidRPr="00BA39D6">
        <w:rPr>
          <w:rFonts w:ascii="Arial" w:hAnsi="Arial" w:cs="Arial"/>
          <w:b/>
        </w:rPr>
        <w:t xml:space="preserve"> 2. MATERIALS AND METHODS</w:t>
      </w:r>
    </w:p>
    <w:p w14:paraId="221081AF" w14:textId="77777777" w:rsidR="00D23D07" w:rsidRPr="00BA39D6" w:rsidRDefault="00D23D07" w:rsidP="00D23D07">
      <w:pPr>
        <w:pStyle w:val="NormalWeb"/>
        <w:jc w:val="both"/>
        <w:rPr>
          <w:rStyle w:val="Strong"/>
          <w:rFonts w:ascii="Arial" w:hAnsi="Arial" w:cs="Arial"/>
          <w:sz w:val="22"/>
          <w:szCs w:val="22"/>
        </w:rPr>
      </w:pPr>
      <w:r w:rsidRPr="00BA39D6">
        <w:rPr>
          <w:rStyle w:val="Strong"/>
          <w:rFonts w:ascii="Arial" w:hAnsi="Arial" w:cs="Arial"/>
          <w:sz w:val="22"/>
          <w:szCs w:val="22"/>
        </w:rPr>
        <w:t xml:space="preserve"> </w:t>
      </w:r>
      <w:bookmarkStart w:id="1" w:name="_Hlk229229441"/>
      <w:r w:rsidRPr="00BA39D6">
        <w:rPr>
          <w:rStyle w:val="Strong"/>
          <w:rFonts w:ascii="Arial" w:hAnsi="Arial" w:cs="Arial"/>
          <w:sz w:val="22"/>
          <w:szCs w:val="22"/>
        </w:rPr>
        <w:t xml:space="preserve">2.1 </w:t>
      </w:r>
      <w:r w:rsidR="00E51CCB" w:rsidRPr="00BA39D6">
        <w:rPr>
          <w:rStyle w:val="Strong"/>
          <w:rFonts w:ascii="Arial" w:hAnsi="Arial" w:cs="Arial"/>
          <w:sz w:val="22"/>
          <w:szCs w:val="22"/>
        </w:rPr>
        <w:t>Sample Preparation</w:t>
      </w:r>
    </w:p>
    <w:p w14:paraId="6E4BD31D" w14:textId="77777777" w:rsidR="00D23D07" w:rsidRPr="00BA39D6" w:rsidRDefault="00D23D07" w:rsidP="00D23D07">
      <w:pPr>
        <w:pStyle w:val="NormalWeb"/>
        <w:jc w:val="both"/>
        <w:rPr>
          <w:rFonts w:ascii="Arial" w:hAnsi="Arial" w:cs="Arial"/>
          <w:b/>
          <w:bCs/>
          <w:sz w:val="22"/>
          <w:szCs w:val="22"/>
        </w:rPr>
      </w:pPr>
      <w:r w:rsidRPr="00BA39D6">
        <w:t xml:space="preserve"> 2.1.1  Processing of Apple Peel Powder, Cinnamon Powder, and Cardamom Powder</w:t>
      </w:r>
    </w:p>
    <w:p w14:paraId="6DEEF6BE" w14:textId="77777777" w:rsidR="00D23D07" w:rsidRPr="00BA39D6" w:rsidRDefault="00D23D07" w:rsidP="00D23D07">
      <w:pPr>
        <w:pStyle w:val="NormalWeb"/>
        <w:jc w:val="both"/>
        <w:rPr>
          <w:rFonts w:ascii="Arial" w:hAnsi="Arial" w:cs="Arial"/>
          <w:sz w:val="20"/>
          <w:szCs w:val="20"/>
        </w:rPr>
      </w:pPr>
      <w:r w:rsidRPr="00BA39D6">
        <w:t>Apples were first washed with clean water and then with distilled water, and their peels were removed. Apple peel powder (APP) was prepared by drying the apple peel in a dehydrator at 60°C for 10-12 hours. Cinnamon and cardamom powders were prepared by drying them in a dehydrator at 50°C (Mardiana et al., 2020).</w:t>
      </w:r>
    </w:p>
    <w:bookmarkEnd w:id="1"/>
    <w:p w14:paraId="037CD6EE" w14:textId="77777777" w:rsidR="00D23D07" w:rsidRPr="00BA39D6" w:rsidRDefault="00D23D07" w:rsidP="00D23D07">
      <w:pPr>
        <w:pStyle w:val="NormalWeb"/>
        <w:jc w:val="both"/>
        <w:rPr>
          <w:rFonts w:ascii="Arial" w:hAnsi="Arial" w:cs="Arial"/>
          <w:b/>
          <w:sz w:val="22"/>
          <w:szCs w:val="22"/>
        </w:rPr>
      </w:pPr>
    </w:p>
    <w:p w14:paraId="674E1E55" w14:textId="77777777" w:rsidR="00F724C8" w:rsidRPr="00BA39D6" w:rsidRDefault="00F724C8" w:rsidP="00D23D07">
      <w:pPr>
        <w:pStyle w:val="NormalWeb"/>
        <w:jc w:val="both"/>
        <w:rPr>
          <w:rFonts w:ascii="Arial" w:hAnsi="Arial" w:cs="Arial"/>
          <w:b/>
          <w:sz w:val="22"/>
          <w:szCs w:val="22"/>
        </w:rPr>
      </w:pPr>
      <w:bookmarkStart w:id="2" w:name="_Hlk229229460"/>
    </w:p>
    <w:p w14:paraId="3AEE93B9" w14:textId="77777777" w:rsidR="00D23D07" w:rsidRPr="00BA39D6" w:rsidRDefault="00D23D07" w:rsidP="00D23D07">
      <w:pPr>
        <w:pStyle w:val="NormalWeb"/>
        <w:jc w:val="both"/>
        <w:rPr>
          <w:rFonts w:ascii="Arial" w:hAnsi="Arial" w:cs="Arial"/>
          <w:b/>
          <w:sz w:val="22"/>
          <w:szCs w:val="22"/>
        </w:rPr>
      </w:pPr>
      <w:r w:rsidRPr="00BA39D6">
        <w:rPr>
          <w:rFonts w:ascii="Arial" w:hAnsi="Arial" w:cs="Arial"/>
          <w:b/>
          <w:sz w:val="22"/>
          <w:szCs w:val="22"/>
        </w:rPr>
        <w:t>2.2 Formulation and Preparation of Herbal Infusion</w:t>
      </w:r>
    </w:p>
    <w:p w14:paraId="6DA5E8CF" w14:textId="77777777" w:rsidR="00D23D07" w:rsidRPr="00BA39D6" w:rsidRDefault="00D23D07" w:rsidP="00D23D07">
      <w:pPr>
        <w:pStyle w:val="NormalWeb"/>
        <w:jc w:val="both"/>
        <w:rPr>
          <w:rFonts w:ascii="Arial" w:hAnsi="Arial" w:cs="Arial"/>
          <w:b/>
          <w:sz w:val="20"/>
          <w:szCs w:val="20"/>
          <w:u w:val="single"/>
        </w:rPr>
      </w:pPr>
      <w:r w:rsidRPr="00BA39D6">
        <w:rPr>
          <w:rFonts w:ascii="Arial" w:hAnsi="Arial" w:cs="Arial"/>
          <w:b/>
          <w:sz w:val="20"/>
          <w:szCs w:val="20"/>
          <w:u w:val="single"/>
        </w:rPr>
        <w:t>2.2.1 Selection of Ingredients</w:t>
      </w:r>
    </w:p>
    <w:p w14:paraId="10E14DC8" w14:textId="77777777" w:rsidR="00D23D07" w:rsidRPr="00BA39D6" w:rsidRDefault="00D23D07" w:rsidP="00D23D07">
      <w:pPr>
        <w:spacing w:after="0" w:line="240" w:lineRule="auto"/>
        <w:jc w:val="both"/>
        <w:rPr>
          <w:rFonts w:ascii="Arial" w:eastAsia="Times New Roman" w:hAnsi="Arial" w:cs="Arial"/>
          <w:sz w:val="20"/>
          <w:szCs w:val="20"/>
          <w:lang w:eastAsia="en-IN"/>
        </w:rPr>
      </w:pPr>
      <w:r w:rsidRPr="00BA39D6">
        <w:t>The amounts of apple peel powder, cinnamon, and cardamom were varied to prepare several herbal infusion formulations. The selection of ingredients was based on their nutritional and antioxidant properties. The raw materials used for the preparation of the herbal infusion were collected from local markets in Lucknow and Kerala. Preliminary trials were carried out to standardise the formulation based on sensory characteristics.</w:t>
      </w:r>
    </w:p>
    <w:p w14:paraId="2E719972" w14:textId="77777777" w:rsidR="00DA473D" w:rsidRPr="00BA39D6" w:rsidRDefault="00DA473D" w:rsidP="00D23D07">
      <w:pPr>
        <w:spacing w:after="0" w:line="240" w:lineRule="auto"/>
        <w:jc w:val="both"/>
        <w:rPr>
          <w:rFonts w:ascii="Arial" w:eastAsia="Times New Roman" w:hAnsi="Arial" w:cs="Arial"/>
          <w:sz w:val="20"/>
          <w:szCs w:val="20"/>
          <w:lang w:eastAsia="en-IN"/>
        </w:rPr>
      </w:pPr>
    </w:p>
    <w:p w14:paraId="57186F32" w14:textId="77777777" w:rsidR="00DA473D" w:rsidRPr="00BA39D6" w:rsidRDefault="00DA473D" w:rsidP="00D23D07">
      <w:pPr>
        <w:spacing w:after="0" w:line="240" w:lineRule="auto"/>
        <w:jc w:val="both"/>
        <w:rPr>
          <w:rFonts w:ascii="Arial" w:eastAsia="Times New Roman" w:hAnsi="Arial" w:cs="Arial"/>
          <w:sz w:val="20"/>
          <w:szCs w:val="20"/>
          <w:lang w:eastAsia="en-IN"/>
        </w:rPr>
      </w:pPr>
    </w:p>
    <w:p w14:paraId="5F6EC7A0" w14:textId="77777777" w:rsidR="00DA473D" w:rsidRPr="00BA39D6" w:rsidRDefault="00DA473D" w:rsidP="00D23D07">
      <w:pPr>
        <w:spacing w:after="0" w:line="240" w:lineRule="auto"/>
        <w:jc w:val="both"/>
        <w:rPr>
          <w:rFonts w:ascii="Arial" w:eastAsia="Times New Roman" w:hAnsi="Arial" w:cs="Arial"/>
          <w:sz w:val="20"/>
          <w:szCs w:val="20"/>
          <w:lang w:eastAsia="en-IN"/>
        </w:rPr>
      </w:pPr>
    </w:p>
    <w:p w14:paraId="37ED25A2" w14:textId="77777777" w:rsidR="00D23D07" w:rsidRPr="00BA39D6" w:rsidRDefault="00D23D07" w:rsidP="00D23D07">
      <w:pPr>
        <w:spacing w:after="0" w:line="240" w:lineRule="auto"/>
        <w:jc w:val="both"/>
        <w:rPr>
          <w:rFonts w:ascii="Arial" w:eastAsia="Times New Roman" w:hAnsi="Arial" w:cs="Arial"/>
          <w:b/>
          <w:sz w:val="20"/>
          <w:szCs w:val="20"/>
          <w:u w:val="single"/>
          <w:lang w:eastAsia="en-IN"/>
        </w:rPr>
      </w:pPr>
    </w:p>
    <w:p w14:paraId="1FC98FE5" w14:textId="77777777" w:rsidR="00D23D07" w:rsidRPr="00BA39D6" w:rsidRDefault="00D23D07" w:rsidP="00D23D07">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2.2.2 Formulation of Herbal Infusion</w:t>
      </w:r>
    </w:p>
    <w:p w14:paraId="12A20814" w14:textId="77777777" w:rsidR="00D23D07" w:rsidRPr="00BA39D6" w:rsidRDefault="00D23D07" w:rsidP="00D23D07">
      <w:pPr>
        <w:spacing w:after="0" w:line="240" w:lineRule="auto"/>
        <w:jc w:val="both"/>
        <w:rPr>
          <w:rFonts w:ascii="Arial" w:eastAsia="Times New Roman" w:hAnsi="Arial" w:cs="Arial"/>
          <w:b/>
          <w:sz w:val="20"/>
          <w:szCs w:val="20"/>
          <w:u w:val="single"/>
          <w:lang w:eastAsia="en-IN"/>
        </w:rPr>
      </w:pPr>
    </w:p>
    <w:p w14:paraId="6D1CB078" w14:textId="77777777" w:rsidR="00D23D07" w:rsidRPr="00BA39D6" w:rsidRDefault="00D23D07" w:rsidP="00D23D07">
      <w:pPr>
        <w:spacing w:after="0" w:line="240" w:lineRule="auto"/>
        <w:jc w:val="both"/>
        <w:rPr>
          <w:rFonts w:ascii="Arial" w:eastAsia="Times New Roman" w:hAnsi="Arial" w:cs="Arial"/>
          <w:sz w:val="20"/>
          <w:szCs w:val="20"/>
          <w:lang w:eastAsia="en-IN"/>
        </w:rPr>
      </w:pPr>
      <w:r w:rsidRPr="00BA39D6">
        <w:t>Different formulations of the herbal infusion were prepared by varying the proportions of apple peel powder, cinnamon powder, and cardamom powder. To create homogeneous blends, the ingredients were weighed in different ratios and thoroughly combined: APP (100%-70%), cinnamon (20%-0%), and cardamom (10%-0%). Five different formulations were obtained and are presented in Table 1.</w:t>
      </w:r>
    </w:p>
    <w:p w14:paraId="00AAD732" w14:textId="77777777" w:rsidR="00DB2147" w:rsidRPr="00BA39D6" w:rsidRDefault="00DB2147" w:rsidP="00D23D07">
      <w:pPr>
        <w:spacing w:after="0" w:line="240" w:lineRule="auto"/>
        <w:jc w:val="both"/>
        <w:rPr>
          <w:rFonts w:ascii="Arial" w:eastAsia="Times New Roman" w:hAnsi="Arial" w:cs="Arial"/>
          <w:sz w:val="20"/>
          <w:szCs w:val="20"/>
          <w:lang w:eastAsia="en-IN"/>
        </w:rPr>
      </w:pPr>
    </w:p>
    <w:p w14:paraId="350E4659" w14:textId="77777777" w:rsidR="00851A81" w:rsidRPr="00BA39D6" w:rsidRDefault="00DB2147" w:rsidP="00D23D07">
      <w:pPr>
        <w:spacing w:after="0" w:line="240" w:lineRule="auto"/>
        <w:jc w:val="both"/>
        <w:rPr>
          <w:rFonts w:ascii="Arial" w:eastAsia="Times New Roman" w:hAnsi="Arial" w:cs="Arial"/>
          <w:b/>
          <w:sz w:val="20"/>
          <w:szCs w:val="20"/>
          <w:lang w:eastAsia="en-IN"/>
        </w:rPr>
      </w:pPr>
      <w:r w:rsidRPr="00BA39D6">
        <w:rPr>
          <w:rFonts w:ascii="Arial" w:eastAsia="Times New Roman" w:hAnsi="Arial" w:cs="Arial"/>
          <w:b/>
          <w:sz w:val="20"/>
          <w:szCs w:val="20"/>
          <w:lang w:eastAsia="en-IN"/>
        </w:rPr>
        <w:t xml:space="preserve">              </w:t>
      </w:r>
      <w:r w:rsidR="00851A81" w:rsidRPr="00BA39D6">
        <w:rPr>
          <w:rFonts w:ascii="Arial" w:eastAsia="Times New Roman" w:hAnsi="Arial" w:cs="Arial"/>
          <w:b/>
          <w:sz w:val="20"/>
          <w:szCs w:val="20"/>
          <w:lang w:eastAsia="en-IN"/>
        </w:rPr>
        <w:t xml:space="preserve">                    </w:t>
      </w:r>
    </w:p>
    <w:p w14:paraId="7FAD8C1C" w14:textId="77777777" w:rsidR="00D23D07" w:rsidRPr="00BA39D6" w:rsidRDefault="00851A81" w:rsidP="00D23D07">
      <w:pPr>
        <w:spacing w:after="0" w:line="240" w:lineRule="auto"/>
        <w:jc w:val="both"/>
        <w:rPr>
          <w:rFonts w:ascii="Arial" w:eastAsia="Times New Roman" w:hAnsi="Arial" w:cs="Arial"/>
          <w:b/>
          <w:sz w:val="20"/>
          <w:szCs w:val="20"/>
          <w:lang w:eastAsia="en-IN"/>
        </w:rPr>
      </w:pPr>
      <w:r w:rsidRPr="00BA39D6">
        <w:rPr>
          <w:rFonts w:ascii="Arial" w:eastAsia="Times New Roman" w:hAnsi="Arial" w:cs="Arial"/>
          <w:b/>
          <w:sz w:val="20"/>
          <w:szCs w:val="20"/>
          <w:lang w:eastAsia="en-IN"/>
        </w:rPr>
        <w:t xml:space="preserve">                                      </w:t>
      </w:r>
      <w:r w:rsidR="00DB2147" w:rsidRPr="00BA39D6">
        <w:rPr>
          <w:rFonts w:ascii="Arial" w:eastAsia="Times New Roman" w:hAnsi="Arial" w:cs="Arial"/>
          <w:b/>
          <w:sz w:val="20"/>
          <w:szCs w:val="20"/>
          <w:lang w:eastAsia="en-IN"/>
        </w:rPr>
        <w:t>Table</w:t>
      </w:r>
      <w:r w:rsidR="00FF4A8C" w:rsidRPr="00BA39D6">
        <w:rPr>
          <w:rFonts w:ascii="Arial" w:eastAsia="Times New Roman" w:hAnsi="Arial" w:cs="Arial"/>
          <w:b/>
          <w:sz w:val="20"/>
          <w:szCs w:val="20"/>
          <w:lang w:eastAsia="en-IN"/>
        </w:rPr>
        <w:t xml:space="preserve"> 1.     </w:t>
      </w:r>
      <w:r w:rsidR="00DB2147" w:rsidRPr="00BA39D6">
        <w:rPr>
          <w:rFonts w:ascii="Arial" w:eastAsia="Times New Roman" w:hAnsi="Arial" w:cs="Arial"/>
          <w:b/>
          <w:sz w:val="20"/>
          <w:szCs w:val="20"/>
          <w:lang w:eastAsia="en-IN"/>
        </w:rPr>
        <w:t xml:space="preserve"> Formulations of Herbal Infusion</w:t>
      </w:r>
      <w:bookmarkEnd w:id="2"/>
    </w:p>
    <w:p w14:paraId="3FE51A53" w14:textId="77777777" w:rsidR="00851A81" w:rsidRPr="00BA39D6" w:rsidRDefault="00851A81">
      <w:pPr>
        <w:rPr>
          <w:rFonts w:ascii="Arial" w:hAnsi="Arial" w:cs="Arial"/>
          <w:sz w:val="20"/>
          <w:szCs w:val="20"/>
        </w:rPr>
      </w:pPr>
    </w:p>
    <w:tbl>
      <w:tblPr>
        <w:tblW w:w="6296" w:type="dxa"/>
        <w:tblInd w:w="1642" w:type="dxa"/>
        <w:tblBorders>
          <w:top w:val="single" w:sz="4" w:space="0" w:color="auto"/>
          <w:bottom w:val="single" w:sz="4" w:space="0" w:color="auto"/>
          <w:insideH w:val="single" w:sz="4" w:space="0" w:color="auto"/>
        </w:tblBorders>
        <w:tblLook w:val="01E0" w:firstRow="1" w:lastRow="1" w:firstColumn="1" w:lastColumn="1" w:noHBand="0" w:noVBand="0"/>
      </w:tblPr>
      <w:tblGrid>
        <w:gridCol w:w="1280"/>
        <w:gridCol w:w="1387"/>
        <w:gridCol w:w="94"/>
        <w:gridCol w:w="1292"/>
        <w:gridCol w:w="1366"/>
        <w:gridCol w:w="642"/>
        <w:gridCol w:w="235"/>
      </w:tblGrid>
      <w:tr w:rsidR="00206365" w:rsidRPr="00BA39D6" w14:paraId="1759A8F4" w14:textId="77777777" w:rsidTr="00206365">
        <w:trPr>
          <w:trHeight w:val="561"/>
        </w:trPr>
        <w:tc>
          <w:tcPr>
            <w:tcW w:w="1290" w:type="dxa"/>
            <w:tcBorders>
              <w:bottom w:val="single" w:sz="4" w:space="0" w:color="auto"/>
            </w:tcBorders>
          </w:tcPr>
          <w:p w14:paraId="532FC608" w14:textId="77777777" w:rsidR="00B40AA2" w:rsidRPr="00BA39D6" w:rsidRDefault="00B40AA2" w:rsidP="003E2BB2">
            <w:pPr>
              <w:jc w:val="both"/>
              <w:rPr>
                <w:rFonts w:ascii="Arial" w:hAnsi="Arial"/>
                <w:b/>
                <w:bCs/>
              </w:rPr>
            </w:pPr>
            <w:r w:rsidRPr="00BA39D6">
              <w:rPr>
                <w:rFonts w:ascii="Arial" w:hAnsi="Arial"/>
                <w:b/>
                <w:bCs/>
              </w:rPr>
              <w:t>Samples</w:t>
            </w:r>
          </w:p>
        </w:tc>
        <w:tc>
          <w:tcPr>
            <w:tcW w:w="1518" w:type="dxa"/>
            <w:gridSpan w:val="2"/>
            <w:tcBorders>
              <w:bottom w:val="single" w:sz="4" w:space="0" w:color="auto"/>
            </w:tcBorders>
          </w:tcPr>
          <w:p w14:paraId="6ACCFF9D" w14:textId="77777777" w:rsidR="00B40AA2" w:rsidRPr="00BA39D6" w:rsidRDefault="00B40AA2" w:rsidP="003E2BB2">
            <w:pPr>
              <w:jc w:val="both"/>
              <w:rPr>
                <w:rFonts w:ascii="Arial" w:hAnsi="Arial"/>
                <w:b/>
                <w:bCs/>
              </w:rPr>
            </w:pPr>
            <w:r w:rsidRPr="00BA39D6">
              <w:rPr>
                <w:rFonts w:ascii="Arial" w:hAnsi="Arial"/>
                <w:b/>
                <w:bCs/>
              </w:rPr>
              <w:t>Apple</w:t>
            </w:r>
            <w:r w:rsidR="00206365" w:rsidRPr="00BA39D6">
              <w:rPr>
                <w:rFonts w:ascii="Arial" w:hAnsi="Arial"/>
                <w:b/>
                <w:bCs/>
              </w:rPr>
              <w:t>-</w:t>
            </w:r>
            <w:r w:rsidRPr="00BA39D6">
              <w:rPr>
                <w:rFonts w:ascii="Arial" w:hAnsi="Arial"/>
                <w:b/>
                <w:bCs/>
              </w:rPr>
              <w:t>peel (%)</w:t>
            </w:r>
          </w:p>
        </w:tc>
        <w:tc>
          <w:tcPr>
            <w:tcW w:w="1292" w:type="dxa"/>
            <w:tcBorders>
              <w:bottom w:val="single" w:sz="4" w:space="0" w:color="auto"/>
            </w:tcBorders>
          </w:tcPr>
          <w:p w14:paraId="55771AA7" w14:textId="77777777" w:rsidR="00B40AA2" w:rsidRPr="00BA39D6" w:rsidRDefault="00B40AA2" w:rsidP="003E2BB2">
            <w:pPr>
              <w:jc w:val="both"/>
              <w:rPr>
                <w:rFonts w:ascii="Arial" w:hAnsi="Arial"/>
                <w:b/>
                <w:bCs/>
              </w:rPr>
            </w:pPr>
            <w:r w:rsidRPr="00BA39D6">
              <w:rPr>
                <w:rFonts w:ascii="Arial" w:hAnsi="Arial"/>
                <w:b/>
                <w:bCs/>
              </w:rPr>
              <w:t>Cinnamon (%)</w:t>
            </w:r>
          </w:p>
        </w:tc>
        <w:tc>
          <w:tcPr>
            <w:tcW w:w="1292" w:type="dxa"/>
            <w:tcBorders>
              <w:bottom w:val="single" w:sz="4" w:space="0" w:color="auto"/>
            </w:tcBorders>
          </w:tcPr>
          <w:p w14:paraId="554652CE" w14:textId="77777777" w:rsidR="00B40AA2" w:rsidRPr="00BA39D6" w:rsidRDefault="00206365" w:rsidP="003E2BB2">
            <w:pPr>
              <w:jc w:val="both"/>
              <w:rPr>
                <w:rFonts w:ascii="Arial" w:hAnsi="Arial"/>
                <w:b/>
                <w:bCs/>
              </w:rPr>
            </w:pPr>
            <w:r w:rsidRPr="00BA39D6">
              <w:rPr>
                <w:rFonts w:ascii="Arial" w:hAnsi="Arial"/>
                <w:b/>
                <w:bCs/>
              </w:rPr>
              <w:t>C</w:t>
            </w:r>
            <w:r w:rsidR="00733104" w:rsidRPr="00BA39D6">
              <w:rPr>
                <w:rFonts w:ascii="Arial" w:hAnsi="Arial"/>
                <w:b/>
                <w:bCs/>
              </w:rPr>
              <w:t>ardamom</w:t>
            </w:r>
            <w:r w:rsidRPr="00BA39D6">
              <w:rPr>
                <w:rFonts w:ascii="Arial" w:hAnsi="Arial"/>
                <w:b/>
                <w:bCs/>
              </w:rPr>
              <w:t xml:space="preserve"> (%)</w:t>
            </w:r>
          </w:p>
        </w:tc>
        <w:tc>
          <w:tcPr>
            <w:tcW w:w="668" w:type="dxa"/>
            <w:tcBorders>
              <w:bottom w:val="single" w:sz="4" w:space="0" w:color="auto"/>
            </w:tcBorders>
          </w:tcPr>
          <w:p w14:paraId="05E39663" w14:textId="77777777" w:rsidR="00B40AA2" w:rsidRPr="00BA39D6" w:rsidRDefault="00B40AA2" w:rsidP="003E2BB2">
            <w:pPr>
              <w:jc w:val="both"/>
              <w:rPr>
                <w:rFonts w:ascii="Arial" w:hAnsi="Arial"/>
                <w:b/>
                <w:bCs/>
              </w:rPr>
            </w:pPr>
          </w:p>
        </w:tc>
        <w:tc>
          <w:tcPr>
            <w:tcW w:w="236" w:type="dxa"/>
            <w:tcBorders>
              <w:bottom w:val="single" w:sz="4" w:space="0" w:color="auto"/>
            </w:tcBorders>
          </w:tcPr>
          <w:p w14:paraId="070CF683" w14:textId="77777777" w:rsidR="00B40AA2" w:rsidRPr="00BA39D6" w:rsidRDefault="00B40AA2" w:rsidP="003E2BB2">
            <w:pPr>
              <w:jc w:val="both"/>
              <w:rPr>
                <w:rFonts w:ascii="Arial" w:hAnsi="Arial"/>
                <w:b/>
                <w:bCs/>
              </w:rPr>
            </w:pPr>
          </w:p>
        </w:tc>
      </w:tr>
      <w:tr w:rsidR="00206365" w:rsidRPr="00BA39D6" w14:paraId="13418B20" w14:textId="77777777" w:rsidTr="00206365">
        <w:trPr>
          <w:trHeight w:val="926"/>
          <w:hidden/>
        </w:trPr>
        <w:tc>
          <w:tcPr>
            <w:tcW w:w="1290" w:type="dxa"/>
            <w:tcBorders>
              <w:bottom w:val="nil"/>
            </w:tcBorders>
          </w:tcPr>
          <w:p w14:paraId="65B3564E" w14:textId="77777777" w:rsidR="00B40AA2" w:rsidRPr="00BA39D6" w:rsidRDefault="00B40AA2" w:rsidP="003E2BB2">
            <w:pPr>
              <w:jc w:val="both"/>
              <w:rPr>
                <w:rFonts w:ascii="Arial" w:hAnsi="Arial"/>
                <w:vanish/>
              </w:rPr>
            </w:pPr>
          </w:p>
          <w:p w14:paraId="2C02DAFC" w14:textId="77777777" w:rsidR="00B40AA2" w:rsidRPr="00BA39D6" w:rsidRDefault="00B40AA2" w:rsidP="003E2BB2">
            <w:pPr>
              <w:jc w:val="both"/>
              <w:rPr>
                <w:rFonts w:ascii="Arial" w:hAnsi="Arial"/>
              </w:rPr>
            </w:pPr>
            <w:r w:rsidRPr="00BA39D6">
              <w:rPr>
                <w:rFonts w:ascii="Arial" w:hAnsi="Arial"/>
              </w:rPr>
              <w:t>Control</w:t>
            </w:r>
          </w:p>
          <w:p w14:paraId="0497B790" w14:textId="77777777" w:rsidR="00B40AA2" w:rsidRPr="00BA39D6" w:rsidRDefault="00206365" w:rsidP="003E2BB2">
            <w:pPr>
              <w:jc w:val="both"/>
              <w:rPr>
                <w:rFonts w:ascii="Arial" w:hAnsi="Arial"/>
                <w:vanish/>
              </w:rPr>
            </w:pPr>
            <w:r w:rsidRPr="00BA39D6">
              <w:rPr>
                <w:rFonts w:ascii="Arial" w:hAnsi="Arial"/>
              </w:rPr>
              <w:t xml:space="preserve">  </w:t>
            </w:r>
          </w:p>
          <w:p w14:paraId="4B69C3C3" w14:textId="77777777" w:rsidR="00B40AA2" w:rsidRPr="00BA39D6" w:rsidRDefault="00B40AA2" w:rsidP="003E2BB2">
            <w:pPr>
              <w:jc w:val="both"/>
              <w:rPr>
                <w:rFonts w:ascii="Arial" w:hAnsi="Arial"/>
              </w:rPr>
            </w:pPr>
            <w:r w:rsidRPr="00BA39D6">
              <w:rPr>
                <w:rFonts w:ascii="Arial" w:hAnsi="Arial"/>
              </w:rPr>
              <w:t>F1</w:t>
            </w:r>
          </w:p>
          <w:p w14:paraId="3387EF60" w14:textId="77777777" w:rsidR="00B40AA2" w:rsidRPr="00BA39D6" w:rsidRDefault="00206365" w:rsidP="003E2BB2">
            <w:pPr>
              <w:jc w:val="both"/>
              <w:rPr>
                <w:rFonts w:ascii="Arial" w:hAnsi="Arial"/>
                <w:bCs/>
              </w:rPr>
            </w:pPr>
            <w:r w:rsidRPr="00BA39D6">
              <w:rPr>
                <w:rFonts w:ascii="Arial" w:hAnsi="Arial"/>
                <w:bCs/>
              </w:rPr>
              <w:t xml:space="preserve">  </w:t>
            </w:r>
            <w:r w:rsidR="00B40AA2" w:rsidRPr="00BA39D6">
              <w:rPr>
                <w:rFonts w:ascii="Arial" w:hAnsi="Arial"/>
                <w:bCs/>
              </w:rPr>
              <w:t>F2</w:t>
            </w:r>
          </w:p>
        </w:tc>
        <w:tc>
          <w:tcPr>
            <w:tcW w:w="1419" w:type="dxa"/>
            <w:tcBorders>
              <w:bottom w:val="nil"/>
            </w:tcBorders>
          </w:tcPr>
          <w:p w14:paraId="00F7000F" w14:textId="77777777" w:rsidR="00B40AA2" w:rsidRPr="00BA39D6" w:rsidRDefault="00B40AA2" w:rsidP="003E2BB2">
            <w:pPr>
              <w:jc w:val="both"/>
              <w:rPr>
                <w:rFonts w:ascii="Arial" w:hAnsi="Arial"/>
              </w:rPr>
            </w:pPr>
            <w:r w:rsidRPr="00BA39D6">
              <w:rPr>
                <w:rFonts w:ascii="Arial" w:hAnsi="Arial"/>
              </w:rPr>
              <w:t>100</w:t>
            </w:r>
          </w:p>
          <w:p w14:paraId="1EC9EC2F" w14:textId="77777777" w:rsidR="00B40AA2" w:rsidRPr="00BA39D6" w:rsidRDefault="00B40AA2" w:rsidP="003E2BB2">
            <w:pPr>
              <w:jc w:val="both"/>
              <w:rPr>
                <w:rFonts w:ascii="Arial" w:hAnsi="Arial"/>
              </w:rPr>
            </w:pPr>
            <w:r w:rsidRPr="00BA39D6">
              <w:rPr>
                <w:rFonts w:ascii="Arial" w:hAnsi="Arial"/>
              </w:rPr>
              <w:t>40</w:t>
            </w:r>
          </w:p>
          <w:p w14:paraId="43768B69" w14:textId="77777777" w:rsidR="00B40AA2" w:rsidRPr="00BA39D6" w:rsidRDefault="00B40AA2" w:rsidP="003E2BB2">
            <w:pPr>
              <w:jc w:val="both"/>
              <w:rPr>
                <w:rFonts w:ascii="Arial" w:hAnsi="Arial"/>
                <w:bCs/>
              </w:rPr>
            </w:pPr>
            <w:r w:rsidRPr="00BA39D6">
              <w:rPr>
                <w:rFonts w:ascii="Arial" w:hAnsi="Arial"/>
                <w:bCs/>
              </w:rPr>
              <w:t>50</w:t>
            </w:r>
          </w:p>
        </w:tc>
        <w:tc>
          <w:tcPr>
            <w:tcW w:w="1391" w:type="dxa"/>
            <w:gridSpan w:val="2"/>
            <w:tcBorders>
              <w:bottom w:val="nil"/>
            </w:tcBorders>
          </w:tcPr>
          <w:p w14:paraId="35CF134C" w14:textId="77777777" w:rsidR="00B40AA2" w:rsidRPr="00BA39D6" w:rsidRDefault="00206365" w:rsidP="003E2BB2">
            <w:pPr>
              <w:jc w:val="both"/>
              <w:rPr>
                <w:rFonts w:ascii="Arial" w:hAnsi="Arial" w:cs="Arial"/>
              </w:rPr>
            </w:pPr>
            <w:r w:rsidRPr="00BA39D6">
              <w:rPr>
                <w:rFonts w:ascii="Arial" w:hAnsi="Arial" w:cs="Arial"/>
              </w:rPr>
              <w:t xml:space="preserve">     </w:t>
            </w:r>
            <w:r w:rsidR="00B40AA2" w:rsidRPr="00BA39D6">
              <w:rPr>
                <w:rFonts w:ascii="Arial" w:hAnsi="Arial" w:cs="Arial"/>
              </w:rPr>
              <w:t xml:space="preserve"> 0</w:t>
            </w:r>
          </w:p>
          <w:p w14:paraId="64242C2A" w14:textId="77777777" w:rsidR="00B40AA2" w:rsidRPr="00BA39D6" w:rsidRDefault="00B40AA2" w:rsidP="003E2BB2">
            <w:pPr>
              <w:jc w:val="both"/>
              <w:rPr>
                <w:rFonts w:ascii="Arial" w:hAnsi="Arial"/>
                <w:bCs/>
              </w:rPr>
            </w:pPr>
            <w:r w:rsidRPr="00BA39D6">
              <w:rPr>
                <w:rFonts w:ascii="Arial" w:hAnsi="Arial"/>
                <w:bCs/>
              </w:rPr>
              <w:t xml:space="preserve"> </w:t>
            </w:r>
            <w:r w:rsidR="00206365" w:rsidRPr="00BA39D6">
              <w:rPr>
                <w:rFonts w:ascii="Arial" w:hAnsi="Arial"/>
                <w:bCs/>
              </w:rPr>
              <w:t xml:space="preserve">    </w:t>
            </w:r>
            <w:r w:rsidRPr="00BA39D6">
              <w:rPr>
                <w:rFonts w:ascii="Arial" w:hAnsi="Arial"/>
                <w:bCs/>
              </w:rPr>
              <w:t>35</w:t>
            </w:r>
          </w:p>
          <w:p w14:paraId="5ABF3421" w14:textId="77777777" w:rsidR="00B40AA2" w:rsidRPr="00BA39D6" w:rsidRDefault="00206365" w:rsidP="003E2BB2">
            <w:pPr>
              <w:jc w:val="both"/>
              <w:rPr>
                <w:rFonts w:ascii="Arial" w:hAnsi="Arial"/>
                <w:bCs/>
              </w:rPr>
            </w:pPr>
            <w:r w:rsidRPr="00BA39D6">
              <w:rPr>
                <w:rFonts w:ascii="Arial" w:hAnsi="Arial"/>
                <w:bCs/>
              </w:rPr>
              <w:t xml:space="preserve">     </w:t>
            </w:r>
            <w:r w:rsidR="00B40AA2" w:rsidRPr="00BA39D6">
              <w:rPr>
                <w:rFonts w:ascii="Arial" w:hAnsi="Arial"/>
                <w:bCs/>
              </w:rPr>
              <w:t>30</w:t>
            </w:r>
          </w:p>
        </w:tc>
        <w:tc>
          <w:tcPr>
            <w:tcW w:w="1292" w:type="dxa"/>
            <w:tcBorders>
              <w:bottom w:val="nil"/>
            </w:tcBorders>
          </w:tcPr>
          <w:p w14:paraId="743FACE7" w14:textId="77777777" w:rsidR="00B40AA2" w:rsidRPr="00BA39D6" w:rsidRDefault="00206365" w:rsidP="003E2BB2">
            <w:pPr>
              <w:jc w:val="both"/>
              <w:rPr>
                <w:rFonts w:ascii="Arial" w:hAnsi="Arial" w:cs="Arial"/>
              </w:rPr>
            </w:pPr>
            <w:r w:rsidRPr="00BA39D6">
              <w:rPr>
                <w:rFonts w:ascii="Arial" w:hAnsi="Arial" w:cs="Arial"/>
              </w:rPr>
              <w:t>0</w:t>
            </w:r>
          </w:p>
          <w:p w14:paraId="49D90EBB" w14:textId="77777777" w:rsidR="00206365" w:rsidRPr="00BA39D6" w:rsidRDefault="00206365" w:rsidP="003E2BB2">
            <w:pPr>
              <w:jc w:val="both"/>
              <w:rPr>
                <w:rFonts w:ascii="Arial" w:hAnsi="Arial" w:cs="Arial"/>
              </w:rPr>
            </w:pPr>
            <w:r w:rsidRPr="00BA39D6">
              <w:rPr>
                <w:rFonts w:ascii="Arial" w:hAnsi="Arial" w:cs="Arial"/>
              </w:rPr>
              <w:t>25</w:t>
            </w:r>
          </w:p>
          <w:p w14:paraId="2716FCAB" w14:textId="77777777" w:rsidR="00206365" w:rsidRPr="00BA39D6" w:rsidRDefault="00206365" w:rsidP="003E2BB2">
            <w:pPr>
              <w:jc w:val="both"/>
              <w:rPr>
                <w:rFonts w:ascii="Arial" w:hAnsi="Arial" w:cs="Arial"/>
              </w:rPr>
            </w:pPr>
            <w:r w:rsidRPr="00BA39D6">
              <w:rPr>
                <w:rFonts w:ascii="Arial" w:hAnsi="Arial" w:cs="Arial"/>
              </w:rPr>
              <w:t>20</w:t>
            </w:r>
          </w:p>
        </w:tc>
        <w:tc>
          <w:tcPr>
            <w:tcW w:w="668" w:type="dxa"/>
            <w:tcBorders>
              <w:bottom w:val="nil"/>
            </w:tcBorders>
          </w:tcPr>
          <w:p w14:paraId="37E7F2B4" w14:textId="77777777" w:rsidR="00B40AA2" w:rsidRPr="00BA39D6" w:rsidRDefault="00B40AA2" w:rsidP="003E2BB2">
            <w:pPr>
              <w:jc w:val="both"/>
              <w:rPr>
                <w:rFonts w:ascii="Arial" w:hAnsi="Arial" w:cs="Arial"/>
              </w:rPr>
            </w:pPr>
          </w:p>
        </w:tc>
        <w:tc>
          <w:tcPr>
            <w:tcW w:w="236" w:type="dxa"/>
            <w:tcBorders>
              <w:bottom w:val="nil"/>
            </w:tcBorders>
          </w:tcPr>
          <w:p w14:paraId="5856C146" w14:textId="77777777" w:rsidR="00B40AA2" w:rsidRPr="00BA39D6" w:rsidRDefault="00B40AA2" w:rsidP="003E2BB2">
            <w:pPr>
              <w:jc w:val="both"/>
              <w:rPr>
                <w:rFonts w:ascii="Arial" w:hAnsi="Arial" w:cs="Arial"/>
              </w:rPr>
            </w:pPr>
          </w:p>
        </w:tc>
      </w:tr>
      <w:tr w:rsidR="00206365" w:rsidRPr="00BA39D6" w14:paraId="133863E8" w14:textId="77777777" w:rsidTr="00206365">
        <w:trPr>
          <w:trHeight w:val="551"/>
        </w:trPr>
        <w:tc>
          <w:tcPr>
            <w:tcW w:w="1290" w:type="dxa"/>
            <w:tcBorders>
              <w:top w:val="nil"/>
              <w:bottom w:val="single" w:sz="4" w:space="0" w:color="auto"/>
            </w:tcBorders>
          </w:tcPr>
          <w:p w14:paraId="5483054B" w14:textId="77777777" w:rsidR="00B40AA2" w:rsidRPr="00BA39D6" w:rsidRDefault="00206365" w:rsidP="003E2BB2">
            <w:pPr>
              <w:jc w:val="both"/>
              <w:rPr>
                <w:rFonts w:ascii="Arial" w:hAnsi="Arial" w:cs="Arial"/>
              </w:rPr>
            </w:pPr>
            <w:r w:rsidRPr="00BA39D6">
              <w:rPr>
                <w:rFonts w:ascii="Arial" w:hAnsi="Arial" w:cs="Arial"/>
              </w:rPr>
              <w:t xml:space="preserve">  </w:t>
            </w:r>
            <w:r w:rsidR="00B40AA2" w:rsidRPr="00BA39D6">
              <w:rPr>
                <w:rFonts w:ascii="Arial" w:hAnsi="Arial" w:cs="Arial"/>
              </w:rPr>
              <w:t>F3</w:t>
            </w:r>
          </w:p>
          <w:p w14:paraId="416EF0B4" w14:textId="77777777" w:rsidR="00B40AA2" w:rsidRPr="00BA39D6" w:rsidRDefault="00206365" w:rsidP="003E2BB2">
            <w:pPr>
              <w:jc w:val="both"/>
              <w:rPr>
                <w:rFonts w:ascii="Arial" w:hAnsi="Arial" w:cs="Arial"/>
                <w:vanish/>
              </w:rPr>
            </w:pPr>
            <w:r w:rsidRPr="00BA39D6">
              <w:rPr>
                <w:rFonts w:ascii="Arial" w:hAnsi="Arial" w:cs="Arial"/>
              </w:rPr>
              <w:t xml:space="preserve">  </w:t>
            </w:r>
            <w:r w:rsidR="00B40AA2" w:rsidRPr="00BA39D6">
              <w:rPr>
                <w:rFonts w:ascii="Arial" w:hAnsi="Arial" w:cs="Arial"/>
              </w:rPr>
              <w:t>F4</w:t>
            </w:r>
          </w:p>
          <w:p w14:paraId="5814F6CA" w14:textId="77777777" w:rsidR="00B40AA2" w:rsidRPr="00BA39D6" w:rsidRDefault="00B40AA2" w:rsidP="003E2BB2">
            <w:pPr>
              <w:jc w:val="both"/>
              <w:rPr>
                <w:rFonts w:ascii="Arial" w:hAnsi="Arial" w:cs="Arial"/>
                <w:vanish/>
              </w:rPr>
            </w:pPr>
            <w:r w:rsidRPr="00BA39D6">
              <w:rPr>
                <w:rFonts w:ascii="Arial" w:hAnsi="Arial" w:cs="Arial"/>
                <w:vanish/>
              </w:rPr>
              <w:t>F</w:t>
            </w:r>
          </w:p>
          <w:p w14:paraId="374C9593" w14:textId="77777777" w:rsidR="00B40AA2" w:rsidRPr="00BA39D6" w:rsidRDefault="00B40AA2" w:rsidP="003E2BB2">
            <w:pPr>
              <w:jc w:val="both"/>
              <w:rPr>
                <w:rFonts w:ascii="Arial" w:hAnsi="Arial" w:cs="Arial"/>
                <w:vanish/>
              </w:rPr>
            </w:pPr>
          </w:p>
          <w:p w14:paraId="1012FB5A" w14:textId="77777777" w:rsidR="00B40AA2" w:rsidRPr="00BA39D6" w:rsidRDefault="00B40AA2" w:rsidP="003E2BB2">
            <w:pPr>
              <w:jc w:val="both"/>
              <w:rPr>
                <w:rFonts w:ascii="Arial" w:hAnsi="Arial" w:cs="Arial"/>
              </w:rPr>
            </w:pPr>
          </w:p>
        </w:tc>
        <w:tc>
          <w:tcPr>
            <w:tcW w:w="1518" w:type="dxa"/>
            <w:gridSpan w:val="2"/>
            <w:tcBorders>
              <w:top w:val="nil"/>
              <w:bottom w:val="single" w:sz="4" w:space="0" w:color="auto"/>
            </w:tcBorders>
          </w:tcPr>
          <w:p w14:paraId="43416218" w14:textId="77777777" w:rsidR="00B40AA2" w:rsidRPr="00BA39D6" w:rsidRDefault="00B40AA2" w:rsidP="003E2BB2">
            <w:pPr>
              <w:jc w:val="both"/>
              <w:rPr>
                <w:rFonts w:ascii="Arial" w:hAnsi="Arial" w:cs="Arial"/>
              </w:rPr>
            </w:pPr>
            <w:r w:rsidRPr="00BA39D6">
              <w:rPr>
                <w:rFonts w:ascii="Arial" w:hAnsi="Arial" w:cs="Arial"/>
              </w:rPr>
              <w:t>60</w:t>
            </w:r>
          </w:p>
          <w:p w14:paraId="3E5D079D" w14:textId="77777777" w:rsidR="00B40AA2" w:rsidRPr="00BA39D6" w:rsidRDefault="00B40AA2" w:rsidP="003E2BB2">
            <w:pPr>
              <w:jc w:val="both"/>
              <w:rPr>
                <w:rFonts w:ascii="Arial" w:hAnsi="Arial" w:cs="Arial"/>
              </w:rPr>
            </w:pPr>
            <w:r w:rsidRPr="00BA39D6">
              <w:rPr>
                <w:rFonts w:ascii="Arial" w:hAnsi="Arial" w:cs="Arial"/>
              </w:rPr>
              <w:t>70</w:t>
            </w:r>
          </w:p>
        </w:tc>
        <w:tc>
          <w:tcPr>
            <w:tcW w:w="1292" w:type="dxa"/>
            <w:tcBorders>
              <w:top w:val="nil"/>
              <w:bottom w:val="single" w:sz="4" w:space="0" w:color="auto"/>
            </w:tcBorders>
          </w:tcPr>
          <w:p w14:paraId="11F9E429" w14:textId="77777777" w:rsidR="00B40AA2" w:rsidRPr="00BA39D6" w:rsidRDefault="00206365" w:rsidP="003E2BB2">
            <w:pPr>
              <w:jc w:val="both"/>
              <w:rPr>
                <w:rFonts w:ascii="Arial" w:hAnsi="Arial" w:cs="Arial"/>
              </w:rPr>
            </w:pPr>
            <w:r w:rsidRPr="00BA39D6">
              <w:rPr>
                <w:rFonts w:ascii="Arial" w:hAnsi="Arial" w:cs="Arial"/>
              </w:rPr>
              <w:t xml:space="preserve">   </w:t>
            </w:r>
            <w:r w:rsidR="00B40AA2" w:rsidRPr="00BA39D6">
              <w:rPr>
                <w:rFonts w:ascii="Arial" w:hAnsi="Arial" w:cs="Arial"/>
              </w:rPr>
              <w:t>25</w:t>
            </w:r>
          </w:p>
          <w:p w14:paraId="3AB2AF5E" w14:textId="77777777" w:rsidR="00B40AA2" w:rsidRPr="00BA39D6" w:rsidRDefault="00206365" w:rsidP="003E2BB2">
            <w:pPr>
              <w:jc w:val="both"/>
              <w:rPr>
                <w:rFonts w:ascii="Arial" w:hAnsi="Arial" w:cs="Arial"/>
                <w:vanish/>
              </w:rPr>
            </w:pPr>
            <w:r w:rsidRPr="00BA39D6">
              <w:rPr>
                <w:rFonts w:ascii="Arial" w:hAnsi="Arial" w:cs="Arial"/>
              </w:rPr>
              <w:t xml:space="preserve">   </w:t>
            </w:r>
            <w:r w:rsidR="00B40AA2" w:rsidRPr="00BA39D6">
              <w:rPr>
                <w:rFonts w:ascii="Arial" w:hAnsi="Arial" w:cs="Arial"/>
              </w:rPr>
              <w:t>20</w:t>
            </w:r>
          </w:p>
          <w:p w14:paraId="73FE8502" w14:textId="77777777" w:rsidR="00B40AA2" w:rsidRPr="00BA39D6" w:rsidRDefault="00B40AA2" w:rsidP="003E2BB2">
            <w:pPr>
              <w:jc w:val="both"/>
              <w:rPr>
                <w:rFonts w:ascii="Arial" w:hAnsi="Arial"/>
              </w:rPr>
            </w:pPr>
          </w:p>
        </w:tc>
        <w:tc>
          <w:tcPr>
            <w:tcW w:w="1292" w:type="dxa"/>
            <w:tcBorders>
              <w:top w:val="nil"/>
              <w:bottom w:val="single" w:sz="4" w:space="0" w:color="auto"/>
            </w:tcBorders>
          </w:tcPr>
          <w:p w14:paraId="06419218" w14:textId="77777777" w:rsidR="00B40AA2" w:rsidRPr="00BA39D6" w:rsidRDefault="00206365" w:rsidP="003E2BB2">
            <w:pPr>
              <w:jc w:val="both"/>
              <w:rPr>
                <w:rFonts w:ascii="Arial" w:hAnsi="Arial" w:cs="Arial"/>
              </w:rPr>
            </w:pPr>
            <w:r w:rsidRPr="00BA39D6">
              <w:rPr>
                <w:rFonts w:ascii="Arial" w:hAnsi="Arial" w:cs="Arial"/>
              </w:rPr>
              <w:t>15</w:t>
            </w:r>
          </w:p>
          <w:p w14:paraId="1C8E59A5" w14:textId="77777777" w:rsidR="00206365" w:rsidRPr="00BA39D6" w:rsidRDefault="00206365" w:rsidP="003E2BB2">
            <w:pPr>
              <w:jc w:val="both"/>
              <w:rPr>
                <w:rFonts w:ascii="Arial" w:hAnsi="Arial" w:cs="Arial"/>
              </w:rPr>
            </w:pPr>
            <w:r w:rsidRPr="00BA39D6">
              <w:rPr>
                <w:rFonts w:ascii="Arial" w:hAnsi="Arial" w:cs="Arial"/>
              </w:rPr>
              <w:t>10</w:t>
            </w:r>
          </w:p>
        </w:tc>
        <w:tc>
          <w:tcPr>
            <w:tcW w:w="668" w:type="dxa"/>
            <w:tcBorders>
              <w:top w:val="nil"/>
              <w:bottom w:val="single" w:sz="4" w:space="0" w:color="auto"/>
            </w:tcBorders>
          </w:tcPr>
          <w:p w14:paraId="1C11C7E4" w14:textId="77777777" w:rsidR="00B40AA2" w:rsidRPr="00BA39D6" w:rsidRDefault="00B40AA2" w:rsidP="003E2BB2">
            <w:pPr>
              <w:jc w:val="both"/>
              <w:rPr>
                <w:rFonts w:ascii="Arial" w:hAnsi="Arial" w:cs="Arial"/>
              </w:rPr>
            </w:pPr>
          </w:p>
        </w:tc>
        <w:tc>
          <w:tcPr>
            <w:tcW w:w="236" w:type="dxa"/>
            <w:tcBorders>
              <w:top w:val="nil"/>
              <w:bottom w:val="single" w:sz="4" w:space="0" w:color="auto"/>
            </w:tcBorders>
          </w:tcPr>
          <w:p w14:paraId="712E2B19" w14:textId="77777777" w:rsidR="00B40AA2" w:rsidRPr="00BA39D6" w:rsidRDefault="00B40AA2" w:rsidP="003E2BB2">
            <w:pPr>
              <w:jc w:val="both"/>
              <w:rPr>
                <w:rFonts w:ascii="Arial" w:hAnsi="Arial" w:cs="Arial"/>
              </w:rPr>
            </w:pPr>
          </w:p>
        </w:tc>
      </w:tr>
    </w:tbl>
    <w:p w14:paraId="755D7EA4" w14:textId="77777777" w:rsidR="00B40AA2" w:rsidRPr="00BA39D6" w:rsidRDefault="00206365">
      <w:pPr>
        <w:rPr>
          <w:rFonts w:ascii="Arial" w:hAnsi="Arial" w:cs="Arial"/>
          <w:sz w:val="20"/>
          <w:szCs w:val="20"/>
        </w:rPr>
      </w:pPr>
      <w:r w:rsidRPr="00BA39D6">
        <w:rPr>
          <w:rFonts w:ascii="Arial" w:hAnsi="Arial" w:cs="Arial"/>
          <w:sz w:val="20"/>
          <w:szCs w:val="20"/>
        </w:rPr>
        <w:t xml:space="preserve">                              </w:t>
      </w:r>
    </w:p>
    <w:p w14:paraId="1ED03EBC" w14:textId="77777777" w:rsidR="00DB2147" w:rsidRPr="00BA39D6" w:rsidRDefault="00244D85" w:rsidP="00D23D07">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lastRenderedPageBreak/>
        <w:t xml:space="preserve"> </w:t>
      </w:r>
    </w:p>
    <w:p w14:paraId="36036E2A" w14:textId="77777777" w:rsidR="00D23D07" w:rsidRPr="00BA39D6" w:rsidRDefault="00D23D07" w:rsidP="00D23D07">
      <w:pPr>
        <w:spacing w:after="0" w:line="240" w:lineRule="auto"/>
        <w:jc w:val="both"/>
        <w:rPr>
          <w:rFonts w:ascii="Arial" w:eastAsia="Times New Roman" w:hAnsi="Arial" w:cs="Arial"/>
          <w:b/>
          <w:lang w:eastAsia="en-IN"/>
        </w:rPr>
      </w:pPr>
      <w:r w:rsidRPr="00BA39D6">
        <w:rPr>
          <w:rFonts w:ascii="Arial" w:eastAsia="Times New Roman" w:hAnsi="Arial" w:cs="Arial"/>
          <w:b/>
          <w:lang w:eastAsia="en-IN"/>
        </w:rPr>
        <w:t>2.3 Evaluation of Sensory Properties of the Formulated Herbal Infusion Samples</w:t>
      </w:r>
    </w:p>
    <w:p w14:paraId="3CA6201E" w14:textId="77777777" w:rsidR="00DB2147" w:rsidRPr="00BA39D6" w:rsidRDefault="00DB2147" w:rsidP="00D23D07">
      <w:pPr>
        <w:spacing w:after="0" w:line="240" w:lineRule="auto"/>
        <w:jc w:val="both"/>
        <w:rPr>
          <w:rFonts w:ascii="Arial" w:eastAsia="Times New Roman" w:hAnsi="Arial" w:cs="Arial"/>
          <w:b/>
          <w:lang w:eastAsia="en-IN"/>
        </w:rPr>
      </w:pPr>
    </w:p>
    <w:p w14:paraId="4C2AF717" w14:textId="77777777" w:rsidR="007C7CC4" w:rsidRPr="00BA39D6" w:rsidRDefault="00D23D07" w:rsidP="007C7CC4">
      <w:pPr>
        <w:spacing w:after="0" w:line="240" w:lineRule="auto"/>
        <w:jc w:val="both"/>
        <w:rPr>
          <w:rFonts w:ascii="Arial" w:eastAsia="Times New Roman" w:hAnsi="Arial" w:cs="Arial"/>
          <w:sz w:val="20"/>
          <w:szCs w:val="20"/>
          <w:lang w:eastAsia="en-IN"/>
        </w:rPr>
      </w:pPr>
      <w:r w:rsidRPr="00BA39D6">
        <w:t>About 30 untrained panellists from BBAU, including teachers and students, evaluated the consumer acceptability of the developed herbal infusion. Whether or not they were familiar with herbal infusions, panellists were selected based on their willingness and commitment. Panellists were asked to rate their preferences for the samples based on appearance, colour, taste, flavour, and overall acceptability using a nine-point hedonic scale, with 1 denoting "dislike extremely" and 9 denoting "like extremely". Testing was conducted in a sensory evaluation room with controlled lighting and temperature and minimal external disturbance. The sensory evaluation data obtained were statistically analysed using SPSS software.</w:t>
      </w:r>
    </w:p>
    <w:p w14:paraId="2755FF2E" w14:textId="77777777" w:rsidR="007C7CC4" w:rsidRPr="00BA39D6" w:rsidRDefault="007C7CC4" w:rsidP="007C7CC4">
      <w:pPr>
        <w:spacing w:after="0" w:line="240" w:lineRule="auto"/>
        <w:jc w:val="both"/>
        <w:rPr>
          <w:rFonts w:ascii="Arial" w:eastAsia="Times New Roman" w:hAnsi="Arial" w:cs="Arial"/>
          <w:b/>
          <w:lang w:eastAsia="en-IN"/>
        </w:rPr>
      </w:pPr>
    </w:p>
    <w:p w14:paraId="292B48AD" w14:textId="77777777" w:rsidR="007C7CC4" w:rsidRPr="00BA39D6" w:rsidRDefault="007C7CC4" w:rsidP="007C7CC4">
      <w:pPr>
        <w:spacing w:after="0" w:line="240" w:lineRule="auto"/>
        <w:jc w:val="both"/>
        <w:rPr>
          <w:rFonts w:ascii="Arial" w:eastAsia="Times New Roman" w:hAnsi="Arial" w:cs="Arial"/>
          <w:b/>
          <w:lang w:eastAsia="en-IN"/>
        </w:rPr>
      </w:pPr>
      <w:r w:rsidRPr="00BA39D6">
        <w:rPr>
          <w:rFonts w:ascii="Arial" w:eastAsia="Times New Roman" w:hAnsi="Arial" w:cs="Arial"/>
          <w:b/>
          <w:lang w:eastAsia="en-IN"/>
        </w:rPr>
        <w:t>2.4 Proximate Analysis</w:t>
      </w:r>
    </w:p>
    <w:p w14:paraId="7C8FDAD4" w14:textId="77777777" w:rsidR="007C7CC4" w:rsidRPr="00BA39D6" w:rsidRDefault="007C7CC4" w:rsidP="007C7CC4">
      <w:pPr>
        <w:spacing w:after="0" w:line="240" w:lineRule="auto"/>
        <w:jc w:val="both"/>
        <w:rPr>
          <w:rFonts w:ascii="Arial" w:eastAsia="Times New Roman" w:hAnsi="Arial" w:cs="Arial"/>
          <w:b/>
          <w:sz w:val="20"/>
          <w:szCs w:val="20"/>
          <w:u w:val="single"/>
          <w:lang w:eastAsia="en-IN"/>
        </w:rPr>
      </w:pPr>
    </w:p>
    <w:p w14:paraId="35CAE9E2" w14:textId="77777777" w:rsidR="00D23D07" w:rsidRPr="00BA39D6" w:rsidRDefault="007C7CC4" w:rsidP="007C7CC4">
      <w:pPr>
        <w:spacing w:after="0" w:line="240" w:lineRule="auto"/>
        <w:jc w:val="both"/>
        <w:rPr>
          <w:rFonts w:ascii="Arial" w:eastAsia="Times New Roman" w:hAnsi="Arial" w:cs="Arial"/>
          <w:b/>
          <w:sz w:val="20"/>
          <w:szCs w:val="20"/>
          <w:lang w:eastAsia="en-IN"/>
        </w:rPr>
      </w:pPr>
      <w:r w:rsidRPr="00BA39D6">
        <w:t>Based on the sensory evaluation results, the most preferred formulation (F2) was selected for proximate analysis. Moisture, ash, fat, protein, and fibre contents were determined using the methods described by Ranganna (2005), based on AOAC procedures.</w:t>
      </w:r>
    </w:p>
    <w:p w14:paraId="447B481C" w14:textId="77777777" w:rsidR="007C7CC4" w:rsidRPr="00BA39D6" w:rsidRDefault="007C7CC4" w:rsidP="007C7CC4">
      <w:pPr>
        <w:spacing w:after="0" w:line="240" w:lineRule="auto"/>
        <w:jc w:val="both"/>
        <w:rPr>
          <w:rFonts w:ascii="Arial" w:eastAsia="Times New Roman" w:hAnsi="Arial" w:cs="Arial"/>
          <w:sz w:val="20"/>
          <w:szCs w:val="20"/>
          <w:lang w:eastAsia="en-IN"/>
        </w:rPr>
      </w:pPr>
    </w:p>
    <w:p w14:paraId="488A3F2D" w14:textId="77777777" w:rsidR="007C7CC4" w:rsidRPr="00BA39D6" w:rsidRDefault="007C7CC4" w:rsidP="007C7CC4">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2.4.1 Moisture Content</w:t>
      </w:r>
    </w:p>
    <w:p w14:paraId="7AA6757D" w14:textId="77777777" w:rsidR="0051546B" w:rsidRPr="00BA39D6" w:rsidRDefault="0051546B" w:rsidP="007C7CC4">
      <w:pPr>
        <w:spacing w:after="0" w:line="240" w:lineRule="auto"/>
        <w:jc w:val="both"/>
        <w:rPr>
          <w:rFonts w:ascii="Arial" w:eastAsia="Times New Roman" w:hAnsi="Arial" w:cs="Arial"/>
          <w:b/>
          <w:sz w:val="20"/>
          <w:szCs w:val="20"/>
          <w:u w:val="single"/>
          <w:lang w:eastAsia="en-IN"/>
        </w:rPr>
      </w:pPr>
    </w:p>
    <w:p w14:paraId="5EF63BF0" w14:textId="77777777" w:rsidR="00F20F8C" w:rsidRPr="00BA39D6" w:rsidRDefault="00A419DD" w:rsidP="007C7CC4">
      <w:pPr>
        <w:spacing w:after="0" w:line="240" w:lineRule="auto"/>
        <w:jc w:val="both"/>
        <w:rPr>
          <w:rFonts w:ascii="Arial" w:eastAsia="Times New Roman" w:hAnsi="Arial" w:cs="Arial"/>
          <w:sz w:val="20"/>
          <w:szCs w:val="20"/>
          <w:lang w:eastAsia="en-IN"/>
        </w:rPr>
      </w:pPr>
      <w:r w:rsidRPr="00BA39D6">
        <w:t>The weight of a clean and dry Petri dish was set through three consecutive measurements after drying in a hot-air oven at 105°C. The weight of the empty dish with the sample was then recorded as W1, or the initial weight. The dish was again kept in an oven for drying at 105°C for 4 hours, and the final weight was recorded as W2. Moisture content was computed as a percentage by deducting the dried weight from the sample weight.</w:t>
      </w:r>
    </w:p>
    <w:p w14:paraId="27664606" w14:textId="77777777" w:rsidR="00C80E6E" w:rsidRPr="00BA39D6" w:rsidRDefault="00C80E6E" w:rsidP="007C7CC4">
      <w:pPr>
        <w:spacing w:after="0" w:line="240" w:lineRule="auto"/>
        <w:jc w:val="both"/>
        <w:rPr>
          <w:rFonts w:ascii="Arial" w:eastAsia="Times New Roman" w:hAnsi="Arial" w:cs="Arial"/>
          <w:sz w:val="20"/>
          <w:szCs w:val="20"/>
          <w:lang w:eastAsia="en-IN"/>
        </w:rPr>
      </w:pPr>
    </w:p>
    <w:p w14:paraId="199913DF" w14:textId="77777777" w:rsidR="00F20F8C" w:rsidRPr="00BA39D6" w:rsidRDefault="00F20F8C"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Moisture content</w:t>
      </w:r>
      <w:r w:rsidR="00C80E6E" w:rsidRPr="00BA39D6">
        <w:rPr>
          <w:rFonts w:ascii="Arial" w:eastAsia="Times New Roman" w:hAnsi="Arial" w:cs="Arial"/>
          <w:sz w:val="20"/>
          <w:szCs w:val="20"/>
          <w:lang w:eastAsia="en-IN"/>
        </w:rPr>
        <w:t xml:space="preserve"> </w:t>
      </w:r>
      <w:r w:rsidRPr="00BA39D6">
        <w:rPr>
          <w:rFonts w:ascii="Arial" w:eastAsia="Times New Roman" w:hAnsi="Arial" w:cs="Arial"/>
          <w:sz w:val="20"/>
          <w:szCs w:val="20"/>
          <w:lang w:eastAsia="en-IN"/>
        </w:rPr>
        <w:t xml:space="preserve">(%) = </w:t>
      </w:r>
      <w:r w:rsidRPr="00BA39D6">
        <w:rPr>
          <w:rFonts w:ascii="Arial" w:eastAsia="Times New Roman" w:hAnsi="Arial" w:cs="Arial"/>
          <w:sz w:val="20"/>
          <w:szCs w:val="20"/>
          <w:u w:val="single"/>
          <w:lang w:eastAsia="en-IN"/>
        </w:rPr>
        <w:t xml:space="preserve">Initial </w:t>
      </w:r>
      <w:r w:rsidR="00A1457E" w:rsidRPr="00BA39D6">
        <w:rPr>
          <w:rFonts w:ascii="Arial" w:eastAsia="Times New Roman" w:hAnsi="Arial" w:cs="Arial"/>
          <w:sz w:val="20"/>
          <w:szCs w:val="20"/>
          <w:u w:val="single"/>
          <w:lang w:eastAsia="en-IN"/>
        </w:rPr>
        <w:t>W</w:t>
      </w:r>
      <w:r w:rsidRPr="00BA39D6">
        <w:rPr>
          <w:rFonts w:ascii="Arial" w:eastAsia="Times New Roman" w:hAnsi="Arial" w:cs="Arial"/>
          <w:sz w:val="20"/>
          <w:szCs w:val="20"/>
          <w:u w:val="single"/>
          <w:lang w:eastAsia="en-IN"/>
        </w:rPr>
        <w:t>t</w:t>
      </w:r>
      <w:r w:rsidR="00A1457E" w:rsidRPr="00BA39D6">
        <w:rPr>
          <w:rFonts w:ascii="Arial" w:eastAsia="Times New Roman" w:hAnsi="Arial" w:cs="Arial"/>
          <w:sz w:val="20"/>
          <w:szCs w:val="20"/>
          <w:u w:val="single"/>
          <w:lang w:eastAsia="en-IN"/>
        </w:rPr>
        <w:t xml:space="preserve">. </w:t>
      </w:r>
      <w:r w:rsidRPr="00BA39D6">
        <w:rPr>
          <w:rFonts w:ascii="Arial" w:eastAsia="Times New Roman" w:hAnsi="Arial" w:cs="Arial"/>
          <w:sz w:val="20"/>
          <w:szCs w:val="20"/>
          <w:u w:val="single"/>
          <w:lang w:eastAsia="en-IN"/>
        </w:rPr>
        <w:t xml:space="preserve">(W1)- Final </w:t>
      </w:r>
      <w:r w:rsidR="00A1457E" w:rsidRPr="00BA39D6">
        <w:rPr>
          <w:rFonts w:ascii="Arial" w:eastAsia="Times New Roman" w:hAnsi="Arial" w:cs="Arial"/>
          <w:sz w:val="20"/>
          <w:szCs w:val="20"/>
          <w:u w:val="single"/>
          <w:lang w:eastAsia="en-IN"/>
        </w:rPr>
        <w:t>Wt.</w:t>
      </w:r>
      <w:r w:rsidRPr="00BA39D6">
        <w:rPr>
          <w:rFonts w:ascii="Arial" w:eastAsia="Times New Roman" w:hAnsi="Arial" w:cs="Arial"/>
          <w:sz w:val="20"/>
          <w:szCs w:val="20"/>
          <w:u w:val="single"/>
          <w:lang w:eastAsia="en-IN"/>
        </w:rPr>
        <w:t>(W2) ×</w:t>
      </w:r>
      <w:r w:rsidRPr="00BA39D6">
        <w:rPr>
          <w:rFonts w:ascii="Arial" w:eastAsia="Times New Roman" w:hAnsi="Arial" w:cs="Arial"/>
          <w:sz w:val="20"/>
          <w:szCs w:val="20"/>
          <w:lang w:eastAsia="en-IN"/>
        </w:rPr>
        <w:t xml:space="preserve"> 100</w:t>
      </w:r>
    </w:p>
    <w:p w14:paraId="209C14A0" w14:textId="77777777" w:rsidR="00E0023E" w:rsidRPr="00BA39D6" w:rsidRDefault="00F20F8C"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Weight of sample(W)</w:t>
      </w:r>
    </w:p>
    <w:p w14:paraId="1ED003F6" w14:textId="77777777" w:rsidR="005717EE" w:rsidRPr="00BA39D6" w:rsidRDefault="005717EE" w:rsidP="007C7CC4">
      <w:pPr>
        <w:spacing w:after="0" w:line="240" w:lineRule="auto"/>
        <w:jc w:val="both"/>
        <w:rPr>
          <w:rFonts w:ascii="Arial" w:eastAsia="Times New Roman" w:hAnsi="Arial" w:cs="Arial"/>
          <w:b/>
          <w:sz w:val="20"/>
          <w:szCs w:val="20"/>
          <w:u w:val="single"/>
          <w:lang w:eastAsia="en-IN"/>
        </w:rPr>
      </w:pPr>
    </w:p>
    <w:p w14:paraId="2D34B2EF" w14:textId="77777777" w:rsidR="005717EE" w:rsidRPr="00BA39D6" w:rsidRDefault="005717EE" w:rsidP="007C7CC4">
      <w:pPr>
        <w:spacing w:after="0" w:line="240" w:lineRule="auto"/>
        <w:jc w:val="both"/>
        <w:rPr>
          <w:rFonts w:ascii="Arial" w:eastAsia="Times New Roman" w:hAnsi="Arial" w:cs="Arial"/>
          <w:b/>
          <w:sz w:val="20"/>
          <w:szCs w:val="20"/>
          <w:u w:val="single"/>
          <w:lang w:eastAsia="en-IN"/>
        </w:rPr>
      </w:pPr>
    </w:p>
    <w:p w14:paraId="59C14800" w14:textId="77777777" w:rsidR="006D32C4" w:rsidRPr="00BA39D6" w:rsidRDefault="006D32C4" w:rsidP="007C7CC4">
      <w:pPr>
        <w:spacing w:after="0" w:line="240" w:lineRule="auto"/>
        <w:jc w:val="both"/>
        <w:rPr>
          <w:rFonts w:ascii="Arial" w:eastAsia="Times New Roman" w:hAnsi="Arial" w:cs="Arial"/>
          <w:b/>
          <w:sz w:val="20"/>
          <w:szCs w:val="20"/>
          <w:u w:val="single"/>
          <w:lang w:eastAsia="en-IN"/>
        </w:rPr>
      </w:pPr>
    </w:p>
    <w:p w14:paraId="66F40549" w14:textId="77777777" w:rsidR="006D32C4" w:rsidRPr="00BA39D6" w:rsidRDefault="006D32C4" w:rsidP="007C7CC4">
      <w:pPr>
        <w:spacing w:after="0" w:line="240" w:lineRule="auto"/>
        <w:jc w:val="both"/>
        <w:rPr>
          <w:rFonts w:ascii="Arial" w:eastAsia="Times New Roman" w:hAnsi="Arial" w:cs="Arial"/>
          <w:b/>
          <w:sz w:val="20"/>
          <w:szCs w:val="20"/>
          <w:u w:val="single"/>
          <w:lang w:eastAsia="en-IN"/>
        </w:rPr>
      </w:pPr>
    </w:p>
    <w:p w14:paraId="3A7BA0D4" w14:textId="77777777" w:rsidR="00F724C8" w:rsidRPr="00BA39D6" w:rsidRDefault="00F724C8" w:rsidP="007C7CC4">
      <w:pPr>
        <w:spacing w:after="0" w:line="240" w:lineRule="auto"/>
        <w:jc w:val="both"/>
        <w:rPr>
          <w:rFonts w:ascii="Arial" w:eastAsia="Times New Roman" w:hAnsi="Arial" w:cs="Arial"/>
          <w:b/>
          <w:sz w:val="20"/>
          <w:szCs w:val="20"/>
          <w:u w:val="single"/>
          <w:lang w:eastAsia="en-IN"/>
        </w:rPr>
      </w:pPr>
    </w:p>
    <w:p w14:paraId="33D5C0A7" w14:textId="77777777" w:rsidR="00273F60" w:rsidRPr="00BA39D6" w:rsidRDefault="00F20F8C" w:rsidP="007C7CC4">
      <w:pPr>
        <w:spacing w:after="0" w:line="240" w:lineRule="auto"/>
        <w:jc w:val="both"/>
        <w:rPr>
          <w:rFonts w:ascii="Arial" w:eastAsia="Times New Roman" w:hAnsi="Arial" w:cs="Arial"/>
          <w:b/>
          <w:sz w:val="20"/>
          <w:szCs w:val="20"/>
          <w:u w:val="single"/>
          <w:lang w:eastAsia="en-IN"/>
        </w:rPr>
      </w:pPr>
      <w:r w:rsidRPr="00BA39D6">
        <w:t>2.4.2 Fat Content</w:t>
      </w:r>
    </w:p>
    <w:p w14:paraId="2A4CA621" w14:textId="77777777" w:rsidR="00F20F8C" w:rsidRPr="00BA39D6" w:rsidRDefault="00F20F8C" w:rsidP="007C7CC4">
      <w:pPr>
        <w:spacing w:after="0" w:line="240" w:lineRule="auto"/>
        <w:jc w:val="both"/>
        <w:rPr>
          <w:rFonts w:ascii="Arial" w:eastAsia="Times New Roman" w:hAnsi="Arial" w:cs="Arial"/>
          <w:b/>
          <w:sz w:val="20"/>
          <w:szCs w:val="20"/>
          <w:u w:val="single"/>
          <w:lang w:eastAsia="en-IN"/>
        </w:rPr>
      </w:pPr>
    </w:p>
    <w:p w14:paraId="598E0333" w14:textId="77777777" w:rsidR="009F7D61" w:rsidRPr="00BA39D6" w:rsidRDefault="00A1457E" w:rsidP="007C7CC4">
      <w:pPr>
        <w:spacing w:after="0" w:line="240" w:lineRule="auto"/>
        <w:jc w:val="both"/>
        <w:rPr>
          <w:rFonts w:ascii="Arial" w:eastAsia="Times New Roman" w:hAnsi="Arial" w:cs="Arial"/>
          <w:sz w:val="20"/>
          <w:szCs w:val="20"/>
          <w:lang w:eastAsia="en-IN"/>
        </w:rPr>
      </w:pPr>
      <w:r w:rsidRPr="00BA39D6">
        <w:t>The Soxhlet extraction method was used to assess the fat content of the sample. Moisture-free samples were transferred to a thimble made of Whatman No. 42 filter paper, which was then mounted on a stand and transferred to a pre-weighed Soxhlet beaker. Petroleum ether was added to the beaker, which was then connected to the Soxhlet apparatus. The sample was extracted for two hours at 80°C in the first cycle and then for two hours at 120°C in the second and final cycle to facilitate ether evaporation. Finally, the Soxhlet beaker was placed in a hot-air oven at 105°C for 30 minutes, or as required. The percentage of crude fat was computed as follows:</w:t>
      </w:r>
    </w:p>
    <w:p w14:paraId="381D92BF" w14:textId="77777777" w:rsidR="00A1457E" w:rsidRPr="00BA39D6" w:rsidRDefault="00A1457E" w:rsidP="007C7CC4">
      <w:pPr>
        <w:spacing w:after="0" w:line="240" w:lineRule="auto"/>
        <w:jc w:val="both"/>
        <w:rPr>
          <w:rFonts w:ascii="Arial" w:eastAsia="Times New Roman" w:hAnsi="Arial" w:cs="Arial"/>
          <w:sz w:val="20"/>
          <w:szCs w:val="20"/>
          <w:lang w:eastAsia="en-IN"/>
        </w:rPr>
      </w:pPr>
    </w:p>
    <w:p w14:paraId="61936D58" w14:textId="77777777" w:rsidR="00273F60"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Crude fat (%) = </w:t>
      </w:r>
      <w:r w:rsidRPr="00BA39D6">
        <w:rPr>
          <w:rFonts w:ascii="Arial" w:eastAsia="Times New Roman" w:hAnsi="Arial" w:cs="Arial"/>
          <w:sz w:val="20"/>
          <w:szCs w:val="20"/>
          <w:u w:val="single"/>
          <w:lang w:eastAsia="en-IN"/>
        </w:rPr>
        <w:t>W2-W1</w:t>
      </w:r>
      <w:r w:rsidRPr="00BA39D6">
        <w:rPr>
          <w:rFonts w:ascii="Arial" w:eastAsia="Times New Roman" w:hAnsi="Arial" w:cs="Arial"/>
          <w:sz w:val="20"/>
          <w:szCs w:val="20"/>
          <w:lang w:eastAsia="en-IN"/>
        </w:rPr>
        <w:t>× 100</w:t>
      </w:r>
    </w:p>
    <w:p w14:paraId="6FD6BF81" w14:textId="77777777" w:rsidR="009F7D61"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w:t>
      </w:r>
    </w:p>
    <w:p w14:paraId="1C7D9F57" w14:textId="77777777" w:rsidR="009F7D61"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Where, </w:t>
      </w:r>
    </w:p>
    <w:p w14:paraId="1A56A09A" w14:textId="77777777" w:rsidR="009F7D61"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W1- </w:t>
      </w:r>
      <w:proofErr w:type="spellStart"/>
      <w:r w:rsidRPr="00BA39D6">
        <w:rPr>
          <w:rFonts w:ascii="Arial" w:eastAsia="Times New Roman" w:hAnsi="Arial" w:cs="Arial"/>
          <w:sz w:val="20"/>
          <w:szCs w:val="20"/>
          <w:lang w:eastAsia="en-IN"/>
        </w:rPr>
        <w:t>W</w:t>
      </w:r>
      <w:r w:rsidR="00E51CCB" w:rsidRPr="00BA39D6">
        <w:rPr>
          <w:rFonts w:ascii="Arial" w:eastAsia="Times New Roman" w:hAnsi="Arial" w:cs="Arial"/>
          <w:sz w:val="20"/>
          <w:szCs w:val="20"/>
          <w:lang w:eastAsia="en-IN"/>
        </w:rPr>
        <w:t>t</w:t>
      </w:r>
      <w:proofErr w:type="spellEnd"/>
      <w:r w:rsidRPr="00BA39D6">
        <w:rPr>
          <w:rFonts w:ascii="Arial" w:eastAsia="Times New Roman" w:hAnsi="Arial" w:cs="Arial"/>
          <w:sz w:val="20"/>
          <w:szCs w:val="20"/>
          <w:lang w:eastAsia="en-IN"/>
        </w:rPr>
        <w:t xml:space="preserve"> of round bottom flask</w:t>
      </w:r>
    </w:p>
    <w:p w14:paraId="085BFF2D" w14:textId="77777777" w:rsidR="009F7D61"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W2- </w:t>
      </w:r>
      <w:proofErr w:type="spellStart"/>
      <w:r w:rsidRPr="00BA39D6">
        <w:rPr>
          <w:rFonts w:ascii="Arial" w:eastAsia="Times New Roman" w:hAnsi="Arial" w:cs="Arial"/>
          <w:sz w:val="20"/>
          <w:szCs w:val="20"/>
          <w:lang w:eastAsia="en-IN"/>
        </w:rPr>
        <w:t>Wt</w:t>
      </w:r>
      <w:proofErr w:type="spellEnd"/>
      <w:r w:rsidRPr="00BA39D6">
        <w:rPr>
          <w:rFonts w:ascii="Arial" w:eastAsia="Times New Roman" w:hAnsi="Arial" w:cs="Arial"/>
          <w:sz w:val="20"/>
          <w:szCs w:val="20"/>
          <w:lang w:eastAsia="en-IN"/>
        </w:rPr>
        <w:t xml:space="preserve"> of round bottom flask + fat</w:t>
      </w:r>
    </w:p>
    <w:p w14:paraId="4C5922E9" w14:textId="77777777" w:rsidR="009F7D61"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   </w:t>
      </w:r>
      <w:proofErr w:type="spellStart"/>
      <w:r w:rsidRPr="00BA39D6">
        <w:rPr>
          <w:rFonts w:ascii="Arial" w:eastAsia="Times New Roman" w:hAnsi="Arial" w:cs="Arial"/>
          <w:sz w:val="20"/>
          <w:szCs w:val="20"/>
          <w:lang w:eastAsia="en-IN"/>
        </w:rPr>
        <w:t>Wt</w:t>
      </w:r>
      <w:proofErr w:type="spellEnd"/>
      <w:r w:rsidRPr="00BA39D6">
        <w:rPr>
          <w:rFonts w:ascii="Arial" w:eastAsia="Times New Roman" w:hAnsi="Arial" w:cs="Arial"/>
          <w:sz w:val="20"/>
          <w:szCs w:val="20"/>
          <w:lang w:eastAsia="en-IN"/>
        </w:rPr>
        <w:t xml:space="preserve"> of sample</w:t>
      </w:r>
    </w:p>
    <w:p w14:paraId="129D1C04" w14:textId="77777777" w:rsidR="009F7D61" w:rsidRPr="00BA39D6" w:rsidRDefault="009F7D61"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W2-W1 + Weight of ether </w:t>
      </w:r>
      <w:r w:rsidR="006F1C75" w:rsidRPr="00BA39D6">
        <w:rPr>
          <w:rFonts w:ascii="Arial" w:eastAsia="Times New Roman" w:hAnsi="Arial" w:cs="Arial"/>
          <w:sz w:val="20"/>
          <w:szCs w:val="20"/>
          <w:lang w:eastAsia="en-IN"/>
        </w:rPr>
        <w:t>soluble material</w:t>
      </w:r>
    </w:p>
    <w:p w14:paraId="304870FD" w14:textId="77777777" w:rsidR="006F1C75" w:rsidRPr="00BA39D6" w:rsidRDefault="006F1C75" w:rsidP="007C7CC4">
      <w:pPr>
        <w:spacing w:after="0" w:line="240" w:lineRule="auto"/>
        <w:jc w:val="both"/>
        <w:rPr>
          <w:rFonts w:ascii="Arial" w:eastAsia="Times New Roman" w:hAnsi="Arial" w:cs="Arial"/>
          <w:sz w:val="20"/>
          <w:szCs w:val="20"/>
          <w:lang w:eastAsia="en-IN"/>
        </w:rPr>
      </w:pPr>
    </w:p>
    <w:p w14:paraId="662361D7" w14:textId="77777777" w:rsidR="006F1C75" w:rsidRPr="00BA39D6" w:rsidRDefault="006F1C75" w:rsidP="007C7CC4">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2.4.3</w:t>
      </w:r>
      <w:r w:rsidR="000C4FCE" w:rsidRPr="00BA39D6">
        <w:rPr>
          <w:rFonts w:ascii="Arial" w:eastAsia="Times New Roman" w:hAnsi="Arial" w:cs="Arial"/>
          <w:b/>
          <w:sz w:val="20"/>
          <w:szCs w:val="20"/>
          <w:u w:val="single"/>
          <w:lang w:eastAsia="en-IN"/>
        </w:rPr>
        <w:t xml:space="preserve"> </w:t>
      </w:r>
      <w:r w:rsidRPr="00BA39D6">
        <w:rPr>
          <w:rFonts w:ascii="Arial" w:eastAsia="Times New Roman" w:hAnsi="Arial" w:cs="Arial"/>
          <w:b/>
          <w:sz w:val="20"/>
          <w:szCs w:val="20"/>
          <w:u w:val="single"/>
          <w:lang w:eastAsia="en-IN"/>
        </w:rPr>
        <w:t>Protein</w:t>
      </w:r>
      <w:r w:rsidR="000C4FCE" w:rsidRPr="00BA39D6">
        <w:rPr>
          <w:rFonts w:ascii="Arial" w:eastAsia="Times New Roman" w:hAnsi="Arial" w:cs="Arial"/>
          <w:b/>
          <w:sz w:val="20"/>
          <w:szCs w:val="20"/>
          <w:u w:val="single"/>
          <w:lang w:eastAsia="en-IN"/>
        </w:rPr>
        <w:t xml:space="preserve"> Content</w:t>
      </w:r>
    </w:p>
    <w:p w14:paraId="766D5D54" w14:textId="77777777" w:rsidR="006F1C75" w:rsidRPr="00BA39D6" w:rsidRDefault="006F1C75" w:rsidP="007C7CC4">
      <w:pPr>
        <w:spacing w:after="0" w:line="240" w:lineRule="auto"/>
        <w:jc w:val="both"/>
        <w:rPr>
          <w:rFonts w:ascii="Arial" w:eastAsia="Times New Roman" w:hAnsi="Arial" w:cs="Arial"/>
          <w:b/>
          <w:sz w:val="20"/>
          <w:szCs w:val="20"/>
          <w:u w:val="single"/>
          <w:lang w:eastAsia="en-IN"/>
        </w:rPr>
      </w:pPr>
    </w:p>
    <w:p w14:paraId="5CA252C1" w14:textId="77777777" w:rsidR="006F1C75" w:rsidRPr="00BA39D6" w:rsidRDefault="006F1C75" w:rsidP="007C7CC4">
      <w:pPr>
        <w:spacing w:after="0" w:line="240" w:lineRule="auto"/>
        <w:jc w:val="both"/>
        <w:rPr>
          <w:rFonts w:ascii="Arial" w:eastAsia="Times New Roman" w:hAnsi="Arial" w:cs="Arial"/>
          <w:sz w:val="20"/>
          <w:szCs w:val="20"/>
          <w:lang w:eastAsia="en-IN"/>
        </w:rPr>
      </w:pPr>
      <w:r w:rsidRPr="00BA39D6">
        <w:t>The Kjeldahl method, involving digestion, distillation, and titration, was used to determine the protein concentration. Approximately 0.3 g of the sample was digested with a catalyst mixture and concentrated sulphuric acid at 440°C for five to six hours until a bright greenish-blue solution was produced. A 10 mL aliquot of the digest was distilled with 30% sodium hydroxide after being diluted to 100 mL. The released ammonia was collected in boric acid and titrated against 0.1 N hydrochloric acid using a mixed indicator. A blank was also prepared in the same manner, and the nitrogen value was used to compute protein content.</w:t>
      </w:r>
    </w:p>
    <w:p w14:paraId="5A4D9E0A" w14:textId="77777777" w:rsidR="006F1C75" w:rsidRPr="00BA39D6" w:rsidRDefault="006F1C75" w:rsidP="007C7CC4">
      <w:pPr>
        <w:spacing w:after="0" w:line="240" w:lineRule="auto"/>
        <w:jc w:val="both"/>
        <w:rPr>
          <w:rFonts w:ascii="Arial" w:eastAsia="Times New Roman" w:hAnsi="Arial" w:cs="Arial"/>
          <w:sz w:val="20"/>
          <w:szCs w:val="20"/>
          <w:lang w:eastAsia="en-IN"/>
        </w:rPr>
      </w:pPr>
    </w:p>
    <w:p w14:paraId="6EB4BCFF" w14:textId="77777777" w:rsidR="007C7CC4" w:rsidRPr="00BA39D6" w:rsidRDefault="006F1C75" w:rsidP="007C7CC4">
      <w:pPr>
        <w:spacing w:after="0" w:line="240" w:lineRule="auto"/>
        <w:jc w:val="both"/>
        <w:rPr>
          <w:rFonts w:ascii="Arial" w:eastAsia="Times New Roman" w:hAnsi="Arial" w:cs="Arial"/>
          <w:sz w:val="20"/>
          <w:szCs w:val="20"/>
          <w:u w:val="single"/>
          <w:lang w:eastAsia="en-IN"/>
        </w:rPr>
      </w:pPr>
      <w:r w:rsidRPr="00BA39D6">
        <w:rPr>
          <w:rFonts w:ascii="Arial" w:eastAsia="Times New Roman" w:hAnsi="Arial" w:cs="Arial"/>
          <w:sz w:val="20"/>
          <w:szCs w:val="20"/>
          <w:lang w:eastAsia="en-IN"/>
        </w:rPr>
        <w:t xml:space="preserve">Nitrogen (%) = </w:t>
      </w:r>
      <w:r w:rsidRPr="00BA39D6">
        <w:rPr>
          <w:rFonts w:ascii="Arial" w:eastAsia="Times New Roman" w:hAnsi="Arial" w:cs="Arial"/>
          <w:sz w:val="20"/>
          <w:szCs w:val="20"/>
          <w:u w:val="single"/>
          <w:lang w:eastAsia="en-IN"/>
        </w:rPr>
        <w:t xml:space="preserve">(Sample titre- Blank titre) × Normality of HCl × 14 × 100 </w:t>
      </w:r>
    </w:p>
    <w:p w14:paraId="26C37AE6" w14:textId="77777777" w:rsidR="000C4FCE" w:rsidRPr="00BA39D6" w:rsidRDefault="000C4FCE"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Weight of sample × 1000</w:t>
      </w:r>
    </w:p>
    <w:p w14:paraId="344E9190" w14:textId="77777777" w:rsidR="000C4FCE" w:rsidRPr="00BA39D6" w:rsidRDefault="000C4FCE" w:rsidP="007C7CC4">
      <w:pPr>
        <w:spacing w:after="0" w:line="240" w:lineRule="auto"/>
        <w:jc w:val="both"/>
        <w:rPr>
          <w:rFonts w:ascii="Arial" w:eastAsia="Times New Roman" w:hAnsi="Arial" w:cs="Arial"/>
          <w:sz w:val="20"/>
          <w:szCs w:val="20"/>
          <w:lang w:eastAsia="en-IN"/>
        </w:rPr>
      </w:pPr>
    </w:p>
    <w:p w14:paraId="45330A25" w14:textId="77777777" w:rsidR="000C4FCE" w:rsidRPr="00BA39D6" w:rsidRDefault="000C4FCE"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Protein % = Nitrogen % × 6.25</w:t>
      </w:r>
    </w:p>
    <w:p w14:paraId="5218F632" w14:textId="77777777" w:rsidR="000C4FCE" w:rsidRPr="00BA39D6" w:rsidRDefault="000C4FCE" w:rsidP="007C7CC4">
      <w:pPr>
        <w:spacing w:after="0" w:line="240" w:lineRule="auto"/>
        <w:jc w:val="both"/>
        <w:rPr>
          <w:rFonts w:ascii="Arial" w:eastAsia="Times New Roman" w:hAnsi="Arial" w:cs="Arial"/>
          <w:sz w:val="20"/>
          <w:szCs w:val="20"/>
          <w:lang w:eastAsia="en-IN"/>
        </w:rPr>
      </w:pPr>
    </w:p>
    <w:p w14:paraId="22A9C451" w14:textId="77777777" w:rsidR="000C4FCE" w:rsidRPr="00BA39D6" w:rsidRDefault="000C4FCE" w:rsidP="007C7CC4">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2.4.4 Ash Content</w:t>
      </w:r>
    </w:p>
    <w:p w14:paraId="65DD1D55" w14:textId="77777777" w:rsidR="000C4FCE" w:rsidRPr="00BA39D6" w:rsidRDefault="000C4FCE" w:rsidP="007C7CC4">
      <w:pPr>
        <w:spacing w:after="0" w:line="240" w:lineRule="auto"/>
        <w:jc w:val="both"/>
        <w:rPr>
          <w:rFonts w:ascii="Arial" w:eastAsia="Times New Roman" w:hAnsi="Arial" w:cs="Arial"/>
          <w:sz w:val="20"/>
          <w:szCs w:val="20"/>
          <w:lang w:eastAsia="en-IN"/>
        </w:rPr>
      </w:pPr>
    </w:p>
    <w:p w14:paraId="6EBB31C6" w14:textId="77777777" w:rsidR="000C4FCE" w:rsidRPr="00BA39D6" w:rsidRDefault="00A1457E" w:rsidP="007C7CC4">
      <w:pPr>
        <w:spacing w:after="0" w:line="240" w:lineRule="auto"/>
        <w:jc w:val="both"/>
        <w:rPr>
          <w:rFonts w:ascii="Arial" w:eastAsia="Times New Roman" w:hAnsi="Arial" w:cs="Arial"/>
          <w:sz w:val="20"/>
          <w:szCs w:val="20"/>
          <w:lang w:eastAsia="en-IN"/>
        </w:rPr>
      </w:pPr>
      <w:r w:rsidRPr="00BA39D6">
        <w:t>The dry ashing method was used to determine ash content. A silica crucible was heated to 105°C in a hot-air oven until it reached a constant weight. A crucible containing approximately 2 g of the sample was heated over a Bunsen burner until odours ceased. The sample was then placed in a muffle furnace and heated to 550°C until clear ash was produced. After cooling, the weight of the residue was recorded and expressed as a percentage.</w:t>
      </w:r>
    </w:p>
    <w:p w14:paraId="1E71685A" w14:textId="77777777" w:rsidR="007C7CC4" w:rsidRPr="00BA39D6" w:rsidRDefault="007C7CC4" w:rsidP="007C7CC4">
      <w:pPr>
        <w:spacing w:after="0" w:line="240" w:lineRule="auto"/>
        <w:jc w:val="both"/>
        <w:rPr>
          <w:rFonts w:ascii="Arial" w:eastAsia="Times New Roman" w:hAnsi="Arial" w:cs="Arial"/>
          <w:sz w:val="20"/>
          <w:szCs w:val="20"/>
          <w:lang w:eastAsia="en-IN"/>
        </w:rPr>
      </w:pPr>
    </w:p>
    <w:p w14:paraId="7FBCFC10" w14:textId="77777777" w:rsidR="0084403D" w:rsidRPr="00BA39D6" w:rsidRDefault="0084403D"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Ash (%) = </w:t>
      </w:r>
      <w:r w:rsidRPr="00BA39D6">
        <w:rPr>
          <w:rFonts w:ascii="Arial" w:eastAsia="Times New Roman" w:hAnsi="Arial" w:cs="Arial"/>
          <w:sz w:val="20"/>
          <w:szCs w:val="20"/>
          <w:u w:val="single"/>
          <w:lang w:eastAsia="en-IN"/>
        </w:rPr>
        <w:t>W2 – W1 ×</w:t>
      </w:r>
      <w:r w:rsidRPr="00BA39D6">
        <w:rPr>
          <w:rFonts w:ascii="Arial" w:eastAsia="Times New Roman" w:hAnsi="Arial" w:cs="Arial"/>
          <w:sz w:val="20"/>
          <w:szCs w:val="20"/>
          <w:lang w:eastAsia="en-IN"/>
        </w:rPr>
        <w:t xml:space="preserve"> 100</w:t>
      </w:r>
    </w:p>
    <w:p w14:paraId="101EFAEF" w14:textId="77777777" w:rsidR="0084403D" w:rsidRPr="00BA39D6" w:rsidRDefault="0084403D"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w:t>
      </w:r>
    </w:p>
    <w:p w14:paraId="0F8D65E3" w14:textId="77777777" w:rsidR="0084403D" w:rsidRPr="00BA39D6" w:rsidRDefault="0084403D" w:rsidP="007C7CC4">
      <w:pPr>
        <w:spacing w:after="0" w:line="240" w:lineRule="auto"/>
        <w:jc w:val="both"/>
        <w:rPr>
          <w:rFonts w:ascii="Arial" w:eastAsia="Times New Roman" w:hAnsi="Arial" w:cs="Arial"/>
          <w:sz w:val="20"/>
          <w:szCs w:val="20"/>
          <w:lang w:eastAsia="en-IN"/>
        </w:rPr>
      </w:pPr>
    </w:p>
    <w:p w14:paraId="3E8A7EBF" w14:textId="77777777" w:rsidR="0084403D" w:rsidRPr="00BA39D6" w:rsidRDefault="0084403D"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Where,</w:t>
      </w:r>
    </w:p>
    <w:p w14:paraId="622D3196" w14:textId="77777777" w:rsidR="0084403D" w:rsidRPr="00BA39D6" w:rsidRDefault="0084403D"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t>
      </w:r>
    </w:p>
    <w:p w14:paraId="7AD43D47" w14:textId="77777777" w:rsidR="0084403D" w:rsidRPr="00BA39D6" w:rsidRDefault="0084403D"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W = </w:t>
      </w:r>
      <w:proofErr w:type="spellStart"/>
      <w:r w:rsidRPr="00BA39D6">
        <w:rPr>
          <w:rFonts w:ascii="Arial" w:eastAsia="Times New Roman" w:hAnsi="Arial" w:cs="Arial"/>
          <w:sz w:val="20"/>
          <w:szCs w:val="20"/>
          <w:lang w:eastAsia="en-IN"/>
        </w:rPr>
        <w:t>W</w:t>
      </w:r>
      <w:r w:rsidR="00A1457E" w:rsidRPr="00BA39D6">
        <w:rPr>
          <w:rFonts w:ascii="Arial" w:eastAsia="Times New Roman" w:hAnsi="Arial" w:cs="Arial"/>
          <w:sz w:val="20"/>
          <w:szCs w:val="20"/>
          <w:lang w:eastAsia="en-IN"/>
        </w:rPr>
        <w:t>t</w:t>
      </w:r>
      <w:proofErr w:type="spellEnd"/>
      <w:r w:rsidR="00A1457E" w:rsidRPr="00BA39D6">
        <w:rPr>
          <w:rFonts w:ascii="Arial" w:eastAsia="Times New Roman" w:hAnsi="Arial" w:cs="Arial"/>
          <w:sz w:val="20"/>
          <w:szCs w:val="20"/>
          <w:lang w:eastAsia="en-IN"/>
        </w:rPr>
        <w:t xml:space="preserve"> </w:t>
      </w:r>
      <w:r w:rsidRPr="00BA39D6">
        <w:rPr>
          <w:rFonts w:ascii="Arial" w:eastAsia="Times New Roman" w:hAnsi="Arial" w:cs="Arial"/>
          <w:sz w:val="20"/>
          <w:szCs w:val="20"/>
          <w:lang w:eastAsia="en-IN"/>
        </w:rPr>
        <w:t>of sample</w:t>
      </w:r>
    </w:p>
    <w:p w14:paraId="3B3FBB50" w14:textId="77777777" w:rsidR="0084403D" w:rsidRPr="00BA39D6" w:rsidRDefault="0084403D"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W1 – Constant </w:t>
      </w:r>
      <w:proofErr w:type="spellStart"/>
      <w:r w:rsidR="00A1457E" w:rsidRPr="00BA39D6">
        <w:rPr>
          <w:rFonts w:ascii="Arial" w:eastAsia="Times New Roman" w:hAnsi="Arial" w:cs="Arial"/>
          <w:sz w:val="20"/>
          <w:szCs w:val="20"/>
          <w:lang w:eastAsia="en-IN"/>
        </w:rPr>
        <w:t>Wt</w:t>
      </w:r>
      <w:proofErr w:type="spellEnd"/>
    </w:p>
    <w:p w14:paraId="1701C2E8" w14:textId="77777777" w:rsidR="00F665F7" w:rsidRPr="00BA39D6" w:rsidRDefault="00F665F7"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W2 – Final weight of crucible + ash</w:t>
      </w:r>
    </w:p>
    <w:p w14:paraId="399F05C3" w14:textId="77777777" w:rsidR="00F665F7" w:rsidRPr="00BA39D6" w:rsidRDefault="00F665F7" w:rsidP="007C7CC4">
      <w:pPr>
        <w:spacing w:after="0" w:line="240" w:lineRule="auto"/>
        <w:jc w:val="both"/>
        <w:rPr>
          <w:rFonts w:ascii="Arial" w:eastAsia="Times New Roman" w:hAnsi="Arial" w:cs="Arial"/>
          <w:sz w:val="20"/>
          <w:szCs w:val="20"/>
          <w:lang w:eastAsia="en-IN"/>
        </w:rPr>
      </w:pPr>
    </w:p>
    <w:p w14:paraId="24ACEE9F" w14:textId="77777777" w:rsidR="006A45B6" w:rsidRPr="00BA39D6" w:rsidRDefault="00F665F7" w:rsidP="007C7CC4">
      <w:pPr>
        <w:spacing w:after="0" w:line="240" w:lineRule="auto"/>
        <w:jc w:val="both"/>
        <w:rPr>
          <w:rFonts w:ascii="Arial" w:eastAsia="Times New Roman" w:hAnsi="Arial" w:cs="Arial"/>
          <w:b/>
          <w:sz w:val="20"/>
          <w:szCs w:val="20"/>
          <w:u w:val="single"/>
          <w:lang w:eastAsia="en-IN"/>
        </w:rPr>
      </w:pPr>
      <w:r w:rsidRPr="00BA39D6">
        <w:t>2.4.5 Fibre Content</w:t>
      </w:r>
    </w:p>
    <w:p w14:paraId="194B0901" w14:textId="77777777" w:rsidR="003F39B2" w:rsidRPr="00BA39D6" w:rsidRDefault="003F39B2" w:rsidP="007C7CC4">
      <w:pPr>
        <w:spacing w:after="0" w:line="240" w:lineRule="auto"/>
        <w:jc w:val="both"/>
        <w:rPr>
          <w:rFonts w:ascii="Arial" w:eastAsia="Times New Roman" w:hAnsi="Arial" w:cs="Arial"/>
          <w:b/>
          <w:sz w:val="20"/>
          <w:szCs w:val="20"/>
          <w:u w:val="single"/>
          <w:lang w:eastAsia="en-IN"/>
        </w:rPr>
      </w:pPr>
    </w:p>
    <w:p w14:paraId="6EA52A86" w14:textId="77777777" w:rsidR="003F39B2" w:rsidRPr="00BA39D6" w:rsidRDefault="001C19AE" w:rsidP="007C7CC4">
      <w:pPr>
        <w:spacing w:after="0" w:line="240" w:lineRule="auto"/>
        <w:jc w:val="both"/>
        <w:rPr>
          <w:rFonts w:ascii="Arial" w:eastAsia="Times New Roman" w:hAnsi="Arial" w:cs="Arial"/>
          <w:sz w:val="20"/>
          <w:szCs w:val="20"/>
          <w:lang w:eastAsia="en-IN"/>
        </w:rPr>
      </w:pPr>
      <w:r w:rsidRPr="00BA39D6">
        <w:t>Fibre content was determined using a moisture- and fat-free sample. Sulphuric acid (1.25%) was added to 10 g of sample. The sample was then digested by boiling for 30 minutes. After that, the sample was filtered through filter paper and washed with warm water to remove acid. The sample was then placed in a beaker. A 10 mL volume of NaOH (1.25%) was added to the beaker. After adding distilled water, the sample was boiled for 40 minutes. The sample was filtered again and washed with hot water until it was alkali-free. The sample was placed in a crucible and then in an oven at 85°C. The drying temperature was set at 130°C for 2 hours. The sample was weighed again, burned at 600°C, cooled, and washed again. After charring, it was kept in a desiccator for cooling and then weighed. Fibre weight in the sample was determined by the weight lost during charring.</w:t>
      </w:r>
    </w:p>
    <w:p w14:paraId="515D5B9A" w14:textId="77777777" w:rsidR="000C4480" w:rsidRPr="00BA39D6" w:rsidRDefault="000C4480" w:rsidP="007C7CC4">
      <w:pPr>
        <w:spacing w:after="0" w:line="240" w:lineRule="auto"/>
        <w:jc w:val="both"/>
        <w:rPr>
          <w:rFonts w:ascii="Arial" w:eastAsia="Times New Roman" w:hAnsi="Arial" w:cs="Arial"/>
          <w:sz w:val="20"/>
          <w:szCs w:val="20"/>
          <w:lang w:eastAsia="en-IN"/>
        </w:rPr>
      </w:pPr>
    </w:p>
    <w:p w14:paraId="059005C8" w14:textId="77777777" w:rsidR="000C4480" w:rsidRPr="00BA39D6" w:rsidRDefault="000C4480"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Fiber % = </w:t>
      </w:r>
      <w:proofErr w:type="spellStart"/>
      <w:r w:rsidRPr="00BA39D6">
        <w:rPr>
          <w:rFonts w:ascii="Arial" w:eastAsia="Times New Roman" w:hAnsi="Arial" w:cs="Arial"/>
          <w:sz w:val="20"/>
          <w:szCs w:val="20"/>
          <w:u w:val="single"/>
          <w:lang w:eastAsia="en-IN"/>
        </w:rPr>
        <w:t>Wt</w:t>
      </w:r>
      <w:proofErr w:type="spellEnd"/>
      <w:r w:rsidRPr="00BA39D6">
        <w:rPr>
          <w:rFonts w:ascii="Arial" w:eastAsia="Times New Roman" w:hAnsi="Arial" w:cs="Arial"/>
          <w:sz w:val="20"/>
          <w:szCs w:val="20"/>
          <w:u w:val="single"/>
          <w:lang w:eastAsia="en-IN"/>
        </w:rPr>
        <w:t xml:space="preserve"> of dried sample before </w:t>
      </w:r>
      <w:proofErr w:type="spellStart"/>
      <w:r w:rsidRPr="00BA39D6">
        <w:rPr>
          <w:rFonts w:ascii="Arial" w:eastAsia="Times New Roman" w:hAnsi="Arial" w:cs="Arial"/>
          <w:sz w:val="20"/>
          <w:szCs w:val="20"/>
          <w:u w:val="single"/>
          <w:lang w:eastAsia="en-IN"/>
        </w:rPr>
        <w:t>ashing</w:t>
      </w:r>
      <w:proofErr w:type="spellEnd"/>
      <w:r w:rsidRPr="00BA39D6">
        <w:rPr>
          <w:rFonts w:ascii="Arial" w:eastAsia="Times New Roman" w:hAnsi="Arial" w:cs="Arial"/>
          <w:sz w:val="20"/>
          <w:szCs w:val="20"/>
          <w:u w:val="single"/>
          <w:lang w:eastAsia="en-IN"/>
        </w:rPr>
        <w:t xml:space="preserve"> – </w:t>
      </w:r>
      <w:proofErr w:type="spellStart"/>
      <w:r w:rsidRPr="00BA39D6">
        <w:rPr>
          <w:rFonts w:ascii="Arial" w:eastAsia="Times New Roman" w:hAnsi="Arial" w:cs="Arial"/>
          <w:sz w:val="20"/>
          <w:szCs w:val="20"/>
          <w:u w:val="single"/>
          <w:lang w:eastAsia="en-IN"/>
        </w:rPr>
        <w:t>Wt</w:t>
      </w:r>
      <w:proofErr w:type="spellEnd"/>
      <w:r w:rsidRPr="00BA39D6">
        <w:rPr>
          <w:rFonts w:ascii="Arial" w:eastAsia="Times New Roman" w:hAnsi="Arial" w:cs="Arial"/>
          <w:sz w:val="20"/>
          <w:szCs w:val="20"/>
          <w:u w:val="single"/>
          <w:lang w:eastAsia="en-IN"/>
        </w:rPr>
        <w:t xml:space="preserve"> of sample after </w:t>
      </w:r>
      <w:proofErr w:type="spellStart"/>
      <w:r w:rsidRPr="00BA39D6">
        <w:rPr>
          <w:rFonts w:ascii="Arial" w:eastAsia="Times New Roman" w:hAnsi="Arial" w:cs="Arial"/>
          <w:sz w:val="20"/>
          <w:szCs w:val="20"/>
          <w:u w:val="single"/>
          <w:lang w:eastAsia="en-IN"/>
        </w:rPr>
        <w:t>ashing</w:t>
      </w:r>
      <w:proofErr w:type="spellEnd"/>
      <w:r w:rsidRPr="00BA39D6">
        <w:rPr>
          <w:rFonts w:ascii="Arial" w:eastAsia="Times New Roman" w:hAnsi="Arial" w:cs="Arial"/>
          <w:sz w:val="20"/>
          <w:szCs w:val="20"/>
          <w:lang w:eastAsia="en-IN"/>
        </w:rPr>
        <w:t xml:space="preserve"> × 100 </w:t>
      </w:r>
    </w:p>
    <w:p w14:paraId="013A6D2D" w14:textId="77777777" w:rsidR="000C4480" w:rsidRPr="00BA39D6" w:rsidRDefault="000C4480"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Initial weight of sample</w:t>
      </w:r>
    </w:p>
    <w:p w14:paraId="397B0E92" w14:textId="77777777" w:rsidR="006A45B6" w:rsidRPr="00BA39D6" w:rsidRDefault="006A45B6" w:rsidP="007C7CC4">
      <w:pPr>
        <w:spacing w:after="0" w:line="240" w:lineRule="auto"/>
        <w:jc w:val="both"/>
        <w:rPr>
          <w:rFonts w:ascii="Arial" w:eastAsia="Times New Roman" w:hAnsi="Arial" w:cs="Arial"/>
          <w:sz w:val="20"/>
          <w:szCs w:val="20"/>
          <w:lang w:eastAsia="en-IN"/>
        </w:rPr>
      </w:pPr>
    </w:p>
    <w:p w14:paraId="40EACBDC"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0A9B8D8B"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0C91C013"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4E8263AE"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7B36EEB0"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056FC609"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2C0CF08E" w14:textId="77777777" w:rsidR="00F665F7" w:rsidRPr="00BA39D6" w:rsidRDefault="006A45B6" w:rsidP="007C7CC4">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2.4.6 Carbohydrate Content</w:t>
      </w:r>
    </w:p>
    <w:p w14:paraId="077554A7" w14:textId="77777777" w:rsidR="006A45B6" w:rsidRPr="00BA39D6" w:rsidRDefault="006A45B6" w:rsidP="007C7CC4">
      <w:pPr>
        <w:spacing w:after="0" w:line="240" w:lineRule="auto"/>
        <w:jc w:val="both"/>
        <w:rPr>
          <w:rFonts w:ascii="Arial" w:eastAsia="Times New Roman" w:hAnsi="Arial" w:cs="Arial"/>
          <w:b/>
          <w:sz w:val="20"/>
          <w:szCs w:val="20"/>
          <w:u w:val="single"/>
          <w:lang w:eastAsia="en-IN"/>
        </w:rPr>
      </w:pPr>
    </w:p>
    <w:p w14:paraId="3B3D2EB6" w14:textId="77777777" w:rsidR="006A45B6" w:rsidRPr="00BA39D6" w:rsidRDefault="006A45B6" w:rsidP="007C7CC4">
      <w:pPr>
        <w:spacing w:after="0" w:line="240" w:lineRule="auto"/>
        <w:jc w:val="both"/>
        <w:rPr>
          <w:rFonts w:ascii="Arial" w:eastAsia="Times New Roman" w:hAnsi="Arial" w:cs="Arial"/>
          <w:sz w:val="20"/>
          <w:szCs w:val="20"/>
          <w:lang w:eastAsia="en-IN"/>
        </w:rPr>
      </w:pPr>
      <w:r w:rsidRPr="00BA39D6">
        <w:t>The percentage of carbohydrate was calculated by the difference method.</w:t>
      </w:r>
    </w:p>
    <w:p w14:paraId="3535BDC1" w14:textId="77777777" w:rsidR="006A45B6" w:rsidRPr="00BA39D6" w:rsidRDefault="006A45B6" w:rsidP="007C7CC4">
      <w:pPr>
        <w:spacing w:after="0" w:line="240" w:lineRule="auto"/>
        <w:jc w:val="both"/>
        <w:rPr>
          <w:rFonts w:ascii="Arial" w:eastAsia="Times New Roman" w:hAnsi="Arial" w:cs="Arial"/>
          <w:sz w:val="20"/>
          <w:szCs w:val="20"/>
          <w:lang w:eastAsia="en-IN"/>
        </w:rPr>
      </w:pPr>
    </w:p>
    <w:p w14:paraId="69BD7372" w14:textId="77777777" w:rsidR="006A45B6" w:rsidRPr="00BA39D6" w:rsidRDefault="006A45B6"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Carbohydrate (%) = 100- (Moisture % + Protein % + fat % + Ash %)</w:t>
      </w:r>
    </w:p>
    <w:p w14:paraId="2402D08E" w14:textId="77777777" w:rsidR="000D2B06" w:rsidRPr="00BA39D6" w:rsidRDefault="000D2B06" w:rsidP="007C7CC4">
      <w:pPr>
        <w:spacing w:after="0" w:line="240" w:lineRule="auto"/>
        <w:jc w:val="both"/>
        <w:rPr>
          <w:rFonts w:ascii="Arial" w:eastAsia="Times New Roman" w:hAnsi="Arial" w:cs="Arial"/>
          <w:sz w:val="20"/>
          <w:szCs w:val="20"/>
          <w:lang w:eastAsia="en-IN"/>
        </w:rPr>
      </w:pPr>
    </w:p>
    <w:p w14:paraId="1B079FE5" w14:textId="77777777" w:rsidR="000D2B06" w:rsidRPr="00BA39D6" w:rsidRDefault="000D2B06" w:rsidP="007C7CC4">
      <w:pPr>
        <w:spacing w:after="0" w:line="240" w:lineRule="auto"/>
        <w:jc w:val="both"/>
        <w:rPr>
          <w:rFonts w:ascii="Arial" w:eastAsia="Times New Roman" w:hAnsi="Arial" w:cs="Arial"/>
          <w:sz w:val="20"/>
          <w:szCs w:val="20"/>
          <w:lang w:eastAsia="en-IN"/>
        </w:rPr>
      </w:pPr>
    </w:p>
    <w:p w14:paraId="0E8DD289" w14:textId="77777777" w:rsidR="006A45B6" w:rsidRPr="00BA39D6" w:rsidRDefault="000D2B06" w:rsidP="007C7CC4">
      <w:pPr>
        <w:spacing w:after="0" w:line="240" w:lineRule="auto"/>
        <w:jc w:val="both"/>
        <w:rPr>
          <w:rFonts w:ascii="Arial" w:eastAsia="Times New Roman" w:hAnsi="Arial" w:cs="Arial"/>
          <w:b/>
          <w:lang w:eastAsia="en-IN"/>
        </w:rPr>
      </w:pPr>
      <w:r w:rsidRPr="00BA39D6">
        <w:t>2.5 Determination of Antioxidant Properties of the Formulated Herbal Infusion Sample</w:t>
      </w:r>
    </w:p>
    <w:p w14:paraId="71D28A0A" w14:textId="77777777" w:rsidR="000D2B06" w:rsidRPr="00BA39D6" w:rsidRDefault="000D2B06" w:rsidP="007C7CC4">
      <w:pPr>
        <w:spacing w:after="0" w:line="240" w:lineRule="auto"/>
        <w:jc w:val="both"/>
        <w:rPr>
          <w:rFonts w:ascii="Arial" w:eastAsia="Times New Roman" w:hAnsi="Arial" w:cs="Arial"/>
          <w:b/>
          <w:lang w:eastAsia="en-IN"/>
        </w:rPr>
      </w:pPr>
    </w:p>
    <w:p w14:paraId="35068B48" w14:textId="77777777" w:rsidR="00E00664" w:rsidRPr="00BA39D6" w:rsidRDefault="00B250E9" w:rsidP="007C7CC4">
      <w:pPr>
        <w:spacing w:after="0" w:line="240" w:lineRule="auto"/>
        <w:jc w:val="both"/>
        <w:rPr>
          <w:rFonts w:ascii="Arial" w:eastAsia="Times New Roman" w:hAnsi="Arial" w:cs="Arial"/>
          <w:sz w:val="20"/>
          <w:szCs w:val="20"/>
          <w:lang w:eastAsia="en-IN"/>
        </w:rPr>
      </w:pPr>
      <w:r w:rsidRPr="00BA39D6">
        <w:t>Spectrophotometric analysis was used to evaluate the ability of the extracts to scavenge the DPPH (2,2-diphenyl-1-1-picrylhydrazyl) radical. The tubes were covered with brown paper, and 100 µL of DPPH solution was added (4.3 mg of DPPH reagent dissolved in 3.3 mL of pure methanol and protected from light). The mixture was left for 20 minutes, and absorbance was measured at 515 nm using visual spectrophotometry. For the control, 150 µL of DPPH solution was added to 3 mL of methanol, left for 20 minutes, and absorbance was measured at 515 nm using visual spectrophotometry. Methanol was used as the blank (Esmaeilzadeh Kenari et al., 2014).</w:t>
      </w:r>
    </w:p>
    <w:p w14:paraId="571A277D" w14:textId="77777777" w:rsidR="00E00664" w:rsidRPr="00BA39D6" w:rsidRDefault="00E00664" w:rsidP="007C7CC4">
      <w:pPr>
        <w:spacing w:after="0" w:line="240" w:lineRule="auto"/>
        <w:jc w:val="both"/>
        <w:rPr>
          <w:rFonts w:ascii="Arial" w:eastAsia="Times New Roman" w:hAnsi="Arial" w:cs="Arial"/>
          <w:sz w:val="20"/>
          <w:szCs w:val="20"/>
          <w:lang w:eastAsia="en-IN"/>
        </w:rPr>
      </w:pPr>
    </w:p>
    <w:p w14:paraId="2169DA8D" w14:textId="77777777" w:rsidR="00E00664" w:rsidRPr="00BA39D6" w:rsidRDefault="00E00664"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Antiradical Activity (%) = </w:t>
      </w:r>
      <w:r w:rsidRPr="00BA39D6">
        <w:rPr>
          <w:rFonts w:ascii="Arial" w:eastAsia="Times New Roman" w:hAnsi="Arial" w:cs="Arial"/>
          <w:sz w:val="20"/>
          <w:szCs w:val="20"/>
          <w:u w:val="single"/>
          <w:lang w:eastAsia="en-IN"/>
        </w:rPr>
        <w:t>Control absorbance- sample absorbance</w:t>
      </w:r>
      <w:r w:rsidRPr="00BA39D6">
        <w:rPr>
          <w:rFonts w:ascii="Arial" w:eastAsia="Times New Roman" w:hAnsi="Arial" w:cs="Arial"/>
          <w:sz w:val="20"/>
          <w:szCs w:val="20"/>
          <w:lang w:eastAsia="en-IN"/>
        </w:rPr>
        <w:t xml:space="preserve"> × 100</w:t>
      </w:r>
    </w:p>
    <w:p w14:paraId="74F21B87" w14:textId="77777777" w:rsidR="000D2B06" w:rsidRPr="00BA39D6" w:rsidRDefault="00E00664" w:rsidP="007C7CC4">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Control absorbance</w:t>
      </w:r>
    </w:p>
    <w:p w14:paraId="0716EEC0" w14:textId="77777777" w:rsidR="00E00664" w:rsidRPr="00BA39D6" w:rsidRDefault="00E00664" w:rsidP="007C7CC4">
      <w:pPr>
        <w:spacing w:after="0" w:line="240" w:lineRule="auto"/>
        <w:jc w:val="both"/>
        <w:rPr>
          <w:rFonts w:ascii="Arial" w:eastAsia="Times New Roman" w:hAnsi="Arial" w:cs="Arial"/>
          <w:sz w:val="20"/>
          <w:szCs w:val="20"/>
          <w:lang w:eastAsia="en-IN"/>
        </w:rPr>
      </w:pPr>
    </w:p>
    <w:p w14:paraId="15D1F406" w14:textId="77777777" w:rsidR="00E00664" w:rsidRPr="00BA39D6" w:rsidRDefault="00E00664" w:rsidP="007C7CC4">
      <w:pPr>
        <w:spacing w:after="0" w:line="240" w:lineRule="auto"/>
        <w:jc w:val="both"/>
        <w:rPr>
          <w:rFonts w:ascii="Arial" w:eastAsia="Times New Roman" w:hAnsi="Arial" w:cs="Arial"/>
          <w:b/>
          <w:lang w:eastAsia="en-IN"/>
        </w:rPr>
      </w:pPr>
      <w:r w:rsidRPr="00BA39D6">
        <w:rPr>
          <w:rFonts w:ascii="Arial" w:eastAsia="Times New Roman" w:hAnsi="Arial" w:cs="Arial"/>
          <w:b/>
          <w:lang w:eastAsia="en-IN"/>
        </w:rPr>
        <w:t>2.6 Determination of</w:t>
      </w:r>
      <w:r w:rsidR="007960AF" w:rsidRPr="00BA39D6">
        <w:rPr>
          <w:rFonts w:ascii="Arial" w:eastAsia="Times New Roman" w:hAnsi="Arial" w:cs="Arial"/>
          <w:b/>
          <w:lang w:eastAsia="en-IN"/>
        </w:rPr>
        <w:t xml:space="preserve"> Phytochemicals</w:t>
      </w:r>
    </w:p>
    <w:p w14:paraId="328B4D77" w14:textId="77777777" w:rsidR="00E00664" w:rsidRPr="00BA39D6" w:rsidRDefault="00E00664" w:rsidP="007C7CC4">
      <w:pPr>
        <w:spacing w:after="0" w:line="240" w:lineRule="auto"/>
        <w:jc w:val="both"/>
        <w:rPr>
          <w:rFonts w:ascii="Arial" w:eastAsia="Times New Roman" w:hAnsi="Arial" w:cs="Arial"/>
          <w:b/>
          <w:sz w:val="20"/>
          <w:szCs w:val="20"/>
          <w:lang w:eastAsia="en-IN"/>
        </w:rPr>
      </w:pPr>
    </w:p>
    <w:p w14:paraId="2527AC6B" w14:textId="77777777" w:rsidR="00E00664" w:rsidRPr="00BA39D6" w:rsidRDefault="00E00664" w:rsidP="007C7CC4">
      <w:pPr>
        <w:spacing w:after="0" w:line="240" w:lineRule="auto"/>
        <w:jc w:val="both"/>
        <w:rPr>
          <w:rFonts w:ascii="Arial" w:eastAsia="Times New Roman" w:hAnsi="Arial" w:cs="Arial"/>
          <w:b/>
          <w:sz w:val="20"/>
          <w:szCs w:val="20"/>
          <w:u w:val="single"/>
          <w:lang w:eastAsia="en-IN"/>
        </w:rPr>
      </w:pPr>
      <w:r w:rsidRPr="00BA39D6">
        <w:lastRenderedPageBreak/>
        <w:t>2.6.1 Determination of Total Phenolic Content</w:t>
      </w:r>
    </w:p>
    <w:p w14:paraId="7E0E44B5" w14:textId="77777777" w:rsidR="00E00664" w:rsidRPr="00BA39D6" w:rsidRDefault="00E00664" w:rsidP="007C7CC4">
      <w:pPr>
        <w:spacing w:after="0" w:line="240" w:lineRule="auto"/>
        <w:jc w:val="both"/>
        <w:rPr>
          <w:rFonts w:ascii="Arial" w:eastAsia="Times New Roman" w:hAnsi="Arial" w:cs="Arial"/>
          <w:b/>
          <w:sz w:val="20"/>
          <w:szCs w:val="20"/>
          <w:u w:val="single"/>
          <w:lang w:eastAsia="en-IN"/>
        </w:rPr>
      </w:pPr>
    </w:p>
    <w:p w14:paraId="046ECAAB" w14:textId="77777777" w:rsidR="00E00664" w:rsidRPr="00BA39D6" w:rsidRDefault="00E00664" w:rsidP="007C7CC4">
      <w:pPr>
        <w:spacing w:after="0" w:line="240" w:lineRule="auto"/>
        <w:jc w:val="both"/>
        <w:rPr>
          <w:rFonts w:ascii="Arial" w:hAnsi="Arial" w:cs="Arial"/>
          <w:sz w:val="20"/>
          <w:szCs w:val="20"/>
        </w:rPr>
      </w:pPr>
      <w:r w:rsidRPr="00BA39D6">
        <w:t>Total phenolic content (TPC), the amount of phenolic compounds in the extract, was determined according to the Folin-Ciocalteu method (Pourmorad et al., 2006), and the results were expressed as milligrams of gallic acid equivalents (GAE) per gram. A 0.5 mL volume of each sample was combined with 2.5 mL of a 10-fold diluted Folin-Ciocalteu reagent and 2 mL of a 7.5% sodium carbonate solution to create concentrations of 1 mg/mL of extract in the respective solvents. After the samples were stored at room temperature for 30 minutes, absorbance was measured spectrometrically at 760 nm using a T80 + UV/VIS spectrophotometer.</w:t>
      </w:r>
    </w:p>
    <w:p w14:paraId="2961BFCA" w14:textId="77777777" w:rsidR="00B250E9" w:rsidRPr="00BA39D6" w:rsidRDefault="00B250E9" w:rsidP="007C7CC4">
      <w:pPr>
        <w:spacing w:after="0" w:line="240" w:lineRule="auto"/>
        <w:jc w:val="both"/>
        <w:rPr>
          <w:rFonts w:ascii="Arial" w:eastAsia="Times New Roman" w:hAnsi="Arial" w:cs="Arial"/>
          <w:sz w:val="20"/>
          <w:szCs w:val="20"/>
          <w:lang w:eastAsia="en-IN"/>
        </w:rPr>
      </w:pPr>
    </w:p>
    <w:p w14:paraId="26076EAB" w14:textId="77777777" w:rsidR="00E00664" w:rsidRPr="00BA39D6" w:rsidRDefault="009104BD" w:rsidP="007C7CC4">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2.6.2 Determination of Total Flavonoid Content</w:t>
      </w:r>
    </w:p>
    <w:p w14:paraId="062D5823" w14:textId="77777777" w:rsidR="009104BD" w:rsidRPr="00BA39D6" w:rsidRDefault="009104BD" w:rsidP="007C7CC4">
      <w:pPr>
        <w:spacing w:after="0" w:line="240" w:lineRule="auto"/>
        <w:jc w:val="both"/>
        <w:rPr>
          <w:rFonts w:ascii="Arial" w:eastAsia="Times New Roman" w:hAnsi="Arial" w:cs="Arial"/>
          <w:b/>
          <w:sz w:val="20"/>
          <w:szCs w:val="20"/>
          <w:u w:val="single"/>
          <w:lang w:eastAsia="en-IN"/>
        </w:rPr>
      </w:pPr>
    </w:p>
    <w:p w14:paraId="149AEB2B" w14:textId="77777777" w:rsidR="009104BD" w:rsidRPr="00BA39D6" w:rsidRDefault="009104BD" w:rsidP="007C7CC4">
      <w:pPr>
        <w:spacing w:after="0" w:line="240" w:lineRule="auto"/>
        <w:jc w:val="both"/>
        <w:rPr>
          <w:rFonts w:ascii="Arial" w:eastAsia="Times New Roman" w:hAnsi="Arial" w:cs="Arial"/>
          <w:sz w:val="20"/>
          <w:szCs w:val="20"/>
          <w:lang w:eastAsia="en-IN"/>
        </w:rPr>
      </w:pPr>
      <w:r w:rsidRPr="00BA39D6">
        <w:t>The total flavonoid content was determined using the method described by Boateng et al. (2008). A 150 µL volume of 5% sodium nitrite (NaNO2) and 2 mL of ethanolic extract were combined, and the mixture was left for five minutes. After adding 150 µL of aluminium chloride (AlCl3), the mixture was incubated for ten minutes. Next, 1.2 mL of distilled water and 1 mL of 1 M sodium hydroxide (NaOH) were added. A spectrophotometer was used to measure absorbance at 510 nm after the solution had been shaken well and left for ten minutes. Quercetin (0.05-0.5 mg/mL) was used to produce a standard curve from which the results were computed. The outcome was expressed in milligrams of quercetin equivalents (QE) per gram of dry material.</w:t>
      </w:r>
    </w:p>
    <w:p w14:paraId="163C89CB" w14:textId="77777777" w:rsidR="009104BD" w:rsidRPr="00BA39D6" w:rsidRDefault="009104BD" w:rsidP="007C7CC4">
      <w:pPr>
        <w:spacing w:after="0" w:line="240" w:lineRule="auto"/>
        <w:jc w:val="both"/>
        <w:rPr>
          <w:rFonts w:ascii="Arial" w:eastAsia="Times New Roman" w:hAnsi="Arial" w:cs="Arial"/>
          <w:sz w:val="20"/>
          <w:szCs w:val="20"/>
          <w:lang w:eastAsia="en-IN"/>
        </w:rPr>
      </w:pPr>
    </w:p>
    <w:p w14:paraId="2B7EFAED" w14:textId="77777777" w:rsidR="009104BD" w:rsidRPr="00BA39D6" w:rsidRDefault="009104BD" w:rsidP="007C7CC4">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2.6.3 Determination of Total Tannin Content</w:t>
      </w:r>
    </w:p>
    <w:p w14:paraId="416D2932" w14:textId="77777777" w:rsidR="00B250E9" w:rsidRPr="00BA39D6" w:rsidRDefault="00B250E9" w:rsidP="009104BD">
      <w:pPr>
        <w:spacing w:after="0" w:line="240" w:lineRule="auto"/>
        <w:jc w:val="both"/>
        <w:rPr>
          <w:rFonts w:ascii="Arial" w:eastAsia="Times New Roman" w:hAnsi="Arial" w:cs="Arial"/>
          <w:sz w:val="20"/>
          <w:szCs w:val="20"/>
          <w:lang w:eastAsia="en-IN"/>
        </w:rPr>
      </w:pPr>
    </w:p>
    <w:p w14:paraId="13D22780" w14:textId="77777777" w:rsidR="00496C0C" w:rsidRPr="00BA39D6" w:rsidRDefault="00BE74FC" w:rsidP="009104BD">
      <w:pPr>
        <w:spacing w:after="0" w:line="240" w:lineRule="auto"/>
        <w:jc w:val="both"/>
        <w:rPr>
          <w:rFonts w:ascii="Arial" w:eastAsia="Times New Roman" w:hAnsi="Arial" w:cs="Arial"/>
          <w:sz w:val="20"/>
          <w:szCs w:val="20"/>
          <w:lang w:eastAsia="en-IN"/>
        </w:rPr>
      </w:pPr>
      <w:r w:rsidRPr="00BA39D6">
        <w:t>The Folin-Denis method was used to determine total tannin content, as described by Saxena et al. (2023). A 0.5 g portion of powdered material was extracted by boiling it with 75 mL of distilled water for 30 minutes, centrifuging it for 20 minutes at 2000 rpm, and then making the supernatant up to 100 mL. For analysis, 10 mL of sodium carbonate solution and 5 mL of Folin-Denis reagent were added to 1 mL of extract in a 100 mL volumetric flask with 75 mL of water. The volume was increased to 100 mL. After 30 minutes of shaking and incubation, the absorbance of the mixture at 700 nm was measured against a blank. Tannic acid (100 mg/100 mL distilled water) was used to prepare a standard curve with appropriate aliquots for calibration.</w:t>
      </w:r>
    </w:p>
    <w:p w14:paraId="00422628" w14:textId="77777777" w:rsidR="00B250E9" w:rsidRPr="00BA39D6" w:rsidRDefault="00B250E9" w:rsidP="009104BD">
      <w:pPr>
        <w:spacing w:after="0" w:line="240" w:lineRule="auto"/>
        <w:jc w:val="both"/>
        <w:rPr>
          <w:rFonts w:ascii="Arial" w:eastAsia="Times New Roman" w:hAnsi="Arial" w:cs="Arial"/>
          <w:sz w:val="20"/>
          <w:szCs w:val="20"/>
          <w:lang w:eastAsia="en-IN"/>
        </w:rPr>
      </w:pPr>
    </w:p>
    <w:p w14:paraId="04BE790B" w14:textId="77777777" w:rsidR="00496C0C" w:rsidRPr="00BA39D6" w:rsidRDefault="00496C0C" w:rsidP="009104BD">
      <w:pPr>
        <w:spacing w:after="0" w:line="240" w:lineRule="auto"/>
        <w:jc w:val="both"/>
        <w:rPr>
          <w:rFonts w:ascii="Arial" w:eastAsia="Times New Roman" w:hAnsi="Arial" w:cs="Arial"/>
          <w:b/>
          <w:lang w:eastAsia="en-IN"/>
        </w:rPr>
      </w:pPr>
      <w:r w:rsidRPr="00BA39D6">
        <w:t>2.7 Physicochemical Properties of the Formulated Infusion Sample</w:t>
      </w:r>
    </w:p>
    <w:p w14:paraId="1A364A6E" w14:textId="77777777" w:rsidR="007C4A76" w:rsidRPr="00BA39D6" w:rsidRDefault="007C4A76" w:rsidP="009104BD">
      <w:pPr>
        <w:spacing w:after="0" w:line="240" w:lineRule="auto"/>
        <w:jc w:val="both"/>
        <w:rPr>
          <w:rFonts w:ascii="Arial" w:eastAsia="Times New Roman" w:hAnsi="Arial" w:cs="Arial"/>
          <w:b/>
          <w:lang w:eastAsia="en-IN"/>
        </w:rPr>
      </w:pPr>
    </w:p>
    <w:p w14:paraId="2FD21EFC" w14:textId="77777777" w:rsidR="007C4A76" w:rsidRPr="00BA39D6" w:rsidRDefault="007C4A76" w:rsidP="009104BD">
      <w:pPr>
        <w:spacing w:after="0" w:line="240" w:lineRule="auto"/>
        <w:jc w:val="both"/>
        <w:rPr>
          <w:rFonts w:ascii="Arial" w:eastAsia="Times New Roman" w:hAnsi="Arial" w:cs="Arial"/>
          <w:b/>
          <w:sz w:val="20"/>
          <w:szCs w:val="20"/>
          <w:u w:val="single"/>
          <w:lang w:eastAsia="en-IN"/>
        </w:rPr>
      </w:pPr>
      <w:r w:rsidRPr="00BA39D6">
        <w:rPr>
          <w:rFonts w:ascii="Arial" w:eastAsia="Times New Roman" w:hAnsi="Arial" w:cs="Arial"/>
          <w:b/>
          <w:sz w:val="20"/>
          <w:szCs w:val="20"/>
          <w:u w:val="single"/>
          <w:lang w:eastAsia="en-IN"/>
        </w:rPr>
        <w:t>2.7.1 Determination of pH</w:t>
      </w:r>
    </w:p>
    <w:p w14:paraId="2AFB85F9" w14:textId="77777777" w:rsidR="007C4A76" w:rsidRPr="00BA39D6" w:rsidRDefault="007C4A76" w:rsidP="009104BD">
      <w:pPr>
        <w:spacing w:after="0" w:line="240" w:lineRule="auto"/>
        <w:jc w:val="both"/>
        <w:rPr>
          <w:rFonts w:ascii="Arial" w:eastAsia="Times New Roman" w:hAnsi="Arial" w:cs="Arial"/>
          <w:b/>
          <w:sz w:val="20"/>
          <w:szCs w:val="20"/>
          <w:u w:val="single"/>
          <w:lang w:eastAsia="en-IN"/>
        </w:rPr>
      </w:pPr>
    </w:p>
    <w:p w14:paraId="0E4F6A2E" w14:textId="77777777" w:rsidR="00AA3C9A" w:rsidRPr="00BA39D6" w:rsidRDefault="00B250E9" w:rsidP="009104BD">
      <w:pPr>
        <w:spacing w:after="0" w:line="240" w:lineRule="auto"/>
        <w:jc w:val="both"/>
        <w:rPr>
          <w:rFonts w:ascii="Arial" w:eastAsia="Times New Roman" w:hAnsi="Arial" w:cs="Arial"/>
          <w:sz w:val="20"/>
          <w:szCs w:val="20"/>
          <w:lang w:eastAsia="en-IN"/>
        </w:rPr>
      </w:pPr>
      <w:r w:rsidRPr="00BA39D6">
        <w:t>A calibrated digital pH meter was used to measure the pH of the sample. Before analysis, buffer solutions of pH 4.0 and 7.0 were used to standardise the instrument. About 10 mL of the prepared sample was taken, and the electrode was immersed directly in the solution for measurement. The pH value was recorded at room temperature.</w:t>
      </w:r>
    </w:p>
    <w:p w14:paraId="17A911D6" w14:textId="77777777" w:rsidR="005111FF" w:rsidRPr="00BA39D6" w:rsidRDefault="005111FF" w:rsidP="009104BD">
      <w:pPr>
        <w:spacing w:after="0" w:line="240" w:lineRule="auto"/>
        <w:jc w:val="both"/>
        <w:rPr>
          <w:rFonts w:ascii="Arial" w:eastAsia="Times New Roman" w:hAnsi="Arial" w:cs="Arial"/>
          <w:sz w:val="20"/>
          <w:szCs w:val="20"/>
          <w:lang w:eastAsia="en-IN"/>
        </w:rPr>
      </w:pPr>
    </w:p>
    <w:p w14:paraId="4C1DF387" w14:textId="77777777" w:rsidR="005111FF" w:rsidRPr="00BA39D6" w:rsidRDefault="005111FF" w:rsidP="009104BD">
      <w:pPr>
        <w:spacing w:after="0" w:line="240" w:lineRule="auto"/>
        <w:jc w:val="both"/>
        <w:rPr>
          <w:rFonts w:ascii="Arial" w:eastAsia="Times New Roman" w:hAnsi="Arial" w:cs="Arial"/>
          <w:sz w:val="20"/>
          <w:szCs w:val="20"/>
          <w:lang w:eastAsia="en-IN"/>
        </w:rPr>
      </w:pPr>
    </w:p>
    <w:p w14:paraId="34146DC1" w14:textId="77777777" w:rsidR="005111FF" w:rsidRPr="00BA39D6" w:rsidRDefault="005111FF" w:rsidP="009104BD">
      <w:pPr>
        <w:spacing w:after="0" w:line="240" w:lineRule="auto"/>
        <w:jc w:val="both"/>
        <w:rPr>
          <w:rFonts w:ascii="Arial" w:eastAsia="Times New Roman" w:hAnsi="Arial" w:cs="Arial"/>
          <w:sz w:val="20"/>
          <w:szCs w:val="20"/>
          <w:lang w:eastAsia="en-IN"/>
        </w:rPr>
      </w:pPr>
    </w:p>
    <w:p w14:paraId="0EC34FE5" w14:textId="77777777" w:rsidR="005111FF" w:rsidRPr="00BA39D6" w:rsidRDefault="005111FF" w:rsidP="009104BD">
      <w:pPr>
        <w:spacing w:after="0" w:line="240" w:lineRule="auto"/>
        <w:jc w:val="both"/>
        <w:rPr>
          <w:rFonts w:ascii="Arial" w:eastAsia="Times New Roman" w:hAnsi="Arial" w:cs="Arial"/>
          <w:sz w:val="20"/>
          <w:szCs w:val="20"/>
          <w:lang w:eastAsia="en-IN"/>
        </w:rPr>
      </w:pPr>
    </w:p>
    <w:p w14:paraId="75DCC24E" w14:textId="77777777" w:rsidR="00180577" w:rsidRPr="00BA39D6" w:rsidRDefault="00180577" w:rsidP="009104BD">
      <w:pPr>
        <w:spacing w:after="0" w:line="240" w:lineRule="auto"/>
        <w:jc w:val="both"/>
        <w:rPr>
          <w:rFonts w:ascii="Arial" w:eastAsia="Times New Roman" w:hAnsi="Arial" w:cs="Arial"/>
          <w:sz w:val="20"/>
          <w:szCs w:val="20"/>
          <w:lang w:eastAsia="en-IN"/>
        </w:rPr>
      </w:pPr>
    </w:p>
    <w:p w14:paraId="31171A6E" w14:textId="77777777" w:rsidR="007C4A76" w:rsidRPr="00BA39D6" w:rsidRDefault="007C4A76" w:rsidP="009104BD">
      <w:pPr>
        <w:spacing w:after="0" w:line="240" w:lineRule="auto"/>
        <w:jc w:val="both"/>
        <w:rPr>
          <w:rFonts w:ascii="Arial" w:eastAsia="Times New Roman" w:hAnsi="Arial" w:cs="Arial"/>
          <w:sz w:val="20"/>
          <w:szCs w:val="20"/>
          <w:lang w:eastAsia="en-IN"/>
        </w:rPr>
      </w:pPr>
    </w:p>
    <w:p w14:paraId="5E5DBD9C" w14:textId="77777777" w:rsidR="00496C0C" w:rsidRPr="00BA39D6" w:rsidRDefault="00496C0C" w:rsidP="009104BD">
      <w:pPr>
        <w:spacing w:after="0" w:line="240" w:lineRule="auto"/>
        <w:jc w:val="both"/>
        <w:rPr>
          <w:rFonts w:ascii="Arial" w:eastAsia="Times New Roman" w:hAnsi="Arial" w:cs="Arial"/>
          <w:b/>
          <w:sz w:val="20"/>
          <w:szCs w:val="20"/>
          <w:u w:val="single"/>
          <w:lang w:eastAsia="en-IN"/>
        </w:rPr>
      </w:pPr>
    </w:p>
    <w:p w14:paraId="4D3FE6BB" w14:textId="77777777" w:rsidR="00496C0C" w:rsidRPr="00BA39D6" w:rsidRDefault="00496C0C" w:rsidP="009104BD">
      <w:pPr>
        <w:spacing w:after="0" w:line="240" w:lineRule="auto"/>
        <w:jc w:val="both"/>
        <w:rPr>
          <w:rFonts w:ascii="Arial" w:eastAsia="Times New Roman" w:hAnsi="Arial" w:cs="Arial"/>
          <w:sz w:val="20"/>
          <w:szCs w:val="20"/>
          <w:lang w:eastAsia="en-IN"/>
        </w:rPr>
      </w:pPr>
    </w:p>
    <w:p w14:paraId="278384B4" w14:textId="77777777" w:rsidR="00496C0C" w:rsidRPr="00BA39D6" w:rsidRDefault="00496C0C" w:rsidP="009104BD">
      <w:pPr>
        <w:spacing w:after="0" w:line="240" w:lineRule="auto"/>
        <w:jc w:val="both"/>
        <w:rPr>
          <w:rFonts w:ascii="Arial" w:eastAsia="Times New Roman" w:hAnsi="Arial" w:cs="Arial"/>
          <w:b/>
          <w:sz w:val="20"/>
          <w:szCs w:val="20"/>
          <w:u w:val="single"/>
          <w:lang w:eastAsia="en-IN"/>
        </w:rPr>
      </w:pPr>
    </w:p>
    <w:p w14:paraId="7B86AF06" w14:textId="77777777" w:rsidR="00496C0C" w:rsidRPr="00BA39D6" w:rsidRDefault="00496C0C" w:rsidP="009104BD">
      <w:pPr>
        <w:spacing w:after="0" w:line="240" w:lineRule="auto"/>
        <w:jc w:val="both"/>
        <w:rPr>
          <w:rFonts w:ascii="Arial" w:eastAsia="Times New Roman" w:hAnsi="Arial" w:cs="Arial"/>
          <w:b/>
          <w:sz w:val="20"/>
          <w:szCs w:val="20"/>
          <w:u w:val="single"/>
          <w:lang w:eastAsia="en-IN"/>
        </w:rPr>
      </w:pPr>
    </w:p>
    <w:p w14:paraId="78F57DE0" w14:textId="77777777" w:rsidR="00496C0C" w:rsidRPr="00BA39D6" w:rsidRDefault="00496C0C" w:rsidP="009104BD">
      <w:pPr>
        <w:spacing w:after="0" w:line="240" w:lineRule="auto"/>
        <w:jc w:val="both"/>
        <w:rPr>
          <w:rFonts w:ascii="Arial" w:eastAsia="Times New Roman" w:hAnsi="Arial" w:cs="Arial"/>
          <w:b/>
          <w:sz w:val="20"/>
          <w:szCs w:val="20"/>
          <w:u w:val="single"/>
          <w:lang w:eastAsia="en-IN"/>
        </w:rPr>
      </w:pPr>
    </w:p>
    <w:p w14:paraId="7CEAEE96" w14:textId="77777777" w:rsidR="00496C0C" w:rsidRPr="00BA39D6" w:rsidRDefault="00496C0C" w:rsidP="009104BD">
      <w:pPr>
        <w:spacing w:after="0" w:line="240" w:lineRule="auto"/>
        <w:jc w:val="both"/>
        <w:rPr>
          <w:rFonts w:ascii="Arial" w:eastAsia="Times New Roman" w:hAnsi="Arial" w:cs="Arial"/>
          <w:sz w:val="20"/>
          <w:szCs w:val="20"/>
          <w:lang w:eastAsia="en-IN"/>
        </w:rPr>
      </w:pPr>
    </w:p>
    <w:p w14:paraId="5BCFE634" w14:textId="77777777" w:rsidR="00A24D5F" w:rsidRPr="00BA39D6" w:rsidRDefault="00A24D5F" w:rsidP="009104BD">
      <w:pPr>
        <w:spacing w:after="0" w:line="240" w:lineRule="auto"/>
        <w:jc w:val="both"/>
        <w:rPr>
          <w:rFonts w:ascii="Arial" w:eastAsia="Times New Roman" w:hAnsi="Arial" w:cs="Arial"/>
          <w:sz w:val="20"/>
          <w:szCs w:val="20"/>
          <w:lang w:eastAsia="en-IN"/>
        </w:rPr>
      </w:pPr>
    </w:p>
    <w:p w14:paraId="51BF4084" w14:textId="77777777" w:rsidR="003238AE" w:rsidRPr="00BA39D6" w:rsidRDefault="00BE74FC" w:rsidP="009104BD">
      <w:pPr>
        <w:spacing w:after="0" w:line="240" w:lineRule="auto"/>
        <w:jc w:val="both"/>
        <w:rPr>
          <w:rFonts w:ascii="Arial" w:eastAsia="Times New Roman" w:hAnsi="Arial" w:cs="Arial"/>
          <w:sz w:val="20"/>
          <w:szCs w:val="20"/>
          <w:lang w:eastAsia="en-IN"/>
        </w:rPr>
      </w:pPr>
      <w:r w:rsidRPr="00BA39D6">
        <w:rPr>
          <w:rFonts w:ascii="Arial" w:eastAsia="Times New Roman" w:hAnsi="Arial" w:cs="Arial"/>
          <w:sz w:val="20"/>
          <w:szCs w:val="20"/>
          <w:lang w:eastAsia="en-IN"/>
        </w:rPr>
        <w:t xml:space="preserve"> </w:t>
      </w:r>
    </w:p>
    <w:p w14:paraId="311AE9D0" w14:textId="77777777" w:rsidR="00180577" w:rsidRPr="00BA39D6" w:rsidRDefault="00180577" w:rsidP="00D23D07">
      <w:pPr>
        <w:spacing w:line="240" w:lineRule="auto"/>
        <w:jc w:val="both"/>
        <w:rPr>
          <w:rFonts w:ascii="Arial" w:hAnsi="Arial" w:cs="Arial"/>
          <w:b/>
          <w:color w:val="000000" w:themeColor="text1"/>
          <w:sz w:val="20"/>
          <w:szCs w:val="20"/>
          <w:u w:val="single"/>
          <w:lang w:val="en-GB"/>
        </w:rPr>
      </w:pPr>
      <w:r w:rsidRPr="00BA39D6">
        <w:rPr>
          <w:rFonts w:ascii="Arial" w:hAnsi="Arial" w:cs="Arial"/>
          <w:b/>
          <w:color w:val="000000" w:themeColor="text1"/>
          <w:sz w:val="20"/>
          <w:szCs w:val="20"/>
          <w:u w:val="single"/>
          <w:lang w:val="en-GB"/>
        </w:rPr>
        <w:t xml:space="preserve">2.7.2 Determination of </w:t>
      </w:r>
      <w:r w:rsidR="0050655D" w:rsidRPr="00BA39D6">
        <w:rPr>
          <w:rFonts w:ascii="Arial" w:hAnsi="Arial" w:cs="Arial"/>
          <w:b/>
          <w:color w:val="000000" w:themeColor="text1"/>
          <w:sz w:val="20"/>
          <w:szCs w:val="20"/>
          <w:u w:val="single"/>
          <w:lang w:val="en-GB"/>
        </w:rPr>
        <w:t>Colour</w:t>
      </w:r>
    </w:p>
    <w:p w14:paraId="70888C94" w14:textId="77777777" w:rsidR="00180577" w:rsidRPr="00BA39D6" w:rsidRDefault="00180577" w:rsidP="00D23D07">
      <w:pPr>
        <w:spacing w:line="240" w:lineRule="auto"/>
        <w:jc w:val="both"/>
        <w:rPr>
          <w:rFonts w:ascii="Arial" w:hAnsi="Arial" w:cs="Arial"/>
          <w:color w:val="000000" w:themeColor="text1"/>
          <w:sz w:val="20"/>
          <w:szCs w:val="20"/>
          <w:lang w:val="en-GB"/>
        </w:rPr>
      </w:pPr>
      <w:r w:rsidRPr="00BA39D6">
        <w:t>A colorimeter by Sensegood Technologies was used to measure the colour of the herbal infusion in the L*a*b* system, where L* indicates lightness and ranges from 0 (black) to 100 (white), a* measures greenness/redness, and b* measures blueness/yellowness.</w:t>
      </w:r>
    </w:p>
    <w:p w14:paraId="4185F690" w14:textId="77777777" w:rsidR="0050655D" w:rsidRPr="00BA39D6" w:rsidRDefault="0050655D" w:rsidP="00D23D07">
      <w:pPr>
        <w:spacing w:line="240" w:lineRule="auto"/>
        <w:jc w:val="both"/>
        <w:rPr>
          <w:rFonts w:ascii="Arial" w:hAnsi="Arial" w:cs="Arial"/>
          <w:color w:val="000000" w:themeColor="text1"/>
          <w:sz w:val="20"/>
          <w:szCs w:val="20"/>
          <w:lang w:val="en-GB"/>
        </w:rPr>
      </w:pPr>
      <w:r w:rsidRPr="00BA39D6">
        <w:rPr>
          <w:rFonts w:ascii="Arial" w:hAnsi="Arial" w:cs="Arial"/>
          <w:color w:val="000000" w:themeColor="text1"/>
          <w:sz w:val="20"/>
          <w:szCs w:val="20"/>
          <w:lang w:val="en-GB"/>
        </w:rPr>
        <w:t xml:space="preserve">Chroma = </w:t>
      </w:r>
      <m:oMath>
        <m:rad>
          <m:radPr>
            <m:degHide m:val="1"/>
            <m:ctrlPr>
              <w:rPr>
                <w:rFonts w:ascii="Cambria Math" w:hAnsi="Cambria Math" w:cs="Arial"/>
                <w:i/>
                <w:color w:val="000000" w:themeColor="text1"/>
                <w:sz w:val="20"/>
                <w:szCs w:val="20"/>
                <w:lang w:val="en-GB"/>
              </w:rPr>
            </m:ctrlPr>
          </m:radPr>
          <m:deg/>
          <m:e>
            <m:r>
              <w:rPr>
                <w:rFonts w:ascii="Cambria Math" w:hAnsi="Cambria Math" w:cs="Arial"/>
                <w:color w:val="000000" w:themeColor="text1"/>
                <w:sz w:val="20"/>
                <w:szCs w:val="20"/>
                <w:lang w:val="en-GB"/>
              </w:rPr>
              <m:t xml:space="preserve"> a</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 xml:space="preserve">  </m:t>
            </m:r>
          </m:e>
        </m:rad>
        <m:r>
          <w:rPr>
            <w:rFonts w:ascii="Cambria Math" w:hAnsi="Cambria Math" w:cs="Arial"/>
            <w:color w:val="000000" w:themeColor="text1"/>
            <w:sz w:val="20"/>
            <w:szCs w:val="20"/>
            <w:lang w:val="en-GB"/>
          </w:rPr>
          <m:t xml:space="preserve">    </m:t>
        </m:r>
      </m:oMath>
    </w:p>
    <w:p w14:paraId="4B50C243" w14:textId="77777777" w:rsidR="0050655D" w:rsidRPr="00BA39D6" w:rsidRDefault="003F0D98" w:rsidP="00D23D07">
      <w:pPr>
        <w:spacing w:line="240" w:lineRule="auto"/>
        <w:jc w:val="both"/>
        <w:rPr>
          <w:rFonts w:ascii="Arial" w:hAnsi="Arial" w:cs="Arial"/>
          <w:color w:val="000000" w:themeColor="text1"/>
          <w:sz w:val="20"/>
          <w:szCs w:val="20"/>
          <w:lang w:val="en-GB"/>
        </w:rPr>
      </w:pPr>
      <w:r w:rsidRPr="00BA39D6">
        <w:rPr>
          <w:rFonts w:ascii="Arial" w:hAnsi="Arial" w:cs="Arial"/>
          <w:color w:val="000000" w:themeColor="text1"/>
          <w:sz w:val="20"/>
          <w:szCs w:val="20"/>
          <w:lang w:val="en-GB"/>
        </w:rPr>
        <w:t xml:space="preserve">Colour Intensity = </w:t>
      </w:r>
      <m:oMath>
        <m:rad>
          <m:radPr>
            <m:degHide m:val="1"/>
            <m:ctrlPr>
              <w:rPr>
                <w:rFonts w:ascii="Cambria Math" w:hAnsi="Cambria Math" w:cs="Arial"/>
                <w:i/>
                <w:color w:val="000000" w:themeColor="text1"/>
                <w:sz w:val="20"/>
                <w:szCs w:val="20"/>
                <w:lang w:val="en-GB"/>
              </w:rPr>
            </m:ctrlPr>
          </m:radPr>
          <m:deg/>
          <m:e>
            <m:r>
              <w:rPr>
                <w:rFonts w:ascii="Cambria Math" w:hAnsi="Cambria Math" w:cs="Arial"/>
                <w:color w:val="000000" w:themeColor="text1"/>
                <w:sz w:val="20"/>
                <w:szCs w:val="20"/>
                <w:lang w:val="en-GB"/>
              </w:rPr>
              <m:t>a</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+L</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e>
        </m:rad>
        <m:r>
          <w:rPr>
            <w:rFonts w:ascii="Cambria Math" w:hAnsi="Cambria Math" w:cs="Arial"/>
            <w:color w:val="000000" w:themeColor="text1"/>
            <w:sz w:val="20"/>
            <w:szCs w:val="20"/>
            <w:lang w:val="en-GB"/>
          </w:rPr>
          <m:t xml:space="preserve">   </m:t>
        </m:r>
      </m:oMath>
    </w:p>
    <w:p w14:paraId="743956E8" w14:textId="77777777" w:rsidR="00212891" w:rsidRPr="00BA39D6" w:rsidRDefault="00212891" w:rsidP="00D23D07">
      <w:pPr>
        <w:spacing w:line="240" w:lineRule="auto"/>
        <w:jc w:val="both"/>
        <w:rPr>
          <w:rFonts w:ascii="Arial" w:eastAsiaTheme="minorEastAsia" w:hAnsi="Arial" w:cs="Arial"/>
          <w:color w:val="000000" w:themeColor="text1"/>
          <w:sz w:val="20"/>
          <w:szCs w:val="20"/>
          <w:vertAlign w:val="superscript"/>
          <w:lang w:val="en-GB"/>
        </w:rPr>
      </w:pPr>
      <w:r w:rsidRPr="00BA39D6">
        <w:rPr>
          <w:rFonts w:ascii="Arial" w:hAnsi="Arial" w:cs="Arial"/>
          <w:color w:val="000000" w:themeColor="text1"/>
          <w:sz w:val="20"/>
          <w:szCs w:val="20"/>
          <w:lang w:val="en-GB"/>
        </w:rPr>
        <w:lastRenderedPageBreak/>
        <w:t>Hue angle = tan</w:t>
      </w:r>
      <w:r w:rsidRPr="00BA39D6">
        <w:rPr>
          <w:rFonts w:ascii="Arial" w:hAnsi="Arial" w:cs="Arial"/>
          <w:color w:val="000000" w:themeColor="text1"/>
          <w:sz w:val="20"/>
          <w:szCs w:val="20"/>
          <w:vertAlign w:val="superscript"/>
          <w:lang w:val="en-GB"/>
        </w:rPr>
        <w:t xml:space="preserve">-1 </w:t>
      </w:r>
      <m:oMath>
        <m:d>
          <m:dPr>
            <m:ctrlPr>
              <w:rPr>
                <w:rFonts w:ascii="Cambria Math" w:hAnsi="Cambria Math" w:cs="Arial"/>
                <w:i/>
                <w:color w:val="000000" w:themeColor="text1"/>
                <w:sz w:val="20"/>
                <w:szCs w:val="20"/>
                <w:vertAlign w:val="superscript"/>
                <w:lang w:val="en-GB"/>
              </w:rPr>
            </m:ctrlPr>
          </m:dPr>
          <m:e>
            <m:f>
              <m:fPr>
                <m:ctrlPr>
                  <w:rPr>
                    <w:rFonts w:ascii="Cambria Math" w:hAnsi="Cambria Math" w:cs="Arial"/>
                    <w:i/>
                    <w:color w:val="000000" w:themeColor="text1"/>
                    <w:sz w:val="20"/>
                    <w:szCs w:val="20"/>
                    <w:vertAlign w:val="superscript"/>
                    <w:lang w:val="en-GB"/>
                  </w:rPr>
                </m:ctrlPr>
              </m:fPr>
              <m:num>
                <m:r>
                  <w:rPr>
                    <w:rFonts w:ascii="Cambria Math" w:hAnsi="Cambria Math" w:cs="Arial"/>
                    <w:color w:val="000000" w:themeColor="text1"/>
                    <w:sz w:val="20"/>
                    <w:szCs w:val="20"/>
                    <w:vertAlign w:val="superscript"/>
                    <w:lang w:val="en-GB"/>
                  </w:rPr>
                  <m:t>b*</m:t>
                </m:r>
              </m:num>
              <m:den>
                <m:r>
                  <w:rPr>
                    <w:rFonts w:ascii="Cambria Math" w:hAnsi="Cambria Math" w:cs="Arial"/>
                    <w:color w:val="000000" w:themeColor="text1"/>
                    <w:sz w:val="20"/>
                    <w:szCs w:val="20"/>
                    <w:vertAlign w:val="superscript"/>
                    <w:lang w:val="en-GB"/>
                  </w:rPr>
                  <m:t>a*</m:t>
                </m:r>
              </m:den>
            </m:f>
          </m:e>
        </m:d>
      </m:oMath>
    </w:p>
    <w:p w14:paraId="56C808ED" w14:textId="77777777" w:rsidR="009A159B" w:rsidRPr="00BA39D6" w:rsidRDefault="00212891" w:rsidP="00D23D07">
      <w:pPr>
        <w:spacing w:line="240" w:lineRule="auto"/>
        <w:jc w:val="both"/>
        <w:rPr>
          <w:rFonts w:ascii="Arial" w:eastAsiaTheme="minorEastAsia" w:hAnsi="Arial" w:cs="Arial"/>
          <w:b/>
          <w:color w:val="000000" w:themeColor="text1"/>
          <w:lang w:val="en-GB"/>
        </w:rPr>
      </w:pPr>
      <w:r w:rsidRPr="00BA39D6">
        <w:rPr>
          <w:rFonts w:ascii="Arial" w:eastAsiaTheme="minorEastAsia" w:hAnsi="Arial" w:cs="Arial"/>
          <w:b/>
          <w:color w:val="000000" w:themeColor="text1"/>
          <w:lang w:val="en-GB"/>
        </w:rPr>
        <w:t xml:space="preserve">2.8 </w:t>
      </w:r>
      <w:r w:rsidR="007C00CD" w:rsidRPr="00BA39D6">
        <w:rPr>
          <w:rFonts w:ascii="Arial" w:eastAsiaTheme="minorEastAsia" w:hAnsi="Arial" w:cs="Arial"/>
          <w:b/>
          <w:color w:val="000000" w:themeColor="text1"/>
          <w:lang w:val="en-GB"/>
        </w:rPr>
        <w:t>Microbial</w:t>
      </w:r>
      <w:r w:rsidR="00D370D2" w:rsidRPr="00BA39D6">
        <w:rPr>
          <w:rFonts w:ascii="Arial" w:eastAsiaTheme="minorEastAsia" w:hAnsi="Arial" w:cs="Arial"/>
          <w:b/>
          <w:color w:val="000000" w:themeColor="text1"/>
          <w:lang w:val="en-GB"/>
        </w:rPr>
        <w:t xml:space="preserve"> Evaluation </w:t>
      </w:r>
      <w:r w:rsidR="007C00CD" w:rsidRPr="00BA39D6">
        <w:rPr>
          <w:rFonts w:ascii="Arial" w:eastAsiaTheme="minorEastAsia" w:hAnsi="Arial" w:cs="Arial"/>
          <w:b/>
          <w:color w:val="000000" w:themeColor="text1"/>
          <w:lang w:val="en-GB"/>
        </w:rPr>
        <w:t>of Formulated Infusion Sample</w:t>
      </w:r>
    </w:p>
    <w:p w14:paraId="530B55AC" w14:textId="77777777" w:rsidR="00212891" w:rsidRPr="00BA39D6" w:rsidRDefault="007C00CD" w:rsidP="00D23D07">
      <w:pPr>
        <w:spacing w:line="240" w:lineRule="auto"/>
        <w:jc w:val="both"/>
        <w:rPr>
          <w:rFonts w:ascii="Arial" w:eastAsiaTheme="minorEastAsia" w:hAnsi="Arial" w:cs="Arial"/>
          <w:b/>
          <w:color w:val="000000" w:themeColor="text1"/>
          <w:sz w:val="20"/>
          <w:szCs w:val="20"/>
          <w:u w:val="single"/>
          <w:lang w:val="en-GB"/>
        </w:rPr>
      </w:pPr>
      <w:r w:rsidRPr="00BA39D6">
        <w:t>2.8.1 Determination of Total Plate Count (TPC)</w:t>
      </w:r>
    </w:p>
    <w:p w14:paraId="74E27EB3" w14:textId="77777777" w:rsidR="009A159B" w:rsidRPr="00BA39D6" w:rsidRDefault="007C00CD" w:rsidP="00211A04">
      <w:pPr>
        <w:spacing w:before="240" w:line="240" w:lineRule="auto"/>
        <w:jc w:val="both"/>
        <w:rPr>
          <w:rFonts w:ascii="Arial" w:eastAsiaTheme="minorEastAsia" w:hAnsi="Arial" w:cs="Arial"/>
          <w:color w:val="000000" w:themeColor="text1"/>
          <w:sz w:val="20"/>
          <w:szCs w:val="20"/>
          <w:lang w:val="en-GB"/>
        </w:rPr>
      </w:pPr>
      <w:r w:rsidRPr="00BA39D6">
        <w:t>The aerobic plate count of the sample was determined according to the method described by the Bureau of Indian Standards (2012). The sample was tested using the pour plate technique by plating it with plate count agar medium. The plates were incubated at 37°C for 24 hours. After incubation, the colonies were counted using a colony counter.</w:t>
      </w:r>
    </w:p>
    <w:p w14:paraId="3023835A" w14:textId="77777777" w:rsidR="009A159B" w:rsidRPr="00BA39D6" w:rsidRDefault="009A159B" w:rsidP="00D23D07">
      <w:pPr>
        <w:spacing w:line="240" w:lineRule="auto"/>
        <w:jc w:val="both"/>
        <w:rPr>
          <w:rFonts w:ascii="Arial" w:eastAsiaTheme="minorEastAsia" w:hAnsi="Arial" w:cs="Arial"/>
          <w:b/>
          <w:color w:val="000000" w:themeColor="text1"/>
          <w:sz w:val="20"/>
          <w:szCs w:val="20"/>
          <w:u w:val="single"/>
          <w:lang w:val="en-GB"/>
        </w:rPr>
      </w:pPr>
      <w:r w:rsidRPr="00BA39D6">
        <w:rPr>
          <w:rFonts w:ascii="Arial" w:eastAsiaTheme="minorEastAsia" w:hAnsi="Arial" w:cs="Arial"/>
          <w:b/>
          <w:color w:val="000000" w:themeColor="text1"/>
          <w:sz w:val="20"/>
          <w:szCs w:val="20"/>
          <w:u w:val="single"/>
          <w:lang w:val="en-GB"/>
        </w:rPr>
        <w:t>2.8.2 Determination of Yeast and Mould</w:t>
      </w:r>
    </w:p>
    <w:p w14:paraId="5D72E3F1" w14:textId="77777777" w:rsidR="009A159B" w:rsidRPr="00BA39D6" w:rsidRDefault="009A159B" w:rsidP="00D23D07">
      <w:pPr>
        <w:spacing w:line="240" w:lineRule="auto"/>
        <w:jc w:val="both"/>
        <w:rPr>
          <w:rFonts w:ascii="Arial" w:eastAsiaTheme="minorEastAsia" w:hAnsi="Arial" w:cs="Arial"/>
          <w:color w:val="000000" w:themeColor="text1"/>
          <w:sz w:val="20"/>
          <w:szCs w:val="20"/>
          <w:lang w:val="en-GB"/>
        </w:rPr>
      </w:pPr>
      <w:r w:rsidRPr="00BA39D6">
        <w:t>The enumeration of yeast and mould count in the sample was performed according to the method described by the Bureau of Indian Standards (1999). The sample was tested using the pour plate technique by plating it with yeast glucose chloramphenicol agar medium. The plates were incubated at 25°C for three to five days. Following incubation, the colonies were counted using a colony counter.</w:t>
      </w:r>
    </w:p>
    <w:p w14:paraId="1B9F82FF" w14:textId="77777777" w:rsidR="00F724C8" w:rsidRPr="00BA39D6" w:rsidRDefault="00F724C8" w:rsidP="00D23D07">
      <w:pPr>
        <w:spacing w:line="240" w:lineRule="auto"/>
        <w:jc w:val="both"/>
        <w:rPr>
          <w:rFonts w:ascii="Arial" w:eastAsiaTheme="minorEastAsia" w:hAnsi="Arial" w:cs="Arial"/>
          <w:color w:val="000000" w:themeColor="text1"/>
          <w:sz w:val="20"/>
          <w:szCs w:val="20"/>
          <w:lang w:val="en-GB"/>
        </w:rPr>
      </w:pPr>
    </w:p>
    <w:p w14:paraId="5171406F" w14:textId="77777777" w:rsidR="00F724C8" w:rsidRPr="00BA39D6" w:rsidRDefault="00F724C8" w:rsidP="00D23D07">
      <w:pPr>
        <w:spacing w:line="240" w:lineRule="auto"/>
        <w:jc w:val="both"/>
        <w:rPr>
          <w:rFonts w:ascii="Arial" w:eastAsiaTheme="minorEastAsia" w:hAnsi="Arial" w:cs="Arial"/>
          <w:b/>
          <w:bCs/>
          <w:color w:val="000000" w:themeColor="text1"/>
          <w:lang w:val="en-GB"/>
        </w:rPr>
      </w:pPr>
      <w:r w:rsidRPr="00BA39D6">
        <w:rPr>
          <w:b/>
          <w:bCs/>
        </w:rPr>
        <w:t>3. RESULTS AND DISCUSSION</w:t>
      </w:r>
    </w:p>
    <w:p w14:paraId="00C1CD53" w14:textId="77777777" w:rsidR="003E6202" w:rsidRPr="00BA39D6" w:rsidRDefault="003E6202" w:rsidP="00D23D07">
      <w:pPr>
        <w:spacing w:line="240" w:lineRule="auto"/>
        <w:jc w:val="both"/>
        <w:rPr>
          <w:rFonts w:ascii="Arial" w:eastAsiaTheme="minorEastAsia" w:hAnsi="Arial" w:cs="Arial"/>
          <w:b/>
          <w:color w:val="000000" w:themeColor="text1"/>
          <w:lang w:val="en-GB"/>
        </w:rPr>
      </w:pPr>
      <w:r w:rsidRPr="00BA39D6">
        <w:rPr>
          <w:rFonts w:ascii="Arial" w:eastAsiaTheme="minorEastAsia" w:hAnsi="Arial" w:cs="Arial"/>
          <w:b/>
          <w:color w:val="000000" w:themeColor="text1"/>
          <w:lang w:val="en-GB"/>
        </w:rPr>
        <w:t>3.1 Sensory Evaluation</w:t>
      </w:r>
    </w:p>
    <w:p w14:paraId="25EEAB51" w14:textId="77777777" w:rsidR="00E25AEA" w:rsidRPr="00BA39D6" w:rsidRDefault="00E25AEA" w:rsidP="00D23D07">
      <w:pPr>
        <w:spacing w:line="240" w:lineRule="auto"/>
        <w:jc w:val="both"/>
        <w:rPr>
          <w:rFonts w:ascii="Arial" w:eastAsiaTheme="minorEastAsia" w:hAnsi="Arial" w:cs="Arial"/>
          <w:color w:val="000000" w:themeColor="text1"/>
          <w:sz w:val="20"/>
          <w:szCs w:val="20"/>
          <w:lang w:val="en-GB"/>
        </w:rPr>
      </w:pPr>
      <w:r w:rsidRPr="00BA39D6">
        <w:t>Figure 1 displays the consumer acceptability ratings for the control and prepared herbal infusion samples. The panellists' preference for the herbal infusion ranged from "like moderately" to "like very much", as indicated by the mean appearance score of 7.36 to 8.46. The most preferred sample in terms of appearance was F2 (8.46), followed by C (8.30), F1 (7.56), F3 (7.70), and F4 (7.36).</w:t>
      </w:r>
    </w:p>
    <w:p w14:paraId="502F04D0" w14:textId="77777777" w:rsidR="00A14099" w:rsidRPr="00BA39D6" w:rsidRDefault="00A14099" w:rsidP="00D23D07">
      <w:pPr>
        <w:spacing w:line="240" w:lineRule="auto"/>
        <w:jc w:val="both"/>
        <w:rPr>
          <w:rFonts w:ascii="Arial" w:eastAsiaTheme="minorEastAsia" w:hAnsi="Arial" w:cs="Arial"/>
          <w:color w:val="000000" w:themeColor="text1"/>
          <w:sz w:val="20"/>
          <w:szCs w:val="20"/>
          <w:lang w:val="en-GB"/>
        </w:rPr>
      </w:pPr>
      <w:r w:rsidRPr="00BA39D6">
        <w:t>In terms of colour for the control and formulations, the average scores ranged from 7.56 to 8.33, showing panellists' preferences from "like moderately" to "like very much". For colour, sample C was the most preferred sample (8.33), while the least preferred sample was F3 (7.56). The control sample showed better colour characteristics because of the natural pigments and polyphenol compounds present in apple peel.</w:t>
      </w:r>
    </w:p>
    <w:p w14:paraId="36D8825B" w14:textId="77777777" w:rsidR="007220D4" w:rsidRPr="00BA39D6" w:rsidRDefault="00D370D2" w:rsidP="00D23D07">
      <w:pPr>
        <w:spacing w:line="240" w:lineRule="auto"/>
        <w:jc w:val="both"/>
        <w:rPr>
          <w:rFonts w:ascii="Arial" w:eastAsiaTheme="minorEastAsia" w:hAnsi="Arial" w:cs="Arial"/>
          <w:color w:val="000000" w:themeColor="text1"/>
          <w:sz w:val="20"/>
          <w:szCs w:val="20"/>
          <w:lang w:val="en-GB"/>
        </w:rPr>
      </w:pPr>
      <w:r w:rsidRPr="00BA39D6">
        <w:t>The origin and quality of an infusion can be determined by its aroma, which is the smell or odour detected through the nose (Pohl et al., 2013). The average aroma scores of the samples ranged from 6.73 to 8.50, showing that panellists' preferences ranged from "like slightly" to "like very much". For aroma, the most preferred sample was F2 (8.50), while C (6.73) was the least preferred sample.</w:t>
      </w:r>
    </w:p>
    <w:p w14:paraId="2B0DB6AD" w14:textId="77777777" w:rsidR="007C00CD" w:rsidRPr="00BA39D6" w:rsidRDefault="00AA3C9A" w:rsidP="00D23D07">
      <w:pPr>
        <w:spacing w:line="240" w:lineRule="auto"/>
        <w:jc w:val="both"/>
        <w:rPr>
          <w:rFonts w:ascii="Arial" w:eastAsiaTheme="minorEastAsia" w:hAnsi="Arial" w:cs="Arial"/>
          <w:color w:val="000000" w:themeColor="text1"/>
          <w:sz w:val="20"/>
          <w:szCs w:val="20"/>
          <w:lang w:val="en-GB"/>
        </w:rPr>
      </w:pPr>
      <w:r w:rsidRPr="00BA39D6">
        <w:t>In terms of taste, the average scores ranged from 6.86 to 8.63, showing that panellists' preferences ranged from "like slightly" to "like very much". For taste, the most preferred sample was F2 (8.63), and the least preferred sample was C (6.86).</w:t>
      </w:r>
    </w:p>
    <w:p w14:paraId="4825C79D" w14:textId="77777777" w:rsidR="005121A3" w:rsidRPr="00BA39D6" w:rsidRDefault="005121A3" w:rsidP="00D23D07">
      <w:pPr>
        <w:spacing w:line="240" w:lineRule="auto"/>
        <w:jc w:val="both"/>
        <w:rPr>
          <w:rFonts w:ascii="Arial" w:eastAsiaTheme="minorEastAsia" w:hAnsi="Arial" w:cs="Arial"/>
          <w:color w:val="000000" w:themeColor="text1"/>
          <w:sz w:val="20"/>
          <w:szCs w:val="20"/>
          <w:lang w:val="en-GB"/>
        </w:rPr>
      </w:pPr>
      <w:r w:rsidRPr="00BA39D6">
        <w:t>Finally, the samples' overall acceptability mean scores varied from 7.40 to 8.50, with preferences ranging from "like moderately" to "like very much". The panellists selected F2 (8.50) as their favourite sample, followed by F1 (7.63), F3 (7.60), F4 (7.50), and C (7.40). This indicates that the apple-peel-only infusion would be the least acceptable overall. However, the overall acceptability of the formulated samples increased when both cardamom and cinnamon were added.</w:t>
      </w:r>
    </w:p>
    <w:p w14:paraId="6C67B7C9"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62028D7B"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16FAA471"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28834716"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4F4AEE22"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089E71B6"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417D010C"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p>
    <w:p w14:paraId="739E1075" w14:textId="77777777" w:rsidR="009579C3" w:rsidRPr="00BA39D6" w:rsidRDefault="009579C3" w:rsidP="00D23D07">
      <w:pPr>
        <w:spacing w:line="240" w:lineRule="auto"/>
        <w:jc w:val="both"/>
        <w:rPr>
          <w:rFonts w:ascii="Arial" w:eastAsiaTheme="minorEastAsia" w:hAnsi="Arial" w:cs="Arial"/>
          <w:color w:val="000000" w:themeColor="text1"/>
          <w:sz w:val="20"/>
          <w:szCs w:val="20"/>
          <w:lang w:val="en-GB"/>
        </w:rPr>
      </w:pPr>
    </w:p>
    <w:p w14:paraId="11EA5650" w14:textId="77777777" w:rsidR="009579C3" w:rsidRPr="00BA39D6" w:rsidRDefault="009579C3" w:rsidP="00D23D07">
      <w:pPr>
        <w:spacing w:line="240" w:lineRule="auto"/>
        <w:jc w:val="both"/>
        <w:rPr>
          <w:rFonts w:ascii="Arial" w:eastAsiaTheme="minorEastAsia" w:hAnsi="Arial" w:cs="Arial"/>
          <w:color w:val="000000" w:themeColor="text1"/>
          <w:sz w:val="20"/>
          <w:szCs w:val="20"/>
          <w:lang w:val="en-GB"/>
        </w:rPr>
      </w:pPr>
    </w:p>
    <w:p w14:paraId="65FDEDA3" w14:textId="77777777" w:rsidR="00284C3E" w:rsidRPr="00BA39D6" w:rsidRDefault="00284C3E" w:rsidP="00D23D07">
      <w:pPr>
        <w:spacing w:line="240" w:lineRule="auto"/>
        <w:jc w:val="both"/>
        <w:rPr>
          <w:rFonts w:ascii="Arial" w:eastAsiaTheme="minorEastAsia" w:hAnsi="Arial" w:cs="Arial"/>
          <w:color w:val="000000" w:themeColor="text1"/>
          <w:sz w:val="20"/>
          <w:szCs w:val="20"/>
          <w:lang w:val="en-GB"/>
        </w:rPr>
      </w:pPr>
      <w:r w:rsidRPr="00BA39D6">
        <w:rPr>
          <w:rFonts w:ascii="Arial" w:eastAsiaTheme="minorEastAsia" w:hAnsi="Arial" w:cs="Arial"/>
          <w:color w:val="000000" w:themeColor="text1"/>
          <w:sz w:val="20"/>
          <w:szCs w:val="20"/>
          <w:lang w:val="en-GB"/>
        </w:rPr>
        <w:lastRenderedPageBreak/>
        <w:t xml:space="preserve">                         </w:t>
      </w:r>
      <w:r w:rsidR="003A198F" w:rsidRPr="00BA39D6">
        <w:rPr>
          <w:noProof/>
        </w:rPr>
        <w:drawing>
          <wp:inline distT="0" distB="0" distL="0" distR="0" wp14:anchorId="4396DB18" wp14:editId="0D5FF9EB">
            <wp:extent cx="4856843" cy="3981904"/>
            <wp:effectExtent l="0" t="0" r="1270" b="0"/>
            <wp:docPr id="1" name="Chart 1">
              <a:extLst xmlns:a="http://schemas.openxmlformats.org/drawingml/2006/main">
                <a:ext uri="{FF2B5EF4-FFF2-40B4-BE49-F238E27FC236}">
                  <a16:creationId xmlns:a16="http://schemas.microsoft.com/office/drawing/2014/main" id="{99C7D7B8-EAE7-4668-9A50-EB4E684EA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92775B" w14:textId="77777777" w:rsidR="00212891" w:rsidRPr="00BA39D6" w:rsidRDefault="001463BD" w:rsidP="00D23D07">
      <w:pPr>
        <w:spacing w:line="240" w:lineRule="auto"/>
        <w:jc w:val="both"/>
        <w:rPr>
          <w:rFonts w:ascii="Arial" w:eastAsiaTheme="minorEastAsia" w:hAnsi="Arial" w:cs="Arial"/>
          <w:b/>
          <w:color w:val="000000" w:themeColor="text1"/>
          <w:sz w:val="20"/>
          <w:szCs w:val="20"/>
          <w:lang w:val="en-GB"/>
        </w:rPr>
      </w:pPr>
      <w:r w:rsidRPr="00BA39D6">
        <w:rPr>
          <w:rFonts w:ascii="Arial" w:eastAsiaTheme="minorEastAsia" w:hAnsi="Arial" w:cs="Arial"/>
          <w:color w:val="000000" w:themeColor="text1"/>
          <w:sz w:val="20"/>
          <w:szCs w:val="20"/>
          <w:lang w:val="en-GB"/>
        </w:rPr>
        <w:t xml:space="preserve">                                                   </w:t>
      </w:r>
      <w:r w:rsidRPr="00BA39D6">
        <w:rPr>
          <w:rFonts w:ascii="Arial" w:eastAsiaTheme="minorEastAsia" w:hAnsi="Arial" w:cs="Arial"/>
          <w:b/>
          <w:color w:val="000000" w:themeColor="text1"/>
          <w:sz w:val="20"/>
          <w:szCs w:val="20"/>
          <w:lang w:val="en-GB"/>
        </w:rPr>
        <w:t>Fig. 1. Sensory evaluation of herbal infusion</w:t>
      </w:r>
    </w:p>
    <w:p w14:paraId="62F9C289" w14:textId="77777777" w:rsidR="001463BD" w:rsidRPr="00BA39D6" w:rsidRDefault="001463BD" w:rsidP="00D23D07">
      <w:pPr>
        <w:spacing w:line="240" w:lineRule="auto"/>
        <w:jc w:val="both"/>
        <w:rPr>
          <w:rFonts w:ascii="Arial" w:eastAsiaTheme="minorEastAsia" w:hAnsi="Arial" w:cs="Arial"/>
          <w:b/>
          <w:color w:val="000000" w:themeColor="text1"/>
          <w:sz w:val="20"/>
          <w:szCs w:val="20"/>
          <w:lang w:val="en-GB"/>
        </w:rPr>
      </w:pPr>
    </w:p>
    <w:p w14:paraId="22A8F1DD" w14:textId="77777777" w:rsidR="001463BD" w:rsidRPr="00BA39D6" w:rsidRDefault="001463BD" w:rsidP="00D23D07">
      <w:pPr>
        <w:spacing w:line="240" w:lineRule="auto"/>
        <w:jc w:val="both"/>
        <w:rPr>
          <w:rFonts w:ascii="Arial" w:eastAsiaTheme="minorEastAsia" w:hAnsi="Arial" w:cs="Arial"/>
          <w:b/>
          <w:color w:val="000000" w:themeColor="text1"/>
          <w:lang w:val="en-GB"/>
        </w:rPr>
      </w:pPr>
      <w:r w:rsidRPr="00BA39D6">
        <w:t>3.2 Proximate Analysis of the Formulated Herbal Infusion</w:t>
      </w:r>
    </w:p>
    <w:p w14:paraId="46537AEF" w14:textId="77777777" w:rsidR="00063852" w:rsidRPr="00BA39D6" w:rsidRDefault="00063852" w:rsidP="00D23D07">
      <w:pPr>
        <w:spacing w:line="240" w:lineRule="auto"/>
        <w:jc w:val="both"/>
      </w:pPr>
      <w:r w:rsidRPr="00BA39D6">
        <w:t>Figure 2 demonstrates the proximate composition of the most appropriate herbal infusion formulation on a dry matter basis. The F2 formulation powder had a moisture level of 1.56%. The shelf life of the product is positively associated with the moisture content of the herbal infusion. Lower moisture content helps reduce the growth of bacteria and fungi, thereby improving the shelf stability and overall quality of the product. It is advised that herbal infusions be dried to a moisture level below 4% to ensure good preservation properties, provided that moisture absorption is limited during distribution and storage (Kumadoh et al., 2022).</w:t>
      </w:r>
    </w:p>
    <w:p w14:paraId="0B9FFFE4" w14:textId="77777777" w:rsidR="006D3D9B" w:rsidRPr="00BA39D6" w:rsidRDefault="006D3D9B" w:rsidP="00D23D07">
      <w:pPr>
        <w:spacing w:line="240" w:lineRule="auto"/>
        <w:jc w:val="both"/>
        <w:rPr>
          <w:rFonts w:ascii="Arial" w:eastAsiaTheme="minorEastAsia" w:hAnsi="Arial" w:cs="Arial"/>
          <w:color w:val="000000" w:themeColor="text1"/>
          <w:sz w:val="20"/>
          <w:szCs w:val="20"/>
          <w:lang w:val="en-GB"/>
        </w:rPr>
      </w:pPr>
      <w:r w:rsidRPr="00BA39D6">
        <w:t>The protein content of the F2 formulation powder was 7.57%. The presence of protein in the formulation may be attributed to the incorporation of plant-based ingredients and spices used during product development. Herbal infusions are generally not known for high protein levels, so this value indicates an appreciable nutritional contribution. The crude fibre content was 21.79%, indicating that the product is a rich source of dietary fibre. Dietary fibre is important for improving digestive health and enhancing the functional properties of the beverage. Crude fat was 1.97%, indicating a low-fat composition in the product. The low fat content makes the beverage suitable for health-conscious consumers and may contribute to better shelf stability. Carbohydrate content was 85.51%, indicating that carbohydrates constitute the major component of the formulation. The high carbohydrate content may be associated with the presence of natural sugars, dietary fibre, and other plant-derived constituents from the ingredients used. Carbohydrates contribute significantly to the energy value and overall nutritional composition of the beverage. The energy value was 390.05 kcal, indicating that the product can serve as a source of energy. The total ash content of F2 powder was 3.39%, indicating a relatively high ash content.</w:t>
      </w:r>
    </w:p>
    <w:p w14:paraId="142871DF" w14:textId="77777777" w:rsidR="00212891" w:rsidRPr="00BA39D6" w:rsidRDefault="00212891" w:rsidP="00D23D07">
      <w:pPr>
        <w:spacing w:line="240" w:lineRule="auto"/>
        <w:jc w:val="both"/>
        <w:rPr>
          <w:rFonts w:ascii="Arial" w:eastAsiaTheme="minorEastAsia" w:hAnsi="Arial" w:cs="Arial"/>
          <w:color w:val="000000" w:themeColor="text1"/>
          <w:sz w:val="20"/>
          <w:szCs w:val="20"/>
          <w:u w:val="single"/>
          <w:lang w:val="en-GB"/>
        </w:rPr>
      </w:pPr>
    </w:p>
    <w:p w14:paraId="6EA539A5" w14:textId="77777777" w:rsidR="0057585E" w:rsidRPr="00BA39D6" w:rsidRDefault="0057585E" w:rsidP="00D23D07">
      <w:pPr>
        <w:spacing w:line="240" w:lineRule="auto"/>
        <w:jc w:val="both"/>
        <w:rPr>
          <w:rFonts w:ascii="Arial" w:eastAsiaTheme="minorEastAsia" w:hAnsi="Arial" w:cs="Arial"/>
          <w:color w:val="000000" w:themeColor="text1"/>
          <w:sz w:val="20"/>
          <w:szCs w:val="20"/>
          <w:u w:val="single"/>
          <w:lang w:val="en-GB"/>
        </w:rPr>
      </w:pPr>
    </w:p>
    <w:p w14:paraId="53A173A3" w14:textId="77777777" w:rsidR="0057585E" w:rsidRPr="00BA39D6" w:rsidRDefault="0057585E" w:rsidP="00D23D07">
      <w:pPr>
        <w:spacing w:line="240" w:lineRule="auto"/>
        <w:jc w:val="both"/>
        <w:rPr>
          <w:rFonts w:ascii="Arial" w:eastAsiaTheme="minorEastAsia" w:hAnsi="Arial" w:cs="Arial"/>
          <w:color w:val="000000" w:themeColor="text1"/>
          <w:sz w:val="20"/>
          <w:szCs w:val="20"/>
          <w:u w:val="single"/>
          <w:lang w:val="en-GB"/>
        </w:rPr>
      </w:pPr>
    </w:p>
    <w:p w14:paraId="73DE286D" w14:textId="77777777" w:rsidR="0057585E" w:rsidRPr="00BA39D6" w:rsidRDefault="0057585E" w:rsidP="00D23D07">
      <w:pPr>
        <w:spacing w:line="240" w:lineRule="auto"/>
        <w:jc w:val="both"/>
        <w:rPr>
          <w:rFonts w:ascii="Arial" w:eastAsiaTheme="minorEastAsia" w:hAnsi="Arial" w:cs="Arial"/>
          <w:color w:val="000000" w:themeColor="text1"/>
          <w:sz w:val="20"/>
          <w:szCs w:val="20"/>
          <w:u w:val="single"/>
          <w:lang w:val="en-GB"/>
        </w:rPr>
      </w:pPr>
    </w:p>
    <w:p w14:paraId="2CC1D33D" w14:textId="77777777" w:rsidR="0057585E" w:rsidRPr="00BA39D6" w:rsidRDefault="0057585E" w:rsidP="00D23D07">
      <w:pPr>
        <w:spacing w:line="240" w:lineRule="auto"/>
        <w:jc w:val="both"/>
        <w:rPr>
          <w:rFonts w:ascii="Arial" w:eastAsiaTheme="minorEastAsia" w:hAnsi="Arial" w:cs="Arial"/>
          <w:color w:val="000000" w:themeColor="text1"/>
          <w:sz w:val="20"/>
          <w:szCs w:val="20"/>
          <w:u w:val="single"/>
          <w:lang w:val="en-GB"/>
        </w:rPr>
      </w:pPr>
    </w:p>
    <w:p w14:paraId="22D18588" w14:textId="77777777" w:rsidR="0057585E" w:rsidRPr="00BA39D6" w:rsidRDefault="0057585E" w:rsidP="00D23D07">
      <w:pPr>
        <w:spacing w:line="240" w:lineRule="auto"/>
        <w:jc w:val="both"/>
        <w:rPr>
          <w:rFonts w:ascii="Arial" w:eastAsiaTheme="minorEastAsia" w:hAnsi="Arial" w:cs="Arial"/>
          <w:color w:val="000000" w:themeColor="text1"/>
          <w:sz w:val="20"/>
          <w:szCs w:val="20"/>
          <w:u w:val="single"/>
          <w:lang w:val="en-GB"/>
        </w:rPr>
      </w:pPr>
    </w:p>
    <w:p w14:paraId="5AFC78FD" w14:textId="77777777" w:rsidR="009579C3" w:rsidRPr="00BA39D6" w:rsidRDefault="009579C3" w:rsidP="00D23D07">
      <w:pPr>
        <w:spacing w:line="240" w:lineRule="auto"/>
        <w:jc w:val="both"/>
        <w:rPr>
          <w:rFonts w:ascii="Arial" w:eastAsiaTheme="minorEastAsia" w:hAnsi="Arial" w:cs="Arial"/>
          <w:color w:val="000000" w:themeColor="text1"/>
          <w:sz w:val="20"/>
          <w:szCs w:val="20"/>
          <w:u w:val="single"/>
          <w:lang w:val="en-GB"/>
        </w:rPr>
      </w:pPr>
    </w:p>
    <w:p w14:paraId="22BA5FCC" w14:textId="77777777" w:rsidR="009579C3" w:rsidRPr="00BA39D6" w:rsidRDefault="009579C3" w:rsidP="00D23D07">
      <w:pPr>
        <w:spacing w:line="240" w:lineRule="auto"/>
        <w:jc w:val="both"/>
        <w:rPr>
          <w:rFonts w:ascii="Arial" w:eastAsiaTheme="minorEastAsia" w:hAnsi="Arial" w:cs="Arial"/>
          <w:color w:val="000000" w:themeColor="text1"/>
          <w:sz w:val="20"/>
          <w:szCs w:val="20"/>
          <w:u w:val="single"/>
          <w:lang w:val="en-GB"/>
        </w:rPr>
      </w:pPr>
    </w:p>
    <w:p w14:paraId="62F9DF70" w14:textId="77777777" w:rsidR="0057585E" w:rsidRPr="00BA39D6" w:rsidRDefault="004C5570" w:rsidP="00D23D07">
      <w:pPr>
        <w:spacing w:line="240" w:lineRule="auto"/>
        <w:jc w:val="both"/>
        <w:rPr>
          <w:rFonts w:ascii="Arial" w:eastAsiaTheme="minorEastAsia" w:hAnsi="Arial" w:cs="Arial"/>
          <w:color w:val="000000" w:themeColor="text1"/>
          <w:sz w:val="20"/>
          <w:szCs w:val="20"/>
          <w:lang w:val="en-GB"/>
        </w:rPr>
      </w:pPr>
      <w:r w:rsidRPr="00BA39D6">
        <w:rPr>
          <w:rFonts w:ascii="Arial" w:eastAsiaTheme="minorEastAsia" w:hAnsi="Arial" w:cs="Arial"/>
          <w:color w:val="000000" w:themeColor="text1"/>
          <w:sz w:val="20"/>
          <w:szCs w:val="20"/>
          <w:lang w:val="en-GB"/>
        </w:rPr>
        <w:t xml:space="preserve">                  </w:t>
      </w:r>
      <w:r w:rsidRPr="00BA39D6">
        <w:rPr>
          <w:noProof/>
        </w:rPr>
        <w:drawing>
          <wp:inline distT="0" distB="0" distL="0" distR="0" wp14:anchorId="4609B66B" wp14:editId="310219DC">
            <wp:extent cx="4832010" cy="2756319"/>
            <wp:effectExtent l="0" t="0" r="6985" b="6350"/>
            <wp:docPr id="2" name="Chart 2">
              <a:extLst xmlns:a="http://schemas.openxmlformats.org/drawingml/2006/main">
                <a:ext uri="{FF2B5EF4-FFF2-40B4-BE49-F238E27FC236}">
                  <a16:creationId xmlns:a16="http://schemas.microsoft.com/office/drawing/2014/main" id="{2E66ED00-9197-48BB-B375-329A61C4A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FDACB9" w14:textId="77777777" w:rsidR="004C5570" w:rsidRPr="00BA39D6" w:rsidRDefault="004C5570" w:rsidP="00D23D07">
      <w:pPr>
        <w:spacing w:line="240" w:lineRule="auto"/>
        <w:jc w:val="both"/>
        <w:rPr>
          <w:rFonts w:ascii="Arial" w:eastAsiaTheme="minorEastAsia" w:hAnsi="Arial" w:cs="Arial"/>
          <w:b/>
          <w:color w:val="000000" w:themeColor="text1"/>
          <w:sz w:val="20"/>
          <w:szCs w:val="20"/>
          <w:lang w:val="en-GB"/>
        </w:rPr>
      </w:pPr>
      <w:r w:rsidRPr="00BA39D6">
        <w:rPr>
          <w:rFonts w:ascii="Arial" w:eastAsiaTheme="minorEastAsia" w:hAnsi="Arial" w:cs="Arial"/>
          <w:color w:val="000000" w:themeColor="text1"/>
          <w:sz w:val="20"/>
          <w:szCs w:val="20"/>
          <w:u w:val="single"/>
          <w:lang w:val="en-GB"/>
        </w:rPr>
        <w:t xml:space="preserve"> </w:t>
      </w:r>
      <w:r w:rsidRPr="00BA39D6">
        <w:rPr>
          <w:rFonts w:ascii="Arial" w:eastAsiaTheme="minorEastAsia" w:hAnsi="Arial" w:cs="Arial"/>
          <w:color w:val="000000" w:themeColor="text1"/>
          <w:sz w:val="20"/>
          <w:szCs w:val="20"/>
          <w:lang w:val="en-GB"/>
        </w:rPr>
        <w:t xml:space="preserve">                    </w:t>
      </w:r>
      <w:r w:rsidR="00E76B31" w:rsidRPr="00BA39D6">
        <w:rPr>
          <w:rFonts w:ascii="Arial" w:eastAsiaTheme="minorEastAsia" w:hAnsi="Arial" w:cs="Arial"/>
          <w:b/>
          <w:color w:val="000000" w:themeColor="text1"/>
          <w:sz w:val="20"/>
          <w:szCs w:val="20"/>
          <w:lang w:val="en-GB"/>
        </w:rPr>
        <w:t>Fig. 2. Proximate analysis of most preferred formulated sample of herbal infusion</w:t>
      </w:r>
    </w:p>
    <w:p w14:paraId="6CD7F14C" w14:textId="77777777" w:rsidR="00E76B31" w:rsidRPr="00BA39D6" w:rsidRDefault="00E76B31" w:rsidP="00D23D07">
      <w:pPr>
        <w:spacing w:line="240" w:lineRule="auto"/>
        <w:jc w:val="both"/>
        <w:rPr>
          <w:rFonts w:ascii="Arial" w:eastAsiaTheme="minorEastAsia" w:hAnsi="Arial" w:cs="Arial"/>
          <w:b/>
          <w:color w:val="000000" w:themeColor="text1"/>
          <w:sz w:val="20"/>
          <w:szCs w:val="20"/>
          <w:lang w:val="en-GB"/>
        </w:rPr>
      </w:pPr>
    </w:p>
    <w:p w14:paraId="3350E460" w14:textId="77777777" w:rsidR="00E76B31" w:rsidRPr="00BA39D6" w:rsidRDefault="00E76B31" w:rsidP="00D23D07">
      <w:pPr>
        <w:spacing w:line="240" w:lineRule="auto"/>
        <w:jc w:val="both"/>
        <w:rPr>
          <w:rFonts w:ascii="Arial" w:eastAsiaTheme="minorEastAsia" w:hAnsi="Arial" w:cs="Arial"/>
          <w:b/>
          <w:color w:val="000000" w:themeColor="text1"/>
          <w:lang w:val="en-GB"/>
        </w:rPr>
      </w:pPr>
      <w:r w:rsidRPr="00BA39D6">
        <w:t>3.3 Physicochemical Properties of Formulated Herbal Infusion (F2) Powder</w:t>
      </w:r>
    </w:p>
    <w:p w14:paraId="415602C7" w14:textId="77777777" w:rsidR="0057585E" w:rsidRPr="00BA39D6" w:rsidRDefault="00DB2110" w:rsidP="00D23D07">
      <w:pPr>
        <w:spacing w:line="240" w:lineRule="auto"/>
        <w:jc w:val="both"/>
        <w:rPr>
          <w:rFonts w:ascii="Arial" w:eastAsiaTheme="minorEastAsia" w:hAnsi="Arial" w:cs="Arial"/>
          <w:color w:val="000000" w:themeColor="text1"/>
          <w:sz w:val="20"/>
          <w:szCs w:val="20"/>
          <w:lang w:val="en-GB"/>
        </w:rPr>
      </w:pPr>
      <w:r w:rsidRPr="00BA39D6">
        <w:t>Physical and chemical characteristics, such as pH and colour, were measured for the most suitable herbal infusion formulation (F2). The pH level significantly affects how functional drinks are processed and influences the appearance of various products (Vázquez-Cabral et al., 2014). The pH of the F2 formulated powder was 5.96, indicating a slightly acidic range that is generally considered acceptable. Bacterial contamination may be high at neutral or higher pH levels, but it may be low when a herbal medicine has a low pH because of the presence of acidic chemicals (Kumadoh et al., 2024). The perception of colour is directly correlated with the chroma and hue angle of the product, while the colour intensity parameter can be used to monitor sample colour variations (Delgado-Ospina et al., 2022). The chroma of the powder was 14.45, colour intensity was 37.54, and hue angle was 63.9°, indicating a yellowish-brown colour tone of the herbal infusion.</w:t>
      </w:r>
    </w:p>
    <w:p w14:paraId="1BB56636" w14:textId="77777777" w:rsidR="002E5E1F" w:rsidRPr="00BA39D6" w:rsidRDefault="002E5E1F" w:rsidP="00D23D07">
      <w:pPr>
        <w:spacing w:line="240" w:lineRule="auto"/>
        <w:jc w:val="both"/>
        <w:rPr>
          <w:rFonts w:ascii="Arial" w:eastAsiaTheme="minorEastAsia" w:hAnsi="Arial" w:cs="Arial"/>
          <w:color w:val="000000" w:themeColor="text1"/>
          <w:sz w:val="20"/>
          <w:szCs w:val="20"/>
          <w:lang w:val="en-GB"/>
        </w:rPr>
      </w:pPr>
    </w:p>
    <w:p w14:paraId="191ED7E6" w14:textId="77777777" w:rsidR="002E5E1F" w:rsidRPr="00BA39D6" w:rsidRDefault="002E5E1F" w:rsidP="00D23D07">
      <w:pPr>
        <w:spacing w:line="240" w:lineRule="auto"/>
        <w:jc w:val="both"/>
        <w:rPr>
          <w:rFonts w:ascii="Arial" w:eastAsiaTheme="minorEastAsia" w:hAnsi="Arial" w:cs="Arial"/>
          <w:b/>
          <w:color w:val="000000" w:themeColor="text1"/>
          <w:lang w:val="en-GB"/>
        </w:rPr>
      </w:pPr>
      <w:r w:rsidRPr="00BA39D6">
        <w:rPr>
          <w:rFonts w:ascii="Arial" w:eastAsiaTheme="minorEastAsia" w:hAnsi="Arial" w:cs="Arial"/>
          <w:b/>
          <w:color w:val="000000" w:themeColor="text1"/>
          <w:lang w:val="en-GB"/>
        </w:rPr>
        <w:t>3.4 Antioxidant and Phytochemical Properties</w:t>
      </w:r>
    </w:p>
    <w:p w14:paraId="4F4D4176" w14:textId="77777777" w:rsidR="002E5E1F" w:rsidRPr="00BA39D6" w:rsidRDefault="002E5E1F" w:rsidP="00D23D07">
      <w:pPr>
        <w:spacing w:line="240" w:lineRule="auto"/>
        <w:jc w:val="both"/>
        <w:rPr>
          <w:rFonts w:ascii="Arial" w:eastAsiaTheme="minorEastAsia" w:hAnsi="Arial" w:cs="Arial"/>
          <w:b/>
          <w:color w:val="000000" w:themeColor="text1"/>
          <w:sz w:val="20"/>
          <w:szCs w:val="20"/>
          <w:u w:val="single"/>
          <w:lang w:val="en-GB"/>
        </w:rPr>
      </w:pPr>
      <w:r w:rsidRPr="00BA39D6">
        <w:t>3.4.1 Antioxidant Properties of Control and Formulated Herbal Infusion (F2) Powder</w:t>
      </w:r>
    </w:p>
    <w:p w14:paraId="61D51A77" w14:textId="77777777" w:rsidR="002E5E1F" w:rsidRPr="00BA39D6" w:rsidRDefault="002E5E1F" w:rsidP="00D23D07">
      <w:pPr>
        <w:spacing w:line="240" w:lineRule="auto"/>
        <w:jc w:val="both"/>
        <w:rPr>
          <w:rFonts w:ascii="Arial" w:hAnsi="Arial" w:cs="Arial"/>
          <w:sz w:val="20"/>
          <w:szCs w:val="20"/>
        </w:rPr>
      </w:pPr>
      <w:r w:rsidRPr="00BA39D6">
        <w:t>The radical scavenging activity of C was 508.4 mg/g ascorbic acid equivalent, and that of F2 was 401.86 mg/g ascorbic acid equivalent. The antioxidant activity of the formulated herbal infusion was observed to be lower than that of the control sample. The reduction in antioxidant activity may be due to processing conditions, dilution during infusion preparation, and possible degradation of heat-sensitive phenolic compounds. Despite this, the powdered sample exhibited high antioxidant activity.</w:t>
      </w:r>
    </w:p>
    <w:p w14:paraId="476535D3" w14:textId="77777777" w:rsidR="0045332A" w:rsidRPr="00BA39D6" w:rsidRDefault="00A51881" w:rsidP="00D23D07">
      <w:pPr>
        <w:spacing w:line="240" w:lineRule="auto"/>
        <w:jc w:val="both"/>
        <w:rPr>
          <w:rFonts w:ascii="Arial" w:eastAsiaTheme="minorEastAsia" w:hAnsi="Arial" w:cs="Arial"/>
          <w:b/>
          <w:color w:val="000000" w:themeColor="text1"/>
          <w:sz w:val="20"/>
          <w:szCs w:val="20"/>
          <w:u w:val="single"/>
          <w:lang w:val="en-GB"/>
        </w:rPr>
      </w:pPr>
      <w:r w:rsidRPr="00BA39D6">
        <w:t>3.4.2 Phytochemical Properties of Control and Formulated Herbal Infusion (F2) Powder</w:t>
      </w:r>
    </w:p>
    <w:p w14:paraId="10CEBD64" w14:textId="77777777" w:rsidR="0045332A" w:rsidRPr="00BA39D6" w:rsidRDefault="0045332A" w:rsidP="00821E70">
      <w:pPr>
        <w:pStyle w:val="NormalWeb"/>
      </w:pPr>
      <w:r w:rsidRPr="00BA39D6">
        <w:t xml:space="preserve">The total phenolic content of the control sample (17.33 mg GAE/g) was found to be slightly higher than that of F2 (17.29 mg GAE/g). The difference between the two samples was minimal, indicating that F2 retained a comparable level of phenolic content. The total flavonoid content of the control sample (15.669 mg QE/g) was found to be slightly higher than that of F2 (11.02 mg QE/g). However, the formulated sample still exhibited appreciable flavonoid content, indicating that the antioxidant qualities were due to the presence of bioactive substances. The total tannin content of the F2 sample (1.14 mg/g) was found to be greater than that of the control sample (1.03 mg/g). The combination of cinnamon and cardamom flavours balanced bitterness </w:t>
      </w:r>
      <w:r w:rsidRPr="00BA39D6">
        <w:lastRenderedPageBreak/>
        <w:t>and sweetness, thereby improving palatability. Additionally, the interaction of apple peel, cinnamon, and cardamom may enhance bioavailability and cardiovascular benefit (Maqsood et al., 2014).</w:t>
      </w:r>
    </w:p>
    <w:p w14:paraId="664461B8" w14:textId="77777777" w:rsidR="00411D83" w:rsidRPr="00BA39D6" w:rsidRDefault="00411D83" w:rsidP="00D23D07">
      <w:pPr>
        <w:spacing w:line="240" w:lineRule="auto"/>
        <w:jc w:val="both"/>
        <w:rPr>
          <w:rFonts w:ascii="Arial" w:eastAsiaTheme="minorEastAsia" w:hAnsi="Arial" w:cs="Arial"/>
          <w:color w:val="000000" w:themeColor="text1"/>
          <w:sz w:val="20"/>
          <w:szCs w:val="20"/>
          <w:lang w:val="en-GB"/>
        </w:rPr>
      </w:pPr>
    </w:p>
    <w:p w14:paraId="6865B91E" w14:textId="77777777" w:rsidR="00411D83" w:rsidRPr="00BA39D6" w:rsidRDefault="00411D83" w:rsidP="00D23D07">
      <w:pPr>
        <w:spacing w:line="240" w:lineRule="auto"/>
        <w:jc w:val="both"/>
        <w:rPr>
          <w:rFonts w:ascii="Arial" w:eastAsiaTheme="minorEastAsia" w:hAnsi="Arial" w:cs="Arial"/>
          <w:b/>
          <w:color w:val="000000" w:themeColor="text1"/>
          <w:lang w:val="en-GB"/>
        </w:rPr>
      </w:pPr>
      <w:r w:rsidRPr="00BA39D6">
        <w:t>3.5 Microbial Quality of Formulated Herbal Infusion F2 Powder</w:t>
      </w:r>
    </w:p>
    <w:p w14:paraId="217B959B" w14:textId="77777777" w:rsidR="00A51881" w:rsidRPr="00BA39D6" w:rsidRDefault="00411D83" w:rsidP="00D23D07">
      <w:pPr>
        <w:spacing w:line="240" w:lineRule="auto"/>
        <w:jc w:val="both"/>
        <w:rPr>
          <w:rFonts w:ascii="Arial" w:eastAsiaTheme="minorEastAsia" w:hAnsi="Arial" w:cs="Arial"/>
          <w:color w:val="000000" w:themeColor="text1"/>
          <w:sz w:val="20"/>
          <w:szCs w:val="20"/>
          <w:lang w:val="en-GB"/>
        </w:rPr>
      </w:pPr>
      <w:r w:rsidRPr="00BA39D6">
        <w:t>The total plate count of the F2 powder was 9.02 × 10² CFU/g, which was within the acceptable microbiological limit (10⁴ to 10⁵ CFU/g), indicating a low microbial load. A low microbial count improves the shelf stability of the herbal infusion by preventing the growth of spoilage microorganisms. The yeast and mould count was 9.09 × 10 CFU/mg, within the acceptable limit (≤10³ CFU/g), indicating a low level of fungal contamination in the product.</w:t>
      </w:r>
    </w:p>
    <w:p w14:paraId="1D272FC1" w14:textId="77777777" w:rsidR="0057585E" w:rsidRPr="00BA39D6" w:rsidRDefault="0057585E" w:rsidP="00D23D07">
      <w:pPr>
        <w:spacing w:line="240" w:lineRule="auto"/>
        <w:jc w:val="both"/>
        <w:rPr>
          <w:rFonts w:ascii="Arial" w:eastAsiaTheme="minorEastAsia" w:hAnsi="Arial" w:cs="Arial"/>
          <w:color w:val="000000" w:themeColor="text1"/>
          <w:sz w:val="20"/>
          <w:szCs w:val="20"/>
          <w:u w:val="single"/>
          <w:lang w:val="en-GB"/>
        </w:rPr>
      </w:pPr>
    </w:p>
    <w:p w14:paraId="035FCDCB" w14:textId="77777777" w:rsidR="00FA05D7" w:rsidRPr="00BA39D6" w:rsidRDefault="00733104" w:rsidP="00D23D07">
      <w:pPr>
        <w:spacing w:line="240" w:lineRule="auto"/>
        <w:jc w:val="both"/>
        <w:rPr>
          <w:rFonts w:ascii="Arial" w:eastAsiaTheme="minorEastAsia" w:hAnsi="Arial" w:cs="Arial"/>
          <w:b/>
          <w:color w:val="000000" w:themeColor="text1"/>
          <w:lang w:val="en-GB"/>
        </w:rPr>
      </w:pPr>
      <w:r w:rsidRPr="00BA39D6">
        <w:rPr>
          <w:rFonts w:ascii="Arial" w:eastAsiaTheme="minorEastAsia" w:hAnsi="Arial" w:cs="Arial"/>
          <w:b/>
          <w:color w:val="000000" w:themeColor="text1"/>
          <w:lang w:val="en-GB"/>
        </w:rPr>
        <w:t>4. CONCLUSION</w:t>
      </w:r>
    </w:p>
    <w:p w14:paraId="325266BF" w14:textId="39F4B0B2" w:rsidR="006E7835" w:rsidRPr="00BA39D6" w:rsidRDefault="003B000D" w:rsidP="00384E1D">
      <w:pPr>
        <w:pStyle w:val="ReferHead"/>
        <w:spacing w:after="0"/>
        <w:jc w:val="both"/>
        <w:rPr>
          <w:rFonts w:ascii="Arial" w:hAnsi="Arial" w:cs="Arial"/>
          <w:b w:val="0"/>
          <w:caps w:val="0"/>
          <w:sz w:val="20"/>
        </w:rPr>
      </w:pPr>
      <w:r w:rsidRPr="00BA39D6">
        <w:rPr>
          <w:rFonts w:ascii="Arial" w:hAnsi="Arial" w:cs="Arial"/>
          <w:b w:val="0"/>
          <w:caps w:val="0"/>
          <w:sz w:val="20"/>
        </w:rPr>
        <w:t>The study developed an apple-peel-based herbal infusion powder enriched with cinnamon and cardamom and identified F2 as the most acceptable formulation. The selected formulation, containing 50% apple peel powder, 30% cinnamon, and 20% cardamom, received the highest overall acceptability score among the prepared samples. Its low moisture and crude fat contents may support product stability, while its crude fibre, carbohydrate, protein, and ash contents contributed to its nutritional profile. The F2 formulation showed a slightly acidic pH and a yellowish-brown colour tone. Although its radical scavenging activity, total phenolic content, and total flavonoid content were lower than those of the control, the formulation retained appreciable antioxidant-related properties and showed higher tannin content. The total plate count and yeast and mould count were within acceptable microbiological limits. Overall, the findings support the possible use of apple peel powder as a value-added ingredient for developing a herbal infusion with acceptable sensory, nutritional, antioxidant, and microbiological characteristics.</w:t>
      </w:r>
    </w:p>
    <w:p w14:paraId="14ADC09C" w14:textId="77777777" w:rsidR="00616039" w:rsidRPr="00BA39D6" w:rsidRDefault="00616039" w:rsidP="00384E1D">
      <w:pPr>
        <w:pStyle w:val="ReferHead"/>
        <w:spacing w:after="0"/>
        <w:jc w:val="both"/>
        <w:rPr>
          <w:rFonts w:asciiTheme="minorHAnsi" w:eastAsiaTheme="minorHAnsi" w:hAnsiTheme="minorHAnsi" w:cstheme="minorBidi"/>
          <w:b w:val="0"/>
          <w:caps w:val="0"/>
          <w:szCs w:val="22"/>
          <w:lang w:val="en-IN"/>
        </w:rPr>
      </w:pPr>
    </w:p>
    <w:p w14:paraId="7EAAA651" w14:textId="15A2B802" w:rsidR="00616039" w:rsidRPr="00BA39D6" w:rsidRDefault="00616039" w:rsidP="00616039">
      <w:pPr>
        <w:pStyle w:val="ReferHead"/>
        <w:spacing w:after="0"/>
        <w:jc w:val="both"/>
        <w:rPr>
          <w:rFonts w:ascii="Arial" w:hAnsi="Arial" w:cs="Arial"/>
          <w:bCs/>
          <w:caps w:val="0"/>
          <w:sz w:val="20"/>
        </w:rPr>
      </w:pPr>
      <w:r w:rsidRPr="00BA39D6">
        <w:rPr>
          <w:rFonts w:ascii="Arial" w:hAnsi="Arial" w:cs="Arial"/>
          <w:bCs/>
          <w:caps w:val="0"/>
          <w:sz w:val="20"/>
        </w:rPr>
        <w:t>5. Limitations</w:t>
      </w:r>
    </w:p>
    <w:p w14:paraId="17541054" w14:textId="73BB7539" w:rsidR="00616039" w:rsidRPr="00BA39D6" w:rsidRDefault="00616039" w:rsidP="00616039">
      <w:pPr>
        <w:pStyle w:val="ReferHead"/>
        <w:spacing w:after="0"/>
        <w:jc w:val="both"/>
        <w:rPr>
          <w:rFonts w:ascii="Arial" w:hAnsi="Arial" w:cs="Arial"/>
          <w:b w:val="0"/>
          <w:caps w:val="0"/>
          <w:sz w:val="20"/>
        </w:rPr>
      </w:pPr>
      <w:r w:rsidRPr="00BA39D6">
        <w:rPr>
          <w:rFonts w:ascii="Arial" w:hAnsi="Arial" w:cs="Arial"/>
          <w:b w:val="0"/>
          <w:caps w:val="0"/>
          <w:sz w:val="20"/>
        </w:rPr>
        <w:t xml:space="preserve">This study was limited to laboratory-scale formulation and evaluation of selected apple peel, cinnamon, and cardamom blends. Sensory analysis used untrained </w:t>
      </w:r>
      <w:proofErr w:type="spellStart"/>
      <w:r w:rsidRPr="00BA39D6">
        <w:rPr>
          <w:rFonts w:ascii="Arial" w:hAnsi="Arial" w:cs="Arial"/>
          <w:b w:val="0"/>
          <w:caps w:val="0"/>
          <w:sz w:val="20"/>
        </w:rPr>
        <w:t>panellists</w:t>
      </w:r>
      <w:proofErr w:type="spellEnd"/>
      <w:r w:rsidRPr="00BA39D6">
        <w:rPr>
          <w:rFonts w:ascii="Arial" w:hAnsi="Arial" w:cs="Arial"/>
          <w:b w:val="0"/>
          <w:caps w:val="0"/>
          <w:sz w:val="20"/>
        </w:rPr>
        <w:t>, and storage stability was not assessed over an extended period. The study also did not examine bioavailability, in vivo effects, or consumer acceptability across wider demographic groups.</w:t>
      </w:r>
    </w:p>
    <w:p w14:paraId="1E3C6A28" w14:textId="77777777" w:rsidR="006A5A94" w:rsidRPr="00BA39D6" w:rsidRDefault="006A5A94" w:rsidP="006A5A94">
      <w:pPr>
        <w:rPr>
          <w:rFonts w:ascii="Calibri" w:eastAsia="Calibri" w:hAnsi="Calibri" w:cs="Times New Roman"/>
          <w:kern w:val="2"/>
          <w:lang w:val="en-US"/>
        </w:rPr>
      </w:pPr>
    </w:p>
    <w:p w14:paraId="7FD0A140" w14:textId="77777777" w:rsidR="001342B8" w:rsidRPr="00BE683E" w:rsidRDefault="001342B8" w:rsidP="001342B8">
      <w:pPr>
        <w:pStyle w:val="NoSpacing"/>
        <w:rPr>
          <w:rFonts w:ascii="Arial" w:hAnsi="Arial" w:cs="Arial"/>
          <w:b/>
          <w:bCs/>
        </w:rPr>
      </w:pPr>
      <w:bookmarkStart w:id="3" w:name="_Hlk226454370"/>
      <w:r w:rsidRPr="00BE683E">
        <w:rPr>
          <w:rFonts w:ascii="Arial" w:hAnsi="Arial" w:cs="Arial"/>
          <w:b/>
          <w:bCs/>
        </w:rPr>
        <w:t>Declaration of AI Use</w:t>
      </w:r>
    </w:p>
    <w:p w14:paraId="0EC13FED" w14:textId="01C7009A" w:rsidR="006A5A94" w:rsidRPr="00BA39D6" w:rsidRDefault="001342B8" w:rsidP="00BE683E">
      <w:pPr>
        <w:pStyle w:val="NoSpacing"/>
        <w:jc w:val="both"/>
        <w:rPr>
          <w:rFonts w:ascii="Arial" w:hAnsi="Arial" w:cs="Arial"/>
        </w:rPr>
      </w:pPr>
      <w:r w:rsidRPr="001342B8">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3"/>
    <w:p w14:paraId="26BE0DD6" w14:textId="77777777" w:rsidR="00DC402C" w:rsidRPr="00BA39D6" w:rsidRDefault="00DC402C" w:rsidP="00384E1D">
      <w:pPr>
        <w:pStyle w:val="ReferHead"/>
        <w:spacing w:after="0"/>
        <w:jc w:val="both"/>
        <w:rPr>
          <w:rFonts w:ascii="Arial" w:hAnsi="Arial" w:cs="Arial"/>
          <w:b w:val="0"/>
          <w:caps w:val="0"/>
          <w:sz w:val="20"/>
        </w:rPr>
      </w:pPr>
    </w:p>
    <w:p w14:paraId="6425A10F" w14:textId="77777777" w:rsidR="006E7835" w:rsidRPr="00BA39D6" w:rsidRDefault="006E7835" w:rsidP="00384E1D">
      <w:pPr>
        <w:pStyle w:val="ReferHead"/>
        <w:spacing w:after="0"/>
        <w:jc w:val="both"/>
        <w:rPr>
          <w:rFonts w:ascii="Arial" w:hAnsi="Arial" w:cs="Arial"/>
          <w:caps w:val="0"/>
          <w:szCs w:val="22"/>
        </w:rPr>
      </w:pPr>
      <w:r w:rsidRPr="00BA39D6">
        <w:rPr>
          <w:rFonts w:ascii="Arial" w:hAnsi="Arial" w:cs="Arial"/>
          <w:caps w:val="0"/>
          <w:szCs w:val="22"/>
        </w:rPr>
        <w:t>REFERENCES</w:t>
      </w:r>
    </w:p>
    <w:p w14:paraId="314463D9"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Atoui, A. K., Mansouri, A., </w:t>
      </w:r>
      <w:proofErr w:type="spellStart"/>
      <w:r w:rsidRPr="00AD3E95">
        <w:rPr>
          <w:rFonts w:ascii="Times New Roman" w:eastAsia="Times New Roman" w:hAnsi="Times New Roman" w:cs="Times New Roman"/>
          <w:sz w:val="24"/>
          <w:szCs w:val="24"/>
          <w:lang w:val="en-US"/>
        </w:rPr>
        <w:t>Boskou</w:t>
      </w:r>
      <w:proofErr w:type="spellEnd"/>
      <w:r w:rsidRPr="00AD3E95">
        <w:rPr>
          <w:rFonts w:ascii="Times New Roman" w:eastAsia="Times New Roman" w:hAnsi="Times New Roman" w:cs="Times New Roman"/>
          <w:sz w:val="24"/>
          <w:szCs w:val="24"/>
          <w:lang w:val="en-US"/>
        </w:rPr>
        <w:t xml:space="preserve">, G., &amp; Kefalas, P. (2005). Tea and herbal infusions: Their antioxidant activity and phenolic profile. </w:t>
      </w:r>
      <w:r w:rsidRPr="00AD3E95">
        <w:rPr>
          <w:rFonts w:ascii="Times New Roman" w:eastAsia="Times New Roman" w:hAnsi="Times New Roman" w:cs="Times New Roman"/>
          <w:i/>
          <w:iCs/>
          <w:sz w:val="24"/>
          <w:szCs w:val="24"/>
          <w:lang w:val="en-US"/>
        </w:rPr>
        <w:t>Food Chemistry, 89</w:t>
      </w:r>
      <w:r w:rsidRPr="00AD3E95">
        <w:rPr>
          <w:rFonts w:ascii="Times New Roman" w:eastAsia="Times New Roman" w:hAnsi="Times New Roman" w:cs="Times New Roman"/>
          <w:sz w:val="24"/>
          <w:szCs w:val="24"/>
          <w:lang w:val="en-US"/>
        </w:rPr>
        <w:t xml:space="preserve">(1), 27–36. </w:t>
      </w:r>
      <w:hyperlink r:id="rId10" w:tgtFrame="_new" w:history="1">
        <w:r w:rsidRPr="00AD3E95">
          <w:rPr>
            <w:rFonts w:ascii="Times New Roman" w:eastAsia="Times New Roman" w:hAnsi="Times New Roman" w:cs="Times New Roman"/>
            <w:color w:val="0000FF"/>
            <w:sz w:val="24"/>
            <w:szCs w:val="24"/>
            <w:u w:val="single"/>
            <w:lang w:val="en-US"/>
          </w:rPr>
          <w:t>https://doi.org/10.1016/j.foodchem.2004.01.075</w:t>
        </w:r>
      </w:hyperlink>
    </w:p>
    <w:p w14:paraId="27B73B86"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Boateng, J., Verghese, M., Walker, L. T., &amp; Ogutu, S. (2008). Effect of processing on antioxidant contents in selected dry beans (</w:t>
      </w:r>
      <w:r w:rsidRPr="00AD3E95">
        <w:rPr>
          <w:rFonts w:ascii="Times New Roman" w:eastAsia="Times New Roman" w:hAnsi="Times New Roman" w:cs="Times New Roman"/>
          <w:i/>
          <w:iCs/>
          <w:sz w:val="24"/>
          <w:szCs w:val="24"/>
          <w:lang w:val="en-US"/>
        </w:rPr>
        <w:t>Phaseolus</w:t>
      </w:r>
      <w:r w:rsidRPr="00AD3E95">
        <w:rPr>
          <w:rFonts w:ascii="Times New Roman" w:eastAsia="Times New Roman" w:hAnsi="Times New Roman" w:cs="Times New Roman"/>
          <w:sz w:val="24"/>
          <w:szCs w:val="24"/>
          <w:lang w:val="en-US"/>
        </w:rPr>
        <w:t xml:space="preserve"> spp. L.). </w:t>
      </w:r>
      <w:r w:rsidRPr="00AD3E95">
        <w:rPr>
          <w:rFonts w:ascii="Times New Roman" w:eastAsia="Times New Roman" w:hAnsi="Times New Roman" w:cs="Times New Roman"/>
          <w:i/>
          <w:iCs/>
          <w:sz w:val="24"/>
          <w:szCs w:val="24"/>
          <w:lang w:val="en-US"/>
        </w:rPr>
        <w:t>LWT - Food Science and Technology, 41</w:t>
      </w:r>
      <w:r w:rsidRPr="00AD3E95">
        <w:rPr>
          <w:rFonts w:ascii="Times New Roman" w:eastAsia="Times New Roman" w:hAnsi="Times New Roman" w:cs="Times New Roman"/>
          <w:sz w:val="24"/>
          <w:szCs w:val="24"/>
          <w:lang w:val="en-US"/>
        </w:rPr>
        <w:t>(9), 1541–1547. https://doi.org/10.1016/j.lwt.2007.11.025</w:t>
      </w:r>
    </w:p>
    <w:p w14:paraId="3B73464B"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Bureau of Indian Standards. (1999). </w:t>
      </w:r>
      <w:r w:rsidRPr="00AD3E95">
        <w:rPr>
          <w:rFonts w:ascii="Times New Roman" w:eastAsia="Times New Roman" w:hAnsi="Times New Roman" w:cs="Times New Roman"/>
          <w:i/>
          <w:iCs/>
          <w:sz w:val="24"/>
          <w:szCs w:val="24"/>
          <w:lang w:val="en-US"/>
        </w:rPr>
        <w:t xml:space="preserve">IS 5403:1999: Method for yeast and </w:t>
      </w:r>
      <w:proofErr w:type="spellStart"/>
      <w:r w:rsidRPr="00AD3E95">
        <w:rPr>
          <w:rFonts w:ascii="Times New Roman" w:eastAsia="Times New Roman" w:hAnsi="Times New Roman" w:cs="Times New Roman"/>
          <w:i/>
          <w:iCs/>
          <w:sz w:val="24"/>
          <w:szCs w:val="24"/>
          <w:lang w:val="en-US"/>
        </w:rPr>
        <w:t>mould</w:t>
      </w:r>
      <w:proofErr w:type="spellEnd"/>
      <w:r w:rsidRPr="00AD3E95">
        <w:rPr>
          <w:rFonts w:ascii="Times New Roman" w:eastAsia="Times New Roman" w:hAnsi="Times New Roman" w:cs="Times New Roman"/>
          <w:i/>
          <w:iCs/>
          <w:sz w:val="24"/>
          <w:szCs w:val="24"/>
          <w:lang w:val="en-US"/>
        </w:rPr>
        <w:t xml:space="preserve"> count of foodstuffs and animal feeds</w:t>
      </w:r>
      <w:r w:rsidRPr="00AD3E95">
        <w:rPr>
          <w:rFonts w:ascii="Times New Roman" w:eastAsia="Times New Roman" w:hAnsi="Times New Roman" w:cs="Times New Roman"/>
          <w:sz w:val="24"/>
          <w:szCs w:val="24"/>
          <w:lang w:val="en-US"/>
        </w:rPr>
        <w:t xml:space="preserve"> (First revision). Bureau of Indian Standards. </w:t>
      </w:r>
      <w:hyperlink r:id="rId11" w:tgtFrame="_new" w:history="1">
        <w:r w:rsidRPr="00AD3E95">
          <w:rPr>
            <w:rFonts w:ascii="Times New Roman" w:eastAsia="Times New Roman" w:hAnsi="Times New Roman" w:cs="Times New Roman"/>
            <w:color w:val="0000FF"/>
            <w:sz w:val="24"/>
            <w:szCs w:val="24"/>
            <w:u w:val="single"/>
            <w:lang w:val="en-US"/>
          </w:rPr>
          <w:t>https://standardsbis.bsbedge.com/BIS_SearchStandard.aspx?Standard_Number=is+5403&amp;id=0</w:t>
        </w:r>
      </w:hyperlink>
    </w:p>
    <w:p w14:paraId="505C7114"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Bureau of Indian Standards. (2012). </w:t>
      </w:r>
      <w:r w:rsidRPr="00AD3E95">
        <w:rPr>
          <w:rFonts w:ascii="Times New Roman" w:eastAsia="Times New Roman" w:hAnsi="Times New Roman" w:cs="Times New Roman"/>
          <w:i/>
          <w:iCs/>
          <w:sz w:val="24"/>
          <w:szCs w:val="24"/>
          <w:lang w:val="en-US"/>
        </w:rPr>
        <w:t>IS 5402:2012: Microbiology of food and animal feeding stuffs—Horizontal method for the enumeration of micro-organisms—Colony-count technique at 30 °C</w:t>
      </w:r>
      <w:r w:rsidRPr="00AD3E95">
        <w:rPr>
          <w:rFonts w:ascii="Times New Roman" w:eastAsia="Times New Roman" w:hAnsi="Times New Roman" w:cs="Times New Roman"/>
          <w:sz w:val="24"/>
          <w:szCs w:val="24"/>
          <w:lang w:val="en-US"/>
        </w:rPr>
        <w:t xml:space="preserve"> (Second revision). Bureau of Indian Standards. </w:t>
      </w:r>
      <w:hyperlink r:id="rId12" w:tgtFrame="_new" w:history="1">
        <w:r w:rsidRPr="00AD3E95">
          <w:rPr>
            <w:rFonts w:ascii="Times New Roman" w:eastAsia="Times New Roman" w:hAnsi="Times New Roman" w:cs="Times New Roman"/>
            <w:color w:val="0000FF"/>
            <w:sz w:val="24"/>
            <w:szCs w:val="24"/>
            <w:u w:val="single"/>
            <w:lang w:val="en-US"/>
          </w:rPr>
          <w:t>https://standardsbis.bsbedge.com/BIS_Preview.aspx?id=5402</w:t>
        </w:r>
      </w:hyperlink>
    </w:p>
    <w:p w14:paraId="056AF133"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lastRenderedPageBreak/>
        <w:t>Cano</w:t>
      </w:r>
      <w:proofErr w:type="spellEnd"/>
      <w:r w:rsidRPr="00AD3E95">
        <w:rPr>
          <w:rFonts w:ascii="Times New Roman" w:eastAsia="Times New Roman" w:hAnsi="Times New Roman" w:cs="Times New Roman"/>
          <w:sz w:val="24"/>
          <w:szCs w:val="24"/>
          <w:lang w:val="en-US"/>
        </w:rPr>
        <w:t>-Lou, J., Millán-</w:t>
      </w:r>
      <w:proofErr w:type="spellStart"/>
      <w:r w:rsidRPr="00AD3E95">
        <w:rPr>
          <w:rFonts w:ascii="Times New Roman" w:eastAsia="Times New Roman" w:hAnsi="Times New Roman" w:cs="Times New Roman"/>
          <w:sz w:val="24"/>
          <w:szCs w:val="24"/>
          <w:lang w:val="en-US"/>
        </w:rPr>
        <w:t>Laleona</w:t>
      </w:r>
      <w:proofErr w:type="spellEnd"/>
      <w:r w:rsidRPr="00AD3E95">
        <w:rPr>
          <w:rFonts w:ascii="Times New Roman" w:eastAsia="Times New Roman" w:hAnsi="Times New Roman" w:cs="Times New Roman"/>
          <w:sz w:val="24"/>
          <w:szCs w:val="24"/>
          <w:lang w:val="en-US"/>
        </w:rPr>
        <w:t xml:space="preserve">, A., Candrea, R., Les, F., Pina, A., Caprioli, G., &amp; López, V. (2025). Apple peels as an edible source of phenolic bioactive compounds with antidiabetic and antiglycation properties. </w:t>
      </w:r>
      <w:r w:rsidRPr="00AD3E95">
        <w:rPr>
          <w:rFonts w:ascii="Times New Roman" w:eastAsia="Times New Roman" w:hAnsi="Times New Roman" w:cs="Times New Roman"/>
          <w:i/>
          <w:iCs/>
          <w:sz w:val="24"/>
          <w:szCs w:val="24"/>
          <w:lang w:val="en-US"/>
        </w:rPr>
        <w:t>Food &amp; Function, 16</w:t>
      </w:r>
      <w:r w:rsidRPr="00AD3E95">
        <w:rPr>
          <w:rFonts w:ascii="Times New Roman" w:eastAsia="Times New Roman" w:hAnsi="Times New Roman" w:cs="Times New Roman"/>
          <w:sz w:val="24"/>
          <w:szCs w:val="24"/>
          <w:lang w:val="en-US"/>
        </w:rPr>
        <w:t xml:space="preserve">(8), 2947–2958. </w:t>
      </w:r>
      <w:hyperlink r:id="rId13" w:tgtFrame="_new" w:history="1">
        <w:r w:rsidRPr="00AD3E95">
          <w:rPr>
            <w:rFonts w:ascii="Times New Roman" w:eastAsia="Times New Roman" w:hAnsi="Times New Roman" w:cs="Times New Roman"/>
            <w:color w:val="0000FF"/>
            <w:sz w:val="24"/>
            <w:szCs w:val="24"/>
            <w:u w:val="single"/>
            <w:lang w:val="en-US"/>
          </w:rPr>
          <w:t>https://doi.org/10.1039/D4FO05241B</w:t>
        </w:r>
      </w:hyperlink>
    </w:p>
    <w:p w14:paraId="72B3D856"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Deka, P., &amp; Das, M. (2025). Development and sensory evaluation of fruit-based probiotic yoghurt. </w:t>
      </w:r>
      <w:r w:rsidRPr="00AD3E95">
        <w:rPr>
          <w:rFonts w:ascii="Times New Roman" w:eastAsia="Times New Roman" w:hAnsi="Times New Roman" w:cs="Times New Roman"/>
          <w:i/>
          <w:iCs/>
          <w:sz w:val="24"/>
          <w:szCs w:val="24"/>
          <w:lang w:val="en-US"/>
        </w:rPr>
        <w:t>Journal of Biology and Nature, 17</w:t>
      </w:r>
      <w:r w:rsidRPr="00AD3E95">
        <w:rPr>
          <w:rFonts w:ascii="Times New Roman" w:eastAsia="Times New Roman" w:hAnsi="Times New Roman" w:cs="Times New Roman"/>
          <w:sz w:val="24"/>
          <w:szCs w:val="24"/>
          <w:lang w:val="en-US"/>
        </w:rPr>
        <w:t xml:space="preserve">(2), 697–704. </w:t>
      </w:r>
      <w:hyperlink r:id="rId14" w:tgtFrame="_new" w:history="1">
        <w:r w:rsidRPr="00AD3E95">
          <w:rPr>
            <w:rFonts w:ascii="Times New Roman" w:eastAsia="Times New Roman" w:hAnsi="Times New Roman" w:cs="Times New Roman"/>
            <w:color w:val="0000FF"/>
            <w:sz w:val="24"/>
            <w:szCs w:val="24"/>
            <w:u w:val="single"/>
            <w:lang w:val="en-US"/>
          </w:rPr>
          <w:t>https://doi.org/10.56557/joban/2025/v17i29923</w:t>
        </w:r>
      </w:hyperlink>
    </w:p>
    <w:p w14:paraId="787F5EE3"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Delgado-Ospina, J., Lucas-González, R., </w:t>
      </w:r>
      <w:proofErr w:type="spellStart"/>
      <w:r w:rsidRPr="00AD3E95">
        <w:rPr>
          <w:rFonts w:ascii="Times New Roman" w:eastAsia="Times New Roman" w:hAnsi="Times New Roman" w:cs="Times New Roman"/>
          <w:sz w:val="24"/>
          <w:szCs w:val="24"/>
          <w:lang w:val="en-US"/>
        </w:rPr>
        <w:t>Viuda</w:t>
      </w:r>
      <w:proofErr w:type="spellEnd"/>
      <w:r w:rsidRPr="00AD3E95">
        <w:rPr>
          <w:rFonts w:ascii="Times New Roman" w:eastAsia="Times New Roman" w:hAnsi="Times New Roman" w:cs="Times New Roman"/>
          <w:sz w:val="24"/>
          <w:szCs w:val="24"/>
          <w:lang w:val="en-US"/>
        </w:rPr>
        <w:t xml:space="preserve">-Martos, M., Fernández-López, J., Pérez-Álvarez, J. Á., Martuscelli, M., &amp; Chaves-López, C. (2022). Potential of the cocoa shell to improve the quality properties of a burger-like meat product. </w:t>
      </w:r>
      <w:r w:rsidRPr="00AD3E95">
        <w:rPr>
          <w:rFonts w:ascii="Times New Roman" w:eastAsia="Times New Roman" w:hAnsi="Times New Roman" w:cs="Times New Roman"/>
          <w:i/>
          <w:iCs/>
          <w:sz w:val="24"/>
          <w:szCs w:val="24"/>
          <w:lang w:val="en-US"/>
        </w:rPr>
        <w:t>Journal of Food Processing and Preservation, 46</w:t>
      </w:r>
      <w:r w:rsidRPr="00AD3E95">
        <w:rPr>
          <w:rFonts w:ascii="Times New Roman" w:eastAsia="Times New Roman" w:hAnsi="Times New Roman" w:cs="Times New Roman"/>
          <w:sz w:val="24"/>
          <w:szCs w:val="24"/>
          <w:lang w:val="en-US"/>
        </w:rPr>
        <w:t xml:space="preserve">(8), Article e16752. </w:t>
      </w:r>
      <w:hyperlink r:id="rId15" w:tgtFrame="_new" w:history="1">
        <w:r w:rsidRPr="00AD3E95">
          <w:rPr>
            <w:rFonts w:ascii="Times New Roman" w:eastAsia="Times New Roman" w:hAnsi="Times New Roman" w:cs="Times New Roman"/>
            <w:color w:val="0000FF"/>
            <w:sz w:val="24"/>
            <w:szCs w:val="24"/>
            <w:u w:val="single"/>
            <w:lang w:val="en-US"/>
          </w:rPr>
          <w:t>https://doi.org/10.1111/jfpp.16752</w:t>
        </w:r>
      </w:hyperlink>
    </w:p>
    <w:p w14:paraId="49683036"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Denis, M. C., </w:t>
      </w:r>
      <w:proofErr w:type="spellStart"/>
      <w:r w:rsidRPr="00AD3E95">
        <w:rPr>
          <w:rFonts w:ascii="Times New Roman" w:eastAsia="Times New Roman" w:hAnsi="Times New Roman" w:cs="Times New Roman"/>
          <w:sz w:val="24"/>
          <w:szCs w:val="24"/>
          <w:lang w:val="en-US"/>
        </w:rPr>
        <w:t>Furtos</w:t>
      </w:r>
      <w:proofErr w:type="spellEnd"/>
      <w:r w:rsidRPr="00AD3E95">
        <w:rPr>
          <w:rFonts w:ascii="Times New Roman" w:eastAsia="Times New Roman" w:hAnsi="Times New Roman" w:cs="Times New Roman"/>
          <w:sz w:val="24"/>
          <w:szCs w:val="24"/>
          <w:lang w:val="en-US"/>
        </w:rPr>
        <w:t xml:space="preserve">, A., </w:t>
      </w:r>
      <w:proofErr w:type="spellStart"/>
      <w:r w:rsidRPr="00AD3E95">
        <w:rPr>
          <w:rFonts w:ascii="Times New Roman" w:eastAsia="Times New Roman" w:hAnsi="Times New Roman" w:cs="Times New Roman"/>
          <w:sz w:val="24"/>
          <w:szCs w:val="24"/>
          <w:lang w:val="en-US"/>
        </w:rPr>
        <w:t>Dudonné</w:t>
      </w:r>
      <w:proofErr w:type="spellEnd"/>
      <w:r w:rsidRPr="00AD3E95">
        <w:rPr>
          <w:rFonts w:ascii="Times New Roman" w:eastAsia="Times New Roman" w:hAnsi="Times New Roman" w:cs="Times New Roman"/>
          <w:sz w:val="24"/>
          <w:szCs w:val="24"/>
          <w:lang w:val="en-US"/>
        </w:rPr>
        <w:t xml:space="preserve">, S., </w:t>
      </w:r>
      <w:proofErr w:type="spellStart"/>
      <w:r w:rsidRPr="00AD3E95">
        <w:rPr>
          <w:rFonts w:ascii="Times New Roman" w:eastAsia="Times New Roman" w:hAnsi="Times New Roman" w:cs="Times New Roman"/>
          <w:sz w:val="24"/>
          <w:szCs w:val="24"/>
          <w:lang w:val="en-US"/>
        </w:rPr>
        <w:t>Montoudis</w:t>
      </w:r>
      <w:proofErr w:type="spellEnd"/>
      <w:r w:rsidRPr="00AD3E95">
        <w:rPr>
          <w:rFonts w:ascii="Times New Roman" w:eastAsia="Times New Roman" w:hAnsi="Times New Roman" w:cs="Times New Roman"/>
          <w:sz w:val="24"/>
          <w:szCs w:val="24"/>
          <w:lang w:val="en-US"/>
        </w:rPr>
        <w:t xml:space="preserve">, A., Garofalo, C., Desjardins, Y., Delvin, E., &amp; Levy, E. (2013). Apple peel polyphenols and their beneficial actions on oxidative stress and inflammation. </w:t>
      </w:r>
      <w:r w:rsidRPr="00AD3E95">
        <w:rPr>
          <w:rFonts w:ascii="Times New Roman" w:eastAsia="Times New Roman" w:hAnsi="Times New Roman" w:cs="Times New Roman"/>
          <w:i/>
          <w:iCs/>
          <w:sz w:val="24"/>
          <w:szCs w:val="24"/>
          <w:lang w:val="en-US"/>
        </w:rPr>
        <w:t>PLOS ONE, 8</w:t>
      </w:r>
      <w:r w:rsidRPr="00AD3E95">
        <w:rPr>
          <w:rFonts w:ascii="Times New Roman" w:eastAsia="Times New Roman" w:hAnsi="Times New Roman" w:cs="Times New Roman"/>
          <w:sz w:val="24"/>
          <w:szCs w:val="24"/>
          <w:lang w:val="en-US"/>
        </w:rPr>
        <w:t xml:space="preserve">(1), Article e53725. </w:t>
      </w:r>
      <w:hyperlink r:id="rId16" w:tgtFrame="_new" w:history="1">
        <w:r w:rsidRPr="00AD3E95">
          <w:rPr>
            <w:rFonts w:ascii="Times New Roman" w:eastAsia="Times New Roman" w:hAnsi="Times New Roman" w:cs="Times New Roman"/>
            <w:color w:val="0000FF"/>
            <w:sz w:val="24"/>
            <w:szCs w:val="24"/>
            <w:u w:val="single"/>
            <w:lang w:val="en-US"/>
          </w:rPr>
          <w:t>https://doi.org/10.1371/journal.pone.0053725</w:t>
        </w:r>
      </w:hyperlink>
    </w:p>
    <w:p w14:paraId="3D0E6A4C"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Esmaeilzadeh Kenari, R., </w:t>
      </w:r>
      <w:proofErr w:type="spellStart"/>
      <w:r w:rsidRPr="00AD3E95">
        <w:rPr>
          <w:rFonts w:ascii="Times New Roman" w:eastAsia="Times New Roman" w:hAnsi="Times New Roman" w:cs="Times New Roman"/>
          <w:sz w:val="24"/>
          <w:szCs w:val="24"/>
          <w:lang w:val="en-US"/>
        </w:rPr>
        <w:t>Mohsenzadeh</w:t>
      </w:r>
      <w:proofErr w:type="spellEnd"/>
      <w:r w:rsidRPr="00AD3E95">
        <w:rPr>
          <w:rFonts w:ascii="Times New Roman" w:eastAsia="Times New Roman" w:hAnsi="Times New Roman" w:cs="Times New Roman"/>
          <w:sz w:val="24"/>
          <w:szCs w:val="24"/>
          <w:lang w:val="en-US"/>
        </w:rPr>
        <w:t xml:space="preserve">, F., &amp; Amiri, Z. R. (2014). Antioxidant activity and total phenolic compounds of Dezful sesame cake extracts obtained by classical and ultrasound-assisted extraction methods. </w:t>
      </w:r>
      <w:r w:rsidRPr="00AD3E95">
        <w:rPr>
          <w:rFonts w:ascii="Times New Roman" w:eastAsia="Times New Roman" w:hAnsi="Times New Roman" w:cs="Times New Roman"/>
          <w:i/>
          <w:iCs/>
          <w:sz w:val="24"/>
          <w:szCs w:val="24"/>
          <w:lang w:val="en-US"/>
        </w:rPr>
        <w:t>Food Science &amp; Nutrition, 2</w:t>
      </w:r>
      <w:r w:rsidRPr="00AD3E95">
        <w:rPr>
          <w:rFonts w:ascii="Times New Roman" w:eastAsia="Times New Roman" w:hAnsi="Times New Roman" w:cs="Times New Roman"/>
          <w:sz w:val="24"/>
          <w:szCs w:val="24"/>
          <w:lang w:val="en-US"/>
        </w:rPr>
        <w:t xml:space="preserve">(4), 426–435. </w:t>
      </w:r>
      <w:hyperlink r:id="rId17" w:tgtFrame="_new" w:history="1">
        <w:r w:rsidRPr="00AD3E95">
          <w:rPr>
            <w:rFonts w:ascii="Times New Roman" w:eastAsia="Times New Roman" w:hAnsi="Times New Roman" w:cs="Times New Roman"/>
            <w:color w:val="0000FF"/>
            <w:sz w:val="24"/>
            <w:szCs w:val="24"/>
            <w:u w:val="single"/>
            <w:lang w:val="en-US"/>
          </w:rPr>
          <w:t>https://doi.org/10.1002/fsn3.118</w:t>
        </w:r>
      </w:hyperlink>
    </w:p>
    <w:p w14:paraId="6D10C7EA" w14:textId="66FE9743"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IMARC Group. (n.d.). </w:t>
      </w:r>
      <w:r w:rsidRPr="00AD3E95">
        <w:rPr>
          <w:rFonts w:ascii="Times New Roman" w:eastAsia="Times New Roman" w:hAnsi="Times New Roman" w:cs="Times New Roman"/>
          <w:i/>
          <w:iCs/>
          <w:sz w:val="24"/>
          <w:szCs w:val="24"/>
          <w:lang w:val="en-US"/>
        </w:rPr>
        <w:t>India functional beverages market size, share, trends and forecast by type, distribution channel, end user, and region, 2026–2034</w:t>
      </w:r>
      <w:r w:rsidRPr="00AD3E95">
        <w:rPr>
          <w:rFonts w:ascii="Times New Roman" w:eastAsia="Times New Roman" w:hAnsi="Times New Roman" w:cs="Times New Roman"/>
          <w:sz w:val="24"/>
          <w:szCs w:val="24"/>
          <w:lang w:val="en-US"/>
        </w:rPr>
        <w:t xml:space="preserve">. IMARC Group. </w:t>
      </w:r>
      <w:hyperlink r:id="rId18" w:tgtFrame="_new" w:history="1">
        <w:r w:rsidRPr="00AD3E95">
          <w:rPr>
            <w:rFonts w:ascii="Times New Roman" w:eastAsia="Times New Roman" w:hAnsi="Times New Roman" w:cs="Times New Roman"/>
            <w:color w:val="0000FF"/>
            <w:sz w:val="24"/>
            <w:szCs w:val="24"/>
            <w:u w:val="single"/>
            <w:lang w:val="en-US"/>
          </w:rPr>
          <w:t>https://www.imarcgroup.com/india-functional-beverages-market</w:t>
        </w:r>
      </w:hyperlink>
      <w:r w:rsidRPr="00AD3E95">
        <w:rPr>
          <w:rFonts w:ascii="Times New Roman" w:eastAsia="Times New Roman" w:hAnsi="Times New Roman" w:cs="Times New Roman"/>
          <w:sz w:val="24"/>
          <w:szCs w:val="24"/>
          <w:lang w:val="en-US"/>
        </w:rPr>
        <w:t xml:space="preserve"> </w:t>
      </w:r>
    </w:p>
    <w:p w14:paraId="37D241D6"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t>Kumadoh</w:t>
      </w:r>
      <w:proofErr w:type="spellEnd"/>
      <w:r w:rsidRPr="00AD3E95">
        <w:rPr>
          <w:rFonts w:ascii="Times New Roman" w:eastAsia="Times New Roman" w:hAnsi="Times New Roman" w:cs="Times New Roman"/>
          <w:sz w:val="24"/>
          <w:szCs w:val="24"/>
          <w:lang w:val="en-US"/>
        </w:rPr>
        <w:t xml:space="preserve">, D., </w:t>
      </w:r>
      <w:proofErr w:type="spellStart"/>
      <w:r w:rsidRPr="00AD3E95">
        <w:rPr>
          <w:rFonts w:ascii="Times New Roman" w:eastAsia="Times New Roman" w:hAnsi="Times New Roman" w:cs="Times New Roman"/>
          <w:sz w:val="24"/>
          <w:szCs w:val="24"/>
          <w:lang w:val="en-US"/>
        </w:rPr>
        <w:t>Amekyeh</w:t>
      </w:r>
      <w:proofErr w:type="spellEnd"/>
      <w:r w:rsidRPr="00AD3E95">
        <w:rPr>
          <w:rFonts w:ascii="Times New Roman" w:eastAsia="Times New Roman" w:hAnsi="Times New Roman" w:cs="Times New Roman"/>
          <w:sz w:val="24"/>
          <w:szCs w:val="24"/>
          <w:lang w:val="en-US"/>
        </w:rPr>
        <w:t xml:space="preserve">, H., Archer, M. A., </w:t>
      </w:r>
      <w:proofErr w:type="spellStart"/>
      <w:r w:rsidRPr="00AD3E95">
        <w:rPr>
          <w:rFonts w:ascii="Times New Roman" w:eastAsia="Times New Roman" w:hAnsi="Times New Roman" w:cs="Times New Roman"/>
          <w:sz w:val="24"/>
          <w:szCs w:val="24"/>
          <w:lang w:val="en-US"/>
        </w:rPr>
        <w:t>Kyene</w:t>
      </w:r>
      <w:proofErr w:type="spellEnd"/>
      <w:r w:rsidRPr="00AD3E95">
        <w:rPr>
          <w:rFonts w:ascii="Times New Roman" w:eastAsia="Times New Roman" w:hAnsi="Times New Roman" w:cs="Times New Roman"/>
          <w:sz w:val="24"/>
          <w:szCs w:val="24"/>
          <w:lang w:val="en-US"/>
        </w:rPr>
        <w:t xml:space="preserve">, M. O., Yeboah, G. N., Brew-Daniels, H., Adi-Dako, O., Osei-Asare, C., </w:t>
      </w:r>
      <w:proofErr w:type="spellStart"/>
      <w:r w:rsidRPr="00AD3E95">
        <w:rPr>
          <w:rFonts w:ascii="Times New Roman" w:eastAsia="Times New Roman" w:hAnsi="Times New Roman" w:cs="Times New Roman"/>
          <w:sz w:val="24"/>
          <w:szCs w:val="24"/>
          <w:lang w:val="en-US"/>
        </w:rPr>
        <w:t>Adase</w:t>
      </w:r>
      <w:proofErr w:type="spellEnd"/>
      <w:r w:rsidRPr="00AD3E95">
        <w:rPr>
          <w:rFonts w:ascii="Times New Roman" w:eastAsia="Times New Roman" w:hAnsi="Times New Roman" w:cs="Times New Roman"/>
          <w:sz w:val="24"/>
          <w:szCs w:val="24"/>
          <w:lang w:val="en-US"/>
        </w:rPr>
        <w:t xml:space="preserve">, E., &amp; Appiah, A. A. (2024). Determination of consistency in pH of some commercial herbal formulations in Ghana. </w:t>
      </w:r>
      <w:r w:rsidRPr="00AD3E95">
        <w:rPr>
          <w:rFonts w:ascii="Times New Roman" w:eastAsia="Times New Roman" w:hAnsi="Times New Roman" w:cs="Times New Roman"/>
          <w:i/>
          <w:iCs/>
          <w:sz w:val="24"/>
          <w:szCs w:val="24"/>
          <w:lang w:val="en-US"/>
        </w:rPr>
        <w:t>Journal of Herbal Medicine, 45</w:t>
      </w:r>
      <w:r w:rsidRPr="00AD3E95">
        <w:rPr>
          <w:rFonts w:ascii="Times New Roman" w:eastAsia="Times New Roman" w:hAnsi="Times New Roman" w:cs="Times New Roman"/>
          <w:sz w:val="24"/>
          <w:szCs w:val="24"/>
          <w:lang w:val="en-US"/>
        </w:rPr>
        <w:t>, Article 100876. https://doi.org/10.1016/j.hermed.2024.100876</w:t>
      </w:r>
    </w:p>
    <w:p w14:paraId="183482E4"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t>Kumadoh</w:t>
      </w:r>
      <w:proofErr w:type="spellEnd"/>
      <w:r w:rsidRPr="00AD3E95">
        <w:rPr>
          <w:rFonts w:ascii="Times New Roman" w:eastAsia="Times New Roman" w:hAnsi="Times New Roman" w:cs="Times New Roman"/>
          <w:sz w:val="24"/>
          <w:szCs w:val="24"/>
          <w:lang w:val="en-US"/>
        </w:rPr>
        <w:t xml:space="preserve">, D., Archer, M. A., </w:t>
      </w:r>
      <w:proofErr w:type="spellStart"/>
      <w:r w:rsidRPr="00AD3E95">
        <w:rPr>
          <w:rFonts w:ascii="Times New Roman" w:eastAsia="Times New Roman" w:hAnsi="Times New Roman" w:cs="Times New Roman"/>
          <w:sz w:val="24"/>
          <w:szCs w:val="24"/>
          <w:lang w:val="en-US"/>
        </w:rPr>
        <w:t>Kyene</w:t>
      </w:r>
      <w:proofErr w:type="spellEnd"/>
      <w:r w:rsidRPr="00AD3E95">
        <w:rPr>
          <w:rFonts w:ascii="Times New Roman" w:eastAsia="Times New Roman" w:hAnsi="Times New Roman" w:cs="Times New Roman"/>
          <w:sz w:val="24"/>
          <w:szCs w:val="24"/>
          <w:lang w:val="en-US"/>
        </w:rPr>
        <w:t xml:space="preserve">, M. O., Yeboah, G. N., Adi-Dako, O., Osei-Asare, C., </w:t>
      </w:r>
      <w:proofErr w:type="spellStart"/>
      <w:r w:rsidRPr="00AD3E95">
        <w:rPr>
          <w:rFonts w:ascii="Times New Roman" w:eastAsia="Times New Roman" w:hAnsi="Times New Roman" w:cs="Times New Roman"/>
          <w:sz w:val="24"/>
          <w:szCs w:val="24"/>
          <w:lang w:val="en-US"/>
        </w:rPr>
        <w:t>Adase</w:t>
      </w:r>
      <w:proofErr w:type="spellEnd"/>
      <w:r w:rsidRPr="00AD3E95">
        <w:rPr>
          <w:rFonts w:ascii="Times New Roman" w:eastAsia="Times New Roman" w:hAnsi="Times New Roman" w:cs="Times New Roman"/>
          <w:sz w:val="24"/>
          <w:szCs w:val="24"/>
          <w:lang w:val="en-US"/>
        </w:rPr>
        <w:t xml:space="preserve">, E., Mintah, S. O., </w:t>
      </w:r>
      <w:proofErr w:type="spellStart"/>
      <w:r w:rsidRPr="00AD3E95">
        <w:rPr>
          <w:rFonts w:ascii="Times New Roman" w:eastAsia="Times New Roman" w:hAnsi="Times New Roman" w:cs="Times New Roman"/>
          <w:sz w:val="24"/>
          <w:szCs w:val="24"/>
          <w:lang w:val="en-US"/>
        </w:rPr>
        <w:t>Amekyeh</w:t>
      </w:r>
      <w:proofErr w:type="spellEnd"/>
      <w:r w:rsidRPr="00AD3E95">
        <w:rPr>
          <w:rFonts w:ascii="Times New Roman" w:eastAsia="Times New Roman" w:hAnsi="Times New Roman" w:cs="Times New Roman"/>
          <w:sz w:val="24"/>
          <w:szCs w:val="24"/>
          <w:lang w:val="en-US"/>
        </w:rPr>
        <w:t xml:space="preserve">, H., &amp; Appiah, A. A. (2022). Approaches for the elimination of microbial contaminants from </w:t>
      </w:r>
      <w:proofErr w:type="spellStart"/>
      <w:r w:rsidRPr="00AD3E95">
        <w:rPr>
          <w:rFonts w:ascii="Times New Roman" w:eastAsia="Times New Roman" w:hAnsi="Times New Roman" w:cs="Times New Roman"/>
          <w:i/>
          <w:iCs/>
          <w:sz w:val="24"/>
          <w:szCs w:val="24"/>
          <w:lang w:val="en-US"/>
        </w:rPr>
        <w:t>Lippia</w:t>
      </w:r>
      <w:proofErr w:type="spellEnd"/>
      <w:r w:rsidRPr="00AD3E95">
        <w:rPr>
          <w:rFonts w:ascii="Times New Roman" w:eastAsia="Times New Roman" w:hAnsi="Times New Roman" w:cs="Times New Roman"/>
          <w:i/>
          <w:iCs/>
          <w:sz w:val="24"/>
          <w:szCs w:val="24"/>
          <w:lang w:val="en-US"/>
        </w:rPr>
        <w:t xml:space="preserve"> multiflora</w:t>
      </w:r>
      <w:r w:rsidRPr="00AD3E95">
        <w:rPr>
          <w:rFonts w:ascii="Times New Roman" w:eastAsia="Times New Roman" w:hAnsi="Times New Roman" w:cs="Times New Roman"/>
          <w:sz w:val="24"/>
          <w:szCs w:val="24"/>
          <w:lang w:val="en-US"/>
        </w:rPr>
        <w:t xml:space="preserve"> Mold. leaves intended for tea bagging and evaluation of formulation. </w:t>
      </w:r>
      <w:r w:rsidRPr="00AD3E95">
        <w:rPr>
          <w:rFonts w:ascii="Times New Roman" w:eastAsia="Times New Roman" w:hAnsi="Times New Roman" w:cs="Times New Roman"/>
          <w:i/>
          <w:iCs/>
          <w:sz w:val="24"/>
          <w:szCs w:val="24"/>
          <w:lang w:val="en-US"/>
        </w:rPr>
        <w:t>Advances in Pharmacological and Pharmaceutical Sciences, 2022</w:t>
      </w:r>
      <w:r w:rsidRPr="00AD3E95">
        <w:rPr>
          <w:rFonts w:ascii="Times New Roman" w:eastAsia="Times New Roman" w:hAnsi="Times New Roman" w:cs="Times New Roman"/>
          <w:sz w:val="24"/>
          <w:szCs w:val="24"/>
          <w:lang w:val="en-US"/>
        </w:rPr>
        <w:t xml:space="preserve">, Article 7235489. </w:t>
      </w:r>
      <w:hyperlink r:id="rId19" w:tgtFrame="_new" w:history="1">
        <w:r w:rsidRPr="00AD3E95">
          <w:rPr>
            <w:rFonts w:ascii="Times New Roman" w:eastAsia="Times New Roman" w:hAnsi="Times New Roman" w:cs="Times New Roman"/>
            <w:color w:val="0000FF"/>
            <w:sz w:val="24"/>
            <w:szCs w:val="24"/>
            <w:u w:val="single"/>
            <w:lang w:val="en-US"/>
          </w:rPr>
          <w:t>https://doi.org/10.1155/2022/7235489</w:t>
        </w:r>
      </w:hyperlink>
    </w:p>
    <w:p w14:paraId="318E17A1"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Maqsood, S., </w:t>
      </w:r>
      <w:proofErr w:type="spellStart"/>
      <w:r w:rsidRPr="00AD3E95">
        <w:rPr>
          <w:rFonts w:ascii="Times New Roman" w:eastAsia="Times New Roman" w:hAnsi="Times New Roman" w:cs="Times New Roman"/>
          <w:sz w:val="24"/>
          <w:szCs w:val="24"/>
          <w:lang w:val="en-US"/>
        </w:rPr>
        <w:t>Benjakul</w:t>
      </w:r>
      <w:proofErr w:type="spellEnd"/>
      <w:r w:rsidRPr="00AD3E95">
        <w:rPr>
          <w:rFonts w:ascii="Times New Roman" w:eastAsia="Times New Roman" w:hAnsi="Times New Roman" w:cs="Times New Roman"/>
          <w:sz w:val="24"/>
          <w:szCs w:val="24"/>
          <w:lang w:val="en-US"/>
        </w:rPr>
        <w:t xml:space="preserve">, S., </w:t>
      </w:r>
      <w:proofErr w:type="spellStart"/>
      <w:r w:rsidRPr="00AD3E95">
        <w:rPr>
          <w:rFonts w:ascii="Times New Roman" w:eastAsia="Times New Roman" w:hAnsi="Times New Roman" w:cs="Times New Roman"/>
          <w:sz w:val="24"/>
          <w:szCs w:val="24"/>
          <w:lang w:val="en-US"/>
        </w:rPr>
        <w:t>Abushelaibi</w:t>
      </w:r>
      <w:proofErr w:type="spellEnd"/>
      <w:r w:rsidRPr="00AD3E95">
        <w:rPr>
          <w:rFonts w:ascii="Times New Roman" w:eastAsia="Times New Roman" w:hAnsi="Times New Roman" w:cs="Times New Roman"/>
          <w:sz w:val="24"/>
          <w:szCs w:val="24"/>
          <w:lang w:val="en-US"/>
        </w:rPr>
        <w:t xml:space="preserve">, A., &amp; Alam, A. (2014). Phenolic compounds and plant phenolic extracts as natural antioxidants in prevention of lipid oxidation in seafood: A detailed review. </w:t>
      </w:r>
      <w:r w:rsidRPr="00AD3E95">
        <w:rPr>
          <w:rFonts w:ascii="Times New Roman" w:eastAsia="Times New Roman" w:hAnsi="Times New Roman" w:cs="Times New Roman"/>
          <w:i/>
          <w:iCs/>
          <w:sz w:val="24"/>
          <w:szCs w:val="24"/>
          <w:lang w:val="en-US"/>
        </w:rPr>
        <w:t>Comprehensive Reviews in Food Science and Food Safety, 13</w:t>
      </w:r>
      <w:r w:rsidRPr="00AD3E95">
        <w:rPr>
          <w:rFonts w:ascii="Times New Roman" w:eastAsia="Times New Roman" w:hAnsi="Times New Roman" w:cs="Times New Roman"/>
          <w:sz w:val="24"/>
          <w:szCs w:val="24"/>
          <w:lang w:val="en-US"/>
        </w:rPr>
        <w:t xml:space="preserve">(6), 1125–1140. </w:t>
      </w:r>
      <w:hyperlink r:id="rId20" w:tgtFrame="_new" w:history="1">
        <w:r w:rsidRPr="00AD3E95">
          <w:rPr>
            <w:rFonts w:ascii="Times New Roman" w:eastAsia="Times New Roman" w:hAnsi="Times New Roman" w:cs="Times New Roman"/>
            <w:color w:val="0000FF"/>
            <w:sz w:val="24"/>
            <w:szCs w:val="24"/>
            <w:u w:val="single"/>
            <w:lang w:val="en-US"/>
          </w:rPr>
          <w:t>https://doi.org/10.1111/1541-4337.12106</w:t>
        </w:r>
      </w:hyperlink>
    </w:p>
    <w:p w14:paraId="332D5B2C"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t>Mardiana</w:t>
      </w:r>
      <w:proofErr w:type="spellEnd"/>
      <w:r w:rsidRPr="00AD3E95">
        <w:rPr>
          <w:rFonts w:ascii="Times New Roman" w:eastAsia="Times New Roman" w:hAnsi="Times New Roman" w:cs="Times New Roman"/>
          <w:sz w:val="24"/>
          <w:szCs w:val="24"/>
          <w:lang w:val="en-US"/>
        </w:rPr>
        <w:t xml:space="preserve">, M., Sativa, N., </w:t>
      </w:r>
      <w:proofErr w:type="spellStart"/>
      <w:r w:rsidRPr="00AD3E95">
        <w:rPr>
          <w:rFonts w:ascii="Times New Roman" w:eastAsia="Times New Roman" w:hAnsi="Times New Roman" w:cs="Times New Roman"/>
          <w:sz w:val="24"/>
          <w:szCs w:val="24"/>
          <w:lang w:val="en-US"/>
        </w:rPr>
        <w:t>Hariadi</w:t>
      </w:r>
      <w:proofErr w:type="spellEnd"/>
      <w:r w:rsidRPr="00AD3E95">
        <w:rPr>
          <w:rFonts w:ascii="Times New Roman" w:eastAsia="Times New Roman" w:hAnsi="Times New Roman" w:cs="Times New Roman"/>
          <w:sz w:val="24"/>
          <w:szCs w:val="24"/>
          <w:lang w:val="en-US"/>
        </w:rPr>
        <w:t xml:space="preserve">, H., </w:t>
      </w:r>
      <w:proofErr w:type="spellStart"/>
      <w:r w:rsidRPr="00AD3E95">
        <w:rPr>
          <w:rFonts w:ascii="Times New Roman" w:eastAsia="Times New Roman" w:hAnsi="Times New Roman" w:cs="Times New Roman"/>
          <w:sz w:val="24"/>
          <w:szCs w:val="24"/>
          <w:lang w:val="en-US"/>
        </w:rPr>
        <w:t>Triandita</w:t>
      </w:r>
      <w:proofErr w:type="spellEnd"/>
      <w:r w:rsidRPr="00AD3E95">
        <w:rPr>
          <w:rFonts w:ascii="Times New Roman" w:eastAsia="Times New Roman" w:hAnsi="Times New Roman" w:cs="Times New Roman"/>
          <w:sz w:val="24"/>
          <w:szCs w:val="24"/>
          <w:lang w:val="en-US"/>
        </w:rPr>
        <w:t xml:space="preserve">, N., &amp; Putri, N. E. (2020). </w:t>
      </w:r>
      <w:proofErr w:type="spellStart"/>
      <w:r w:rsidRPr="00AD3E95">
        <w:rPr>
          <w:rFonts w:ascii="Times New Roman" w:eastAsia="Times New Roman" w:hAnsi="Times New Roman" w:cs="Times New Roman"/>
          <w:sz w:val="24"/>
          <w:szCs w:val="24"/>
          <w:lang w:val="en-US"/>
        </w:rPr>
        <w:t>Optimation</w:t>
      </w:r>
      <w:proofErr w:type="spellEnd"/>
      <w:r w:rsidRPr="00AD3E95">
        <w:rPr>
          <w:rFonts w:ascii="Times New Roman" w:eastAsia="Times New Roman" w:hAnsi="Times New Roman" w:cs="Times New Roman"/>
          <w:sz w:val="24"/>
          <w:szCs w:val="24"/>
          <w:lang w:val="en-US"/>
        </w:rPr>
        <w:t xml:space="preserve"> and sensory profile of functional drink from cinnamon and cardamom. </w:t>
      </w:r>
      <w:r w:rsidRPr="00AD3E95">
        <w:rPr>
          <w:rFonts w:ascii="Times New Roman" w:eastAsia="Times New Roman" w:hAnsi="Times New Roman" w:cs="Times New Roman"/>
          <w:i/>
          <w:iCs/>
          <w:sz w:val="24"/>
          <w:szCs w:val="24"/>
          <w:lang w:val="en-US"/>
        </w:rPr>
        <w:t>Journal of Applied Agricultural Science and Technology, 4</w:t>
      </w:r>
      <w:r w:rsidRPr="00AD3E95">
        <w:rPr>
          <w:rFonts w:ascii="Times New Roman" w:eastAsia="Times New Roman" w:hAnsi="Times New Roman" w:cs="Times New Roman"/>
          <w:sz w:val="24"/>
          <w:szCs w:val="24"/>
          <w:lang w:val="en-US"/>
        </w:rPr>
        <w:t xml:space="preserve">(2), 189–195. </w:t>
      </w:r>
      <w:hyperlink r:id="rId21" w:tgtFrame="_new" w:history="1">
        <w:r w:rsidRPr="00AD3E95">
          <w:rPr>
            <w:rFonts w:ascii="Times New Roman" w:eastAsia="Times New Roman" w:hAnsi="Times New Roman" w:cs="Times New Roman"/>
            <w:color w:val="0000FF"/>
            <w:sz w:val="24"/>
            <w:szCs w:val="24"/>
            <w:u w:val="single"/>
            <w:lang w:val="en-US"/>
          </w:rPr>
          <w:t>https://doi.org/10.32530/jaast.v4i2.138</w:t>
        </w:r>
      </w:hyperlink>
    </w:p>
    <w:p w14:paraId="6E0F7F19"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Mensah, G. A., Aryeetey, E., &amp; </w:t>
      </w:r>
      <w:proofErr w:type="spellStart"/>
      <w:r w:rsidRPr="00AD3E95">
        <w:rPr>
          <w:rFonts w:ascii="Times New Roman" w:eastAsia="Times New Roman" w:hAnsi="Times New Roman" w:cs="Times New Roman"/>
          <w:sz w:val="24"/>
          <w:szCs w:val="24"/>
          <w:lang w:val="en-US"/>
        </w:rPr>
        <w:t>Lutterodt</w:t>
      </w:r>
      <w:proofErr w:type="spellEnd"/>
      <w:r w:rsidRPr="00AD3E95">
        <w:rPr>
          <w:rFonts w:ascii="Times New Roman" w:eastAsia="Times New Roman" w:hAnsi="Times New Roman" w:cs="Times New Roman"/>
          <w:sz w:val="24"/>
          <w:szCs w:val="24"/>
          <w:lang w:val="en-US"/>
        </w:rPr>
        <w:t xml:space="preserve">, H. E. (2025). Nutritional and nutraceutical properties of cocoa shell-based herbal infusion. </w:t>
      </w:r>
      <w:r w:rsidRPr="00AD3E95">
        <w:rPr>
          <w:rFonts w:ascii="Times New Roman" w:eastAsia="Times New Roman" w:hAnsi="Times New Roman" w:cs="Times New Roman"/>
          <w:i/>
          <w:iCs/>
          <w:sz w:val="24"/>
          <w:szCs w:val="24"/>
          <w:lang w:val="en-US"/>
        </w:rPr>
        <w:t>Journal of Food Quality, 2025</w:t>
      </w:r>
      <w:r w:rsidRPr="00AD3E95">
        <w:rPr>
          <w:rFonts w:ascii="Times New Roman" w:eastAsia="Times New Roman" w:hAnsi="Times New Roman" w:cs="Times New Roman"/>
          <w:sz w:val="24"/>
          <w:szCs w:val="24"/>
          <w:lang w:val="en-US"/>
        </w:rPr>
        <w:t>(1), Article 6696124. https://doi.org/10.1155/jfq/6696124</w:t>
      </w:r>
    </w:p>
    <w:p w14:paraId="638BD34C"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Nowak, D., </w:t>
      </w:r>
      <w:proofErr w:type="spellStart"/>
      <w:r w:rsidRPr="00AD3E95">
        <w:rPr>
          <w:rFonts w:ascii="Times New Roman" w:eastAsia="Times New Roman" w:hAnsi="Times New Roman" w:cs="Times New Roman"/>
          <w:sz w:val="24"/>
          <w:szCs w:val="24"/>
          <w:lang w:val="en-US"/>
        </w:rPr>
        <w:t>Kłębukowska</w:t>
      </w:r>
      <w:proofErr w:type="spellEnd"/>
      <w:r w:rsidRPr="00AD3E95">
        <w:rPr>
          <w:rFonts w:ascii="Times New Roman" w:eastAsia="Times New Roman" w:hAnsi="Times New Roman" w:cs="Times New Roman"/>
          <w:sz w:val="24"/>
          <w:szCs w:val="24"/>
          <w:lang w:val="en-US"/>
        </w:rPr>
        <w:t xml:space="preserve">, L., &amp; </w:t>
      </w:r>
      <w:proofErr w:type="spellStart"/>
      <w:r w:rsidRPr="00AD3E95">
        <w:rPr>
          <w:rFonts w:ascii="Times New Roman" w:eastAsia="Times New Roman" w:hAnsi="Times New Roman" w:cs="Times New Roman"/>
          <w:sz w:val="24"/>
          <w:szCs w:val="24"/>
          <w:lang w:val="en-US"/>
        </w:rPr>
        <w:t>Gośliński</w:t>
      </w:r>
      <w:proofErr w:type="spellEnd"/>
      <w:r w:rsidRPr="00AD3E95">
        <w:rPr>
          <w:rFonts w:ascii="Times New Roman" w:eastAsia="Times New Roman" w:hAnsi="Times New Roman" w:cs="Times New Roman"/>
          <w:sz w:val="24"/>
          <w:szCs w:val="24"/>
          <w:lang w:val="en-US"/>
        </w:rPr>
        <w:t xml:space="preserve">, M. (2025). Antioxidant properties and antibacterial activity of selected herbal teas. </w:t>
      </w:r>
      <w:r w:rsidRPr="00AD3E95">
        <w:rPr>
          <w:rFonts w:ascii="Times New Roman" w:eastAsia="Times New Roman" w:hAnsi="Times New Roman" w:cs="Times New Roman"/>
          <w:i/>
          <w:iCs/>
          <w:sz w:val="24"/>
          <w:szCs w:val="24"/>
          <w:lang w:val="en-US"/>
        </w:rPr>
        <w:t>Scientific Reports, 15</w:t>
      </w:r>
      <w:r w:rsidRPr="00AD3E95">
        <w:rPr>
          <w:rFonts w:ascii="Times New Roman" w:eastAsia="Times New Roman" w:hAnsi="Times New Roman" w:cs="Times New Roman"/>
          <w:sz w:val="24"/>
          <w:szCs w:val="24"/>
          <w:lang w:val="en-US"/>
        </w:rPr>
        <w:t xml:space="preserve">, Article 41438. </w:t>
      </w:r>
      <w:hyperlink r:id="rId22" w:tgtFrame="_new" w:history="1">
        <w:r w:rsidRPr="00AD3E95">
          <w:rPr>
            <w:rFonts w:ascii="Times New Roman" w:eastAsia="Times New Roman" w:hAnsi="Times New Roman" w:cs="Times New Roman"/>
            <w:color w:val="0000FF"/>
            <w:sz w:val="24"/>
            <w:szCs w:val="24"/>
            <w:u w:val="single"/>
            <w:lang w:val="en-US"/>
          </w:rPr>
          <w:t>https://doi.org/10.1038/s41598-025-26960-8</w:t>
        </w:r>
      </w:hyperlink>
    </w:p>
    <w:p w14:paraId="0635F623"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t>Nwagbo</w:t>
      </w:r>
      <w:proofErr w:type="spellEnd"/>
      <w:r w:rsidRPr="00AD3E95">
        <w:rPr>
          <w:rFonts w:ascii="Times New Roman" w:eastAsia="Times New Roman" w:hAnsi="Times New Roman" w:cs="Times New Roman"/>
          <w:sz w:val="24"/>
          <w:szCs w:val="24"/>
          <w:lang w:val="en-US"/>
        </w:rPr>
        <w:t xml:space="preserve">, C. C., Ngobidi, C., </w:t>
      </w:r>
      <w:proofErr w:type="spellStart"/>
      <w:r w:rsidRPr="00AD3E95">
        <w:rPr>
          <w:rFonts w:ascii="Times New Roman" w:eastAsia="Times New Roman" w:hAnsi="Times New Roman" w:cs="Times New Roman"/>
          <w:sz w:val="24"/>
          <w:szCs w:val="24"/>
          <w:lang w:val="en-US"/>
        </w:rPr>
        <w:t>Anyadioha</w:t>
      </w:r>
      <w:proofErr w:type="spellEnd"/>
      <w:r w:rsidRPr="00AD3E95">
        <w:rPr>
          <w:rFonts w:ascii="Times New Roman" w:eastAsia="Times New Roman" w:hAnsi="Times New Roman" w:cs="Times New Roman"/>
          <w:sz w:val="24"/>
          <w:szCs w:val="24"/>
          <w:lang w:val="en-US"/>
        </w:rPr>
        <w:t xml:space="preserve">, J. I., Onuoha, N. L., &amp; Ugwu, I. A. (2026). Microbial safety, antioxidant capacity, and physicochemical changes in pasteurized mint- and </w:t>
      </w:r>
      <w:r w:rsidRPr="00AD3E95">
        <w:rPr>
          <w:rFonts w:ascii="Times New Roman" w:eastAsia="Times New Roman" w:hAnsi="Times New Roman" w:cs="Times New Roman"/>
          <w:i/>
          <w:iCs/>
          <w:sz w:val="24"/>
          <w:szCs w:val="24"/>
          <w:lang w:val="en-US"/>
        </w:rPr>
        <w:t>Vernonia amygdalina</w:t>
      </w:r>
      <w:r w:rsidRPr="00AD3E95">
        <w:rPr>
          <w:rFonts w:ascii="Times New Roman" w:eastAsia="Times New Roman" w:hAnsi="Times New Roman" w:cs="Times New Roman"/>
          <w:sz w:val="24"/>
          <w:szCs w:val="24"/>
          <w:lang w:val="en-US"/>
        </w:rPr>
        <w:t xml:space="preserve">-flavored </w:t>
      </w:r>
      <w:r w:rsidRPr="00AD3E95">
        <w:rPr>
          <w:rFonts w:ascii="Times New Roman" w:eastAsia="Times New Roman" w:hAnsi="Times New Roman" w:cs="Times New Roman"/>
          <w:sz w:val="24"/>
          <w:szCs w:val="24"/>
          <w:lang w:val="en-US"/>
        </w:rPr>
        <w:lastRenderedPageBreak/>
        <w:t xml:space="preserve">pineapple-cucumber juice blend stored at ambient temperature. </w:t>
      </w:r>
      <w:r w:rsidRPr="00AD3E95">
        <w:rPr>
          <w:rFonts w:ascii="Times New Roman" w:eastAsia="Times New Roman" w:hAnsi="Times New Roman" w:cs="Times New Roman"/>
          <w:i/>
          <w:iCs/>
          <w:sz w:val="24"/>
          <w:szCs w:val="24"/>
          <w:lang w:val="en-US"/>
        </w:rPr>
        <w:t>Asian Food Science Journal, 25</w:t>
      </w:r>
      <w:r w:rsidRPr="00AD3E95">
        <w:rPr>
          <w:rFonts w:ascii="Times New Roman" w:eastAsia="Times New Roman" w:hAnsi="Times New Roman" w:cs="Times New Roman"/>
          <w:sz w:val="24"/>
          <w:szCs w:val="24"/>
          <w:lang w:val="en-US"/>
        </w:rPr>
        <w:t xml:space="preserve">(5), 14–27. </w:t>
      </w:r>
      <w:hyperlink r:id="rId23" w:tgtFrame="_new" w:history="1">
        <w:r w:rsidRPr="00AD3E95">
          <w:rPr>
            <w:rFonts w:ascii="Times New Roman" w:eastAsia="Times New Roman" w:hAnsi="Times New Roman" w:cs="Times New Roman"/>
            <w:color w:val="0000FF"/>
            <w:sz w:val="24"/>
            <w:szCs w:val="24"/>
            <w:u w:val="single"/>
            <w:lang w:val="en-US"/>
          </w:rPr>
          <w:t>https://doi.org/10.9734/afsj/2026/v25i5872</w:t>
        </w:r>
      </w:hyperlink>
    </w:p>
    <w:p w14:paraId="5F3042ED"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Pohl, P., Stelmach, E., Welna, M., &amp; </w:t>
      </w:r>
      <w:proofErr w:type="spellStart"/>
      <w:r w:rsidRPr="00AD3E95">
        <w:rPr>
          <w:rFonts w:ascii="Times New Roman" w:eastAsia="Times New Roman" w:hAnsi="Times New Roman" w:cs="Times New Roman"/>
          <w:sz w:val="24"/>
          <w:szCs w:val="24"/>
          <w:lang w:val="en-US"/>
        </w:rPr>
        <w:t>Szymczycha</w:t>
      </w:r>
      <w:proofErr w:type="spellEnd"/>
      <w:r w:rsidRPr="00AD3E95">
        <w:rPr>
          <w:rFonts w:ascii="Times New Roman" w:eastAsia="Times New Roman" w:hAnsi="Times New Roman" w:cs="Times New Roman"/>
          <w:sz w:val="24"/>
          <w:szCs w:val="24"/>
          <w:lang w:val="en-US"/>
        </w:rPr>
        <w:t xml:space="preserve">-Madeja, A. (2013). Determination of the elemental composition of coffee using instrumental methods. </w:t>
      </w:r>
      <w:r w:rsidRPr="00AD3E95">
        <w:rPr>
          <w:rFonts w:ascii="Times New Roman" w:eastAsia="Times New Roman" w:hAnsi="Times New Roman" w:cs="Times New Roman"/>
          <w:i/>
          <w:iCs/>
          <w:sz w:val="24"/>
          <w:szCs w:val="24"/>
          <w:lang w:val="en-US"/>
        </w:rPr>
        <w:t>Food Analytical Methods, 6</w:t>
      </w:r>
      <w:r w:rsidRPr="00AD3E95">
        <w:rPr>
          <w:rFonts w:ascii="Times New Roman" w:eastAsia="Times New Roman" w:hAnsi="Times New Roman" w:cs="Times New Roman"/>
          <w:sz w:val="24"/>
          <w:szCs w:val="24"/>
          <w:lang w:val="en-US"/>
        </w:rPr>
        <w:t xml:space="preserve">(2), 598–613. </w:t>
      </w:r>
      <w:hyperlink r:id="rId24" w:tgtFrame="_new" w:history="1">
        <w:r w:rsidRPr="00AD3E95">
          <w:rPr>
            <w:rFonts w:ascii="Times New Roman" w:eastAsia="Times New Roman" w:hAnsi="Times New Roman" w:cs="Times New Roman"/>
            <w:color w:val="0000FF"/>
            <w:sz w:val="24"/>
            <w:szCs w:val="24"/>
            <w:u w:val="single"/>
            <w:lang w:val="en-US"/>
          </w:rPr>
          <w:t>https://doi.org/10.1007/s12161-012-9467-6</w:t>
        </w:r>
      </w:hyperlink>
    </w:p>
    <w:p w14:paraId="5984705D"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t>Pourmorad</w:t>
      </w:r>
      <w:proofErr w:type="spellEnd"/>
      <w:r w:rsidRPr="00AD3E95">
        <w:rPr>
          <w:rFonts w:ascii="Times New Roman" w:eastAsia="Times New Roman" w:hAnsi="Times New Roman" w:cs="Times New Roman"/>
          <w:sz w:val="24"/>
          <w:szCs w:val="24"/>
          <w:lang w:val="en-US"/>
        </w:rPr>
        <w:t xml:space="preserve">, F., </w:t>
      </w:r>
      <w:proofErr w:type="spellStart"/>
      <w:r w:rsidRPr="00AD3E95">
        <w:rPr>
          <w:rFonts w:ascii="Times New Roman" w:eastAsia="Times New Roman" w:hAnsi="Times New Roman" w:cs="Times New Roman"/>
          <w:sz w:val="24"/>
          <w:szCs w:val="24"/>
          <w:lang w:val="en-US"/>
        </w:rPr>
        <w:t>Hosseinimehr</w:t>
      </w:r>
      <w:proofErr w:type="spellEnd"/>
      <w:r w:rsidRPr="00AD3E95">
        <w:rPr>
          <w:rFonts w:ascii="Times New Roman" w:eastAsia="Times New Roman" w:hAnsi="Times New Roman" w:cs="Times New Roman"/>
          <w:sz w:val="24"/>
          <w:szCs w:val="24"/>
          <w:lang w:val="en-US"/>
        </w:rPr>
        <w:t xml:space="preserve">, S. J., &amp; </w:t>
      </w:r>
      <w:proofErr w:type="spellStart"/>
      <w:r w:rsidRPr="00AD3E95">
        <w:rPr>
          <w:rFonts w:ascii="Times New Roman" w:eastAsia="Times New Roman" w:hAnsi="Times New Roman" w:cs="Times New Roman"/>
          <w:sz w:val="24"/>
          <w:szCs w:val="24"/>
          <w:lang w:val="en-US"/>
        </w:rPr>
        <w:t>Shahabimajd</w:t>
      </w:r>
      <w:proofErr w:type="spellEnd"/>
      <w:r w:rsidRPr="00AD3E95">
        <w:rPr>
          <w:rFonts w:ascii="Times New Roman" w:eastAsia="Times New Roman" w:hAnsi="Times New Roman" w:cs="Times New Roman"/>
          <w:sz w:val="24"/>
          <w:szCs w:val="24"/>
          <w:lang w:val="en-US"/>
        </w:rPr>
        <w:t xml:space="preserve">, N. (2006). Antioxidant activity, phenol and flavonoid contents of some selected Iranian medicinal plants. </w:t>
      </w:r>
      <w:r w:rsidRPr="00AD3E95">
        <w:rPr>
          <w:rFonts w:ascii="Times New Roman" w:eastAsia="Times New Roman" w:hAnsi="Times New Roman" w:cs="Times New Roman"/>
          <w:i/>
          <w:iCs/>
          <w:sz w:val="24"/>
          <w:szCs w:val="24"/>
          <w:lang w:val="en-US"/>
        </w:rPr>
        <w:t>African Journal of Biotechnology, 5</w:t>
      </w:r>
      <w:r w:rsidRPr="00AD3E95">
        <w:rPr>
          <w:rFonts w:ascii="Times New Roman" w:eastAsia="Times New Roman" w:hAnsi="Times New Roman" w:cs="Times New Roman"/>
          <w:sz w:val="24"/>
          <w:szCs w:val="24"/>
          <w:lang w:val="en-US"/>
        </w:rPr>
        <w:t xml:space="preserve">(11), 1142–1145. </w:t>
      </w:r>
      <w:hyperlink r:id="rId25" w:tgtFrame="_new" w:history="1">
        <w:r w:rsidRPr="00AD3E95">
          <w:rPr>
            <w:rFonts w:ascii="Times New Roman" w:eastAsia="Times New Roman" w:hAnsi="Times New Roman" w:cs="Times New Roman"/>
            <w:color w:val="0000FF"/>
            <w:sz w:val="24"/>
            <w:szCs w:val="24"/>
            <w:u w:val="single"/>
            <w:lang w:val="en-US"/>
          </w:rPr>
          <w:t>https://doi.org/10.4314/ajb.v5i11.42999</w:t>
        </w:r>
      </w:hyperlink>
    </w:p>
    <w:p w14:paraId="48D779B3" w14:textId="202856AA"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AD3E95">
        <w:rPr>
          <w:rFonts w:ascii="Times New Roman" w:eastAsia="Times New Roman" w:hAnsi="Times New Roman" w:cs="Times New Roman"/>
          <w:sz w:val="24"/>
          <w:szCs w:val="24"/>
          <w:lang w:val="en-US"/>
        </w:rPr>
        <w:t>Ranganna</w:t>
      </w:r>
      <w:proofErr w:type="spellEnd"/>
      <w:r w:rsidRPr="00AD3E95">
        <w:rPr>
          <w:rFonts w:ascii="Times New Roman" w:eastAsia="Times New Roman" w:hAnsi="Times New Roman" w:cs="Times New Roman"/>
          <w:sz w:val="24"/>
          <w:szCs w:val="24"/>
          <w:lang w:val="en-US"/>
        </w:rPr>
        <w:t xml:space="preserve">, S. (2005). </w:t>
      </w:r>
      <w:r w:rsidRPr="00AD3E95">
        <w:rPr>
          <w:rFonts w:ascii="Times New Roman" w:eastAsia="Times New Roman" w:hAnsi="Times New Roman" w:cs="Times New Roman"/>
          <w:i/>
          <w:iCs/>
          <w:sz w:val="24"/>
          <w:szCs w:val="24"/>
          <w:lang w:val="en-US"/>
        </w:rPr>
        <w:t>Handbook of analysis and quality control for fruit and vegetable products</w:t>
      </w:r>
      <w:r w:rsidRPr="00AD3E95">
        <w:rPr>
          <w:rFonts w:ascii="Times New Roman" w:eastAsia="Times New Roman" w:hAnsi="Times New Roman" w:cs="Times New Roman"/>
          <w:sz w:val="24"/>
          <w:szCs w:val="24"/>
          <w:lang w:val="en-US"/>
        </w:rPr>
        <w:t xml:space="preserve"> (2nd ed.). Tata McGraw-Hill Publishing Company. </w:t>
      </w:r>
    </w:p>
    <w:p w14:paraId="0D64A0AC"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Rupasinghe, H. P. V., Huber, G. M., Embree, C., &amp; </w:t>
      </w:r>
      <w:proofErr w:type="spellStart"/>
      <w:r w:rsidRPr="00AD3E95">
        <w:rPr>
          <w:rFonts w:ascii="Times New Roman" w:eastAsia="Times New Roman" w:hAnsi="Times New Roman" w:cs="Times New Roman"/>
          <w:sz w:val="24"/>
          <w:szCs w:val="24"/>
          <w:lang w:val="en-US"/>
        </w:rPr>
        <w:t>Forsline</w:t>
      </w:r>
      <w:proofErr w:type="spellEnd"/>
      <w:r w:rsidRPr="00AD3E95">
        <w:rPr>
          <w:rFonts w:ascii="Times New Roman" w:eastAsia="Times New Roman" w:hAnsi="Times New Roman" w:cs="Times New Roman"/>
          <w:sz w:val="24"/>
          <w:szCs w:val="24"/>
          <w:lang w:val="en-US"/>
        </w:rPr>
        <w:t xml:space="preserve">, P. L. (2010). Red-fleshed apple as a source for functional beverages. </w:t>
      </w:r>
      <w:r w:rsidRPr="00AD3E95">
        <w:rPr>
          <w:rFonts w:ascii="Times New Roman" w:eastAsia="Times New Roman" w:hAnsi="Times New Roman" w:cs="Times New Roman"/>
          <w:i/>
          <w:iCs/>
          <w:sz w:val="24"/>
          <w:szCs w:val="24"/>
          <w:lang w:val="en-US"/>
        </w:rPr>
        <w:t>Canadian Journal of Plant Science, 90</w:t>
      </w:r>
      <w:r w:rsidRPr="00AD3E95">
        <w:rPr>
          <w:rFonts w:ascii="Times New Roman" w:eastAsia="Times New Roman" w:hAnsi="Times New Roman" w:cs="Times New Roman"/>
          <w:sz w:val="24"/>
          <w:szCs w:val="24"/>
          <w:lang w:val="en-US"/>
        </w:rPr>
        <w:t xml:space="preserve">(1), 95–100. </w:t>
      </w:r>
      <w:hyperlink r:id="rId26" w:tgtFrame="_new" w:history="1">
        <w:r w:rsidRPr="00AD3E95">
          <w:rPr>
            <w:rFonts w:ascii="Times New Roman" w:eastAsia="Times New Roman" w:hAnsi="Times New Roman" w:cs="Times New Roman"/>
            <w:color w:val="0000FF"/>
            <w:sz w:val="24"/>
            <w:szCs w:val="24"/>
            <w:u w:val="single"/>
            <w:lang w:val="en-US"/>
          </w:rPr>
          <w:t>https://doi.org/10.4141/CJPS09057</w:t>
        </w:r>
      </w:hyperlink>
    </w:p>
    <w:p w14:paraId="68749563"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Saxena, H. O., Parihar, S., &amp; Das, A. (2023). Assessment of variations in phytochemical components in stem and root bark of </w:t>
      </w:r>
      <w:proofErr w:type="spellStart"/>
      <w:r w:rsidRPr="00AD3E95">
        <w:rPr>
          <w:rFonts w:ascii="Times New Roman" w:eastAsia="Times New Roman" w:hAnsi="Times New Roman" w:cs="Times New Roman"/>
          <w:i/>
          <w:iCs/>
          <w:sz w:val="24"/>
          <w:szCs w:val="24"/>
          <w:lang w:val="en-US"/>
        </w:rPr>
        <w:t>Dillenia</w:t>
      </w:r>
      <w:proofErr w:type="spellEnd"/>
      <w:r w:rsidRPr="00AD3E95">
        <w:rPr>
          <w:rFonts w:ascii="Times New Roman" w:eastAsia="Times New Roman" w:hAnsi="Times New Roman" w:cs="Times New Roman"/>
          <w:i/>
          <w:iCs/>
          <w:sz w:val="24"/>
          <w:szCs w:val="24"/>
          <w:lang w:val="en-US"/>
        </w:rPr>
        <w:t xml:space="preserve"> </w:t>
      </w:r>
      <w:proofErr w:type="spellStart"/>
      <w:r w:rsidRPr="00AD3E95">
        <w:rPr>
          <w:rFonts w:ascii="Times New Roman" w:eastAsia="Times New Roman" w:hAnsi="Times New Roman" w:cs="Times New Roman"/>
          <w:i/>
          <w:iCs/>
          <w:sz w:val="24"/>
          <w:szCs w:val="24"/>
          <w:lang w:val="en-US"/>
        </w:rPr>
        <w:t>pentagyna</w:t>
      </w:r>
      <w:proofErr w:type="spellEnd"/>
      <w:r w:rsidRPr="00AD3E95">
        <w:rPr>
          <w:rFonts w:ascii="Times New Roman" w:eastAsia="Times New Roman" w:hAnsi="Times New Roman" w:cs="Times New Roman"/>
          <w:sz w:val="24"/>
          <w:szCs w:val="24"/>
          <w:lang w:val="en-US"/>
        </w:rPr>
        <w:t xml:space="preserve"> from different locations of Madhya Pradesh. </w:t>
      </w:r>
      <w:r w:rsidRPr="00AD3E95">
        <w:rPr>
          <w:rFonts w:ascii="Times New Roman" w:eastAsia="Times New Roman" w:hAnsi="Times New Roman" w:cs="Times New Roman"/>
          <w:i/>
          <w:iCs/>
          <w:sz w:val="24"/>
          <w:szCs w:val="24"/>
          <w:lang w:val="en-US"/>
        </w:rPr>
        <w:t>Biological Forum – An International Journal, 15</w:t>
      </w:r>
      <w:r w:rsidRPr="00AD3E95">
        <w:rPr>
          <w:rFonts w:ascii="Times New Roman" w:eastAsia="Times New Roman" w:hAnsi="Times New Roman" w:cs="Times New Roman"/>
          <w:sz w:val="24"/>
          <w:szCs w:val="24"/>
          <w:lang w:val="en-US"/>
        </w:rPr>
        <w:t>(2), 185–190. https://www.researchtrend.net/bfij/assessment-of-variations-in-phytochemical-components-in-stem-and-root-bark-of-dillenia-pentagyna-from-different-locations-of-madhya-pradesh-6083</w:t>
      </w:r>
    </w:p>
    <w:p w14:paraId="5B93EBED"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The Insight Partners. (2025, March). </w:t>
      </w:r>
      <w:r w:rsidRPr="00AD3E95">
        <w:rPr>
          <w:rFonts w:ascii="Times New Roman" w:eastAsia="Times New Roman" w:hAnsi="Times New Roman" w:cs="Times New Roman"/>
          <w:i/>
          <w:iCs/>
          <w:sz w:val="24"/>
          <w:szCs w:val="24"/>
          <w:lang w:val="en-US"/>
        </w:rPr>
        <w:t>Herbal tea market size and forecast (2021–2031): Global and regional share, trend, and growth opportunity analysis report coverage: By type, form, category, distribution channel, and geography</w:t>
      </w:r>
      <w:r w:rsidRPr="00AD3E95">
        <w:rPr>
          <w:rFonts w:ascii="Times New Roman" w:eastAsia="Times New Roman" w:hAnsi="Times New Roman" w:cs="Times New Roman"/>
          <w:sz w:val="24"/>
          <w:szCs w:val="24"/>
          <w:lang w:val="en-US"/>
        </w:rPr>
        <w:t xml:space="preserve">. The Insight Partners. </w:t>
      </w:r>
      <w:hyperlink r:id="rId27" w:tgtFrame="_new" w:history="1">
        <w:r w:rsidRPr="00AD3E95">
          <w:rPr>
            <w:rFonts w:ascii="Times New Roman" w:eastAsia="Times New Roman" w:hAnsi="Times New Roman" w:cs="Times New Roman"/>
            <w:color w:val="0000FF"/>
            <w:sz w:val="24"/>
            <w:szCs w:val="24"/>
            <w:u w:val="single"/>
            <w:lang w:val="en-US"/>
          </w:rPr>
          <w:t>https://www.theinsightpartners.com/reports/herbal-tea-market</w:t>
        </w:r>
      </w:hyperlink>
    </w:p>
    <w:p w14:paraId="54CED1B1"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 xml:space="preserve">Tian, J., Wu, X., Zhang, M., Zhou, Z., &amp; Liu, Y. (2018). Comparative study on the effects of apple peel polyphenols and apple flesh polyphenols on cardiovascular risk factors in mice. </w:t>
      </w:r>
      <w:r w:rsidRPr="00AD3E95">
        <w:rPr>
          <w:rFonts w:ascii="Times New Roman" w:eastAsia="Times New Roman" w:hAnsi="Times New Roman" w:cs="Times New Roman"/>
          <w:i/>
          <w:iCs/>
          <w:sz w:val="24"/>
          <w:szCs w:val="24"/>
          <w:lang w:val="en-US"/>
        </w:rPr>
        <w:t>Clinical and Experimental Hypertension, 40</w:t>
      </w:r>
      <w:r w:rsidRPr="00AD3E95">
        <w:rPr>
          <w:rFonts w:ascii="Times New Roman" w:eastAsia="Times New Roman" w:hAnsi="Times New Roman" w:cs="Times New Roman"/>
          <w:sz w:val="24"/>
          <w:szCs w:val="24"/>
          <w:lang w:val="en-US"/>
        </w:rPr>
        <w:t xml:space="preserve">(1), 65–72. </w:t>
      </w:r>
      <w:hyperlink r:id="rId28" w:tgtFrame="_new" w:history="1">
        <w:r w:rsidRPr="00AD3E95">
          <w:rPr>
            <w:rFonts w:ascii="Times New Roman" w:eastAsia="Times New Roman" w:hAnsi="Times New Roman" w:cs="Times New Roman"/>
            <w:color w:val="0000FF"/>
            <w:sz w:val="24"/>
            <w:szCs w:val="24"/>
            <w:u w:val="single"/>
            <w:lang w:val="en-US"/>
          </w:rPr>
          <w:t>https://doi.org/10.1080/10641963.2017.1313851</w:t>
        </w:r>
      </w:hyperlink>
    </w:p>
    <w:p w14:paraId="1D4F510A" w14:textId="77777777" w:rsidR="00AD3E95" w:rsidRPr="00AD3E95" w:rsidRDefault="00AD3E95" w:rsidP="00AD3E95">
      <w:pPr>
        <w:spacing w:before="100" w:beforeAutospacing="1" w:after="100" w:afterAutospacing="1" w:line="240" w:lineRule="auto"/>
        <w:rPr>
          <w:rFonts w:ascii="Times New Roman" w:eastAsia="Times New Roman" w:hAnsi="Times New Roman" w:cs="Times New Roman"/>
          <w:sz w:val="24"/>
          <w:szCs w:val="24"/>
          <w:lang w:val="en-US"/>
        </w:rPr>
      </w:pPr>
      <w:r w:rsidRPr="00AD3E95">
        <w:rPr>
          <w:rFonts w:ascii="Times New Roman" w:eastAsia="Times New Roman" w:hAnsi="Times New Roman" w:cs="Times New Roman"/>
          <w:sz w:val="24"/>
          <w:szCs w:val="24"/>
          <w:lang w:val="en-US"/>
        </w:rPr>
        <w:t>Vázquez-Cabral, B. D., Rocha-Guzmán, N. E., Gallegos-Infante, J. A., González-Herrera, S. M., González-Laredo, R. F., Moreno-Jiménez, M. R., &amp; Córdova-Moreno, I. T. S. (2014). Chemical and sensory evaluation of a functional beverage obtained from infusions of oak leaves (</w:t>
      </w:r>
      <w:r w:rsidRPr="00AD3E95">
        <w:rPr>
          <w:rFonts w:ascii="Times New Roman" w:eastAsia="Times New Roman" w:hAnsi="Times New Roman" w:cs="Times New Roman"/>
          <w:i/>
          <w:iCs/>
          <w:sz w:val="24"/>
          <w:szCs w:val="24"/>
          <w:lang w:val="en-US"/>
        </w:rPr>
        <w:t xml:space="preserve">Quercus </w:t>
      </w:r>
      <w:proofErr w:type="spellStart"/>
      <w:r w:rsidRPr="00AD3E95">
        <w:rPr>
          <w:rFonts w:ascii="Times New Roman" w:eastAsia="Times New Roman" w:hAnsi="Times New Roman" w:cs="Times New Roman"/>
          <w:i/>
          <w:iCs/>
          <w:sz w:val="24"/>
          <w:szCs w:val="24"/>
          <w:lang w:val="en-US"/>
        </w:rPr>
        <w:t>resinosa</w:t>
      </w:r>
      <w:proofErr w:type="spellEnd"/>
      <w:r w:rsidRPr="00AD3E95">
        <w:rPr>
          <w:rFonts w:ascii="Times New Roman" w:eastAsia="Times New Roman" w:hAnsi="Times New Roman" w:cs="Times New Roman"/>
          <w:sz w:val="24"/>
          <w:szCs w:val="24"/>
          <w:lang w:val="en-US"/>
        </w:rPr>
        <w:t xml:space="preserve">) inoculated with the kombucha consortium under different processing conditions. </w:t>
      </w:r>
      <w:proofErr w:type="spellStart"/>
      <w:r w:rsidRPr="00AD3E95">
        <w:rPr>
          <w:rFonts w:ascii="Times New Roman" w:eastAsia="Times New Roman" w:hAnsi="Times New Roman" w:cs="Times New Roman"/>
          <w:i/>
          <w:iCs/>
          <w:sz w:val="24"/>
          <w:szCs w:val="24"/>
          <w:lang w:val="en-US"/>
        </w:rPr>
        <w:t>Nutrafoods</w:t>
      </w:r>
      <w:proofErr w:type="spellEnd"/>
      <w:r w:rsidRPr="00AD3E95">
        <w:rPr>
          <w:rFonts w:ascii="Times New Roman" w:eastAsia="Times New Roman" w:hAnsi="Times New Roman" w:cs="Times New Roman"/>
          <w:i/>
          <w:iCs/>
          <w:sz w:val="24"/>
          <w:szCs w:val="24"/>
          <w:lang w:val="en-US"/>
        </w:rPr>
        <w:t>, 13</w:t>
      </w:r>
      <w:r w:rsidRPr="00AD3E95">
        <w:rPr>
          <w:rFonts w:ascii="Times New Roman" w:eastAsia="Times New Roman" w:hAnsi="Times New Roman" w:cs="Times New Roman"/>
          <w:sz w:val="24"/>
          <w:szCs w:val="24"/>
          <w:lang w:val="en-US"/>
        </w:rPr>
        <w:t xml:space="preserve">(4), 169–178. </w:t>
      </w:r>
      <w:hyperlink r:id="rId29" w:tgtFrame="_new" w:history="1">
        <w:r w:rsidRPr="00AD3E95">
          <w:rPr>
            <w:rFonts w:ascii="Times New Roman" w:eastAsia="Times New Roman" w:hAnsi="Times New Roman" w:cs="Times New Roman"/>
            <w:color w:val="0000FF"/>
            <w:sz w:val="24"/>
            <w:szCs w:val="24"/>
            <w:u w:val="single"/>
            <w:lang w:val="en-US"/>
          </w:rPr>
          <w:t>https://doi.org/10.1007/s13749-014-0035-0</w:t>
        </w:r>
      </w:hyperlink>
    </w:p>
    <w:p w14:paraId="3FA79FFB" w14:textId="2FBAEDDF" w:rsidR="00EA1293" w:rsidRDefault="00EA1293" w:rsidP="00AD3E95">
      <w:pPr>
        <w:spacing w:after="120"/>
      </w:pPr>
    </w:p>
    <w:sectPr w:rsidR="00EA1293" w:rsidSect="007872DE">
      <w:headerReference w:type="even" r:id="rId30"/>
      <w:headerReference w:type="default" r:id="rId31"/>
      <w:footerReference w:type="even" r:id="rId32"/>
      <w:footerReference w:type="default" r:id="rId33"/>
      <w:headerReference w:type="first" r:id="rId34"/>
      <w:footerReference w:type="first" r:id="rId35"/>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41C7" w14:textId="77777777" w:rsidR="009A7912" w:rsidRDefault="009A7912" w:rsidP="00DA4FC5">
      <w:pPr>
        <w:spacing w:after="0" w:line="240" w:lineRule="auto"/>
      </w:pPr>
      <w:r>
        <w:separator/>
      </w:r>
    </w:p>
  </w:endnote>
  <w:endnote w:type="continuationSeparator" w:id="0">
    <w:p w14:paraId="687C7FA2" w14:textId="77777777" w:rsidR="009A7912" w:rsidRDefault="009A7912" w:rsidP="00DA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6FBE" w14:textId="77777777" w:rsidR="007C27C6" w:rsidRDefault="007C2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FBCD" w14:textId="77777777" w:rsidR="007C27C6" w:rsidRDefault="007C2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0B1B" w14:textId="77777777" w:rsidR="007C27C6" w:rsidRDefault="007C2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E219" w14:textId="77777777" w:rsidR="009A7912" w:rsidRDefault="009A7912" w:rsidP="00DA4FC5">
      <w:pPr>
        <w:spacing w:after="0" w:line="240" w:lineRule="auto"/>
      </w:pPr>
      <w:r>
        <w:separator/>
      </w:r>
    </w:p>
  </w:footnote>
  <w:footnote w:type="continuationSeparator" w:id="0">
    <w:p w14:paraId="728CDDBB" w14:textId="77777777" w:rsidR="009A7912" w:rsidRDefault="009A7912" w:rsidP="00DA4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1D5A" w14:textId="77777777" w:rsidR="007C27C6" w:rsidRDefault="00000000">
    <w:pPr>
      <w:pStyle w:val="Header"/>
    </w:pPr>
    <w:r>
      <w:rPr>
        <w:noProof/>
      </w:rPr>
      <w:pict w14:anchorId="57C42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4" o:spid="_x0000_s1026" type="#_x0000_t136" style="position:absolute;margin-left:0;margin-top:0;width:621.3pt;height:116.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81C5F" w14:textId="77777777" w:rsidR="007C27C6" w:rsidRDefault="00000000">
    <w:pPr>
      <w:pStyle w:val="Header"/>
    </w:pPr>
    <w:r>
      <w:rPr>
        <w:noProof/>
      </w:rPr>
      <w:pict w14:anchorId="7E6A9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5" o:spid="_x0000_s1027" type="#_x0000_t136" style="position:absolute;margin-left:0;margin-top:0;width:621.3pt;height:116.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7BD3" w14:textId="77777777" w:rsidR="007C27C6" w:rsidRDefault="00000000">
    <w:pPr>
      <w:pStyle w:val="Header"/>
    </w:pPr>
    <w:r>
      <w:rPr>
        <w:noProof/>
      </w:rPr>
      <w:pict w14:anchorId="664CC0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3" o:spid="_x0000_s1025" type="#_x0000_t136" style="position:absolute;margin-left:0;margin-top:0;width:621.3pt;height:116.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E1B4D"/>
    <w:multiLevelType w:val="hybridMultilevel"/>
    <w:tmpl w:val="A772454E"/>
    <w:lvl w:ilvl="0" w:tplc="8AA0C1A6">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6352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xMrQwMDUwMjcxNDBT0lEKTi0uzszPAykwqgUAryCjwywAAAA="/>
  </w:docVars>
  <w:rsids>
    <w:rsidRoot w:val="00FC2EA5"/>
    <w:rsid w:val="00053861"/>
    <w:rsid w:val="00055940"/>
    <w:rsid w:val="00063852"/>
    <w:rsid w:val="00065E4E"/>
    <w:rsid w:val="00072022"/>
    <w:rsid w:val="00081684"/>
    <w:rsid w:val="000A5388"/>
    <w:rsid w:val="000C1BE6"/>
    <w:rsid w:val="000C4480"/>
    <w:rsid w:val="000C4FCE"/>
    <w:rsid w:val="000D2B06"/>
    <w:rsid w:val="000E7AE0"/>
    <w:rsid w:val="000F478B"/>
    <w:rsid w:val="00106692"/>
    <w:rsid w:val="001342B8"/>
    <w:rsid w:val="0014108C"/>
    <w:rsid w:val="001463BD"/>
    <w:rsid w:val="0014679B"/>
    <w:rsid w:val="00147864"/>
    <w:rsid w:val="00180577"/>
    <w:rsid w:val="00190375"/>
    <w:rsid w:val="001C19AE"/>
    <w:rsid w:val="001F5C9B"/>
    <w:rsid w:val="00206365"/>
    <w:rsid w:val="00211A04"/>
    <w:rsid w:val="00212891"/>
    <w:rsid w:val="0024200E"/>
    <w:rsid w:val="00244D85"/>
    <w:rsid w:val="0025791B"/>
    <w:rsid w:val="00273F60"/>
    <w:rsid w:val="00284C3E"/>
    <w:rsid w:val="002B7E5C"/>
    <w:rsid w:val="002E5E1F"/>
    <w:rsid w:val="00300270"/>
    <w:rsid w:val="003064FB"/>
    <w:rsid w:val="00307B22"/>
    <w:rsid w:val="00316980"/>
    <w:rsid w:val="003238AE"/>
    <w:rsid w:val="0038101D"/>
    <w:rsid w:val="00384E1D"/>
    <w:rsid w:val="003960D5"/>
    <w:rsid w:val="00397484"/>
    <w:rsid w:val="003A198F"/>
    <w:rsid w:val="003B000D"/>
    <w:rsid w:val="003B1394"/>
    <w:rsid w:val="003E3A78"/>
    <w:rsid w:val="003E6202"/>
    <w:rsid w:val="003F0D98"/>
    <w:rsid w:val="003F39B2"/>
    <w:rsid w:val="00411D83"/>
    <w:rsid w:val="00427C33"/>
    <w:rsid w:val="0045332A"/>
    <w:rsid w:val="00465BAE"/>
    <w:rsid w:val="00473886"/>
    <w:rsid w:val="00496C0C"/>
    <w:rsid w:val="004977E8"/>
    <w:rsid w:val="004C5570"/>
    <w:rsid w:val="004D7063"/>
    <w:rsid w:val="0050655D"/>
    <w:rsid w:val="005111FF"/>
    <w:rsid w:val="005121A3"/>
    <w:rsid w:val="0051546B"/>
    <w:rsid w:val="00536E3E"/>
    <w:rsid w:val="00547897"/>
    <w:rsid w:val="00566540"/>
    <w:rsid w:val="005717EE"/>
    <w:rsid w:val="0057585E"/>
    <w:rsid w:val="00581597"/>
    <w:rsid w:val="005E66F0"/>
    <w:rsid w:val="00616039"/>
    <w:rsid w:val="00640E19"/>
    <w:rsid w:val="0064195F"/>
    <w:rsid w:val="006567EE"/>
    <w:rsid w:val="00664C33"/>
    <w:rsid w:val="00682830"/>
    <w:rsid w:val="00683FB3"/>
    <w:rsid w:val="006A45B6"/>
    <w:rsid w:val="006A5A94"/>
    <w:rsid w:val="006B6648"/>
    <w:rsid w:val="006D32C4"/>
    <w:rsid w:val="006D3D9B"/>
    <w:rsid w:val="006E7835"/>
    <w:rsid w:val="006F1C75"/>
    <w:rsid w:val="007220D4"/>
    <w:rsid w:val="00727666"/>
    <w:rsid w:val="00732D78"/>
    <w:rsid w:val="00733104"/>
    <w:rsid w:val="00761829"/>
    <w:rsid w:val="007838E6"/>
    <w:rsid w:val="007872DE"/>
    <w:rsid w:val="007960AF"/>
    <w:rsid w:val="007971CE"/>
    <w:rsid w:val="007B4B85"/>
    <w:rsid w:val="007C00CD"/>
    <w:rsid w:val="007C27C6"/>
    <w:rsid w:val="007C4A76"/>
    <w:rsid w:val="007C7CC4"/>
    <w:rsid w:val="007D6CE8"/>
    <w:rsid w:val="0080534F"/>
    <w:rsid w:val="00821E70"/>
    <w:rsid w:val="008377C7"/>
    <w:rsid w:val="0084403D"/>
    <w:rsid w:val="00851A81"/>
    <w:rsid w:val="00855153"/>
    <w:rsid w:val="00870309"/>
    <w:rsid w:val="008768D4"/>
    <w:rsid w:val="00894264"/>
    <w:rsid w:val="008A77B8"/>
    <w:rsid w:val="008F2B8A"/>
    <w:rsid w:val="00900E55"/>
    <w:rsid w:val="009104BD"/>
    <w:rsid w:val="009437D3"/>
    <w:rsid w:val="00957239"/>
    <w:rsid w:val="009579C3"/>
    <w:rsid w:val="00966399"/>
    <w:rsid w:val="00976AAA"/>
    <w:rsid w:val="009A0861"/>
    <w:rsid w:val="009A159B"/>
    <w:rsid w:val="009A7912"/>
    <w:rsid w:val="009C53B1"/>
    <w:rsid w:val="009D2FC9"/>
    <w:rsid w:val="009E7E1E"/>
    <w:rsid w:val="009F3FCE"/>
    <w:rsid w:val="009F7D61"/>
    <w:rsid w:val="00A14099"/>
    <w:rsid w:val="00A1457E"/>
    <w:rsid w:val="00A24D5F"/>
    <w:rsid w:val="00A31780"/>
    <w:rsid w:val="00A419DD"/>
    <w:rsid w:val="00A51881"/>
    <w:rsid w:val="00A5733F"/>
    <w:rsid w:val="00A60D7D"/>
    <w:rsid w:val="00A64A38"/>
    <w:rsid w:val="00A66B7B"/>
    <w:rsid w:val="00AA3C9A"/>
    <w:rsid w:val="00AA555B"/>
    <w:rsid w:val="00AB341F"/>
    <w:rsid w:val="00AB74FA"/>
    <w:rsid w:val="00AC061F"/>
    <w:rsid w:val="00AC1EEF"/>
    <w:rsid w:val="00AD3E95"/>
    <w:rsid w:val="00AD5F47"/>
    <w:rsid w:val="00AF1352"/>
    <w:rsid w:val="00B20924"/>
    <w:rsid w:val="00B250E9"/>
    <w:rsid w:val="00B40AA2"/>
    <w:rsid w:val="00B46245"/>
    <w:rsid w:val="00B63691"/>
    <w:rsid w:val="00B80BBF"/>
    <w:rsid w:val="00BA192D"/>
    <w:rsid w:val="00BA39D6"/>
    <w:rsid w:val="00BC0386"/>
    <w:rsid w:val="00BD312A"/>
    <w:rsid w:val="00BE683E"/>
    <w:rsid w:val="00BE74FC"/>
    <w:rsid w:val="00C028C1"/>
    <w:rsid w:val="00C71E37"/>
    <w:rsid w:val="00C80E6E"/>
    <w:rsid w:val="00CA37FD"/>
    <w:rsid w:val="00CA7CBA"/>
    <w:rsid w:val="00CE1587"/>
    <w:rsid w:val="00D15005"/>
    <w:rsid w:val="00D23D07"/>
    <w:rsid w:val="00D370D2"/>
    <w:rsid w:val="00DA473D"/>
    <w:rsid w:val="00DA4FC5"/>
    <w:rsid w:val="00DB2110"/>
    <w:rsid w:val="00DB2147"/>
    <w:rsid w:val="00DB3F4A"/>
    <w:rsid w:val="00DB6AC9"/>
    <w:rsid w:val="00DC402C"/>
    <w:rsid w:val="00E0023E"/>
    <w:rsid w:val="00E00664"/>
    <w:rsid w:val="00E24AC9"/>
    <w:rsid w:val="00E25AEA"/>
    <w:rsid w:val="00E26B1D"/>
    <w:rsid w:val="00E32115"/>
    <w:rsid w:val="00E43214"/>
    <w:rsid w:val="00E51CCB"/>
    <w:rsid w:val="00E71E1C"/>
    <w:rsid w:val="00E76B31"/>
    <w:rsid w:val="00E95550"/>
    <w:rsid w:val="00EA1293"/>
    <w:rsid w:val="00ED0092"/>
    <w:rsid w:val="00F042B4"/>
    <w:rsid w:val="00F20F8C"/>
    <w:rsid w:val="00F32597"/>
    <w:rsid w:val="00F35306"/>
    <w:rsid w:val="00F41729"/>
    <w:rsid w:val="00F57A52"/>
    <w:rsid w:val="00F665F7"/>
    <w:rsid w:val="00F724C8"/>
    <w:rsid w:val="00F7354C"/>
    <w:rsid w:val="00F73A88"/>
    <w:rsid w:val="00F76B48"/>
    <w:rsid w:val="00FA05D7"/>
    <w:rsid w:val="00FC2EA5"/>
    <w:rsid w:val="00FD4768"/>
    <w:rsid w:val="00FF4A8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02BF8"/>
  <w15:chartTrackingRefBased/>
  <w15:docId w15:val="{D976CF74-1948-4A60-870A-4D03DAD7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A88"/>
    <w:rPr>
      <w:color w:val="0563C1" w:themeColor="hyperlink"/>
      <w:u w:val="single"/>
    </w:rPr>
  </w:style>
  <w:style w:type="character" w:styleId="UnresolvedMention">
    <w:name w:val="Unresolved Mention"/>
    <w:basedOn w:val="DefaultParagraphFont"/>
    <w:uiPriority w:val="99"/>
    <w:semiHidden/>
    <w:unhideWhenUsed/>
    <w:rsid w:val="00F73A88"/>
    <w:rPr>
      <w:color w:val="605E5C"/>
      <w:shd w:val="clear" w:color="auto" w:fill="E1DFDD"/>
    </w:rPr>
  </w:style>
  <w:style w:type="paragraph" w:styleId="NormalWeb">
    <w:name w:val="Normal (Web)"/>
    <w:basedOn w:val="Normal"/>
    <w:uiPriority w:val="99"/>
    <w:unhideWhenUsed/>
    <w:rsid w:val="00D23D0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23D07"/>
    <w:rPr>
      <w:b/>
      <w:bCs/>
    </w:rPr>
  </w:style>
  <w:style w:type="table" w:styleId="TableGrid">
    <w:name w:val="Table Grid"/>
    <w:basedOn w:val="TableNormal"/>
    <w:uiPriority w:val="39"/>
    <w:rsid w:val="00D23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851A81"/>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851A81"/>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851A81"/>
    <w:rPr>
      <w:rFonts w:eastAsiaTheme="minorEastAsia" w:cs="Times New Roman"/>
      <w:sz w:val="20"/>
      <w:szCs w:val="20"/>
      <w:lang w:val="en-US"/>
    </w:rPr>
  </w:style>
  <w:style w:type="character" w:styleId="SubtleEmphasis">
    <w:name w:val="Subtle Emphasis"/>
    <w:basedOn w:val="DefaultParagraphFont"/>
    <w:uiPriority w:val="19"/>
    <w:qFormat/>
    <w:rsid w:val="00851A81"/>
    <w:rPr>
      <w:i/>
      <w:iCs/>
    </w:rPr>
  </w:style>
  <w:style w:type="table" w:styleId="LightShading-Accent1">
    <w:name w:val="Light Shading Accent 1"/>
    <w:basedOn w:val="TableNormal"/>
    <w:uiPriority w:val="60"/>
    <w:rsid w:val="00851A81"/>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rsid w:val="0005594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7Colorful-Accent3">
    <w:name w:val="Grid Table 7 Colorful Accent 3"/>
    <w:basedOn w:val="TableNormal"/>
    <w:uiPriority w:val="52"/>
    <w:rsid w:val="00FF4A8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2">
    <w:name w:val="Grid Table 7 Colorful Accent 2"/>
    <w:basedOn w:val="TableNormal"/>
    <w:uiPriority w:val="52"/>
    <w:rsid w:val="00FF4A8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1Light">
    <w:name w:val="List Table 1 Light"/>
    <w:basedOn w:val="TableNormal"/>
    <w:uiPriority w:val="46"/>
    <w:rsid w:val="00FF4A8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B40A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B40AA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
    <w:name w:val="Grid Table 3"/>
    <w:basedOn w:val="TableNormal"/>
    <w:uiPriority w:val="48"/>
    <w:rsid w:val="00B40A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B40AA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40AA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40A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20F8C"/>
    <w:rPr>
      <w:color w:val="808080"/>
    </w:rPr>
  </w:style>
  <w:style w:type="character" w:customStyle="1" w:styleId="mrel">
    <w:name w:val="mrel"/>
    <w:basedOn w:val="DefaultParagraphFont"/>
    <w:rsid w:val="00FA05D7"/>
  </w:style>
  <w:style w:type="character" w:customStyle="1" w:styleId="mord">
    <w:name w:val="mord"/>
    <w:basedOn w:val="DefaultParagraphFont"/>
    <w:rsid w:val="00FA05D7"/>
  </w:style>
  <w:style w:type="paragraph" w:styleId="Header">
    <w:name w:val="header"/>
    <w:basedOn w:val="Normal"/>
    <w:link w:val="HeaderChar"/>
    <w:uiPriority w:val="99"/>
    <w:unhideWhenUsed/>
    <w:rsid w:val="00DA4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FC5"/>
  </w:style>
  <w:style w:type="paragraph" w:styleId="Footer">
    <w:name w:val="footer"/>
    <w:basedOn w:val="Normal"/>
    <w:link w:val="FooterChar"/>
    <w:uiPriority w:val="99"/>
    <w:unhideWhenUsed/>
    <w:rsid w:val="00DA4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FC5"/>
  </w:style>
  <w:style w:type="paragraph" w:customStyle="1" w:styleId="Author">
    <w:name w:val="Author"/>
    <w:basedOn w:val="Normal"/>
    <w:rsid w:val="00DA4FC5"/>
    <w:pPr>
      <w:spacing w:after="0" w:line="280" w:lineRule="exact"/>
      <w:jc w:val="right"/>
    </w:pPr>
    <w:rPr>
      <w:rFonts w:ascii="Helvetica" w:eastAsia="Times New Roman" w:hAnsi="Helvetica" w:cs="Times New Roman"/>
      <w:b/>
      <w:sz w:val="24"/>
      <w:szCs w:val="20"/>
      <w:lang w:val="en-US"/>
    </w:rPr>
  </w:style>
  <w:style w:type="paragraph" w:customStyle="1" w:styleId="Affiliation">
    <w:name w:val="Affiliation"/>
    <w:basedOn w:val="Normal"/>
    <w:rsid w:val="00DA4FC5"/>
    <w:pPr>
      <w:spacing w:after="240" w:line="240" w:lineRule="exact"/>
      <w:jc w:val="right"/>
    </w:pPr>
    <w:rPr>
      <w:rFonts w:ascii="Helvetica" w:eastAsia="Times New Roman" w:hAnsi="Helvetica" w:cs="Times New Roman"/>
      <w:sz w:val="20"/>
      <w:szCs w:val="20"/>
      <w:lang w:val="en-US"/>
    </w:rPr>
  </w:style>
  <w:style w:type="paragraph" w:customStyle="1" w:styleId="ReferHead">
    <w:name w:val="Refer Head"/>
    <w:basedOn w:val="Normal"/>
    <w:rsid w:val="00384E1D"/>
    <w:pPr>
      <w:keepNext/>
      <w:spacing w:after="240" w:line="240" w:lineRule="auto"/>
    </w:pPr>
    <w:rPr>
      <w:rFonts w:ascii="Helvetica" w:eastAsia="Times New Roman" w:hAnsi="Helvetica" w:cs="Times New Roman"/>
      <w:b/>
      <w:caps/>
      <w:szCs w:val="20"/>
      <w:lang w:val="en-US"/>
    </w:rPr>
  </w:style>
  <w:style w:type="character" w:styleId="Emphasis">
    <w:name w:val="Emphasis"/>
    <w:basedOn w:val="DefaultParagraphFont"/>
    <w:uiPriority w:val="20"/>
    <w:qFormat/>
    <w:rsid w:val="00AC061F"/>
    <w:rPr>
      <w:i/>
      <w:iCs/>
    </w:rPr>
  </w:style>
  <w:style w:type="paragraph" w:styleId="ListParagraph">
    <w:name w:val="List Paragraph"/>
    <w:basedOn w:val="Normal"/>
    <w:uiPriority w:val="34"/>
    <w:qFormat/>
    <w:rsid w:val="00CE1587"/>
    <w:pPr>
      <w:ind w:left="720"/>
      <w:contextualSpacing/>
    </w:pPr>
  </w:style>
  <w:style w:type="paragraph" w:styleId="NoSpacing">
    <w:name w:val="No Spacing"/>
    <w:uiPriority w:val="1"/>
    <w:qFormat/>
    <w:rsid w:val="00CE1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20763">
      <w:bodyDiv w:val="1"/>
      <w:marLeft w:val="0"/>
      <w:marRight w:val="0"/>
      <w:marTop w:val="0"/>
      <w:marBottom w:val="0"/>
      <w:divBdr>
        <w:top w:val="none" w:sz="0" w:space="0" w:color="auto"/>
        <w:left w:val="none" w:sz="0" w:space="0" w:color="auto"/>
        <w:bottom w:val="none" w:sz="0" w:space="0" w:color="auto"/>
        <w:right w:val="none" w:sz="0" w:space="0" w:color="auto"/>
      </w:divBdr>
    </w:div>
    <w:div w:id="1074931706">
      <w:bodyDiv w:val="1"/>
      <w:marLeft w:val="0"/>
      <w:marRight w:val="0"/>
      <w:marTop w:val="0"/>
      <w:marBottom w:val="0"/>
      <w:divBdr>
        <w:top w:val="none" w:sz="0" w:space="0" w:color="auto"/>
        <w:left w:val="none" w:sz="0" w:space="0" w:color="auto"/>
        <w:bottom w:val="none" w:sz="0" w:space="0" w:color="auto"/>
        <w:right w:val="none" w:sz="0" w:space="0" w:color="auto"/>
      </w:divBdr>
    </w:div>
    <w:div w:id="1111513052">
      <w:bodyDiv w:val="1"/>
      <w:marLeft w:val="0"/>
      <w:marRight w:val="0"/>
      <w:marTop w:val="0"/>
      <w:marBottom w:val="0"/>
      <w:divBdr>
        <w:top w:val="none" w:sz="0" w:space="0" w:color="auto"/>
        <w:left w:val="none" w:sz="0" w:space="0" w:color="auto"/>
        <w:bottom w:val="none" w:sz="0" w:space="0" w:color="auto"/>
        <w:right w:val="none" w:sz="0" w:space="0" w:color="auto"/>
      </w:divBdr>
    </w:div>
    <w:div w:id="1921675736">
      <w:bodyDiv w:val="1"/>
      <w:marLeft w:val="0"/>
      <w:marRight w:val="0"/>
      <w:marTop w:val="0"/>
      <w:marBottom w:val="0"/>
      <w:divBdr>
        <w:top w:val="none" w:sz="0" w:space="0" w:color="auto"/>
        <w:left w:val="none" w:sz="0" w:space="0" w:color="auto"/>
        <w:bottom w:val="none" w:sz="0" w:space="0" w:color="auto"/>
        <w:right w:val="none" w:sz="0" w:space="0" w:color="auto"/>
      </w:divBdr>
      <w:divsChild>
        <w:div w:id="2119331824">
          <w:marLeft w:val="0"/>
          <w:marRight w:val="0"/>
          <w:marTop w:val="0"/>
          <w:marBottom w:val="0"/>
          <w:divBdr>
            <w:top w:val="none" w:sz="0" w:space="0" w:color="auto"/>
            <w:left w:val="none" w:sz="0" w:space="0" w:color="auto"/>
            <w:bottom w:val="none" w:sz="0" w:space="0" w:color="auto"/>
            <w:right w:val="none" w:sz="0" w:space="0" w:color="auto"/>
          </w:divBdr>
          <w:divsChild>
            <w:div w:id="743071680">
              <w:marLeft w:val="0"/>
              <w:marRight w:val="0"/>
              <w:marTop w:val="0"/>
              <w:marBottom w:val="0"/>
              <w:divBdr>
                <w:top w:val="none" w:sz="0" w:space="0" w:color="auto"/>
                <w:left w:val="none" w:sz="0" w:space="0" w:color="auto"/>
                <w:bottom w:val="none" w:sz="0" w:space="0" w:color="auto"/>
                <w:right w:val="none" w:sz="0" w:space="0" w:color="auto"/>
              </w:divBdr>
              <w:divsChild>
                <w:div w:id="299112541">
                  <w:marLeft w:val="0"/>
                  <w:marRight w:val="0"/>
                  <w:marTop w:val="0"/>
                  <w:marBottom w:val="0"/>
                  <w:divBdr>
                    <w:top w:val="none" w:sz="0" w:space="0" w:color="auto"/>
                    <w:left w:val="none" w:sz="0" w:space="0" w:color="auto"/>
                    <w:bottom w:val="none" w:sz="0" w:space="0" w:color="auto"/>
                    <w:right w:val="none" w:sz="0" w:space="0" w:color="auto"/>
                  </w:divBdr>
                  <w:divsChild>
                    <w:div w:id="782846338">
                      <w:marLeft w:val="0"/>
                      <w:marRight w:val="0"/>
                      <w:marTop w:val="0"/>
                      <w:marBottom w:val="0"/>
                      <w:divBdr>
                        <w:top w:val="none" w:sz="0" w:space="0" w:color="auto"/>
                        <w:left w:val="none" w:sz="0" w:space="0" w:color="auto"/>
                        <w:bottom w:val="none" w:sz="0" w:space="0" w:color="auto"/>
                        <w:right w:val="none" w:sz="0" w:space="0" w:color="auto"/>
                      </w:divBdr>
                      <w:divsChild>
                        <w:div w:id="853231078">
                          <w:marLeft w:val="0"/>
                          <w:marRight w:val="0"/>
                          <w:marTop w:val="0"/>
                          <w:marBottom w:val="0"/>
                          <w:divBdr>
                            <w:top w:val="none" w:sz="0" w:space="0" w:color="auto"/>
                            <w:left w:val="none" w:sz="0" w:space="0" w:color="auto"/>
                            <w:bottom w:val="none" w:sz="0" w:space="0" w:color="auto"/>
                            <w:right w:val="none" w:sz="0" w:space="0" w:color="auto"/>
                          </w:divBdr>
                          <w:divsChild>
                            <w:div w:id="61952984">
                              <w:marLeft w:val="0"/>
                              <w:marRight w:val="0"/>
                              <w:marTop w:val="0"/>
                              <w:marBottom w:val="0"/>
                              <w:divBdr>
                                <w:top w:val="none" w:sz="0" w:space="0" w:color="auto"/>
                                <w:left w:val="none" w:sz="0" w:space="0" w:color="auto"/>
                                <w:bottom w:val="none" w:sz="0" w:space="0" w:color="auto"/>
                                <w:right w:val="none" w:sz="0" w:space="0" w:color="auto"/>
                              </w:divBdr>
                              <w:divsChild>
                                <w:div w:id="709450552">
                                  <w:marLeft w:val="0"/>
                                  <w:marRight w:val="0"/>
                                  <w:marTop w:val="0"/>
                                  <w:marBottom w:val="0"/>
                                  <w:divBdr>
                                    <w:top w:val="none" w:sz="0" w:space="0" w:color="auto"/>
                                    <w:left w:val="none" w:sz="0" w:space="0" w:color="auto"/>
                                    <w:bottom w:val="none" w:sz="0" w:space="0" w:color="auto"/>
                                    <w:right w:val="none" w:sz="0" w:space="0" w:color="auto"/>
                                  </w:divBdr>
                                  <w:divsChild>
                                    <w:div w:id="1005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56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9/D4FO05241B" TargetMode="External"/><Relationship Id="rId18" Type="http://schemas.openxmlformats.org/officeDocument/2006/relationships/hyperlink" Target="https://www.imarcgroup.com/india-functional-beverages-market?utm_source=chatgpt.com" TargetMode="External"/><Relationship Id="rId26" Type="http://schemas.openxmlformats.org/officeDocument/2006/relationships/hyperlink" Target="https://doi.org/10.4141/CJPS09057" TargetMode="External"/><Relationship Id="rId21" Type="http://schemas.openxmlformats.org/officeDocument/2006/relationships/hyperlink" Target="https://doi.org/10.32530/jaast.v4i2.138"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tandardsbis.bsbedge.com/BIS_Preview.aspx?id=5402&amp;utm_source=chatgpt.com" TargetMode="External"/><Relationship Id="rId17" Type="http://schemas.openxmlformats.org/officeDocument/2006/relationships/hyperlink" Target="https://doi.org/10.1002/fsn3.118" TargetMode="External"/><Relationship Id="rId25" Type="http://schemas.openxmlformats.org/officeDocument/2006/relationships/hyperlink" Target="https://doi.org/10.4314/ajb.v5i11.4299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371/journal.pone.0053725" TargetMode="External"/><Relationship Id="rId20" Type="http://schemas.openxmlformats.org/officeDocument/2006/relationships/hyperlink" Target="https://doi.org/10.1111/1541-4337.12106" TargetMode="External"/><Relationship Id="rId29" Type="http://schemas.openxmlformats.org/officeDocument/2006/relationships/hyperlink" Target="https://doi.org/10.1007/s13749-014-003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ndardsbis.bsbedge.com/BIS_SearchStandard.aspx?Standard_Number=is+5403&amp;id=0&amp;utm_source=chatgpt.com" TargetMode="External"/><Relationship Id="rId24" Type="http://schemas.openxmlformats.org/officeDocument/2006/relationships/hyperlink" Target="https://doi.org/10.1007/s12161-012-9467-6"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11/jfpp.16752" TargetMode="External"/><Relationship Id="rId23" Type="http://schemas.openxmlformats.org/officeDocument/2006/relationships/hyperlink" Target="https://doi.org/10.9734/afsj/2026/v25i5872" TargetMode="External"/><Relationship Id="rId28" Type="http://schemas.openxmlformats.org/officeDocument/2006/relationships/hyperlink" Target="https://doi.org/10.1080/10641963.2017.1313851" TargetMode="External"/><Relationship Id="rId36" Type="http://schemas.openxmlformats.org/officeDocument/2006/relationships/fontTable" Target="fontTable.xml"/><Relationship Id="rId10" Type="http://schemas.openxmlformats.org/officeDocument/2006/relationships/hyperlink" Target="https://doi.org/10.1016/j.foodchem.2004.01.075" TargetMode="External"/><Relationship Id="rId19" Type="http://schemas.openxmlformats.org/officeDocument/2006/relationships/hyperlink" Target="https://doi.org/10.1155/2022/723548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56557/joban/2025/v17i29923" TargetMode="External"/><Relationship Id="rId22" Type="http://schemas.openxmlformats.org/officeDocument/2006/relationships/hyperlink" Target="https://doi.org/10.1038/s41598-025-26960-8" TargetMode="External"/><Relationship Id="rId27" Type="http://schemas.openxmlformats.org/officeDocument/2006/relationships/hyperlink" Target="https://www.theinsightpartners.com/reports/herbal-tea-market?utm_source=chatgpt.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data%20of%20bar%20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F2%20proximate%20char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Sensory Evaluation of</a:t>
            </a:r>
            <a:r>
              <a:rPr lang="en-IN" baseline="0"/>
              <a:t> Samples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Sheet1!$B$4</c:f>
              <c:strCache>
                <c:ptCount val="1"/>
                <c:pt idx="0">
                  <c:v>Appearance</c:v>
                </c:pt>
              </c:strCache>
            </c:strRef>
          </c:tx>
          <c:spPr>
            <a:solidFill>
              <a:schemeClr val="accent1">
                <a:lumMod val="20000"/>
                <a:lumOff val="80000"/>
              </a:schemeClr>
            </a:solidFill>
            <a:ln w="9525">
              <a:solidFill>
                <a:schemeClr val="accent1">
                  <a:lumMod val="75000"/>
                </a:schemeClr>
              </a:solidFill>
            </a:ln>
            <a:effectLst/>
          </c:spPr>
          <c:invertIfNegative val="0"/>
          <c:errBars>
            <c:errBarType val="both"/>
            <c:errValType val="cust"/>
            <c:noEndCap val="0"/>
            <c:plus>
              <c:numRef>
                <c:f>Sheet1!$B$13:$G$13</c:f>
                <c:numCache>
                  <c:formatCode>General</c:formatCode>
                  <c:ptCount val="5"/>
                  <c:pt idx="0">
                    <c:v>0.47</c:v>
                  </c:pt>
                  <c:pt idx="1">
                    <c:v>0.5</c:v>
                  </c:pt>
                  <c:pt idx="2">
                    <c:v>0.51</c:v>
                  </c:pt>
                  <c:pt idx="3">
                    <c:v>0.6</c:v>
                  </c:pt>
                  <c:pt idx="4">
                    <c:v>0.49</c:v>
                  </c:pt>
                </c:numCache>
                <c:extLst/>
              </c:numRef>
            </c:plus>
            <c:minus>
              <c:numRef>
                <c:f>Sheet1!$B$13:$G$13</c:f>
                <c:numCache>
                  <c:formatCode>General</c:formatCode>
                  <c:ptCount val="5"/>
                  <c:pt idx="0">
                    <c:v>0.47</c:v>
                  </c:pt>
                  <c:pt idx="1">
                    <c:v>0.5</c:v>
                  </c:pt>
                  <c:pt idx="2">
                    <c:v>0.51</c:v>
                  </c:pt>
                  <c:pt idx="3">
                    <c:v>0.6</c:v>
                  </c:pt>
                  <c:pt idx="4">
                    <c:v>0.49</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Sheet1!$B$4:$G$4</c:f>
              <c:numCache>
                <c:formatCode>General</c:formatCode>
                <c:ptCount val="5"/>
                <c:pt idx="0">
                  <c:v>8.3000000000000007</c:v>
                </c:pt>
                <c:pt idx="1">
                  <c:v>7.57</c:v>
                </c:pt>
                <c:pt idx="2">
                  <c:v>8.4700000000000006</c:v>
                </c:pt>
                <c:pt idx="3">
                  <c:v>7.7</c:v>
                </c:pt>
                <c:pt idx="4">
                  <c:v>7.37</c:v>
                </c:pt>
              </c:numCache>
              <c:extLst/>
            </c:numRef>
          </c:val>
          <c:extLst>
            <c:ext xmlns:c16="http://schemas.microsoft.com/office/drawing/2014/chart" uri="{C3380CC4-5D6E-409C-BE32-E72D297353CC}">
              <c16:uniqueId val="{00000000-E772-43C0-BEBC-09D34712BCAB}"/>
            </c:ext>
          </c:extLst>
        </c:ser>
        <c:ser>
          <c:idx val="1"/>
          <c:order val="1"/>
          <c:tx>
            <c:strRef>
              <c:f>Sheet1!$B$5</c:f>
              <c:strCache>
                <c:ptCount val="1"/>
                <c:pt idx="0">
                  <c:v>Colour</c:v>
                </c:pt>
              </c:strCache>
            </c:strRef>
          </c:tx>
          <c:spPr>
            <a:solidFill>
              <a:schemeClr val="accent1">
                <a:lumMod val="40000"/>
                <a:lumOff val="60000"/>
              </a:schemeClr>
            </a:solidFill>
            <a:ln>
              <a:solidFill>
                <a:schemeClr val="accent1">
                  <a:lumMod val="60000"/>
                  <a:lumOff val="40000"/>
                </a:schemeClr>
              </a:solidFill>
            </a:ln>
            <a:effectLst/>
          </c:spPr>
          <c:invertIfNegative val="0"/>
          <c:errBars>
            <c:errBarType val="both"/>
            <c:errValType val="cust"/>
            <c:noEndCap val="0"/>
            <c:plus>
              <c:numRef>
                <c:f>Sheet1!$B$14:$G$14</c:f>
                <c:numCache>
                  <c:formatCode>General</c:formatCode>
                  <c:ptCount val="5"/>
                  <c:pt idx="0">
                    <c:v>0.48</c:v>
                  </c:pt>
                  <c:pt idx="1">
                    <c:v>0.61</c:v>
                  </c:pt>
                  <c:pt idx="2">
                    <c:v>0.52</c:v>
                  </c:pt>
                  <c:pt idx="3">
                    <c:v>0.5</c:v>
                  </c:pt>
                  <c:pt idx="4">
                    <c:v>0.47</c:v>
                  </c:pt>
                </c:numCache>
                <c:extLst/>
              </c:numRef>
            </c:plus>
            <c:minus>
              <c:numRef>
                <c:f>Sheet1!$B$14:$G$14</c:f>
                <c:numCache>
                  <c:formatCode>General</c:formatCode>
                  <c:ptCount val="5"/>
                  <c:pt idx="0">
                    <c:v>0.48</c:v>
                  </c:pt>
                  <c:pt idx="1">
                    <c:v>0.61</c:v>
                  </c:pt>
                  <c:pt idx="2">
                    <c:v>0.52</c:v>
                  </c:pt>
                  <c:pt idx="3">
                    <c:v>0.5</c:v>
                  </c:pt>
                  <c:pt idx="4">
                    <c:v>0.47</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Sheet1!$B$5:$G$5</c:f>
              <c:numCache>
                <c:formatCode>General</c:formatCode>
                <c:ptCount val="5"/>
                <c:pt idx="0">
                  <c:v>8.33</c:v>
                </c:pt>
                <c:pt idx="1">
                  <c:v>8.1999999999999993</c:v>
                </c:pt>
                <c:pt idx="2">
                  <c:v>8.27</c:v>
                </c:pt>
                <c:pt idx="3">
                  <c:v>7.57</c:v>
                </c:pt>
                <c:pt idx="4">
                  <c:v>7.7</c:v>
                </c:pt>
              </c:numCache>
              <c:extLst/>
            </c:numRef>
          </c:val>
          <c:extLst>
            <c:ext xmlns:c16="http://schemas.microsoft.com/office/drawing/2014/chart" uri="{C3380CC4-5D6E-409C-BE32-E72D297353CC}">
              <c16:uniqueId val="{00000001-E772-43C0-BEBC-09D34712BCAB}"/>
            </c:ext>
          </c:extLst>
        </c:ser>
        <c:ser>
          <c:idx val="2"/>
          <c:order val="2"/>
          <c:tx>
            <c:strRef>
              <c:f>Sheet1!$B$6</c:f>
              <c:strCache>
                <c:ptCount val="1"/>
                <c:pt idx="0">
                  <c:v>Aroma</c:v>
                </c:pt>
              </c:strCache>
            </c:strRef>
          </c:tx>
          <c:spPr>
            <a:solidFill>
              <a:schemeClr val="accent1">
                <a:lumMod val="60000"/>
                <a:lumOff val="40000"/>
              </a:schemeClr>
            </a:solidFill>
            <a:ln>
              <a:noFill/>
            </a:ln>
            <a:effectLst/>
          </c:spPr>
          <c:invertIfNegative val="0"/>
          <c:errBars>
            <c:errBarType val="both"/>
            <c:errValType val="cust"/>
            <c:noEndCap val="0"/>
            <c:plus>
              <c:numRef>
                <c:f>Sheet1!$B$15:$G$15</c:f>
                <c:numCache>
                  <c:formatCode>General</c:formatCode>
                  <c:ptCount val="5"/>
                  <c:pt idx="0">
                    <c:v>0.52</c:v>
                  </c:pt>
                  <c:pt idx="1">
                    <c:v>0.48</c:v>
                  </c:pt>
                  <c:pt idx="2">
                    <c:v>0.51</c:v>
                  </c:pt>
                  <c:pt idx="3">
                    <c:v>0.48</c:v>
                  </c:pt>
                  <c:pt idx="4">
                    <c:v>0.5</c:v>
                  </c:pt>
                </c:numCache>
                <c:extLst/>
              </c:numRef>
            </c:plus>
            <c:minus>
              <c:numRef>
                <c:f>Sheet1!$B$15:$G$15</c:f>
                <c:numCache>
                  <c:formatCode>General</c:formatCode>
                  <c:ptCount val="5"/>
                  <c:pt idx="0">
                    <c:v>0.52</c:v>
                  </c:pt>
                  <c:pt idx="1">
                    <c:v>0.48</c:v>
                  </c:pt>
                  <c:pt idx="2">
                    <c:v>0.51</c:v>
                  </c:pt>
                  <c:pt idx="3">
                    <c:v>0.48</c:v>
                  </c:pt>
                  <c:pt idx="4">
                    <c:v>0.5</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Sheet1!$B$6:$G$6</c:f>
              <c:numCache>
                <c:formatCode>General</c:formatCode>
                <c:ptCount val="5"/>
                <c:pt idx="0">
                  <c:v>6.73</c:v>
                </c:pt>
                <c:pt idx="1">
                  <c:v>7.33</c:v>
                </c:pt>
                <c:pt idx="2">
                  <c:v>8.5</c:v>
                </c:pt>
                <c:pt idx="3">
                  <c:v>7.67</c:v>
                </c:pt>
                <c:pt idx="4">
                  <c:v>7.43</c:v>
                </c:pt>
              </c:numCache>
              <c:extLst/>
            </c:numRef>
          </c:val>
          <c:extLst>
            <c:ext xmlns:c16="http://schemas.microsoft.com/office/drawing/2014/chart" uri="{C3380CC4-5D6E-409C-BE32-E72D297353CC}">
              <c16:uniqueId val="{00000002-E772-43C0-BEBC-09D34712BCAB}"/>
            </c:ext>
          </c:extLst>
        </c:ser>
        <c:ser>
          <c:idx val="3"/>
          <c:order val="3"/>
          <c:tx>
            <c:strRef>
              <c:f>Sheet1!$B$7</c:f>
              <c:strCache>
                <c:ptCount val="1"/>
                <c:pt idx="0">
                  <c:v>Taste</c:v>
                </c:pt>
              </c:strCache>
            </c:strRef>
          </c:tx>
          <c:spPr>
            <a:solidFill>
              <a:schemeClr val="accent1">
                <a:lumMod val="75000"/>
              </a:schemeClr>
            </a:solidFill>
            <a:ln>
              <a:noFill/>
            </a:ln>
            <a:effectLst/>
          </c:spPr>
          <c:invertIfNegative val="0"/>
          <c:errBars>
            <c:errBarType val="both"/>
            <c:errValType val="cust"/>
            <c:noEndCap val="0"/>
            <c:plus>
              <c:numRef>
                <c:f>Sheet1!$B$16:$G$16</c:f>
                <c:numCache>
                  <c:formatCode>General</c:formatCode>
                  <c:ptCount val="5"/>
                  <c:pt idx="0">
                    <c:v>0.56999999999999995</c:v>
                  </c:pt>
                  <c:pt idx="1">
                    <c:v>0.5</c:v>
                  </c:pt>
                  <c:pt idx="2">
                    <c:v>0.49</c:v>
                  </c:pt>
                  <c:pt idx="3">
                    <c:v>0.5</c:v>
                  </c:pt>
                  <c:pt idx="4">
                    <c:v>0.49</c:v>
                  </c:pt>
                </c:numCache>
                <c:extLst/>
              </c:numRef>
            </c:plus>
            <c:minus>
              <c:numRef>
                <c:f>Sheet1!$B$16:$G$16</c:f>
                <c:numCache>
                  <c:formatCode>General</c:formatCode>
                  <c:ptCount val="5"/>
                  <c:pt idx="0">
                    <c:v>0.56999999999999995</c:v>
                  </c:pt>
                  <c:pt idx="1">
                    <c:v>0.5</c:v>
                  </c:pt>
                  <c:pt idx="2">
                    <c:v>0.49</c:v>
                  </c:pt>
                  <c:pt idx="3">
                    <c:v>0.5</c:v>
                  </c:pt>
                  <c:pt idx="4">
                    <c:v>0.49</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Sheet1!$B$7:$G$7</c:f>
              <c:numCache>
                <c:formatCode>General</c:formatCode>
                <c:ptCount val="5"/>
                <c:pt idx="0">
                  <c:v>6.87</c:v>
                </c:pt>
                <c:pt idx="1">
                  <c:v>7.4</c:v>
                </c:pt>
                <c:pt idx="2">
                  <c:v>8.6300000000000008</c:v>
                </c:pt>
                <c:pt idx="3">
                  <c:v>7.43</c:v>
                </c:pt>
                <c:pt idx="4">
                  <c:v>7.37</c:v>
                </c:pt>
              </c:numCache>
              <c:extLst/>
            </c:numRef>
          </c:val>
          <c:extLst>
            <c:ext xmlns:c16="http://schemas.microsoft.com/office/drawing/2014/chart" uri="{C3380CC4-5D6E-409C-BE32-E72D297353CC}">
              <c16:uniqueId val="{00000003-E772-43C0-BEBC-09D34712BCAB}"/>
            </c:ext>
          </c:extLst>
        </c:ser>
        <c:ser>
          <c:idx val="4"/>
          <c:order val="4"/>
          <c:tx>
            <c:strRef>
              <c:f>Sheet1!$B$8</c:f>
              <c:strCache>
                <c:ptCount val="1"/>
                <c:pt idx="0">
                  <c:v>overall acceptability</c:v>
                </c:pt>
              </c:strCache>
            </c:strRef>
          </c:tx>
          <c:spPr>
            <a:solidFill>
              <a:schemeClr val="accent1">
                <a:lumMod val="50000"/>
              </a:schemeClr>
            </a:solidFill>
            <a:ln>
              <a:noFill/>
            </a:ln>
            <a:effectLst/>
          </c:spPr>
          <c:invertIfNegative val="0"/>
          <c:errBars>
            <c:errBarType val="both"/>
            <c:errValType val="cust"/>
            <c:noEndCap val="0"/>
            <c:plus>
              <c:numRef>
                <c:f>Sheet1!$B$17:$G$17</c:f>
                <c:numCache>
                  <c:formatCode>General</c:formatCode>
                  <c:ptCount val="5"/>
                  <c:pt idx="0">
                    <c:v>0.49</c:v>
                  </c:pt>
                  <c:pt idx="1">
                    <c:v>0.49</c:v>
                  </c:pt>
                  <c:pt idx="2">
                    <c:v>0.5</c:v>
                  </c:pt>
                  <c:pt idx="3">
                    <c:v>0.49</c:v>
                  </c:pt>
                  <c:pt idx="4">
                    <c:v>0.5</c:v>
                  </c:pt>
                </c:numCache>
                <c:extLst/>
              </c:numRef>
            </c:plus>
            <c:minus>
              <c:numRef>
                <c:f>Sheet1!$B$17:$G$17</c:f>
                <c:numCache>
                  <c:formatCode>General</c:formatCode>
                  <c:ptCount val="5"/>
                  <c:pt idx="0">
                    <c:v>0.49</c:v>
                  </c:pt>
                  <c:pt idx="1">
                    <c:v>0.49</c:v>
                  </c:pt>
                  <c:pt idx="2">
                    <c:v>0.5</c:v>
                  </c:pt>
                  <c:pt idx="3">
                    <c:v>0.49</c:v>
                  </c:pt>
                  <c:pt idx="4">
                    <c:v>0.5</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Sheet1!$B$8:$G$8</c:f>
              <c:numCache>
                <c:formatCode>General</c:formatCode>
                <c:ptCount val="5"/>
                <c:pt idx="0">
                  <c:v>7.4</c:v>
                </c:pt>
                <c:pt idx="1">
                  <c:v>7.63</c:v>
                </c:pt>
                <c:pt idx="2">
                  <c:v>8.5</c:v>
                </c:pt>
                <c:pt idx="3">
                  <c:v>7.6</c:v>
                </c:pt>
                <c:pt idx="4">
                  <c:v>7.5</c:v>
                </c:pt>
              </c:numCache>
              <c:extLst/>
            </c:numRef>
          </c:val>
          <c:extLst>
            <c:ext xmlns:c16="http://schemas.microsoft.com/office/drawing/2014/chart" uri="{C3380CC4-5D6E-409C-BE32-E72D297353CC}">
              <c16:uniqueId val="{00000004-E772-43C0-BEBC-09D34712BCAB}"/>
            </c:ext>
          </c:extLst>
        </c:ser>
        <c:dLbls>
          <c:showLegendKey val="0"/>
          <c:showVal val="0"/>
          <c:showCatName val="0"/>
          <c:showSerName val="0"/>
          <c:showPercent val="0"/>
          <c:showBubbleSize val="0"/>
        </c:dLbls>
        <c:gapWidth val="219"/>
        <c:axId val="1221325776"/>
        <c:axId val="1218013936"/>
      </c:barChart>
      <c:catAx>
        <c:axId val="1221325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013936"/>
        <c:crosses val="autoZero"/>
        <c:auto val="1"/>
        <c:lblAlgn val="ctr"/>
        <c:lblOffset val="100"/>
        <c:noMultiLvlLbl val="0"/>
      </c:catAx>
      <c:valAx>
        <c:axId val="1218013936"/>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 sensory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32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solidFill>
                  <a:schemeClr val="tx1"/>
                </a:solidFill>
                <a:latin typeface="Times New Roman" panose="02020603050405020304" pitchFamily="18" charset="0"/>
                <a:cs typeface="Times New Roman" panose="02020603050405020304" pitchFamily="18" charset="0"/>
              </a:rPr>
              <a:t>Proximate Analysis for F2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Sheet1!$C$6</c:f>
              <c:strCache>
                <c:ptCount val="1"/>
                <c:pt idx="0">
                  <c:v>         Moisture</c:v>
                </c:pt>
              </c:strCache>
            </c:strRef>
          </c:tx>
          <c:spPr>
            <a:solidFill>
              <a:schemeClr val="accent1"/>
            </a:solidFill>
            <a:ln>
              <a:noFill/>
            </a:ln>
            <a:effectLst/>
          </c:spPr>
          <c:invertIfNegative val="0"/>
          <c:cat>
            <c:numRef>
              <c:f>Sheet1!$B$5:$B$11</c:f>
              <c:numCache>
                <c:formatCode>General</c:formatCode>
                <c:ptCount val="7"/>
              </c:numCache>
            </c:numRef>
          </c:cat>
          <c:val>
            <c:numRef>
              <c:f>Sheet1!$C$5:$C$11</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116-4F03-9969-664848448FC6}"/>
            </c:ext>
          </c:extLst>
        </c:ser>
        <c:ser>
          <c:idx val="1"/>
          <c:order val="1"/>
          <c:tx>
            <c:strRef>
              <c:f>Sheet1!$C$7</c:f>
              <c:strCache>
                <c:ptCount val="1"/>
                <c:pt idx="0">
                  <c:v>           Ash</c:v>
                </c:pt>
              </c:strCache>
            </c:strRef>
          </c:tx>
          <c:spPr>
            <a:solidFill>
              <a:schemeClr val="accent6">
                <a:lumMod val="75000"/>
              </a:schemeClr>
            </a:solidFill>
            <a:ln>
              <a:solidFill>
                <a:schemeClr val="accent6">
                  <a:lumMod val="75000"/>
                </a:schemeClr>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2-5116-4F03-9969-664848448FC6}"/>
              </c:ext>
            </c:extLst>
          </c:dPt>
          <c:dPt>
            <c:idx val="3"/>
            <c:invertIfNegative val="0"/>
            <c:bubble3D val="0"/>
            <c:spPr>
              <a:solidFill>
                <a:schemeClr val="accent6">
                  <a:lumMod val="60000"/>
                  <a:lumOff val="40000"/>
                </a:schemeClr>
              </a:solidFill>
              <a:ln>
                <a:solidFill>
                  <a:schemeClr val="accent6">
                    <a:lumMod val="60000"/>
                    <a:lumOff val="40000"/>
                  </a:schemeClr>
                </a:solidFill>
              </a:ln>
              <a:effectLst/>
            </c:spPr>
            <c:extLst>
              <c:ext xmlns:c16="http://schemas.microsoft.com/office/drawing/2014/chart" uri="{C3380CC4-5D6E-409C-BE32-E72D297353CC}">
                <c16:uniqueId val="{00000004-5116-4F03-9969-664848448FC6}"/>
              </c:ext>
            </c:extLst>
          </c:dPt>
          <c:dPt>
            <c:idx val="4"/>
            <c:invertIfNegative val="0"/>
            <c:bubble3D val="0"/>
            <c:spPr>
              <a:solidFill>
                <a:schemeClr val="accent6"/>
              </a:solidFill>
              <a:ln>
                <a:solidFill>
                  <a:schemeClr val="accent6">
                    <a:lumMod val="75000"/>
                  </a:schemeClr>
                </a:solidFill>
              </a:ln>
              <a:effectLst/>
            </c:spPr>
            <c:extLst>
              <c:ext xmlns:c16="http://schemas.microsoft.com/office/drawing/2014/chart" uri="{C3380CC4-5D6E-409C-BE32-E72D297353CC}">
                <c16:uniqueId val="{00000006-5116-4F03-9969-664848448FC6}"/>
              </c:ext>
            </c:extLst>
          </c:dPt>
          <c:dPt>
            <c:idx val="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8-5116-4F03-9969-664848448FC6}"/>
              </c:ext>
            </c:extLst>
          </c:dPt>
          <c:dPt>
            <c:idx val="6"/>
            <c:invertIfNegative val="0"/>
            <c:bubble3D val="0"/>
            <c:spPr>
              <a:solidFill>
                <a:srgbClr val="FF0000"/>
              </a:solidFill>
              <a:ln>
                <a:solidFill>
                  <a:srgbClr val="FF0000"/>
                </a:solidFill>
              </a:ln>
              <a:effectLst/>
            </c:spPr>
            <c:extLst>
              <c:ext xmlns:c16="http://schemas.microsoft.com/office/drawing/2014/chart" uri="{C3380CC4-5D6E-409C-BE32-E72D297353CC}">
                <c16:uniqueId val="{0000000A-5116-4F03-9969-664848448F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Sheet1!$B$5:$B$11</c:f>
              <c:numCache>
                <c:formatCode>General</c:formatCode>
                <c:ptCount val="7"/>
              </c:numCache>
            </c:numRef>
          </c:cat>
          <c:val>
            <c:numRef>
              <c:f>Sheet1!$D$5:$D$11</c:f>
              <c:numCache>
                <c:formatCode>General</c:formatCode>
                <c:ptCount val="7"/>
                <c:pt idx="0">
                  <c:v>0</c:v>
                </c:pt>
                <c:pt idx="1">
                  <c:v>1.56</c:v>
                </c:pt>
                <c:pt idx="2">
                  <c:v>3.39</c:v>
                </c:pt>
                <c:pt idx="3">
                  <c:v>1.97</c:v>
                </c:pt>
                <c:pt idx="4">
                  <c:v>21.79</c:v>
                </c:pt>
                <c:pt idx="5">
                  <c:v>7.57</c:v>
                </c:pt>
                <c:pt idx="6">
                  <c:v>85.51</c:v>
                </c:pt>
              </c:numCache>
            </c:numRef>
          </c:val>
          <c:extLst>
            <c:ext xmlns:c16="http://schemas.microsoft.com/office/drawing/2014/chart" uri="{C3380CC4-5D6E-409C-BE32-E72D297353CC}">
              <c16:uniqueId val="{0000000B-5116-4F03-9969-664848448FC6}"/>
            </c:ext>
          </c:extLst>
        </c:ser>
        <c:ser>
          <c:idx val="2"/>
          <c:order val="2"/>
          <c:tx>
            <c:strRef>
              <c:f>Sheet1!$C$8</c:f>
              <c:strCache>
                <c:ptCount val="1"/>
                <c:pt idx="0">
                  <c:v>       Crude Fat </c:v>
                </c:pt>
              </c:strCache>
            </c:strRef>
          </c:tx>
          <c:spPr>
            <a:solidFill>
              <a:schemeClr val="accent6">
                <a:lumMod val="60000"/>
                <a:lumOff val="40000"/>
              </a:schemeClr>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C-5116-4F03-9969-664848448FC6}"/>
            </c:ext>
          </c:extLst>
        </c:ser>
        <c:ser>
          <c:idx val="3"/>
          <c:order val="3"/>
          <c:tx>
            <c:strRef>
              <c:f>Sheet1!$C$9</c:f>
              <c:strCache>
                <c:ptCount val="1"/>
                <c:pt idx="0">
                  <c:v>       Crude Fiber </c:v>
                </c:pt>
              </c:strCache>
            </c:strRef>
          </c:tx>
          <c:spPr>
            <a:solidFill>
              <a:schemeClr val="accent6"/>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D-5116-4F03-9969-664848448FC6}"/>
            </c:ext>
          </c:extLst>
        </c:ser>
        <c:ser>
          <c:idx val="4"/>
          <c:order val="4"/>
          <c:tx>
            <c:strRef>
              <c:f>Sheet1!$C$10</c:f>
              <c:strCache>
                <c:ptCount val="1"/>
                <c:pt idx="0">
                  <c:v>       Protein</c:v>
                </c:pt>
              </c:strCache>
            </c:strRef>
          </c:tx>
          <c:spPr>
            <a:solidFill>
              <a:schemeClr val="accent2"/>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E-5116-4F03-9969-664848448FC6}"/>
            </c:ext>
          </c:extLst>
        </c:ser>
        <c:ser>
          <c:idx val="5"/>
          <c:order val="5"/>
          <c:tx>
            <c:strRef>
              <c:f>Sheet1!$C$11</c:f>
              <c:strCache>
                <c:ptCount val="1"/>
                <c:pt idx="0">
                  <c:v>       Carbohydrates</c:v>
                </c:pt>
              </c:strCache>
            </c:strRef>
          </c:tx>
          <c:spPr>
            <a:solidFill>
              <a:srgbClr val="FF0000"/>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F-5116-4F03-9969-664848448FC6}"/>
            </c:ext>
          </c:extLst>
        </c:ser>
        <c:dLbls>
          <c:showLegendKey val="0"/>
          <c:showVal val="0"/>
          <c:showCatName val="0"/>
          <c:showSerName val="0"/>
          <c:showPercent val="0"/>
          <c:showBubbleSize val="0"/>
        </c:dLbls>
        <c:gapWidth val="219"/>
        <c:overlap val="-27"/>
        <c:axId val="367318719"/>
        <c:axId val="672584143"/>
      </c:barChart>
      <c:catAx>
        <c:axId val="36731871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Samples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584143"/>
        <c:crosses val="autoZero"/>
        <c:auto val="1"/>
        <c:lblAlgn val="ctr"/>
        <c:lblOffset val="100"/>
        <c:noMultiLvlLbl val="0"/>
      </c:catAx>
      <c:valAx>
        <c:axId val="672584143"/>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sz="1200"/>
                  <a:t> </a:t>
                </a:r>
                <a:r>
                  <a:rPr lang="en-IN" sz="1200">
                    <a:latin typeface="Times New Roman" panose="02020603050405020304" pitchFamily="18" charset="0"/>
                    <a:cs typeface="Times New Roman" panose="02020603050405020304" pitchFamily="18" charset="0"/>
                  </a:rPr>
                  <a:t>Mean</a:t>
                </a:r>
                <a:r>
                  <a:rPr lang="en-IN" sz="1200" baseline="0">
                    <a:latin typeface="Times New Roman" panose="02020603050405020304" pitchFamily="18" charset="0"/>
                    <a:cs typeface="Times New Roman" panose="02020603050405020304" pitchFamily="18" charset="0"/>
                  </a:rPr>
                  <a:t> Sensory Score</a:t>
                </a:r>
                <a:endParaRPr lang="en-IN"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31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5F4C-C758-44EF-8110-AEE96DC7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5627</Words>
  <Characters>32080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Editor-90</cp:lastModifiedBy>
  <cp:revision>50</cp:revision>
  <dcterms:created xsi:type="dcterms:W3CDTF">2026-05-27T17:19:00Z</dcterms:created>
  <dcterms:modified xsi:type="dcterms:W3CDTF">2026-06-22T13:17:00Z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2bbd7598-f873-42f7-bb8c-2ee3c75e74b0</vt:lpwstr>
  </property>
</Properties>
</file>