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E164C" w14:textId="77777777" w:rsidR="00163BC4" w:rsidRPr="00313E9A" w:rsidRDefault="00B11B23" w:rsidP="00B11B23">
      <w:pPr>
        <w:pStyle w:val="Author"/>
        <w:spacing w:line="240" w:lineRule="auto"/>
        <w:rPr>
          <w:rFonts w:ascii="Arial" w:hAnsi="Arial" w:cs="Arial"/>
          <w:bCs/>
          <w:iCs/>
          <w:kern w:val="28"/>
          <w:sz w:val="36"/>
        </w:rPr>
      </w:pPr>
      <w:r w:rsidRPr="00313E9A">
        <w:rPr>
          <w:rFonts w:ascii="Arial" w:hAnsi="Arial" w:cs="Arial"/>
          <w:bCs/>
          <w:iCs/>
          <w:kern w:val="28"/>
          <w:sz w:val="36"/>
        </w:rPr>
        <w:t>Assessment of Trace metal and Polycyclic Aromatic Hydrocarbon Concentrations in Seabird Eggs and Eggshells from two National Parks in Senegal</w:t>
      </w:r>
      <w:r w:rsidR="00231920" w:rsidRPr="00313E9A">
        <w:rPr>
          <w:rFonts w:ascii="Arial" w:hAnsi="Arial" w:cs="Arial"/>
          <w:bCs/>
          <w:iCs/>
          <w:kern w:val="28"/>
          <w:sz w:val="36"/>
        </w:rPr>
        <w:t xml:space="preserve"> </w:t>
      </w:r>
    </w:p>
    <w:p w14:paraId="7DCA43FD" w14:textId="77777777" w:rsidR="00A258C3" w:rsidRPr="00313E9A" w:rsidRDefault="00A258C3" w:rsidP="00441B6F">
      <w:pPr>
        <w:pStyle w:val="Author"/>
        <w:spacing w:line="240" w:lineRule="auto"/>
        <w:jc w:val="both"/>
        <w:rPr>
          <w:rFonts w:ascii="Arial" w:hAnsi="Arial" w:cs="Arial"/>
          <w:sz w:val="36"/>
        </w:rPr>
      </w:pPr>
    </w:p>
    <w:p w14:paraId="58101C88" w14:textId="77777777" w:rsidR="00B324A0" w:rsidRPr="000173F3" w:rsidRDefault="00B324A0" w:rsidP="00D77ACF">
      <w:pPr>
        <w:pStyle w:val="Affiliation"/>
        <w:spacing w:after="0" w:line="240" w:lineRule="auto"/>
        <w:jc w:val="left"/>
        <w:rPr>
          <w:rFonts w:ascii="Arial" w:hAnsi="Arial" w:cs="Arial"/>
          <w:i/>
        </w:rPr>
      </w:pPr>
    </w:p>
    <w:p w14:paraId="0CCF9D6E" w14:textId="0E697C53" w:rsidR="00651151" w:rsidRPr="00480619" w:rsidRDefault="00480619" w:rsidP="00480619">
      <w:pPr>
        <w:spacing w:before="100" w:beforeAutospacing="1" w:after="240"/>
        <w:rPr>
          <w:rFonts w:ascii="Arial" w:hAnsi="Arial" w:cs="Arial"/>
          <w:noProof/>
        </w:rPr>
      </w:pPr>
      <w:r w:rsidRPr="00480619">
        <w:rPr>
          <w:rFonts w:ascii="Arial" w:hAnsi="Arial" w:cs="Arial"/>
          <w:noProof/>
        </w:rPr>
        <w:t>Original Research Article</w:t>
      </w:r>
      <w:bookmarkStart w:id="0" w:name="_GoBack"/>
      <w:bookmarkEnd w:id="0"/>
    </w:p>
    <w:p w14:paraId="2DF13DCE" w14:textId="77777777" w:rsidR="00323441" w:rsidRPr="00323441" w:rsidRDefault="00323441" w:rsidP="00323441">
      <w:pPr>
        <w:rPr>
          <w:lang w:val="fr-SN"/>
        </w:rPr>
      </w:pPr>
      <w:r w:rsidRPr="00313E9A">
        <w:rPr>
          <w:rFonts w:ascii="Arial" w:hAnsi="Arial" w:cs="Arial"/>
          <w:noProof/>
        </w:rPr>
        <mc:AlternateContent>
          <mc:Choice Requires="wps">
            <w:drawing>
              <wp:inline distT="0" distB="0" distL="0" distR="0" wp14:anchorId="13713005" wp14:editId="784BE6A9">
                <wp:extent cx="5303520" cy="635"/>
                <wp:effectExtent l="0" t="12700" r="5080" b="12065"/>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0352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9838928" id="_x0000_t32" coordsize="21600,21600" o:spt="32" o:oned="t" path="m,l21600,21600e" filled="f">
                <v:path arrowok="t" fillok="f" o:connecttype="none"/>
                <o:lock v:ext="edit" shapetype="t"/>
              </v:shapetype>
              <v:shape id="AutoShape 3"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" strokeweight="1.5pt">
                <o:lock v:ext="edit" shapetype="f"/>
                <w10:anchorlock/>
              </v:shape>
            </w:pict>
          </mc:Fallback>
        </mc:AlternateContent>
      </w:r>
    </w:p>
    <w:p w14:paraId="1ADCD816" w14:textId="77777777" w:rsidR="00323441" w:rsidRDefault="00323441" w:rsidP="00323441">
      <w:pPr>
        <w:rPr>
          <w:rFonts w:ascii="Arial" w:hAnsi="Arial" w:cs="Arial"/>
          <w:i/>
          <w:lang w:val="fr-SN"/>
        </w:rPr>
      </w:pPr>
    </w:p>
    <w:p w14:paraId="255A8C13" w14:textId="77777777" w:rsidR="00323441" w:rsidRPr="00313E9A" w:rsidRDefault="00323441" w:rsidP="00323441">
      <w:pPr>
        <w:pStyle w:val="AbstHead"/>
        <w:spacing w:after="0"/>
        <w:jc w:val="both"/>
        <w:rPr>
          <w:rFonts w:ascii="Arial" w:hAnsi="Arial" w:cs="Arial"/>
        </w:rPr>
      </w:pPr>
      <w:r w:rsidRPr="00313E9A">
        <w:rPr>
          <w:rFonts w:ascii="Arial" w:hAnsi="Arial" w:cs="Arial"/>
        </w:rPr>
        <w:t>ABSTRACT</w:t>
      </w:r>
    </w:p>
    <w:tbl>
      <w:tblPr>
        <w:tblpPr w:leftFromText="141" w:rightFromText="141" w:vertAnchor="text" w:horzAnchor="margin" w:tblpY="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056"/>
      </w:tblGrid>
      <w:tr w:rsidR="00323441" w:rsidRPr="00313E9A" w14:paraId="6B10C41A" w14:textId="77777777" w:rsidTr="00323441">
        <w:tc>
          <w:tcPr>
            <w:tcW w:w="9056" w:type="dxa"/>
            <w:shd w:val="clear" w:color="auto" w:fill="F2F2F2"/>
          </w:tcPr>
          <w:p w14:paraId="059B1B9D" w14:textId="5029F6ED" w:rsidR="00C41361" w:rsidRPr="00C41361" w:rsidRDefault="00C41361" w:rsidP="00323441">
            <w:pPr>
              <w:jc w:val="both"/>
              <w:rPr>
                <w:rFonts w:ascii="Times New Roman" w:hAnsi="Times New Roman"/>
              </w:rPr>
            </w:pPr>
            <w:r w:rsidRPr="00C41361">
              <w:rPr>
                <w:rFonts w:ascii="Arial" w:eastAsia="Calibri" w:hAnsi="Arial" w:cs="Arial"/>
                <w:b/>
                <w:szCs w:val="22"/>
                <w:highlight w:val="yellow"/>
              </w:rPr>
              <w:t>Context:</w:t>
            </w:r>
            <w:r w:rsidRPr="00C41361">
              <w:rPr>
                <w:rFonts w:ascii="-webkit-standard" w:hAnsi="-webkit-standard"/>
                <w:color w:val="000000"/>
                <w:sz w:val="27"/>
                <w:szCs w:val="27"/>
                <w:highlight w:val="yellow"/>
              </w:rPr>
              <w:t xml:space="preserve"> </w:t>
            </w:r>
            <w:r w:rsidRPr="00C41361">
              <w:rPr>
                <w:rFonts w:ascii="Arial" w:hAnsi="Arial" w:cs="Arial"/>
                <w:highlight w:val="yellow"/>
              </w:rPr>
              <w:t>Senegal’s coastal ecosystems support internationally important breeding colonies of seabirds and provide critical habitats for biodiversity conservation. At the same time, the recent development of offshore oil and gas activities along the Senegalese coast raises concerns about the potential introduction of chemical contaminants into these sensitive marine environments</w:t>
            </w:r>
          </w:p>
          <w:p w14:paraId="1DBC84B4" w14:textId="0B4F8B2E" w:rsidR="00323441" w:rsidRPr="00313E9A" w:rsidRDefault="00323441" w:rsidP="00323441">
            <w:pPr>
              <w:jc w:val="both"/>
              <w:rPr>
                <w:rFonts w:ascii="Arial" w:hAnsi="Arial" w:cs="Arial"/>
              </w:rPr>
            </w:pPr>
            <w:r w:rsidRPr="00313E9A">
              <w:rPr>
                <w:rFonts w:ascii="Arial" w:eastAsia="Calibri" w:hAnsi="Arial" w:cs="Arial"/>
                <w:b/>
                <w:szCs w:val="22"/>
              </w:rPr>
              <w:t xml:space="preserve">Aims: </w:t>
            </w:r>
            <w:r w:rsidRPr="00313E9A">
              <w:rPr>
                <w:rFonts w:ascii="Arial" w:hAnsi="Arial" w:cs="Arial"/>
                <w:bCs/>
              </w:rPr>
              <w:t xml:space="preserve">This study assesses </w:t>
            </w:r>
            <w:r w:rsidRPr="00313E9A">
              <w:rPr>
                <w:rFonts w:ascii="Arial" w:hAnsi="Arial" w:cs="Arial"/>
              </w:rPr>
              <w:t>trace metal (Pb, Cd, and Hg) and polycyclic aromatic hydrocarbon (PAH) concentrations in the eggshells and egg contents of royal terns (</w:t>
            </w:r>
            <w:r w:rsidRPr="00313E9A">
              <w:rPr>
                <w:rStyle w:val="Accentuation"/>
                <w:rFonts w:ascii="Arial" w:hAnsi="Arial" w:cs="Arial"/>
              </w:rPr>
              <w:t>Thalasseus maximus</w:t>
            </w:r>
            <w:r w:rsidRPr="00313E9A">
              <w:rPr>
                <w:rFonts w:ascii="Arial" w:hAnsi="Arial" w:cs="Arial"/>
              </w:rPr>
              <w:t>) and grey-headed gulls (</w:t>
            </w:r>
            <w:r w:rsidRPr="00313E9A">
              <w:rPr>
                <w:rStyle w:val="Accentuation"/>
                <w:rFonts w:ascii="Arial" w:hAnsi="Arial" w:cs="Arial"/>
              </w:rPr>
              <w:t>Chroicocephalus cirrocephalus</w:t>
            </w:r>
            <w:r w:rsidRPr="00313E9A">
              <w:rPr>
                <w:rFonts w:ascii="Arial" w:hAnsi="Arial" w:cs="Arial"/>
              </w:rPr>
              <w:t>) breeding in two coastal national parks of Senegal and to provide baseline contamination data prior to offshore hydrocarbon exploitation</w:t>
            </w:r>
            <w:r w:rsidRPr="00313E9A">
              <w:rPr>
                <w:rFonts w:ascii="Arial" w:eastAsia="Calibri" w:hAnsi="Arial" w:cs="Arial"/>
                <w:szCs w:val="22"/>
              </w:rPr>
              <w:t>.</w:t>
            </w:r>
          </w:p>
          <w:p w14:paraId="643BB206" w14:textId="77777777" w:rsidR="00323441" w:rsidRPr="00313E9A" w:rsidRDefault="00323441" w:rsidP="00323441">
            <w:pPr>
              <w:jc w:val="both"/>
              <w:rPr>
                <w:rFonts w:ascii="Arial" w:hAnsi="Arial" w:cs="Arial"/>
              </w:rPr>
            </w:pPr>
            <w:r w:rsidRPr="00313E9A">
              <w:rPr>
                <w:rFonts w:ascii="Arial" w:eastAsia="Calibri" w:hAnsi="Arial" w:cs="Arial"/>
                <w:b/>
                <w:szCs w:val="22"/>
              </w:rPr>
              <w:t>Study design:</w:t>
            </w:r>
            <w:r w:rsidRPr="00313E9A">
              <w:rPr>
                <w:rFonts w:ascii="Arial" w:eastAsia="Calibri" w:hAnsi="Arial" w:cs="Arial"/>
                <w:szCs w:val="22"/>
              </w:rPr>
              <w:t xml:space="preserve">  It was an e</w:t>
            </w:r>
            <w:r w:rsidRPr="00313E9A">
              <w:rPr>
                <w:rFonts w:ascii="Arial" w:hAnsi="Arial" w:cs="Arial"/>
              </w:rPr>
              <w:t>cotoxicological field study based on the chemical analysis of seabird eggs collected from protected coastal ecosystems</w:t>
            </w:r>
            <w:r w:rsidRPr="00313E9A">
              <w:rPr>
                <w:rFonts w:ascii="Arial" w:eastAsia="Calibri" w:hAnsi="Arial" w:cs="Arial"/>
                <w:szCs w:val="22"/>
              </w:rPr>
              <w:t>.</w:t>
            </w:r>
          </w:p>
          <w:p w14:paraId="612978B4" w14:textId="77777777" w:rsidR="00323441" w:rsidRPr="00313E9A" w:rsidRDefault="00323441" w:rsidP="00323441">
            <w:pPr>
              <w:jc w:val="both"/>
              <w:rPr>
                <w:rFonts w:ascii="Arial" w:hAnsi="Arial" w:cs="Arial"/>
              </w:rPr>
            </w:pPr>
            <w:r w:rsidRPr="00313E9A">
              <w:rPr>
                <w:rFonts w:ascii="Arial" w:eastAsia="Calibri" w:hAnsi="Arial" w:cs="Arial"/>
                <w:b/>
                <w:szCs w:val="22"/>
              </w:rPr>
              <w:t>Place and Duration of Study:</w:t>
            </w:r>
            <w:r w:rsidRPr="00313E9A">
              <w:rPr>
                <w:rFonts w:ascii="Arial" w:eastAsia="Calibri" w:hAnsi="Arial" w:cs="Arial"/>
                <w:szCs w:val="22"/>
              </w:rPr>
              <w:t xml:space="preserve"> This study was carried out in </w:t>
            </w:r>
            <w:r w:rsidRPr="00313E9A">
              <w:rPr>
                <w:rFonts w:ascii="Arial" w:hAnsi="Arial" w:cs="Arial"/>
              </w:rPr>
              <w:t>Langue de Barbarie National Park (PNLB) and Saloum Delta National Park (PNDS) in Senegal.  Sampling was conducted during the breeding season in June 2019</w:t>
            </w:r>
            <w:r w:rsidRPr="00313E9A">
              <w:rPr>
                <w:rFonts w:ascii="Arial" w:eastAsia="Calibri" w:hAnsi="Arial" w:cs="Arial"/>
                <w:szCs w:val="22"/>
              </w:rPr>
              <w:t>.</w:t>
            </w:r>
          </w:p>
          <w:p w14:paraId="0F087A25" w14:textId="77777777" w:rsidR="00323441" w:rsidRPr="00313E9A" w:rsidRDefault="00323441" w:rsidP="00323441">
            <w:pPr>
              <w:jc w:val="both"/>
              <w:rPr>
                <w:rFonts w:ascii="Arial" w:hAnsi="Arial" w:cs="Arial"/>
              </w:rPr>
            </w:pPr>
            <w:r w:rsidRPr="00313E9A">
              <w:rPr>
                <w:rFonts w:ascii="Arial" w:eastAsia="Calibri" w:hAnsi="Arial" w:cs="Arial"/>
                <w:b/>
                <w:bCs/>
                <w:szCs w:val="22"/>
              </w:rPr>
              <w:t>Methodology:</w:t>
            </w:r>
            <w:r w:rsidRPr="00313E9A">
              <w:rPr>
                <w:rFonts w:ascii="Arial" w:eastAsia="Calibri" w:hAnsi="Arial" w:cs="Arial"/>
                <w:szCs w:val="22"/>
              </w:rPr>
              <w:t xml:space="preserve"> </w:t>
            </w:r>
            <w:r w:rsidRPr="00313E9A">
              <w:rPr>
                <w:rFonts w:ascii="Arial" w:hAnsi="Arial" w:cs="Arial"/>
              </w:rPr>
              <w:t>Ten eggs per species were collected in each park. Eggshells and egg contents were analyzed separately. Trace metals (Pb, Cd, and Hg) were quantified using atomic absorption spectrometry, whereas the 16 priority PAHs identified by the US EPA were determined by gas chromatography-mass spectrometry. Quality assurance and quality control procedures included calibration verification and recovery tests. Statistical comparisons were performed using Wilcoxon non-parametric tests</w:t>
            </w:r>
            <w:r w:rsidRPr="00313E9A">
              <w:rPr>
                <w:rFonts w:ascii="Arial" w:eastAsia="Calibri" w:hAnsi="Arial" w:cs="Arial"/>
                <w:szCs w:val="22"/>
              </w:rPr>
              <w:t>.</w:t>
            </w:r>
          </w:p>
          <w:p w14:paraId="53428E5E" w14:textId="77777777" w:rsidR="00323441" w:rsidRPr="00313E9A" w:rsidRDefault="00323441" w:rsidP="00323441">
            <w:pPr>
              <w:jc w:val="both"/>
              <w:rPr>
                <w:rFonts w:ascii="Arial" w:hAnsi="Arial" w:cs="Arial"/>
              </w:rPr>
            </w:pPr>
            <w:r w:rsidRPr="00313E9A">
              <w:rPr>
                <w:rFonts w:ascii="Arial" w:eastAsia="Calibri" w:hAnsi="Arial" w:cs="Arial"/>
                <w:b/>
                <w:bCs/>
                <w:szCs w:val="22"/>
              </w:rPr>
              <w:t>Results:</w:t>
            </w:r>
            <w:r w:rsidRPr="00313E9A">
              <w:rPr>
                <w:rFonts w:ascii="Arial" w:eastAsia="Calibri" w:hAnsi="Arial" w:cs="Arial"/>
                <w:szCs w:val="22"/>
              </w:rPr>
              <w:t xml:space="preserve"> </w:t>
            </w:r>
            <w:r w:rsidRPr="00313E9A">
              <w:rPr>
                <w:rFonts w:ascii="Arial" w:hAnsi="Arial" w:cs="Arial"/>
              </w:rPr>
              <w:t xml:space="preserve">Lead was the predominant trace metal in all samples, reaching 1.53 ± 0.30 mg/kg </w:t>
            </w:r>
            <w:proofErr w:type="spellStart"/>
            <w:r w:rsidRPr="00313E9A">
              <w:rPr>
                <w:rFonts w:ascii="Arial" w:hAnsi="Arial" w:cs="Arial"/>
              </w:rPr>
              <w:t>dw</w:t>
            </w:r>
            <w:proofErr w:type="spellEnd"/>
            <w:r w:rsidRPr="00313E9A">
              <w:rPr>
                <w:rFonts w:ascii="Arial" w:hAnsi="Arial" w:cs="Arial"/>
              </w:rPr>
              <w:t xml:space="preserve"> in royal tern eggshells from PNDS. Cadmium occurred at moderate concentrations, while mercury was detected mainly in egg contents. Royal terns generally exhibited higher trace metal concentrations than grey-headed gulls. Total PAH concentrations were highest in royal tern eggs from PNLB (0.895 mg/kg </w:t>
            </w:r>
            <w:proofErr w:type="spellStart"/>
            <w:r w:rsidRPr="00313E9A">
              <w:rPr>
                <w:rFonts w:ascii="Arial" w:hAnsi="Arial" w:cs="Arial"/>
              </w:rPr>
              <w:t>dw</w:t>
            </w:r>
            <w:proofErr w:type="spellEnd"/>
            <w:r w:rsidRPr="00313E9A">
              <w:rPr>
                <w:rFonts w:ascii="Arial" w:hAnsi="Arial" w:cs="Arial"/>
              </w:rPr>
              <w:t xml:space="preserve"> in eggshells and 0.802 mg/kg ww in egg contents) and in grey-headed gull egg contents from PNDS (0.752 mg/kg ww). Benzo(a)pyrene was the dominant PAH in most egg contents. Low-molecular-weight PAHs accumulated preferentially in eggshells, whereas heavier compounds were concentrated in egg contents</w:t>
            </w:r>
            <w:r w:rsidRPr="00313E9A">
              <w:rPr>
                <w:rFonts w:ascii="Arial" w:eastAsia="Calibri" w:hAnsi="Arial" w:cs="Arial"/>
                <w:szCs w:val="22"/>
              </w:rPr>
              <w:t>.</w:t>
            </w:r>
          </w:p>
          <w:p w14:paraId="3B5C9D71" w14:textId="77777777" w:rsidR="00323441" w:rsidRPr="00313E9A" w:rsidRDefault="00323441" w:rsidP="00323441">
            <w:pPr>
              <w:jc w:val="both"/>
              <w:rPr>
                <w:rFonts w:ascii="Arial" w:hAnsi="Arial" w:cs="Arial"/>
              </w:rPr>
            </w:pPr>
            <w:r w:rsidRPr="00313E9A">
              <w:rPr>
                <w:rFonts w:ascii="Arial" w:eastAsia="Calibri" w:hAnsi="Arial" w:cs="Arial"/>
                <w:b/>
                <w:bCs/>
                <w:szCs w:val="22"/>
              </w:rPr>
              <w:t>Conclusion:</w:t>
            </w:r>
            <w:r w:rsidRPr="00313E9A">
              <w:rPr>
                <w:rFonts w:ascii="Arial" w:eastAsia="Calibri" w:hAnsi="Arial" w:cs="Arial"/>
                <w:szCs w:val="22"/>
              </w:rPr>
              <w:t xml:space="preserve"> </w:t>
            </w:r>
            <w:r w:rsidRPr="00313E9A">
              <w:rPr>
                <w:rFonts w:ascii="Arial" w:hAnsi="Arial" w:cs="Arial"/>
              </w:rPr>
              <w:t>Seabird eggs proved to be effective bioindicators of chemical contamination in Senegalese coastal ecosystems. The detected levels of trace metals and PAHs provide valuable baseline information for future environmental monitoring and impact assessments in the context of expanding offshore oil and gas activities</w:t>
            </w:r>
            <w:r w:rsidRPr="00313E9A">
              <w:rPr>
                <w:rFonts w:ascii="Arial" w:eastAsia="Calibri" w:hAnsi="Arial" w:cs="Arial"/>
                <w:szCs w:val="22"/>
              </w:rPr>
              <w:t>.</w:t>
            </w:r>
          </w:p>
        </w:tc>
      </w:tr>
    </w:tbl>
    <w:p w14:paraId="7D40014B" w14:textId="77777777" w:rsidR="00B01FCD" w:rsidRDefault="00B01FCD" w:rsidP="00441B6F">
      <w:pPr>
        <w:pStyle w:val="Copyright"/>
        <w:spacing w:after="0" w:line="240" w:lineRule="auto"/>
        <w:jc w:val="both"/>
        <w:rPr>
          <w:rFonts w:ascii="Arial" w:hAnsi="Arial" w:cs="Arial"/>
        </w:rPr>
      </w:pPr>
    </w:p>
    <w:p w14:paraId="1B7E9129" w14:textId="77777777" w:rsidR="00323441" w:rsidRPr="00313E9A" w:rsidRDefault="00323441" w:rsidP="00323441">
      <w:pPr>
        <w:pStyle w:val="Body"/>
        <w:spacing w:after="0"/>
        <w:rPr>
          <w:rFonts w:ascii="Arial" w:hAnsi="Arial" w:cs="Arial"/>
          <w:i/>
        </w:rPr>
      </w:pPr>
      <w:r w:rsidRPr="00323441">
        <w:rPr>
          <w:rFonts w:ascii="Arial" w:hAnsi="Arial" w:cs="Arial"/>
          <w:b/>
          <w:i/>
        </w:rPr>
        <w:t>Keywords:</w:t>
      </w:r>
      <w:r w:rsidRPr="00313E9A">
        <w:rPr>
          <w:rFonts w:ascii="Arial" w:hAnsi="Arial" w:cs="Arial"/>
          <w:i/>
        </w:rPr>
        <w:t xml:space="preserve"> Contamination, Eggshells, Egg contents, Parks, Seabirds, Senegal.</w:t>
      </w:r>
    </w:p>
    <w:p w14:paraId="61938F8F" w14:textId="77777777" w:rsidR="00323441" w:rsidRPr="00323441" w:rsidRDefault="00323441" w:rsidP="00323441">
      <w:pPr>
        <w:sectPr w:rsidR="00323441" w:rsidRPr="00323441" w:rsidSect="0065115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17" w:right="1417" w:bottom="1417" w:left="1417" w:header="720" w:footer="1296" w:gutter="0"/>
          <w:cols w:space="720"/>
          <w:docGrid w:linePitch="272"/>
        </w:sectPr>
      </w:pPr>
    </w:p>
    <w:p w14:paraId="74F74D98" w14:textId="77777777" w:rsidR="007F7B32" w:rsidRPr="00313E9A" w:rsidRDefault="00902823" w:rsidP="00441B6F">
      <w:pPr>
        <w:pStyle w:val="AbstHead"/>
        <w:spacing w:after="0"/>
        <w:jc w:val="both"/>
        <w:rPr>
          <w:rFonts w:ascii="Arial" w:hAnsi="Arial" w:cs="Arial"/>
        </w:rPr>
      </w:pPr>
      <w:r w:rsidRPr="00313E9A">
        <w:rPr>
          <w:rFonts w:ascii="Arial" w:hAnsi="Arial" w:cs="Arial"/>
        </w:rPr>
        <w:lastRenderedPageBreak/>
        <w:t xml:space="preserve">1. </w:t>
      </w:r>
      <w:r w:rsidR="00B01FCD" w:rsidRPr="00313E9A">
        <w:rPr>
          <w:rFonts w:ascii="Arial" w:hAnsi="Arial" w:cs="Arial"/>
        </w:rPr>
        <w:t>INTRODUCTION</w:t>
      </w:r>
    </w:p>
    <w:p w14:paraId="4E68A898" w14:textId="1C0BDDA9" w:rsidR="00602864" w:rsidRPr="00313E9A" w:rsidRDefault="00602864" w:rsidP="00602864">
      <w:pPr>
        <w:spacing w:before="100" w:beforeAutospacing="1" w:after="120"/>
        <w:jc w:val="both"/>
        <w:rPr>
          <w:rFonts w:ascii="Arial" w:hAnsi="Arial" w:cs="Arial"/>
        </w:rPr>
      </w:pPr>
      <w:bookmarkStart w:id="1" w:name="OLE_LINK1"/>
      <w:bookmarkStart w:id="2" w:name="OLE_LINK2"/>
      <w:r w:rsidRPr="00313E9A">
        <w:rPr>
          <w:rFonts w:ascii="Arial" w:hAnsi="Arial" w:cs="Arial"/>
        </w:rPr>
        <w:t xml:space="preserve">Coastal and estuarine ecosystems are among the most productive and biologically diverse environments worldwide. They provide essential habitats for numerous marine and terrestrial species and support important ecological functions, including nutrient cycling, fisheries production, and biodiversity conservation. Despite their ecological significance, these ecosystems are increasingly exposed to anthropogenic pressures such as urbanization, industrial activities, agricultural runoff, maritime transport, and climate change, all of which contribute to environmental degradation and contamination </w:t>
      </w:r>
      <w:r w:rsidRPr="00313E9A">
        <w:rPr>
          <w:rFonts w:ascii="Arial" w:hAnsi="Arial" w:cs="Arial"/>
        </w:rPr>
        <w:fldChar w:fldCharType="begin"/>
      </w:r>
      <w:r w:rsidRPr="00313E9A">
        <w:rPr>
          <w:rFonts w:ascii="Arial" w:hAnsi="Arial" w:cs="Arial"/>
        </w:rPr>
        <w:instrText xml:space="preserve"> ADDIN ZOTERO_ITEM CSL_CITATION {"citationID":"ugwlskoh","properties":{"formattedCitation":"(Barbier et al., 2011; Duarte et al., 2020; Halpern et al., 2019)","plainCitation":"(Barbier et al., 2011; Duarte et al., 2020; Halpern et al., 2019)","noteIndex":0},"citationItems":[{"id":236,"uris":["http://zotero.org/users/18107686/items/46B25PAK"],"itemData":{"id":236,"type":"article-journal","abstract":"The global decline in estuarine and coastal ecosystems (ECEs) is affecting a number of critical benefits, or ecosystem services. We review the main ecological services across a variety of ECEs, including marshes, mangroves, nearshore coral reefs, seagrass beds, and sand beaches and dunes. Where possible, we indicate estimates of the key economic values arising from these services, and discuss how the natural variability of ECEs impacts their benefits, the synergistic relationships of ECEs across seascapes, and management implications. Although reliable valuation estimates are beginning to emerge for the key services of some ECEs, such as coral reefs, salt marshes, and mangroves, many of the important benefits of seagrass beds and sand dunes and beaches have not been assessed properly. Even for coral reefs, marshes, and mangroves, important ecological services have yet to be valued reliably, such as cross-ecosystem nutrient transfer (coral reefs), erosion control (marshes), and pollution control (mangroves). An important issue for valuing certain ECE services, such as coastal protection and habitat–fishery linkages, is that the ecological functions underlying these services vary spatially and temporally. Allowing for the connectivity between ECE habitats also may have important implications for assessing the ecological functions underlying key ecosystems services, such coastal protection, control of erosion, and habitat–fishery linkages. Finally, we conclude by suggesting an action plan for protecting and/or enhancing the immediate and longer-term values of ECE services. Because the connectivity of ECEs across land–sea gradients also influences the provision of certain ecosystem services, management of the entire seascape will be necessary to preserve such synergistic effects. Other key elements of an action plan include further ecological and economic collaborative research on valuing ECE services, improving institutional and legal frameworks for management, controlling and regulating destructive economic activities, and developing ecological restoration options.","container-title":"Ecological Monographs","DOI":"10.1890/10-1510.1","ISSN":"1557-7015","issue":"2","language":"en","license":"© 2011 by the Ecological Society of America","note":"_eprint: https://esajournals.onlinelibrary.wiley.com/doi/pdf/10.1890/10-1510.1","page":"169-193","source":"Wiley Online Library","title":"The value of estuarine and coastal ecosystem services","volume":"81","author":[{"family":"Barbier","given":"Edward B."},{"family":"Hacker","given":"Sally D."},{"family":"Kennedy","given":"Chris"},{"family":"Koch","given":"Evamaria W."},{"family":"Stier","given":"Adrian C."},{"family":"Silliman","given":"Brian R."}],"issued":{"date-parts":[["2011"]]}}},{"id":323,"uris":["http://zotero.org/users/18107686/items/7HZHEHH5"],"itemData":{"id":323,"type":"article-journal","abstract":"Sustainable Development Goal 14 of the United Nations aims to “conserve and sustainably use the oceans, seas and marine resources for sustainable development”. Achieving this goal will require rebuilding the marine life-support systems that deliver the many benefits that society receives from a healthy ocean. Here we document the recovery of marine populations, habitats and ecosystems following past conservation interventions. Recovery rates across studies suggest that substantial recovery of the abundance, structure and function of marine life could be achieved by 2050, if major pressures—including climate change—are mitigated. Rebuilding marine life represents a doable Grand Challenge for humanity, an ethical obligation and a smart economic objective to achieve a sustainable future.","container-title":"Nature","DOI":"10.1038/s41586-020-2146-7","ISSN":"1476-4687","issue":"7801","language":"en","license":"2020 The Author(s), under exclusive licence to Springer Nature Limited","page":"39-51","publisher":"Nature Publishing Group","source":"www.nature.com","title":"Rebuilding marine life","volume":"580","author":[{"family":"Duarte","given":"Carlos M."},{"family":"Agusti","given":"Susana"},{"family":"Barbier","given":"Edward"},{"family":"Britten","given":"Gregory L."},{"family":"Castilla","given":"Juan Carlos"},{"family":"Gattuso","given":"Jean-Pierre"},{"family":"Fulweiler","given":"Robinson W."},{"family":"Hughes","given":"Terry P."},{"family":"Knowlton","given":"Nancy"},{"family":"Lovelock","given":"Catherine E."},{"family":"Lotze","given":"Heike K."},{"family":"Predragovic","given":"Milica"},{"family":"Poloczanska","given":"Elvira"},{"family":"Roberts","given":"Callum"},{"family":"Worm","given":"Boris"}],"issued":{"date-parts":[["2020",4]]}}},{"id":266,"uris":["http://zotero.org/users/18107686/items/RATGKBFN"],"itemData":{"id":266,"type":"article-journal","abstract":"Humans interact with the oceans in diverse and profound ways. The scope, magnitude, footprint and ultimate cumulative impacts of human activities can threaten ocean ecosystems and have changed over time, resulting in new challenges and threats to marine ecosystems. A fundamental gap in understanding how humanity is affecting the oceans is our limited knowledge about the pace of change in cumulative impact on ocean ecosystems from expanding human activities – and the patterns, locations and drivers of most significant change. To help address this, we combined high resolution, annual data on the intensity of 14 human stressors and their impact on 21 marine ecosystems over 11 years (2003–2013) to assess pace of change in cumulative impacts on global oceans, where and how much that pace differs across the ocean, and which stressors and their impacts contribute most to those changes. We found that most of the ocean (59%) is experiencing significantly increasing cumulative impact, in particular due to climate change but also from fishing, land-based pollution and shipping. Nearly all countries saw increases in cumulative impacts in their coastal waters, as did all ecosystems, with coral reefs, seagrasses and mangroves at most risk. Mitigation of stressors most contributing to increases in overall cumulative impacts is urgently needed to sustain healthy oceans.","container-title":"Scientific Reports","DOI":"10.1038/s41598-019-47201-9","ISSN":"2045-2322","issue":"1","journalAbbreviation":"Sci Rep","language":"en","license":"2019 The Author(s)","page":"11609","publisher":"Nature Publishing Group","source":"www.nature.com","title":"Recent pace of change in human impact on the world’s ocean","volume":"9","author":[{"family":"Halpern","given":"Benjamin S."},{"family":"Frazier","given":"Melanie"},{"family":"Afflerbach","given":"Jamie"},{"family":"Lowndes","given":"Julia S."},{"family":"Micheli","given":"Fiorenza"},{"family":"O’Hara","given":"Casey"},{"family":"Scarborough","given":"Courtney"},{"family":"Selkoe","given":"Kimberly A."}],"issued":{"date-parts":[["2019",8,12]]}}}],"schema":"https://github.com/citation-style-language/schema/raw/master/csl-citation.json"} </w:instrText>
      </w:r>
      <w:r w:rsidRPr="00313E9A">
        <w:rPr>
          <w:rFonts w:ascii="Arial" w:hAnsi="Arial" w:cs="Arial"/>
        </w:rPr>
        <w:fldChar w:fldCharType="separate"/>
      </w:r>
      <w:r w:rsidR="00193A80">
        <w:rPr>
          <w:rFonts w:ascii="Arial" w:hAnsi="Arial" w:cs="Arial"/>
        </w:rPr>
        <w:t>(</w:t>
      </w:r>
      <w:proofErr w:type="spellStart"/>
      <w:r w:rsidR="00193A80">
        <w:rPr>
          <w:rFonts w:ascii="Arial" w:hAnsi="Arial" w:cs="Arial"/>
        </w:rPr>
        <w:t>Barbier</w:t>
      </w:r>
      <w:proofErr w:type="spellEnd"/>
      <w:r w:rsidR="00193A80">
        <w:rPr>
          <w:rFonts w:ascii="Arial" w:hAnsi="Arial" w:cs="Arial"/>
        </w:rPr>
        <w:t xml:space="preserve"> et al., 2011; Duarte et al., 2020; Halpern et al., 2019)</w:t>
      </w:r>
      <w:r w:rsidRPr="00313E9A">
        <w:rPr>
          <w:rFonts w:ascii="Arial" w:hAnsi="Arial" w:cs="Arial"/>
        </w:rPr>
        <w:fldChar w:fldCharType="end"/>
      </w:r>
      <w:r w:rsidRPr="00313E9A">
        <w:rPr>
          <w:rFonts w:ascii="Arial" w:hAnsi="Arial" w:cs="Arial"/>
        </w:rPr>
        <w:t>.</w:t>
      </w:r>
    </w:p>
    <w:p w14:paraId="2018AA1C" w14:textId="7ACD8B3D" w:rsidR="00602864" w:rsidRPr="00313E9A" w:rsidRDefault="00602864" w:rsidP="00602864">
      <w:pPr>
        <w:spacing w:before="100" w:beforeAutospacing="1" w:after="120"/>
        <w:jc w:val="both"/>
        <w:rPr>
          <w:rFonts w:ascii="Arial" w:hAnsi="Arial" w:cs="Arial"/>
        </w:rPr>
      </w:pPr>
      <w:r w:rsidRPr="00313E9A">
        <w:rPr>
          <w:rFonts w:ascii="Arial" w:hAnsi="Arial" w:cs="Arial"/>
        </w:rPr>
        <w:t xml:space="preserve">Among environmental contaminants, trace metals have attracted considerable attention because of their persistence, toxicity, and capacity to bioaccumulate in food webs. Elements such as mercury (Hg), cadmium (Cd), lead (Pb), and Polycyclic Aromatic Hydrocarbons (PAHs) are introduced into marine environments through both natural processes and human activities, including mining, industrial emissions, fossil fuel combustion, agriculture, and shipping operations </w:t>
      </w:r>
      <w:r w:rsidRPr="00313E9A">
        <w:rPr>
          <w:rFonts w:ascii="Arial" w:hAnsi="Arial" w:cs="Arial"/>
        </w:rPr>
        <w:fldChar w:fldCharType="begin"/>
      </w:r>
      <w:r w:rsidRPr="00313E9A">
        <w:rPr>
          <w:rFonts w:ascii="Arial" w:hAnsi="Arial" w:cs="Arial"/>
        </w:rPr>
        <w:instrText xml:space="preserve"> ADDIN ZOTERO_ITEM CSL_CITATION {"citationID":"tiObPBzE","properties":{"formattedCitation":"(Motlagh et al., 2025; Uddin &amp; Xu, 2024)","plainCitation":"(Motlagh et al., 2025; Uddin &amp; Xu, 2024)","noteIndex":0},"citationItems":[{"id":288,"uris":["http://zotero.org/users/18107686/items/RGPI55EB"],"itemData":{"id":288,"type":"article-journal","abstract":"Coastal areas are vital for their ecosystem services, but rapid urbanization and industrialization in these regions present significant challenges, particularly with heavy metal pollution and microplastics. This research focuses on thoroughly investigating heavy metals (HMs), microplastics, and how marine pollution affects ecosystem services. As microplastic (MPs) pollution becomes an increasingly concerning environmental issue, understanding its ecological impact is essential for effective pollution control. The toxicity of MPs in marine ecosystems is exacerbated by their interactions with other pollutants, such as HMs resulting from human activities. A comprehensive review of English-language articles in the Scopus database, covering the years 2010–2024, was conducted with a focus on heavy metals and microplastics in marine environments. The search utilized keywords like \"marine pollution\" and \"risk assessment,\" alongside specific terms like \"microplastic\" and \"heavy metals,\" to capture a broad range of marine pollution topics and their effects on aquatic and coastal ecosystems. The strategy targeted articles mentioning interventions in their abstracts or keywords, leading to the identification of 207 relevant studies. The data collected were then analyzed using VOSviewer software for deeper insights. This research underscores the potential ecological risks posed by MPs and HMs to marine life, while also highlighting the importance of environmental conservation within the framework of sustainable development. Addressing pollution effectively requires a detailed analysis of MPs, a thorough examination of pollution sources, an assessment of their ecological impacts, and the formulation of effective reduction strategies. This study provides a theoretical foundation that fills a crucial research gap, offering valuable insights into pollution in coastal and marine environments.","container-title":"Environmental Development","DOI":"10.1016/j.envdev.2024.101132","ISSN":"2211-4645","journalAbbreviation":"Environmental Development","page":"101132","source":"ScienceDirect","title":"Microplastics and heavy metals in the coastal areas: Marine health assessment and ecosystem services values","title-short":"Microplastics and heavy metals in the coastal areas","volume":"54","author":[{"family":"Motlagh","given":"Zeynab Karimzadeh"},{"family":"Tavakoli","given":"Mortaza"},{"family":"Sayadi","given":"Mohammad Hossein"}],"issued":{"date-parts":[["2025",6,1]]}}},{"id":315,"uris":["http://zotero.org/users/18107686/items/S3BGD3HG"],"itemData":{"id":315,"type":"article-journal","abstract":"Polycyclic aromatic hydrocarbons (PAHs) pollution has emerged as a significant environmental issue in Bangladesh in the recent years, driven by both e...","container-title":"Atmosphere","DOI":"10.3390/atmos15020233","ISSN":"2073-4433","issue":"2","language":"en","license":"http://creativecommons.org/licenses/by/3.0/","publisher":"publisher","source":"www.mdpi.com","title":"Sources, Occurrences, and Risks of Polycyclic Aromatic Hydro-Carbons (PAHs) in Bangladesh: A Review of Current Status","title-short":"Sources, Occurrences, and Risks of Polycyclic Aromatic Hydro-Carbons (PAHs) in Bangladesh","URL":"https://www.mdpi.com/2073-4433/15/2/233","volume":"15","author":[{"family":"Uddin","given":"Mohammad Mazbah"},{"family":"Xu","given":"Fuliu"}],"accessed":{"date-parts":[["2026",2,20]]},"issued":{"date-parts":[["2024",2,14]]}}}],"schema":"https://github.com/citation-style-language/schema/raw/master/csl-citation.json"} </w:instrText>
      </w:r>
      <w:r w:rsidRPr="00313E9A">
        <w:rPr>
          <w:rFonts w:ascii="Arial" w:hAnsi="Arial" w:cs="Arial"/>
        </w:rPr>
        <w:fldChar w:fldCharType="separate"/>
      </w:r>
      <w:r w:rsidR="00193A80">
        <w:rPr>
          <w:rFonts w:ascii="Arial" w:hAnsi="Arial" w:cs="Arial"/>
        </w:rPr>
        <w:t>(</w:t>
      </w:r>
      <w:proofErr w:type="spellStart"/>
      <w:r w:rsidR="00193A80">
        <w:rPr>
          <w:rFonts w:ascii="Arial" w:hAnsi="Arial" w:cs="Arial"/>
        </w:rPr>
        <w:t>Motlagh</w:t>
      </w:r>
      <w:proofErr w:type="spellEnd"/>
      <w:r w:rsidR="00193A80">
        <w:rPr>
          <w:rFonts w:ascii="Arial" w:hAnsi="Arial" w:cs="Arial"/>
        </w:rPr>
        <w:t xml:space="preserve"> et al., 2025; Uddin &amp; Xu, 2024)</w:t>
      </w:r>
      <w:r w:rsidRPr="00313E9A">
        <w:rPr>
          <w:rFonts w:ascii="Arial" w:hAnsi="Arial" w:cs="Arial"/>
        </w:rPr>
        <w:fldChar w:fldCharType="end"/>
      </w:r>
      <w:r w:rsidRPr="00313E9A">
        <w:rPr>
          <w:rFonts w:ascii="Arial" w:hAnsi="Arial" w:cs="Arial"/>
        </w:rPr>
        <w:t xml:space="preserve">. Once released, these contaminants can accumulate in sediments and aquatic organisms and may </w:t>
      </w:r>
      <w:proofErr w:type="spellStart"/>
      <w:r w:rsidRPr="00313E9A">
        <w:rPr>
          <w:rFonts w:ascii="Arial" w:hAnsi="Arial" w:cs="Arial"/>
        </w:rPr>
        <w:t>biomagnify</w:t>
      </w:r>
      <w:proofErr w:type="spellEnd"/>
      <w:r w:rsidRPr="00313E9A">
        <w:rPr>
          <w:rFonts w:ascii="Arial" w:hAnsi="Arial" w:cs="Arial"/>
        </w:rPr>
        <w:t xml:space="preserve"> across trophic levels, posing risks to wildlife and ecosystem health </w:t>
      </w:r>
      <w:r w:rsidRPr="00313E9A">
        <w:rPr>
          <w:rFonts w:ascii="Arial" w:hAnsi="Arial" w:cs="Arial"/>
        </w:rPr>
        <w:fldChar w:fldCharType="begin"/>
      </w:r>
      <w:r w:rsidRPr="00313E9A">
        <w:rPr>
          <w:rFonts w:ascii="Arial" w:hAnsi="Arial" w:cs="Arial"/>
        </w:rPr>
        <w:instrText xml:space="preserve"> ADDIN ZOTERO_ITEM CSL_CITATION {"citationID":"U08sdjm3","properties":{"formattedCitation":"(Ashkoo et al., 2020; Venkadeshwaran et al., 2025)","plainCitation":"(Ashkoo et al., 2020; Venkadeshwaran et al., 2025)","noteIndex":0},"citationItems":[{"id":233,"uris":["http://zotero.org/users/18107686/items/EFCCFHIJ"],"itemData":{"id":233,"type":"article-journal","abstract":"The Persian Gulf, the most important marine ecosystem, and its islands are negatively impacted by development and pollution. Different types of pollution, especially heavy metals in these habitats, may create risks to birds, influencing reproductive performance, survival, and behaviors. Heavy metals (Cd, Pb, Cr) were analyzed in two long-lived and top food web–level sea birds, Lesser (Thalasseus bengalensis) and Greater Crested Tern (Thalasseus bergii). The research was carried out during 2018 on Nakhiloo Island, located in Dayyer-Nakhiloo Marine National Park, northeastern Persian Gulf, Iran. The nests were selected randomly, and 40 eggs of colonially-nesting terns (20 eggs T. bengalensis and 20 eggs T. bergii; a single egg per nest) were collected. The concentration of heavy metals in eggshells and egg contents was studied to investigate whether bioaccumulation varies between the eggshells and egg contents and also varies in both species. There were significant differences in the amounts of Cd between eggshell and egg content in the Greater and Lesser Crested Tern. This difference was not significant in the concentrations of Pb between the eggshell and egg content in the Tern species. Concentration of Cr did not appear to accumulate in the egg content and was below detection limit. There were significant differences in the concentrations of Cd in the eggshells and egg content between the Greater and Lesser Crested Tern. The results serve to improve understanding and to evaluate the dynamics of heavy metals in eggshells and egg content in various avian species.","container-title":"Marine Pollution Bulletin","DOI":"10.1016/j.marpolbul.2020.111126","ISSN":"0025-326X","journalAbbreviation":"Marine Pollution Bulletin","page":"111126","source":"ScienceDirect","title":"Bioaccumulation of heavy metals in eggshell and egg content of seabirds: Lesser (&lt;i&gt;Thalasseus bengalensis&lt;/i&gt;) and Greater Crested Tern (&lt;i&gt;Thalasseus bergii&lt;/i&gt;)","title-short":"Bioaccumulation of heavy metals in eggshell and egg content of seabirds","volume":"154","author":[{"family":"Ashkoo","given":"Amin"},{"family":"Amininasab","given":"Seyed Mehdi"},{"family":"Zamani-Ahmadmahmoodi","given":"Rasool"}],"issued":{"date-parts":[["2020",5,1]]}}},{"id":227,"uris":["http://zotero.org/users/18107686/items/BDWSI876"],"itemData":{"id":227,"type":"article-journal","abstract":"Research explores the contamination of aquatic ecosystems by various heavy metals and the potential health risks to humans from consuming fish. Twelve heavy metalloids were found in 200 samples of both wild and farmed fish species, including arsenic (As), cadmium (Cd), lead (Pb), mercury (Hg), nickel (Ni), copper (Cu), zinc (Zn), chromium (Cr), manganese (Mn), iron (Fe), aluminum (Al), and cobalt (Co). Several metals exceeded safe intake standards, and the research showed that contamination levels varied among species. Specifically, some fish species had greater concentrations of Hg and Pb, whereas the ones that lived in deeper, stagnant waters exhibited notable accumulations of Mn, Fe, and Co. The bioaccumulation of these contaminants might be facilitated by artificial feeding techniques and limited water conditions, as evidenced by the significant link between sediment pollution and metal accumulation in farmed fish. Because of the varied habitats and feeding habits, wild fish showed more varied contamination patterns. Although the majority of metals' target hazard quotients (THQs) were below acceptable bounds, several fish species showed higher Pb and Cd concentrations, which might be harmful to long-term health. A low risk of cancer was indicated by the carcinogenic risk indices for Ni, As, and Co getting below the safety threshold of 10</w:instrText>
      </w:r>
      <w:r w:rsidRPr="00313E9A">
        <w:rPr>
          <w:rFonts w:ascii="Cambria Math" w:hAnsi="Cambria Math" w:cs="Cambria Math"/>
        </w:rPr>
        <w:instrText>⁻</w:instrText>
      </w:r>
      <w:r w:rsidRPr="00313E9A">
        <w:rPr>
          <w:rFonts w:ascii="Arial" w:hAnsi="Arial" w:cs="Arial"/>
        </w:rPr>
        <w:instrText xml:space="preserve">⁴. The research underscores the need to monitor species with higher bioaccumulation susceptibility and reduce metal contamination in aquaculture. It emphasizes the need for further research on chronic heavy metal exposure, biological and environmental factors, and health implications.","container-title":"Natural and Engineering Sciences","DOI":"10.28978/nesciences.1643512","ISSN":"2458-8989","issue":"1","language":"en","page":"231-243","source":"DOI.org (Crossref)","title":"Exploring Heavy Metal Contamination in Aquatic Ecosystems and Its Implications for Fish Consumption","volume":"10","author":[{"family":"Venkadeshwaran","given":"Kuthalingam"},{"family":"Bibhu","given":"Vimal"},{"family":"Rani","given":"Ritu"},{"family":"Meher","given":"Kunal"}],"issued":{"date-parts":[["2025",4,1]]}}}],"schema":"https://github.com/citation-style-language/schema/raw/master/csl-citation.json"} </w:instrText>
      </w:r>
      <w:r w:rsidRPr="00313E9A">
        <w:rPr>
          <w:rFonts w:ascii="Arial" w:hAnsi="Arial" w:cs="Arial"/>
        </w:rPr>
        <w:fldChar w:fldCharType="separate"/>
      </w:r>
      <w:r w:rsidR="00193A80">
        <w:rPr>
          <w:rFonts w:ascii="Arial" w:hAnsi="Arial" w:cs="Arial"/>
        </w:rPr>
        <w:t>(</w:t>
      </w:r>
      <w:proofErr w:type="spellStart"/>
      <w:r w:rsidR="00193A80">
        <w:rPr>
          <w:rFonts w:ascii="Arial" w:hAnsi="Arial" w:cs="Arial"/>
        </w:rPr>
        <w:t>Ashkoo</w:t>
      </w:r>
      <w:proofErr w:type="spellEnd"/>
      <w:r w:rsidR="00193A80">
        <w:rPr>
          <w:rFonts w:ascii="Arial" w:hAnsi="Arial" w:cs="Arial"/>
        </w:rPr>
        <w:t xml:space="preserve"> et al., 2020; </w:t>
      </w:r>
      <w:proofErr w:type="spellStart"/>
      <w:r w:rsidR="00193A80">
        <w:rPr>
          <w:rFonts w:ascii="Arial" w:hAnsi="Arial" w:cs="Arial"/>
        </w:rPr>
        <w:t>Venkadeshwaran</w:t>
      </w:r>
      <w:proofErr w:type="spellEnd"/>
      <w:r w:rsidR="00193A80">
        <w:rPr>
          <w:rFonts w:ascii="Arial" w:hAnsi="Arial" w:cs="Arial"/>
        </w:rPr>
        <w:t xml:space="preserve"> et al., 2025)</w:t>
      </w:r>
      <w:r w:rsidRPr="00313E9A">
        <w:rPr>
          <w:rFonts w:ascii="Arial" w:hAnsi="Arial" w:cs="Arial"/>
        </w:rPr>
        <w:fldChar w:fldCharType="end"/>
      </w:r>
      <w:r w:rsidRPr="00313E9A">
        <w:rPr>
          <w:rFonts w:ascii="Arial" w:hAnsi="Arial" w:cs="Arial"/>
        </w:rPr>
        <w:t xml:space="preserve">. Exposure to elevated concentrations of these contaminants has been associated with oxidative stress, endocrine disruption, immunosuppression, reproductive impairment, and developmental abnormalities in birds and other marine organisms </w:t>
      </w:r>
      <w:r w:rsidRPr="00313E9A">
        <w:rPr>
          <w:rFonts w:ascii="Arial" w:hAnsi="Arial" w:cs="Arial"/>
        </w:rPr>
        <w:fldChar w:fldCharType="begin"/>
      </w:r>
      <w:r w:rsidRPr="00313E9A">
        <w:rPr>
          <w:rFonts w:ascii="Arial" w:hAnsi="Arial" w:cs="Arial"/>
        </w:rPr>
        <w:instrText xml:space="preserve"> ADDIN ZOTERO_ITEM CSL_CITATION {"citationID":"E84zkfvp","properties":{"formattedCitation":"(Oudi et al., 2019; Sonne et al., 2020)","plainCitation":"(Oudi et al., 2019; Sonne et al., 2020)","noteIndex":0},"citationItems":[{"id":290,"uris":["http://zotero.org/users/18107686/items/WVU66VHS"],"itemData":{"id":290,"type":"article-journal","abstract":"Aquatic wildlife is exposed through trophic transfer of hazardous substances to several threats inducing physiological impairments. We aimed at assessing the impact of contamination in one of the hot spots of pollution along Mediterranean coasts, the gulf of Gabes in Tunisia, on Common tern Sterna hirundo, a piscivorous top predator bird. Firstly, we compared the reproductive effort of breeding adults through clutch size distribution in three sites with different levels of pollution. Then, a battery of genotoxicity and oxidative stress biomarkers was carried out to assess physiological impairments in chicks. While defense mechanisms showed a depletion, lipid peroxidation and genotoxicity increased significantly according to pollution level. The multi-biomarker approach used here, discriminated chicks according to contamination degree of their nesting sites. Increases in genotoxicity and oxidative stress were correlated to a decrease in chick body mass known to lead to long-term impacts on juvenile survival and recruitment in birds.","container-title":"Marine Pollution Bulletin","DOI":"10.1016/j.marpolbul.2019.02.056","ISSN":"0025-326X","journalAbbreviation":"Marine Pollution Bulletin","page":"196-205","source":"ScienceDirect","title":"Physiological impacts of pollution exposure in seabird's progeny nesting in a Mediterranean contaminated area","volume":"142","author":[{"family":"Oudi","given":"Abir"},{"family":"Chokri","given":"Mohamed Ali"},{"family":"Hammouda","given":"Abdessalem"},{"family":"Chaabane","given":"Rim"},{"family":"Badraoui","given":"Riadh"},{"family":"Besnard","given":"Aurélien"},{"family":"Santos","given":"Raphaël"}],"issued":{"date-parts":[["2019",5,1]]}}},{"id":304,"uris":["http://zotero.org/users/18107686/items/KQ4XRKQT"],"itemData":{"id":304,"type":"article-journal","abstract":"Here we review contaminant exposure and related health effects in six selected Baltic key species. Sentinel species included are common eider, white-tailed eagle, harbour porpoise, harbour seal, ringed seal and grey seal. The review represents the first attempt of summarizing available information and baseline data for these biomonitoring key species exposed to industrial hazardous substances focusing on anthropogenic persistent organic pollutants (POPs). There was only limited information available for white-tailed eagles and common eider while extensive information exist on POP exposure and health effects in the four marine mammal species. Here we report organ-tissue endpoints (pathologies) and multiple biomarkers used to evaluate health and exposure of key species to POPs, respectively, over the past several decades during which episodes of significant population declines have been reported. Our review shows that POP exposure affects the reproductive system and survival through immune suppression and endocrine disruption, which have led to population-level effects on seals and white-tailed eagles in the Baltic. It is notable that many legacy contaminants, which have been banned for decades, still appear to affect Baltic wildlife. With respect to common eiders, changes in food composition, quality and contaminant exposure seem to have population effects which need to be investigated further, especially during the incubation period where the birds fast. Since new industrial contaminants continuously leak into the environment, we recommend continued monitoring of them in sentinel species in the Baltic, identifying possible effects linked to climate change, and modelling of population level effects of contaminants and climate change.","container-title":"Environment International","DOI":"10.1016/j.envint.2020.105725","ISSN":"0160-4120","journalAbbreviation":"Environment International","page":"105725","source":"ScienceDirect","title":"Health effects from contaminant exposure in Baltic Sea birds and marine mammals: A review","title-short":"Health effects from contaminant exposure in Baltic Sea birds and marine mammals","volume":"139","author":[{"family":"Sonne","given":"Christian"},{"family":"Siebert","given":"Ursula"},{"family":"Gonnsen","given":"Katharina"},{"family":"Desforges","given":"Jean-Pierre"},{"family":"Eulaers","given":"Igor"},{"family":"Persson","given":"Sara"},{"family":"Roos","given":"Anna"},{"family":"Bäcklin","given":"Britt-Marie"},{"family":"Kauhala","given":"Kaarina"},{"family":"Tange Olsen","given":"Morten"},{"family":"Harding","given":"Karin C."},{"family":"Treu","given":"Gabriele"},{"family":"Galatius","given":"Anders"},{"family":"Andersen-Ranberg","given":"Emilie"},{"family":"Gross","given":"Stephanie"},{"family":"Lakemeyer","given":"Jan"},{"family":"Lehnert","given":"Kristina"},{"family":"Lam","given":"Su Shiung"},{"family":"Peng","given":"Wanxi"},{"family":"Dietz","given":"Rune"}],"issued":{"date-parts":[["2020",6,1]]}}}],"schema":"https://github.com/citation-style-language/schema/raw/master/csl-citation.json"} </w:instrText>
      </w:r>
      <w:r w:rsidRPr="00313E9A">
        <w:rPr>
          <w:rFonts w:ascii="Arial" w:hAnsi="Arial" w:cs="Arial"/>
        </w:rPr>
        <w:fldChar w:fldCharType="separate"/>
      </w:r>
      <w:r w:rsidR="00193A80">
        <w:rPr>
          <w:rFonts w:ascii="Arial" w:hAnsi="Arial" w:cs="Arial"/>
        </w:rPr>
        <w:t>(</w:t>
      </w:r>
      <w:proofErr w:type="spellStart"/>
      <w:r w:rsidR="00193A80">
        <w:rPr>
          <w:rFonts w:ascii="Arial" w:hAnsi="Arial" w:cs="Arial"/>
        </w:rPr>
        <w:t>Oudi</w:t>
      </w:r>
      <w:proofErr w:type="spellEnd"/>
      <w:r w:rsidR="00193A80">
        <w:rPr>
          <w:rFonts w:ascii="Arial" w:hAnsi="Arial" w:cs="Arial"/>
        </w:rPr>
        <w:t xml:space="preserve"> et al., 2019; </w:t>
      </w:r>
      <w:proofErr w:type="spellStart"/>
      <w:r w:rsidR="00193A80">
        <w:rPr>
          <w:rFonts w:ascii="Arial" w:hAnsi="Arial" w:cs="Arial"/>
        </w:rPr>
        <w:t>Sonne</w:t>
      </w:r>
      <w:proofErr w:type="spellEnd"/>
      <w:r w:rsidR="00193A80">
        <w:rPr>
          <w:rFonts w:ascii="Arial" w:hAnsi="Arial" w:cs="Arial"/>
        </w:rPr>
        <w:t xml:space="preserve"> et al., 2020)</w:t>
      </w:r>
      <w:r w:rsidRPr="00313E9A">
        <w:rPr>
          <w:rFonts w:ascii="Arial" w:hAnsi="Arial" w:cs="Arial"/>
        </w:rPr>
        <w:fldChar w:fldCharType="end"/>
      </w:r>
      <w:r w:rsidRPr="00313E9A">
        <w:rPr>
          <w:rFonts w:ascii="Arial" w:hAnsi="Arial" w:cs="Arial"/>
        </w:rPr>
        <w:t>.</w:t>
      </w:r>
    </w:p>
    <w:p w14:paraId="6D42B44F" w14:textId="197A377F" w:rsidR="00602864" w:rsidRPr="00313E9A" w:rsidRDefault="00602864" w:rsidP="00602864">
      <w:pPr>
        <w:spacing w:before="100" w:beforeAutospacing="1" w:after="120"/>
        <w:jc w:val="both"/>
        <w:rPr>
          <w:rFonts w:ascii="Arial" w:hAnsi="Arial" w:cs="Arial"/>
          <w:lang w:val="fr-SN"/>
        </w:rPr>
      </w:pPr>
      <w:r w:rsidRPr="00313E9A">
        <w:rPr>
          <w:rFonts w:ascii="Arial" w:hAnsi="Arial" w:cs="Arial"/>
        </w:rPr>
        <w:t xml:space="preserve">Seabirds are widely recognized as effective bioindicators of marine pollution because of their high trophic position, longevity, broad foraging ranges, and sensitivity to environmental contaminants </w:t>
      </w:r>
      <w:r w:rsidRPr="00313E9A">
        <w:rPr>
          <w:rFonts w:ascii="Arial" w:hAnsi="Arial" w:cs="Arial"/>
        </w:rPr>
        <w:fldChar w:fldCharType="begin"/>
      </w:r>
      <w:r w:rsidRPr="00313E9A">
        <w:rPr>
          <w:rFonts w:ascii="Arial" w:hAnsi="Arial" w:cs="Arial"/>
        </w:rPr>
        <w:instrText xml:space="preserve"> ADDIN ZOTERO_ITEM CSL_CITATION {"citationID":"vehzY8ht","properties":{"formattedCitation":"(Burger, 2002; Carravieri et al., 2020; Esp\\uc0\\u237{}n et al., 2016; Lopes et al., 2022; Matos et al., 2023)","plainCitation":"(Burger, 2002; Carravieri et al., 2020; Espín et al., 2016; Lopes et al., 2022; Matos et al., 2023)","noteIndex":0},"citationItems":[{"id":244,"uris":["http://zotero.org/users/18107686/items/MJJACA72"],"itemData":{"id":244,"type":"article-journal","abstract":"There is an abundance of field data on levels of mercury in a wide variety of birds and on a suite of heavy metals in single species of birds, but few studies examine a suite of metals in a suite of birds that represent different trophic levels. Thus it is often difficult to determine whether food chain differences exist and have ecological relevance for the birds. In this paper I examine the levels of seven metals in the eggs of five species of marine birds that nest in Barnegat Bay, New Jersey to determine whether there are differences among species and whether such differences reflect food chain differences. There were significant differences among species for all metals, except cadmium, with black skimmers (Rynchops niger) having the highest levels of all metals except manganese and selenium. Metal concentrations in eggs mainly represented food chain differences. Mercury exhibited the greatest interspecific difference, with skimmer eggs having five times higher mercury levels than the eggs of great black-backed gulls (Larus marinus). Although there were significant interspecific differences in the other metals, they were generally less than an order of magnitude. There were few high, significant correlations among metals, although mercury was positively correlated with arsenic overall. Mean mercury levels exceeded the level known to adversely affect development in bird eggs for common (Sterna hirundo) and Forster's (Sterna forsterii) terns and for skimmers and exceeded the mean for eggs of fish-eating birds reported from 68 studies.","container-title":"Environmental Research","DOI":"10.1006/enrs.2002.4381","ISSN":"0013-9351","issue":"1","journalAbbreviation":"Environmental Research","page":"33-39","source":"ScienceDirect","title":"Food Chain Differences Affect Heavy Metals in Bird Eggs in Barnegat Bay, New Jersey","volume":"90","author":[{"family":"Burger","given":"Joanna"}],"issued":{"date-parts":[["2002",9,1]]}}},{"id":251,"uris":["http://zotero.org/users/18107686/items/769NIVA6"],"itemData":{"id":251,"type":"article-journal","abstract":"Seabirds from remote regions are mainly exposed to environmental contaminants from non-point contamination of their food webs. Pre-fledging seabird chicks are fed by their parents with marine prey captured in the vicinity of breeding colonies. Contaminant concentrations in tissues of pre-fledging chicks can thus be mostly related to local dietary sources, and have the potential to unravel spatial patterns of environmental contamination in marine ecosystems. Here, mercury (Hg), 13 other trace elements, and 18 persistent organic pollutants (POPs) were quantified in blood of chicks across four breeding locations that encompass a large latitudinal range in the southern Indian Ocean (from Antarctica, through subantarctic areas, to the subtropics), over a single breeding season. Thirteen species of penguins, albatrosses and petrels were studied, including endangered and near-threatened species, such as Amsterdam albatrosses and emperor penguins. Blood Hg burdens varied widely between species, with a factor of ~50 between the lowest and highest concentrations (mean ± SD, 0.05 ± 0.01 and 2.66 ± 0.81 µg g−1 dry weight, in thin-billed prions and Amsterdam albatrosses, respectively). Species relying on Antarctic waters for feeding had low Hg exposure. Concentrations of POPs were low in chicks, with the exception of hexachlorobenzene. Contaminant concentrations were mainly explained by species differences, but feeding habitat (inferred from δ13C values) and chicks’ body mass also contributed to explain variation. Collectively, our findings call for further toxicological investigations in Amsterdam albatrosses and small petrel species, because they were exposed to high and diverse sources of contaminants, and in macaroni penguins, which specifically showed very high selenium concentrations.\nCapsule\nSeabird chicks from four distant sites in the southern Indian Ocean had contrasted blood metallic and organic contaminant patterns depending on species, feeding habitat and body mass.","container-title":"Environment International","DOI":"10.1016/j.envint.2019.105225","ISSN":"0160-4120","journalAbbreviation":"Environment International","page":"105225","source":"ScienceDirect","title":"Trace elements and persistent organic pollutants in chicks of 13 seabird species from Antarctica to the subtropics","volume":"134","author":[{"family":"Carravieri","given":"Alice"},{"family":"Bustamante","given":"Paco"},{"family":"Labadie","given":"Pierre"},{"family":"Budzinski","given":"Hélène"},{"family":"Chastel","given":"Olivier"},{"family":"Cherel","given":"Yves"}],"issued":{"date-parts":[["2020",1,1]]}}},{"id":263,"uris":["http://zotero.org/users/18107686/items/FYV2LL35"],"itemData":{"id":263,"type":"article-journal","abstract":"The maternal investment into egg quality depends on the condition of the female, the quality of the mate, and the quality of the environment. In that sense, availability of nutrients and exposure to pollutants are essential parameters to consider. The main aim of this study is to assess the effects of calcium (Ca) availability and anthropogenic metal pollution on early-stage reproduction in two passerine species, great tits (Parus major) and pied flycatchers (Ficedula hypoleuca), inhabiting a Ca-poor and metal-polluted area in SW Finland. Both species were able to obtain sufficient Ca for eggshell formation, and metal pollution was below the level of having negative effects in the egg size and eggshell characteristics. However, metal polluted environment negatively affected yolk lutein and vitamin D3 levels in both species, probably because of a lower access to carotenoid-rich diet and higher metal interference with vitamin D3 metabolism. The higher levels of vitamin D3 in yolks in the unpolluted zone could also be due to upregulated D3 levels as a response to the lower natural Ca availability. Yolk carotenoids and vitamin D3 were positively associated with nestling growth and size, supporting their importance for the appropriate chick development. The interspecific differences in yolk nutrient concentrations possibly reflect the different growth rate of these species. Pied flycatchers are likely adapted to low Ca availability through an efficient vitamin D3 metabolism, but their Ca intake could be close to a deficient level.","container-title":"Chemosphere","DOI":"10.1016/j.chemosphere.2016.02.074","ISSN":"0045-6535","journalAbbreviation":"Chemosphere","page":"189-201","source":"ScienceDirect","title":"Effects of experimental calcium availability and anthropogenic metal pollution on eggshell characteristics and yolk carotenoid and vitamin levels in two passerine birds","volume":"151","author":[{"family":"Espín","given":"Silvia"},{"family":"Ruiz","given":"Sandra"},{"family":"Sánchez-Virosta","given":"Pablo"},{"family":"Salminen","given":"Juha-Pekka"},{"family":"Eeva","given":"Tapio"}],"issued":{"date-parts":[["2016",5,1]]}}},{"id":280,"uris":["http://zotero.org/users/18107686/items/3JL6I5F8"],"itemData":{"id":280,"type":"chapter","abstract":"As top predators, seabirds are highly sensitive to  widespread plastic and metal pollution. These bioindicators interact with plastics and metals in many different ways which can lead to several deleterious effects, measurable through different techniques, and ultimately to death. Still, seabirds’ vulnerability to contamination depends on various characteristics such as foraging behaviour and habitat use. Seabirds can also constitute a significant biovector of plastic and metal contamination from marine environments to terrestrial landscapes. This chapter reviews the existing scientific knowledge regarding  negative impacts of plastics and metals in marine ecosystems, particularly in seabirds, the way  both are interconnected, and the reasons why seabirds are considered suitable biomonitoring tools of plastic and metal pollution patterns. Factors influencing both plastic and metal interactions with seabirds, as well as the currently known appropriate monitoring tools to quantify these interactions are also  described. A review of studies addressing seabirds as vectors of plastic and metal pollution is also presented and a broad overview of these aspects is debated through a case study on how plastic exposure affects seabirds.","container-title":"Volume 1: Seabird Biodiversity and Human Activities","note":"number-of-pages: 20","publisher":"CRC Press","title":"Seabirds as Indicators of Metal and Plastic Pollution","author":[{"family":"Lopes","given":"Catarina S."},{"family":"Laranjeiro","given":"Maria I."},{"family":"Lavers","given":"Jennifer L."},{"family":"Finger","given":"Annett"},{"family":"Provencher","given":"Jennifer"}],"issued":{"date-parts":[["2022"]]}}},{"id":283,"uris":["http://zotero.org/users/18107686/items/E4SJG2FU"],"itemData":{"id":283,"type":"article-journal","abstract":"Background: Marine pollution, caused by anthropogenic debris, is a significant environmental issue that has detrimental effects on marine ecosystems ​[1]​. Finding suitable sentinel species of the human impacts on the oceans, is imperative. As top predators, seabirds are considered sentinels of the marine environment ​[2]​. Objective: To provide quantitative data about the distinctive prevalence of anthropogenic pollution on seabirds, five species with different trophic and foraging ecology inhabiting the tropical Atlantic region were used. Methods: The occurrence of anthropogenic debris was assessed using faeces as a proxy for ingestion. Particles were chemically analysed using micro-Fourier transform infrared spectroscopy (mFTIR) ​[3]​. Moreover, preen oil and plasma samples were analysed for Polybrominated Diphenyl ethers (PBDEs) and methoxylated PBDEs (MeO-PBDEs), through with gas chromatography–mass spectrometry (GC-MS/MS) ​[4]​. Results: There were found 438 items suspected of anthropogenic origin, mostly fragments and fibres in all species. Phaethon aethereus (PA n=61), Calonectris edwardsii (CE n=119) and Sula leucogaster (SL n=82) presented the highest frequency occurrence (FO: 51%, 49%, 48%), while Bulweria bulwerii (BB =86) and Puffinus lherminieriboydi (PB n=86) the lowest (FO: 30%, 36%) of anthropogenic particles. Particles revealed a high diversity of polymers, from cellulosic particles to synthetic plastics. PBDEs and MeO-PBDEs were detected in all species and matrices, whereby preen oil had higher concentrations and variety of congeners than plasma. PB had the lowest chemical concentrations in both tissues compared to other species. Moreover, it was not found any correlation between chemical compounds concentration and the number or occurrence of anthropogenic particles. However, particles and chemical compounds were more prevalent in species that explore areas associated to anthropogenic activities. Conclusions: Overall, anthropogenic pollution is transversal to all species, ranging from particle ingestion to chem</w:instrText>
      </w:r>
      <w:r w:rsidRPr="00313E9A">
        <w:rPr>
          <w:rFonts w:ascii="Arial" w:hAnsi="Arial" w:cs="Arial"/>
          <w:lang w:val="fr-SN"/>
        </w:rPr>
        <w:instrText xml:space="preserve">ical compounds. We considered that it is necessary to continue monitoring the impacts of global anthropogenic pollution considering the declines in seabirds’ population.","container-title":"Scientific Letters","DOI":"10.48797/sl.2023.58","ISSN":"2795-5117","issue":"Sup 1","language":"en","license":"Copyright (c) 2023 D. M. Matos, J. A. Ramos, L. C. Brandão, F. Bessa, V. Silva, I. Rodrigues, S. Antunes, I. dos Santos, J. Coentro, S. C. Cunha, J. O. Fernandes, L. A. E. Batista de Carvalho, M. P. M. Marques, S. Santos, V. H. Paiva","source":"publicacoes.cespu.pt","title":"Seabirds as bioindicators of anthropogenic and chemical pollution","URL":"https://publicacoes.cespu.pt/index.php/sl/article/view/58","volume":"1","author":[{"family":"Matos","given":"D. M."},{"family":"Ramos","given":"J. A."},{"family":"Brandão","given":"L. C."},{"family":"Bessa","given":"F."},{"family":"Silva","given":"V."},{"family":"Rodrigues","given":"I."},{"family":"Antunes","given":"S."},{"family":"Santos","given":"I.","dropping-particle":"dos"},{"family":"Coentro","given":"J."},{"family":"Cunha","given":"S. C."},{"family":"Fernandes","given":"J. O."},{"family":"Carvalho","given":"L. A. E. Batista","dropping-particle":"de"},{"family":"Marques","given":"M. P. M."},{"family":"Santos","given":"S."},{"family":"Paiva","given":"V. H."}],"accessed":{"date-parts":[["2026",2,20]]},"issued":{"date-parts":[["2023",4,21]]}}}],"schema":"https://github.com/citation-style-language/schema/raw/master/csl-citation.json"} </w:instrText>
      </w:r>
      <w:r w:rsidRPr="00313E9A">
        <w:rPr>
          <w:rFonts w:ascii="Arial" w:hAnsi="Arial" w:cs="Arial"/>
        </w:rPr>
        <w:fldChar w:fldCharType="separate"/>
      </w:r>
      <w:r w:rsidR="00193A80" w:rsidRPr="00193A80">
        <w:rPr>
          <w:rFonts w:ascii="Arial" w:hAnsi="Arial" w:cs="Arial"/>
          <w:szCs w:val="24"/>
          <w:lang w:val="fr-FR"/>
        </w:rPr>
        <w:t xml:space="preserve">(Burger, 2002; </w:t>
      </w:r>
      <w:proofErr w:type="spellStart"/>
      <w:r w:rsidR="00193A80" w:rsidRPr="00193A80">
        <w:rPr>
          <w:rFonts w:ascii="Arial" w:hAnsi="Arial" w:cs="Arial"/>
          <w:szCs w:val="24"/>
          <w:lang w:val="fr-FR"/>
        </w:rPr>
        <w:t>Carravieri</w:t>
      </w:r>
      <w:proofErr w:type="spellEnd"/>
      <w:r w:rsidR="00193A80" w:rsidRPr="00193A80">
        <w:rPr>
          <w:rFonts w:ascii="Arial" w:hAnsi="Arial" w:cs="Arial"/>
          <w:szCs w:val="24"/>
          <w:lang w:val="fr-FR"/>
        </w:rPr>
        <w:t xml:space="preserve"> et al., 2020; </w:t>
      </w:r>
      <w:proofErr w:type="spellStart"/>
      <w:r w:rsidR="00193A80" w:rsidRPr="00193A80">
        <w:rPr>
          <w:rFonts w:ascii="Arial" w:hAnsi="Arial" w:cs="Arial"/>
          <w:szCs w:val="24"/>
          <w:lang w:val="fr-FR"/>
        </w:rPr>
        <w:t>Espín</w:t>
      </w:r>
      <w:proofErr w:type="spellEnd"/>
      <w:r w:rsidR="00193A80" w:rsidRPr="00193A80">
        <w:rPr>
          <w:rFonts w:ascii="Arial" w:hAnsi="Arial" w:cs="Arial"/>
          <w:szCs w:val="24"/>
          <w:lang w:val="fr-FR"/>
        </w:rPr>
        <w:t xml:space="preserve"> et al., 2016; Lopes et al., 2022; Matos et al., 2023)</w:t>
      </w:r>
      <w:r w:rsidRPr="00313E9A">
        <w:rPr>
          <w:rFonts w:ascii="Arial" w:hAnsi="Arial" w:cs="Arial"/>
        </w:rPr>
        <w:fldChar w:fldCharType="end"/>
      </w:r>
      <w:r w:rsidRPr="00313E9A">
        <w:rPr>
          <w:rFonts w:ascii="Arial" w:hAnsi="Arial" w:cs="Arial"/>
          <w:lang w:val="fr-SN"/>
        </w:rPr>
        <w:t xml:space="preserve">. </w:t>
      </w:r>
      <w:r w:rsidRPr="00313E9A">
        <w:rPr>
          <w:rFonts w:ascii="Arial" w:hAnsi="Arial" w:cs="Arial"/>
        </w:rPr>
        <w:t xml:space="preserve">In particular, the analysis of seabird eggs has become a valuable tool for monitoring contaminant exposure. During egg formation, females transfer part of their contaminant burden to the developing egg, making eggs representative indicators of local environmental contamination during the breeding season. Eggshells can also provide useful information on contaminant exposure and potential effects on calcium metabolism and shell formation. Moreover, the collection of abandoned or non-viable eggs offers a non-destructive approach for assessing pollutant levels in protected bird populations </w:t>
      </w:r>
      <w:r w:rsidRPr="00313E9A">
        <w:rPr>
          <w:rFonts w:ascii="Arial" w:hAnsi="Arial" w:cs="Arial"/>
        </w:rPr>
        <w:fldChar w:fldCharType="begin"/>
      </w:r>
      <w:r w:rsidR="00313E9A" w:rsidRPr="00313E9A">
        <w:rPr>
          <w:rFonts w:ascii="Arial" w:hAnsi="Arial" w:cs="Arial"/>
        </w:rPr>
        <w:instrText xml:space="preserve"> ADDIN ZOTERO_ITEM CSL_CITATION {"citationID":"Ya8rLGYR","properties":{"formattedCitation":"(Burger, 2002; Carravieri et al., 2020; Esp\\uc0\\u237{}n et al., 2016; Lopes et al., 2022; Matos et al., 2023)","plainCitation":"(Burger, 2002; Carravieri et al., 2020; Espín et al., 2016; Lopes et al., 2022; Matos et al., 2023)","noteIndex":0},"citationItems":[{"id":244,"uris":["http://zotero.org/users/18107686/items/MJJACA72"],"itemData":{"id":244,"type":"article-journal","abstract":"There is an abundance of field data on levels of mercury in a wide variety of birds and on a suite of heavy metals in single species of birds, but few studies examine a suite of metals in a suite of birds that represent different trophic levels. Thus it is often difficult to determine whether food chain differences exist and have ecological relevance for the birds. In this paper I examine the levels of seven metals in the eggs of five species of marine birds that nest in Barnegat Bay, New Jersey to determine whether there are differences among species and whether such differences reflect food chain differences. There were significant differences among species for all metals, except cadmium, with black skimmers (Rynchops niger) having the highest levels of all metals except manganese and selenium. Metal concentrations in eggs mainly represented food chain differences. Mercury exhibited the greatest interspecific difference, with skimmer eggs having five times higher mercury levels than the eggs of great black-backed gulls (Larus marinus). Although there were significant interspecific differences in the other metals, they were generally less than an order of magnitude. There were few high, significant correlations among metals, although mercury was positively correlated with arsenic overall. Mean mercury levels exceeded the level known to adversely affect development in bird eggs for common (Sterna hirundo) and Forster's (Sterna forsterii) terns and for skimmers and exceeded the mean for eggs of fish-eating birds reported from 68 studies.","container-title":"Environmental Research","DOI":"10.1006/enrs.2002.4381","ISSN":"0013-9351","issue":"1","journalAbbreviation":"Environmental Research","page":"33-39","source":"ScienceDirect","title":"Food Chain Differences Affect Heavy Metals in Bird Eggs in Barnegat Bay, New Jersey","volume":"90","author":[{"family":"Burger","given":"Joanna"}],"issued":{"date-parts":[["2002",9,1]]}}},{"id":251,"uris":["http://zotero.org/users/18107686/items/769NIVA6"],"itemData":{"id":251,"type":"article-journal","abstract":"Seabirds from remote regions are mainly exposed to environmental contaminants from non-point contamination of their food webs. Pre-fledging seabird chicks are fed by their parents with marine prey captured in the vicinity of breeding colonies. Contaminant concentrations in tissues of pre-fledging chicks can thus be mostly related to local dietary sources, and have the potential to unravel spatial patterns of environmental contamination in marine ecosystems. Here, mercury (Hg), 13 other trace elements, and 18 persistent organic pollutants (POPs) were quantified in blood of chicks across four breeding locations that encompass a large latitudinal range in the southern Indian Ocean (from Antarctica, through subantarctic areas, to the subtropics), over a single breeding season. Thirteen species of penguins, albatrosses and petrels were studied, including endangered and near-threatened species, such as Amsterdam albatrosses and emperor penguins. Blood Hg burdens varied widely between species, with a factor of ~50 between the lowest and highest concentrations (mean ± SD, 0.05 ± 0.01 and 2.66 ± 0.81 µg g−1 dry weight, in thin-billed prions and Amsterdam albatrosses, respectively). Species relying on Antarctic waters for feeding had low Hg exposure. Concentrations of POPs were low in chicks, with the exception of hexachlorobenzene. Contaminant concentrations were mainly explained by species differences, but feeding habitat (inferred from δ13C values) and chicks’ body mass also contributed to explain variation. Collectively, our findings call for further toxicological investigations in Amsterdam albatrosses and small petrel species, because they were exposed to high and diverse sources of contaminants, and in macaroni penguins, which specifically showed very high selenium concentrations.\nCapsule\nSeabird chicks from four distant sites in the southern Indian Ocean had contrasted blood metallic and organic contaminant patterns depending on species, feeding habitat and body mass.","container-title":"Environment International","DOI":"10.1016/j.envint.2019.105225","ISSN":"0160-4120","journalAbbreviation":"Environment International","page":"105225","source":"ScienceDirect","title":"Trace elements and persistent organic pollutants in chicks of 13 seabird species from Antarctica to the subtropics","volume":"134","author":[{"family":"Carravieri","given":"Alice"},{"family":"Bustamante","given":"Paco"},{"family":"Labadie","given":"Pierre"},{"family":"Budzinski","given":"Hélène"},{"family":"Chastel","given":"Olivier"},{"family":"Cherel","given":"Yves"}],"issued":{"date-parts":[["2020",1,1]]}}},{"id":263,"uris":["http://zotero.org/users/18107686/items/FYV2LL35"],"itemData":{"id":263,"type":"article-journal","abstract":"The maternal investment into egg quality depends on the condition of the female, the quality of the mate, and the quality of the environment. In that sense, availability of nutrients and exposure to pollutants are essential parameters to consider. The main aim of this study is to assess the effects of calcium (Ca) availability and anthropogenic metal pollution on early-stage reproduction in two passerine species, great tits (Parus major) and pied flycatchers (Ficedula hypoleuca), inhabiting a Ca-poor and metal-polluted area in SW Finland. Both species were able to obtain sufficient Ca for eggshell formation, and metal pollution was below the level of having negative effects in the egg size and eggshell characteristics. However, metal polluted environment negatively affected yolk lutein and vitamin D3 levels in both species, probably because of a lower access to carotenoid-rich diet and higher metal interference with vitamin D3 metabolism. The higher levels of vitamin D3 in yolks in the unpolluted zone could also be due to upregulated D3 levels as a response to the lower natural Ca availability. Yolk carotenoids and vitamin D3 were positively associated with nestling growth and size, supporting their importance for the appropriate chick development. The interspecific differences in yolk nutrient concentrations possibly reflect the different growth rate of these species. Pied flycatchers are likely adapted to low Ca availability through an efficient vitamin D3 metabolism, but their Ca intake could be close to a deficient level.","container-title":"Chemosphere","DOI":"10.1016/j.chemosphere.2016.02.074","ISSN":"0045-6535","journalAbbreviation":"Chemosphere","page":"189-201","source":"ScienceDirect","title":"Effects of experimental calcium availability and anthropogenic metal pollution on eggshell characteristics and yolk carotenoid and vitamin levels in two passerine birds","volume":"151","author":[{"family":"Espín","given":"Silvia"},{"family":"Ruiz","given":"Sandra"},{"family":"Sánchez-Virosta","given":"Pablo"},{"family":"Salminen","given":"Juha-Pekka"},{"family":"Eeva","given":"Tapio"}],"issued":{"date-parts":[["2016",5,1]]}}},{"id":280,"uris":["http://zotero.org/users/18107686/items/3JL6I5F8"],"itemData":{"id":280,"type":"chapter","abstract":"As top predators, seabirds are highly sensitive to  widespread plastic and metal pollution. These bioindicators interact with plastics and metals in many different ways which can lead to several deleterious effects, measurable through different techniques, and ultimately to death. Still, seabirds’ vulnerability to contamination depends on various characteristics such as foraging behaviour and habitat use. Seabirds can also constitute a significant biovector of plastic and metal contamination from marine environments to terrestrial landscapes. This chapter reviews the existing scientific knowledge regarding  negative impacts of plastics and metals in marine ecosystems, particularly in seabirds, the way  both are interconnected, and the reasons why seabirds are considered suitable biomonitoring tools of plastic and metal pollution patterns. Factors influencing both plastic and metal interactions with seabirds, as well as the currently known appropriate monitoring tools to quantify these interactions are also  described. A review of studies addressing seabirds as vectors of plastic and metal pollution is also presented and a broad overview of these aspects is debated through a case study on how plastic exposure affects seabirds.","container-title":"Volume 1: Seabird Biodiversity and Human Activities","note":"number-of-pages: 20","publisher":"CRC Press","title":"Seabirds as Indicators of Metal and Plastic Pollution","author":[{"family":"Lopes","given":"Catarina S."},{"family":"Laranjeiro","given":"Maria I."},{"family":"Lavers","given":"Jennifer L."},{"family":"Finger","given":"Annett"},{"family":"Provencher","given":"Jennifer"}],"issued":{"date-parts":[["2022"]]}}},{"id":283,"uris":["http://zotero.org/users/18107686/items/E4SJG2FU"],"itemData":{"id":283,"type":"article-journal","abstract":"Background: Marine pollution, caused by anthropogenic debris, is a significant environmental issue that has detrimental effects on marine ecosystems ​[1]​. Finding suitable sentinel species of the human impacts on the oceans, is imperative. As top predators, seabirds are considered sentinels of the marine environment ​[2]​. Objective: To provide quantitative data about the distinctive prevalence of anthropogenic pollution on seabirds, five species with different trophic and foraging ecology inhabiting the tropical Atlantic region were used. Methods: The occurrence of anthropogenic debris was assessed using faeces as a proxy for ingestion. Particles were chemically analysed using micro-Fourier transform infrared spectroscopy (mFTIR) ​[3]​. Moreover, preen oil and plasma samples were analysed for Polybrominated Diphenyl ethers (PBDEs) and methoxylated PBDEs (MeO-PBDEs), through with gas chromatography–mass spectrometry (GC-MS/MS) ​[4]​. Results: There were found 438 items suspected of anthropogenic origin, mostly fragments and fibres in all species. Phaethon aethereus (PA n=61), Calonectris edwardsii (CE n=119) and Sula leucogaster (SL n=82) presented the highest frequency occurrence (FO: 51%, 49%, 48%), while Bulweria bulwerii (BB =86) and Puffinus lherminieriboydi (PB n=86) the lowest (FO: 30%, 36%) of anthropogenic particles. Particles revealed a high diversity of polymers, from cellulosic particles to synthetic plastics. PBDEs and MeO-PBDEs were detected in all species and matrices, whereby preen oil had higher concentrations and variety of congeners than plasma. PB had the lowest chemical concentrations in both tissues compared to other species. Moreover, it was not found any correlation between chemical compounds concentration and the number or occurrence of anthropogenic particles. However, particles and chemical compounds were more prevalent in species that explore areas associated to anthropogenic activities. Conclusions: Overall, anthropogenic pollution is transversal to all species, ranging from particle ingestion to chem</w:instrText>
      </w:r>
      <w:r w:rsidR="00313E9A" w:rsidRPr="00313E9A">
        <w:rPr>
          <w:rFonts w:ascii="Arial" w:hAnsi="Arial" w:cs="Arial"/>
          <w:lang w:val="fr-SN"/>
        </w:rPr>
        <w:instrText xml:space="preserve">ical compounds. We considered that it is necessary to continue monitoring the impacts of global anthropogenic pollution considering the declines in seabirds’ population.","container-title":"Scientific Letters","DOI":"10.48797/sl.2023.58","ISSN":"2795-5117","issue":"Sup 1","language":"en","license":"Copyright (c) 2023 D. M. Matos, J. A. Ramos, L. C. Brandão, F. Bessa, V. Silva, I. Rodrigues, S. Antunes, I. dos Santos, J. Coentro, S. C. Cunha, J. O. Fernandes, L. A. E. Batista de Carvalho, M. P. M. Marques, S. Santos, V. H. Paiva","source":"publicacoes.cespu.pt","title":"Seabirds as bioindicators of anthropogenic and chemical pollution","URL":"https://publicacoes.cespu.pt/index.php/sl/article/view/58","volume":"1","author":[{"family":"Matos","given":"D. M."},{"family":"Ramos","given":"J. A."},{"family":"Brandão","given":"L. C."},{"family":"Bessa","given":"F."},{"family":"Silva","given":"V."},{"family":"Rodrigues","given":"I."},{"family":"Antunes","given":"S."},{"family":"Santos","given":"I.","dropping-particle":"dos"},{"family":"Coentro","given":"J."},{"family":"Cunha","given":"S. C."},{"family":"Fernandes","given":"J. O."},{"family":"Carvalho","given":"L. A. E. Batista","dropping-particle":"de"},{"family":"Marques","given":"M. P. M."},{"family":"Santos","given":"S."},{"family":"Paiva","given":"V. H."}],"accessed":{"date-parts":[["2026",2,20]]},"issued":{"date-parts":[["2023",4,21]]}}}],"schema":"https://github.com/citation-style-language/schema/raw/master/csl-citation.json"} </w:instrText>
      </w:r>
      <w:r w:rsidRPr="00313E9A">
        <w:rPr>
          <w:rFonts w:ascii="Arial" w:hAnsi="Arial" w:cs="Arial"/>
        </w:rPr>
        <w:fldChar w:fldCharType="separate"/>
      </w:r>
      <w:r w:rsidR="00193A80" w:rsidRPr="00193A80">
        <w:rPr>
          <w:rFonts w:ascii="Arial" w:hAnsi="Arial" w:cs="Arial"/>
          <w:szCs w:val="24"/>
          <w:lang w:val="fr-FR"/>
        </w:rPr>
        <w:t xml:space="preserve">(Burger, 2002; </w:t>
      </w:r>
      <w:proofErr w:type="spellStart"/>
      <w:r w:rsidR="00193A80" w:rsidRPr="00193A80">
        <w:rPr>
          <w:rFonts w:ascii="Arial" w:hAnsi="Arial" w:cs="Arial"/>
          <w:szCs w:val="24"/>
          <w:lang w:val="fr-FR"/>
        </w:rPr>
        <w:t>Carravieri</w:t>
      </w:r>
      <w:proofErr w:type="spellEnd"/>
      <w:r w:rsidR="00193A80" w:rsidRPr="00193A80">
        <w:rPr>
          <w:rFonts w:ascii="Arial" w:hAnsi="Arial" w:cs="Arial"/>
          <w:szCs w:val="24"/>
          <w:lang w:val="fr-FR"/>
        </w:rPr>
        <w:t xml:space="preserve"> et al., 2020; </w:t>
      </w:r>
      <w:proofErr w:type="spellStart"/>
      <w:r w:rsidR="00193A80" w:rsidRPr="00193A80">
        <w:rPr>
          <w:rFonts w:ascii="Arial" w:hAnsi="Arial" w:cs="Arial"/>
          <w:szCs w:val="24"/>
          <w:lang w:val="fr-FR"/>
        </w:rPr>
        <w:t>Espín</w:t>
      </w:r>
      <w:proofErr w:type="spellEnd"/>
      <w:r w:rsidR="00193A80" w:rsidRPr="00193A80">
        <w:rPr>
          <w:rFonts w:ascii="Arial" w:hAnsi="Arial" w:cs="Arial"/>
          <w:szCs w:val="24"/>
          <w:lang w:val="fr-FR"/>
        </w:rPr>
        <w:t xml:space="preserve"> et al., 2016; Lopes et al., 2022; Matos et al., 2023)</w:t>
      </w:r>
      <w:r w:rsidRPr="00313E9A">
        <w:rPr>
          <w:rFonts w:ascii="Arial" w:hAnsi="Arial" w:cs="Arial"/>
        </w:rPr>
        <w:fldChar w:fldCharType="end"/>
      </w:r>
      <w:r w:rsidRPr="00313E9A">
        <w:rPr>
          <w:rFonts w:ascii="Arial" w:hAnsi="Arial" w:cs="Arial"/>
          <w:lang w:val="fr-SN"/>
        </w:rPr>
        <w:t>.</w:t>
      </w:r>
    </w:p>
    <w:p w14:paraId="330C271F" w14:textId="36B0FFBB" w:rsidR="00602864" w:rsidRPr="00313E9A" w:rsidRDefault="00602864" w:rsidP="00602864">
      <w:pPr>
        <w:spacing w:before="100" w:beforeAutospacing="1" w:after="120"/>
        <w:jc w:val="both"/>
        <w:rPr>
          <w:rFonts w:ascii="Arial" w:hAnsi="Arial" w:cs="Arial"/>
        </w:rPr>
      </w:pPr>
      <w:r w:rsidRPr="00313E9A">
        <w:rPr>
          <w:rFonts w:ascii="Arial" w:hAnsi="Arial" w:cs="Arial"/>
        </w:rPr>
        <w:t xml:space="preserve">In Senegal, the Saloum Delta National Park (PNDS) and the Langue de Barbarie National Park (PNLB) constitute two major coastal protected areas of international importance. These wetlands host large breeding colonies of seabirds and play a crucial role in the conservation of resident and migratory species in West Africa. Although protected, both parks are influenced by increasing anthropogenic activities occurring within and around their boundaries, including urban development, agriculture, fishing activities, tourism, and waste discharge, all of which may contribute to the introduction of contaminants into local ecosystems </w:t>
      </w:r>
      <w:r w:rsidRPr="00313E9A">
        <w:rPr>
          <w:rFonts w:ascii="Arial" w:hAnsi="Arial" w:cs="Arial"/>
        </w:rPr>
        <w:fldChar w:fldCharType="begin"/>
      </w:r>
      <w:r w:rsidRPr="00313E9A">
        <w:rPr>
          <w:rFonts w:ascii="Arial" w:hAnsi="Arial" w:cs="Arial"/>
        </w:rPr>
        <w:instrText xml:space="preserve"> ADDIN ZOTERO_ITEM CSL_CITATION {"citationID":"tesmbK7d","properties":{"formattedCitation":"(Jones et al., 2018)","plainCitation":"(Jones et al., 2018)","noteIndex":0},"citationItems":[{"id":273,"uris":["http://zotero.org/users/18107686/items/XVGJGR88"],"itemData":{"id":273,"type":"article-journal","abstract":"In an era of massive biodiversity loss, the greatest conservation success story has been the growth of protected land globally. Protected areas are the primary defense against biodiversity loss, but extensive human activity within their boundaries can undermine this. Using the most comprehensive global map of human pressure, we show that 6 million square kilometers (32.8%) of protected land is under intense human pressure. For protected areas designated before the Convention on Biological Diversity was ratified in 1992, 55% have since experienced human pressure increases. These increases were lowest in large, strict protected areas, showing that they are potentially effective, at least in some nations. Transparent reporting on human pressure within protected areas is now critical, as are global targets aimed at efforts required to halt biodiversity loss.","container-title":"Science","DOI":"10.1126/science.aap9565","issue":"6390","page":"788-791","publisher":"American Association for the Advancement of Science","source":"science.org (Atypon)","title":"One-third of global protected land is under intense human pressure","volume":"360","author":[{"family":"Jones","given":"Kendall R."},{"family":"Venter","given":"Oscar"},{"family":"Fuller","given":"Richard A."},{"family":"Allan","given":"James R."},{"family":"Maxwell","given":"Sean L."},{"family":"Negret","given":"Pablo Jose"},{"family":"Watson","given":"James E. M."}],"issued":{"date-parts":[["2018",5,18]]}}}],"schema":"https://github.com/citation-style-language/schema/raw/master/csl-citation.json"} </w:instrText>
      </w:r>
      <w:r w:rsidRPr="00313E9A">
        <w:rPr>
          <w:rFonts w:ascii="Arial" w:hAnsi="Arial" w:cs="Arial"/>
        </w:rPr>
        <w:fldChar w:fldCharType="separate"/>
      </w:r>
      <w:r w:rsidR="00193A80">
        <w:rPr>
          <w:rFonts w:ascii="Arial" w:hAnsi="Arial" w:cs="Arial"/>
        </w:rPr>
        <w:t>(Jones et al., 2018)</w:t>
      </w:r>
      <w:r w:rsidRPr="00313E9A">
        <w:rPr>
          <w:rFonts w:ascii="Arial" w:hAnsi="Arial" w:cs="Arial"/>
        </w:rPr>
        <w:fldChar w:fldCharType="end"/>
      </w:r>
      <w:r w:rsidRPr="00313E9A">
        <w:rPr>
          <w:rFonts w:ascii="Arial" w:hAnsi="Arial" w:cs="Arial"/>
        </w:rPr>
        <w:t>.</w:t>
      </w:r>
    </w:p>
    <w:p w14:paraId="7445A3CE" w14:textId="32523B33" w:rsidR="00602864" w:rsidRPr="00313E9A" w:rsidRDefault="00602864" w:rsidP="00602864">
      <w:pPr>
        <w:spacing w:before="100" w:beforeAutospacing="1" w:after="120"/>
        <w:jc w:val="both"/>
        <w:rPr>
          <w:rFonts w:ascii="Arial" w:hAnsi="Arial" w:cs="Arial"/>
        </w:rPr>
      </w:pPr>
      <w:r w:rsidRPr="00313E9A">
        <w:rPr>
          <w:rFonts w:ascii="Arial" w:hAnsi="Arial" w:cs="Arial"/>
        </w:rPr>
        <w:t xml:space="preserve">In addition, Senegal has recently entered a new phase of offshore oil and gas exploitation with the development of major projects such as Sangomar and Grand </w:t>
      </w:r>
      <w:proofErr w:type="spellStart"/>
      <w:r w:rsidRPr="00313E9A">
        <w:rPr>
          <w:rFonts w:ascii="Arial" w:hAnsi="Arial" w:cs="Arial"/>
        </w:rPr>
        <w:t>Tortue</w:t>
      </w:r>
      <w:proofErr w:type="spellEnd"/>
      <w:r w:rsidRPr="00313E9A">
        <w:rPr>
          <w:rFonts w:ascii="Arial" w:hAnsi="Arial" w:cs="Arial"/>
        </w:rPr>
        <w:t xml:space="preserve"> </w:t>
      </w:r>
      <w:proofErr w:type="spellStart"/>
      <w:r w:rsidRPr="00313E9A">
        <w:rPr>
          <w:rFonts w:ascii="Arial" w:hAnsi="Arial" w:cs="Arial"/>
        </w:rPr>
        <w:t>Ahmeyim</w:t>
      </w:r>
      <w:proofErr w:type="spellEnd"/>
      <w:r w:rsidRPr="00313E9A">
        <w:rPr>
          <w:rFonts w:ascii="Arial" w:hAnsi="Arial" w:cs="Arial"/>
        </w:rPr>
        <w:t xml:space="preserve"> (GTA). While these projects offer important economic opportunities, they also raise concerns regarding potential contamination of marine environments through operational discharges, accidental spills, and increased maritime activities </w:t>
      </w:r>
      <w:r w:rsidRPr="00313E9A">
        <w:rPr>
          <w:rFonts w:ascii="Arial" w:hAnsi="Arial" w:cs="Arial"/>
        </w:rPr>
        <w:fldChar w:fldCharType="begin"/>
      </w:r>
      <w:r w:rsidRPr="00313E9A">
        <w:rPr>
          <w:rFonts w:ascii="Arial" w:hAnsi="Arial" w:cs="Arial"/>
        </w:rPr>
        <w:instrText xml:space="preserve"> ADDIN ZOTERO_ITEM CSL_CITATION {"citationID":"8DAcREck","properties":{"formattedCitation":"(Morea, 2023; Ukpene et al., 2024)","plainCitation":"(Morea, 2023; Ukpene et al., 2024)","noteIndex":0},"citationItems":[{"id":286,"uris":["http://zotero.org/users/18107686/items/96QTI5WQ"],"itemData":{"id":286,"type":"article-journal","abstract":"The recent approval of an offshore oil exploration project in Argentina has agitated local communities. It has managed to stop the led to a suspension of the initiative, led to the design and passing of a judicial measure and sparked a public debate about the possible environmental impacts of the project and what implications it has for the sustainability of the oceans. By reviewing the regulatory framework, project approval documents, journalistic notes, and multiple public statements by the actors involved, we sought to reconstruct the conflict's chronology and reflect the problem's multiple edges and visions of the problem. From this work, it was possible to identify the arguments for and against the project, contrast them with scientific evidence generated internationally on offshore oil exploitation, and frame the case study in the debates on the blue economy and the sustainability of the oceans. The results obtained made it possible to identify the main arguments for and against the project, to recognize some achievements and positive results, and to identify horizons towards which the social movement should direct itself to channel the results obtained, the spaces of power gained, and to know what it can demand and receive.","container-title":"The Extractive Industries and Society","DOI":"10.1016/j.exis.2023.101295","ISSN":"2214-790X","journalAbbreviation":"The Extractive Industries and Society","page":"101295","source":"ScienceDirect","title":"The economic, social and environmental impacts of offshore oil exploration in Argentina: A critical appraisal","title-short":"The economic, social and environmental impacts of offshore oil exploration in Argentina","volume":"15","author":[{"family":"Morea","given":"Juan Pablo"}],"issued":{"date-parts":[["2023",9,1]]}}},{"id":325,"uris":["http://zotero.org/users/18107686/items/SX45JMM3"],"itemData":{"id":325,"type":"article-journal","abstract":"This work documented the effects of oil spills on the aquatic environment by analyzing changes in oil density, water chemistry and species abundance for 15 days in two locations in the Niger Delta. The main rationale was to assess the oil spill's environmental implications and determine the measures that should be implemented. Samples collected daily enabled measurements of the oil content, pH, and dissolved oxygen (DO) on the water surface. Key equipment included spectrophotometers for oil concentration analysis and multiparameter water quality tools for pH and DO measurements. Statistical tools such as regression analysis and ANOVA were employed to evaluate the data. Results indicate a significant decline in oil concentration at both sites. The results of Site A were reduced from 250 µg/L to 170 µg/L, having a regression slope of  -5.33 µg/L per day (p &lt; 0.01). Site B's concentration dropped from 320 µg/L to 250 µg/L, with a slope of -4.67 µg/L per day (p &lt; 0.01). Water quality also deteriorated, with Site A’s pH dropping from 7.8 to 6.4 and DO from 8.5 mg/L to 7.1 mg/L. Site B exhibited similar trends, with pH decreasing from 7.9 to 6.5 and DO from 8.6 mg/L to 7.2 mg/L. The results of the ANOVA analysis indicated that the fish population significantly declined at both sites and to this extent, Site A lost eight kinds of fish while Site B lost only 10(p&lt;0.01). Therefore, the study found that the oil spill adversely impacts water quality and the nature of various organisms. These discoveries would help in the current state of knowledge by quantifying the effects of oil spillage and proposing an improved approach to environmental management, which includes but is not limited to effectively mitigating the effects of oil spillage by increasing the monitoring of the effects and rendering timely remediation solutions, and engaging various stakeholders, enforcing strict measures and constantly monitoring the environment.","container-title":"African Journal of Health, Safety and Environment","DOI":"10.52417/ajhse.v5i1.466","ISSN":"2695-1819","issue":"1","language":"en","license":"Copyright (c) 2024 UKPENE, IGBORGBOR, ODUMA &amp; KONYEME","page":"103-113","source":"ajhse.org","title":"ENVIRONMENTAL IMPACTS OF OIL SPILLS ON MARINE ECOSYSTEMS: A CASE STUDY OF THE NIGER-DELTA ENVIRONMENT.","title-short":"ENVIRONMENTAL IMPACTS OF OIL SPILLS ON MARINE ECOSYSTEMS","volume":"5","author":[{"family":"Ukpene","given":"A. O."},{"family":"Igborgbor","given":"J. C."},{"family":"Oduma","given":"E."},{"family":"Konyeme","given":"T. E."}],"issued":{"date-parts":[["2024",6,23]]}}}],"schema":"https://github.com/citation-style-language/schema/raw/master/csl-citation.json"} </w:instrText>
      </w:r>
      <w:r w:rsidRPr="00313E9A">
        <w:rPr>
          <w:rFonts w:ascii="Arial" w:hAnsi="Arial" w:cs="Arial"/>
        </w:rPr>
        <w:fldChar w:fldCharType="separate"/>
      </w:r>
      <w:r w:rsidR="00193A80">
        <w:rPr>
          <w:rFonts w:ascii="Arial" w:hAnsi="Arial" w:cs="Arial"/>
        </w:rPr>
        <w:t xml:space="preserve">(Morea, 2023; </w:t>
      </w:r>
      <w:proofErr w:type="spellStart"/>
      <w:r w:rsidR="00193A80">
        <w:rPr>
          <w:rFonts w:ascii="Arial" w:hAnsi="Arial" w:cs="Arial"/>
        </w:rPr>
        <w:t>Ukpene</w:t>
      </w:r>
      <w:proofErr w:type="spellEnd"/>
      <w:r w:rsidR="00193A80">
        <w:rPr>
          <w:rFonts w:ascii="Arial" w:hAnsi="Arial" w:cs="Arial"/>
        </w:rPr>
        <w:t xml:space="preserve"> et al., 2024)</w:t>
      </w:r>
      <w:r w:rsidRPr="00313E9A">
        <w:rPr>
          <w:rFonts w:ascii="Arial" w:hAnsi="Arial" w:cs="Arial"/>
        </w:rPr>
        <w:fldChar w:fldCharType="end"/>
      </w:r>
      <w:r w:rsidRPr="00313E9A">
        <w:rPr>
          <w:rFonts w:ascii="Arial" w:hAnsi="Arial" w:cs="Arial"/>
        </w:rPr>
        <w:t>. Establishing pre-development baseline information on contaminant levels is therefore essential for future environmental monitoring and impact assessments.</w:t>
      </w:r>
    </w:p>
    <w:p w14:paraId="2EAA03FB" w14:textId="77777777" w:rsidR="00602864" w:rsidRPr="00313E9A" w:rsidRDefault="00602864" w:rsidP="00602864">
      <w:pPr>
        <w:spacing w:before="100" w:beforeAutospacing="1" w:after="120"/>
        <w:jc w:val="both"/>
        <w:rPr>
          <w:rFonts w:ascii="Arial" w:hAnsi="Arial" w:cs="Arial"/>
        </w:rPr>
        <w:sectPr w:rsidR="00602864" w:rsidRPr="00313E9A" w:rsidSect="00651151">
          <w:type w:val="continuous"/>
          <w:pgSz w:w="11900" w:h="16840"/>
          <w:pgMar w:top="1417" w:right="1417" w:bottom="1417" w:left="1417" w:header="709" w:footer="709" w:gutter="0"/>
          <w:cols w:space="708"/>
          <w:docGrid w:linePitch="360"/>
        </w:sectPr>
      </w:pPr>
      <w:r w:rsidRPr="00313E9A">
        <w:rPr>
          <w:rFonts w:ascii="Arial" w:hAnsi="Arial" w:cs="Arial"/>
        </w:rPr>
        <w:t>In this context, the present study aimed to assess trace metal and PAH concentrations in seabird eggs and eggshells collected from royal terns and grey-headed gulls breeding in the Saloum Delta National Park and the Langue de Barbarie National Park. Using samples collected in 2019, prior to the onset of offshore hydrocarbon production, this work provides baseline data on trace metal contamination in two of Senegal’s most important coastal protected areas. The results contribute to understanding current contaminant exposure in seabird populations and provide a valuable reference framework for future assessments of environmental change and anthropogenic impacts along the Senegalese coast</w:t>
      </w:r>
      <w:bookmarkEnd w:id="1"/>
      <w:bookmarkEnd w:id="2"/>
      <w:r w:rsidR="00E80D28" w:rsidRPr="00313E9A">
        <w:rPr>
          <w:rFonts w:ascii="Arial" w:hAnsi="Arial" w:cs="Arial"/>
        </w:rPr>
        <w:t>.</w:t>
      </w:r>
    </w:p>
    <w:p w14:paraId="4B678E9F" w14:textId="77777777" w:rsidR="00790ADA" w:rsidRPr="00313E9A" w:rsidRDefault="00902823" w:rsidP="00E167DA">
      <w:pPr>
        <w:pStyle w:val="AbstHead"/>
        <w:spacing w:after="0"/>
        <w:jc w:val="both"/>
        <w:rPr>
          <w:rFonts w:ascii="Arial" w:hAnsi="Arial" w:cs="Arial"/>
        </w:rPr>
      </w:pPr>
      <w:r w:rsidRPr="00313E9A">
        <w:rPr>
          <w:rFonts w:ascii="Arial" w:hAnsi="Arial" w:cs="Arial"/>
        </w:rPr>
        <w:lastRenderedPageBreak/>
        <w:t>2. material and method</w:t>
      </w:r>
      <w:r w:rsidR="00000F8F" w:rsidRPr="00313E9A">
        <w:rPr>
          <w:rFonts w:ascii="Arial" w:hAnsi="Arial" w:cs="Arial"/>
        </w:rPr>
        <w:t xml:space="preserve">s </w:t>
      </w:r>
    </w:p>
    <w:p w14:paraId="5ED74CD1" w14:textId="77777777" w:rsidR="00ED7224" w:rsidRPr="00313E9A" w:rsidRDefault="00AA74E0" w:rsidP="00441B6F">
      <w:pPr>
        <w:pStyle w:val="Body"/>
        <w:spacing w:after="0"/>
        <w:rPr>
          <w:rFonts w:ascii="Arial" w:hAnsi="Arial" w:cs="Arial"/>
          <w:b/>
          <w:sz w:val="22"/>
        </w:rPr>
      </w:pPr>
      <w:r w:rsidRPr="00313E9A">
        <w:rPr>
          <w:rFonts w:ascii="Arial" w:hAnsi="Arial" w:cs="Arial"/>
          <w:b/>
          <w:caps/>
          <w:sz w:val="22"/>
        </w:rPr>
        <w:t xml:space="preserve">2.1 </w:t>
      </w:r>
      <w:r w:rsidR="00ED7224" w:rsidRPr="00313E9A">
        <w:rPr>
          <w:rFonts w:ascii="Arial" w:hAnsi="Arial" w:cs="Arial"/>
          <w:b/>
          <w:sz w:val="22"/>
        </w:rPr>
        <w:t>Study Areas</w:t>
      </w:r>
    </w:p>
    <w:p w14:paraId="04AACCB7" w14:textId="77777777" w:rsidR="00ED7224" w:rsidRPr="00313E9A" w:rsidRDefault="00ED7224" w:rsidP="00441B6F">
      <w:pPr>
        <w:pStyle w:val="Body"/>
        <w:spacing w:after="0"/>
        <w:rPr>
          <w:rFonts w:ascii="Arial" w:hAnsi="Arial" w:cs="Arial"/>
          <w:b/>
          <w:u w:val="single"/>
        </w:rPr>
      </w:pPr>
      <w:r w:rsidRPr="00313E9A">
        <w:rPr>
          <w:rFonts w:ascii="Arial" w:hAnsi="Arial" w:cs="Arial"/>
          <w:b/>
          <w:u w:val="single"/>
        </w:rPr>
        <w:t>2.1.1 Langue de Barbarie National Park</w:t>
      </w:r>
    </w:p>
    <w:p w14:paraId="277C3357" w14:textId="4CDF7E6F" w:rsidR="00ED7224" w:rsidRPr="00313E9A" w:rsidRDefault="00ED7224" w:rsidP="00ED7224">
      <w:pPr>
        <w:pStyle w:val="Body"/>
        <w:spacing w:after="0"/>
        <w:rPr>
          <w:rFonts w:ascii="Arial" w:hAnsi="Arial" w:cs="Arial"/>
        </w:rPr>
      </w:pPr>
      <w:r w:rsidRPr="00313E9A">
        <w:rPr>
          <w:rFonts w:ascii="Arial" w:hAnsi="Arial" w:cs="Arial"/>
        </w:rPr>
        <w:t>Located in northwestern Senegal, Langue de Barbarie National Park spans approximately 2,000 hectares along the Atlantic coast, at the mouth of the Senegal River (Fig</w:t>
      </w:r>
      <w:r w:rsidR="001A026C" w:rsidRPr="00313E9A">
        <w:rPr>
          <w:rFonts w:ascii="Arial" w:hAnsi="Arial" w:cs="Arial"/>
        </w:rPr>
        <w:t>.</w:t>
      </w:r>
      <w:r w:rsidRPr="00313E9A">
        <w:rPr>
          <w:rFonts w:ascii="Arial" w:hAnsi="Arial" w:cs="Arial"/>
        </w:rPr>
        <w:t xml:space="preserve"> 1). The park encompasses a narrow sandy peninsula, known as the Langue de Barbarie, as well as several lagoons, salt flats, and part of the river estuary. This site forms a dynamic coastal ecosystem at the confluence of marine and fluvial influences and has been designated a Ramsar site in recognition of its high ecological value. One of the park’s key features is the </w:t>
      </w:r>
      <w:proofErr w:type="spellStart"/>
      <w:r w:rsidRPr="00313E9A">
        <w:rPr>
          <w:rFonts w:ascii="Arial" w:hAnsi="Arial" w:cs="Arial"/>
        </w:rPr>
        <w:t>Îlot</w:t>
      </w:r>
      <w:proofErr w:type="spellEnd"/>
      <w:r w:rsidRPr="00313E9A">
        <w:rPr>
          <w:rFonts w:ascii="Arial" w:hAnsi="Arial" w:cs="Arial"/>
        </w:rPr>
        <w:t xml:space="preserve"> aux </w:t>
      </w:r>
      <w:proofErr w:type="spellStart"/>
      <w:r w:rsidRPr="00313E9A">
        <w:rPr>
          <w:rFonts w:ascii="Arial" w:hAnsi="Arial" w:cs="Arial"/>
        </w:rPr>
        <w:t>Oiseaux</w:t>
      </w:r>
      <w:proofErr w:type="spellEnd"/>
      <w:r w:rsidRPr="00313E9A">
        <w:rPr>
          <w:rFonts w:ascii="Arial" w:hAnsi="Arial" w:cs="Arial"/>
        </w:rPr>
        <w:t xml:space="preserve"> (Bird Islet), a small island of around 1.5 hectares that plays a vital role in the breeding of colonial waterbirds. It regularly hosts several nesting species, including the royal tern (</w:t>
      </w:r>
      <w:r w:rsidRPr="00313E9A">
        <w:rPr>
          <w:rFonts w:ascii="Arial" w:hAnsi="Arial" w:cs="Arial"/>
          <w:i/>
        </w:rPr>
        <w:t>Thalasseus maximus</w:t>
      </w:r>
      <w:r w:rsidRPr="00313E9A">
        <w:rPr>
          <w:rFonts w:ascii="Arial" w:hAnsi="Arial" w:cs="Arial"/>
        </w:rPr>
        <w:t>) and the grey-headed gull (</w:t>
      </w:r>
      <w:r w:rsidRPr="00313E9A">
        <w:rPr>
          <w:rFonts w:ascii="Arial" w:hAnsi="Arial" w:cs="Arial"/>
          <w:i/>
        </w:rPr>
        <w:t>Chroicocephalus cirrocephalus</w:t>
      </w:r>
      <w:r w:rsidRPr="00313E9A">
        <w:rPr>
          <w:rFonts w:ascii="Arial" w:hAnsi="Arial" w:cs="Arial"/>
        </w:rPr>
        <w:t xml:space="preserve">) </w:t>
      </w:r>
      <w:r w:rsidRPr="00313E9A">
        <w:rPr>
          <w:rFonts w:ascii="Arial" w:hAnsi="Arial" w:cs="Arial"/>
        </w:rPr>
        <w:fldChar w:fldCharType="begin"/>
      </w:r>
      <w:r w:rsidRPr="00313E9A">
        <w:rPr>
          <w:rFonts w:ascii="Arial" w:hAnsi="Arial" w:cs="Arial"/>
        </w:rPr>
        <w:instrText xml:space="preserve"> ADDIN ZOTERO_ITEM CSL_CITATION {"citationID":"bcGAzCZ1","properties":{"formattedCitation":"(van Roomen et al., 2025)","plainCitation":"(van Roomen et al., 2025)","noteIndex":0},"citationItems":[{"id":327,"uris":["http://zotero.org/users/18107686/items/5YRQQH8Y"],"itemData":{"id":327,"type":"report","abstract":"The assessment report raises concerns about the status of migratory waterbird populations along the East Atlantic Flyway. 42% of monitored populations show long-term increases, 33% are declining. While pressures on wetland habitats are widespread along the flyway, the specific drivers of population declines are often unknown. The report calls for more international collaboration and political commitment to protect migratory birds and prevent further population declines along the flyway.\n\n \n\nThis is version 2 of the publication with the following changes: \n\n\n\nCorrection of list of editors\n\nCorrection of tables in annex\n\nSmaller edits","DOI":"10.5281/zenodo.15423626","language":"eng","publisher":"Wadden Sea Flyway Initiative p/a CWSS, Wilhelmshaven, Germany, Wetlands International, Wageningen, The Netherlands, BirdLife International, Cambridge, United Kingdom","source":"Zenodo","title":"East Atlantic Flyway Assessment 2023. The status of coastal waterbird populations and their sites","URL":"https://zenodo.org/records/15423626","author":[{"family":"Roomen","given":"Marc","non-dropping-particle":"van"},{"family":"Reneerkens","given":"Jeroen"},{"family":"Citegetse","given":"Geoffroy"},{"family":"Crowe","given":"Olivia"},{"family":"Gueye","given":"Khady"},{"family":"Langendoen","given":"Tom"},{"family":"Dodman","given":"Tim"},{"family":"Meise","given":"Kristine"},{"family":"Schekkerman","given":"Hans"}],"accessed":{"date-parts":[["2026",2,20]]},"issued":{"date-parts":[["2025",5,15]]}}}],"schema":"https://github.com/citation-style-language/schema/raw/master/csl-citation.json"} </w:instrText>
      </w:r>
      <w:r w:rsidRPr="00313E9A">
        <w:rPr>
          <w:rFonts w:ascii="Arial" w:hAnsi="Arial" w:cs="Arial"/>
        </w:rPr>
        <w:fldChar w:fldCharType="separate"/>
      </w:r>
      <w:r w:rsidR="00193A80">
        <w:rPr>
          <w:rFonts w:ascii="Arial" w:hAnsi="Arial" w:cs="Arial"/>
          <w:noProof/>
        </w:rPr>
        <w:t>(van Roomen et al., 2025)</w:t>
      </w:r>
      <w:r w:rsidRPr="00313E9A">
        <w:rPr>
          <w:rFonts w:ascii="Arial" w:hAnsi="Arial" w:cs="Arial"/>
        </w:rPr>
        <w:fldChar w:fldCharType="end"/>
      </w:r>
      <w:r w:rsidRPr="00313E9A">
        <w:rPr>
          <w:rFonts w:ascii="Arial" w:hAnsi="Arial" w:cs="Arial"/>
        </w:rPr>
        <w:t>.</w:t>
      </w:r>
    </w:p>
    <w:p w14:paraId="62CA668C" w14:textId="77777777" w:rsidR="00ED7224" w:rsidRPr="00313E9A" w:rsidRDefault="00ED7224" w:rsidP="00ED7224">
      <w:pPr>
        <w:pStyle w:val="Body"/>
        <w:spacing w:after="0"/>
        <w:rPr>
          <w:rFonts w:ascii="Arial" w:hAnsi="Arial" w:cs="Arial"/>
        </w:rPr>
      </w:pPr>
      <w:r w:rsidRPr="00313E9A">
        <w:rPr>
          <w:rFonts w:ascii="Arial" w:hAnsi="Arial" w:cs="Arial"/>
          <w:noProof/>
        </w:rPr>
        <w:drawing>
          <wp:inline distT="0" distB="0" distL="0" distR="0" wp14:anchorId="6567637D" wp14:editId="4A60A8A6">
            <wp:extent cx="5184321" cy="4092675"/>
            <wp:effectExtent l="0" t="0" r="0" b="0"/>
            <wp:docPr id="4" name="Image 3">
              <a:extLst xmlns:a="http://schemas.openxmlformats.org/drawingml/2006/main">
                <a:ext uri="{FF2B5EF4-FFF2-40B4-BE49-F238E27FC236}">
                  <a16:creationId xmlns:a16="http://schemas.microsoft.com/office/drawing/2014/main" id="{D764578C-6610-CC42-80FA-736E1506AE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D764578C-6610-CC42-80FA-736E1506AE0F}"/>
                        </a:ext>
                      </a:extLst>
                    </pic:cNvPr>
                    <pic:cNvPicPr>
                      <a:picLocks noChangeAspect="1"/>
                    </pic:cNvPicPr>
                  </pic:nvPicPr>
                  <pic:blipFill>
                    <a:blip r:embed="rId14"/>
                    <a:stretch>
                      <a:fillRect/>
                    </a:stretch>
                  </pic:blipFill>
                  <pic:spPr>
                    <a:xfrm>
                      <a:off x="0" y="0"/>
                      <a:ext cx="5200628" cy="4105548"/>
                    </a:xfrm>
                    <a:prstGeom prst="rect">
                      <a:avLst/>
                    </a:prstGeom>
                  </pic:spPr>
                </pic:pic>
              </a:graphicData>
            </a:graphic>
          </wp:inline>
        </w:drawing>
      </w:r>
    </w:p>
    <w:p w14:paraId="08BFF53B" w14:textId="77777777" w:rsidR="00407616" w:rsidRDefault="00ED7224" w:rsidP="00441B6F">
      <w:pPr>
        <w:pStyle w:val="Body"/>
        <w:spacing w:after="0"/>
        <w:rPr>
          <w:rFonts w:ascii="Arial" w:hAnsi="Arial" w:cs="Arial"/>
          <w:b/>
        </w:rPr>
      </w:pPr>
      <w:r w:rsidRPr="00313E9A">
        <w:rPr>
          <w:rFonts w:ascii="Arial" w:hAnsi="Arial" w:cs="Arial"/>
          <w:b/>
        </w:rPr>
        <w:t>Fig</w:t>
      </w:r>
      <w:r w:rsidR="001A026C" w:rsidRPr="00313E9A">
        <w:rPr>
          <w:rFonts w:ascii="Arial" w:hAnsi="Arial" w:cs="Arial"/>
          <w:b/>
        </w:rPr>
        <w:t>.</w:t>
      </w:r>
      <w:r w:rsidRPr="00313E9A">
        <w:rPr>
          <w:rFonts w:ascii="Arial" w:hAnsi="Arial" w:cs="Arial"/>
          <w:b/>
        </w:rPr>
        <w:t xml:space="preserve"> 1: </w:t>
      </w:r>
      <w:r w:rsidR="00407616" w:rsidRPr="00407616">
        <w:rPr>
          <w:rFonts w:ascii="Arial" w:hAnsi="Arial" w:cs="Arial"/>
          <w:b/>
        </w:rPr>
        <w:t>Localization of the Langue de Barbarie National Park and the seabirds breeding area.</w:t>
      </w:r>
    </w:p>
    <w:p w14:paraId="1618C812" w14:textId="25855FFB" w:rsidR="00AA74E0" w:rsidRPr="00313E9A" w:rsidRDefault="00AA74E0" w:rsidP="00441B6F">
      <w:pPr>
        <w:pStyle w:val="Body"/>
        <w:spacing w:after="0"/>
        <w:rPr>
          <w:rFonts w:ascii="Arial" w:hAnsi="Arial" w:cs="Arial"/>
        </w:rPr>
      </w:pPr>
      <w:r w:rsidRPr="00313E9A">
        <w:rPr>
          <w:rFonts w:ascii="Arial" w:hAnsi="Arial" w:cs="Arial"/>
        </w:rPr>
        <w:t xml:space="preserve">  </w:t>
      </w:r>
    </w:p>
    <w:p w14:paraId="4FC01548" w14:textId="77777777" w:rsidR="00ED7224" w:rsidRPr="00313E9A" w:rsidRDefault="00ED7224" w:rsidP="00ED7224">
      <w:pPr>
        <w:pStyle w:val="Body"/>
        <w:spacing w:after="0"/>
        <w:rPr>
          <w:rFonts w:ascii="Arial" w:hAnsi="Arial" w:cs="Arial"/>
          <w:b/>
          <w:u w:val="single"/>
        </w:rPr>
      </w:pPr>
      <w:r w:rsidRPr="00313E9A">
        <w:rPr>
          <w:rFonts w:ascii="Arial" w:hAnsi="Arial" w:cs="Arial"/>
          <w:b/>
          <w:u w:val="single"/>
        </w:rPr>
        <w:t>2.1.2 Saloum Delta National Park</w:t>
      </w:r>
    </w:p>
    <w:p w14:paraId="16FD5495" w14:textId="2BD36AF0" w:rsidR="00ED7224" w:rsidRPr="00313E9A" w:rsidRDefault="00ED7224" w:rsidP="00ED7224">
      <w:pPr>
        <w:pStyle w:val="Body"/>
        <w:spacing w:after="0"/>
        <w:rPr>
          <w:rFonts w:ascii="Arial" w:hAnsi="Arial" w:cs="Arial"/>
        </w:rPr>
      </w:pPr>
      <w:r w:rsidRPr="00313E9A">
        <w:rPr>
          <w:rFonts w:ascii="Arial" w:hAnsi="Arial" w:cs="Arial"/>
        </w:rPr>
        <w:t xml:space="preserve">Situated along the central-west Atlantic coast of Senegal, near the Gambian border, Saloum Delta National Park covers approximately 73,000 hectares. It includes the deltas of the Saloum, </w:t>
      </w:r>
      <w:proofErr w:type="spellStart"/>
      <w:r w:rsidRPr="00313E9A">
        <w:rPr>
          <w:rFonts w:ascii="Arial" w:hAnsi="Arial" w:cs="Arial"/>
        </w:rPr>
        <w:t>Diombos</w:t>
      </w:r>
      <w:proofErr w:type="spellEnd"/>
      <w:r w:rsidRPr="00313E9A">
        <w:rPr>
          <w:rFonts w:ascii="Arial" w:hAnsi="Arial" w:cs="Arial"/>
        </w:rPr>
        <w:t xml:space="preserve">, and </w:t>
      </w:r>
      <w:proofErr w:type="spellStart"/>
      <w:r w:rsidRPr="00313E9A">
        <w:rPr>
          <w:rFonts w:ascii="Arial" w:hAnsi="Arial" w:cs="Arial"/>
        </w:rPr>
        <w:t>Bandiala</w:t>
      </w:r>
      <w:proofErr w:type="spellEnd"/>
      <w:r w:rsidRPr="00313E9A">
        <w:rPr>
          <w:rFonts w:ascii="Arial" w:hAnsi="Arial" w:cs="Arial"/>
        </w:rPr>
        <w:t xml:space="preserve"> rivers, forming a vast and intricate network of tidal channels (bolongs), mangroves, lagoons, salt flats (</w:t>
      </w:r>
      <w:proofErr w:type="spellStart"/>
      <w:r w:rsidRPr="00313E9A">
        <w:rPr>
          <w:rFonts w:ascii="Arial" w:hAnsi="Arial" w:cs="Arial"/>
        </w:rPr>
        <w:t>tannes</w:t>
      </w:r>
      <w:proofErr w:type="spellEnd"/>
      <w:r w:rsidRPr="00313E9A">
        <w:rPr>
          <w:rFonts w:ascii="Arial" w:hAnsi="Arial" w:cs="Arial"/>
        </w:rPr>
        <w:t>), mudflats, and scattered sandy islands (Fig</w:t>
      </w:r>
      <w:r w:rsidR="001A026C" w:rsidRPr="00313E9A">
        <w:rPr>
          <w:rFonts w:ascii="Arial" w:hAnsi="Arial" w:cs="Arial"/>
        </w:rPr>
        <w:t>.</w:t>
      </w:r>
      <w:r w:rsidRPr="00313E9A">
        <w:rPr>
          <w:rFonts w:ascii="Arial" w:hAnsi="Arial" w:cs="Arial"/>
        </w:rPr>
        <w:t xml:space="preserve"> </w:t>
      </w:r>
      <w:r w:rsidR="001A026C" w:rsidRPr="00313E9A">
        <w:rPr>
          <w:rFonts w:ascii="Arial" w:hAnsi="Arial" w:cs="Arial"/>
        </w:rPr>
        <w:t>2</w:t>
      </w:r>
      <w:r w:rsidRPr="00313E9A">
        <w:rPr>
          <w:rFonts w:ascii="Arial" w:hAnsi="Arial" w:cs="Arial"/>
        </w:rPr>
        <w:t xml:space="preserve">). Renowned for its exceptional biodiversity, the park holds multiple international designations: Biosphere Reserve, Ramsar site, and UNESCO World Heritage Site. It is recognized as one of the most important breeding areas for colonial waterbirds in West Africa. Among its key features is the offshore Île aux </w:t>
      </w:r>
      <w:proofErr w:type="spellStart"/>
      <w:r w:rsidRPr="00313E9A">
        <w:rPr>
          <w:rFonts w:ascii="Arial" w:hAnsi="Arial" w:cs="Arial"/>
        </w:rPr>
        <w:t>Oiseaux</w:t>
      </w:r>
      <w:proofErr w:type="spellEnd"/>
      <w:r w:rsidRPr="00313E9A">
        <w:rPr>
          <w:rFonts w:ascii="Arial" w:hAnsi="Arial" w:cs="Arial"/>
        </w:rPr>
        <w:t>, a critical nesting site for several coastal species, including the royal tern (</w:t>
      </w:r>
      <w:r w:rsidRPr="00313E9A">
        <w:rPr>
          <w:rFonts w:ascii="Arial" w:hAnsi="Arial" w:cs="Arial"/>
          <w:i/>
        </w:rPr>
        <w:t>Thalasseus maximus</w:t>
      </w:r>
      <w:r w:rsidRPr="00313E9A">
        <w:rPr>
          <w:rFonts w:ascii="Arial" w:hAnsi="Arial" w:cs="Arial"/>
        </w:rPr>
        <w:t>) and the grey-headed gull (</w:t>
      </w:r>
      <w:r w:rsidRPr="00313E9A">
        <w:rPr>
          <w:rFonts w:ascii="Arial" w:hAnsi="Arial" w:cs="Arial"/>
          <w:i/>
        </w:rPr>
        <w:t>Chroicocephalus cirrocephalus</w:t>
      </w:r>
      <w:r w:rsidRPr="00313E9A">
        <w:rPr>
          <w:rFonts w:ascii="Arial" w:hAnsi="Arial" w:cs="Arial"/>
        </w:rPr>
        <w:t xml:space="preserve">) </w:t>
      </w:r>
      <w:r w:rsidRPr="00313E9A">
        <w:rPr>
          <w:rFonts w:ascii="Arial" w:hAnsi="Arial" w:cs="Arial"/>
        </w:rPr>
        <w:fldChar w:fldCharType="begin"/>
      </w:r>
      <w:r w:rsidRPr="00313E9A">
        <w:rPr>
          <w:rFonts w:ascii="Arial" w:hAnsi="Arial" w:cs="Arial"/>
        </w:rPr>
        <w:instrText xml:space="preserve"> ADDIN ZOTERO_ITEM CSL_CITATION {"citationID":"UOhSHLzW","properties":{"formattedCitation":"(van Roomen et al., 2025)","plainCitation":"(van Roomen et al., 2025)","noteIndex":0},"citationItems":[{"id":327,"uris":["http://zotero.org/users/18107686/items/5YRQQH8Y"],"itemData":{"id":327,"type":"report","abstract":"The assessment report raises concerns about the status of migratory waterbird populations along the East Atlantic Flyway. 42% of monitored populations show long-term increases, 33% are declining. While pressures on wetland habitats are widespread along the flyway, the specific drivers of population declines are often unknown. The report calls for more international collaboration and political commitment to protect migratory birds and prevent further population declines along the flyway.\n\n \n\nThis is version 2 of the publication with the following changes: \n\n\n\nCorrection of list of editors\n\nCorrection of tables in annex\n\nSmaller edits","DOI":"10.5281/zenodo.15423626","language":"eng","publisher":"Wadden Sea Flyway Initiative p/a CWSS, Wilhelmshaven, Germany, Wetlands International, Wageningen, The Netherlands, BirdLife International, Cambridge, United Kingdom","source":"Zenodo","title":"East Atlantic Flyway Assessment 2023. The status of coastal waterbird populations and their sites","URL":"https://zenodo.org/records/15423626","author":[{"family":"Roomen","given":"Marc","non-dropping-particle":"van"},{"family":"Reneerkens","given":"Jeroen"},{"family":"Citegetse","given":"Geoffroy"},{"family":"Crowe","given":"Olivia"},{"family":"Gueye","given":"Khady"},{"family":"Langendoen","given":"Tom"},{"family":"Dodman","given":"Tim"},{"family":"Meise","given":"Kristine"},{"family":"Schekkerman","given":"Hans"}],"accessed":{"date-parts":[["2026",2,20]]},"issued":{"date-parts":[["2025",5,15]]}}}],"schema":"https://github.com/citation-style-language/schema/raw/master/csl-citation.json"} </w:instrText>
      </w:r>
      <w:r w:rsidRPr="00313E9A">
        <w:rPr>
          <w:rFonts w:ascii="Arial" w:hAnsi="Arial" w:cs="Arial"/>
        </w:rPr>
        <w:fldChar w:fldCharType="separate"/>
      </w:r>
      <w:r w:rsidR="00193A80">
        <w:rPr>
          <w:rFonts w:ascii="Arial" w:hAnsi="Arial" w:cs="Arial"/>
          <w:noProof/>
        </w:rPr>
        <w:t>(van Roomen et al., 2025)</w:t>
      </w:r>
      <w:r w:rsidRPr="00313E9A">
        <w:rPr>
          <w:rFonts w:ascii="Arial" w:hAnsi="Arial" w:cs="Arial"/>
        </w:rPr>
        <w:fldChar w:fldCharType="end"/>
      </w:r>
      <w:r w:rsidRPr="00313E9A">
        <w:rPr>
          <w:rFonts w:ascii="Arial" w:hAnsi="Arial" w:cs="Arial"/>
        </w:rPr>
        <w:t>.</w:t>
      </w:r>
    </w:p>
    <w:p w14:paraId="68A6DC64" w14:textId="77777777" w:rsidR="00936806" w:rsidRDefault="00ED7224" w:rsidP="00ED7224">
      <w:pPr>
        <w:spacing w:before="100" w:beforeAutospacing="1"/>
        <w:rPr>
          <w:rFonts w:ascii="Arial" w:hAnsi="Arial" w:cs="Arial"/>
          <w:b/>
        </w:rPr>
      </w:pPr>
      <w:r w:rsidRPr="00313E9A">
        <w:rPr>
          <w:rFonts w:ascii="Arial" w:hAnsi="Arial" w:cs="Arial"/>
          <w:noProof/>
        </w:rPr>
        <w:lastRenderedPageBreak/>
        <w:drawing>
          <wp:inline distT="0" distB="0" distL="0" distR="0" wp14:anchorId="1C2D8EF0" wp14:editId="1AD143BD">
            <wp:extent cx="5129566" cy="3062689"/>
            <wp:effectExtent l="0" t="0" r="0" b="0"/>
            <wp:docPr id="6" name="Image 5">
              <a:extLst xmlns:a="http://schemas.openxmlformats.org/drawingml/2006/main">
                <a:ext uri="{FF2B5EF4-FFF2-40B4-BE49-F238E27FC236}">
                  <a16:creationId xmlns:a16="http://schemas.microsoft.com/office/drawing/2014/main" id="{2B41B943-6725-4743-845A-7862C3D0FB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2B41B943-6725-4743-845A-7862C3D0FB52}"/>
                        </a:ext>
                      </a:extLst>
                    </pic:cNvPr>
                    <pic:cNvPicPr>
                      <a:picLocks noChangeAspect="1"/>
                    </pic:cNvPicPr>
                  </pic:nvPicPr>
                  <pic:blipFill>
                    <a:blip r:embed="rId15"/>
                    <a:stretch>
                      <a:fillRect/>
                    </a:stretch>
                  </pic:blipFill>
                  <pic:spPr>
                    <a:xfrm>
                      <a:off x="0" y="0"/>
                      <a:ext cx="5139312" cy="3068508"/>
                    </a:xfrm>
                    <a:prstGeom prst="rect">
                      <a:avLst/>
                    </a:prstGeom>
                  </pic:spPr>
                </pic:pic>
              </a:graphicData>
            </a:graphic>
          </wp:inline>
        </w:drawing>
      </w:r>
    </w:p>
    <w:p w14:paraId="0FA2A169" w14:textId="4208DA2E" w:rsidR="00ED7224" w:rsidRPr="00313E9A" w:rsidRDefault="00ED7224" w:rsidP="00ED7224">
      <w:pPr>
        <w:spacing w:before="100" w:beforeAutospacing="1"/>
        <w:rPr>
          <w:rFonts w:ascii="Arial" w:hAnsi="Arial" w:cs="Arial"/>
        </w:rPr>
      </w:pPr>
      <w:r w:rsidRPr="00313E9A">
        <w:rPr>
          <w:rFonts w:ascii="Arial" w:hAnsi="Arial" w:cs="Arial"/>
          <w:b/>
        </w:rPr>
        <w:t>Fig</w:t>
      </w:r>
      <w:r w:rsidR="001A026C" w:rsidRPr="00313E9A">
        <w:rPr>
          <w:rFonts w:ascii="Arial" w:hAnsi="Arial" w:cs="Arial"/>
          <w:b/>
        </w:rPr>
        <w:t>.</w:t>
      </w:r>
      <w:r w:rsidRPr="00313E9A">
        <w:rPr>
          <w:rFonts w:ascii="Arial" w:hAnsi="Arial" w:cs="Arial"/>
          <w:b/>
        </w:rPr>
        <w:t xml:space="preserve"> 2: Localization of the Delta du Saloum National Park and the seabirds breeding area.</w:t>
      </w:r>
      <w:r w:rsidRPr="00313E9A">
        <w:rPr>
          <w:rFonts w:ascii="Arial" w:hAnsi="Arial" w:cs="Arial"/>
        </w:rPr>
        <w:t xml:space="preserve"> </w:t>
      </w:r>
    </w:p>
    <w:p w14:paraId="6D170558" w14:textId="77777777" w:rsidR="00ED7224" w:rsidRPr="00313E9A" w:rsidRDefault="00ED7224" w:rsidP="00ED7224">
      <w:pPr>
        <w:pStyle w:val="Body"/>
        <w:spacing w:after="0"/>
        <w:rPr>
          <w:rFonts w:ascii="Arial" w:hAnsi="Arial" w:cs="Arial"/>
          <w:b/>
          <w:u w:val="single"/>
        </w:rPr>
      </w:pPr>
    </w:p>
    <w:p w14:paraId="2734F6C2" w14:textId="77777777" w:rsidR="00B05889" w:rsidRPr="00313E9A" w:rsidRDefault="00B05889" w:rsidP="00B05889">
      <w:pPr>
        <w:pStyle w:val="Body"/>
        <w:spacing w:after="0"/>
        <w:rPr>
          <w:rFonts w:ascii="Arial" w:hAnsi="Arial" w:cs="Arial"/>
          <w:b/>
          <w:sz w:val="22"/>
        </w:rPr>
      </w:pPr>
      <w:r w:rsidRPr="00313E9A">
        <w:rPr>
          <w:rFonts w:ascii="Arial" w:hAnsi="Arial" w:cs="Arial"/>
          <w:b/>
          <w:caps/>
          <w:sz w:val="22"/>
        </w:rPr>
        <w:t xml:space="preserve">2.2 </w:t>
      </w:r>
      <w:r w:rsidRPr="00313E9A">
        <w:rPr>
          <w:rFonts w:ascii="Arial" w:hAnsi="Arial" w:cs="Arial"/>
          <w:b/>
          <w:sz w:val="22"/>
        </w:rPr>
        <w:t xml:space="preserve">Sample collection </w:t>
      </w:r>
    </w:p>
    <w:p w14:paraId="35EB38A2" w14:textId="0613E440" w:rsidR="00B05889" w:rsidRDefault="00B05889" w:rsidP="00B05889">
      <w:pPr>
        <w:pStyle w:val="Body"/>
        <w:spacing w:after="0"/>
        <w:rPr>
          <w:rFonts w:ascii="Arial" w:hAnsi="Arial" w:cs="Arial"/>
        </w:rPr>
      </w:pPr>
      <w:r w:rsidRPr="00313E9A">
        <w:rPr>
          <w:rFonts w:ascii="Arial" w:hAnsi="Arial" w:cs="Arial"/>
        </w:rPr>
        <w:t>Sampling focused exclusively on eggs of the two-target species. For each species, ten eggs were collected in each park (PNLB and PNDS) during June 2019, which corresponds to the breeding season. Eggs were collected directly from nesting sites with special care taken to minimize disturbance to bird colonies (Fig</w:t>
      </w:r>
      <w:r w:rsidR="001A026C" w:rsidRPr="00313E9A">
        <w:rPr>
          <w:rFonts w:ascii="Arial" w:hAnsi="Arial" w:cs="Arial"/>
        </w:rPr>
        <w:t>.</w:t>
      </w:r>
      <w:r w:rsidRPr="00313E9A">
        <w:rPr>
          <w:rFonts w:ascii="Arial" w:hAnsi="Arial" w:cs="Arial"/>
        </w:rPr>
        <w:t xml:space="preserve"> 1 and 2). Immediately after collection, the eggs were placed in insulated polystyrene coolers with ice to preserve their integrity during transport to the laboratory.</w:t>
      </w:r>
      <w:r w:rsidR="00A32C06">
        <w:rPr>
          <w:rFonts w:ascii="Arial" w:hAnsi="Arial" w:cs="Arial"/>
        </w:rPr>
        <w:t xml:space="preserve"> </w:t>
      </w:r>
    </w:p>
    <w:p w14:paraId="44282F96" w14:textId="3D04AF53" w:rsidR="00A32C06" w:rsidRPr="00A32C06" w:rsidRDefault="00A32C06" w:rsidP="00B05889">
      <w:pPr>
        <w:pStyle w:val="Body"/>
        <w:spacing w:after="0"/>
        <w:rPr>
          <w:rFonts w:ascii="Arial" w:hAnsi="Arial" w:cs="Arial"/>
          <w:sz w:val="22"/>
        </w:rPr>
      </w:pPr>
      <w:r w:rsidRPr="00A32C06">
        <w:rPr>
          <w:rFonts w:ascii="Arial" w:hAnsi="Arial" w:cs="Arial"/>
          <w:sz w:val="22"/>
          <w:highlight w:val="yellow"/>
        </w:rPr>
        <w:t>All egg samples were collected under official permits issued by the Directorate of National Parks of Senegal. To ensure compliance with non-destructive sampling protocols and minimize disturbance to breeding colonies, only abandoned and non-viable eggs were sampled</w:t>
      </w:r>
      <w:r w:rsidRPr="00A32C06">
        <w:rPr>
          <w:rFonts w:ascii="Arial" w:hAnsi="Arial" w:cs="Arial"/>
          <w:sz w:val="22"/>
          <w:highlight w:val="yellow"/>
        </w:rPr>
        <w:t>.</w:t>
      </w:r>
      <w:r w:rsidRPr="00A32C06">
        <w:rPr>
          <w:rFonts w:ascii="Arial" w:hAnsi="Arial" w:cs="Arial"/>
          <w:sz w:val="22"/>
        </w:rPr>
        <w:t xml:space="preserve"> </w:t>
      </w:r>
    </w:p>
    <w:p w14:paraId="1BE8759F" w14:textId="77777777" w:rsidR="00505F06" w:rsidRPr="00313E9A" w:rsidRDefault="00505F06" w:rsidP="00441B6F">
      <w:pPr>
        <w:pStyle w:val="Body"/>
        <w:spacing w:after="0"/>
        <w:rPr>
          <w:rFonts w:ascii="Arial" w:hAnsi="Arial" w:cs="Arial"/>
        </w:rPr>
      </w:pPr>
    </w:p>
    <w:p w14:paraId="3FF51546" w14:textId="77777777" w:rsidR="00B05889" w:rsidRPr="00313E9A" w:rsidRDefault="00B05889" w:rsidP="00B05889">
      <w:pPr>
        <w:pStyle w:val="Body"/>
        <w:spacing w:after="0"/>
        <w:rPr>
          <w:rFonts w:ascii="Arial" w:hAnsi="Arial" w:cs="Arial"/>
          <w:b/>
          <w:sz w:val="22"/>
        </w:rPr>
      </w:pPr>
      <w:r w:rsidRPr="00313E9A">
        <w:rPr>
          <w:rFonts w:ascii="Arial" w:hAnsi="Arial" w:cs="Arial"/>
          <w:b/>
          <w:caps/>
          <w:sz w:val="22"/>
        </w:rPr>
        <w:t xml:space="preserve">2.3 </w:t>
      </w:r>
      <w:r w:rsidRPr="00313E9A">
        <w:rPr>
          <w:rFonts w:ascii="Arial" w:hAnsi="Arial" w:cs="Arial"/>
          <w:b/>
          <w:sz w:val="22"/>
        </w:rPr>
        <w:t>Chemical analysis</w:t>
      </w:r>
    </w:p>
    <w:p w14:paraId="383E0755" w14:textId="77777777" w:rsidR="00052561" w:rsidRPr="00313E9A" w:rsidRDefault="00052561" w:rsidP="00052561">
      <w:pPr>
        <w:pStyle w:val="Body"/>
        <w:spacing w:after="0"/>
        <w:rPr>
          <w:rFonts w:ascii="Arial" w:hAnsi="Arial" w:cs="Arial"/>
        </w:rPr>
      </w:pPr>
      <w:r w:rsidRPr="00313E9A">
        <w:rPr>
          <w:rFonts w:ascii="Arial" w:hAnsi="Arial" w:cs="Arial"/>
        </w:rPr>
        <w:t>Analyses were performed on both egg contents and shells to assess the possibility of pollutant elimination through the eggshells.</w:t>
      </w:r>
    </w:p>
    <w:p w14:paraId="3EAC06BF" w14:textId="77777777" w:rsidR="00052561" w:rsidRPr="00313E9A" w:rsidRDefault="00052561" w:rsidP="00052561">
      <w:pPr>
        <w:pStyle w:val="Body"/>
        <w:spacing w:after="0"/>
        <w:rPr>
          <w:rFonts w:ascii="Arial" w:hAnsi="Arial" w:cs="Arial"/>
        </w:rPr>
      </w:pPr>
    </w:p>
    <w:p w14:paraId="688B9012" w14:textId="77777777" w:rsidR="00B05889" w:rsidRPr="00313E9A" w:rsidRDefault="00B05889" w:rsidP="00B05889">
      <w:pPr>
        <w:pStyle w:val="Body"/>
        <w:spacing w:after="0"/>
        <w:rPr>
          <w:rFonts w:ascii="Arial" w:hAnsi="Arial" w:cs="Arial"/>
          <w:b/>
          <w:sz w:val="22"/>
        </w:rPr>
      </w:pPr>
      <w:r w:rsidRPr="00313E9A">
        <w:rPr>
          <w:rFonts w:ascii="Arial" w:hAnsi="Arial" w:cs="Arial"/>
          <w:b/>
          <w:u w:val="single"/>
        </w:rPr>
        <w:t>2.3.1 Trace metal</w:t>
      </w:r>
      <w:r w:rsidR="00052561" w:rsidRPr="00313E9A">
        <w:rPr>
          <w:rFonts w:ascii="Arial" w:hAnsi="Arial" w:cs="Arial"/>
          <w:b/>
          <w:u w:val="single"/>
        </w:rPr>
        <w:t>s</w:t>
      </w:r>
    </w:p>
    <w:p w14:paraId="4D22F5B4" w14:textId="02FD4C3A" w:rsidR="00B05889" w:rsidRPr="000173F3" w:rsidRDefault="00052561" w:rsidP="00441B6F">
      <w:pPr>
        <w:pStyle w:val="Body"/>
        <w:spacing w:after="0"/>
        <w:rPr>
          <w:rFonts w:ascii="Arial" w:hAnsi="Arial" w:cs="Arial"/>
        </w:rPr>
      </w:pPr>
      <w:r w:rsidRPr="00313E9A">
        <w:rPr>
          <w:rFonts w:ascii="Arial" w:hAnsi="Arial" w:cs="Arial"/>
        </w:rPr>
        <w:t>For atomic absorption spectrometry (AAS110) calibration, analytical standards of Pb, Cd, and Hg were used. For each sample (content and shell), 0.5 g was digested using 15 mL of 65% nitric acid, 3 mL of hydrochloric acid, and 0.5 mL of perchloric acid in Pyrex volumetric flasks, along with 6 mL of 1% nitric acid. The digested solutions were diluted to 50 mL with acidified water (0.1 N), and metal concentrations were measured using graphite furnace AAS (AAS110). Mercury was quantified using cold vapor atomic absorption spectrometry (CV-AAS110). Calibration solutions were prepared for each metal, and fortified sample were used to calculate recovery rates, with spike concentrations within the calibration range. All concentrations are expressed in mg/kg (wet weight (ww) for egg contents and dry weight (</w:t>
      </w:r>
      <w:proofErr w:type="spellStart"/>
      <w:r w:rsidRPr="00313E9A">
        <w:rPr>
          <w:rFonts w:ascii="Arial" w:hAnsi="Arial" w:cs="Arial"/>
        </w:rPr>
        <w:t>dw</w:t>
      </w:r>
      <w:proofErr w:type="spellEnd"/>
      <w:r w:rsidRPr="00313E9A">
        <w:rPr>
          <w:rFonts w:ascii="Arial" w:hAnsi="Arial" w:cs="Arial"/>
        </w:rPr>
        <w:t xml:space="preserve">) for eggshells). </w:t>
      </w:r>
      <w:r w:rsidR="000173F3" w:rsidRPr="00F36385">
        <w:rPr>
          <w:rFonts w:ascii="Arial" w:hAnsi="Arial" w:cs="Arial"/>
          <w:highlight w:val="yellow"/>
        </w:rPr>
        <w:t>The limits of quantification (LOQs) for Pb, Cd, and Hg were 0.05, 0.005, and 0.01 mg/kg, respectively.</w:t>
      </w:r>
    </w:p>
    <w:p w14:paraId="5138DB32" w14:textId="77777777" w:rsidR="00052561" w:rsidRPr="000173F3" w:rsidRDefault="00052561" w:rsidP="00441B6F">
      <w:pPr>
        <w:pStyle w:val="Body"/>
        <w:spacing w:after="0"/>
        <w:rPr>
          <w:rFonts w:ascii="Arial" w:hAnsi="Arial" w:cs="Arial"/>
        </w:rPr>
      </w:pPr>
    </w:p>
    <w:p w14:paraId="0D3E0115" w14:textId="77777777" w:rsidR="007847E2" w:rsidRPr="000173F3" w:rsidRDefault="007847E2" w:rsidP="00052561">
      <w:pPr>
        <w:pStyle w:val="Body"/>
        <w:spacing w:after="0"/>
        <w:rPr>
          <w:rFonts w:ascii="Arial" w:hAnsi="Arial" w:cs="Arial"/>
          <w:b/>
          <w:u w:val="single"/>
        </w:rPr>
      </w:pPr>
    </w:p>
    <w:p w14:paraId="1EBC3608" w14:textId="77777777" w:rsidR="00052561" w:rsidRPr="00313E9A" w:rsidRDefault="00052561" w:rsidP="00052561">
      <w:pPr>
        <w:pStyle w:val="Body"/>
        <w:spacing w:after="0"/>
        <w:rPr>
          <w:rFonts w:ascii="Arial" w:hAnsi="Arial" w:cs="Arial"/>
          <w:b/>
          <w:u w:val="single"/>
        </w:rPr>
      </w:pPr>
      <w:r w:rsidRPr="00313E9A">
        <w:rPr>
          <w:rFonts w:ascii="Arial" w:hAnsi="Arial" w:cs="Arial"/>
          <w:b/>
          <w:u w:val="single"/>
        </w:rPr>
        <w:t>2.3.2 Polycyclic Aromatic Hydrocarbons (PAHs)</w:t>
      </w:r>
    </w:p>
    <w:p w14:paraId="35719B9C" w14:textId="77777777" w:rsidR="00052561" w:rsidRPr="00313E9A" w:rsidRDefault="00052561" w:rsidP="00052561">
      <w:pPr>
        <w:pStyle w:val="Body"/>
        <w:spacing w:after="0"/>
        <w:rPr>
          <w:rFonts w:ascii="Arial" w:hAnsi="Arial" w:cs="Arial"/>
        </w:rPr>
      </w:pPr>
      <w:r w:rsidRPr="00313E9A">
        <w:rPr>
          <w:rFonts w:ascii="Arial" w:hAnsi="Arial" w:cs="Arial"/>
        </w:rPr>
        <w:t xml:space="preserve">The priority PAHs identified by the US EPA were extracted from homogenized egg contents and shells using a modified </w:t>
      </w:r>
      <w:proofErr w:type="spellStart"/>
      <w:r w:rsidRPr="00313E9A">
        <w:rPr>
          <w:rFonts w:ascii="Arial" w:hAnsi="Arial" w:cs="Arial"/>
        </w:rPr>
        <w:t>QuEChERS</w:t>
      </w:r>
      <w:proofErr w:type="spellEnd"/>
      <w:r w:rsidRPr="00313E9A">
        <w:rPr>
          <w:rFonts w:ascii="Arial" w:hAnsi="Arial" w:cs="Arial"/>
        </w:rPr>
        <w:t xml:space="preserve"> protocol (AOAC), as described by Pule et al. (2012). Extracts were analyzed using gas chromatography-mass spectrometry (GC/MS) on a Varian model 1200 system, with a DB-5MS capillary column (30 m × 0.25 mm × 0.25 µm). Injections were performed in </w:t>
      </w:r>
      <w:proofErr w:type="spellStart"/>
      <w:r w:rsidRPr="00313E9A">
        <w:rPr>
          <w:rFonts w:ascii="Arial" w:hAnsi="Arial" w:cs="Arial"/>
        </w:rPr>
        <w:t>splitless</w:t>
      </w:r>
      <w:proofErr w:type="spellEnd"/>
      <w:r w:rsidRPr="00313E9A">
        <w:rPr>
          <w:rFonts w:ascii="Arial" w:hAnsi="Arial" w:cs="Arial"/>
        </w:rPr>
        <w:t xml:space="preserve"> mode (1 </w:t>
      </w:r>
      <w:proofErr w:type="spellStart"/>
      <w:r w:rsidRPr="00313E9A">
        <w:rPr>
          <w:rFonts w:ascii="Arial" w:hAnsi="Arial" w:cs="Arial"/>
        </w:rPr>
        <w:t>μL</w:t>
      </w:r>
      <w:proofErr w:type="spellEnd"/>
      <w:r w:rsidRPr="00313E9A">
        <w:rPr>
          <w:rFonts w:ascii="Arial" w:hAnsi="Arial" w:cs="Arial"/>
        </w:rPr>
        <w:t xml:space="preserve">), with injector and </w:t>
      </w:r>
      <w:r w:rsidRPr="00313E9A">
        <w:rPr>
          <w:rFonts w:ascii="Arial" w:hAnsi="Arial" w:cs="Arial"/>
        </w:rPr>
        <w:lastRenderedPageBreak/>
        <w:t>source temperatures set at 295 °C and 280 °C, respectively. Mass scanning was conducted from 50 to 500 m/z, using helium as the carrier gas at a constant flow of 1 mL/min. PAH quantification was performed using selective reaction monitoring (SRM). All reagents and standards were provided by Sigma-Aldrich.</w:t>
      </w:r>
    </w:p>
    <w:p w14:paraId="626B8D2E" w14:textId="77777777" w:rsidR="00052561" w:rsidRPr="00313E9A" w:rsidRDefault="00052561" w:rsidP="00052561">
      <w:pPr>
        <w:pStyle w:val="Body"/>
        <w:spacing w:after="0"/>
        <w:rPr>
          <w:rFonts w:ascii="Arial" w:hAnsi="Arial" w:cs="Arial"/>
          <w:b/>
          <w:sz w:val="22"/>
        </w:rPr>
      </w:pPr>
    </w:p>
    <w:p w14:paraId="531411ED" w14:textId="77777777" w:rsidR="00052561" w:rsidRPr="00313E9A" w:rsidRDefault="00052561" w:rsidP="00052561">
      <w:pPr>
        <w:pStyle w:val="Body"/>
        <w:spacing w:after="0"/>
        <w:rPr>
          <w:rFonts w:ascii="Arial" w:hAnsi="Arial" w:cs="Arial"/>
          <w:b/>
          <w:u w:val="single"/>
        </w:rPr>
      </w:pPr>
      <w:r w:rsidRPr="00313E9A">
        <w:rPr>
          <w:rFonts w:ascii="Arial" w:hAnsi="Arial" w:cs="Arial"/>
          <w:b/>
          <w:u w:val="single"/>
        </w:rPr>
        <w:t>2.3.3 Quality Assurance and Quality Control</w:t>
      </w:r>
    </w:p>
    <w:p w14:paraId="4400805F" w14:textId="77777777" w:rsidR="00052561" w:rsidRPr="00313E9A" w:rsidRDefault="00052561" w:rsidP="00052561">
      <w:pPr>
        <w:pStyle w:val="Body"/>
        <w:spacing w:after="0"/>
        <w:rPr>
          <w:rFonts w:ascii="Arial" w:hAnsi="Arial" w:cs="Arial"/>
          <w:b/>
          <w:u w:val="single"/>
        </w:rPr>
      </w:pPr>
      <w:r w:rsidRPr="00313E9A">
        <w:rPr>
          <w:rFonts w:ascii="Arial" w:hAnsi="Arial" w:cs="Arial"/>
        </w:rPr>
        <w:t xml:space="preserve">A comprehensive quality assurance and quality control (QA/QC) protocol was implemented to ensure the accuracy, precision, and reliability of trace element and polycyclic aromatic hydrocarbon (PAH) analyses. For PAHs, analytical accuracy was assessed using three test samples prepared from a homogenized reference material. One sample was fortified with 1 µL of a PAH standard solution (2,000 µg/mL), whereas the remaining two samples were left </w:t>
      </w:r>
      <w:proofErr w:type="spellStart"/>
      <w:r w:rsidRPr="00313E9A">
        <w:rPr>
          <w:rFonts w:ascii="Arial" w:hAnsi="Arial" w:cs="Arial"/>
        </w:rPr>
        <w:t>unspiked</w:t>
      </w:r>
      <w:proofErr w:type="spellEnd"/>
      <w:r w:rsidRPr="00313E9A">
        <w:rPr>
          <w:rFonts w:ascii="Arial" w:hAnsi="Arial" w:cs="Arial"/>
        </w:rPr>
        <w:t>. Recovery rates were subsequently calculated and ranged from 85% to 97%, indicating satisfactory method performance. For trace element analyses, multi-element calibration curves were established using certified single-element standard solutions (SCP Science). Instrument stability, calibration accuracy, and analytical precision were monitored throughout the analytical sequence by injecting calibration verification standards after every three samples. The resulting recoveries ranged from 81% to 95%, confirming the reliability and robustness of the analytical procedure.</w:t>
      </w:r>
    </w:p>
    <w:p w14:paraId="62499D18" w14:textId="77777777" w:rsidR="00052561" w:rsidRPr="00313E9A" w:rsidRDefault="00052561" w:rsidP="00052561">
      <w:pPr>
        <w:pStyle w:val="Body"/>
        <w:spacing w:after="0"/>
        <w:rPr>
          <w:rFonts w:ascii="Arial" w:hAnsi="Arial" w:cs="Arial"/>
          <w:b/>
          <w:sz w:val="22"/>
        </w:rPr>
      </w:pPr>
    </w:p>
    <w:p w14:paraId="3D1C80BA" w14:textId="77777777" w:rsidR="00052561" w:rsidRPr="00313E9A" w:rsidRDefault="00052561" w:rsidP="00052561">
      <w:pPr>
        <w:pStyle w:val="Body"/>
        <w:spacing w:after="0"/>
        <w:rPr>
          <w:rFonts w:ascii="Arial" w:hAnsi="Arial" w:cs="Arial"/>
          <w:b/>
          <w:sz w:val="22"/>
        </w:rPr>
      </w:pPr>
      <w:r w:rsidRPr="00313E9A">
        <w:rPr>
          <w:rFonts w:ascii="Arial" w:hAnsi="Arial" w:cs="Arial"/>
          <w:b/>
          <w:caps/>
          <w:sz w:val="22"/>
        </w:rPr>
        <w:t xml:space="preserve">2.4 </w:t>
      </w:r>
      <w:r w:rsidRPr="00313E9A">
        <w:rPr>
          <w:rFonts w:ascii="Arial" w:hAnsi="Arial" w:cs="Arial"/>
          <w:b/>
          <w:sz w:val="22"/>
        </w:rPr>
        <w:t>Statistical analysis</w:t>
      </w:r>
    </w:p>
    <w:p w14:paraId="098345B4" w14:textId="77777777" w:rsidR="00052561" w:rsidRPr="00313E9A" w:rsidRDefault="00052561" w:rsidP="00052561">
      <w:pPr>
        <w:pStyle w:val="Body"/>
        <w:spacing w:after="0"/>
        <w:rPr>
          <w:rFonts w:ascii="Arial" w:hAnsi="Arial" w:cs="Arial"/>
          <w:b/>
          <w:sz w:val="22"/>
        </w:rPr>
      </w:pPr>
      <w:r w:rsidRPr="00313E9A">
        <w:rPr>
          <w:rFonts w:ascii="Arial" w:hAnsi="Arial" w:cs="Arial"/>
        </w:rPr>
        <w:t>Data normality and homogeneity of variances were verified using the Shapiro-Wilk and Levene’s tests, respectively. As the assumptions of normality were not always met, non-parametric Wilcoxon tests were applied to assess differences among categories. Results are reported as p-values ranging from 0 to 1, with a threshold of p ≤ 0.05 considered statistically significant.</w:t>
      </w:r>
    </w:p>
    <w:p w14:paraId="0C15AD9C" w14:textId="77777777" w:rsidR="00790ADA" w:rsidRPr="00313E9A" w:rsidRDefault="00790ADA" w:rsidP="00441B6F">
      <w:pPr>
        <w:pStyle w:val="Body"/>
        <w:spacing w:after="0"/>
        <w:rPr>
          <w:rFonts w:ascii="Arial" w:hAnsi="Arial" w:cs="Arial"/>
        </w:rPr>
      </w:pPr>
    </w:p>
    <w:p w14:paraId="36B1FB63" w14:textId="77777777" w:rsidR="00902823" w:rsidRPr="00313E9A" w:rsidRDefault="00000F8F" w:rsidP="00441B6F">
      <w:pPr>
        <w:pStyle w:val="Head1"/>
        <w:spacing w:after="0"/>
        <w:jc w:val="both"/>
        <w:rPr>
          <w:rFonts w:ascii="Arial" w:hAnsi="Arial" w:cs="Arial"/>
        </w:rPr>
      </w:pPr>
      <w:r w:rsidRPr="00313E9A">
        <w:rPr>
          <w:rFonts w:ascii="Arial" w:hAnsi="Arial" w:cs="Arial"/>
        </w:rPr>
        <w:t>3</w:t>
      </w:r>
      <w:r w:rsidR="00902823" w:rsidRPr="00313E9A">
        <w:rPr>
          <w:rFonts w:ascii="Arial" w:hAnsi="Arial" w:cs="Arial"/>
        </w:rPr>
        <w:t xml:space="preserve">. </w:t>
      </w:r>
      <w:r w:rsidRPr="00313E9A">
        <w:rPr>
          <w:rFonts w:ascii="Arial" w:hAnsi="Arial" w:cs="Arial"/>
        </w:rPr>
        <w:t>results</w:t>
      </w:r>
    </w:p>
    <w:p w14:paraId="6505C3E7" w14:textId="77777777" w:rsidR="00790ADA" w:rsidRPr="00313E9A" w:rsidRDefault="00D61FA0" w:rsidP="007847E2">
      <w:pPr>
        <w:pStyle w:val="Body"/>
        <w:spacing w:after="0"/>
        <w:rPr>
          <w:rFonts w:ascii="Arial" w:hAnsi="Arial" w:cs="Arial"/>
          <w:b/>
          <w:sz w:val="22"/>
        </w:rPr>
      </w:pPr>
      <w:r w:rsidRPr="00313E9A">
        <w:rPr>
          <w:rFonts w:ascii="Arial" w:hAnsi="Arial" w:cs="Arial"/>
          <w:b/>
          <w:caps/>
          <w:sz w:val="22"/>
        </w:rPr>
        <w:t xml:space="preserve">3.1 </w:t>
      </w:r>
      <w:r w:rsidRPr="00313E9A">
        <w:rPr>
          <w:rFonts w:ascii="Arial" w:hAnsi="Arial" w:cs="Arial"/>
          <w:b/>
          <w:sz w:val="22"/>
        </w:rPr>
        <w:t>Trace metals in eggshells and egg contents</w:t>
      </w:r>
    </w:p>
    <w:p w14:paraId="293964F0" w14:textId="77777777" w:rsidR="00502516" w:rsidRPr="00313E9A" w:rsidRDefault="00D61FA0" w:rsidP="00441B6F">
      <w:pPr>
        <w:pStyle w:val="Body"/>
        <w:spacing w:after="0"/>
        <w:rPr>
          <w:rFonts w:ascii="Arial" w:hAnsi="Arial" w:cs="Arial"/>
        </w:rPr>
      </w:pPr>
      <w:r w:rsidRPr="00313E9A">
        <w:rPr>
          <w:rFonts w:ascii="Arial" w:hAnsi="Arial" w:cs="Arial"/>
        </w:rPr>
        <w:t xml:space="preserve">At PNLB, trace element concentrations in both eggshells and egg contents reveal significant lead (Pb) contamination in both studied species (Figure 3). In royal terns, eggshells exhibited relatively high Pb levels, averaging 1.38 ± 0.1 mg/kg </w:t>
      </w:r>
      <w:proofErr w:type="spellStart"/>
      <w:r w:rsidRPr="00313E9A">
        <w:rPr>
          <w:rFonts w:ascii="Arial" w:hAnsi="Arial" w:cs="Arial"/>
        </w:rPr>
        <w:t>dw</w:t>
      </w:r>
      <w:proofErr w:type="spellEnd"/>
      <w:r w:rsidRPr="00313E9A">
        <w:rPr>
          <w:rFonts w:ascii="Arial" w:hAnsi="Arial" w:cs="Arial"/>
        </w:rPr>
        <w:t xml:space="preserve">, followed by cadmium (Cd) at 0.52 ± 0.02 mg/kg </w:t>
      </w:r>
      <w:proofErr w:type="spellStart"/>
      <w:r w:rsidRPr="00313E9A">
        <w:rPr>
          <w:rFonts w:ascii="Arial" w:hAnsi="Arial" w:cs="Arial"/>
        </w:rPr>
        <w:t>dw</w:t>
      </w:r>
      <w:proofErr w:type="spellEnd"/>
      <w:r w:rsidRPr="00313E9A">
        <w:rPr>
          <w:rFonts w:ascii="Arial" w:hAnsi="Arial" w:cs="Arial"/>
        </w:rPr>
        <w:t xml:space="preserve"> and mercury (Hg) at 0.05 ± 0.01 mg/kg </w:t>
      </w:r>
      <w:proofErr w:type="spellStart"/>
      <w:r w:rsidRPr="00313E9A">
        <w:rPr>
          <w:rFonts w:ascii="Arial" w:hAnsi="Arial" w:cs="Arial"/>
        </w:rPr>
        <w:t>dw</w:t>
      </w:r>
      <w:proofErr w:type="spellEnd"/>
      <w:r w:rsidRPr="00313E9A">
        <w:rPr>
          <w:rFonts w:ascii="Arial" w:hAnsi="Arial" w:cs="Arial"/>
        </w:rPr>
        <w:t xml:space="preserve"> (Figure 3a). In the egg contents, Pb concentrations were more than twice as low (0.53 ± 0.04 mg/kg ww) compared to those in the shells (Figure 3b). Cd concentrations in the contents (0.54 ± 0.06 mg/kg ww) were similar to those in the shells, while Hg levels were considerably higher in the contents. In the grey-headed gull, similar trends were observed (Figure 3b). Pb was the most abundant element in the eggshells (0.78 ± 0.3 mg/kg </w:t>
      </w:r>
      <w:proofErr w:type="spellStart"/>
      <w:r w:rsidRPr="00313E9A">
        <w:rPr>
          <w:rFonts w:ascii="Arial" w:hAnsi="Arial" w:cs="Arial"/>
        </w:rPr>
        <w:t>dw</w:t>
      </w:r>
      <w:proofErr w:type="spellEnd"/>
      <w:r w:rsidRPr="00313E9A">
        <w:rPr>
          <w:rFonts w:ascii="Arial" w:hAnsi="Arial" w:cs="Arial"/>
        </w:rPr>
        <w:t xml:space="preserve">), followed by the contents (0.36 ± 0.03 mg/kg ww). Slight variations were recorded for Cd, with 0.29 ± 0.01 mg/kg </w:t>
      </w:r>
      <w:proofErr w:type="spellStart"/>
      <w:r w:rsidRPr="00313E9A">
        <w:rPr>
          <w:rFonts w:ascii="Arial" w:hAnsi="Arial" w:cs="Arial"/>
        </w:rPr>
        <w:t>dw</w:t>
      </w:r>
      <w:proofErr w:type="spellEnd"/>
      <w:r w:rsidRPr="00313E9A">
        <w:rPr>
          <w:rFonts w:ascii="Arial" w:hAnsi="Arial" w:cs="Arial"/>
        </w:rPr>
        <w:t xml:space="preserve"> in the shells and 0.23 ± 0.02 mg/kg ww in the contents. Mercury was quantified only in the egg contents</w:t>
      </w:r>
    </w:p>
    <w:p w14:paraId="19E213DF" w14:textId="77777777" w:rsidR="00804511" w:rsidRPr="00313E9A" w:rsidRDefault="00804511" w:rsidP="00441B6F">
      <w:pPr>
        <w:pStyle w:val="Body"/>
        <w:spacing w:after="0"/>
        <w:rPr>
          <w:rFonts w:ascii="Arial" w:hAnsi="Arial" w:cs="Arial"/>
        </w:rPr>
      </w:pPr>
    </w:p>
    <w:p w14:paraId="11210CD5" w14:textId="77777777" w:rsidR="00804511" w:rsidRPr="00313E9A" w:rsidRDefault="00804511" w:rsidP="00804511">
      <w:pPr>
        <w:jc w:val="both"/>
        <w:rPr>
          <w:rFonts w:ascii="Arial" w:hAnsi="Arial" w:cs="Arial"/>
        </w:rPr>
      </w:pPr>
      <w:r w:rsidRPr="00313E9A">
        <w:rPr>
          <w:rFonts w:ascii="Arial" w:hAnsi="Arial" w:cs="Arial"/>
        </w:rPr>
        <w:t xml:space="preserve">At PNDS, Pb concentrations in royal tern eggs reached 1.53 ± 0.3 mg/kg </w:t>
      </w:r>
      <w:proofErr w:type="spellStart"/>
      <w:r w:rsidRPr="00313E9A">
        <w:rPr>
          <w:rFonts w:ascii="Arial" w:hAnsi="Arial" w:cs="Arial"/>
        </w:rPr>
        <w:t>dw</w:t>
      </w:r>
      <w:proofErr w:type="spellEnd"/>
      <w:r w:rsidRPr="00313E9A">
        <w:rPr>
          <w:rFonts w:ascii="Arial" w:hAnsi="Arial" w:cs="Arial"/>
        </w:rPr>
        <w:t xml:space="preserve"> in the shells and 1.35 ± 0.1 mg/kg ww in the contents (Figure 4a). Cd was detected at moderate levels (0.35 ± 0.05 mg/kg </w:t>
      </w:r>
      <w:proofErr w:type="spellStart"/>
      <w:r w:rsidRPr="00313E9A">
        <w:rPr>
          <w:rFonts w:ascii="Arial" w:hAnsi="Arial" w:cs="Arial"/>
        </w:rPr>
        <w:t>dw</w:t>
      </w:r>
      <w:proofErr w:type="spellEnd"/>
      <w:r w:rsidRPr="00313E9A">
        <w:rPr>
          <w:rFonts w:ascii="Arial" w:hAnsi="Arial" w:cs="Arial"/>
        </w:rPr>
        <w:t xml:space="preserve"> in shells, 0.31 ± 0.02 mg/kg ww in contents). Mercury was absent from the eggshells but present in the contents (0.31 ± 0.03 mg/kg ww). In grey-headed gulls, Pb concentrations were also notable (0.79 ± 0.2 mg/kg </w:t>
      </w:r>
      <w:proofErr w:type="spellStart"/>
      <w:r w:rsidRPr="00313E9A">
        <w:rPr>
          <w:rFonts w:ascii="Arial" w:hAnsi="Arial" w:cs="Arial"/>
        </w:rPr>
        <w:t>dw</w:t>
      </w:r>
      <w:proofErr w:type="spellEnd"/>
      <w:r w:rsidRPr="00313E9A">
        <w:rPr>
          <w:rFonts w:ascii="Arial" w:hAnsi="Arial" w:cs="Arial"/>
        </w:rPr>
        <w:t xml:space="preserve"> in shells, 0.27 ± 0.03 mg/kg ww in contents) (Figure 4b). Cd was barely quantifiable in the shells (0.12 ± 0.01 mg/kg </w:t>
      </w:r>
      <w:proofErr w:type="spellStart"/>
      <w:r w:rsidRPr="00313E9A">
        <w:rPr>
          <w:rFonts w:ascii="Arial" w:hAnsi="Arial" w:cs="Arial"/>
        </w:rPr>
        <w:t>dw</w:t>
      </w:r>
      <w:proofErr w:type="spellEnd"/>
      <w:r w:rsidRPr="00313E9A">
        <w:rPr>
          <w:rFonts w:ascii="Arial" w:hAnsi="Arial" w:cs="Arial"/>
        </w:rPr>
        <w:t>) and not observed in the contents. Mercury was not quantifiable in both matrices.</w:t>
      </w:r>
    </w:p>
    <w:p w14:paraId="779A2A1D" w14:textId="77777777" w:rsidR="00936806" w:rsidRDefault="001A026C" w:rsidP="001A026C">
      <w:pPr>
        <w:spacing w:before="100" w:beforeAutospacing="1"/>
        <w:jc w:val="both"/>
        <w:rPr>
          <w:rFonts w:ascii="Arial" w:hAnsi="Arial" w:cs="Arial"/>
          <w:b/>
        </w:rPr>
      </w:pPr>
      <w:r w:rsidRPr="00313E9A">
        <w:rPr>
          <w:rFonts w:ascii="Arial" w:hAnsi="Arial" w:cs="Arial"/>
          <w:noProof/>
        </w:rPr>
        <w:drawing>
          <wp:inline distT="0" distB="0" distL="0" distR="0" wp14:anchorId="6592FE1D" wp14:editId="532B808A">
            <wp:extent cx="5282293" cy="154576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91005" cy="1548316"/>
                    </a:xfrm>
                    <a:prstGeom prst="rect">
                      <a:avLst/>
                    </a:prstGeom>
                  </pic:spPr>
                </pic:pic>
              </a:graphicData>
            </a:graphic>
          </wp:inline>
        </w:drawing>
      </w:r>
    </w:p>
    <w:p w14:paraId="3BF61169" w14:textId="4DE57A85" w:rsidR="001A026C" w:rsidRPr="00313E9A" w:rsidRDefault="001A026C" w:rsidP="001A026C">
      <w:pPr>
        <w:spacing w:before="100" w:beforeAutospacing="1"/>
        <w:jc w:val="both"/>
        <w:rPr>
          <w:rFonts w:ascii="Arial" w:hAnsi="Arial" w:cs="Arial"/>
        </w:rPr>
      </w:pPr>
      <w:r w:rsidRPr="00313E9A">
        <w:rPr>
          <w:rFonts w:ascii="Arial" w:hAnsi="Arial" w:cs="Arial"/>
          <w:b/>
        </w:rPr>
        <w:t>Fig. 3: Concentrations of Pb, Cd, and Hg in eggshells and egg contents from PNLB. (a)-royal tern and (b)-grey-headed gull. nd means not quantifiable. The error bars are the standard deviations.</w:t>
      </w:r>
      <w:r w:rsidRPr="00313E9A">
        <w:rPr>
          <w:rFonts w:ascii="Arial" w:hAnsi="Arial" w:cs="Arial"/>
        </w:rPr>
        <w:t xml:space="preserve"> </w:t>
      </w:r>
    </w:p>
    <w:p w14:paraId="6A06AE4D" w14:textId="77777777" w:rsidR="00790ADA" w:rsidRPr="00313E9A" w:rsidRDefault="00790ADA" w:rsidP="00441B6F">
      <w:pPr>
        <w:pStyle w:val="Body"/>
        <w:spacing w:after="0"/>
        <w:rPr>
          <w:rFonts w:ascii="Arial" w:hAnsi="Arial" w:cs="Arial"/>
        </w:rPr>
      </w:pPr>
    </w:p>
    <w:p w14:paraId="4753DC3B" w14:textId="77777777" w:rsidR="00A649CF" w:rsidRDefault="00804511" w:rsidP="00804511">
      <w:pPr>
        <w:spacing w:before="100" w:beforeAutospacing="1"/>
        <w:jc w:val="both"/>
        <w:rPr>
          <w:rFonts w:ascii="Arial" w:hAnsi="Arial" w:cs="Arial"/>
          <w:b/>
        </w:rPr>
      </w:pPr>
      <w:r w:rsidRPr="00313E9A">
        <w:rPr>
          <w:rFonts w:ascii="Arial" w:hAnsi="Arial" w:cs="Arial"/>
          <w:noProof/>
        </w:rPr>
        <w:drawing>
          <wp:inline distT="0" distB="0" distL="0" distR="0" wp14:anchorId="11BD8FAC" wp14:editId="303D6F36">
            <wp:extent cx="5216978" cy="1526654"/>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27522" cy="1529739"/>
                    </a:xfrm>
                    <a:prstGeom prst="rect">
                      <a:avLst/>
                    </a:prstGeom>
                  </pic:spPr>
                </pic:pic>
              </a:graphicData>
            </a:graphic>
          </wp:inline>
        </w:drawing>
      </w:r>
    </w:p>
    <w:p w14:paraId="1D59B2EA" w14:textId="00047D9F" w:rsidR="00804511" w:rsidRPr="00313E9A" w:rsidRDefault="00804511" w:rsidP="00804511">
      <w:pPr>
        <w:spacing w:before="100" w:beforeAutospacing="1"/>
        <w:jc w:val="both"/>
        <w:rPr>
          <w:rFonts w:ascii="Arial" w:hAnsi="Arial" w:cs="Arial"/>
        </w:rPr>
      </w:pPr>
      <w:r w:rsidRPr="00313E9A">
        <w:rPr>
          <w:rFonts w:ascii="Arial" w:hAnsi="Arial" w:cs="Arial"/>
          <w:b/>
        </w:rPr>
        <w:t>Fig. 4: Concentrations of Pb, Cd, and Hg in eggshells and egg contents from PNDS. (a)-royal tern and (b)-grey-headed gull. The error bars are the standard deviations.</w:t>
      </w:r>
    </w:p>
    <w:p w14:paraId="153186EA" w14:textId="77777777" w:rsidR="001A026C" w:rsidRPr="00313E9A" w:rsidRDefault="001A026C" w:rsidP="001A026C">
      <w:pPr>
        <w:jc w:val="both"/>
        <w:rPr>
          <w:rFonts w:ascii="Arial" w:hAnsi="Arial" w:cs="Arial"/>
          <w:lang w:val="en-GB" w:eastAsia="en-GB"/>
        </w:rPr>
      </w:pPr>
    </w:p>
    <w:p w14:paraId="2811728F" w14:textId="77777777" w:rsidR="001A026C" w:rsidRPr="00313E9A" w:rsidRDefault="001A026C" w:rsidP="001A026C">
      <w:pPr>
        <w:jc w:val="both"/>
        <w:rPr>
          <w:rFonts w:ascii="Arial" w:hAnsi="Arial" w:cs="Arial"/>
        </w:rPr>
      </w:pPr>
      <w:r w:rsidRPr="00313E9A">
        <w:rPr>
          <w:rFonts w:ascii="Arial" w:hAnsi="Arial" w:cs="Arial"/>
        </w:rPr>
        <w:t xml:space="preserve">Royal terns consistently exhibited higher concentrations of heavy metals than grey-headed gulls across all sites and sample types, with significant differences observed in egg contents but not in eggshells (Table 1). This pattern was most pronounced for lead (Pb), with concentrations in both eggshells and contents being 1.4-2 times higher in royal terns than in grey-headed gulls. A similar, though less marked, trend was observed for Cd, concentrations were comparable between species at PNLB but lower in gulls at PNDS. Mercury (Hg) occurred at generally low levels but showed a tendency to accumulate preferentially in egg contents, particularly in royal terns. Spatially, no significant inter-site differences were detected overall. However, Pb concentrations were higher at PNDS, especially in royal terns, whereas Cd levels were slightly elevated at PNLB. Mercure was not quantifiable in any eggshells from PNDS. </w:t>
      </w:r>
    </w:p>
    <w:p w14:paraId="4064B097" w14:textId="77777777" w:rsidR="001A026C" w:rsidRPr="00313E9A" w:rsidRDefault="001A026C" w:rsidP="001A026C">
      <w:pPr>
        <w:rPr>
          <w:rFonts w:ascii="Arial" w:hAnsi="Arial" w:cs="Arial"/>
        </w:rPr>
      </w:pPr>
    </w:p>
    <w:p w14:paraId="71D7661F" w14:textId="77777777" w:rsidR="001A026C" w:rsidRPr="00313E9A" w:rsidRDefault="001A026C" w:rsidP="001A026C">
      <w:pPr>
        <w:jc w:val="both"/>
        <w:rPr>
          <w:rFonts w:ascii="Arial" w:hAnsi="Arial" w:cs="Arial"/>
          <w:b/>
        </w:rPr>
      </w:pPr>
      <w:r w:rsidRPr="00313E9A">
        <w:rPr>
          <w:rFonts w:ascii="Arial" w:hAnsi="Arial" w:cs="Arial"/>
          <w:b/>
        </w:rPr>
        <w:t>Table 1: Results of statistical tests performed on heavy metal concentrations measured in the shells and contents of royal tern and grey-headed gull eggs.</w:t>
      </w:r>
    </w:p>
    <w:tbl>
      <w:tblPr>
        <w:tblStyle w:val="Grilledutableau"/>
        <w:tblW w:w="0" w:type="auto"/>
        <w:tblLook w:val="04A0" w:firstRow="1" w:lastRow="0" w:firstColumn="1" w:lastColumn="0" w:noHBand="0" w:noVBand="1"/>
      </w:tblPr>
      <w:tblGrid>
        <w:gridCol w:w="4652"/>
        <w:gridCol w:w="1395"/>
      </w:tblGrid>
      <w:tr w:rsidR="001A026C" w:rsidRPr="00313E9A" w14:paraId="5A4724A7" w14:textId="77777777" w:rsidTr="00804511">
        <w:tc>
          <w:tcPr>
            <w:tcW w:w="0" w:type="auto"/>
            <w:hideMark/>
          </w:tcPr>
          <w:p w14:paraId="6F75A839" w14:textId="77777777" w:rsidR="001A026C" w:rsidRPr="00313E9A" w:rsidRDefault="001A026C" w:rsidP="00804511">
            <w:pPr>
              <w:rPr>
                <w:rFonts w:ascii="Arial" w:hAnsi="Arial" w:cs="Arial"/>
                <w:b/>
                <w:color w:val="000000"/>
                <w:sz w:val="20"/>
              </w:rPr>
            </w:pPr>
            <w:r w:rsidRPr="00313E9A">
              <w:rPr>
                <w:rFonts w:ascii="Arial" w:hAnsi="Arial" w:cs="Arial"/>
                <w:b/>
                <w:color w:val="000000"/>
                <w:sz w:val="20"/>
              </w:rPr>
              <w:t>Comparison</w:t>
            </w:r>
          </w:p>
        </w:tc>
        <w:tc>
          <w:tcPr>
            <w:tcW w:w="0" w:type="auto"/>
          </w:tcPr>
          <w:p w14:paraId="0FC38161" w14:textId="77777777" w:rsidR="001A026C" w:rsidRPr="00313E9A" w:rsidRDefault="001A026C" w:rsidP="00804511">
            <w:pPr>
              <w:rPr>
                <w:rFonts w:ascii="Arial" w:hAnsi="Arial" w:cs="Arial"/>
                <w:b/>
                <w:color w:val="000000"/>
                <w:sz w:val="20"/>
              </w:rPr>
            </w:pPr>
            <w:r w:rsidRPr="00313E9A">
              <w:rPr>
                <w:rFonts w:ascii="Arial" w:hAnsi="Arial" w:cs="Arial"/>
                <w:b/>
                <w:color w:val="000000"/>
                <w:sz w:val="20"/>
              </w:rPr>
              <w:t>Significance</w:t>
            </w:r>
          </w:p>
        </w:tc>
      </w:tr>
      <w:tr w:rsidR="001A026C" w:rsidRPr="00313E9A" w14:paraId="4D0271DA" w14:textId="77777777" w:rsidTr="00804511">
        <w:tc>
          <w:tcPr>
            <w:tcW w:w="0" w:type="auto"/>
            <w:hideMark/>
          </w:tcPr>
          <w:p w14:paraId="76560045"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Eggshells of royal tern: PNLB vs PNDS</w:t>
            </w:r>
          </w:p>
        </w:tc>
        <w:tc>
          <w:tcPr>
            <w:tcW w:w="0" w:type="auto"/>
            <w:vAlign w:val="bottom"/>
          </w:tcPr>
          <w:p w14:paraId="5C553C98"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r w:rsidR="001A026C" w:rsidRPr="00313E9A" w14:paraId="26DE21F2" w14:textId="77777777" w:rsidTr="00804511">
        <w:tc>
          <w:tcPr>
            <w:tcW w:w="0" w:type="auto"/>
            <w:hideMark/>
          </w:tcPr>
          <w:p w14:paraId="71D6A1D7"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Egg contents of royal tern: PNLB vs PNDS</w:t>
            </w:r>
          </w:p>
        </w:tc>
        <w:tc>
          <w:tcPr>
            <w:tcW w:w="0" w:type="auto"/>
            <w:vAlign w:val="bottom"/>
          </w:tcPr>
          <w:p w14:paraId="520BB9A7"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r w:rsidR="001A026C" w:rsidRPr="00313E9A" w14:paraId="0EF338CD" w14:textId="77777777" w:rsidTr="00804511">
        <w:tc>
          <w:tcPr>
            <w:tcW w:w="0" w:type="auto"/>
            <w:hideMark/>
          </w:tcPr>
          <w:p w14:paraId="32C9186E"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Eggshells of grey-headed gull: PNLB vs PNDS</w:t>
            </w:r>
          </w:p>
        </w:tc>
        <w:tc>
          <w:tcPr>
            <w:tcW w:w="0" w:type="auto"/>
            <w:vAlign w:val="bottom"/>
          </w:tcPr>
          <w:p w14:paraId="67BB13CB"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r w:rsidR="001A026C" w:rsidRPr="00313E9A" w14:paraId="7CFB5B94" w14:textId="77777777" w:rsidTr="00804511">
        <w:tc>
          <w:tcPr>
            <w:tcW w:w="0" w:type="auto"/>
            <w:hideMark/>
          </w:tcPr>
          <w:p w14:paraId="23D6D316"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Egg contents of grey-headed gull: PNLB vs PNDS</w:t>
            </w:r>
          </w:p>
        </w:tc>
        <w:tc>
          <w:tcPr>
            <w:tcW w:w="0" w:type="auto"/>
            <w:vAlign w:val="bottom"/>
          </w:tcPr>
          <w:p w14:paraId="036CB8D4"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r w:rsidR="001A026C" w:rsidRPr="00313E9A" w14:paraId="45F65BD0" w14:textId="77777777" w:rsidTr="00804511">
        <w:tc>
          <w:tcPr>
            <w:tcW w:w="0" w:type="auto"/>
            <w:hideMark/>
          </w:tcPr>
          <w:p w14:paraId="51F5304E"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 xml:space="preserve">Eggshells: Royal tern vs Grey-headed gull </w:t>
            </w:r>
          </w:p>
        </w:tc>
        <w:tc>
          <w:tcPr>
            <w:tcW w:w="0" w:type="auto"/>
            <w:vAlign w:val="bottom"/>
          </w:tcPr>
          <w:p w14:paraId="464AFDC5"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r w:rsidR="001A026C" w:rsidRPr="00313E9A" w14:paraId="007B0A27" w14:textId="77777777" w:rsidTr="00804511">
        <w:tc>
          <w:tcPr>
            <w:tcW w:w="0" w:type="auto"/>
            <w:hideMark/>
          </w:tcPr>
          <w:p w14:paraId="172D0DF6"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Egg contents: Royal tern vs Grey-headed gull</w:t>
            </w:r>
          </w:p>
        </w:tc>
        <w:tc>
          <w:tcPr>
            <w:tcW w:w="0" w:type="auto"/>
            <w:vAlign w:val="bottom"/>
          </w:tcPr>
          <w:p w14:paraId="367D5036"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&lt; 0.05</w:t>
            </w:r>
          </w:p>
        </w:tc>
      </w:tr>
      <w:tr w:rsidR="001A026C" w:rsidRPr="00313E9A" w14:paraId="1FBB0DE9" w14:textId="77777777" w:rsidTr="00804511">
        <w:tc>
          <w:tcPr>
            <w:tcW w:w="0" w:type="auto"/>
            <w:hideMark/>
          </w:tcPr>
          <w:p w14:paraId="0B41282D"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Royal tern: Eggshells vs Egg contents</w:t>
            </w:r>
          </w:p>
        </w:tc>
        <w:tc>
          <w:tcPr>
            <w:tcW w:w="0" w:type="auto"/>
            <w:vAlign w:val="bottom"/>
          </w:tcPr>
          <w:p w14:paraId="5DAF0E0E"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r w:rsidR="001A026C" w:rsidRPr="00313E9A" w14:paraId="6F5430C4" w14:textId="77777777" w:rsidTr="00804511">
        <w:tc>
          <w:tcPr>
            <w:tcW w:w="0" w:type="auto"/>
            <w:hideMark/>
          </w:tcPr>
          <w:p w14:paraId="66116521"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Grey-headed gull: Eggshell vs Egg contents</w:t>
            </w:r>
          </w:p>
        </w:tc>
        <w:tc>
          <w:tcPr>
            <w:tcW w:w="0" w:type="auto"/>
            <w:vAlign w:val="bottom"/>
          </w:tcPr>
          <w:p w14:paraId="446199C0"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bl>
    <w:p w14:paraId="0BDFBD20" w14:textId="77777777" w:rsidR="00496DFF" w:rsidRPr="00313E9A" w:rsidRDefault="00496DFF" w:rsidP="00496DFF">
      <w:pPr>
        <w:pStyle w:val="Body"/>
        <w:spacing w:after="0"/>
        <w:rPr>
          <w:rFonts w:ascii="Arial" w:hAnsi="Arial" w:cs="Arial"/>
          <w:b/>
          <w:sz w:val="22"/>
        </w:rPr>
      </w:pPr>
      <w:r w:rsidRPr="00313E9A">
        <w:rPr>
          <w:rFonts w:ascii="Arial" w:hAnsi="Arial" w:cs="Arial"/>
          <w:b/>
          <w:caps/>
          <w:sz w:val="22"/>
        </w:rPr>
        <w:t xml:space="preserve">3.2 </w:t>
      </w:r>
      <w:r w:rsidRPr="00313E9A">
        <w:rPr>
          <w:rFonts w:ascii="Arial" w:hAnsi="Arial" w:cs="Arial"/>
          <w:b/>
          <w:sz w:val="22"/>
        </w:rPr>
        <w:t>PAHs in eggshells and egg contents</w:t>
      </w:r>
    </w:p>
    <w:p w14:paraId="21673A16" w14:textId="77777777" w:rsidR="001A026C" w:rsidRPr="00313E9A" w:rsidRDefault="00496DFF" w:rsidP="001A026C">
      <w:pPr>
        <w:jc w:val="both"/>
        <w:rPr>
          <w:rFonts w:ascii="Arial" w:hAnsi="Arial" w:cs="Arial"/>
        </w:rPr>
      </w:pPr>
      <w:r w:rsidRPr="00313E9A">
        <w:rPr>
          <w:rFonts w:ascii="Arial" w:hAnsi="Arial" w:cs="Arial"/>
        </w:rPr>
        <w:t xml:space="preserve">In royal terns, eggshells collected at PNLB showed high levels of PAHs, with total concentrations reaching 895 mg/kg </w:t>
      </w:r>
      <w:proofErr w:type="spellStart"/>
      <w:r w:rsidRPr="00313E9A">
        <w:rPr>
          <w:rFonts w:ascii="Arial" w:hAnsi="Arial" w:cs="Arial"/>
        </w:rPr>
        <w:t>dw</w:t>
      </w:r>
      <w:proofErr w:type="spellEnd"/>
      <w:r w:rsidRPr="00313E9A">
        <w:rPr>
          <w:rFonts w:ascii="Arial" w:hAnsi="Arial" w:cs="Arial"/>
        </w:rPr>
        <w:t xml:space="preserve"> (Table 2). The most abundant compounds included fluorene (0.189 ± 0.025 mg/kg </w:t>
      </w:r>
      <w:proofErr w:type="spellStart"/>
      <w:r w:rsidRPr="00313E9A">
        <w:rPr>
          <w:rFonts w:ascii="Arial" w:hAnsi="Arial" w:cs="Arial"/>
        </w:rPr>
        <w:t>dw</w:t>
      </w:r>
      <w:proofErr w:type="spellEnd"/>
      <w:r w:rsidRPr="00313E9A">
        <w:rPr>
          <w:rFonts w:ascii="Arial" w:hAnsi="Arial" w:cs="Arial"/>
        </w:rPr>
        <w:t xml:space="preserve">), naphthalene (0.142 ± 0.022 mg/kg </w:t>
      </w:r>
      <w:proofErr w:type="spellStart"/>
      <w:r w:rsidRPr="00313E9A">
        <w:rPr>
          <w:rFonts w:ascii="Arial" w:hAnsi="Arial" w:cs="Arial"/>
        </w:rPr>
        <w:t>dw</w:t>
      </w:r>
      <w:proofErr w:type="spellEnd"/>
      <w:r w:rsidRPr="00313E9A">
        <w:rPr>
          <w:rFonts w:ascii="Arial" w:hAnsi="Arial" w:cs="Arial"/>
        </w:rPr>
        <w:t xml:space="preserve">), anthracene (0.116 ± 0.014 mg/kg </w:t>
      </w:r>
      <w:proofErr w:type="spellStart"/>
      <w:r w:rsidRPr="00313E9A">
        <w:rPr>
          <w:rFonts w:ascii="Arial" w:hAnsi="Arial" w:cs="Arial"/>
        </w:rPr>
        <w:t>dw</w:t>
      </w:r>
      <w:proofErr w:type="spellEnd"/>
      <w:r w:rsidRPr="00313E9A">
        <w:rPr>
          <w:rFonts w:ascii="Arial" w:hAnsi="Arial" w:cs="Arial"/>
        </w:rPr>
        <w:t xml:space="preserve">), and two heavy PAHs, benzo(a)anthracene (0.094 ± 0.009 mg/kg </w:t>
      </w:r>
      <w:proofErr w:type="spellStart"/>
      <w:r w:rsidRPr="00313E9A">
        <w:rPr>
          <w:rFonts w:ascii="Arial" w:hAnsi="Arial" w:cs="Arial"/>
        </w:rPr>
        <w:t>dw</w:t>
      </w:r>
      <w:proofErr w:type="spellEnd"/>
      <w:r w:rsidRPr="00313E9A">
        <w:rPr>
          <w:rFonts w:ascii="Arial" w:hAnsi="Arial" w:cs="Arial"/>
        </w:rPr>
        <w:t xml:space="preserve">) and benzo(a)pyrene (0.094 ± 0.013 mg/kg </w:t>
      </w:r>
      <w:proofErr w:type="spellStart"/>
      <w:r w:rsidRPr="00313E9A">
        <w:rPr>
          <w:rFonts w:ascii="Arial" w:hAnsi="Arial" w:cs="Arial"/>
        </w:rPr>
        <w:t>dw</w:t>
      </w:r>
      <w:proofErr w:type="spellEnd"/>
      <w:r w:rsidRPr="00313E9A">
        <w:rPr>
          <w:rFonts w:ascii="Arial" w:hAnsi="Arial" w:cs="Arial"/>
        </w:rPr>
        <w:t>). Egg contents also showed high contamination (0.802 mg/kg ww), strongly dominated by benzo(a)pyrene (0.739 ± 0.087 mg/kg ww).</w:t>
      </w:r>
    </w:p>
    <w:p w14:paraId="102C2015" w14:textId="77777777" w:rsidR="007847E2" w:rsidRPr="00313E9A" w:rsidRDefault="007847E2" w:rsidP="001A026C">
      <w:pPr>
        <w:jc w:val="both"/>
        <w:rPr>
          <w:rFonts w:ascii="Arial" w:hAnsi="Arial" w:cs="Arial"/>
        </w:rPr>
      </w:pPr>
    </w:p>
    <w:p w14:paraId="07D7810D" w14:textId="77777777" w:rsidR="00804511" w:rsidRPr="00313E9A" w:rsidRDefault="00804511" w:rsidP="00804511">
      <w:pPr>
        <w:rPr>
          <w:rFonts w:ascii="Arial" w:hAnsi="Arial" w:cs="Arial"/>
          <w:b/>
        </w:rPr>
      </w:pPr>
      <w:r w:rsidRPr="00313E9A">
        <w:rPr>
          <w:rFonts w:ascii="Arial" w:hAnsi="Arial" w:cs="Arial"/>
          <w:b/>
        </w:rPr>
        <w:t>Table 2: Concentrations (mean ± standard deviation) of PAHs in eggshells and egg contents in mg/kg from PNLB. nd means not quantifiable.</w:t>
      </w:r>
    </w:p>
    <w:tbl>
      <w:tblPr>
        <w:tblW w:w="9175" w:type="dxa"/>
        <w:jc w:val="center"/>
        <w:tblCellMar>
          <w:left w:w="70" w:type="dxa"/>
          <w:right w:w="70" w:type="dxa"/>
        </w:tblCellMar>
        <w:tblLook w:val="04A0" w:firstRow="1" w:lastRow="0" w:firstColumn="1" w:lastColumn="0" w:noHBand="0" w:noVBand="1"/>
      </w:tblPr>
      <w:tblGrid>
        <w:gridCol w:w="2264"/>
        <w:gridCol w:w="1481"/>
        <w:gridCol w:w="1417"/>
        <w:gridCol w:w="2029"/>
        <w:gridCol w:w="1984"/>
      </w:tblGrid>
      <w:tr w:rsidR="00804511" w:rsidRPr="00313E9A" w14:paraId="789AE2D6" w14:textId="77777777" w:rsidTr="00804511">
        <w:trPr>
          <w:trHeight w:val="340"/>
          <w:jc w:val="center"/>
        </w:trPr>
        <w:tc>
          <w:tcPr>
            <w:tcW w:w="2264" w:type="dxa"/>
            <w:tcBorders>
              <w:top w:val="single" w:sz="4" w:space="0" w:color="auto"/>
              <w:left w:val="single" w:sz="4" w:space="0" w:color="auto"/>
              <w:bottom w:val="single" w:sz="4" w:space="0" w:color="auto"/>
              <w:right w:val="single" w:sz="4" w:space="0" w:color="auto"/>
            </w:tcBorders>
            <w:shd w:val="clear" w:color="000000" w:fill="FFFFFF"/>
            <w:noWrap/>
            <w:hideMark/>
          </w:tcPr>
          <w:p w14:paraId="717E84C5" w14:textId="77777777" w:rsidR="00804511" w:rsidRPr="00313E9A" w:rsidRDefault="00804511" w:rsidP="00804511">
            <w:pPr>
              <w:jc w:val="center"/>
              <w:rPr>
                <w:rFonts w:ascii="Arial" w:hAnsi="Arial" w:cs="Arial"/>
                <w:b/>
                <w:color w:val="000000"/>
              </w:rPr>
            </w:pPr>
          </w:p>
          <w:p w14:paraId="1DB86A7C" w14:textId="77777777" w:rsidR="00804511" w:rsidRPr="00313E9A" w:rsidRDefault="00804511" w:rsidP="00804511">
            <w:pPr>
              <w:jc w:val="center"/>
              <w:rPr>
                <w:rFonts w:ascii="Arial" w:hAnsi="Arial" w:cs="Arial"/>
                <w:b/>
                <w:color w:val="000000"/>
              </w:rPr>
            </w:pPr>
            <w:r w:rsidRPr="00313E9A">
              <w:rPr>
                <w:rFonts w:ascii="Arial" w:hAnsi="Arial" w:cs="Arial"/>
                <w:b/>
                <w:color w:val="000000"/>
              </w:rPr>
              <w:t>PAH</w:t>
            </w:r>
          </w:p>
        </w:tc>
        <w:tc>
          <w:tcPr>
            <w:tcW w:w="1481" w:type="dxa"/>
            <w:tcBorders>
              <w:top w:val="single" w:sz="4" w:space="0" w:color="auto"/>
              <w:left w:val="nil"/>
              <w:bottom w:val="single" w:sz="4" w:space="0" w:color="auto"/>
              <w:right w:val="single" w:sz="4" w:space="0" w:color="auto"/>
            </w:tcBorders>
            <w:shd w:val="clear" w:color="000000" w:fill="FFFFFF"/>
            <w:noWrap/>
            <w:vAlign w:val="center"/>
            <w:hideMark/>
          </w:tcPr>
          <w:p w14:paraId="46D9E6B2"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Eggshells of royal tern</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307417BA"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 content of royal tern</w:t>
            </w:r>
          </w:p>
        </w:tc>
        <w:tc>
          <w:tcPr>
            <w:tcW w:w="2029" w:type="dxa"/>
            <w:tcBorders>
              <w:top w:val="single" w:sz="4" w:space="0" w:color="auto"/>
              <w:left w:val="nil"/>
              <w:bottom w:val="single" w:sz="4" w:space="0" w:color="auto"/>
              <w:right w:val="single" w:sz="4" w:space="0" w:color="auto"/>
            </w:tcBorders>
            <w:shd w:val="clear" w:color="000000" w:fill="FFFFFF"/>
            <w:noWrap/>
            <w:vAlign w:val="center"/>
            <w:hideMark/>
          </w:tcPr>
          <w:p w14:paraId="70BF04F9"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Eggshells of grey-headed gull</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14:paraId="6B2EAC75"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 content of grey-headed gull</w:t>
            </w:r>
          </w:p>
        </w:tc>
      </w:tr>
      <w:tr w:rsidR="00804511" w:rsidRPr="00313E9A" w14:paraId="13366263"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68FD1FF4" w14:textId="38AE58BC" w:rsidR="00804511" w:rsidRPr="00313E9A" w:rsidRDefault="00AD7C9C" w:rsidP="00804511">
            <w:pPr>
              <w:jc w:val="center"/>
              <w:rPr>
                <w:rFonts w:ascii="Arial" w:hAnsi="Arial" w:cs="Arial"/>
                <w:color w:val="000000"/>
              </w:rPr>
            </w:pPr>
            <w:r w:rsidRPr="00313E9A">
              <w:rPr>
                <w:rFonts w:ascii="Arial" w:hAnsi="Arial" w:cs="Arial"/>
                <w:color w:val="000000"/>
              </w:rPr>
              <w:t>Naphthalene</w:t>
            </w:r>
          </w:p>
        </w:tc>
        <w:tc>
          <w:tcPr>
            <w:tcW w:w="1481" w:type="dxa"/>
            <w:tcBorders>
              <w:top w:val="nil"/>
              <w:left w:val="nil"/>
              <w:bottom w:val="single" w:sz="4" w:space="0" w:color="auto"/>
              <w:right w:val="single" w:sz="4" w:space="0" w:color="auto"/>
            </w:tcBorders>
            <w:shd w:val="clear" w:color="000000" w:fill="FFFFFF"/>
            <w:noWrap/>
            <w:vAlign w:val="center"/>
            <w:hideMark/>
          </w:tcPr>
          <w:p w14:paraId="51BFC95A" w14:textId="77777777" w:rsidR="00804511" w:rsidRPr="00313E9A" w:rsidRDefault="00804511" w:rsidP="00804511">
            <w:pPr>
              <w:jc w:val="center"/>
              <w:rPr>
                <w:rFonts w:ascii="Arial" w:hAnsi="Arial" w:cs="Arial"/>
                <w:color w:val="000000"/>
              </w:rPr>
            </w:pPr>
            <w:r w:rsidRPr="00313E9A">
              <w:rPr>
                <w:rFonts w:ascii="Arial" w:hAnsi="Arial" w:cs="Arial"/>
                <w:color w:val="000000"/>
              </w:rPr>
              <w:t>0.142±0.022</w:t>
            </w:r>
          </w:p>
        </w:tc>
        <w:tc>
          <w:tcPr>
            <w:tcW w:w="1417" w:type="dxa"/>
            <w:tcBorders>
              <w:top w:val="nil"/>
              <w:left w:val="nil"/>
              <w:bottom w:val="single" w:sz="4" w:space="0" w:color="auto"/>
              <w:right w:val="single" w:sz="4" w:space="0" w:color="auto"/>
            </w:tcBorders>
            <w:shd w:val="clear" w:color="000000" w:fill="FFFFFF"/>
            <w:noWrap/>
            <w:vAlign w:val="center"/>
            <w:hideMark/>
          </w:tcPr>
          <w:p w14:paraId="459C693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1C7E70C7" w14:textId="77777777" w:rsidR="00804511" w:rsidRPr="00313E9A" w:rsidRDefault="00804511" w:rsidP="00804511">
            <w:pPr>
              <w:jc w:val="center"/>
              <w:rPr>
                <w:rFonts w:ascii="Arial" w:hAnsi="Arial" w:cs="Arial"/>
                <w:color w:val="000000"/>
              </w:rPr>
            </w:pPr>
            <w:r w:rsidRPr="00313E9A">
              <w:rPr>
                <w:rFonts w:ascii="Arial" w:hAnsi="Arial" w:cs="Arial"/>
                <w:color w:val="000000"/>
              </w:rPr>
              <w:t>0.021±0.002</w:t>
            </w:r>
          </w:p>
        </w:tc>
        <w:tc>
          <w:tcPr>
            <w:tcW w:w="1984" w:type="dxa"/>
            <w:tcBorders>
              <w:top w:val="nil"/>
              <w:left w:val="nil"/>
              <w:bottom w:val="single" w:sz="4" w:space="0" w:color="auto"/>
              <w:right w:val="single" w:sz="4" w:space="0" w:color="auto"/>
            </w:tcBorders>
            <w:shd w:val="clear" w:color="000000" w:fill="FFFFFF"/>
            <w:noWrap/>
            <w:vAlign w:val="center"/>
            <w:hideMark/>
          </w:tcPr>
          <w:p w14:paraId="39B9426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A928992"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28691D13" w14:textId="67126D6F" w:rsidR="00804511" w:rsidRPr="00313E9A" w:rsidRDefault="00AD7C9C" w:rsidP="00804511">
            <w:pPr>
              <w:jc w:val="center"/>
              <w:rPr>
                <w:rFonts w:ascii="Arial" w:hAnsi="Arial" w:cs="Arial"/>
                <w:color w:val="000000"/>
              </w:rPr>
            </w:pPr>
            <w:r w:rsidRPr="00313E9A">
              <w:rPr>
                <w:rFonts w:ascii="Arial" w:hAnsi="Arial" w:cs="Arial"/>
                <w:color w:val="000000"/>
              </w:rPr>
              <w:t>Acenaphthylene</w:t>
            </w:r>
          </w:p>
        </w:tc>
        <w:tc>
          <w:tcPr>
            <w:tcW w:w="1481" w:type="dxa"/>
            <w:tcBorders>
              <w:top w:val="nil"/>
              <w:left w:val="nil"/>
              <w:bottom w:val="single" w:sz="4" w:space="0" w:color="auto"/>
              <w:right w:val="single" w:sz="4" w:space="0" w:color="auto"/>
            </w:tcBorders>
            <w:shd w:val="clear" w:color="000000" w:fill="FFFFFF"/>
            <w:noWrap/>
            <w:vAlign w:val="center"/>
            <w:hideMark/>
          </w:tcPr>
          <w:p w14:paraId="638D22B7" w14:textId="77777777" w:rsidR="00804511" w:rsidRPr="00313E9A" w:rsidRDefault="00804511" w:rsidP="00804511">
            <w:pPr>
              <w:jc w:val="center"/>
              <w:rPr>
                <w:rFonts w:ascii="Arial" w:hAnsi="Arial" w:cs="Arial"/>
                <w:color w:val="000000"/>
              </w:rPr>
            </w:pPr>
            <w:r w:rsidRPr="00313E9A">
              <w:rPr>
                <w:rFonts w:ascii="Arial" w:hAnsi="Arial" w:cs="Arial"/>
                <w:color w:val="000000"/>
              </w:rPr>
              <w:t>0.016±0.003</w:t>
            </w:r>
          </w:p>
        </w:tc>
        <w:tc>
          <w:tcPr>
            <w:tcW w:w="1417" w:type="dxa"/>
            <w:tcBorders>
              <w:top w:val="nil"/>
              <w:left w:val="nil"/>
              <w:bottom w:val="single" w:sz="4" w:space="0" w:color="auto"/>
              <w:right w:val="single" w:sz="4" w:space="0" w:color="auto"/>
            </w:tcBorders>
            <w:shd w:val="clear" w:color="000000" w:fill="FFFFFF"/>
            <w:noWrap/>
            <w:vAlign w:val="center"/>
            <w:hideMark/>
          </w:tcPr>
          <w:p w14:paraId="3879A4E4"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2DB79393" w14:textId="77777777" w:rsidR="00804511" w:rsidRPr="00313E9A" w:rsidRDefault="00804511" w:rsidP="00804511">
            <w:pPr>
              <w:jc w:val="center"/>
              <w:rPr>
                <w:rFonts w:ascii="Arial" w:hAnsi="Arial" w:cs="Arial"/>
                <w:color w:val="000000"/>
              </w:rPr>
            </w:pPr>
            <w:r w:rsidRPr="00313E9A">
              <w:rPr>
                <w:rFonts w:ascii="Arial" w:hAnsi="Arial" w:cs="Arial"/>
                <w:color w:val="000000"/>
              </w:rPr>
              <w:t>0.019±0.003</w:t>
            </w:r>
          </w:p>
        </w:tc>
        <w:tc>
          <w:tcPr>
            <w:tcW w:w="1984" w:type="dxa"/>
            <w:tcBorders>
              <w:top w:val="nil"/>
              <w:left w:val="nil"/>
              <w:bottom w:val="single" w:sz="4" w:space="0" w:color="auto"/>
              <w:right w:val="single" w:sz="4" w:space="0" w:color="auto"/>
            </w:tcBorders>
            <w:shd w:val="clear" w:color="000000" w:fill="FFFFFF"/>
            <w:noWrap/>
            <w:vAlign w:val="center"/>
            <w:hideMark/>
          </w:tcPr>
          <w:p w14:paraId="76A53296"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2F0C0EB"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22B4813B" w14:textId="77777777" w:rsidR="00804511" w:rsidRPr="00313E9A" w:rsidRDefault="00804511" w:rsidP="00804511">
            <w:pPr>
              <w:jc w:val="center"/>
              <w:rPr>
                <w:rFonts w:ascii="Arial" w:hAnsi="Arial" w:cs="Arial"/>
                <w:color w:val="000000"/>
              </w:rPr>
            </w:pPr>
            <w:r w:rsidRPr="00313E9A">
              <w:rPr>
                <w:rFonts w:ascii="Arial" w:hAnsi="Arial" w:cs="Arial"/>
                <w:color w:val="000000"/>
              </w:rPr>
              <w:t>Acenaphthene</w:t>
            </w:r>
          </w:p>
        </w:tc>
        <w:tc>
          <w:tcPr>
            <w:tcW w:w="1481" w:type="dxa"/>
            <w:tcBorders>
              <w:top w:val="nil"/>
              <w:left w:val="nil"/>
              <w:bottom w:val="single" w:sz="4" w:space="0" w:color="auto"/>
              <w:right w:val="single" w:sz="4" w:space="0" w:color="auto"/>
            </w:tcBorders>
            <w:shd w:val="clear" w:color="000000" w:fill="FFFFFF"/>
            <w:noWrap/>
            <w:vAlign w:val="center"/>
            <w:hideMark/>
          </w:tcPr>
          <w:p w14:paraId="01CE6A16" w14:textId="77777777" w:rsidR="00804511" w:rsidRPr="00313E9A" w:rsidRDefault="00804511" w:rsidP="00804511">
            <w:pPr>
              <w:jc w:val="center"/>
              <w:rPr>
                <w:rFonts w:ascii="Arial" w:hAnsi="Arial" w:cs="Arial"/>
                <w:color w:val="000000"/>
              </w:rPr>
            </w:pPr>
            <w:r w:rsidRPr="00313E9A">
              <w:rPr>
                <w:rFonts w:ascii="Arial" w:hAnsi="Arial" w:cs="Arial"/>
                <w:color w:val="000000"/>
              </w:rPr>
              <w:t>0.013±0.005</w:t>
            </w:r>
          </w:p>
        </w:tc>
        <w:tc>
          <w:tcPr>
            <w:tcW w:w="1417" w:type="dxa"/>
            <w:tcBorders>
              <w:top w:val="nil"/>
              <w:left w:val="nil"/>
              <w:bottom w:val="single" w:sz="4" w:space="0" w:color="auto"/>
              <w:right w:val="single" w:sz="4" w:space="0" w:color="auto"/>
            </w:tcBorders>
            <w:shd w:val="clear" w:color="000000" w:fill="FFFFFF"/>
            <w:noWrap/>
            <w:vAlign w:val="center"/>
            <w:hideMark/>
          </w:tcPr>
          <w:p w14:paraId="66C88390"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356C26A6" w14:textId="77777777" w:rsidR="00804511" w:rsidRPr="00313E9A" w:rsidRDefault="00804511" w:rsidP="00804511">
            <w:pPr>
              <w:jc w:val="center"/>
              <w:rPr>
                <w:rFonts w:ascii="Arial" w:hAnsi="Arial" w:cs="Arial"/>
                <w:color w:val="000000"/>
              </w:rPr>
            </w:pPr>
            <w:r w:rsidRPr="00313E9A">
              <w:rPr>
                <w:rFonts w:ascii="Arial" w:hAnsi="Arial" w:cs="Arial"/>
                <w:color w:val="000000"/>
              </w:rPr>
              <w:t>0.024±0.001</w:t>
            </w:r>
          </w:p>
        </w:tc>
        <w:tc>
          <w:tcPr>
            <w:tcW w:w="1984" w:type="dxa"/>
            <w:tcBorders>
              <w:top w:val="nil"/>
              <w:left w:val="nil"/>
              <w:bottom w:val="single" w:sz="4" w:space="0" w:color="auto"/>
              <w:right w:val="single" w:sz="4" w:space="0" w:color="auto"/>
            </w:tcBorders>
            <w:shd w:val="clear" w:color="000000" w:fill="FFFFFF"/>
            <w:noWrap/>
            <w:vAlign w:val="center"/>
            <w:hideMark/>
          </w:tcPr>
          <w:p w14:paraId="1113780A"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CE668D8"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5925D46E" w14:textId="77777777" w:rsidR="00804511" w:rsidRPr="00313E9A" w:rsidRDefault="00804511" w:rsidP="00804511">
            <w:pPr>
              <w:jc w:val="center"/>
              <w:rPr>
                <w:rFonts w:ascii="Arial" w:hAnsi="Arial" w:cs="Arial"/>
                <w:color w:val="000000"/>
              </w:rPr>
            </w:pPr>
            <w:r w:rsidRPr="00313E9A">
              <w:rPr>
                <w:rFonts w:ascii="Arial" w:hAnsi="Arial" w:cs="Arial"/>
                <w:color w:val="000000"/>
              </w:rPr>
              <w:lastRenderedPageBreak/>
              <w:t>Fluorene</w:t>
            </w:r>
          </w:p>
        </w:tc>
        <w:tc>
          <w:tcPr>
            <w:tcW w:w="1481" w:type="dxa"/>
            <w:tcBorders>
              <w:top w:val="nil"/>
              <w:left w:val="nil"/>
              <w:bottom w:val="single" w:sz="4" w:space="0" w:color="auto"/>
              <w:right w:val="single" w:sz="4" w:space="0" w:color="auto"/>
            </w:tcBorders>
            <w:shd w:val="clear" w:color="000000" w:fill="FFFFFF"/>
            <w:noWrap/>
            <w:vAlign w:val="center"/>
            <w:hideMark/>
          </w:tcPr>
          <w:p w14:paraId="1B5370BB" w14:textId="77777777" w:rsidR="00804511" w:rsidRPr="00313E9A" w:rsidRDefault="00804511" w:rsidP="00804511">
            <w:pPr>
              <w:jc w:val="center"/>
              <w:rPr>
                <w:rFonts w:ascii="Arial" w:hAnsi="Arial" w:cs="Arial"/>
                <w:color w:val="000000"/>
              </w:rPr>
            </w:pPr>
            <w:r w:rsidRPr="00313E9A">
              <w:rPr>
                <w:rFonts w:ascii="Arial" w:hAnsi="Arial" w:cs="Arial"/>
                <w:color w:val="000000"/>
              </w:rPr>
              <w:t>0.189±0.025</w:t>
            </w:r>
          </w:p>
        </w:tc>
        <w:tc>
          <w:tcPr>
            <w:tcW w:w="1417" w:type="dxa"/>
            <w:tcBorders>
              <w:top w:val="nil"/>
              <w:left w:val="nil"/>
              <w:bottom w:val="single" w:sz="4" w:space="0" w:color="auto"/>
              <w:right w:val="single" w:sz="4" w:space="0" w:color="auto"/>
            </w:tcBorders>
            <w:shd w:val="clear" w:color="000000" w:fill="FFFFFF"/>
            <w:noWrap/>
            <w:vAlign w:val="center"/>
            <w:hideMark/>
          </w:tcPr>
          <w:p w14:paraId="6B187792"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24AFFA60" w14:textId="77777777" w:rsidR="00804511" w:rsidRPr="00313E9A" w:rsidRDefault="00804511" w:rsidP="00804511">
            <w:pPr>
              <w:jc w:val="center"/>
              <w:rPr>
                <w:rFonts w:ascii="Arial" w:hAnsi="Arial" w:cs="Arial"/>
                <w:color w:val="000000"/>
              </w:rPr>
            </w:pPr>
            <w:r w:rsidRPr="00313E9A">
              <w:rPr>
                <w:rFonts w:ascii="Arial" w:hAnsi="Arial" w:cs="Arial"/>
                <w:color w:val="000000"/>
              </w:rPr>
              <w:t>0.029±0.003</w:t>
            </w:r>
          </w:p>
        </w:tc>
        <w:tc>
          <w:tcPr>
            <w:tcW w:w="1984" w:type="dxa"/>
            <w:tcBorders>
              <w:top w:val="nil"/>
              <w:left w:val="nil"/>
              <w:bottom w:val="single" w:sz="4" w:space="0" w:color="auto"/>
              <w:right w:val="single" w:sz="4" w:space="0" w:color="auto"/>
            </w:tcBorders>
            <w:shd w:val="clear" w:color="000000" w:fill="FFFFFF"/>
            <w:noWrap/>
            <w:vAlign w:val="center"/>
            <w:hideMark/>
          </w:tcPr>
          <w:p w14:paraId="0E2502BB"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338C7B9"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6E51070C" w14:textId="77777777" w:rsidR="00804511" w:rsidRPr="00313E9A" w:rsidRDefault="00804511" w:rsidP="00804511">
            <w:pPr>
              <w:jc w:val="center"/>
              <w:rPr>
                <w:rFonts w:ascii="Arial" w:hAnsi="Arial" w:cs="Arial"/>
                <w:color w:val="000000"/>
              </w:rPr>
            </w:pPr>
            <w:r w:rsidRPr="00313E9A">
              <w:rPr>
                <w:rFonts w:ascii="Arial" w:hAnsi="Arial" w:cs="Arial"/>
                <w:color w:val="000000"/>
              </w:rPr>
              <w:t>Phenanthrene</w:t>
            </w:r>
          </w:p>
        </w:tc>
        <w:tc>
          <w:tcPr>
            <w:tcW w:w="1481" w:type="dxa"/>
            <w:tcBorders>
              <w:top w:val="nil"/>
              <w:left w:val="nil"/>
              <w:bottom w:val="single" w:sz="4" w:space="0" w:color="auto"/>
              <w:right w:val="single" w:sz="4" w:space="0" w:color="auto"/>
            </w:tcBorders>
            <w:shd w:val="clear" w:color="000000" w:fill="FFFFFF"/>
            <w:noWrap/>
            <w:vAlign w:val="center"/>
            <w:hideMark/>
          </w:tcPr>
          <w:p w14:paraId="35885CBC" w14:textId="77777777" w:rsidR="00804511" w:rsidRPr="00313E9A" w:rsidRDefault="00804511" w:rsidP="00804511">
            <w:pPr>
              <w:jc w:val="center"/>
              <w:rPr>
                <w:rFonts w:ascii="Arial" w:hAnsi="Arial" w:cs="Arial"/>
                <w:color w:val="000000"/>
              </w:rPr>
            </w:pPr>
            <w:r w:rsidRPr="00313E9A">
              <w:rPr>
                <w:rFonts w:ascii="Arial" w:hAnsi="Arial" w:cs="Arial"/>
                <w:color w:val="000000"/>
              </w:rPr>
              <w:t>0.019±0.004</w:t>
            </w:r>
          </w:p>
        </w:tc>
        <w:tc>
          <w:tcPr>
            <w:tcW w:w="1417" w:type="dxa"/>
            <w:tcBorders>
              <w:top w:val="nil"/>
              <w:left w:val="nil"/>
              <w:bottom w:val="single" w:sz="4" w:space="0" w:color="auto"/>
              <w:right w:val="single" w:sz="4" w:space="0" w:color="auto"/>
            </w:tcBorders>
            <w:shd w:val="clear" w:color="000000" w:fill="FFFFFF"/>
            <w:noWrap/>
            <w:vAlign w:val="center"/>
            <w:hideMark/>
          </w:tcPr>
          <w:p w14:paraId="4B5A580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63F12764" w14:textId="77777777" w:rsidR="00804511" w:rsidRPr="00313E9A" w:rsidRDefault="00804511" w:rsidP="00804511">
            <w:pPr>
              <w:jc w:val="center"/>
              <w:rPr>
                <w:rFonts w:ascii="Arial" w:hAnsi="Arial" w:cs="Arial"/>
                <w:color w:val="000000"/>
              </w:rPr>
            </w:pPr>
            <w:r w:rsidRPr="00313E9A">
              <w:rPr>
                <w:rFonts w:ascii="Arial" w:hAnsi="Arial" w:cs="Arial"/>
                <w:color w:val="000000"/>
              </w:rPr>
              <w:t>0.030±0.007</w:t>
            </w:r>
          </w:p>
        </w:tc>
        <w:tc>
          <w:tcPr>
            <w:tcW w:w="1984" w:type="dxa"/>
            <w:tcBorders>
              <w:top w:val="nil"/>
              <w:left w:val="nil"/>
              <w:bottom w:val="single" w:sz="4" w:space="0" w:color="auto"/>
              <w:right w:val="single" w:sz="4" w:space="0" w:color="auto"/>
            </w:tcBorders>
            <w:shd w:val="clear" w:color="000000" w:fill="FFFFFF"/>
            <w:noWrap/>
            <w:vAlign w:val="center"/>
            <w:hideMark/>
          </w:tcPr>
          <w:p w14:paraId="35810F68"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B03E253"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2452CDDD" w14:textId="523FA577" w:rsidR="00804511" w:rsidRPr="00313E9A" w:rsidRDefault="00804511" w:rsidP="00804511">
            <w:pPr>
              <w:jc w:val="center"/>
              <w:rPr>
                <w:rFonts w:ascii="Arial" w:hAnsi="Arial" w:cs="Arial"/>
                <w:color w:val="000000"/>
              </w:rPr>
            </w:pPr>
            <w:r w:rsidRPr="00313E9A">
              <w:rPr>
                <w:rFonts w:ascii="Arial" w:hAnsi="Arial" w:cs="Arial"/>
                <w:color w:val="000000"/>
              </w:rPr>
              <w:t>Anthracene</w:t>
            </w:r>
          </w:p>
        </w:tc>
        <w:tc>
          <w:tcPr>
            <w:tcW w:w="1481" w:type="dxa"/>
            <w:tcBorders>
              <w:top w:val="nil"/>
              <w:left w:val="nil"/>
              <w:bottom w:val="single" w:sz="4" w:space="0" w:color="auto"/>
              <w:right w:val="single" w:sz="4" w:space="0" w:color="auto"/>
            </w:tcBorders>
            <w:shd w:val="clear" w:color="000000" w:fill="FFFFFF"/>
            <w:noWrap/>
            <w:vAlign w:val="center"/>
            <w:hideMark/>
          </w:tcPr>
          <w:p w14:paraId="17B05FF8" w14:textId="77777777" w:rsidR="00804511" w:rsidRPr="00313E9A" w:rsidRDefault="00804511" w:rsidP="00804511">
            <w:pPr>
              <w:jc w:val="center"/>
              <w:rPr>
                <w:rFonts w:ascii="Arial" w:hAnsi="Arial" w:cs="Arial"/>
                <w:color w:val="000000"/>
              </w:rPr>
            </w:pPr>
            <w:r w:rsidRPr="00313E9A">
              <w:rPr>
                <w:rFonts w:ascii="Arial" w:hAnsi="Arial" w:cs="Arial"/>
                <w:color w:val="000000"/>
              </w:rPr>
              <w:t>0.116±0.014</w:t>
            </w:r>
          </w:p>
        </w:tc>
        <w:tc>
          <w:tcPr>
            <w:tcW w:w="1417" w:type="dxa"/>
            <w:tcBorders>
              <w:top w:val="nil"/>
              <w:left w:val="nil"/>
              <w:bottom w:val="single" w:sz="4" w:space="0" w:color="auto"/>
              <w:right w:val="single" w:sz="4" w:space="0" w:color="auto"/>
            </w:tcBorders>
            <w:shd w:val="clear" w:color="000000" w:fill="FFFFFF"/>
            <w:noWrap/>
            <w:vAlign w:val="center"/>
            <w:hideMark/>
          </w:tcPr>
          <w:p w14:paraId="645E67E9" w14:textId="77777777" w:rsidR="00804511" w:rsidRPr="00313E9A" w:rsidRDefault="00804511" w:rsidP="00804511">
            <w:pPr>
              <w:jc w:val="center"/>
              <w:rPr>
                <w:rFonts w:ascii="Arial" w:hAnsi="Arial" w:cs="Arial"/>
                <w:color w:val="000000"/>
              </w:rPr>
            </w:pPr>
            <w:r w:rsidRPr="00313E9A">
              <w:rPr>
                <w:rFonts w:ascii="Arial" w:hAnsi="Arial" w:cs="Arial"/>
                <w:color w:val="000000"/>
              </w:rPr>
              <w:t>0.043±0.007</w:t>
            </w:r>
          </w:p>
        </w:tc>
        <w:tc>
          <w:tcPr>
            <w:tcW w:w="2029" w:type="dxa"/>
            <w:tcBorders>
              <w:top w:val="nil"/>
              <w:left w:val="nil"/>
              <w:bottom w:val="single" w:sz="4" w:space="0" w:color="auto"/>
              <w:right w:val="single" w:sz="4" w:space="0" w:color="auto"/>
            </w:tcBorders>
            <w:shd w:val="clear" w:color="000000" w:fill="FFFFFF"/>
            <w:noWrap/>
            <w:vAlign w:val="center"/>
            <w:hideMark/>
          </w:tcPr>
          <w:p w14:paraId="14C5460A" w14:textId="77777777" w:rsidR="00804511" w:rsidRPr="00313E9A" w:rsidRDefault="00804511" w:rsidP="00804511">
            <w:pPr>
              <w:jc w:val="center"/>
              <w:rPr>
                <w:rFonts w:ascii="Arial" w:hAnsi="Arial" w:cs="Arial"/>
                <w:color w:val="000000"/>
              </w:rPr>
            </w:pPr>
            <w:r w:rsidRPr="00313E9A">
              <w:rPr>
                <w:rFonts w:ascii="Arial" w:hAnsi="Arial" w:cs="Arial"/>
                <w:color w:val="000000"/>
              </w:rPr>
              <w:t>0.071±0.011</w:t>
            </w:r>
          </w:p>
        </w:tc>
        <w:tc>
          <w:tcPr>
            <w:tcW w:w="1984" w:type="dxa"/>
            <w:tcBorders>
              <w:top w:val="nil"/>
              <w:left w:val="nil"/>
              <w:bottom w:val="single" w:sz="4" w:space="0" w:color="auto"/>
              <w:right w:val="single" w:sz="4" w:space="0" w:color="auto"/>
            </w:tcBorders>
            <w:shd w:val="clear" w:color="000000" w:fill="FFFFFF"/>
            <w:noWrap/>
            <w:vAlign w:val="center"/>
            <w:hideMark/>
          </w:tcPr>
          <w:p w14:paraId="6F1CB2CA" w14:textId="77777777" w:rsidR="00804511" w:rsidRPr="00313E9A" w:rsidRDefault="00804511" w:rsidP="00804511">
            <w:pPr>
              <w:jc w:val="center"/>
              <w:rPr>
                <w:rFonts w:ascii="Arial" w:hAnsi="Arial" w:cs="Arial"/>
                <w:color w:val="000000"/>
              </w:rPr>
            </w:pPr>
            <w:r w:rsidRPr="00313E9A">
              <w:rPr>
                <w:rFonts w:ascii="Arial" w:hAnsi="Arial" w:cs="Arial"/>
                <w:color w:val="000000"/>
              </w:rPr>
              <w:t>0.037±0.007</w:t>
            </w:r>
          </w:p>
        </w:tc>
      </w:tr>
      <w:tr w:rsidR="00804511" w:rsidRPr="00313E9A" w14:paraId="1A40F85F"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1F0E5635" w14:textId="2D663651" w:rsidR="00804511" w:rsidRPr="00313E9A" w:rsidRDefault="00AD7C9C" w:rsidP="00804511">
            <w:pPr>
              <w:jc w:val="center"/>
              <w:rPr>
                <w:rFonts w:ascii="Arial" w:hAnsi="Arial" w:cs="Arial"/>
                <w:color w:val="000000"/>
              </w:rPr>
            </w:pPr>
            <w:r w:rsidRPr="00313E9A">
              <w:rPr>
                <w:rFonts w:ascii="Arial" w:hAnsi="Arial" w:cs="Arial"/>
                <w:color w:val="000000"/>
              </w:rPr>
              <w:t>Fluoranthene</w:t>
            </w:r>
          </w:p>
        </w:tc>
        <w:tc>
          <w:tcPr>
            <w:tcW w:w="1481" w:type="dxa"/>
            <w:tcBorders>
              <w:top w:val="nil"/>
              <w:left w:val="nil"/>
              <w:bottom w:val="single" w:sz="4" w:space="0" w:color="auto"/>
              <w:right w:val="single" w:sz="4" w:space="0" w:color="auto"/>
            </w:tcBorders>
            <w:shd w:val="clear" w:color="000000" w:fill="FFFFFF"/>
            <w:noWrap/>
            <w:vAlign w:val="center"/>
            <w:hideMark/>
          </w:tcPr>
          <w:p w14:paraId="040DF0BF" w14:textId="4A0F145E" w:rsidR="00804511" w:rsidRPr="00313E9A" w:rsidRDefault="000173F3" w:rsidP="00804511">
            <w:pPr>
              <w:jc w:val="center"/>
              <w:rPr>
                <w:rFonts w:ascii="Arial" w:hAnsi="Arial" w:cs="Arial"/>
                <w:color w:val="000000"/>
              </w:rPr>
            </w:pPr>
            <w:r w:rsidRPr="00F36385">
              <w:rPr>
                <w:rFonts w:ascii="Arial" w:hAnsi="Arial" w:cs="Arial"/>
                <w:color w:val="000000"/>
                <w:highlight w:val="yellow"/>
              </w:rPr>
              <w:t>0.0</w:t>
            </w:r>
            <w:r w:rsidR="00804511" w:rsidRPr="00F36385">
              <w:rPr>
                <w:rFonts w:ascii="Arial" w:hAnsi="Arial" w:cs="Arial"/>
                <w:color w:val="000000"/>
                <w:highlight w:val="yellow"/>
              </w:rPr>
              <w:t>71±</w:t>
            </w:r>
            <w:r w:rsidRPr="00F36385">
              <w:rPr>
                <w:rFonts w:ascii="Arial" w:hAnsi="Arial" w:cs="Arial"/>
                <w:color w:val="000000"/>
                <w:highlight w:val="yellow"/>
              </w:rPr>
              <w:t>0.00</w:t>
            </w:r>
            <w:r w:rsidR="00804511" w:rsidRPr="00F36385">
              <w:rPr>
                <w:rFonts w:ascii="Arial" w:hAnsi="Arial" w:cs="Arial"/>
                <w:color w:val="000000"/>
                <w:highlight w:val="yellow"/>
              </w:rPr>
              <w:t>1</w:t>
            </w:r>
          </w:p>
        </w:tc>
        <w:tc>
          <w:tcPr>
            <w:tcW w:w="1417" w:type="dxa"/>
            <w:tcBorders>
              <w:top w:val="nil"/>
              <w:left w:val="nil"/>
              <w:bottom w:val="single" w:sz="4" w:space="0" w:color="auto"/>
              <w:right w:val="single" w:sz="4" w:space="0" w:color="auto"/>
            </w:tcBorders>
            <w:shd w:val="clear" w:color="000000" w:fill="FFFFFF"/>
            <w:noWrap/>
            <w:vAlign w:val="center"/>
            <w:hideMark/>
          </w:tcPr>
          <w:p w14:paraId="25D9796C" w14:textId="77777777" w:rsidR="00804511" w:rsidRPr="00313E9A" w:rsidRDefault="00804511" w:rsidP="00804511">
            <w:pPr>
              <w:jc w:val="center"/>
              <w:rPr>
                <w:rFonts w:ascii="Arial" w:hAnsi="Arial" w:cs="Arial"/>
                <w:color w:val="000000"/>
              </w:rPr>
            </w:pPr>
            <w:r w:rsidRPr="00313E9A">
              <w:rPr>
                <w:rFonts w:ascii="Arial" w:hAnsi="Arial" w:cs="Arial"/>
                <w:color w:val="000000"/>
              </w:rPr>
              <w:t>0.020±0.002</w:t>
            </w:r>
          </w:p>
        </w:tc>
        <w:tc>
          <w:tcPr>
            <w:tcW w:w="2029" w:type="dxa"/>
            <w:tcBorders>
              <w:top w:val="nil"/>
              <w:left w:val="nil"/>
              <w:bottom w:val="single" w:sz="4" w:space="0" w:color="auto"/>
              <w:right w:val="single" w:sz="4" w:space="0" w:color="auto"/>
            </w:tcBorders>
            <w:shd w:val="clear" w:color="000000" w:fill="FFFFFF"/>
            <w:noWrap/>
            <w:vAlign w:val="center"/>
            <w:hideMark/>
          </w:tcPr>
          <w:p w14:paraId="2313FA41" w14:textId="77777777" w:rsidR="00804511" w:rsidRPr="00313E9A" w:rsidRDefault="00804511" w:rsidP="00804511">
            <w:pPr>
              <w:jc w:val="center"/>
              <w:rPr>
                <w:rFonts w:ascii="Arial" w:hAnsi="Arial" w:cs="Arial"/>
                <w:color w:val="000000"/>
              </w:rPr>
            </w:pPr>
            <w:r w:rsidRPr="00313E9A">
              <w:rPr>
                <w:rFonts w:ascii="Arial" w:hAnsi="Arial" w:cs="Arial"/>
                <w:color w:val="000000"/>
              </w:rPr>
              <w:t>0.075±0.008</w:t>
            </w:r>
          </w:p>
        </w:tc>
        <w:tc>
          <w:tcPr>
            <w:tcW w:w="1984" w:type="dxa"/>
            <w:tcBorders>
              <w:top w:val="nil"/>
              <w:left w:val="nil"/>
              <w:bottom w:val="single" w:sz="4" w:space="0" w:color="auto"/>
              <w:right w:val="single" w:sz="4" w:space="0" w:color="auto"/>
            </w:tcBorders>
            <w:shd w:val="clear" w:color="000000" w:fill="FFFFFF"/>
            <w:noWrap/>
            <w:vAlign w:val="center"/>
            <w:hideMark/>
          </w:tcPr>
          <w:p w14:paraId="5074572B" w14:textId="77777777" w:rsidR="00804511" w:rsidRPr="00313E9A" w:rsidRDefault="00804511" w:rsidP="00804511">
            <w:pPr>
              <w:jc w:val="center"/>
              <w:rPr>
                <w:rFonts w:ascii="Arial" w:hAnsi="Arial" w:cs="Arial"/>
                <w:color w:val="000000"/>
              </w:rPr>
            </w:pPr>
            <w:r w:rsidRPr="00313E9A">
              <w:rPr>
                <w:rFonts w:ascii="Arial" w:hAnsi="Arial" w:cs="Arial"/>
                <w:color w:val="000000"/>
              </w:rPr>
              <w:t>0.022±0.003</w:t>
            </w:r>
          </w:p>
        </w:tc>
      </w:tr>
      <w:tr w:rsidR="00804511" w:rsidRPr="00313E9A" w14:paraId="2316CEC3"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49850FA1" w14:textId="77777777" w:rsidR="00804511" w:rsidRPr="00313E9A" w:rsidRDefault="00804511" w:rsidP="00804511">
            <w:pPr>
              <w:jc w:val="center"/>
              <w:rPr>
                <w:rFonts w:ascii="Arial" w:hAnsi="Arial" w:cs="Arial"/>
                <w:color w:val="000000"/>
              </w:rPr>
            </w:pPr>
            <w:r w:rsidRPr="00313E9A">
              <w:rPr>
                <w:rFonts w:ascii="Arial" w:hAnsi="Arial" w:cs="Arial"/>
                <w:color w:val="000000"/>
              </w:rPr>
              <w:t>Pyrene</w:t>
            </w:r>
          </w:p>
        </w:tc>
        <w:tc>
          <w:tcPr>
            <w:tcW w:w="1481" w:type="dxa"/>
            <w:tcBorders>
              <w:top w:val="nil"/>
              <w:left w:val="nil"/>
              <w:bottom w:val="single" w:sz="4" w:space="0" w:color="auto"/>
              <w:right w:val="single" w:sz="4" w:space="0" w:color="auto"/>
            </w:tcBorders>
            <w:shd w:val="clear" w:color="000000" w:fill="FFFFFF"/>
            <w:noWrap/>
            <w:vAlign w:val="center"/>
            <w:hideMark/>
          </w:tcPr>
          <w:p w14:paraId="10B57965" w14:textId="77777777" w:rsidR="00804511" w:rsidRPr="00313E9A" w:rsidRDefault="00804511" w:rsidP="00804511">
            <w:pPr>
              <w:jc w:val="center"/>
              <w:rPr>
                <w:rFonts w:ascii="Arial" w:hAnsi="Arial" w:cs="Arial"/>
                <w:color w:val="000000"/>
              </w:rPr>
            </w:pPr>
            <w:r w:rsidRPr="00313E9A">
              <w:rPr>
                <w:rFonts w:ascii="Arial" w:hAnsi="Arial" w:cs="Arial"/>
                <w:color w:val="000000"/>
              </w:rPr>
              <w:t>0.051±0.008</w:t>
            </w:r>
          </w:p>
        </w:tc>
        <w:tc>
          <w:tcPr>
            <w:tcW w:w="1417" w:type="dxa"/>
            <w:tcBorders>
              <w:top w:val="nil"/>
              <w:left w:val="nil"/>
              <w:bottom w:val="single" w:sz="4" w:space="0" w:color="auto"/>
              <w:right w:val="single" w:sz="4" w:space="0" w:color="auto"/>
            </w:tcBorders>
            <w:shd w:val="clear" w:color="000000" w:fill="FFFFFF"/>
            <w:noWrap/>
            <w:vAlign w:val="center"/>
            <w:hideMark/>
          </w:tcPr>
          <w:p w14:paraId="1CFECC5E"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75F30039" w14:textId="77777777" w:rsidR="00804511" w:rsidRPr="00313E9A" w:rsidRDefault="00804511" w:rsidP="00804511">
            <w:pPr>
              <w:jc w:val="center"/>
              <w:rPr>
                <w:rFonts w:ascii="Arial" w:hAnsi="Arial" w:cs="Arial"/>
                <w:color w:val="000000"/>
              </w:rPr>
            </w:pPr>
            <w:r w:rsidRPr="00313E9A">
              <w:rPr>
                <w:rFonts w:ascii="Arial" w:hAnsi="Arial" w:cs="Arial"/>
                <w:color w:val="000000"/>
              </w:rPr>
              <w:t>0.013±0.001</w:t>
            </w:r>
          </w:p>
        </w:tc>
        <w:tc>
          <w:tcPr>
            <w:tcW w:w="1984" w:type="dxa"/>
            <w:tcBorders>
              <w:top w:val="nil"/>
              <w:left w:val="nil"/>
              <w:bottom w:val="single" w:sz="4" w:space="0" w:color="auto"/>
              <w:right w:val="single" w:sz="4" w:space="0" w:color="auto"/>
            </w:tcBorders>
            <w:shd w:val="clear" w:color="000000" w:fill="FFFFFF"/>
            <w:noWrap/>
            <w:vAlign w:val="center"/>
            <w:hideMark/>
          </w:tcPr>
          <w:p w14:paraId="065C6EE4"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06139870"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3D06CF94" w14:textId="0E054F4F" w:rsidR="00804511" w:rsidRPr="00313E9A" w:rsidRDefault="00804511" w:rsidP="00804511">
            <w:pPr>
              <w:jc w:val="center"/>
              <w:rPr>
                <w:rFonts w:ascii="Arial" w:hAnsi="Arial" w:cs="Arial"/>
                <w:color w:val="000000"/>
              </w:rPr>
            </w:pPr>
            <w:r w:rsidRPr="00313E9A">
              <w:rPr>
                <w:rFonts w:ascii="Arial" w:hAnsi="Arial" w:cs="Arial"/>
                <w:color w:val="000000"/>
              </w:rPr>
              <w:t>Benz[a]</w:t>
            </w:r>
            <w:r w:rsidR="00AD7C9C" w:rsidRPr="00313E9A">
              <w:rPr>
                <w:rFonts w:ascii="Arial" w:hAnsi="Arial" w:cs="Arial"/>
                <w:color w:val="000000"/>
              </w:rPr>
              <w:t>anthracene</w:t>
            </w:r>
          </w:p>
        </w:tc>
        <w:tc>
          <w:tcPr>
            <w:tcW w:w="1481" w:type="dxa"/>
            <w:tcBorders>
              <w:top w:val="nil"/>
              <w:left w:val="nil"/>
              <w:bottom w:val="single" w:sz="4" w:space="0" w:color="auto"/>
              <w:right w:val="single" w:sz="4" w:space="0" w:color="auto"/>
            </w:tcBorders>
            <w:shd w:val="clear" w:color="000000" w:fill="FFFFFF"/>
            <w:noWrap/>
            <w:vAlign w:val="center"/>
            <w:hideMark/>
          </w:tcPr>
          <w:p w14:paraId="49563835" w14:textId="77777777" w:rsidR="00804511" w:rsidRPr="00313E9A" w:rsidRDefault="00804511" w:rsidP="00804511">
            <w:pPr>
              <w:jc w:val="center"/>
              <w:rPr>
                <w:rFonts w:ascii="Arial" w:hAnsi="Arial" w:cs="Arial"/>
                <w:color w:val="000000"/>
              </w:rPr>
            </w:pPr>
            <w:r w:rsidRPr="00313E9A">
              <w:rPr>
                <w:rFonts w:ascii="Arial" w:hAnsi="Arial" w:cs="Arial"/>
                <w:color w:val="000000"/>
              </w:rPr>
              <w:t>0.094±0.009</w:t>
            </w:r>
          </w:p>
        </w:tc>
        <w:tc>
          <w:tcPr>
            <w:tcW w:w="1417" w:type="dxa"/>
            <w:tcBorders>
              <w:top w:val="nil"/>
              <w:left w:val="nil"/>
              <w:bottom w:val="single" w:sz="4" w:space="0" w:color="auto"/>
              <w:right w:val="single" w:sz="4" w:space="0" w:color="auto"/>
            </w:tcBorders>
            <w:shd w:val="clear" w:color="000000" w:fill="FFFFFF"/>
            <w:noWrap/>
            <w:vAlign w:val="center"/>
            <w:hideMark/>
          </w:tcPr>
          <w:p w14:paraId="0BB7221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0BA4C313" w14:textId="77777777" w:rsidR="00804511" w:rsidRPr="00313E9A" w:rsidRDefault="00804511" w:rsidP="00804511">
            <w:pPr>
              <w:jc w:val="center"/>
              <w:rPr>
                <w:rFonts w:ascii="Arial" w:hAnsi="Arial" w:cs="Arial"/>
                <w:color w:val="000000"/>
              </w:rPr>
            </w:pPr>
            <w:r w:rsidRPr="00313E9A">
              <w:rPr>
                <w:rFonts w:ascii="Arial" w:hAnsi="Arial" w:cs="Arial"/>
                <w:color w:val="000000"/>
              </w:rPr>
              <w:t>0.024±0.003</w:t>
            </w:r>
          </w:p>
        </w:tc>
        <w:tc>
          <w:tcPr>
            <w:tcW w:w="1984" w:type="dxa"/>
            <w:tcBorders>
              <w:top w:val="nil"/>
              <w:left w:val="nil"/>
              <w:bottom w:val="single" w:sz="4" w:space="0" w:color="auto"/>
              <w:right w:val="single" w:sz="4" w:space="0" w:color="auto"/>
            </w:tcBorders>
            <w:shd w:val="clear" w:color="000000" w:fill="FFFFFF"/>
            <w:noWrap/>
            <w:vAlign w:val="center"/>
            <w:hideMark/>
          </w:tcPr>
          <w:p w14:paraId="4ADC7223" w14:textId="77777777" w:rsidR="00804511" w:rsidRPr="00313E9A" w:rsidRDefault="00804511" w:rsidP="00804511">
            <w:pPr>
              <w:jc w:val="center"/>
              <w:rPr>
                <w:rFonts w:ascii="Arial" w:hAnsi="Arial" w:cs="Arial"/>
                <w:color w:val="000000"/>
              </w:rPr>
            </w:pPr>
            <w:r w:rsidRPr="00313E9A">
              <w:rPr>
                <w:rFonts w:ascii="Arial" w:hAnsi="Arial" w:cs="Arial"/>
                <w:color w:val="000000"/>
              </w:rPr>
              <w:t>0.011±0.001</w:t>
            </w:r>
          </w:p>
        </w:tc>
      </w:tr>
      <w:tr w:rsidR="00804511" w:rsidRPr="00313E9A" w14:paraId="7D3F5536"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38CBAD7F" w14:textId="77777777" w:rsidR="00804511" w:rsidRPr="00313E9A" w:rsidRDefault="00804511" w:rsidP="00804511">
            <w:pPr>
              <w:jc w:val="center"/>
              <w:rPr>
                <w:rFonts w:ascii="Arial" w:hAnsi="Arial" w:cs="Arial"/>
                <w:color w:val="000000"/>
              </w:rPr>
            </w:pPr>
            <w:r w:rsidRPr="00313E9A">
              <w:rPr>
                <w:rFonts w:ascii="Arial" w:hAnsi="Arial" w:cs="Arial"/>
                <w:color w:val="000000"/>
              </w:rPr>
              <w:t>Chrysene</w:t>
            </w:r>
          </w:p>
        </w:tc>
        <w:tc>
          <w:tcPr>
            <w:tcW w:w="1481" w:type="dxa"/>
            <w:tcBorders>
              <w:top w:val="nil"/>
              <w:left w:val="nil"/>
              <w:bottom w:val="single" w:sz="4" w:space="0" w:color="auto"/>
              <w:right w:val="single" w:sz="4" w:space="0" w:color="auto"/>
            </w:tcBorders>
            <w:shd w:val="clear" w:color="000000" w:fill="FFFFFF"/>
            <w:noWrap/>
            <w:vAlign w:val="center"/>
            <w:hideMark/>
          </w:tcPr>
          <w:p w14:paraId="78CBAC70" w14:textId="77777777" w:rsidR="00804511" w:rsidRPr="00313E9A" w:rsidRDefault="00804511" w:rsidP="00804511">
            <w:pPr>
              <w:jc w:val="center"/>
              <w:rPr>
                <w:rFonts w:ascii="Arial" w:hAnsi="Arial" w:cs="Arial"/>
                <w:color w:val="000000"/>
              </w:rPr>
            </w:pPr>
            <w:r w:rsidRPr="00313E9A">
              <w:rPr>
                <w:rFonts w:ascii="Arial" w:hAnsi="Arial" w:cs="Arial"/>
                <w:color w:val="000000"/>
              </w:rPr>
              <w:t>0.045±0.008</w:t>
            </w:r>
          </w:p>
        </w:tc>
        <w:tc>
          <w:tcPr>
            <w:tcW w:w="1417" w:type="dxa"/>
            <w:tcBorders>
              <w:top w:val="nil"/>
              <w:left w:val="nil"/>
              <w:bottom w:val="single" w:sz="4" w:space="0" w:color="auto"/>
              <w:right w:val="single" w:sz="4" w:space="0" w:color="auto"/>
            </w:tcBorders>
            <w:shd w:val="clear" w:color="000000" w:fill="FFFFFF"/>
            <w:noWrap/>
            <w:vAlign w:val="center"/>
            <w:hideMark/>
          </w:tcPr>
          <w:p w14:paraId="38A33395"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67FEAE5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30746B26"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0EA5D29F"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01B4F29B" w14:textId="77777777" w:rsidR="00804511" w:rsidRPr="00313E9A" w:rsidRDefault="00804511" w:rsidP="00804511">
            <w:pPr>
              <w:jc w:val="center"/>
              <w:rPr>
                <w:rFonts w:ascii="Arial" w:hAnsi="Arial" w:cs="Arial"/>
                <w:color w:val="000000"/>
              </w:rPr>
            </w:pPr>
            <w:r w:rsidRPr="00313E9A">
              <w:rPr>
                <w:rFonts w:ascii="Arial" w:hAnsi="Arial" w:cs="Arial"/>
                <w:color w:val="000000"/>
              </w:rPr>
              <w:t>Perylene</w:t>
            </w:r>
          </w:p>
        </w:tc>
        <w:tc>
          <w:tcPr>
            <w:tcW w:w="1481" w:type="dxa"/>
            <w:tcBorders>
              <w:top w:val="nil"/>
              <w:left w:val="nil"/>
              <w:bottom w:val="single" w:sz="4" w:space="0" w:color="auto"/>
              <w:right w:val="single" w:sz="4" w:space="0" w:color="auto"/>
            </w:tcBorders>
            <w:shd w:val="clear" w:color="000000" w:fill="FFFFFF"/>
            <w:noWrap/>
            <w:vAlign w:val="center"/>
            <w:hideMark/>
          </w:tcPr>
          <w:p w14:paraId="15CBCCB3" w14:textId="77777777" w:rsidR="00804511" w:rsidRPr="00313E9A" w:rsidRDefault="00804511" w:rsidP="00804511">
            <w:pPr>
              <w:jc w:val="center"/>
              <w:rPr>
                <w:rFonts w:ascii="Arial" w:hAnsi="Arial" w:cs="Arial"/>
                <w:color w:val="000000"/>
              </w:rPr>
            </w:pPr>
            <w:r w:rsidRPr="00313E9A">
              <w:rPr>
                <w:rFonts w:ascii="Arial" w:hAnsi="Arial" w:cs="Arial"/>
                <w:color w:val="000000"/>
              </w:rPr>
              <w:t>0.018±0.003</w:t>
            </w:r>
          </w:p>
        </w:tc>
        <w:tc>
          <w:tcPr>
            <w:tcW w:w="1417" w:type="dxa"/>
            <w:tcBorders>
              <w:top w:val="nil"/>
              <w:left w:val="nil"/>
              <w:bottom w:val="single" w:sz="4" w:space="0" w:color="auto"/>
              <w:right w:val="single" w:sz="4" w:space="0" w:color="auto"/>
            </w:tcBorders>
            <w:shd w:val="clear" w:color="000000" w:fill="FFFFFF"/>
            <w:noWrap/>
            <w:vAlign w:val="center"/>
            <w:hideMark/>
          </w:tcPr>
          <w:p w14:paraId="46789ED5"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1C723DE1"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65BC94D0"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15692032"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0A8DD630" w14:textId="7F3E1EA4" w:rsidR="00804511" w:rsidRPr="00313E9A" w:rsidRDefault="00804511" w:rsidP="00804511">
            <w:pPr>
              <w:jc w:val="center"/>
              <w:rPr>
                <w:rFonts w:ascii="Arial" w:hAnsi="Arial" w:cs="Arial"/>
                <w:color w:val="000000"/>
              </w:rPr>
            </w:pPr>
            <w:r w:rsidRPr="00313E9A">
              <w:rPr>
                <w:rFonts w:ascii="Arial" w:hAnsi="Arial" w:cs="Arial"/>
                <w:color w:val="000000"/>
              </w:rPr>
              <w:t>Be</w:t>
            </w:r>
            <w:r w:rsidR="00AD7C9C">
              <w:rPr>
                <w:rFonts w:ascii="Arial" w:hAnsi="Arial" w:cs="Arial"/>
                <w:color w:val="000000"/>
              </w:rPr>
              <w:t>n</w:t>
            </w:r>
            <w:r w:rsidRPr="00313E9A">
              <w:rPr>
                <w:rFonts w:ascii="Arial" w:hAnsi="Arial" w:cs="Arial"/>
                <w:color w:val="000000"/>
              </w:rPr>
              <w:t>zo[b]fluoranthene</w:t>
            </w:r>
          </w:p>
        </w:tc>
        <w:tc>
          <w:tcPr>
            <w:tcW w:w="1481" w:type="dxa"/>
            <w:tcBorders>
              <w:top w:val="nil"/>
              <w:left w:val="nil"/>
              <w:bottom w:val="single" w:sz="4" w:space="0" w:color="auto"/>
              <w:right w:val="single" w:sz="4" w:space="0" w:color="auto"/>
            </w:tcBorders>
            <w:shd w:val="clear" w:color="000000" w:fill="FFFFFF"/>
            <w:noWrap/>
            <w:vAlign w:val="center"/>
            <w:hideMark/>
          </w:tcPr>
          <w:p w14:paraId="7E5E9A4B" w14:textId="77777777" w:rsidR="00804511" w:rsidRPr="00313E9A" w:rsidRDefault="00804511" w:rsidP="00804511">
            <w:pPr>
              <w:jc w:val="center"/>
              <w:rPr>
                <w:rFonts w:ascii="Arial" w:hAnsi="Arial" w:cs="Arial"/>
                <w:color w:val="000000"/>
              </w:rPr>
            </w:pPr>
            <w:r w:rsidRPr="00313E9A">
              <w:rPr>
                <w:rFonts w:ascii="Arial" w:hAnsi="Arial" w:cs="Arial"/>
                <w:color w:val="000000"/>
              </w:rPr>
              <w:t>0.014±0.004</w:t>
            </w:r>
          </w:p>
        </w:tc>
        <w:tc>
          <w:tcPr>
            <w:tcW w:w="1417" w:type="dxa"/>
            <w:tcBorders>
              <w:top w:val="nil"/>
              <w:left w:val="nil"/>
              <w:bottom w:val="single" w:sz="4" w:space="0" w:color="auto"/>
              <w:right w:val="single" w:sz="4" w:space="0" w:color="auto"/>
            </w:tcBorders>
            <w:shd w:val="clear" w:color="000000" w:fill="FFFFFF"/>
            <w:noWrap/>
            <w:vAlign w:val="center"/>
            <w:hideMark/>
          </w:tcPr>
          <w:p w14:paraId="0E522B8E"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015DA741"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00E612BA"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B6924DD"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7D04ED18" w14:textId="77777777" w:rsidR="00804511" w:rsidRPr="00313E9A" w:rsidRDefault="00804511" w:rsidP="00804511">
            <w:pPr>
              <w:jc w:val="center"/>
              <w:rPr>
                <w:rFonts w:ascii="Arial" w:hAnsi="Arial" w:cs="Arial"/>
                <w:color w:val="000000"/>
              </w:rPr>
            </w:pPr>
            <w:r w:rsidRPr="00313E9A">
              <w:rPr>
                <w:rFonts w:ascii="Arial" w:hAnsi="Arial" w:cs="Arial"/>
                <w:color w:val="000000"/>
              </w:rPr>
              <w:t>Benzo(k)fluoranthene</w:t>
            </w:r>
          </w:p>
        </w:tc>
        <w:tc>
          <w:tcPr>
            <w:tcW w:w="1481" w:type="dxa"/>
            <w:tcBorders>
              <w:top w:val="nil"/>
              <w:left w:val="nil"/>
              <w:bottom w:val="single" w:sz="4" w:space="0" w:color="auto"/>
              <w:right w:val="single" w:sz="4" w:space="0" w:color="auto"/>
            </w:tcBorders>
            <w:shd w:val="clear" w:color="000000" w:fill="FFFFFF"/>
            <w:noWrap/>
            <w:vAlign w:val="center"/>
            <w:hideMark/>
          </w:tcPr>
          <w:p w14:paraId="4108BBD9"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417" w:type="dxa"/>
            <w:tcBorders>
              <w:top w:val="nil"/>
              <w:left w:val="nil"/>
              <w:bottom w:val="single" w:sz="4" w:space="0" w:color="auto"/>
              <w:right w:val="single" w:sz="4" w:space="0" w:color="auto"/>
            </w:tcBorders>
            <w:shd w:val="clear" w:color="000000" w:fill="FFFFFF"/>
            <w:noWrap/>
            <w:vAlign w:val="center"/>
            <w:hideMark/>
          </w:tcPr>
          <w:p w14:paraId="071B5B50"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3F8AB99F" w14:textId="255DBF58" w:rsidR="00804511" w:rsidRPr="00313E9A" w:rsidRDefault="005A7D02" w:rsidP="00804511">
            <w:pPr>
              <w:jc w:val="center"/>
              <w:rPr>
                <w:rFonts w:ascii="Arial" w:hAnsi="Arial" w:cs="Arial"/>
                <w:color w:val="000000"/>
              </w:rPr>
            </w:pPr>
            <w:r w:rsidRPr="005A7D02">
              <w:rPr>
                <w:rFonts w:ascii="Arial" w:hAnsi="Arial" w:cs="Arial"/>
                <w:color w:val="000000"/>
                <w:highlight w:val="yellow"/>
              </w:rPr>
              <w:t>0.0</w:t>
            </w:r>
            <w:r w:rsidR="00804511" w:rsidRPr="005A7D02">
              <w:rPr>
                <w:rFonts w:ascii="Arial" w:hAnsi="Arial" w:cs="Arial"/>
                <w:color w:val="000000"/>
                <w:highlight w:val="yellow"/>
              </w:rPr>
              <w:t>18±</w:t>
            </w:r>
            <w:r w:rsidRPr="005A7D02">
              <w:rPr>
                <w:rFonts w:ascii="Arial" w:hAnsi="Arial" w:cs="Arial"/>
                <w:color w:val="000000"/>
                <w:highlight w:val="yellow"/>
              </w:rPr>
              <w:t>0.006</w:t>
            </w:r>
          </w:p>
        </w:tc>
        <w:tc>
          <w:tcPr>
            <w:tcW w:w="1984" w:type="dxa"/>
            <w:tcBorders>
              <w:top w:val="nil"/>
              <w:left w:val="nil"/>
              <w:bottom w:val="single" w:sz="4" w:space="0" w:color="auto"/>
              <w:right w:val="single" w:sz="4" w:space="0" w:color="auto"/>
            </w:tcBorders>
            <w:shd w:val="clear" w:color="000000" w:fill="FFFFFF"/>
            <w:noWrap/>
            <w:vAlign w:val="center"/>
            <w:hideMark/>
          </w:tcPr>
          <w:p w14:paraId="47FFCD05"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2C8209F3"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4BB80947" w14:textId="77777777" w:rsidR="00804511" w:rsidRPr="00313E9A" w:rsidRDefault="00804511" w:rsidP="00804511">
            <w:pPr>
              <w:jc w:val="center"/>
              <w:rPr>
                <w:rFonts w:ascii="Arial" w:hAnsi="Arial" w:cs="Arial"/>
                <w:color w:val="000000"/>
              </w:rPr>
            </w:pPr>
            <w:r w:rsidRPr="00313E9A">
              <w:rPr>
                <w:rFonts w:ascii="Arial" w:hAnsi="Arial" w:cs="Arial"/>
                <w:color w:val="000000"/>
              </w:rPr>
              <w:t>Benzo(a)pyrene</w:t>
            </w:r>
          </w:p>
        </w:tc>
        <w:tc>
          <w:tcPr>
            <w:tcW w:w="1481" w:type="dxa"/>
            <w:tcBorders>
              <w:top w:val="nil"/>
              <w:left w:val="nil"/>
              <w:bottom w:val="single" w:sz="4" w:space="0" w:color="auto"/>
              <w:right w:val="single" w:sz="4" w:space="0" w:color="auto"/>
            </w:tcBorders>
            <w:shd w:val="clear" w:color="000000" w:fill="FFFFFF"/>
            <w:noWrap/>
            <w:vAlign w:val="center"/>
            <w:hideMark/>
          </w:tcPr>
          <w:p w14:paraId="6E48BE35" w14:textId="77777777" w:rsidR="00804511" w:rsidRPr="00313E9A" w:rsidRDefault="00804511" w:rsidP="00804511">
            <w:pPr>
              <w:jc w:val="center"/>
              <w:rPr>
                <w:rFonts w:ascii="Arial" w:hAnsi="Arial" w:cs="Arial"/>
                <w:color w:val="000000"/>
              </w:rPr>
            </w:pPr>
            <w:r w:rsidRPr="00313E9A">
              <w:rPr>
                <w:rFonts w:ascii="Arial" w:hAnsi="Arial" w:cs="Arial"/>
                <w:color w:val="000000"/>
              </w:rPr>
              <w:t>0.094±0.013</w:t>
            </w:r>
          </w:p>
        </w:tc>
        <w:tc>
          <w:tcPr>
            <w:tcW w:w="1417" w:type="dxa"/>
            <w:tcBorders>
              <w:top w:val="nil"/>
              <w:left w:val="nil"/>
              <w:bottom w:val="single" w:sz="4" w:space="0" w:color="auto"/>
              <w:right w:val="single" w:sz="4" w:space="0" w:color="auto"/>
            </w:tcBorders>
            <w:shd w:val="clear" w:color="000000" w:fill="FFFFFF"/>
            <w:noWrap/>
            <w:vAlign w:val="center"/>
            <w:hideMark/>
          </w:tcPr>
          <w:p w14:paraId="77B5FA27" w14:textId="77777777" w:rsidR="00804511" w:rsidRPr="00313E9A" w:rsidRDefault="00804511" w:rsidP="00804511">
            <w:pPr>
              <w:jc w:val="center"/>
              <w:rPr>
                <w:rFonts w:ascii="Arial" w:hAnsi="Arial" w:cs="Arial"/>
                <w:color w:val="000000"/>
              </w:rPr>
            </w:pPr>
            <w:r w:rsidRPr="00313E9A">
              <w:rPr>
                <w:rFonts w:ascii="Arial" w:hAnsi="Arial" w:cs="Arial"/>
                <w:color w:val="000000"/>
              </w:rPr>
              <w:t>0.739±0.087</w:t>
            </w:r>
          </w:p>
        </w:tc>
        <w:tc>
          <w:tcPr>
            <w:tcW w:w="2029" w:type="dxa"/>
            <w:tcBorders>
              <w:top w:val="nil"/>
              <w:left w:val="nil"/>
              <w:bottom w:val="single" w:sz="4" w:space="0" w:color="auto"/>
              <w:right w:val="single" w:sz="4" w:space="0" w:color="auto"/>
            </w:tcBorders>
            <w:shd w:val="clear" w:color="000000" w:fill="FFFFFF"/>
            <w:noWrap/>
            <w:vAlign w:val="center"/>
            <w:hideMark/>
          </w:tcPr>
          <w:p w14:paraId="1B4A9099" w14:textId="77777777" w:rsidR="00804511" w:rsidRPr="00313E9A" w:rsidRDefault="00804511" w:rsidP="00804511">
            <w:pPr>
              <w:jc w:val="center"/>
              <w:rPr>
                <w:rFonts w:ascii="Arial" w:hAnsi="Arial" w:cs="Arial"/>
                <w:color w:val="000000"/>
              </w:rPr>
            </w:pPr>
            <w:r w:rsidRPr="00313E9A">
              <w:rPr>
                <w:rFonts w:ascii="Arial" w:hAnsi="Arial" w:cs="Arial"/>
                <w:color w:val="000000"/>
              </w:rPr>
              <w:t>0.072±0.005</w:t>
            </w:r>
          </w:p>
        </w:tc>
        <w:tc>
          <w:tcPr>
            <w:tcW w:w="1984" w:type="dxa"/>
            <w:tcBorders>
              <w:top w:val="nil"/>
              <w:left w:val="nil"/>
              <w:bottom w:val="single" w:sz="4" w:space="0" w:color="auto"/>
              <w:right w:val="single" w:sz="4" w:space="0" w:color="auto"/>
            </w:tcBorders>
            <w:shd w:val="clear" w:color="000000" w:fill="FFFFFF"/>
            <w:noWrap/>
            <w:vAlign w:val="center"/>
            <w:hideMark/>
          </w:tcPr>
          <w:p w14:paraId="1699FCC0" w14:textId="77777777" w:rsidR="00804511" w:rsidRPr="00313E9A" w:rsidRDefault="00804511" w:rsidP="00804511">
            <w:pPr>
              <w:jc w:val="center"/>
              <w:rPr>
                <w:rFonts w:ascii="Arial" w:hAnsi="Arial" w:cs="Arial"/>
                <w:color w:val="000000"/>
              </w:rPr>
            </w:pPr>
            <w:r w:rsidRPr="00313E9A">
              <w:rPr>
                <w:rFonts w:ascii="Arial" w:hAnsi="Arial" w:cs="Arial"/>
                <w:color w:val="000000"/>
              </w:rPr>
              <w:t>0.082±0.007</w:t>
            </w:r>
          </w:p>
        </w:tc>
      </w:tr>
      <w:tr w:rsidR="00804511" w:rsidRPr="00313E9A" w14:paraId="50485E88"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13C46B99" w14:textId="44F3D189" w:rsidR="00804511" w:rsidRPr="00313E9A" w:rsidRDefault="00804511" w:rsidP="00804511">
            <w:pPr>
              <w:jc w:val="center"/>
              <w:rPr>
                <w:rFonts w:ascii="Arial" w:hAnsi="Arial" w:cs="Arial"/>
                <w:color w:val="000000"/>
              </w:rPr>
            </w:pPr>
            <w:r w:rsidRPr="00313E9A">
              <w:rPr>
                <w:rFonts w:ascii="Arial" w:hAnsi="Arial" w:cs="Arial"/>
                <w:color w:val="000000"/>
              </w:rPr>
              <w:t>Dibenz</w:t>
            </w:r>
            <w:r w:rsidR="00AD7C9C">
              <w:rPr>
                <w:rFonts w:ascii="Arial" w:hAnsi="Arial" w:cs="Arial"/>
                <w:color w:val="000000"/>
              </w:rPr>
              <w:t>o</w:t>
            </w:r>
            <w:r w:rsidRPr="00313E9A">
              <w:rPr>
                <w:rFonts w:ascii="Arial" w:hAnsi="Arial" w:cs="Arial"/>
                <w:color w:val="000000"/>
              </w:rPr>
              <w:t>[</w:t>
            </w:r>
            <w:proofErr w:type="spellStart"/>
            <w:proofErr w:type="gramStart"/>
            <w:r w:rsidRPr="00313E9A">
              <w:rPr>
                <w:rFonts w:ascii="Arial" w:hAnsi="Arial" w:cs="Arial"/>
                <w:color w:val="000000"/>
              </w:rPr>
              <w:t>a,h</w:t>
            </w:r>
            <w:proofErr w:type="spellEnd"/>
            <w:proofErr w:type="gramEnd"/>
            <w:r w:rsidRPr="00313E9A">
              <w:rPr>
                <w:rFonts w:ascii="Arial" w:hAnsi="Arial" w:cs="Arial"/>
                <w:color w:val="000000"/>
              </w:rPr>
              <w:t>]</w:t>
            </w:r>
            <w:r w:rsidR="00AD7C9C" w:rsidRPr="00313E9A">
              <w:rPr>
                <w:rFonts w:ascii="Arial" w:hAnsi="Arial" w:cs="Arial"/>
                <w:color w:val="000000"/>
              </w:rPr>
              <w:t>anthracene</w:t>
            </w:r>
          </w:p>
        </w:tc>
        <w:tc>
          <w:tcPr>
            <w:tcW w:w="1481" w:type="dxa"/>
            <w:tcBorders>
              <w:top w:val="nil"/>
              <w:left w:val="nil"/>
              <w:bottom w:val="single" w:sz="4" w:space="0" w:color="auto"/>
              <w:right w:val="single" w:sz="4" w:space="0" w:color="auto"/>
            </w:tcBorders>
            <w:shd w:val="clear" w:color="000000" w:fill="FFFFFF"/>
            <w:noWrap/>
            <w:vAlign w:val="center"/>
            <w:hideMark/>
          </w:tcPr>
          <w:p w14:paraId="71608886"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417" w:type="dxa"/>
            <w:tcBorders>
              <w:top w:val="nil"/>
              <w:left w:val="nil"/>
              <w:bottom w:val="single" w:sz="4" w:space="0" w:color="auto"/>
              <w:right w:val="single" w:sz="4" w:space="0" w:color="auto"/>
            </w:tcBorders>
            <w:shd w:val="clear" w:color="000000" w:fill="FFFFFF"/>
            <w:noWrap/>
            <w:vAlign w:val="center"/>
            <w:hideMark/>
          </w:tcPr>
          <w:p w14:paraId="1F626282"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1C69E960"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262ABAAE"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7B421142"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035F5F87" w14:textId="2B1D9C2E" w:rsidR="00804511" w:rsidRPr="00313E9A" w:rsidRDefault="00804511" w:rsidP="00804511">
            <w:pPr>
              <w:jc w:val="center"/>
              <w:rPr>
                <w:rFonts w:ascii="Arial" w:hAnsi="Arial" w:cs="Arial"/>
                <w:color w:val="000000"/>
              </w:rPr>
            </w:pPr>
            <w:r w:rsidRPr="00313E9A">
              <w:rPr>
                <w:rFonts w:ascii="Arial" w:hAnsi="Arial" w:cs="Arial"/>
                <w:color w:val="000000"/>
              </w:rPr>
              <w:t>Benzo(</w:t>
            </w:r>
            <w:proofErr w:type="spellStart"/>
            <w:proofErr w:type="gramStart"/>
            <w:r w:rsidRPr="00313E9A">
              <w:rPr>
                <w:rFonts w:ascii="Arial" w:hAnsi="Arial" w:cs="Arial"/>
                <w:color w:val="000000"/>
              </w:rPr>
              <w:t>g,h</w:t>
            </w:r>
            <w:proofErr w:type="gramEnd"/>
            <w:r w:rsidRPr="00313E9A">
              <w:rPr>
                <w:rFonts w:ascii="Arial" w:hAnsi="Arial" w:cs="Arial"/>
                <w:color w:val="000000"/>
              </w:rPr>
              <w:t>,i</w:t>
            </w:r>
            <w:proofErr w:type="spellEnd"/>
            <w:r w:rsidRPr="00313E9A">
              <w:rPr>
                <w:rFonts w:ascii="Arial" w:hAnsi="Arial" w:cs="Arial"/>
                <w:color w:val="000000"/>
              </w:rPr>
              <w:t>)</w:t>
            </w:r>
            <w:proofErr w:type="spellStart"/>
            <w:r w:rsidRPr="00313E9A">
              <w:rPr>
                <w:rFonts w:ascii="Arial" w:hAnsi="Arial" w:cs="Arial"/>
                <w:color w:val="000000"/>
              </w:rPr>
              <w:t>perylene</w:t>
            </w:r>
            <w:proofErr w:type="spellEnd"/>
          </w:p>
        </w:tc>
        <w:tc>
          <w:tcPr>
            <w:tcW w:w="1481" w:type="dxa"/>
            <w:tcBorders>
              <w:top w:val="nil"/>
              <w:left w:val="nil"/>
              <w:bottom w:val="single" w:sz="4" w:space="0" w:color="auto"/>
              <w:right w:val="single" w:sz="4" w:space="0" w:color="auto"/>
            </w:tcBorders>
            <w:shd w:val="clear" w:color="000000" w:fill="FFFFFF"/>
            <w:noWrap/>
            <w:vAlign w:val="center"/>
            <w:hideMark/>
          </w:tcPr>
          <w:p w14:paraId="7CE06288" w14:textId="77777777" w:rsidR="00804511" w:rsidRPr="00313E9A" w:rsidRDefault="00804511" w:rsidP="00804511">
            <w:pPr>
              <w:jc w:val="center"/>
              <w:rPr>
                <w:rFonts w:ascii="Arial" w:hAnsi="Arial" w:cs="Arial"/>
                <w:color w:val="000000"/>
              </w:rPr>
            </w:pPr>
            <w:r w:rsidRPr="00313E9A">
              <w:rPr>
                <w:rFonts w:ascii="Arial" w:hAnsi="Arial" w:cs="Arial"/>
                <w:color w:val="000000"/>
              </w:rPr>
              <w:t>0.013±0.001</w:t>
            </w:r>
          </w:p>
        </w:tc>
        <w:tc>
          <w:tcPr>
            <w:tcW w:w="1417" w:type="dxa"/>
            <w:tcBorders>
              <w:top w:val="nil"/>
              <w:left w:val="nil"/>
              <w:bottom w:val="single" w:sz="4" w:space="0" w:color="auto"/>
              <w:right w:val="single" w:sz="4" w:space="0" w:color="auto"/>
            </w:tcBorders>
            <w:shd w:val="clear" w:color="000000" w:fill="FFFFFF"/>
            <w:noWrap/>
            <w:vAlign w:val="center"/>
            <w:hideMark/>
          </w:tcPr>
          <w:p w14:paraId="4730E6DA"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3A152551" w14:textId="77777777" w:rsidR="00804511" w:rsidRPr="00313E9A" w:rsidRDefault="00804511" w:rsidP="00804511">
            <w:pPr>
              <w:jc w:val="center"/>
              <w:rPr>
                <w:rFonts w:ascii="Arial" w:hAnsi="Arial" w:cs="Arial"/>
                <w:color w:val="000000"/>
              </w:rPr>
            </w:pPr>
            <w:r w:rsidRPr="00313E9A">
              <w:rPr>
                <w:rFonts w:ascii="Arial" w:hAnsi="Arial" w:cs="Arial"/>
                <w:color w:val="000000"/>
              </w:rPr>
              <w:t>0.016±0.003</w:t>
            </w:r>
          </w:p>
        </w:tc>
        <w:tc>
          <w:tcPr>
            <w:tcW w:w="1984" w:type="dxa"/>
            <w:tcBorders>
              <w:top w:val="nil"/>
              <w:left w:val="nil"/>
              <w:bottom w:val="single" w:sz="4" w:space="0" w:color="auto"/>
              <w:right w:val="single" w:sz="4" w:space="0" w:color="auto"/>
            </w:tcBorders>
            <w:shd w:val="clear" w:color="000000" w:fill="FFFFFF"/>
            <w:noWrap/>
            <w:vAlign w:val="center"/>
            <w:hideMark/>
          </w:tcPr>
          <w:p w14:paraId="58457262"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2B075BC2"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309D1441"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t>Ieno</w:t>
            </w:r>
            <w:proofErr w:type="spellEnd"/>
            <w:r w:rsidRPr="00313E9A">
              <w:rPr>
                <w:rFonts w:ascii="Arial" w:hAnsi="Arial" w:cs="Arial"/>
                <w:color w:val="000000"/>
              </w:rPr>
              <w:t>(1,2,3</w:t>
            </w:r>
            <w:proofErr w:type="gramStart"/>
            <w:r w:rsidRPr="00313E9A">
              <w:rPr>
                <w:rFonts w:ascii="Arial" w:hAnsi="Arial" w:cs="Arial"/>
                <w:color w:val="000000"/>
              </w:rPr>
              <w:t>c,d</w:t>
            </w:r>
            <w:proofErr w:type="gramEnd"/>
            <w:r w:rsidRPr="00313E9A">
              <w:rPr>
                <w:rFonts w:ascii="Arial" w:hAnsi="Arial" w:cs="Arial"/>
                <w:color w:val="000000"/>
              </w:rPr>
              <w:t>)pyrene</w:t>
            </w:r>
          </w:p>
        </w:tc>
        <w:tc>
          <w:tcPr>
            <w:tcW w:w="1481" w:type="dxa"/>
            <w:tcBorders>
              <w:top w:val="nil"/>
              <w:left w:val="nil"/>
              <w:bottom w:val="single" w:sz="4" w:space="0" w:color="auto"/>
              <w:right w:val="single" w:sz="4" w:space="0" w:color="auto"/>
            </w:tcBorders>
            <w:shd w:val="clear" w:color="000000" w:fill="FFFFFF"/>
            <w:noWrap/>
            <w:vAlign w:val="center"/>
            <w:hideMark/>
          </w:tcPr>
          <w:p w14:paraId="151EBE15"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417" w:type="dxa"/>
            <w:tcBorders>
              <w:top w:val="nil"/>
              <w:left w:val="nil"/>
              <w:bottom w:val="single" w:sz="4" w:space="0" w:color="auto"/>
              <w:right w:val="single" w:sz="4" w:space="0" w:color="auto"/>
            </w:tcBorders>
            <w:shd w:val="clear" w:color="000000" w:fill="FFFFFF"/>
            <w:noWrap/>
            <w:vAlign w:val="center"/>
            <w:hideMark/>
          </w:tcPr>
          <w:p w14:paraId="576EF582"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56CD59D0"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1EFB5562"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732ACCA3" w14:textId="77777777" w:rsidTr="00804511">
        <w:trPr>
          <w:trHeight w:val="340"/>
          <w:jc w:val="center"/>
        </w:trPr>
        <w:tc>
          <w:tcPr>
            <w:tcW w:w="2264" w:type="dxa"/>
            <w:tcBorders>
              <w:top w:val="single" w:sz="4" w:space="0" w:color="auto"/>
              <w:left w:val="single" w:sz="4" w:space="0" w:color="auto"/>
              <w:bottom w:val="single" w:sz="4" w:space="0" w:color="auto"/>
              <w:right w:val="single" w:sz="4" w:space="0" w:color="auto"/>
            </w:tcBorders>
            <w:noWrap/>
            <w:vAlign w:val="bottom"/>
            <w:hideMark/>
          </w:tcPr>
          <w:p w14:paraId="5457DC12" w14:textId="77777777" w:rsidR="00804511" w:rsidRPr="00313E9A" w:rsidRDefault="000173F3" w:rsidP="00804511">
            <w:pPr>
              <w:jc w:val="center"/>
              <w:rPr>
                <w:rFonts w:ascii="Arial" w:hAnsi="Arial" w:cs="Arial"/>
                <w:color w:val="000000"/>
              </w:rPr>
            </w:pPr>
            <m:oMathPara>
              <m:oMath>
                <m:nary>
                  <m:naryPr>
                    <m:chr m:val="∑"/>
                    <m:limLoc m:val="undOvr"/>
                    <m:ctrlPr>
                      <w:rPr>
                        <w:rFonts w:ascii="Cambria Math" w:hAnsi="Cambria Math" w:cs="Arial"/>
                        <w:color w:val="000000"/>
                      </w:rPr>
                    </m:ctrlPr>
                  </m:naryPr>
                  <m:sub>
                    <m:r>
                      <m:rPr>
                        <m:sty m:val="b"/>
                      </m:rPr>
                      <w:rPr>
                        <w:rFonts w:ascii="Cambria Math" w:hAnsi="Cambria Math" w:cs="Arial"/>
                        <w:color w:val="000000"/>
                      </w:rPr>
                      <m:t>1</m:t>
                    </m:r>
                  </m:sub>
                  <m:sup>
                    <m:r>
                      <m:rPr>
                        <m:sty m:val="b"/>
                      </m:rPr>
                      <w:rPr>
                        <w:rFonts w:ascii="Cambria Math" w:hAnsi="Cambria Math" w:cs="Arial"/>
                        <w:color w:val="000000"/>
                      </w:rPr>
                      <m:t>17</m:t>
                    </m:r>
                  </m:sup>
                  <m:e>
                    <m:r>
                      <m:rPr>
                        <m:sty m:val="bi"/>
                      </m:rPr>
                      <w:rPr>
                        <w:rFonts w:ascii="Cambria Math" w:hAnsi="Cambria Math" w:cs="Arial"/>
                        <w:color w:val="000000"/>
                      </w:rPr>
                      <m:t>PAHs</m:t>
                    </m:r>
                  </m:e>
                </m:nary>
              </m:oMath>
            </m:oMathPara>
          </w:p>
          <w:p w14:paraId="49A27A07" w14:textId="77777777" w:rsidR="00804511" w:rsidRPr="00313E9A" w:rsidRDefault="00804511" w:rsidP="00804511">
            <w:pPr>
              <w:jc w:val="center"/>
              <w:rPr>
                <w:rFonts w:ascii="Arial" w:hAnsi="Arial" w:cs="Arial"/>
                <w:color w:val="000000"/>
              </w:rPr>
            </w:pPr>
          </w:p>
        </w:tc>
        <w:tc>
          <w:tcPr>
            <w:tcW w:w="14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03010" w14:textId="77777777" w:rsidR="00804511" w:rsidRPr="00313E9A" w:rsidRDefault="00804511" w:rsidP="00804511">
            <w:pPr>
              <w:jc w:val="center"/>
              <w:rPr>
                <w:rFonts w:ascii="Arial" w:hAnsi="Arial" w:cs="Arial"/>
                <w:color w:val="000000"/>
              </w:rPr>
            </w:pPr>
            <w:r w:rsidRPr="00313E9A">
              <w:rPr>
                <w:rFonts w:ascii="Arial" w:hAnsi="Arial" w:cs="Arial"/>
                <w:color w:val="000000"/>
              </w:rPr>
              <w:t>0.895</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B0C7A1" w14:textId="77777777" w:rsidR="00804511" w:rsidRPr="00313E9A" w:rsidRDefault="00804511" w:rsidP="00804511">
            <w:pPr>
              <w:jc w:val="center"/>
              <w:rPr>
                <w:rFonts w:ascii="Arial" w:hAnsi="Arial" w:cs="Arial"/>
                <w:color w:val="000000"/>
              </w:rPr>
            </w:pPr>
            <w:r w:rsidRPr="00313E9A">
              <w:rPr>
                <w:rFonts w:ascii="Arial" w:hAnsi="Arial" w:cs="Arial"/>
                <w:color w:val="000000"/>
              </w:rPr>
              <w:t>0.802</w:t>
            </w:r>
          </w:p>
        </w:tc>
        <w:tc>
          <w:tcPr>
            <w:tcW w:w="20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74208" w14:textId="77777777" w:rsidR="00804511" w:rsidRPr="00313E9A" w:rsidRDefault="00804511" w:rsidP="00804511">
            <w:pPr>
              <w:jc w:val="center"/>
              <w:rPr>
                <w:rFonts w:ascii="Arial" w:hAnsi="Arial" w:cs="Arial"/>
                <w:color w:val="000000"/>
              </w:rPr>
            </w:pPr>
            <w:r w:rsidRPr="00313E9A">
              <w:rPr>
                <w:rFonts w:ascii="Arial" w:hAnsi="Arial" w:cs="Arial"/>
                <w:color w:val="000000"/>
              </w:rPr>
              <w:t>0.412</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DCFEE2" w14:textId="77777777" w:rsidR="00804511" w:rsidRPr="00313E9A" w:rsidRDefault="00804511" w:rsidP="00804511">
            <w:pPr>
              <w:jc w:val="center"/>
              <w:rPr>
                <w:rFonts w:ascii="Arial" w:hAnsi="Arial" w:cs="Arial"/>
                <w:color w:val="000000"/>
              </w:rPr>
            </w:pPr>
            <w:r w:rsidRPr="00313E9A">
              <w:rPr>
                <w:rFonts w:ascii="Arial" w:hAnsi="Arial" w:cs="Arial"/>
                <w:color w:val="000000"/>
              </w:rPr>
              <w:t>0.152</w:t>
            </w:r>
          </w:p>
        </w:tc>
      </w:tr>
    </w:tbl>
    <w:p w14:paraId="4BF96D52" w14:textId="77777777" w:rsidR="00496DFF" w:rsidRPr="00313E9A" w:rsidRDefault="00496DFF" w:rsidP="001A026C">
      <w:pPr>
        <w:jc w:val="both"/>
        <w:rPr>
          <w:rFonts w:ascii="Arial" w:hAnsi="Arial" w:cs="Arial"/>
        </w:rPr>
      </w:pPr>
    </w:p>
    <w:p w14:paraId="3AE3C71E" w14:textId="77777777" w:rsidR="00496DFF" w:rsidRPr="00313E9A" w:rsidRDefault="00496DFF" w:rsidP="00496DFF">
      <w:pPr>
        <w:jc w:val="both"/>
        <w:rPr>
          <w:rFonts w:ascii="Arial" w:hAnsi="Arial" w:cs="Arial"/>
        </w:rPr>
      </w:pPr>
      <w:r w:rsidRPr="00313E9A">
        <w:rPr>
          <w:rFonts w:ascii="Arial" w:hAnsi="Arial" w:cs="Arial"/>
        </w:rPr>
        <w:t xml:space="preserve">In grey-headed gulls, the total PAH concentration in eggshells was 412 mg/kg </w:t>
      </w:r>
      <w:proofErr w:type="spellStart"/>
      <w:r w:rsidRPr="00313E9A">
        <w:rPr>
          <w:rFonts w:ascii="Arial" w:hAnsi="Arial" w:cs="Arial"/>
        </w:rPr>
        <w:t>dw</w:t>
      </w:r>
      <w:proofErr w:type="spellEnd"/>
      <w:r w:rsidRPr="00313E9A">
        <w:rPr>
          <w:rFonts w:ascii="Arial" w:hAnsi="Arial" w:cs="Arial"/>
        </w:rPr>
        <w:t>, primarily composed of benzo(a)pyrene (0.072 ± 0.005 mg/kg). The egg contents were less contaminated (0.152 mg/kg ww) but still contained 0.082 ± 0.007 mg/kg ww of benzo(a)pyrene.</w:t>
      </w:r>
    </w:p>
    <w:p w14:paraId="4F5AAC0E" w14:textId="77777777" w:rsidR="00496DFF" w:rsidRPr="00313E9A" w:rsidRDefault="00496DFF" w:rsidP="00496DFF">
      <w:pPr>
        <w:jc w:val="both"/>
        <w:rPr>
          <w:rFonts w:ascii="Arial" w:hAnsi="Arial" w:cs="Arial"/>
        </w:rPr>
      </w:pPr>
    </w:p>
    <w:p w14:paraId="64876CFA" w14:textId="77777777" w:rsidR="00496DFF" w:rsidRPr="00313E9A" w:rsidRDefault="00496DFF" w:rsidP="00496DFF">
      <w:pPr>
        <w:jc w:val="both"/>
        <w:rPr>
          <w:rFonts w:ascii="Arial" w:hAnsi="Arial" w:cs="Arial"/>
        </w:rPr>
      </w:pPr>
      <w:r w:rsidRPr="00313E9A">
        <w:rPr>
          <w:rFonts w:ascii="Arial" w:hAnsi="Arial" w:cs="Arial"/>
        </w:rPr>
        <w:t xml:space="preserve">PAH concentrations in royal terns from PNDS were generally lower than those observed at PNLB (Table 3). Eggshells contained 0.386 mg/kg </w:t>
      </w:r>
      <w:proofErr w:type="spellStart"/>
      <w:r w:rsidRPr="00313E9A">
        <w:rPr>
          <w:rFonts w:ascii="Arial" w:hAnsi="Arial" w:cs="Arial"/>
        </w:rPr>
        <w:t>dw</w:t>
      </w:r>
      <w:proofErr w:type="spellEnd"/>
      <w:r w:rsidRPr="00313E9A">
        <w:rPr>
          <w:rFonts w:ascii="Arial" w:hAnsi="Arial" w:cs="Arial"/>
        </w:rPr>
        <w:t xml:space="preserve"> of PAHs, with notable concentrations of fluorene (0.073 ±0.008 mg/kg </w:t>
      </w:r>
      <w:proofErr w:type="spellStart"/>
      <w:r w:rsidRPr="00313E9A">
        <w:rPr>
          <w:rFonts w:ascii="Arial" w:hAnsi="Arial" w:cs="Arial"/>
        </w:rPr>
        <w:t>dw</w:t>
      </w:r>
      <w:proofErr w:type="spellEnd"/>
      <w:r w:rsidRPr="00313E9A">
        <w:rPr>
          <w:rFonts w:ascii="Arial" w:hAnsi="Arial" w:cs="Arial"/>
        </w:rPr>
        <w:t xml:space="preserve">), acenaphthene (0.042 ±0.008 mg/kg </w:t>
      </w:r>
      <w:proofErr w:type="spellStart"/>
      <w:r w:rsidRPr="00313E9A">
        <w:rPr>
          <w:rFonts w:ascii="Arial" w:hAnsi="Arial" w:cs="Arial"/>
        </w:rPr>
        <w:t>dw</w:t>
      </w:r>
      <w:proofErr w:type="spellEnd"/>
      <w:r w:rsidRPr="00313E9A">
        <w:rPr>
          <w:rFonts w:ascii="Arial" w:hAnsi="Arial" w:cs="Arial"/>
        </w:rPr>
        <w:t xml:space="preserve">), and benzo(a)pyrene (0.067 ±0.008 mg/kg </w:t>
      </w:r>
      <w:proofErr w:type="spellStart"/>
      <w:r w:rsidRPr="00313E9A">
        <w:rPr>
          <w:rFonts w:ascii="Arial" w:hAnsi="Arial" w:cs="Arial"/>
        </w:rPr>
        <w:t>dw</w:t>
      </w:r>
      <w:proofErr w:type="spellEnd"/>
      <w:r w:rsidRPr="00313E9A">
        <w:rPr>
          <w:rFonts w:ascii="Arial" w:hAnsi="Arial" w:cs="Arial"/>
        </w:rPr>
        <w:t xml:space="preserve">) (Table 3). Egg contents showed lower overall contamination (0.123 mg/kg ww), with benzo(a)pyrene reaching 0.088 ±0.010 mg/kg ww. In contrast with PNLB, grey-headed gulls at PNDS exhibited high PAH contamination, particularly in the egg contents, which reached 0.752 mg/kg ww, largely dominated by benzo(a)pyrene (0.706 ±0.087 mg/kg ww). Shells were also highly contaminated (0.537 mg/kg </w:t>
      </w:r>
      <w:proofErr w:type="spellStart"/>
      <w:r w:rsidRPr="00313E9A">
        <w:rPr>
          <w:rFonts w:ascii="Arial" w:hAnsi="Arial" w:cs="Arial"/>
        </w:rPr>
        <w:t>dw</w:t>
      </w:r>
      <w:proofErr w:type="spellEnd"/>
      <w:r w:rsidRPr="00313E9A">
        <w:rPr>
          <w:rFonts w:ascii="Arial" w:hAnsi="Arial" w:cs="Arial"/>
        </w:rPr>
        <w:t xml:space="preserve">), with notable levels of anthracene (0.105 ±0.013 mg/kg </w:t>
      </w:r>
      <w:proofErr w:type="spellStart"/>
      <w:r w:rsidRPr="00313E9A">
        <w:rPr>
          <w:rFonts w:ascii="Arial" w:hAnsi="Arial" w:cs="Arial"/>
        </w:rPr>
        <w:t>dw</w:t>
      </w:r>
      <w:proofErr w:type="spellEnd"/>
      <w:r w:rsidRPr="00313E9A">
        <w:rPr>
          <w:rFonts w:ascii="Arial" w:hAnsi="Arial" w:cs="Arial"/>
        </w:rPr>
        <w:t xml:space="preserve">) and fluorene (0.111±0.024 mg/kg </w:t>
      </w:r>
      <w:proofErr w:type="spellStart"/>
      <w:r w:rsidRPr="00313E9A">
        <w:rPr>
          <w:rFonts w:ascii="Arial" w:hAnsi="Arial" w:cs="Arial"/>
        </w:rPr>
        <w:t>dw</w:t>
      </w:r>
      <w:proofErr w:type="spellEnd"/>
      <w:r w:rsidRPr="00313E9A">
        <w:rPr>
          <w:rFonts w:ascii="Arial" w:hAnsi="Arial" w:cs="Arial"/>
        </w:rPr>
        <w:t>).</w:t>
      </w:r>
    </w:p>
    <w:p w14:paraId="3A6C8F22" w14:textId="77777777" w:rsidR="00496DFF" w:rsidRPr="00313E9A" w:rsidRDefault="00496DFF" w:rsidP="00496DFF">
      <w:pPr>
        <w:jc w:val="both"/>
        <w:rPr>
          <w:rFonts w:ascii="Arial" w:hAnsi="Arial" w:cs="Arial"/>
        </w:rPr>
      </w:pPr>
    </w:p>
    <w:p w14:paraId="71BBDCCC" w14:textId="77777777" w:rsidR="00496DFF" w:rsidRPr="00313E9A" w:rsidRDefault="00496DFF" w:rsidP="00496DFF">
      <w:pPr>
        <w:jc w:val="both"/>
        <w:rPr>
          <w:rFonts w:ascii="Arial" w:hAnsi="Arial" w:cs="Arial"/>
        </w:rPr>
      </w:pPr>
      <w:r w:rsidRPr="00313E9A">
        <w:rPr>
          <w:rFonts w:ascii="Arial" w:hAnsi="Arial" w:cs="Arial"/>
        </w:rPr>
        <w:t>The analysis of biological matrices revealed marked interspecific differences, although these were not statistically significant (Table 4). Royal terns generally accumulated higher levels of PAHs in their eggshells, whereas grey-headed gulls exhibited higher concentrations in the egg contents. No significant differences were observed between sites (PNLB vs PNDS) for either species or matrix. However, within each species, significant differences were detected between eggshells and egg contents (p &lt; 0.05), indicating a differential distribution of PAHs between these compartments. Geographically, PNLB exhibited the highest PAH concentrations in royal terns, both in shells (0.895 mg/kg) and contents (0.802 mg/kg). Conversely, at PNDS, grey-headed gull eggs showed the highest PAH levels, particularly in the contents (0.752 mg/kg ww), with a marked predominance of benzo(a)pyrene (0.706 mg/kg ww).</w:t>
      </w:r>
    </w:p>
    <w:p w14:paraId="4F1268F5" w14:textId="77777777" w:rsidR="00302CEC" w:rsidRDefault="00302CEC" w:rsidP="00804511">
      <w:pPr>
        <w:spacing w:before="100" w:beforeAutospacing="1"/>
        <w:jc w:val="both"/>
        <w:rPr>
          <w:rFonts w:ascii="Arial" w:hAnsi="Arial" w:cs="Arial"/>
          <w:b/>
        </w:rPr>
      </w:pPr>
    </w:p>
    <w:p w14:paraId="105159BF" w14:textId="77777777" w:rsidR="00302CEC" w:rsidRDefault="00302CEC" w:rsidP="00804511">
      <w:pPr>
        <w:spacing w:before="100" w:beforeAutospacing="1"/>
        <w:jc w:val="both"/>
        <w:rPr>
          <w:rFonts w:ascii="Arial" w:hAnsi="Arial" w:cs="Arial"/>
          <w:b/>
        </w:rPr>
      </w:pPr>
    </w:p>
    <w:p w14:paraId="1BECA697" w14:textId="77777777" w:rsidR="00302CEC" w:rsidRDefault="00302CEC" w:rsidP="00804511">
      <w:pPr>
        <w:spacing w:before="100" w:beforeAutospacing="1"/>
        <w:jc w:val="both"/>
        <w:rPr>
          <w:rFonts w:ascii="Arial" w:hAnsi="Arial" w:cs="Arial"/>
          <w:b/>
        </w:rPr>
      </w:pPr>
    </w:p>
    <w:p w14:paraId="60BFBD27" w14:textId="77777777" w:rsidR="00302CEC" w:rsidRDefault="00302CEC" w:rsidP="00804511">
      <w:pPr>
        <w:spacing w:before="100" w:beforeAutospacing="1"/>
        <w:jc w:val="both"/>
        <w:rPr>
          <w:rFonts w:ascii="Arial" w:hAnsi="Arial" w:cs="Arial"/>
          <w:b/>
        </w:rPr>
      </w:pPr>
    </w:p>
    <w:p w14:paraId="36C87A41" w14:textId="77777777" w:rsidR="00302CEC" w:rsidRDefault="00302CEC" w:rsidP="00804511">
      <w:pPr>
        <w:spacing w:before="100" w:beforeAutospacing="1"/>
        <w:jc w:val="both"/>
        <w:rPr>
          <w:rFonts w:ascii="Arial" w:hAnsi="Arial" w:cs="Arial"/>
          <w:b/>
        </w:rPr>
      </w:pPr>
    </w:p>
    <w:p w14:paraId="4406D778" w14:textId="77777777" w:rsidR="00804511" w:rsidRPr="00313E9A" w:rsidRDefault="00804511" w:rsidP="00804511">
      <w:pPr>
        <w:spacing w:before="100" w:beforeAutospacing="1"/>
        <w:jc w:val="both"/>
        <w:rPr>
          <w:rFonts w:ascii="Arial" w:hAnsi="Arial" w:cs="Arial"/>
          <w:b/>
        </w:rPr>
      </w:pPr>
      <w:r w:rsidRPr="00313E9A">
        <w:rPr>
          <w:rFonts w:ascii="Arial" w:hAnsi="Arial" w:cs="Arial"/>
          <w:b/>
        </w:rPr>
        <w:t xml:space="preserve">Table 3: Concentrations (mean ± standard deviation) of PAHs in eggshells and egg contents in mg/kg from PNDS. nd means not quantifiable. </w:t>
      </w:r>
    </w:p>
    <w:tbl>
      <w:tblPr>
        <w:tblW w:w="9161" w:type="dxa"/>
        <w:tblCellMar>
          <w:left w:w="70" w:type="dxa"/>
          <w:right w:w="70" w:type="dxa"/>
        </w:tblCellMar>
        <w:tblLook w:val="04A0" w:firstRow="1" w:lastRow="0" w:firstColumn="1" w:lastColumn="0" w:noHBand="0" w:noVBand="1"/>
      </w:tblPr>
      <w:tblGrid>
        <w:gridCol w:w="2264"/>
        <w:gridCol w:w="1653"/>
        <w:gridCol w:w="1559"/>
        <w:gridCol w:w="1701"/>
        <w:gridCol w:w="1984"/>
      </w:tblGrid>
      <w:tr w:rsidR="00804511" w:rsidRPr="00313E9A" w14:paraId="43FDEF81" w14:textId="77777777" w:rsidTr="00804511">
        <w:trPr>
          <w:trHeight w:val="340"/>
        </w:trPr>
        <w:tc>
          <w:tcPr>
            <w:tcW w:w="22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84F7DA" w14:textId="77777777" w:rsidR="00804511" w:rsidRPr="00313E9A" w:rsidRDefault="00804511" w:rsidP="00804511">
            <w:pPr>
              <w:jc w:val="center"/>
              <w:rPr>
                <w:rFonts w:ascii="Arial" w:hAnsi="Arial" w:cs="Arial"/>
                <w:b/>
                <w:color w:val="000000"/>
              </w:rPr>
            </w:pPr>
            <w:r w:rsidRPr="00313E9A">
              <w:rPr>
                <w:rFonts w:ascii="Arial" w:hAnsi="Arial" w:cs="Arial"/>
                <w:b/>
                <w:color w:val="000000"/>
              </w:rPr>
              <w:t>PAH</w:t>
            </w:r>
          </w:p>
        </w:tc>
        <w:tc>
          <w:tcPr>
            <w:tcW w:w="1653" w:type="dxa"/>
            <w:tcBorders>
              <w:top w:val="single" w:sz="4" w:space="0" w:color="auto"/>
              <w:left w:val="nil"/>
              <w:bottom w:val="single" w:sz="4" w:space="0" w:color="auto"/>
              <w:right w:val="single" w:sz="4" w:space="0" w:color="auto"/>
            </w:tcBorders>
            <w:shd w:val="clear" w:color="000000" w:fill="FFFFFF"/>
            <w:noWrap/>
            <w:vAlign w:val="center"/>
            <w:hideMark/>
          </w:tcPr>
          <w:p w14:paraId="69253731"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Eggshells of Royal Tern</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53C33A33"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 content of Royal Tern</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39CA9D9"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Eggshells of Grey-headed Gull</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14:paraId="2C2C8BDA"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 content of Grey-headed Gull</w:t>
            </w:r>
          </w:p>
        </w:tc>
      </w:tr>
      <w:tr w:rsidR="00804511" w:rsidRPr="00313E9A" w14:paraId="3EAC6302"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7FDA0260" w14:textId="349D1A2C" w:rsidR="00804511" w:rsidRPr="00313E9A" w:rsidRDefault="00AD7C9C" w:rsidP="00804511">
            <w:pPr>
              <w:jc w:val="center"/>
              <w:rPr>
                <w:rFonts w:ascii="Arial" w:hAnsi="Arial" w:cs="Arial"/>
                <w:color w:val="000000"/>
              </w:rPr>
            </w:pPr>
            <w:r w:rsidRPr="00313E9A">
              <w:rPr>
                <w:rFonts w:ascii="Arial" w:hAnsi="Arial" w:cs="Arial"/>
                <w:color w:val="000000"/>
              </w:rPr>
              <w:t>Naphthalene</w:t>
            </w:r>
          </w:p>
        </w:tc>
        <w:tc>
          <w:tcPr>
            <w:tcW w:w="1653" w:type="dxa"/>
            <w:tcBorders>
              <w:top w:val="nil"/>
              <w:left w:val="nil"/>
              <w:bottom w:val="single" w:sz="4" w:space="0" w:color="auto"/>
              <w:right w:val="single" w:sz="4" w:space="0" w:color="auto"/>
            </w:tcBorders>
            <w:shd w:val="clear" w:color="000000" w:fill="FFFFFF"/>
            <w:noWrap/>
            <w:vAlign w:val="center"/>
            <w:hideMark/>
          </w:tcPr>
          <w:p w14:paraId="699A06E5" w14:textId="77777777" w:rsidR="00804511" w:rsidRPr="00313E9A" w:rsidRDefault="00804511" w:rsidP="00804511">
            <w:pPr>
              <w:jc w:val="center"/>
              <w:rPr>
                <w:rFonts w:ascii="Arial" w:hAnsi="Arial" w:cs="Arial"/>
                <w:color w:val="000000"/>
              </w:rPr>
            </w:pPr>
            <w:r w:rsidRPr="00313E9A">
              <w:rPr>
                <w:rFonts w:ascii="Arial" w:hAnsi="Arial" w:cs="Arial"/>
                <w:color w:val="000000"/>
              </w:rPr>
              <w:t>0.040±0.006</w:t>
            </w:r>
          </w:p>
        </w:tc>
        <w:tc>
          <w:tcPr>
            <w:tcW w:w="1559" w:type="dxa"/>
            <w:tcBorders>
              <w:top w:val="nil"/>
              <w:left w:val="nil"/>
              <w:bottom w:val="single" w:sz="4" w:space="0" w:color="auto"/>
              <w:right w:val="single" w:sz="4" w:space="0" w:color="auto"/>
            </w:tcBorders>
            <w:shd w:val="clear" w:color="000000" w:fill="FFFFFF"/>
            <w:noWrap/>
            <w:vAlign w:val="center"/>
            <w:hideMark/>
          </w:tcPr>
          <w:p w14:paraId="5507804B"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1BD195D0" w14:textId="77777777" w:rsidR="00804511" w:rsidRPr="00313E9A" w:rsidRDefault="00804511" w:rsidP="00804511">
            <w:pPr>
              <w:jc w:val="center"/>
              <w:rPr>
                <w:rFonts w:ascii="Arial" w:hAnsi="Arial" w:cs="Arial"/>
                <w:color w:val="000000"/>
              </w:rPr>
            </w:pPr>
            <w:r w:rsidRPr="00313E9A">
              <w:rPr>
                <w:rFonts w:ascii="Arial" w:hAnsi="Arial" w:cs="Arial"/>
                <w:color w:val="000000"/>
              </w:rPr>
              <w:t>0.094±0.007</w:t>
            </w:r>
          </w:p>
        </w:tc>
        <w:tc>
          <w:tcPr>
            <w:tcW w:w="1984" w:type="dxa"/>
            <w:tcBorders>
              <w:top w:val="nil"/>
              <w:left w:val="nil"/>
              <w:bottom w:val="single" w:sz="4" w:space="0" w:color="auto"/>
              <w:right w:val="single" w:sz="4" w:space="0" w:color="auto"/>
            </w:tcBorders>
            <w:shd w:val="clear" w:color="000000" w:fill="FFFFFF"/>
            <w:noWrap/>
            <w:vAlign w:val="center"/>
            <w:hideMark/>
          </w:tcPr>
          <w:p w14:paraId="526D1ADD"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5D68C29A"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765F0B94" w14:textId="34555F09" w:rsidR="00804511" w:rsidRPr="00313E9A" w:rsidRDefault="00AD7C9C" w:rsidP="00804511">
            <w:pPr>
              <w:jc w:val="center"/>
              <w:rPr>
                <w:rFonts w:ascii="Arial" w:hAnsi="Arial" w:cs="Arial"/>
                <w:color w:val="000000"/>
              </w:rPr>
            </w:pPr>
            <w:r w:rsidRPr="00313E9A">
              <w:rPr>
                <w:rFonts w:ascii="Arial" w:hAnsi="Arial" w:cs="Arial"/>
                <w:color w:val="000000"/>
              </w:rPr>
              <w:t>Acenaphthylene</w:t>
            </w:r>
          </w:p>
        </w:tc>
        <w:tc>
          <w:tcPr>
            <w:tcW w:w="1653" w:type="dxa"/>
            <w:tcBorders>
              <w:top w:val="nil"/>
              <w:left w:val="nil"/>
              <w:bottom w:val="single" w:sz="4" w:space="0" w:color="auto"/>
              <w:right w:val="single" w:sz="4" w:space="0" w:color="auto"/>
            </w:tcBorders>
            <w:shd w:val="clear" w:color="000000" w:fill="FFFFFF"/>
            <w:noWrap/>
            <w:vAlign w:val="center"/>
            <w:hideMark/>
          </w:tcPr>
          <w:p w14:paraId="374C3463" w14:textId="77777777" w:rsidR="00804511" w:rsidRPr="00313E9A" w:rsidRDefault="00804511" w:rsidP="00804511">
            <w:pPr>
              <w:jc w:val="center"/>
              <w:rPr>
                <w:rFonts w:ascii="Arial" w:hAnsi="Arial" w:cs="Arial"/>
                <w:color w:val="000000"/>
              </w:rPr>
            </w:pPr>
            <w:r w:rsidRPr="00313E9A">
              <w:rPr>
                <w:rFonts w:ascii="Arial" w:hAnsi="Arial" w:cs="Arial"/>
                <w:color w:val="000000"/>
              </w:rPr>
              <w:t>0.027±0.003</w:t>
            </w:r>
          </w:p>
        </w:tc>
        <w:tc>
          <w:tcPr>
            <w:tcW w:w="1559" w:type="dxa"/>
            <w:tcBorders>
              <w:top w:val="nil"/>
              <w:left w:val="nil"/>
              <w:bottom w:val="single" w:sz="4" w:space="0" w:color="auto"/>
              <w:right w:val="single" w:sz="4" w:space="0" w:color="auto"/>
            </w:tcBorders>
            <w:shd w:val="clear" w:color="000000" w:fill="FFFFFF"/>
            <w:noWrap/>
            <w:vAlign w:val="center"/>
            <w:hideMark/>
          </w:tcPr>
          <w:p w14:paraId="01828B1E"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081FA683" w14:textId="77777777" w:rsidR="00804511" w:rsidRPr="00313E9A" w:rsidRDefault="00804511" w:rsidP="00804511">
            <w:pPr>
              <w:jc w:val="center"/>
              <w:rPr>
                <w:rFonts w:ascii="Arial" w:hAnsi="Arial" w:cs="Arial"/>
                <w:color w:val="000000"/>
              </w:rPr>
            </w:pPr>
            <w:r w:rsidRPr="00313E9A">
              <w:rPr>
                <w:rFonts w:ascii="Arial" w:hAnsi="Arial" w:cs="Arial"/>
                <w:color w:val="000000"/>
              </w:rPr>
              <w:t>0.029±0.005</w:t>
            </w:r>
          </w:p>
        </w:tc>
        <w:tc>
          <w:tcPr>
            <w:tcW w:w="1984" w:type="dxa"/>
            <w:tcBorders>
              <w:top w:val="nil"/>
              <w:left w:val="nil"/>
              <w:bottom w:val="single" w:sz="4" w:space="0" w:color="auto"/>
              <w:right w:val="single" w:sz="4" w:space="0" w:color="auto"/>
            </w:tcBorders>
            <w:shd w:val="clear" w:color="000000" w:fill="FFFFFF"/>
            <w:noWrap/>
            <w:vAlign w:val="center"/>
            <w:hideMark/>
          </w:tcPr>
          <w:p w14:paraId="4143B44D"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6E223F5E"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16FE8130" w14:textId="77777777" w:rsidR="00804511" w:rsidRPr="00313E9A" w:rsidRDefault="00804511" w:rsidP="00804511">
            <w:pPr>
              <w:jc w:val="center"/>
              <w:rPr>
                <w:rFonts w:ascii="Arial" w:hAnsi="Arial" w:cs="Arial"/>
                <w:color w:val="000000"/>
              </w:rPr>
            </w:pPr>
            <w:r w:rsidRPr="00313E9A">
              <w:rPr>
                <w:rFonts w:ascii="Arial" w:hAnsi="Arial" w:cs="Arial"/>
                <w:color w:val="000000"/>
              </w:rPr>
              <w:t>Acenaphthene</w:t>
            </w:r>
          </w:p>
        </w:tc>
        <w:tc>
          <w:tcPr>
            <w:tcW w:w="1653" w:type="dxa"/>
            <w:tcBorders>
              <w:top w:val="nil"/>
              <w:left w:val="nil"/>
              <w:bottom w:val="single" w:sz="4" w:space="0" w:color="auto"/>
              <w:right w:val="single" w:sz="4" w:space="0" w:color="auto"/>
            </w:tcBorders>
            <w:shd w:val="clear" w:color="000000" w:fill="FFFFFF"/>
            <w:noWrap/>
            <w:vAlign w:val="center"/>
            <w:hideMark/>
          </w:tcPr>
          <w:p w14:paraId="3CAECFDA" w14:textId="77777777" w:rsidR="00804511" w:rsidRPr="00313E9A" w:rsidRDefault="00804511" w:rsidP="00804511">
            <w:pPr>
              <w:jc w:val="center"/>
              <w:rPr>
                <w:rFonts w:ascii="Arial" w:hAnsi="Arial" w:cs="Arial"/>
                <w:color w:val="000000"/>
              </w:rPr>
            </w:pPr>
            <w:r w:rsidRPr="00313E9A">
              <w:rPr>
                <w:rFonts w:ascii="Arial" w:hAnsi="Arial" w:cs="Arial"/>
                <w:color w:val="000000"/>
              </w:rPr>
              <w:t>0.042±0.008</w:t>
            </w:r>
          </w:p>
        </w:tc>
        <w:tc>
          <w:tcPr>
            <w:tcW w:w="1559" w:type="dxa"/>
            <w:tcBorders>
              <w:top w:val="nil"/>
              <w:left w:val="nil"/>
              <w:bottom w:val="single" w:sz="4" w:space="0" w:color="auto"/>
              <w:right w:val="single" w:sz="4" w:space="0" w:color="auto"/>
            </w:tcBorders>
            <w:shd w:val="clear" w:color="000000" w:fill="FFFFFF"/>
            <w:noWrap/>
            <w:vAlign w:val="center"/>
            <w:hideMark/>
          </w:tcPr>
          <w:p w14:paraId="1968A7A1"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5EF37F43" w14:textId="77777777" w:rsidR="00804511" w:rsidRPr="00313E9A" w:rsidRDefault="00804511" w:rsidP="00804511">
            <w:pPr>
              <w:jc w:val="center"/>
              <w:rPr>
                <w:rFonts w:ascii="Arial" w:hAnsi="Arial" w:cs="Arial"/>
                <w:color w:val="000000"/>
              </w:rPr>
            </w:pPr>
            <w:r w:rsidRPr="00313E9A">
              <w:rPr>
                <w:rFonts w:ascii="Arial" w:hAnsi="Arial" w:cs="Arial"/>
                <w:color w:val="000000"/>
              </w:rPr>
              <w:t>0.01±0.001</w:t>
            </w:r>
          </w:p>
        </w:tc>
        <w:tc>
          <w:tcPr>
            <w:tcW w:w="1984" w:type="dxa"/>
            <w:tcBorders>
              <w:top w:val="nil"/>
              <w:left w:val="nil"/>
              <w:bottom w:val="single" w:sz="4" w:space="0" w:color="auto"/>
              <w:right w:val="single" w:sz="4" w:space="0" w:color="auto"/>
            </w:tcBorders>
            <w:shd w:val="clear" w:color="000000" w:fill="FFFFFF"/>
            <w:noWrap/>
            <w:vAlign w:val="center"/>
            <w:hideMark/>
          </w:tcPr>
          <w:p w14:paraId="3E661AE3"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06A09CF6"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32E5EF3D" w14:textId="77777777" w:rsidR="00804511" w:rsidRPr="00313E9A" w:rsidRDefault="00804511" w:rsidP="00804511">
            <w:pPr>
              <w:jc w:val="center"/>
              <w:rPr>
                <w:rFonts w:ascii="Arial" w:hAnsi="Arial" w:cs="Arial"/>
                <w:color w:val="000000"/>
              </w:rPr>
            </w:pPr>
            <w:r w:rsidRPr="00313E9A">
              <w:rPr>
                <w:rFonts w:ascii="Arial" w:hAnsi="Arial" w:cs="Arial"/>
                <w:color w:val="000000"/>
              </w:rPr>
              <w:t>Fluorene</w:t>
            </w:r>
          </w:p>
        </w:tc>
        <w:tc>
          <w:tcPr>
            <w:tcW w:w="1653" w:type="dxa"/>
            <w:tcBorders>
              <w:top w:val="nil"/>
              <w:left w:val="nil"/>
              <w:bottom w:val="single" w:sz="4" w:space="0" w:color="auto"/>
              <w:right w:val="single" w:sz="4" w:space="0" w:color="auto"/>
            </w:tcBorders>
            <w:shd w:val="clear" w:color="000000" w:fill="FFFFFF"/>
            <w:noWrap/>
            <w:vAlign w:val="center"/>
            <w:hideMark/>
          </w:tcPr>
          <w:p w14:paraId="3A17B4D4" w14:textId="77777777" w:rsidR="00804511" w:rsidRPr="00313E9A" w:rsidRDefault="00804511" w:rsidP="00804511">
            <w:pPr>
              <w:jc w:val="center"/>
              <w:rPr>
                <w:rFonts w:ascii="Arial" w:hAnsi="Arial" w:cs="Arial"/>
                <w:color w:val="000000"/>
              </w:rPr>
            </w:pPr>
            <w:r w:rsidRPr="00313E9A">
              <w:rPr>
                <w:rFonts w:ascii="Arial" w:hAnsi="Arial" w:cs="Arial"/>
                <w:color w:val="000000"/>
              </w:rPr>
              <w:t>0.073±0.008</w:t>
            </w:r>
          </w:p>
        </w:tc>
        <w:tc>
          <w:tcPr>
            <w:tcW w:w="1559" w:type="dxa"/>
            <w:tcBorders>
              <w:top w:val="nil"/>
              <w:left w:val="nil"/>
              <w:bottom w:val="single" w:sz="4" w:space="0" w:color="auto"/>
              <w:right w:val="single" w:sz="4" w:space="0" w:color="auto"/>
            </w:tcBorders>
            <w:shd w:val="clear" w:color="000000" w:fill="FFFFFF"/>
            <w:noWrap/>
            <w:vAlign w:val="center"/>
            <w:hideMark/>
          </w:tcPr>
          <w:p w14:paraId="3A80EF4D"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7F691EFB" w14:textId="77777777" w:rsidR="00804511" w:rsidRPr="00313E9A" w:rsidRDefault="00804511" w:rsidP="00804511">
            <w:pPr>
              <w:jc w:val="center"/>
              <w:rPr>
                <w:rFonts w:ascii="Arial" w:hAnsi="Arial" w:cs="Arial"/>
                <w:color w:val="000000"/>
              </w:rPr>
            </w:pPr>
            <w:r w:rsidRPr="00313E9A">
              <w:rPr>
                <w:rFonts w:ascii="Arial" w:hAnsi="Arial" w:cs="Arial"/>
                <w:color w:val="000000"/>
              </w:rPr>
              <w:t>0.111±0.024</w:t>
            </w:r>
          </w:p>
        </w:tc>
        <w:tc>
          <w:tcPr>
            <w:tcW w:w="1984" w:type="dxa"/>
            <w:tcBorders>
              <w:top w:val="nil"/>
              <w:left w:val="nil"/>
              <w:bottom w:val="single" w:sz="4" w:space="0" w:color="auto"/>
              <w:right w:val="single" w:sz="4" w:space="0" w:color="auto"/>
            </w:tcBorders>
            <w:shd w:val="clear" w:color="000000" w:fill="FFFFFF"/>
            <w:noWrap/>
            <w:vAlign w:val="center"/>
            <w:hideMark/>
          </w:tcPr>
          <w:p w14:paraId="7ED6845B"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1A7FC8B2"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5AB22D42" w14:textId="77777777" w:rsidR="00804511" w:rsidRPr="00313E9A" w:rsidRDefault="00804511" w:rsidP="00804511">
            <w:pPr>
              <w:jc w:val="center"/>
              <w:rPr>
                <w:rFonts w:ascii="Arial" w:hAnsi="Arial" w:cs="Arial"/>
                <w:color w:val="000000"/>
              </w:rPr>
            </w:pPr>
            <w:r w:rsidRPr="00313E9A">
              <w:rPr>
                <w:rFonts w:ascii="Arial" w:hAnsi="Arial" w:cs="Arial"/>
                <w:color w:val="000000"/>
              </w:rPr>
              <w:t>Phenanthrene</w:t>
            </w:r>
          </w:p>
        </w:tc>
        <w:tc>
          <w:tcPr>
            <w:tcW w:w="1653" w:type="dxa"/>
            <w:tcBorders>
              <w:top w:val="nil"/>
              <w:left w:val="nil"/>
              <w:bottom w:val="single" w:sz="4" w:space="0" w:color="auto"/>
              <w:right w:val="single" w:sz="4" w:space="0" w:color="auto"/>
            </w:tcBorders>
            <w:shd w:val="clear" w:color="000000" w:fill="FFFFFF"/>
            <w:noWrap/>
            <w:vAlign w:val="center"/>
            <w:hideMark/>
          </w:tcPr>
          <w:p w14:paraId="007F170B" w14:textId="77777777" w:rsidR="00804511" w:rsidRPr="00313E9A" w:rsidRDefault="00804511" w:rsidP="00804511">
            <w:pPr>
              <w:jc w:val="center"/>
              <w:rPr>
                <w:rFonts w:ascii="Arial" w:hAnsi="Arial" w:cs="Arial"/>
                <w:color w:val="000000"/>
              </w:rPr>
            </w:pPr>
            <w:r w:rsidRPr="00313E9A">
              <w:rPr>
                <w:rFonts w:ascii="Arial" w:hAnsi="Arial" w:cs="Arial"/>
                <w:color w:val="000000"/>
              </w:rPr>
              <w:t>0.031±0.0021</w:t>
            </w:r>
          </w:p>
        </w:tc>
        <w:tc>
          <w:tcPr>
            <w:tcW w:w="1559" w:type="dxa"/>
            <w:tcBorders>
              <w:top w:val="nil"/>
              <w:left w:val="nil"/>
              <w:bottom w:val="single" w:sz="4" w:space="0" w:color="auto"/>
              <w:right w:val="single" w:sz="4" w:space="0" w:color="auto"/>
            </w:tcBorders>
            <w:shd w:val="clear" w:color="000000" w:fill="FFFFFF"/>
            <w:noWrap/>
            <w:vAlign w:val="center"/>
            <w:hideMark/>
          </w:tcPr>
          <w:p w14:paraId="26A3C136"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733801A4" w14:textId="77777777" w:rsidR="00804511" w:rsidRPr="00313E9A" w:rsidRDefault="00804511" w:rsidP="00804511">
            <w:pPr>
              <w:jc w:val="center"/>
              <w:rPr>
                <w:rFonts w:ascii="Arial" w:hAnsi="Arial" w:cs="Arial"/>
                <w:color w:val="000000"/>
              </w:rPr>
            </w:pPr>
            <w:r w:rsidRPr="00313E9A">
              <w:rPr>
                <w:rFonts w:ascii="Arial" w:hAnsi="Arial" w:cs="Arial"/>
                <w:color w:val="000000"/>
              </w:rPr>
              <w:t>0.015±0.0.001</w:t>
            </w:r>
          </w:p>
        </w:tc>
        <w:tc>
          <w:tcPr>
            <w:tcW w:w="1984" w:type="dxa"/>
            <w:tcBorders>
              <w:top w:val="nil"/>
              <w:left w:val="nil"/>
              <w:bottom w:val="single" w:sz="4" w:space="0" w:color="auto"/>
              <w:right w:val="single" w:sz="4" w:space="0" w:color="auto"/>
            </w:tcBorders>
            <w:shd w:val="clear" w:color="000000" w:fill="FFFFFF"/>
            <w:noWrap/>
            <w:vAlign w:val="center"/>
            <w:hideMark/>
          </w:tcPr>
          <w:p w14:paraId="46A3F1CB"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16A364A9"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3343273C" w14:textId="09358A83" w:rsidR="00804511" w:rsidRPr="00313E9A" w:rsidRDefault="00AD7C9C" w:rsidP="00804511">
            <w:pPr>
              <w:jc w:val="center"/>
              <w:rPr>
                <w:rFonts w:ascii="Arial" w:hAnsi="Arial" w:cs="Arial"/>
                <w:color w:val="000000"/>
              </w:rPr>
            </w:pPr>
            <w:r w:rsidRPr="00313E9A">
              <w:rPr>
                <w:rFonts w:ascii="Arial" w:hAnsi="Arial" w:cs="Arial"/>
                <w:color w:val="000000"/>
              </w:rPr>
              <w:t>Anthracene</w:t>
            </w:r>
          </w:p>
        </w:tc>
        <w:tc>
          <w:tcPr>
            <w:tcW w:w="1653" w:type="dxa"/>
            <w:tcBorders>
              <w:top w:val="nil"/>
              <w:left w:val="nil"/>
              <w:bottom w:val="single" w:sz="4" w:space="0" w:color="auto"/>
              <w:right w:val="single" w:sz="4" w:space="0" w:color="auto"/>
            </w:tcBorders>
            <w:shd w:val="clear" w:color="000000" w:fill="FFFFFF"/>
            <w:noWrap/>
            <w:vAlign w:val="center"/>
            <w:hideMark/>
          </w:tcPr>
          <w:p w14:paraId="32450915" w14:textId="77777777" w:rsidR="00804511" w:rsidRPr="00313E9A" w:rsidRDefault="00804511" w:rsidP="00804511">
            <w:pPr>
              <w:jc w:val="center"/>
              <w:rPr>
                <w:rFonts w:ascii="Arial" w:hAnsi="Arial" w:cs="Arial"/>
                <w:color w:val="000000"/>
              </w:rPr>
            </w:pPr>
            <w:r w:rsidRPr="00313E9A">
              <w:rPr>
                <w:rFonts w:ascii="Arial" w:hAnsi="Arial" w:cs="Arial"/>
                <w:color w:val="000000"/>
              </w:rPr>
              <w:t>0.021±0.002</w:t>
            </w:r>
          </w:p>
        </w:tc>
        <w:tc>
          <w:tcPr>
            <w:tcW w:w="1559" w:type="dxa"/>
            <w:tcBorders>
              <w:top w:val="nil"/>
              <w:left w:val="nil"/>
              <w:bottom w:val="single" w:sz="4" w:space="0" w:color="auto"/>
              <w:right w:val="single" w:sz="4" w:space="0" w:color="auto"/>
            </w:tcBorders>
            <w:shd w:val="clear" w:color="000000" w:fill="FFFFFF"/>
            <w:noWrap/>
            <w:vAlign w:val="center"/>
            <w:hideMark/>
          </w:tcPr>
          <w:p w14:paraId="1D7A2DC4" w14:textId="77777777" w:rsidR="00804511" w:rsidRPr="00313E9A" w:rsidRDefault="00804511" w:rsidP="00804511">
            <w:pPr>
              <w:jc w:val="center"/>
              <w:rPr>
                <w:rFonts w:ascii="Arial" w:hAnsi="Arial" w:cs="Arial"/>
                <w:color w:val="000000"/>
              </w:rPr>
            </w:pPr>
            <w:r w:rsidRPr="00313E9A">
              <w:rPr>
                <w:rFonts w:ascii="Arial" w:hAnsi="Arial" w:cs="Arial"/>
                <w:color w:val="000000"/>
              </w:rPr>
              <w:t>0.025±0.003</w:t>
            </w:r>
          </w:p>
        </w:tc>
        <w:tc>
          <w:tcPr>
            <w:tcW w:w="1701" w:type="dxa"/>
            <w:tcBorders>
              <w:top w:val="nil"/>
              <w:left w:val="nil"/>
              <w:bottom w:val="single" w:sz="4" w:space="0" w:color="auto"/>
              <w:right w:val="single" w:sz="4" w:space="0" w:color="auto"/>
            </w:tcBorders>
            <w:shd w:val="clear" w:color="000000" w:fill="FFFFFF"/>
            <w:noWrap/>
            <w:vAlign w:val="center"/>
            <w:hideMark/>
          </w:tcPr>
          <w:p w14:paraId="733A8873" w14:textId="77777777" w:rsidR="00804511" w:rsidRPr="00313E9A" w:rsidRDefault="00804511" w:rsidP="00804511">
            <w:pPr>
              <w:jc w:val="center"/>
              <w:rPr>
                <w:rFonts w:ascii="Arial" w:hAnsi="Arial" w:cs="Arial"/>
                <w:color w:val="000000"/>
              </w:rPr>
            </w:pPr>
            <w:r w:rsidRPr="00313E9A">
              <w:rPr>
                <w:rFonts w:ascii="Arial" w:hAnsi="Arial" w:cs="Arial"/>
                <w:color w:val="000000"/>
              </w:rPr>
              <w:t>0.105±0.013</w:t>
            </w:r>
          </w:p>
        </w:tc>
        <w:tc>
          <w:tcPr>
            <w:tcW w:w="1984" w:type="dxa"/>
            <w:tcBorders>
              <w:top w:val="nil"/>
              <w:left w:val="nil"/>
              <w:bottom w:val="single" w:sz="4" w:space="0" w:color="auto"/>
              <w:right w:val="single" w:sz="4" w:space="0" w:color="auto"/>
            </w:tcBorders>
            <w:shd w:val="clear" w:color="000000" w:fill="FFFFFF"/>
            <w:noWrap/>
            <w:vAlign w:val="center"/>
            <w:hideMark/>
          </w:tcPr>
          <w:p w14:paraId="27919239" w14:textId="77777777" w:rsidR="00804511" w:rsidRPr="00313E9A" w:rsidRDefault="00804511" w:rsidP="00804511">
            <w:pPr>
              <w:jc w:val="center"/>
              <w:rPr>
                <w:rFonts w:ascii="Arial" w:hAnsi="Arial" w:cs="Arial"/>
                <w:color w:val="000000"/>
              </w:rPr>
            </w:pPr>
            <w:r w:rsidRPr="00313E9A">
              <w:rPr>
                <w:rFonts w:ascii="Arial" w:hAnsi="Arial" w:cs="Arial"/>
                <w:color w:val="000000"/>
              </w:rPr>
              <w:t>0.034±0.004</w:t>
            </w:r>
          </w:p>
        </w:tc>
      </w:tr>
      <w:tr w:rsidR="00804511" w:rsidRPr="00313E9A" w14:paraId="33A65F67"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1559539B" w14:textId="7B68AC8F" w:rsidR="00804511" w:rsidRPr="00313E9A" w:rsidRDefault="00AD7C9C" w:rsidP="00804511">
            <w:pPr>
              <w:jc w:val="center"/>
              <w:rPr>
                <w:rFonts w:ascii="Arial" w:hAnsi="Arial" w:cs="Arial"/>
                <w:color w:val="000000"/>
              </w:rPr>
            </w:pPr>
            <w:r w:rsidRPr="00313E9A">
              <w:rPr>
                <w:rFonts w:ascii="Arial" w:hAnsi="Arial" w:cs="Arial"/>
                <w:color w:val="000000"/>
              </w:rPr>
              <w:t>Fluoranthene</w:t>
            </w:r>
          </w:p>
        </w:tc>
        <w:tc>
          <w:tcPr>
            <w:tcW w:w="1653" w:type="dxa"/>
            <w:tcBorders>
              <w:top w:val="nil"/>
              <w:left w:val="nil"/>
              <w:bottom w:val="single" w:sz="4" w:space="0" w:color="auto"/>
              <w:right w:val="single" w:sz="4" w:space="0" w:color="auto"/>
            </w:tcBorders>
            <w:shd w:val="clear" w:color="000000" w:fill="FFFFFF"/>
            <w:noWrap/>
            <w:vAlign w:val="center"/>
            <w:hideMark/>
          </w:tcPr>
          <w:p w14:paraId="1EE91B3B" w14:textId="77777777" w:rsidR="00804511" w:rsidRPr="00313E9A" w:rsidRDefault="00804511" w:rsidP="00804511">
            <w:pPr>
              <w:jc w:val="center"/>
              <w:rPr>
                <w:rFonts w:ascii="Arial" w:hAnsi="Arial" w:cs="Arial"/>
                <w:color w:val="000000"/>
              </w:rPr>
            </w:pPr>
            <w:r w:rsidRPr="00313E9A">
              <w:rPr>
                <w:rFonts w:ascii="Arial" w:hAnsi="Arial" w:cs="Arial"/>
                <w:color w:val="000000"/>
              </w:rPr>
              <w:t>0.020±0.002</w:t>
            </w:r>
          </w:p>
        </w:tc>
        <w:tc>
          <w:tcPr>
            <w:tcW w:w="1559" w:type="dxa"/>
            <w:tcBorders>
              <w:top w:val="nil"/>
              <w:left w:val="nil"/>
              <w:bottom w:val="single" w:sz="4" w:space="0" w:color="auto"/>
              <w:right w:val="single" w:sz="4" w:space="0" w:color="auto"/>
            </w:tcBorders>
            <w:shd w:val="clear" w:color="000000" w:fill="FFFFFF"/>
            <w:noWrap/>
            <w:vAlign w:val="center"/>
            <w:hideMark/>
          </w:tcPr>
          <w:p w14:paraId="6FC66991" w14:textId="77777777" w:rsidR="00804511" w:rsidRPr="00313E9A" w:rsidRDefault="00804511" w:rsidP="00804511">
            <w:pPr>
              <w:jc w:val="center"/>
              <w:rPr>
                <w:rFonts w:ascii="Arial" w:hAnsi="Arial" w:cs="Arial"/>
                <w:color w:val="000000"/>
              </w:rPr>
            </w:pPr>
            <w:r w:rsidRPr="00313E9A">
              <w:rPr>
                <w:rFonts w:ascii="Arial" w:hAnsi="Arial" w:cs="Arial"/>
                <w:color w:val="000000"/>
              </w:rPr>
              <w:t>0.010±0.001</w:t>
            </w:r>
          </w:p>
        </w:tc>
        <w:tc>
          <w:tcPr>
            <w:tcW w:w="1701" w:type="dxa"/>
            <w:tcBorders>
              <w:top w:val="nil"/>
              <w:left w:val="nil"/>
              <w:bottom w:val="single" w:sz="4" w:space="0" w:color="auto"/>
              <w:right w:val="single" w:sz="4" w:space="0" w:color="auto"/>
            </w:tcBorders>
            <w:shd w:val="clear" w:color="000000" w:fill="FFFFFF"/>
            <w:noWrap/>
            <w:vAlign w:val="center"/>
            <w:hideMark/>
          </w:tcPr>
          <w:p w14:paraId="29CCD64A" w14:textId="77777777" w:rsidR="00804511" w:rsidRPr="00313E9A" w:rsidRDefault="00804511" w:rsidP="00804511">
            <w:pPr>
              <w:jc w:val="center"/>
              <w:rPr>
                <w:rFonts w:ascii="Arial" w:hAnsi="Arial" w:cs="Arial"/>
                <w:color w:val="000000"/>
              </w:rPr>
            </w:pPr>
            <w:r w:rsidRPr="00313E9A">
              <w:rPr>
                <w:rFonts w:ascii="Arial" w:hAnsi="Arial" w:cs="Arial"/>
                <w:color w:val="000000"/>
              </w:rPr>
              <w:t>0.054±0.006</w:t>
            </w:r>
          </w:p>
        </w:tc>
        <w:tc>
          <w:tcPr>
            <w:tcW w:w="1984" w:type="dxa"/>
            <w:tcBorders>
              <w:top w:val="nil"/>
              <w:left w:val="nil"/>
              <w:bottom w:val="single" w:sz="4" w:space="0" w:color="auto"/>
              <w:right w:val="single" w:sz="4" w:space="0" w:color="auto"/>
            </w:tcBorders>
            <w:shd w:val="clear" w:color="000000" w:fill="FFFFFF"/>
            <w:noWrap/>
            <w:vAlign w:val="center"/>
            <w:hideMark/>
          </w:tcPr>
          <w:p w14:paraId="32459D0A" w14:textId="77777777" w:rsidR="00804511" w:rsidRPr="00313E9A" w:rsidRDefault="00804511" w:rsidP="00804511">
            <w:pPr>
              <w:jc w:val="center"/>
              <w:rPr>
                <w:rFonts w:ascii="Arial" w:hAnsi="Arial" w:cs="Arial"/>
                <w:color w:val="000000"/>
              </w:rPr>
            </w:pPr>
            <w:r w:rsidRPr="00313E9A">
              <w:rPr>
                <w:rFonts w:ascii="Arial" w:hAnsi="Arial" w:cs="Arial"/>
                <w:color w:val="000000"/>
              </w:rPr>
              <w:t>0.012±0.001</w:t>
            </w:r>
          </w:p>
        </w:tc>
      </w:tr>
      <w:tr w:rsidR="00804511" w:rsidRPr="00313E9A" w14:paraId="459F2FBB"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10A6B2EF" w14:textId="77777777" w:rsidR="00804511" w:rsidRPr="00313E9A" w:rsidRDefault="00804511" w:rsidP="00804511">
            <w:pPr>
              <w:jc w:val="center"/>
              <w:rPr>
                <w:rFonts w:ascii="Arial" w:hAnsi="Arial" w:cs="Arial"/>
                <w:color w:val="000000"/>
              </w:rPr>
            </w:pPr>
            <w:r w:rsidRPr="00313E9A">
              <w:rPr>
                <w:rFonts w:ascii="Arial" w:hAnsi="Arial" w:cs="Arial"/>
                <w:color w:val="000000"/>
              </w:rPr>
              <w:t>Pyrene</w:t>
            </w:r>
          </w:p>
        </w:tc>
        <w:tc>
          <w:tcPr>
            <w:tcW w:w="1653" w:type="dxa"/>
            <w:tcBorders>
              <w:top w:val="nil"/>
              <w:left w:val="nil"/>
              <w:bottom w:val="single" w:sz="4" w:space="0" w:color="auto"/>
              <w:right w:val="single" w:sz="4" w:space="0" w:color="auto"/>
            </w:tcBorders>
            <w:shd w:val="clear" w:color="000000" w:fill="FFFFFF"/>
            <w:noWrap/>
            <w:vAlign w:val="center"/>
            <w:hideMark/>
          </w:tcPr>
          <w:p w14:paraId="662B3D5C" w14:textId="77777777" w:rsidR="00804511" w:rsidRPr="00313E9A" w:rsidRDefault="00804511" w:rsidP="00804511">
            <w:pPr>
              <w:jc w:val="center"/>
              <w:rPr>
                <w:rFonts w:ascii="Arial" w:hAnsi="Arial" w:cs="Arial"/>
                <w:color w:val="000000"/>
              </w:rPr>
            </w:pPr>
            <w:r w:rsidRPr="00313E9A">
              <w:rPr>
                <w:rFonts w:ascii="Arial" w:hAnsi="Arial" w:cs="Arial"/>
                <w:color w:val="000000"/>
              </w:rPr>
              <w:t>0.014±0.002</w:t>
            </w:r>
          </w:p>
        </w:tc>
        <w:tc>
          <w:tcPr>
            <w:tcW w:w="1559" w:type="dxa"/>
            <w:tcBorders>
              <w:top w:val="nil"/>
              <w:left w:val="nil"/>
              <w:bottom w:val="single" w:sz="4" w:space="0" w:color="auto"/>
              <w:right w:val="single" w:sz="4" w:space="0" w:color="auto"/>
            </w:tcBorders>
            <w:shd w:val="clear" w:color="000000" w:fill="FFFFFF"/>
            <w:noWrap/>
            <w:vAlign w:val="center"/>
            <w:hideMark/>
          </w:tcPr>
          <w:p w14:paraId="23DDD7A7"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10A6E45B" w14:textId="77777777" w:rsidR="00804511" w:rsidRPr="00313E9A" w:rsidRDefault="00804511" w:rsidP="00804511">
            <w:pPr>
              <w:jc w:val="center"/>
              <w:rPr>
                <w:rFonts w:ascii="Arial" w:hAnsi="Arial" w:cs="Arial"/>
                <w:color w:val="000000"/>
              </w:rPr>
            </w:pPr>
            <w:r w:rsidRPr="00313E9A">
              <w:rPr>
                <w:rFonts w:ascii="Arial" w:hAnsi="Arial" w:cs="Arial"/>
                <w:color w:val="000000"/>
              </w:rPr>
              <w:t>0.018±0.003</w:t>
            </w:r>
          </w:p>
        </w:tc>
        <w:tc>
          <w:tcPr>
            <w:tcW w:w="1984" w:type="dxa"/>
            <w:tcBorders>
              <w:top w:val="nil"/>
              <w:left w:val="nil"/>
              <w:bottom w:val="single" w:sz="4" w:space="0" w:color="auto"/>
              <w:right w:val="single" w:sz="4" w:space="0" w:color="auto"/>
            </w:tcBorders>
            <w:shd w:val="clear" w:color="000000" w:fill="FFFFFF"/>
            <w:noWrap/>
            <w:vAlign w:val="center"/>
            <w:hideMark/>
          </w:tcPr>
          <w:p w14:paraId="6D9343DC"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115541A8"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06F6E67D" w14:textId="11D49A33" w:rsidR="00804511" w:rsidRPr="00313E9A" w:rsidRDefault="00804511" w:rsidP="00804511">
            <w:pPr>
              <w:jc w:val="center"/>
              <w:rPr>
                <w:rFonts w:ascii="Arial" w:hAnsi="Arial" w:cs="Arial"/>
                <w:color w:val="000000"/>
              </w:rPr>
            </w:pPr>
            <w:r w:rsidRPr="00313E9A">
              <w:rPr>
                <w:rFonts w:ascii="Arial" w:hAnsi="Arial" w:cs="Arial"/>
                <w:color w:val="000000"/>
              </w:rPr>
              <w:t>Benz[a]</w:t>
            </w:r>
            <w:r w:rsidR="00AD7C9C" w:rsidRPr="00313E9A">
              <w:rPr>
                <w:rFonts w:ascii="Arial" w:hAnsi="Arial" w:cs="Arial"/>
                <w:color w:val="000000"/>
              </w:rPr>
              <w:t>anthracene</w:t>
            </w:r>
          </w:p>
        </w:tc>
        <w:tc>
          <w:tcPr>
            <w:tcW w:w="1653" w:type="dxa"/>
            <w:tcBorders>
              <w:top w:val="nil"/>
              <w:left w:val="nil"/>
              <w:bottom w:val="single" w:sz="4" w:space="0" w:color="auto"/>
              <w:right w:val="single" w:sz="4" w:space="0" w:color="auto"/>
            </w:tcBorders>
            <w:shd w:val="clear" w:color="000000" w:fill="FFFFFF"/>
            <w:noWrap/>
            <w:vAlign w:val="center"/>
            <w:hideMark/>
          </w:tcPr>
          <w:p w14:paraId="48F4FCD0" w14:textId="77777777" w:rsidR="00804511" w:rsidRPr="00313E9A" w:rsidRDefault="00804511" w:rsidP="00804511">
            <w:pPr>
              <w:jc w:val="center"/>
              <w:rPr>
                <w:rFonts w:ascii="Arial" w:hAnsi="Arial" w:cs="Arial"/>
                <w:color w:val="000000"/>
              </w:rPr>
            </w:pPr>
            <w:r w:rsidRPr="00313E9A">
              <w:rPr>
                <w:rFonts w:ascii="Arial" w:hAnsi="Arial" w:cs="Arial"/>
                <w:color w:val="000000"/>
              </w:rPr>
              <w:t>0.013±0.001</w:t>
            </w:r>
          </w:p>
        </w:tc>
        <w:tc>
          <w:tcPr>
            <w:tcW w:w="1559" w:type="dxa"/>
            <w:tcBorders>
              <w:top w:val="nil"/>
              <w:left w:val="nil"/>
              <w:bottom w:val="single" w:sz="4" w:space="0" w:color="auto"/>
              <w:right w:val="single" w:sz="4" w:space="0" w:color="auto"/>
            </w:tcBorders>
            <w:shd w:val="clear" w:color="000000" w:fill="FFFFFF"/>
            <w:noWrap/>
            <w:vAlign w:val="center"/>
            <w:hideMark/>
          </w:tcPr>
          <w:p w14:paraId="79938243"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2AF94837" w14:textId="77777777" w:rsidR="00804511" w:rsidRPr="00313E9A" w:rsidRDefault="00804511" w:rsidP="00804511">
            <w:pPr>
              <w:jc w:val="center"/>
              <w:rPr>
                <w:rFonts w:ascii="Arial" w:hAnsi="Arial" w:cs="Arial"/>
                <w:color w:val="000000"/>
              </w:rPr>
            </w:pPr>
            <w:r w:rsidRPr="00313E9A">
              <w:rPr>
                <w:rFonts w:ascii="Arial" w:hAnsi="Arial" w:cs="Arial"/>
                <w:color w:val="000000"/>
              </w:rPr>
              <w:t>0.015±0.003</w:t>
            </w:r>
          </w:p>
        </w:tc>
        <w:tc>
          <w:tcPr>
            <w:tcW w:w="1984" w:type="dxa"/>
            <w:tcBorders>
              <w:top w:val="nil"/>
              <w:left w:val="nil"/>
              <w:bottom w:val="single" w:sz="4" w:space="0" w:color="auto"/>
              <w:right w:val="single" w:sz="4" w:space="0" w:color="auto"/>
            </w:tcBorders>
            <w:shd w:val="clear" w:color="000000" w:fill="FFFFFF"/>
            <w:noWrap/>
            <w:vAlign w:val="center"/>
            <w:hideMark/>
          </w:tcPr>
          <w:p w14:paraId="385433D5"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19C4E3AE"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0EC48441" w14:textId="77777777" w:rsidR="00804511" w:rsidRPr="00313E9A" w:rsidRDefault="00804511" w:rsidP="00804511">
            <w:pPr>
              <w:jc w:val="center"/>
              <w:rPr>
                <w:rFonts w:ascii="Arial" w:hAnsi="Arial" w:cs="Arial"/>
                <w:color w:val="000000"/>
              </w:rPr>
            </w:pPr>
            <w:r w:rsidRPr="00313E9A">
              <w:rPr>
                <w:rFonts w:ascii="Arial" w:hAnsi="Arial" w:cs="Arial"/>
                <w:color w:val="000000"/>
              </w:rPr>
              <w:t>Chrysene</w:t>
            </w:r>
          </w:p>
        </w:tc>
        <w:tc>
          <w:tcPr>
            <w:tcW w:w="1653" w:type="dxa"/>
            <w:tcBorders>
              <w:top w:val="nil"/>
              <w:left w:val="nil"/>
              <w:bottom w:val="single" w:sz="4" w:space="0" w:color="auto"/>
              <w:right w:val="single" w:sz="4" w:space="0" w:color="auto"/>
            </w:tcBorders>
            <w:shd w:val="clear" w:color="000000" w:fill="FFFFFF"/>
            <w:noWrap/>
            <w:vAlign w:val="center"/>
            <w:hideMark/>
          </w:tcPr>
          <w:p w14:paraId="24126A43"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559" w:type="dxa"/>
            <w:tcBorders>
              <w:top w:val="nil"/>
              <w:left w:val="nil"/>
              <w:bottom w:val="single" w:sz="4" w:space="0" w:color="auto"/>
              <w:right w:val="single" w:sz="4" w:space="0" w:color="auto"/>
            </w:tcBorders>
            <w:shd w:val="clear" w:color="000000" w:fill="FFFFFF"/>
            <w:noWrap/>
            <w:vAlign w:val="center"/>
            <w:hideMark/>
          </w:tcPr>
          <w:p w14:paraId="71834C1A"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550B7163"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3309CB31"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BC7AD48"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315F4BA0" w14:textId="77777777" w:rsidR="00804511" w:rsidRPr="00313E9A" w:rsidRDefault="00804511" w:rsidP="00804511">
            <w:pPr>
              <w:jc w:val="center"/>
              <w:rPr>
                <w:rFonts w:ascii="Arial" w:hAnsi="Arial" w:cs="Arial"/>
                <w:color w:val="000000"/>
              </w:rPr>
            </w:pPr>
            <w:r w:rsidRPr="00313E9A">
              <w:rPr>
                <w:rFonts w:ascii="Arial" w:hAnsi="Arial" w:cs="Arial"/>
                <w:color w:val="000000"/>
              </w:rPr>
              <w:t>Perylene</w:t>
            </w:r>
          </w:p>
        </w:tc>
        <w:tc>
          <w:tcPr>
            <w:tcW w:w="1653" w:type="dxa"/>
            <w:tcBorders>
              <w:top w:val="nil"/>
              <w:left w:val="nil"/>
              <w:bottom w:val="single" w:sz="4" w:space="0" w:color="auto"/>
              <w:right w:val="single" w:sz="4" w:space="0" w:color="auto"/>
            </w:tcBorders>
            <w:shd w:val="clear" w:color="000000" w:fill="FFFFFF"/>
            <w:noWrap/>
            <w:vAlign w:val="center"/>
            <w:hideMark/>
          </w:tcPr>
          <w:p w14:paraId="2FE5028E"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559" w:type="dxa"/>
            <w:tcBorders>
              <w:top w:val="nil"/>
              <w:left w:val="nil"/>
              <w:bottom w:val="single" w:sz="4" w:space="0" w:color="auto"/>
              <w:right w:val="single" w:sz="4" w:space="0" w:color="auto"/>
            </w:tcBorders>
            <w:shd w:val="clear" w:color="000000" w:fill="FFFFFF"/>
            <w:noWrap/>
            <w:vAlign w:val="center"/>
            <w:hideMark/>
          </w:tcPr>
          <w:p w14:paraId="7F9FDBB9"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32BD35C1"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1FC3F62C"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5372BCA5"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764F7EF1" w14:textId="51A15FBA" w:rsidR="00804511" w:rsidRPr="00313E9A" w:rsidRDefault="00AD7C9C" w:rsidP="00804511">
            <w:pPr>
              <w:jc w:val="center"/>
              <w:rPr>
                <w:rFonts w:ascii="Arial" w:hAnsi="Arial" w:cs="Arial"/>
                <w:color w:val="000000"/>
              </w:rPr>
            </w:pPr>
            <w:r w:rsidRPr="00313E9A">
              <w:rPr>
                <w:rFonts w:ascii="Arial" w:hAnsi="Arial" w:cs="Arial"/>
                <w:color w:val="000000"/>
              </w:rPr>
              <w:t>Benzo</w:t>
            </w:r>
            <w:r w:rsidR="00804511" w:rsidRPr="00313E9A">
              <w:rPr>
                <w:rFonts w:ascii="Arial" w:hAnsi="Arial" w:cs="Arial"/>
                <w:color w:val="000000"/>
              </w:rPr>
              <w:t>[b]fluoranthene</w:t>
            </w:r>
          </w:p>
        </w:tc>
        <w:tc>
          <w:tcPr>
            <w:tcW w:w="1653" w:type="dxa"/>
            <w:tcBorders>
              <w:top w:val="nil"/>
              <w:left w:val="nil"/>
              <w:bottom w:val="single" w:sz="4" w:space="0" w:color="auto"/>
              <w:right w:val="single" w:sz="4" w:space="0" w:color="auto"/>
            </w:tcBorders>
            <w:shd w:val="clear" w:color="000000" w:fill="FFFFFF"/>
            <w:noWrap/>
            <w:vAlign w:val="center"/>
            <w:hideMark/>
          </w:tcPr>
          <w:p w14:paraId="62C5D0F2"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559" w:type="dxa"/>
            <w:tcBorders>
              <w:top w:val="nil"/>
              <w:left w:val="nil"/>
              <w:bottom w:val="single" w:sz="4" w:space="0" w:color="auto"/>
              <w:right w:val="single" w:sz="4" w:space="0" w:color="auto"/>
            </w:tcBorders>
            <w:shd w:val="clear" w:color="000000" w:fill="FFFFFF"/>
            <w:noWrap/>
            <w:vAlign w:val="center"/>
            <w:hideMark/>
          </w:tcPr>
          <w:p w14:paraId="59EDB53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0F4F09DB"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6639D379"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7FD643DB"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73BBF129" w14:textId="77777777" w:rsidR="00804511" w:rsidRPr="00313E9A" w:rsidRDefault="00804511" w:rsidP="00804511">
            <w:pPr>
              <w:jc w:val="center"/>
              <w:rPr>
                <w:rFonts w:ascii="Arial" w:hAnsi="Arial" w:cs="Arial"/>
                <w:color w:val="000000"/>
              </w:rPr>
            </w:pPr>
            <w:r w:rsidRPr="00313E9A">
              <w:rPr>
                <w:rFonts w:ascii="Arial" w:hAnsi="Arial" w:cs="Arial"/>
                <w:color w:val="000000"/>
              </w:rPr>
              <w:t>Benzo(k)fluoranthene</w:t>
            </w:r>
          </w:p>
        </w:tc>
        <w:tc>
          <w:tcPr>
            <w:tcW w:w="1653" w:type="dxa"/>
            <w:tcBorders>
              <w:top w:val="nil"/>
              <w:left w:val="nil"/>
              <w:bottom w:val="single" w:sz="4" w:space="0" w:color="auto"/>
              <w:right w:val="single" w:sz="4" w:space="0" w:color="auto"/>
            </w:tcBorders>
            <w:shd w:val="clear" w:color="000000" w:fill="FFFFFF"/>
            <w:noWrap/>
            <w:vAlign w:val="center"/>
            <w:hideMark/>
          </w:tcPr>
          <w:p w14:paraId="0C1FAF54" w14:textId="77777777" w:rsidR="00804511" w:rsidRPr="00313E9A" w:rsidRDefault="00804511" w:rsidP="00804511">
            <w:pPr>
              <w:jc w:val="center"/>
              <w:rPr>
                <w:rFonts w:ascii="Arial" w:hAnsi="Arial" w:cs="Arial"/>
                <w:color w:val="000000"/>
              </w:rPr>
            </w:pPr>
            <w:r w:rsidRPr="00313E9A">
              <w:rPr>
                <w:rFonts w:ascii="Arial" w:hAnsi="Arial" w:cs="Arial"/>
                <w:color w:val="000000"/>
              </w:rPr>
              <w:t>0.011±0.002</w:t>
            </w:r>
          </w:p>
        </w:tc>
        <w:tc>
          <w:tcPr>
            <w:tcW w:w="1559" w:type="dxa"/>
            <w:tcBorders>
              <w:top w:val="nil"/>
              <w:left w:val="nil"/>
              <w:bottom w:val="single" w:sz="4" w:space="0" w:color="auto"/>
              <w:right w:val="single" w:sz="4" w:space="0" w:color="auto"/>
            </w:tcBorders>
            <w:shd w:val="clear" w:color="000000" w:fill="FFFFFF"/>
            <w:noWrap/>
            <w:vAlign w:val="center"/>
            <w:hideMark/>
          </w:tcPr>
          <w:p w14:paraId="3695DFB1"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2EB3494A"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2F0F7A5E"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2D75A52F"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59F63559" w14:textId="77777777" w:rsidR="00804511" w:rsidRPr="00313E9A" w:rsidRDefault="00804511" w:rsidP="00804511">
            <w:pPr>
              <w:jc w:val="center"/>
              <w:rPr>
                <w:rFonts w:ascii="Arial" w:hAnsi="Arial" w:cs="Arial"/>
                <w:color w:val="000000"/>
              </w:rPr>
            </w:pPr>
            <w:r w:rsidRPr="00313E9A">
              <w:rPr>
                <w:rFonts w:ascii="Arial" w:hAnsi="Arial" w:cs="Arial"/>
                <w:color w:val="000000"/>
              </w:rPr>
              <w:t>Benzo(a)pyrene</w:t>
            </w:r>
          </w:p>
        </w:tc>
        <w:tc>
          <w:tcPr>
            <w:tcW w:w="1653" w:type="dxa"/>
            <w:tcBorders>
              <w:top w:val="nil"/>
              <w:left w:val="nil"/>
              <w:bottom w:val="single" w:sz="4" w:space="0" w:color="auto"/>
              <w:right w:val="single" w:sz="4" w:space="0" w:color="auto"/>
            </w:tcBorders>
            <w:shd w:val="clear" w:color="000000" w:fill="FFFFFF"/>
            <w:noWrap/>
            <w:vAlign w:val="center"/>
            <w:hideMark/>
          </w:tcPr>
          <w:p w14:paraId="55697CDC" w14:textId="77777777" w:rsidR="00804511" w:rsidRPr="00313E9A" w:rsidRDefault="00804511" w:rsidP="00804511">
            <w:pPr>
              <w:jc w:val="center"/>
              <w:rPr>
                <w:rFonts w:ascii="Arial" w:hAnsi="Arial" w:cs="Arial"/>
                <w:color w:val="000000"/>
              </w:rPr>
            </w:pPr>
            <w:r w:rsidRPr="00313E9A">
              <w:rPr>
                <w:rFonts w:ascii="Arial" w:hAnsi="Arial" w:cs="Arial"/>
                <w:color w:val="000000"/>
              </w:rPr>
              <w:t>0.067±0.008</w:t>
            </w:r>
          </w:p>
        </w:tc>
        <w:tc>
          <w:tcPr>
            <w:tcW w:w="1559" w:type="dxa"/>
            <w:tcBorders>
              <w:top w:val="nil"/>
              <w:left w:val="nil"/>
              <w:bottom w:val="single" w:sz="4" w:space="0" w:color="auto"/>
              <w:right w:val="single" w:sz="4" w:space="0" w:color="auto"/>
            </w:tcBorders>
            <w:shd w:val="clear" w:color="000000" w:fill="FFFFFF"/>
            <w:noWrap/>
            <w:vAlign w:val="center"/>
            <w:hideMark/>
          </w:tcPr>
          <w:p w14:paraId="4AE7E27B" w14:textId="77777777" w:rsidR="00804511" w:rsidRPr="00313E9A" w:rsidRDefault="00804511" w:rsidP="00804511">
            <w:pPr>
              <w:jc w:val="center"/>
              <w:rPr>
                <w:rFonts w:ascii="Arial" w:hAnsi="Arial" w:cs="Arial"/>
                <w:color w:val="000000"/>
              </w:rPr>
            </w:pPr>
            <w:r w:rsidRPr="00313E9A">
              <w:rPr>
                <w:rFonts w:ascii="Arial" w:hAnsi="Arial" w:cs="Arial"/>
                <w:color w:val="000000"/>
              </w:rPr>
              <w:t>0.088±0.010</w:t>
            </w:r>
          </w:p>
        </w:tc>
        <w:tc>
          <w:tcPr>
            <w:tcW w:w="1701" w:type="dxa"/>
            <w:tcBorders>
              <w:top w:val="nil"/>
              <w:left w:val="nil"/>
              <w:bottom w:val="single" w:sz="4" w:space="0" w:color="auto"/>
              <w:right w:val="single" w:sz="4" w:space="0" w:color="auto"/>
            </w:tcBorders>
            <w:shd w:val="clear" w:color="000000" w:fill="FFFFFF"/>
            <w:noWrap/>
            <w:vAlign w:val="center"/>
            <w:hideMark/>
          </w:tcPr>
          <w:p w14:paraId="3CE86B5D" w14:textId="77777777" w:rsidR="00804511" w:rsidRPr="00313E9A" w:rsidRDefault="00804511" w:rsidP="00804511">
            <w:pPr>
              <w:jc w:val="center"/>
              <w:rPr>
                <w:rFonts w:ascii="Arial" w:hAnsi="Arial" w:cs="Arial"/>
                <w:color w:val="000000"/>
              </w:rPr>
            </w:pPr>
            <w:r w:rsidRPr="00313E9A">
              <w:rPr>
                <w:rFonts w:ascii="Arial" w:hAnsi="Arial" w:cs="Arial"/>
                <w:color w:val="000000"/>
              </w:rPr>
              <w:t>0.073±0.006</w:t>
            </w:r>
          </w:p>
        </w:tc>
        <w:tc>
          <w:tcPr>
            <w:tcW w:w="1984" w:type="dxa"/>
            <w:tcBorders>
              <w:top w:val="nil"/>
              <w:left w:val="nil"/>
              <w:bottom w:val="single" w:sz="4" w:space="0" w:color="auto"/>
              <w:right w:val="single" w:sz="4" w:space="0" w:color="auto"/>
            </w:tcBorders>
            <w:shd w:val="clear" w:color="000000" w:fill="FFFFFF"/>
            <w:noWrap/>
            <w:vAlign w:val="center"/>
            <w:hideMark/>
          </w:tcPr>
          <w:p w14:paraId="3B6BB117" w14:textId="77777777" w:rsidR="00804511" w:rsidRPr="00313E9A" w:rsidRDefault="00804511" w:rsidP="00804511">
            <w:pPr>
              <w:jc w:val="center"/>
              <w:rPr>
                <w:rFonts w:ascii="Arial" w:hAnsi="Arial" w:cs="Arial"/>
                <w:color w:val="000000"/>
              </w:rPr>
            </w:pPr>
            <w:r w:rsidRPr="00313E9A">
              <w:rPr>
                <w:rFonts w:ascii="Arial" w:hAnsi="Arial" w:cs="Arial"/>
                <w:color w:val="000000"/>
              </w:rPr>
              <w:t>0.706±0.087</w:t>
            </w:r>
          </w:p>
        </w:tc>
      </w:tr>
      <w:tr w:rsidR="00804511" w:rsidRPr="00313E9A" w14:paraId="04B9B6D8"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154ED026" w14:textId="473B0B8C" w:rsidR="00804511" w:rsidRPr="00313E9A" w:rsidRDefault="00AD7C9C" w:rsidP="00804511">
            <w:pPr>
              <w:jc w:val="center"/>
              <w:rPr>
                <w:rFonts w:ascii="Arial" w:hAnsi="Arial" w:cs="Arial"/>
                <w:color w:val="000000"/>
              </w:rPr>
            </w:pPr>
            <w:r w:rsidRPr="00313E9A">
              <w:rPr>
                <w:rFonts w:ascii="Arial" w:hAnsi="Arial" w:cs="Arial"/>
                <w:color w:val="000000"/>
              </w:rPr>
              <w:t>Dibenzo</w:t>
            </w:r>
            <w:r w:rsidR="00804511" w:rsidRPr="00313E9A">
              <w:rPr>
                <w:rFonts w:ascii="Arial" w:hAnsi="Arial" w:cs="Arial"/>
                <w:color w:val="000000"/>
              </w:rPr>
              <w:t>[</w:t>
            </w:r>
            <w:proofErr w:type="spellStart"/>
            <w:proofErr w:type="gramStart"/>
            <w:r w:rsidR="00804511" w:rsidRPr="00313E9A">
              <w:rPr>
                <w:rFonts w:ascii="Arial" w:hAnsi="Arial" w:cs="Arial"/>
                <w:color w:val="000000"/>
              </w:rPr>
              <w:t>a,h</w:t>
            </w:r>
            <w:proofErr w:type="spellEnd"/>
            <w:proofErr w:type="gramEnd"/>
            <w:r w:rsidR="00804511" w:rsidRPr="00313E9A">
              <w:rPr>
                <w:rFonts w:ascii="Arial" w:hAnsi="Arial" w:cs="Arial"/>
                <w:color w:val="000000"/>
              </w:rPr>
              <w:t>]</w:t>
            </w:r>
            <w:r w:rsidRPr="00313E9A">
              <w:rPr>
                <w:rFonts w:ascii="Arial" w:hAnsi="Arial" w:cs="Arial"/>
                <w:color w:val="000000"/>
              </w:rPr>
              <w:t>anthracene</w:t>
            </w:r>
          </w:p>
        </w:tc>
        <w:tc>
          <w:tcPr>
            <w:tcW w:w="1653" w:type="dxa"/>
            <w:tcBorders>
              <w:top w:val="nil"/>
              <w:left w:val="nil"/>
              <w:bottom w:val="single" w:sz="4" w:space="0" w:color="auto"/>
              <w:right w:val="single" w:sz="4" w:space="0" w:color="auto"/>
            </w:tcBorders>
            <w:shd w:val="clear" w:color="000000" w:fill="FFFFFF"/>
            <w:noWrap/>
            <w:vAlign w:val="center"/>
            <w:hideMark/>
          </w:tcPr>
          <w:p w14:paraId="0B93EDA4"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559" w:type="dxa"/>
            <w:tcBorders>
              <w:top w:val="nil"/>
              <w:left w:val="nil"/>
              <w:bottom w:val="single" w:sz="4" w:space="0" w:color="auto"/>
              <w:right w:val="single" w:sz="4" w:space="0" w:color="auto"/>
            </w:tcBorders>
            <w:shd w:val="clear" w:color="000000" w:fill="FFFFFF"/>
            <w:noWrap/>
            <w:vAlign w:val="center"/>
            <w:hideMark/>
          </w:tcPr>
          <w:p w14:paraId="45106A05"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21C0198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61A15153"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0A70C6BF"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63A84034" w14:textId="77777777" w:rsidR="00804511" w:rsidRPr="00313E9A" w:rsidRDefault="00804511" w:rsidP="00804511">
            <w:pPr>
              <w:jc w:val="center"/>
              <w:rPr>
                <w:rFonts w:ascii="Arial" w:hAnsi="Arial" w:cs="Arial"/>
                <w:color w:val="000000"/>
              </w:rPr>
            </w:pPr>
            <w:r w:rsidRPr="00313E9A">
              <w:rPr>
                <w:rFonts w:ascii="Arial" w:hAnsi="Arial" w:cs="Arial"/>
                <w:color w:val="000000"/>
              </w:rPr>
              <w:t>Benzo(</w:t>
            </w:r>
            <w:proofErr w:type="spellStart"/>
            <w:r w:rsidRPr="00313E9A">
              <w:rPr>
                <w:rFonts w:ascii="Arial" w:hAnsi="Arial" w:cs="Arial"/>
                <w:color w:val="000000"/>
              </w:rPr>
              <w:t>g,h,i</w:t>
            </w:r>
            <w:proofErr w:type="spellEnd"/>
            <w:r w:rsidRPr="00313E9A">
              <w:rPr>
                <w:rFonts w:ascii="Arial" w:hAnsi="Arial" w:cs="Arial"/>
                <w:color w:val="000000"/>
              </w:rPr>
              <w:t>)</w:t>
            </w:r>
            <w:proofErr w:type="spellStart"/>
            <w:r w:rsidRPr="00313E9A">
              <w:rPr>
                <w:rFonts w:ascii="Arial" w:hAnsi="Arial" w:cs="Arial"/>
                <w:color w:val="000000"/>
              </w:rPr>
              <w:t>perylene</w:t>
            </w:r>
            <w:proofErr w:type="spellEnd"/>
          </w:p>
        </w:tc>
        <w:tc>
          <w:tcPr>
            <w:tcW w:w="1653" w:type="dxa"/>
            <w:tcBorders>
              <w:top w:val="nil"/>
              <w:left w:val="nil"/>
              <w:bottom w:val="single" w:sz="4" w:space="0" w:color="auto"/>
              <w:right w:val="single" w:sz="4" w:space="0" w:color="auto"/>
            </w:tcBorders>
            <w:shd w:val="clear" w:color="000000" w:fill="FFFFFF"/>
            <w:noWrap/>
            <w:vAlign w:val="center"/>
            <w:hideMark/>
          </w:tcPr>
          <w:p w14:paraId="48B3EC86" w14:textId="77777777" w:rsidR="00804511" w:rsidRPr="00313E9A" w:rsidRDefault="00804511" w:rsidP="00804511">
            <w:pPr>
              <w:jc w:val="center"/>
              <w:rPr>
                <w:rFonts w:ascii="Arial" w:hAnsi="Arial" w:cs="Arial"/>
                <w:color w:val="000000"/>
              </w:rPr>
            </w:pPr>
            <w:r w:rsidRPr="00313E9A">
              <w:rPr>
                <w:rFonts w:ascii="Arial" w:hAnsi="Arial" w:cs="Arial"/>
                <w:color w:val="000000"/>
              </w:rPr>
              <w:t>0.015±0.002</w:t>
            </w:r>
          </w:p>
        </w:tc>
        <w:tc>
          <w:tcPr>
            <w:tcW w:w="1559" w:type="dxa"/>
            <w:tcBorders>
              <w:top w:val="nil"/>
              <w:left w:val="nil"/>
              <w:bottom w:val="single" w:sz="4" w:space="0" w:color="auto"/>
              <w:right w:val="single" w:sz="4" w:space="0" w:color="auto"/>
            </w:tcBorders>
            <w:shd w:val="clear" w:color="000000" w:fill="FFFFFF"/>
            <w:noWrap/>
            <w:vAlign w:val="center"/>
            <w:hideMark/>
          </w:tcPr>
          <w:p w14:paraId="39859E28"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56113753" w14:textId="77777777" w:rsidR="00804511" w:rsidRPr="00313E9A" w:rsidRDefault="00804511" w:rsidP="00804511">
            <w:pPr>
              <w:jc w:val="center"/>
              <w:rPr>
                <w:rFonts w:ascii="Arial" w:hAnsi="Arial" w:cs="Arial"/>
                <w:color w:val="000000"/>
              </w:rPr>
            </w:pPr>
            <w:r w:rsidRPr="00313E9A">
              <w:rPr>
                <w:rFonts w:ascii="Arial" w:hAnsi="Arial" w:cs="Arial"/>
                <w:color w:val="000000"/>
              </w:rPr>
              <w:t>0.013±0.001</w:t>
            </w:r>
          </w:p>
        </w:tc>
        <w:tc>
          <w:tcPr>
            <w:tcW w:w="1984" w:type="dxa"/>
            <w:tcBorders>
              <w:top w:val="nil"/>
              <w:left w:val="nil"/>
              <w:bottom w:val="single" w:sz="4" w:space="0" w:color="auto"/>
              <w:right w:val="single" w:sz="4" w:space="0" w:color="auto"/>
            </w:tcBorders>
            <w:shd w:val="clear" w:color="000000" w:fill="FFFFFF"/>
            <w:noWrap/>
            <w:vAlign w:val="center"/>
            <w:hideMark/>
          </w:tcPr>
          <w:p w14:paraId="6D846056"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21D40816"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23853879"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t>Ieno</w:t>
            </w:r>
            <w:proofErr w:type="spellEnd"/>
            <w:r w:rsidRPr="00313E9A">
              <w:rPr>
                <w:rFonts w:ascii="Arial" w:hAnsi="Arial" w:cs="Arial"/>
                <w:color w:val="000000"/>
              </w:rPr>
              <w:t>(1,2,3c,d)pyrene</w:t>
            </w:r>
          </w:p>
        </w:tc>
        <w:tc>
          <w:tcPr>
            <w:tcW w:w="1653" w:type="dxa"/>
            <w:tcBorders>
              <w:top w:val="nil"/>
              <w:left w:val="nil"/>
              <w:bottom w:val="single" w:sz="4" w:space="0" w:color="auto"/>
              <w:right w:val="single" w:sz="4" w:space="0" w:color="auto"/>
            </w:tcBorders>
            <w:shd w:val="clear" w:color="000000" w:fill="FFFFFF"/>
            <w:noWrap/>
            <w:vAlign w:val="center"/>
            <w:hideMark/>
          </w:tcPr>
          <w:p w14:paraId="48D43E71" w14:textId="77777777" w:rsidR="00804511" w:rsidRPr="00313E9A" w:rsidRDefault="00804511" w:rsidP="00804511">
            <w:pPr>
              <w:jc w:val="center"/>
              <w:rPr>
                <w:rFonts w:ascii="Arial" w:hAnsi="Arial" w:cs="Arial"/>
                <w:color w:val="000000"/>
              </w:rPr>
            </w:pPr>
            <w:r w:rsidRPr="00313E9A">
              <w:rPr>
                <w:rFonts w:ascii="Arial" w:hAnsi="Arial" w:cs="Arial"/>
                <w:color w:val="000000"/>
              </w:rPr>
              <w:t>0.012±0.002</w:t>
            </w:r>
          </w:p>
        </w:tc>
        <w:tc>
          <w:tcPr>
            <w:tcW w:w="1559" w:type="dxa"/>
            <w:tcBorders>
              <w:top w:val="nil"/>
              <w:left w:val="nil"/>
              <w:bottom w:val="single" w:sz="4" w:space="0" w:color="auto"/>
              <w:right w:val="single" w:sz="4" w:space="0" w:color="auto"/>
            </w:tcBorders>
            <w:shd w:val="clear" w:color="000000" w:fill="FFFFFF"/>
            <w:noWrap/>
            <w:vAlign w:val="center"/>
            <w:hideMark/>
          </w:tcPr>
          <w:p w14:paraId="116C4FA4"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03381136"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18F8F4CC"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4635FBD5" w14:textId="77777777" w:rsidTr="00804511">
        <w:trPr>
          <w:trHeight w:val="340"/>
        </w:trPr>
        <w:tc>
          <w:tcPr>
            <w:tcW w:w="2264" w:type="dxa"/>
            <w:tcBorders>
              <w:top w:val="single" w:sz="4" w:space="0" w:color="auto"/>
              <w:left w:val="single" w:sz="4" w:space="0" w:color="auto"/>
              <w:bottom w:val="single" w:sz="4" w:space="0" w:color="auto"/>
              <w:right w:val="single" w:sz="4" w:space="0" w:color="auto"/>
            </w:tcBorders>
            <w:noWrap/>
            <w:vAlign w:val="bottom"/>
            <w:hideMark/>
          </w:tcPr>
          <w:p w14:paraId="5E46F388" w14:textId="77777777" w:rsidR="00804511" w:rsidRPr="00313E9A" w:rsidRDefault="000173F3" w:rsidP="00804511">
            <w:pPr>
              <w:jc w:val="center"/>
              <w:rPr>
                <w:rFonts w:ascii="Arial" w:hAnsi="Arial" w:cs="Arial"/>
                <w:color w:val="000000"/>
              </w:rPr>
            </w:pPr>
            <m:oMathPara>
              <m:oMath>
                <m:nary>
                  <m:naryPr>
                    <m:chr m:val="∑"/>
                    <m:limLoc m:val="undOvr"/>
                    <m:ctrlPr>
                      <w:rPr>
                        <w:rFonts w:ascii="Cambria Math" w:hAnsi="Cambria Math" w:cs="Arial"/>
                        <w:color w:val="000000"/>
                      </w:rPr>
                    </m:ctrlPr>
                  </m:naryPr>
                  <m:sub>
                    <m:r>
                      <m:rPr>
                        <m:sty m:val="b"/>
                      </m:rPr>
                      <w:rPr>
                        <w:rFonts w:ascii="Cambria Math" w:hAnsi="Cambria Math" w:cs="Arial"/>
                        <w:color w:val="000000"/>
                      </w:rPr>
                      <m:t>1</m:t>
                    </m:r>
                  </m:sub>
                  <m:sup>
                    <m:r>
                      <m:rPr>
                        <m:sty m:val="b"/>
                      </m:rPr>
                      <w:rPr>
                        <w:rFonts w:ascii="Cambria Math" w:hAnsi="Cambria Math" w:cs="Arial"/>
                        <w:color w:val="000000"/>
                      </w:rPr>
                      <m:t>17</m:t>
                    </m:r>
                  </m:sup>
                  <m:e>
                    <m:r>
                      <m:rPr>
                        <m:sty m:val="bi"/>
                      </m:rPr>
                      <w:rPr>
                        <w:rFonts w:ascii="Cambria Math" w:hAnsi="Cambria Math" w:cs="Arial"/>
                        <w:color w:val="000000"/>
                      </w:rPr>
                      <m:t>PAHs</m:t>
                    </m:r>
                  </m:e>
                </m:nary>
              </m:oMath>
            </m:oMathPara>
          </w:p>
          <w:p w14:paraId="62F98371" w14:textId="77777777" w:rsidR="00804511" w:rsidRPr="00313E9A" w:rsidRDefault="00804511" w:rsidP="00804511">
            <w:pPr>
              <w:jc w:val="center"/>
              <w:rPr>
                <w:rFonts w:ascii="Arial" w:hAnsi="Arial" w:cs="Arial"/>
                <w:color w:val="000000"/>
              </w:rPr>
            </w:pPr>
          </w:p>
        </w:tc>
        <w:tc>
          <w:tcPr>
            <w:tcW w:w="16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47A7E" w14:textId="77777777" w:rsidR="00804511" w:rsidRPr="00313E9A" w:rsidRDefault="00804511" w:rsidP="00804511">
            <w:pPr>
              <w:jc w:val="center"/>
              <w:rPr>
                <w:rFonts w:ascii="Arial" w:hAnsi="Arial" w:cs="Arial"/>
                <w:color w:val="000000"/>
              </w:rPr>
            </w:pPr>
            <w:r w:rsidRPr="00313E9A">
              <w:rPr>
                <w:rFonts w:ascii="Arial" w:hAnsi="Arial" w:cs="Arial"/>
                <w:color w:val="000000"/>
              </w:rPr>
              <w:t>0.386</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4BF198" w14:textId="77777777" w:rsidR="00804511" w:rsidRPr="00313E9A" w:rsidRDefault="00804511" w:rsidP="00804511">
            <w:pPr>
              <w:jc w:val="center"/>
              <w:rPr>
                <w:rFonts w:ascii="Arial" w:hAnsi="Arial" w:cs="Arial"/>
                <w:color w:val="000000"/>
              </w:rPr>
            </w:pPr>
            <w:r w:rsidRPr="00313E9A">
              <w:rPr>
                <w:rFonts w:ascii="Arial" w:hAnsi="Arial" w:cs="Arial"/>
                <w:color w:val="000000"/>
              </w:rPr>
              <w:t>0.123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800213" w14:textId="77777777" w:rsidR="00804511" w:rsidRPr="00313E9A" w:rsidRDefault="00804511" w:rsidP="00804511">
            <w:pPr>
              <w:jc w:val="center"/>
              <w:rPr>
                <w:rFonts w:ascii="Arial" w:hAnsi="Arial" w:cs="Arial"/>
                <w:color w:val="000000"/>
              </w:rPr>
            </w:pPr>
            <w:r w:rsidRPr="00313E9A">
              <w:rPr>
                <w:rFonts w:ascii="Arial" w:hAnsi="Arial" w:cs="Arial"/>
                <w:color w:val="000000"/>
              </w:rPr>
              <w:t>0.537</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DC730A" w14:textId="77777777" w:rsidR="00804511" w:rsidRPr="00313E9A" w:rsidRDefault="00804511" w:rsidP="00804511">
            <w:pPr>
              <w:jc w:val="center"/>
              <w:rPr>
                <w:rFonts w:ascii="Arial" w:hAnsi="Arial" w:cs="Arial"/>
                <w:color w:val="000000"/>
              </w:rPr>
            </w:pPr>
            <w:r w:rsidRPr="00313E9A">
              <w:rPr>
                <w:rFonts w:ascii="Arial" w:hAnsi="Arial" w:cs="Arial"/>
                <w:color w:val="000000"/>
              </w:rPr>
              <w:t>0.752</w:t>
            </w:r>
          </w:p>
        </w:tc>
      </w:tr>
    </w:tbl>
    <w:p w14:paraId="200AF2DF" w14:textId="77777777" w:rsidR="00804511" w:rsidRPr="00313E9A" w:rsidRDefault="00804511" w:rsidP="00804511">
      <w:pPr>
        <w:spacing w:before="100" w:beforeAutospacing="1"/>
        <w:rPr>
          <w:rFonts w:ascii="Arial" w:hAnsi="Arial" w:cs="Arial"/>
          <w:b/>
        </w:rPr>
      </w:pPr>
      <w:r w:rsidRPr="00313E9A">
        <w:rPr>
          <w:rFonts w:ascii="Arial" w:hAnsi="Arial" w:cs="Arial"/>
          <w:b/>
        </w:rPr>
        <w:t xml:space="preserve">Table 4: Results of statistical tests performed on HAP concentrations measured in the shells and contents of royal tern and grey-headed gull eggs. </w:t>
      </w:r>
    </w:p>
    <w:tbl>
      <w:tblPr>
        <w:tblStyle w:val="Grilledutableau"/>
        <w:tblW w:w="0" w:type="auto"/>
        <w:tblLook w:val="04A0" w:firstRow="1" w:lastRow="0" w:firstColumn="1" w:lastColumn="0" w:noHBand="0" w:noVBand="1"/>
      </w:tblPr>
      <w:tblGrid>
        <w:gridCol w:w="4652"/>
        <w:gridCol w:w="1395"/>
      </w:tblGrid>
      <w:tr w:rsidR="00804511" w:rsidRPr="00313E9A" w14:paraId="33FA1D0C" w14:textId="77777777" w:rsidTr="00804511">
        <w:tc>
          <w:tcPr>
            <w:tcW w:w="0" w:type="auto"/>
            <w:hideMark/>
          </w:tcPr>
          <w:p w14:paraId="5F141C58" w14:textId="77777777" w:rsidR="00804511" w:rsidRPr="00313E9A" w:rsidRDefault="00804511" w:rsidP="00804511">
            <w:pPr>
              <w:rPr>
                <w:rFonts w:ascii="Arial" w:hAnsi="Arial" w:cs="Arial"/>
                <w:b/>
                <w:color w:val="000000"/>
                <w:sz w:val="20"/>
                <w:szCs w:val="20"/>
              </w:rPr>
            </w:pPr>
            <w:r w:rsidRPr="00313E9A">
              <w:rPr>
                <w:rFonts w:ascii="Arial" w:hAnsi="Arial" w:cs="Arial"/>
                <w:b/>
                <w:color w:val="000000"/>
                <w:sz w:val="20"/>
                <w:szCs w:val="20"/>
              </w:rPr>
              <w:t>Comparison</w:t>
            </w:r>
          </w:p>
        </w:tc>
        <w:tc>
          <w:tcPr>
            <w:tcW w:w="0" w:type="auto"/>
            <w:vAlign w:val="bottom"/>
            <w:hideMark/>
          </w:tcPr>
          <w:p w14:paraId="219032D0" w14:textId="77777777" w:rsidR="00804511" w:rsidRPr="00313E9A" w:rsidRDefault="00804511" w:rsidP="00804511">
            <w:pPr>
              <w:rPr>
                <w:rFonts w:ascii="Arial" w:hAnsi="Arial" w:cs="Arial"/>
                <w:b/>
                <w:color w:val="000000"/>
                <w:sz w:val="20"/>
                <w:szCs w:val="20"/>
              </w:rPr>
            </w:pPr>
            <w:r w:rsidRPr="00313E9A">
              <w:rPr>
                <w:rFonts w:ascii="Arial" w:hAnsi="Arial" w:cs="Arial"/>
                <w:b/>
                <w:color w:val="000000"/>
                <w:sz w:val="20"/>
                <w:szCs w:val="20"/>
              </w:rPr>
              <w:t>Significance</w:t>
            </w:r>
          </w:p>
        </w:tc>
      </w:tr>
      <w:tr w:rsidR="00804511" w:rsidRPr="00313E9A" w14:paraId="0CF4DEF0" w14:textId="77777777" w:rsidTr="00804511">
        <w:tc>
          <w:tcPr>
            <w:tcW w:w="0" w:type="auto"/>
            <w:hideMark/>
          </w:tcPr>
          <w:p w14:paraId="1D3913C7"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Eggshells of royal tern: PNLB vs PNDS</w:t>
            </w:r>
          </w:p>
        </w:tc>
        <w:tc>
          <w:tcPr>
            <w:tcW w:w="0" w:type="auto"/>
            <w:vAlign w:val="bottom"/>
            <w:hideMark/>
          </w:tcPr>
          <w:p w14:paraId="31B87889"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&gt; 0.05</w:t>
            </w:r>
          </w:p>
        </w:tc>
      </w:tr>
      <w:tr w:rsidR="00804511" w:rsidRPr="00313E9A" w14:paraId="6F6C7376" w14:textId="77777777" w:rsidTr="00804511">
        <w:tc>
          <w:tcPr>
            <w:tcW w:w="0" w:type="auto"/>
            <w:hideMark/>
          </w:tcPr>
          <w:p w14:paraId="29195563"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Egg contents of royal tern: PNLB vs PNDS</w:t>
            </w:r>
          </w:p>
        </w:tc>
        <w:tc>
          <w:tcPr>
            <w:tcW w:w="0" w:type="auto"/>
            <w:vAlign w:val="bottom"/>
            <w:hideMark/>
          </w:tcPr>
          <w:p w14:paraId="4BED7348"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&gt; 0.05</w:t>
            </w:r>
          </w:p>
        </w:tc>
      </w:tr>
      <w:tr w:rsidR="00804511" w:rsidRPr="00313E9A" w14:paraId="4FC1D15D" w14:textId="77777777" w:rsidTr="00804511">
        <w:tc>
          <w:tcPr>
            <w:tcW w:w="0" w:type="auto"/>
            <w:hideMark/>
          </w:tcPr>
          <w:p w14:paraId="2E965BB2"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Eggshells of grey-headed gull: PNLB vs PNDS</w:t>
            </w:r>
          </w:p>
        </w:tc>
        <w:tc>
          <w:tcPr>
            <w:tcW w:w="0" w:type="auto"/>
            <w:vAlign w:val="bottom"/>
            <w:hideMark/>
          </w:tcPr>
          <w:p w14:paraId="59488FCF"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&gt; 0.05</w:t>
            </w:r>
          </w:p>
        </w:tc>
      </w:tr>
      <w:tr w:rsidR="00804511" w:rsidRPr="00313E9A" w14:paraId="499D53F8" w14:textId="77777777" w:rsidTr="00804511">
        <w:tc>
          <w:tcPr>
            <w:tcW w:w="0" w:type="auto"/>
            <w:hideMark/>
          </w:tcPr>
          <w:p w14:paraId="5989BC78"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Egg contents of grey-headed gull: PNLB vs PNDS</w:t>
            </w:r>
          </w:p>
        </w:tc>
        <w:tc>
          <w:tcPr>
            <w:tcW w:w="0" w:type="auto"/>
            <w:vAlign w:val="bottom"/>
            <w:hideMark/>
          </w:tcPr>
          <w:p w14:paraId="14101FB6"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&gt; 0.05</w:t>
            </w:r>
          </w:p>
        </w:tc>
      </w:tr>
      <w:tr w:rsidR="00804511" w:rsidRPr="00313E9A" w14:paraId="33DFE9D5" w14:textId="77777777" w:rsidTr="00804511">
        <w:tc>
          <w:tcPr>
            <w:tcW w:w="0" w:type="auto"/>
            <w:hideMark/>
          </w:tcPr>
          <w:p w14:paraId="33AB3C8B"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 xml:space="preserve">Eggshells: Royal tern vs Grey-headed gull </w:t>
            </w:r>
          </w:p>
        </w:tc>
        <w:tc>
          <w:tcPr>
            <w:tcW w:w="0" w:type="auto"/>
            <w:vAlign w:val="bottom"/>
            <w:hideMark/>
          </w:tcPr>
          <w:p w14:paraId="4B3E661B"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&gt; 0.05</w:t>
            </w:r>
          </w:p>
        </w:tc>
      </w:tr>
      <w:tr w:rsidR="00804511" w:rsidRPr="00313E9A" w14:paraId="39ABA348" w14:textId="77777777" w:rsidTr="00804511">
        <w:tc>
          <w:tcPr>
            <w:tcW w:w="0" w:type="auto"/>
            <w:hideMark/>
          </w:tcPr>
          <w:p w14:paraId="301A69EB"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Egg contents: Royal tern vs Grey-headed gull</w:t>
            </w:r>
          </w:p>
        </w:tc>
        <w:tc>
          <w:tcPr>
            <w:tcW w:w="0" w:type="auto"/>
            <w:vAlign w:val="bottom"/>
            <w:hideMark/>
          </w:tcPr>
          <w:p w14:paraId="005E3889"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&gt; 0.05</w:t>
            </w:r>
          </w:p>
        </w:tc>
      </w:tr>
      <w:tr w:rsidR="00804511" w:rsidRPr="00313E9A" w14:paraId="16704665" w14:textId="77777777" w:rsidTr="00804511">
        <w:tc>
          <w:tcPr>
            <w:tcW w:w="0" w:type="auto"/>
            <w:hideMark/>
          </w:tcPr>
          <w:p w14:paraId="08A3CDE3"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Royal tern: Eggshells vs Egg contents</w:t>
            </w:r>
          </w:p>
        </w:tc>
        <w:tc>
          <w:tcPr>
            <w:tcW w:w="0" w:type="auto"/>
            <w:vAlign w:val="bottom"/>
            <w:hideMark/>
          </w:tcPr>
          <w:p w14:paraId="0F1E3F55"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&lt; 0.05</w:t>
            </w:r>
          </w:p>
        </w:tc>
      </w:tr>
      <w:tr w:rsidR="00804511" w:rsidRPr="00313E9A" w14:paraId="44ECC14D" w14:textId="77777777" w:rsidTr="00804511">
        <w:tc>
          <w:tcPr>
            <w:tcW w:w="0" w:type="auto"/>
            <w:hideMark/>
          </w:tcPr>
          <w:p w14:paraId="6C49521A"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Grey-headed gull: Eggshell vs Egg contents</w:t>
            </w:r>
          </w:p>
        </w:tc>
        <w:tc>
          <w:tcPr>
            <w:tcW w:w="0" w:type="auto"/>
            <w:vAlign w:val="bottom"/>
            <w:hideMark/>
          </w:tcPr>
          <w:p w14:paraId="53DF9F3D"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&lt; 0.05</w:t>
            </w:r>
          </w:p>
        </w:tc>
      </w:tr>
    </w:tbl>
    <w:p w14:paraId="49C06E27" w14:textId="77777777" w:rsidR="00804511" w:rsidRPr="00313E9A" w:rsidRDefault="00804511" w:rsidP="00496DFF">
      <w:pPr>
        <w:jc w:val="both"/>
        <w:rPr>
          <w:rFonts w:ascii="Arial" w:hAnsi="Arial" w:cs="Arial"/>
        </w:rPr>
      </w:pPr>
    </w:p>
    <w:p w14:paraId="764EBD6F" w14:textId="77777777" w:rsidR="00496DFF" w:rsidRPr="00313E9A" w:rsidRDefault="00804511" w:rsidP="007847E2">
      <w:pPr>
        <w:pStyle w:val="Head1"/>
        <w:spacing w:after="0"/>
        <w:jc w:val="both"/>
        <w:rPr>
          <w:rFonts w:ascii="Arial" w:hAnsi="Arial" w:cs="Arial"/>
        </w:rPr>
      </w:pPr>
      <w:r w:rsidRPr="00313E9A">
        <w:rPr>
          <w:rFonts w:ascii="Arial" w:hAnsi="Arial" w:cs="Arial"/>
        </w:rPr>
        <w:t>4. DISCUSSION</w:t>
      </w:r>
    </w:p>
    <w:p w14:paraId="45C64169" w14:textId="483F9B16" w:rsidR="00804511" w:rsidRPr="00313E9A" w:rsidRDefault="00804511" w:rsidP="00804511">
      <w:pPr>
        <w:jc w:val="both"/>
        <w:rPr>
          <w:rFonts w:ascii="Arial" w:hAnsi="Arial" w:cs="Arial"/>
        </w:rPr>
      </w:pPr>
      <w:r w:rsidRPr="00313E9A">
        <w:rPr>
          <w:rFonts w:ascii="Arial" w:hAnsi="Arial" w:cs="Arial"/>
        </w:rPr>
        <w:t xml:space="preserve">The results of this study reveal contamination by trace elements (Pb, Cd, Hg) and polycyclic aromatic hydrocarbons (PAHs) in the eggs of royal terns (Thalasseus maximus) and grey-headed gulls (Chroicocephalus cirrocephalus) from two distinct sites (PNLB and PNDS). These findings align with growing evidence that seabirds serve as effective bioindicators of marine pollution due to their high trophic positions, long lifespans, and site fidelity </w:t>
      </w:r>
      <w:r w:rsidRPr="00313E9A">
        <w:rPr>
          <w:rFonts w:ascii="Arial" w:hAnsi="Arial" w:cs="Arial"/>
        </w:rPr>
        <w:fldChar w:fldCharType="begin"/>
      </w:r>
      <w:r w:rsidRPr="00313E9A">
        <w:rPr>
          <w:rFonts w:ascii="Arial" w:hAnsi="Arial" w:cs="Arial"/>
        </w:rPr>
        <w:instrText xml:space="preserve"> ADDIN ZOTERO_ITEM CSL_CITATION {"citationID":"HjTEniB0","properties":{"formattedCitation":"(Burger &amp; Gochfeld, 2004; Carravieri et al., 2020; Esp\\uc0\\u237{}n et al., 2016; Lopes et al., 2022)","plainCitation":"(Burger &amp; Gochfeld, 2004; Carravieri et al., 2020; Espín et al., 2016; Lopes et al., 2022)","noteIndex":0},"citationItems":[{"id":246,"uris":["http://zotero.org/users/18107686/items/LQVUT72T"],"itemData":{"id":246,"type":"article-journal","abstract":"Marine birds are useful as bioindicators of environmental pollution in estuarine and marine environments because they are often at the top of the food chain, ubiquitous, and many are abundant and common, making collecting possible. Seabirds have the advantage of being large, wide-ranging, conspicuous, abundant, long-lived, easily observed, and important to people. Many species are at the top of the food chain where they bioaccumulate contaminants with age. One disadvantage is that many species are migratory, making it difficult to determine where exposure occurred. This can be eliminated by using sedentary species or young birds that obtain all their food from parents. Further, noninvasive collection of feathers can be used to assess heavy metal levels, both from current collections and from historical collections in museums dating back centuries. Marine birds can be used as bioindicators in many ways, including tissue levels of contaminants, epidemiological field studies of effects, and experimental and laboratory studies of dose and effects. Examples from our research indicate some of the ways marine birds can be useful as indicators and sentinels of contamination, particularly by using young birds and feathers.","container-title":"EcoHealth","DOI":"10.1007/s10393-004-0096-4","ISSN":"1612-9210","issue":"3","journalAbbreviation":"EcoHealth","language":"en","page":"263-274","source":"Springer Link","title":"Marine Birds as Sentinels of Environmental Pollution","volume":"1","author":[{"family":"Burger","given":"Joanna"},{"family":"Gochfeld","given":"Michael"}],"issued":{"date-parts":[["2004",9,1]]}}},{"id":251,"uris":["http://zotero.org/users/18107686/items/769NIVA6"],"itemData":{"id":251,"type":"article-journal","abstract":"Seabirds from remote regions are mainly exposed to environmental contaminants from non-point contamination of their food webs. Pre-fledging seabird chicks are fed by their parents with marine prey captured in the vicinity of breeding colonies. Contaminant concentrations in tissues of pre-fledging chicks can thus be mostly related to local dietary sources, and have the potential to unravel spatial patterns of environmental contamination in marine ecosystems. Here, mercury (Hg), 13 other trace elements, and 18 persistent organic pollutants (POPs) were quantified in blood of chicks across four breeding locations that encompass a large latitudinal range in the southern Indian Ocean (from Antarctica, through subantarctic areas, to the subtropics), over a single breeding season. Thirteen species of penguins, albatrosses and petrels were studied, including endangered and near-threatened species, such as Amsterdam albatrosses and emperor penguins. Blood Hg burdens varied widely between species, with a factor of ~50 between the lowest and highest concentrations (mean ± SD, 0.05 ± 0.01 and 2.66 ± 0.81 µg g−1 dry weight, in thin-billed prions and Amsterdam albatrosses, respectively). Species relying on Antarctic waters for feeding had low Hg exposure. Concentrations of POPs were low in chicks, with the exception of hexachlorobenzene. Contaminant concentrations were mainly explained by species differences, but feeding habitat (inferred from δ13C values) and chicks’ body mass also contributed to explain variation. Collectively, our findings call for further toxicological investigations in Amsterdam albatrosses and small petrel species, because they were exposed to high and diverse sources of contaminants, and in macaroni penguins, which specifically showed very high selenium concentrations.\nCapsule\nSeabird chicks from four distant sites in the southern Indian Ocean had contrasted blood metallic and organic contaminant patterns depending on species, feeding habitat and body mass.","container-title":"Environment International","DOI":"10.1016/j.envint.2019.105225","ISSN":"0160-4120","journalAbbreviation":"Environment International","page":"105225","source":"ScienceDirect","title":"Trace elements and persistent organic pollutants in chicks of 13 seabird species from Antarctica to the subtropics","volume":"134","author":[{"family":"Carravieri","given":"Alice"},{"family":"Bustamante","given":"Paco"},{"family":"Labadie","given":"Pierre"},{"family":"Budzinski","given":"Hélène"},{"family":"Chastel","given":"Olivier"},{"family":"Cherel","given":"Yves"}],"issued":{"date-parts":[["2020",1,1]]}}},{"id":263,"uris":["http://zotero.org/users/18107686/items/FYV2LL35"],"itemData":{"id":263,"type":"article-journal","abstract":"The maternal investment into egg quality depends on the condition of the female, the quality of the mate, and the quality of the environment. In that sense, availability of nutrients and exposure to pollutants are essential parameters to consider. The main aim of this study is to assess the effects of calcium (Ca) availability and anthropogenic metal pollution on early-stage reproduction in two passerine species, great tits (Parus major) and pied flycatchers (Ficedula hypoleuca), inhabiting a Ca-poor and metal-polluted area in SW Finland. Both species were able to obtain sufficient Ca for eggshell formation, and metal pollution was below the level of having negative effects in the egg size and eggshell characteristics. However, metal polluted environment negatively affected yolk lutein and vitamin D3 levels in both species, probably because of a lower access to carotenoid-rich diet and higher metal interference with vitamin D3 metabolism. The higher levels of vitamin D3 in yolks in the unpolluted zone could also be due to upregulated D3 levels as a response to the lower natural Ca availability. Yolk carotenoids and vitamin D3 were positively associated with nestling growth and size, supporting their importance for the appropriate chick development. The interspecific differences in yolk nutrient concentrations possibly reflect the different growth rate of these species. Pied flycatchers are likely adapted to low Ca availability through an efficient vitamin D3 metabolism, but their Ca intake could be close to a deficient level.","container-title":"Chemosphere","DOI":"10.1016/j.chemosphere.2016.02.074","ISSN":"0045-6535","journalAbbreviation":"Chemosphere","page":"189-201","source":"ScienceDirect","title":"Effects of experimental calcium availability and anthropogenic metal pollution on eggshell characteristics and yolk carotenoid and vitamin levels in two passerine birds","volume":"151","author":[{"family":"Espín","given":"Silvia"},{"family":"Ruiz","given":"Sandra"},{"family":"Sánchez-Virosta","given":"Pablo"},{"family":"Salminen","given":"Juha-Pekka"},{"family":"Eeva","given":"Tapio"}],"issued":{"date-parts":[["2016",5,1]]}}},{"id":280,"uris":["http://zotero.org/users/18107686/items/3JL6I5F8"],"itemData":{"id":280,"type":"chapter","abstract":"As top predators, seabirds are highly sensitive to  widespread plastic and metal pollution. These bioindicators interact with plastics and metals in many different ways which can lead to several deleterious effects, measurable through different techniques, and ultimately to death. S</w:instrText>
      </w:r>
      <w:r w:rsidRPr="000173F3">
        <w:rPr>
          <w:rFonts w:ascii="Arial" w:hAnsi="Arial" w:cs="Arial"/>
          <w:lang w:val="fr-SN"/>
        </w:rPr>
        <w:instrText xml:space="preserve">till, seabirds’ vulnerability to contamination depends on various characteristics such as foraging behaviour and habitat use. Seabirds can also constitute a significant biovector of plastic and metal contamination from marine environments to terrestrial landscapes. This chapter reviews the existing scientific knowledge regarding  negative impacts of plastics and metals in marine ecosystems, particularly in seabirds, the way  both are interconnected, and the reasons why seabirds are considered suitable biomonitoring tools of plastic and metal pollution patterns. Factors influencing both plastic and metal interactions with seabirds, as well as the currently known appropriate monitoring tools to quantify these interactions are also  described. A review of studies addressing seabirds as vectors of plastic and metal pollution is also presented and a broad overview of these aspects is debated through a case study on how plastic exposure affects seabirds.","container-title":"Volume 1: Seabird Biodiversity and Human Activities","note":"number-of-pages: 20","publisher":"CRC Press","title":"Seabirds as Indicators of Metal and Plastic Pollution","author":[{"family":"Lopes","given":"Catarina S."},{"family":"Laranjeiro","given":"Maria I."},{"family":"Lavers","given":"Jennifer L."},{"family":"Finger","given":"Annett"},{"family":"Provencher","given":"Jennifer"}],"issued":{"date-parts":[["2022"]]}}}],"schema":"https://github.com/citation-style-language/schema/raw/master/csl-citation.json"} </w:instrText>
      </w:r>
      <w:r w:rsidRPr="00313E9A">
        <w:rPr>
          <w:rFonts w:ascii="Arial" w:hAnsi="Arial" w:cs="Arial"/>
        </w:rPr>
        <w:fldChar w:fldCharType="separate"/>
      </w:r>
      <w:r w:rsidR="00193A80" w:rsidRPr="00193A80">
        <w:rPr>
          <w:rFonts w:ascii="Arial" w:hAnsi="Arial" w:cs="Arial"/>
          <w:szCs w:val="24"/>
          <w:lang w:val="fr-FR"/>
        </w:rPr>
        <w:t xml:space="preserve">(Burger &amp; </w:t>
      </w:r>
      <w:proofErr w:type="spellStart"/>
      <w:r w:rsidR="00193A80" w:rsidRPr="00193A80">
        <w:rPr>
          <w:rFonts w:ascii="Arial" w:hAnsi="Arial" w:cs="Arial"/>
          <w:szCs w:val="24"/>
          <w:lang w:val="fr-FR"/>
        </w:rPr>
        <w:t>Gochfeld</w:t>
      </w:r>
      <w:proofErr w:type="spellEnd"/>
      <w:r w:rsidR="00193A80" w:rsidRPr="00193A80">
        <w:rPr>
          <w:rFonts w:ascii="Arial" w:hAnsi="Arial" w:cs="Arial"/>
          <w:szCs w:val="24"/>
          <w:lang w:val="fr-FR"/>
        </w:rPr>
        <w:t xml:space="preserve">, 2004; </w:t>
      </w:r>
      <w:proofErr w:type="spellStart"/>
      <w:r w:rsidR="00193A80" w:rsidRPr="00193A80">
        <w:rPr>
          <w:rFonts w:ascii="Arial" w:hAnsi="Arial" w:cs="Arial"/>
          <w:szCs w:val="24"/>
          <w:lang w:val="fr-FR"/>
        </w:rPr>
        <w:t>Carravieri</w:t>
      </w:r>
      <w:proofErr w:type="spellEnd"/>
      <w:r w:rsidR="00193A80" w:rsidRPr="00193A80">
        <w:rPr>
          <w:rFonts w:ascii="Arial" w:hAnsi="Arial" w:cs="Arial"/>
          <w:szCs w:val="24"/>
          <w:lang w:val="fr-FR"/>
        </w:rPr>
        <w:t xml:space="preserve"> et al., 2020; </w:t>
      </w:r>
      <w:proofErr w:type="spellStart"/>
      <w:r w:rsidR="00193A80" w:rsidRPr="00193A80">
        <w:rPr>
          <w:rFonts w:ascii="Arial" w:hAnsi="Arial" w:cs="Arial"/>
          <w:szCs w:val="24"/>
          <w:lang w:val="fr-FR"/>
        </w:rPr>
        <w:t>Espín</w:t>
      </w:r>
      <w:proofErr w:type="spellEnd"/>
      <w:r w:rsidR="00193A80" w:rsidRPr="00193A80">
        <w:rPr>
          <w:rFonts w:ascii="Arial" w:hAnsi="Arial" w:cs="Arial"/>
          <w:szCs w:val="24"/>
          <w:lang w:val="fr-FR"/>
        </w:rPr>
        <w:t xml:space="preserve"> et al., </w:t>
      </w:r>
      <w:r w:rsidR="00193A80" w:rsidRPr="00193A80">
        <w:rPr>
          <w:rFonts w:ascii="Arial" w:hAnsi="Arial" w:cs="Arial"/>
          <w:szCs w:val="24"/>
          <w:lang w:val="fr-FR"/>
        </w:rPr>
        <w:lastRenderedPageBreak/>
        <w:t>2016; Lopes et al., 2022)</w:t>
      </w:r>
      <w:r w:rsidRPr="00313E9A">
        <w:rPr>
          <w:rFonts w:ascii="Arial" w:hAnsi="Arial" w:cs="Arial"/>
        </w:rPr>
        <w:fldChar w:fldCharType="end"/>
      </w:r>
      <w:r w:rsidRPr="000173F3">
        <w:rPr>
          <w:rFonts w:ascii="Arial" w:hAnsi="Arial" w:cs="Arial"/>
          <w:lang w:val="fr-SN"/>
        </w:rPr>
        <w:t xml:space="preserve">. </w:t>
      </w:r>
      <w:r w:rsidRPr="00313E9A">
        <w:rPr>
          <w:rFonts w:ascii="Arial" w:hAnsi="Arial" w:cs="Arial"/>
        </w:rPr>
        <w:t xml:space="preserve">Recent studies have emphasized the role of seabirds in tracking spatiotemporal trends in environmental contaminants, particularly in coastal ecosystems under anthropogenic pressure </w:t>
      </w:r>
      <w:r w:rsidRPr="00313E9A">
        <w:rPr>
          <w:rFonts w:ascii="Arial" w:hAnsi="Arial" w:cs="Arial"/>
        </w:rPr>
        <w:fldChar w:fldCharType="begin"/>
      </w:r>
      <w:r w:rsidRPr="00313E9A">
        <w:rPr>
          <w:rFonts w:ascii="Arial" w:hAnsi="Arial" w:cs="Arial"/>
        </w:rPr>
        <w:instrText xml:space="preserve"> ADDIN ZOTERO_ITEM CSL_CITATION {"citationID":"Xd17H5Hg","properties":{"formattedCitation":"(Cipro et al., 2018; Power et al., 2021)","plainCitation":"(Cipro et al., 2018; Power et al., 2021)","noteIndex":0},"citationItems":[{"id":254,"uris":["http://zotero.org/users/18107686/items/NRW4ZL6V"],"itemData":{"id":254,"type":"article-journal","abstract":"Global distillation is classically pointed as the biggest responsible for contaminant inputs in Polar ecosystems. Mercury (Hg) and other trace elements (TEs) also present natural sources, whereas the biologically mediated input is typically ignored. However, bioaccumulation and biomagnification combined with the fact that seabirds gather in large numbers into large colonies and excrete on land might represent an important local TEs input. A previous work suggested these colonies as sources of not only nutrients, but also organic contaminants. To evaluate a similar hypothesis for TEs, samples of lichen (n = 55), mosses (n = 58) and soil (n = 37) were collected in 13 locations within the South Shetlands Archipelago during the austral summers of 2013–14 and 2014–15. They were divided in: \"colony\" (within the colony itself for soil and bordering it for vegetation) and \"control\" (at least 50 m away from colony interference), analysed for TEs (As, Cd, Co, Cr, Cu, Fe, Hg, Mn, Ni, Pb, Se, V, and Zn) and stable isotopes (C and N). In most cases, soil seems the best matrix to assess colonies as TEs sources, as it presented more differences between control/colony sites than vegetation. Colonies are clearly local sources of organic matter, Cd, Hg and likely of As, Se and Zn. Conversely, Co, Cr, Ni and Pb come presumably from other sources, natural or anthropogenic. In general, isotopes were more useful for interpreting vegetation data due to fractionation of absorbed animal-derived organic matter. Other local Hg sources could be inferred from high levels in control sites, location and wind patterns.","container-title":"Chemosphere","DOI":"10.1016/j.chemosphere.2018.02.048","ISSN":"0045-6535","journalAbbreviation":"Chemosphere","page":"535-547","source":"ScienceDirect","title":"Seabird colonies as relevant sources of pollutants in Antarctic ecosystems: Part 1 - Trace elements","title-short":"Seabird colonies as relevant sources of pollutants in Antarctic ecosystems","volume":"204","author":[{"family":"Cipro","given":"C. V. Z."},{"family":"Bustamante","given":"P."},{"family":"Petry","given":"M. V."},{"family":"Montone","given":"R. C."}],"issued":{"date-parts":[["2018",8,1]]}}},{"id":297,"uris":["http://zotero.org/users/18107686/items/W3NR5ZK6"],"itemData":{"id":297,"type":"article-journal","abstract":"Seabird eggs are considered a favourable matrix for monitoring marine pollutants and are widely used as higher trophic level indicators. Concentrations of Polycyclic aromatic hydrocarbons (Σ15PAH) were determined in the eggs of four piscivorous seabirds in Ireland from multiple colonies for the first time, Common Guillemot Uria aalge, Northern Gannet Morus bassanus, Common Tern Sterna hirundo and Arctic Tern S. paradisaea. PAH concentrations were generally lower than levels detected in eggs from other seabird studies and considerably lower than concentrations associated with no adverse effect in the eggs of domestic avian species. This study indicates potential site and species differences in PAH concentrations. Baseline data of PAHs in a range of seabird species from this study may provide an important reference point should a major pollution event occur in European waters, such as an oil spill.","container-title":"Marine Pollution Bulletin","DOI":"10.1016/j.marpolbul.2021.112636","ISSN":"0025-326X","journalAbbreviation":"Marine Pollution Bulletin","page":"112636","source":"ScienceDirect","title":"Polycyclic aromatic hydrocarbons (PAHs) in seabird eggs in Ireland","volume":"170","author":[{"family":"Power","given":"Andrew"},{"family":"White","given":"Philip"},{"family":"McHugh","given":"Brendan"},{"family":"Berrow","given":"Simon"},{"family":"McKeown","given":"Aaron"},{"family":"Crowley","given":"Denis"},{"family":"Newton","given":"Stephen"},{"family":"McGovern","given":"Evin"},{"family":"Murphy","given":"Sinéad"},{"family":"O'Connor","given":"Ian"}],"issued":{"date-parts":[["2021",9,1]]}}}],"schema":"https://github.com/citation-style-language/schema/raw/master/csl-citation.json"} </w:instrText>
      </w:r>
      <w:r w:rsidRPr="00313E9A">
        <w:rPr>
          <w:rFonts w:ascii="Arial" w:hAnsi="Arial" w:cs="Arial"/>
        </w:rPr>
        <w:fldChar w:fldCharType="separate"/>
      </w:r>
      <w:r w:rsidR="00193A80">
        <w:rPr>
          <w:rFonts w:ascii="Arial" w:hAnsi="Arial" w:cs="Arial"/>
        </w:rPr>
        <w:t>(Cipro et al., 2018; Power et al., 2021)</w:t>
      </w:r>
      <w:r w:rsidRPr="00313E9A">
        <w:rPr>
          <w:rFonts w:ascii="Arial" w:hAnsi="Arial" w:cs="Arial"/>
        </w:rPr>
        <w:fldChar w:fldCharType="end"/>
      </w:r>
      <w:r w:rsidRPr="00313E9A">
        <w:rPr>
          <w:rFonts w:ascii="Arial" w:hAnsi="Arial" w:cs="Arial"/>
        </w:rPr>
        <w:t>.</w:t>
      </w:r>
    </w:p>
    <w:p w14:paraId="61C83D2C" w14:textId="77777777" w:rsidR="007847E2" w:rsidRPr="00313E9A" w:rsidRDefault="00804511" w:rsidP="007847E2">
      <w:pPr>
        <w:spacing w:before="100" w:beforeAutospacing="1"/>
        <w:jc w:val="both"/>
        <w:outlineLvl w:val="2"/>
        <w:rPr>
          <w:rFonts w:ascii="Arial" w:hAnsi="Arial" w:cs="Arial"/>
          <w:b/>
          <w:bCs/>
        </w:rPr>
      </w:pPr>
      <w:r w:rsidRPr="00313E9A">
        <w:rPr>
          <w:rFonts w:ascii="Arial" w:hAnsi="Arial" w:cs="Arial"/>
          <w:b/>
          <w:bCs/>
        </w:rPr>
        <w:t>4.1 Trace metal contamination levels</w:t>
      </w:r>
    </w:p>
    <w:p w14:paraId="59DFADA1" w14:textId="3E633B2E" w:rsidR="007847E2" w:rsidRPr="00313E9A" w:rsidRDefault="00804511" w:rsidP="007847E2">
      <w:pPr>
        <w:jc w:val="both"/>
        <w:rPr>
          <w:rFonts w:ascii="Arial" w:hAnsi="Arial" w:cs="Arial"/>
        </w:rPr>
      </w:pPr>
      <w:r w:rsidRPr="00313E9A">
        <w:rPr>
          <w:rFonts w:ascii="Arial" w:hAnsi="Arial" w:cs="Arial"/>
        </w:rPr>
        <w:t xml:space="preserve">In royal terns, Pb concentrations reached 1.53 ± 0.3 mg/kg in eggshells and 1.35 ± 0.1 mg/kg in egg contents at PNDS, with similarly elevated levels recorded at PNLB (1.38 mg/kg and 0.53 mg/kg, respectively). These values are concerning, as several studies have shown that high Pb concentrations in egg contents can induce embryotoxic effects in seabirds </w:t>
      </w:r>
      <w:r w:rsidRPr="00313E9A">
        <w:rPr>
          <w:rFonts w:ascii="Arial" w:hAnsi="Arial" w:cs="Arial"/>
        </w:rPr>
        <w:fldChar w:fldCharType="begin"/>
      </w:r>
      <w:r w:rsidRPr="00313E9A">
        <w:rPr>
          <w:rFonts w:ascii="Arial" w:hAnsi="Arial" w:cs="Arial"/>
        </w:rPr>
        <w:instrText xml:space="preserve"> ADDIN ZOTERO_ITEM CSL_CITATION {"citationID":"Ip6sYM59","properties":{"formattedCitation":"(Dauwe et al., 2005; Or\\uc0\\u322{}owski et al., 2019)","plainCitation":"(Dauwe et al., 2005; Orłowski et al., 2019)","noteIndex":0},"citationItems":[{"id":257,"uris":["http://zotero.org/users/18107686/items/8R8VGXH8"],"itemData":{"id":257,"type":"article-journal","abstract":"Egg laying may be an additional excretory pathway for heavy metals available to laying female birds. In this study, we examined the relationships between tissue concentrations (both internal organs and feathers) of 10 breeding female great tits (Parus major) and the concentrations in their eggs. We also investigated differences in metal concentrations (Ag, Al, As, Cd, Co, Cr, Cu, Hg, Mn, Ni, Pb, Zn) among eggs as a result of the laying order of the eggs. Heavy-metal concentrations in internal tissues were highest in bone (Cr, Ni, Pb, Zn), kidney (Cd), liver (Cu), blood (Al, As, Co, Hg), and intestine (Ag, Mn). In the egg contents, relatively high concentrations of the essential elements Cr, Co, Cu, Mn, Ni, and Zn were found. In eggshells, concentrations of Ag, Al, As, Co, Cr, and Ni were high compared with internal tissue concentrations. Metal concentrations in the egg contents and eggshells were poorly correlated with metal concentrations in internal tissues and feathers; significant positive correlations were found only for cadmium and lead. We found few significant differences in metal concentrations among eggs, and none were according to the laying order of the eggs. The egg volume tended to decrease significantly as egg laying progressed. Our results seem to suggest that no special sampling strategies (e.g., sampling the first egg or pooling eggs from one clutch) are required for most metals.","container-title":"Archives of Environmental Contamination and Toxicology","DOI":"10.1007/s00244-003-0209-z","ISSN":"1432-0703","issue":"2","journalAbbreviation":"Arch Environ Contam Toxicol","language":"en","page":"249-256","source":"Springer Link","title":"Heavy-Metal Concentrations in Female Laying Great Tits (Parus major)and Their Clutches","volume":"49","author":[{"family":"Dauwe","given":"T."},{"family":"Janssens","given":"E."},{"family":"Bervoets","given":"L."},{"family":"Blust","given":"R."},{"family":"Eens","given":"M."}],"issued":{"date-parts":[["2005",8,1]]}}},{"id":328,"uris":["http://zotero.org/users/18107686/items/ZA7D2UN9"],"itemData":{"id":328,"type":"article-journal","abstract":"Whether Ca and other micronutrients are equally distributed in an avian eggshell over its longitudinal section and what portion of these local resources are utilized by developing embryos are unanswered questions in avian reproductive physiology. Here, we measured the thickness and concentrations of Ca and 16 other chemical elements (Al, As, Cd, Co, Cr, Cu, Fe, Hg, K, Mg, Mn, Na, Ni, Pb, Se, and Sr) in 4 shell regions (sharp pole, equator, shoulder, blunt pole) of White Stork (Ciconia ciconia) eggs representing different stages of embryonic development, from unresorbed eggshells to almost fully resorbed ones (with near-to-hatch embryos). We found that unresorbed eggshells displayed several significant differences in the concentrations of 15 elements (Al, As, Ca, Cd, Co, Cr, Fe, K, Hg, Mg, Mn, Na, Ni, Se, and Sr) between various regions of the same shell. Only 2 metals (As and Ca) showed a cross-sectional decrease in concentrations from the sharp pole to the blunt one. In particular, we observed that unresorbed eggshells at the blunt pole were less calcified (with 2.4% less Ca) compared to the sharp pole. In contrast, the concentrations of 6 other metals (Co, Fe, Mg, Mn, Na, and Se) peaked in the relatively less calcified region of the blunt pole, where concentrations (such as Se) were up to 10 times as high as in other regions of unresorbed eggshells. Our findings highlight that eggshells over their longitudinal sections are not chemically homogeneous. Surprisingly, however, and contrary to our expectations, we found that unresorbed eggshells were thinner (2.1–5.9% less depending on the region) and at the same time more strongly calcified than resorbed eggshells. This suggests that some modification has occurred in the shell structure and raises the question of thin-shelled eggs in populations of wild birds.","container-title":"The Auk","DOI":"10.1093/auk/ukz026","ISSN":"1938-4254","issue":"3","journalAbbreviation":"Auk","page":"ukz026","source":"Silverchair","title":"Calcium and metals are not evenly distributed in avian eggshells over their longitudinal section","volume":"136","author":[{"family":"Orłowski","given":"Grzegorz"},{"family":"Siekiera","given":"Joachim"},{"family":"Karg","given":"Jerzy"},{"family":"Tobolka","given":"Marcin"},{"family":"Wuczyński","given":"Andrzej"},{"family":"Kaługa","given":"Ireneusz"},{"family":"Siekiera","given":"Artur"},{"family":"Cyga-Döhner","given":"Roman"},{"family":"Dudzik","given":"Eliza"}],"issued":{"date-parts":[["2019",8,28]]}}}],"schema":"https://github.com/citation-style-language/schema/raw/master/csl-citation.json"} </w:instrText>
      </w:r>
      <w:r w:rsidRPr="00313E9A">
        <w:rPr>
          <w:rFonts w:ascii="Arial" w:hAnsi="Arial" w:cs="Arial"/>
        </w:rPr>
        <w:fldChar w:fldCharType="separate"/>
      </w:r>
      <w:r w:rsidR="00193A80" w:rsidRPr="00A32C06">
        <w:rPr>
          <w:rFonts w:ascii="Arial" w:hAnsi="Arial" w:cs="Arial"/>
          <w:szCs w:val="24"/>
        </w:rPr>
        <w:t>(</w:t>
      </w:r>
      <w:proofErr w:type="spellStart"/>
      <w:r w:rsidR="00193A80" w:rsidRPr="00A32C06">
        <w:rPr>
          <w:rFonts w:ascii="Arial" w:hAnsi="Arial" w:cs="Arial"/>
          <w:szCs w:val="24"/>
        </w:rPr>
        <w:t>Dauwe</w:t>
      </w:r>
      <w:proofErr w:type="spellEnd"/>
      <w:r w:rsidR="00193A80" w:rsidRPr="00A32C06">
        <w:rPr>
          <w:rFonts w:ascii="Arial" w:hAnsi="Arial" w:cs="Arial"/>
          <w:szCs w:val="24"/>
        </w:rPr>
        <w:t xml:space="preserve"> et al., 2005; </w:t>
      </w:r>
      <w:proofErr w:type="spellStart"/>
      <w:r w:rsidR="00193A80" w:rsidRPr="00A32C06">
        <w:rPr>
          <w:rFonts w:ascii="Arial" w:hAnsi="Arial" w:cs="Arial"/>
          <w:szCs w:val="24"/>
        </w:rPr>
        <w:t>Orłowski</w:t>
      </w:r>
      <w:proofErr w:type="spellEnd"/>
      <w:r w:rsidR="00193A80" w:rsidRPr="00A32C06">
        <w:rPr>
          <w:rFonts w:ascii="Arial" w:hAnsi="Arial" w:cs="Arial"/>
          <w:szCs w:val="24"/>
        </w:rPr>
        <w:t xml:space="preserve"> et al., 2019)</w:t>
      </w:r>
      <w:r w:rsidRPr="00313E9A">
        <w:rPr>
          <w:rFonts w:ascii="Arial" w:hAnsi="Arial" w:cs="Arial"/>
        </w:rPr>
        <w:fldChar w:fldCharType="end"/>
      </w:r>
      <w:r w:rsidRPr="00313E9A">
        <w:rPr>
          <w:rFonts w:ascii="Arial" w:hAnsi="Arial" w:cs="Arial"/>
        </w:rPr>
        <w:t xml:space="preserve">. Cadmium was detected at moderate levels, with relatively consistent accumulation in both matrices at PNLB, but lower values in grey-headed gulls at PNDS, possibly reflecting ecological or dietary differences between the species </w:t>
      </w:r>
      <w:r w:rsidRPr="00313E9A">
        <w:rPr>
          <w:rFonts w:ascii="Arial" w:hAnsi="Arial" w:cs="Arial"/>
        </w:rPr>
        <w:fldChar w:fldCharType="begin"/>
      </w:r>
      <w:r w:rsidRPr="00313E9A">
        <w:rPr>
          <w:rFonts w:ascii="Arial" w:hAnsi="Arial" w:cs="Arial"/>
        </w:rPr>
        <w:instrText xml:space="preserve"> ADDIN ZOTERO_ITEM CSL_CITATION {"citationID":"WadV4fj5","properties":{"formattedCitation":"(Jerez et al., 2013)","plainCitation":"(Jerez et al., 2013)","noteIndex":0},"citationItems":[{"id":272,"uris":["http://zotero.org/users/18107686/items/5KHDN9WS"],"itemData":{"id":272,"type":"article-journal","abstract":"The presence of metals in the Antarctic environment is principally a natural phenomenon caused by geochemical characteristics of the region, although some anthropogenic activities can increase these natural levels. Antarctic penguins present several of the characteristics of useful sentinels of pollution in Antarctica such as they are long-lived species situated at the top of food web. The concentrations of Al, Cr, Mn, Fe, Ni, Cu, Zn, As, Se, Cd, and Pb were determined by inductively coupled plasma–mass spectrometry in samples of liver, kidney, muscle, bone, feather, and stomach contents of gentoo, chinstrap, and Adélie penguin (12 adults, five juveniles) from carcasses of naturally dead individuals collected opportunistically in the Antarctic Peninsula area. The obtained results showed that accumulation and magnification of several elements can be occurring, so that Cd and Se reached levels potentially toxic in some specimens. The presence of human activities seems to be increasing the presence of toxic metals such as Mn, Cr, Ni, or Pb in penguins.","container-title":"Environmental Science and Pollution Research","DOI":"10.1007/s11356-012-1235-z","ISSN":"1614-7499","issue":"5","journalAbbreviation":"Environ Sci Pollut Res","language":"en","page":"3300-3311","source":"Springer Link","title":"Distribution of metals and trace elements in adult and juvenile penguins from the Antarctic Peninsula area","volume":"20","author":[{"family":"Jerez","given":"Silvia"},{"family":"Motas","given":"Miguel"},{"family":"Benzal","given":"Jesús"},{"family":"Diaz","given":"Julia"},{"family":"Vidal","given":"Virginia"},{"family":"D’Amico","given":"Verónica"},{"family":"Barbosa","given":"Andrés"}],"issued":{"date-parts":[["2013",5,1]]}}}],"schema":"https://github.com/citation-style-language/schema/raw/master/csl-citation.json"} </w:instrText>
      </w:r>
      <w:r w:rsidRPr="00313E9A">
        <w:rPr>
          <w:rFonts w:ascii="Arial" w:hAnsi="Arial" w:cs="Arial"/>
        </w:rPr>
        <w:fldChar w:fldCharType="separate"/>
      </w:r>
      <w:r w:rsidR="00193A80">
        <w:rPr>
          <w:rFonts w:ascii="Arial" w:hAnsi="Arial" w:cs="Arial"/>
        </w:rPr>
        <w:t>(Jerez et al., 2013)</w:t>
      </w:r>
      <w:r w:rsidRPr="00313E9A">
        <w:rPr>
          <w:rFonts w:ascii="Arial" w:hAnsi="Arial" w:cs="Arial"/>
        </w:rPr>
        <w:fldChar w:fldCharType="end"/>
      </w:r>
      <w:r w:rsidRPr="00313E9A">
        <w:rPr>
          <w:rFonts w:ascii="Arial" w:hAnsi="Arial" w:cs="Arial"/>
        </w:rPr>
        <w:t xml:space="preserve">. Although Hg was detected at low levels, it was primarily found in egg contents, likely due to its affinity for embryonic tissues </w:t>
      </w:r>
      <w:r w:rsidRPr="00313E9A">
        <w:rPr>
          <w:rFonts w:ascii="Arial" w:hAnsi="Arial" w:cs="Arial"/>
        </w:rPr>
        <w:fldChar w:fldCharType="begin"/>
      </w:r>
      <w:r w:rsidRPr="00313E9A">
        <w:rPr>
          <w:rFonts w:ascii="Arial" w:hAnsi="Arial" w:cs="Arial"/>
        </w:rPr>
        <w:instrText xml:space="preserve"> ADDIN ZOTERO_ITEM CSL_CITATION {"citationID":"9aUcR4c6","properties":{"formattedCitation":"(Burger, 2002)","plainCitation":"(Burger, 2002)","noteIndex":0},"citationItems":[{"id":244,"uris":["http://zotero.org/users/18107686/items/MJJACA72"],"itemData":{"id":244,"type":"article-journal","abstract":"There is an abundance of field data on levels of mercury in a wide variety of birds and on a suite of heavy metals in single species of birds, but few studies examine a suite of metals in a suite of birds that represent different trophic levels. Thus it is often difficult to determine whether food chain differences exist and have ecological relevance for the birds. In this paper I examine the levels of seven metals in the eggs of five species of marine birds that nest in Barnegat Bay, New Jersey to determine whether there are differences among species and whether such differences reflect food chain differences. There were significant differences among species for all metals, except cadmium, with black skimmers (Rynchops niger) having the highest levels of all metals except manganese and selenium. Metal concentrations in eggs mainly represented food chain differences. Mercury exhibited the greatest interspecific difference, with skimmer eggs having five times higher mercury levels than the eggs of great black-backed gulls (Larus marinus). Although there were significant interspecific differences in the other metals, they were generally less than an order of magnitude. There were few high, significant correlations among metals, although mercury was positively correlated with arsenic overall. Mean mercury levels exceeded the level known to adversely affect development in bird eggs for common (Sterna hirundo) and Forster's (Sterna forsterii) terns and for skimmers and exceeded the mean for eggs of fish-eating birds reported from 68 studies.","container-title":"Environmental Research","DOI":"10.1006/enrs.2002.4381","ISSN":"0013-9351","issue":"1","journalAbbreviation":"Environmental Research","page":"33-39","source":"ScienceDirect","title":"Food Chain Differences Affect Heavy Metals in Bird Eggs in Barnegat Bay, New Jersey","volume":"90","author":[{"family":"Burger","given":"Joanna"}],"issued":{"date-parts":[["2002",9,1]]}}}],"schema":"https://github.com/citation-style-language/schema/raw/master/csl-citation.json"} </w:instrText>
      </w:r>
      <w:r w:rsidRPr="00313E9A">
        <w:rPr>
          <w:rFonts w:ascii="Arial" w:hAnsi="Arial" w:cs="Arial"/>
        </w:rPr>
        <w:fldChar w:fldCharType="separate"/>
      </w:r>
      <w:r w:rsidR="00193A80">
        <w:rPr>
          <w:rFonts w:ascii="Arial" w:hAnsi="Arial" w:cs="Arial"/>
        </w:rPr>
        <w:t>(Burger, 2002)</w:t>
      </w:r>
      <w:r w:rsidRPr="00313E9A">
        <w:rPr>
          <w:rFonts w:ascii="Arial" w:hAnsi="Arial" w:cs="Arial"/>
        </w:rPr>
        <w:fldChar w:fldCharType="end"/>
      </w:r>
      <w:r w:rsidRPr="00313E9A">
        <w:rPr>
          <w:rFonts w:ascii="Arial" w:hAnsi="Arial" w:cs="Arial"/>
        </w:rPr>
        <w:t>. Its absence in the eggshells at PNDS may indicate either different chemical speciation or a shorter duration of exposure. These concentrations are moderate to high compared with other African studies. In South Africa, Pb, Cd, and Hg concentrations of 0.0031 mg/kg, 0.17 mg/kg, and 0.18 mg/kg, respectively, were reported in lesser flamingo eggs</w:t>
      </w:r>
      <w:r w:rsidR="007B0B3A">
        <w:rPr>
          <w:rFonts w:ascii="Arial" w:hAnsi="Arial" w:cs="Arial"/>
        </w:rPr>
        <w:t xml:space="preserve"> </w:t>
      </w:r>
      <w:r w:rsidR="00B83BF6" w:rsidRPr="007B0B3A">
        <w:rPr>
          <w:rFonts w:ascii="Arial" w:hAnsi="Arial" w:cs="Arial"/>
          <w:highlight w:val="yellow"/>
        </w:rPr>
        <w:fldChar w:fldCharType="begin"/>
      </w:r>
      <w:r w:rsidR="007B0B3A" w:rsidRPr="007B0B3A">
        <w:rPr>
          <w:rFonts w:ascii="Arial" w:hAnsi="Arial" w:cs="Arial"/>
          <w:highlight w:val="yellow"/>
        </w:rPr>
        <w:instrText xml:space="preserve"> ADDIN ZOTERO_ITEM CSL_CITATION {"citationID":"ioEmzL6N","properties":{"unsorted":false,"formattedCitation":"(van Gessellen &amp; Bouwman, 2025)","plainCitation":"(van Gessellen &amp; Bouwman, 2025)","noteIndex":0},"citationItems":[{"id":342,"uris":["http://zotero.org/users/18107686/items/PMN5H7F2"],"itemData":{"id":342,"type":"article-journal","abstract":"Metallic elements in excess may cause adverse biological effects. Flamingos, with a lifespan of up to 50 years, are therefore likely to accumulate metals from the highly saline waters where they feed and breed. The concentrations of accumulated metals would be reflected in organs, feathers, and eggs. There are no data available on metals in flamingo egg contents. Concentrations of 24 elements in egg content and eggshells from Lesser Flamingo Pheoniconaias minor breeding at Kamfers Dam South Africa suggest metal pollution, but with considerable variation between eggs, reflecting their nonbreeding, nomadic movements. Strontium in eggshells exceeded toxic reference values. Copper in egg contents suggests reproductive stress. Lower than-expected metal concentrations (especially mercury) in egg contents we attributed to several excretory pathways prior to oogenesis and embryogenesis, thereby protecting the embryo. Molar concentrations of selenium and mercury were not correlated. However, the mean molar ratio of 8.2 suggests a highly protective effect afforded by selenium. Relative compositional differences show that eggshells are not a proxy for egg contents. We highlight previously unrecognised routes of post-hatching pollutant uptake via consumption of eggshells and parental crop milk. The post-hatching development of flamingo chicks may therefore be more susceptible to pollutant disruption compared with embryonic development. We conclude that P. minor eggs are not good indicators of environmental metal pollution, nor does it reflect post-hatching risks. This first report on metal concentrations in egg contents of any flamingo species shows that a more nuanced approach is needed to protect Phoenicopteridae from pollution.","container-title":"Archives of Environmental Contamination and Toxicology","DOI":"10.1007/s00244-024-01102-9","ISSN":"0090-4341","issue":"1","journalAbbreviation":"Arch Environ Contam Toxicol","page":"39-54","PMID":"39604643","PMCID":"PMC11782381","source":"PubMed Central","title":"Are Metal Concentrations in Lesser Flamingo Eggs and Eggshells Good Indicators of Environmental Pollution?","volume":"88","author":[{"family":"Gessellen","given":"Nicole","non-dropping-particle":"van"},{"family":"Bouwman","given":"Hindrik"}],"issued":{"date-parts":[["2025"]]}}}],"schema":"https://github.com/citation-style-language/schema/raw/master/csl-citation.json"} </w:instrText>
      </w:r>
      <w:r w:rsidR="00B83BF6" w:rsidRPr="007B0B3A">
        <w:rPr>
          <w:rFonts w:ascii="Arial" w:hAnsi="Arial" w:cs="Arial"/>
          <w:highlight w:val="yellow"/>
        </w:rPr>
        <w:fldChar w:fldCharType="separate"/>
      </w:r>
      <w:r w:rsidR="00193A80">
        <w:rPr>
          <w:rFonts w:ascii="Arial" w:hAnsi="Arial" w:cs="Arial"/>
          <w:noProof/>
          <w:highlight w:val="yellow"/>
        </w:rPr>
        <w:t>(van Gessellen &amp; Bouwman, 2025)</w:t>
      </w:r>
      <w:r w:rsidR="00B83BF6" w:rsidRPr="007B0B3A">
        <w:rPr>
          <w:rFonts w:ascii="Arial" w:hAnsi="Arial" w:cs="Arial"/>
          <w:highlight w:val="yellow"/>
        </w:rPr>
        <w:fldChar w:fldCharType="end"/>
      </w:r>
      <w:r w:rsidRPr="00313E9A">
        <w:rPr>
          <w:rFonts w:ascii="Arial" w:hAnsi="Arial" w:cs="Arial"/>
        </w:rPr>
        <w:t xml:space="preserve">. However, the levels measured in this study remain lower than those reported outside Africa. Pb concentrations approaching 0.2 mg/kg have been found in herring gull eggs in the New York/New Jersey Harbor Estuary </w:t>
      </w:r>
      <w:r w:rsidRPr="00313E9A">
        <w:rPr>
          <w:rFonts w:ascii="Arial" w:hAnsi="Arial" w:cs="Arial"/>
        </w:rPr>
        <w:fldChar w:fldCharType="begin"/>
      </w:r>
      <w:r w:rsidRPr="00313E9A">
        <w:rPr>
          <w:rFonts w:ascii="Arial" w:hAnsi="Arial" w:cs="Arial"/>
        </w:rPr>
        <w:instrText xml:space="preserve"> ADDIN ZOTERO_ITEM CSL_CITATION {"citationID":"mU53Ksmg","properties":{"formattedCitation":"(Burger &amp; Elbin, 2015)","plainCitation":"(Burger &amp; Elbin, 2015)","noteIndex":0},"citationItems":[{"id":248,"uris":["http://zotero.org/users/18107686/items/VX8RN5VA"],"itemData":{"id":248,"type":"article-journal","abstract":"Birds living in coastal areas are exposed to severe storms and tidal flooding during the nesting season, but also to contaminants that move up the food chain from the water column and sediment to their prey items. We examine metals in Herring Gull (Larus argentatus) and Great Black-backed Gull (Larus marinus) eggs collected from the New York/New Jersey harbor estuary in 2012 and in 2013 to determine if there were significant yearly differences in metal levels. We test the null hypothesis that there were no significant yearly differences in metal levels. We investigate whether there were consistent differences in metals from 2012 to 2013 that might suggest a storm-related effect because Superstorm Sandy landed in New Jersey in October 2012 with high winds and extensive flooding, and view this research as exploratory. Except for arsenic, there were significant inter-year variations in the mean levels for all colonies combined for Herring Gull, and for lead, mercury and selenium for Great Black-backed Gulls. All metal levels in 2013 were less than in 2012, except for lead. These differences were present for individual colonies as well. Metal levels varied significantly among islands for Herring Gulls in both years (except for cadmium in 2013). No one colony had the highest levels of all metals for Herring Gulls. A long term data set on mercury levels in Herring Gulls indicated that the differences between 2012 and 2013 were greater than usual. Several different factors could account for these differences, and these are discussed.","container-title":"Ecotoxicology (London, England)","DOI":"10.1007/s10646-014-1393-5","ISSN":"0963-9292","issue":"2","journalAbbreviation":"Ecotoxicology","page":"445-452","PMID":"25471353","PMCID":"PMC4329260","source":"PubMed Central","title":"Contaminant levels in Herring (Larus argentatus) and Great Black-backed Gull (Larus marinus) eggs from colonies in the New York harbor complex between 2012 and 2013","volume":"24","author":[{"family":"Burger","given":"Joanna"},{"family":"Elbin","given":"Susan"}],"issued":{"date-parts":[["2015",3]]}}}],"schema":"https://github.com/citation-style-language/schema/raw/master/csl-citation.json"} </w:instrText>
      </w:r>
      <w:r w:rsidRPr="00313E9A">
        <w:rPr>
          <w:rFonts w:ascii="Arial" w:hAnsi="Arial" w:cs="Arial"/>
        </w:rPr>
        <w:fldChar w:fldCharType="separate"/>
      </w:r>
      <w:r w:rsidR="00193A80">
        <w:rPr>
          <w:rFonts w:ascii="Arial" w:hAnsi="Arial" w:cs="Arial"/>
        </w:rPr>
        <w:t xml:space="preserve">(Burger &amp; </w:t>
      </w:r>
      <w:proofErr w:type="spellStart"/>
      <w:r w:rsidR="00193A80">
        <w:rPr>
          <w:rFonts w:ascii="Arial" w:hAnsi="Arial" w:cs="Arial"/>
        </w:rPr>
        <w:t>Elbin</w:t>
      </w:r>
      <w:proofErr w:type="spellEnd"/>
      <w:r w:rsidR="00193A80">
        <w:rPr>
          <w:rFonts w:ascii="Arial" w:hAnsi="Arial" w:cs="Arial"/>
        </w:rPr>
        <w:t>, 2015)</w:t>
      </w:r>
      <w:r w:rsidRPr="00313E9A">
        <w:rPr>
          <w:rFonts w:ascii="Arial" w:hAnsi="Arial" w:cs="Arial"/>
        </w:rPr>
        <w:fldChar w:fldCharType="end"/>
      </w:r>
      <w:r w:rsidRPr="00313E9A">
        <w:rPr>
          <w:rFonts w:ascii="Arial" w:hAnsi="Arial" w:cs="Arial"/>
        </w:rPr>
        <w:t xml:space="preserve">, and Hg levels exceeding 0.5 µg/kg have been measured in seabird colonies in Alaska (Ackerman et al., 2016). In the Persian Gulf, </w:t>
      </w:r>
      <w:r w:rsidRPr="00313E9A">
        <w:rPr>
          <w:rFonts w:ascii="Arial" w:hAnsi="Arial" w:cs="Arial"/>
        </w:rPr>
        <w:fldChar w:fldCharType="begin"/>
      </w:r>
      <w:r w:rsidRPr="00313E9A">
        <w:rPr>
          <w:rFonts w:ascii="Arial" w:hAnsi="Arial" w:cs="Arial"/>
        </w:rPr>
        <w:instrText xml:space="preserve"> ADDIN ZOTERO_ITEM CSL_CITATION {"citationID":"f7QHcx1s","properties":{"formattedCitation":"(Ashkoo et al., 2020)","plainCitation":"(Ashkoo et al., 2020)","noteIndex":0},"citationItems":[{"id":233,"uris":["http://zotero.org/users/18107686/items/EFCCFHIJ"],"itemData":{"id":233,"type":"article-journal","abstract":"The Persian Gulf, the most important marine ecosystem, and its islands are negatively impacted by development and pollution. Different types of pollution, especially heavy metals in these habitats, may create risks to birds, influencing reproductive performance, survival, and behaviors. Heavy metals (Cd, Pb, Cr) were analyzed in two long-lived and top food web–level sea birds, Lesser (Thalasseus bengalensis) and Greater Crested Tern (Thalasseus bergii). The research was carried out during 2018 on Nakhiloo Island, located in Dayyer-Nakhiloo Marine National Park, northeastern Persian Gulf, Iran. The nests were selected randomly, and 40 eggs of colonially-nesting terns (20 eggs T. bengalensis and 20 eggs T. bergii; a single egg per nest) were collected. The concentration of heavy metals in eggshells and egg contents was studied to investigate whether bioaccumulation varies between the eggshells and egg contents and also varies in both species. There were significant differences in the amounts of Cd between eggshell and egg content in the Greater and Lesser Crested Tern. This difference was not significant in the concentrations of Pb between the eggshell and egg content in the Tern species. Concentration of Cr did not appear to accumulate in the egg content and was below detection limit. There were significant differences in the concentrations of Cd in the eggshells and egg content between the Greater and Lesser Crested Tern. The results serve to improve understanding and to evaluate the dynamics of heavy metals in eggshells and egg content in various avian species.","container-title":"Marine Pollution Bulletin","DOI":"10.1016/j.marpolbul.2020.111126","ISSN":"0025-326X","journalAbbreviation":"Marine Pollution Bulletin","page":"111126","source":"ScienceDirect","title":"Bioaccumulation of heavy metals in eggshell and egg content of seabirds: Lesser (&lt;i&gt;Thalasseus bengalensis&lt;/i&gt;) and Greater Crested Tern (&lt;i&gt;Thalasseus bergii&lt;/i&gt;)","title-short":"Bioaccumulation of heavy metals in eggshell and egg content of seabirds","volume":"154","author":[{"family":"Ashkoo","given":"Amin"},{"family":"Amininasab","given":"Seyed Mehdi"},{"family":"Zamani-Ahmadmahmoodi","given":"Rasool"}],"issued":{"date-parts":[["2020",5,1]]}}}],"schema":"https://github.com/citation-style-language/schema/raw/master/csl-citation.json"} </w:instrText>
      </w:r>
      <w:r w:rsidRPr="00313E9A">
        <w:rPr>
          <w:rFonts w:ascii="Arial" w:hAnsi="Arial" w:cs="Arial"/>
        </w:rPr>
        <w:fldChar w:fldCharType="separate"/>
      </w:r>
      <w:r w:rsidR="00193A80">
        <w:rPr>
          <w:rFonts w:ascii="Arial" w:hAnsi="Arial" w:cs="Arial"/>
        </w:rPr>
        <w:t>(</w:t>
      </w:r>
      <w:proofErr w:type="spellStart"/>
      <w:r w:rsidR="00193A80">
        <w:rPr>
          <w:rFonts w:ascii="Arial" w:hAnsi="Arial" w:cs="Arial"/>
        </w:rPr>
        <w:t>Ashkoo</w:t>
      </w:r>
      <w:proofErr w:type="spellEnd"/>
      <w:r w:rsidR="00193A80">
        <w:rPr>
          <w:rFonts w:ascii="Arial" w:hAnsi="Arial" w:cs="Arial"/>
        </w:rPr>
        <w:t xml:space="preserve"> et al., 2020)</w:t>
      </w:r>
      <w:r w:rsidRPr="00313E9A">
        <w:rPr>
          <w:rFonts w:ascii="Arial" w:hAnsi="Arial" w:cs="Arial"/>
        </w:rPr>
        <w:fldChar w:fldCharType="end"/>
      </w:r>
      <w:r w:rsidRPr="00313E9A">
        <w:rPr>
          <w:rFonts w:ascii="Arial" w:hAnsi="Arial" w:cs="Arial"/>
        </w:rPr>
        <w:t xml:space="preserve"> reported 0.13 ± 0.05 mg/kg of Cd and 2.47 ± 1.62 mg/kg of Hg in the eggs of greater crested terns, while lesser crested tern eggs contained 0.34 ± 0.26 mg/kg of Cd and 5.36 ± 3.72 mg/kg of Hg.</w:t>
      </w:r>
    </w:p>
    <w:p w14:paraId="7514E1DC" w14:textId="77777777" w:rsidR="007847E2" w:rsidRPr="00313E9A" w:rsidRDefault="007847E2" w:rsidP="007847E2">
      <w:pPr>
        <w:jc w:val="both"/>
        <w:rPr>
          <w:rFonts w:ascii="Arial" w:hAnsi="Arial" w:cs="Arial"/>
        </w:rPr>
      </w:pPr>
    </w:p>
    <w:p w14:paraId="3D29B619" w14:textId="77777777" w:rsidR="007847E2" w:rsidRPr="00313E9A" w:rsidRDefault="00804511" w:rsidP="007847E2">
      <w:pPr>
        <w:outlineLvl w:val="2"/>
        <w:rPr>
          <w:rFonts w:ascii="Arial" w:hAnsi="Arial" w:cs="Arial"/>
          <w:b/>
          <w:bCs/>
        </w:rPr>
      </w:pPr>
      <w:r w:rsidRPr="00313E9A">
        <w:rPr>
          <w:rFonts w:ascii="Arial" w:hAnsi="Arial" w:cs="Arial"/>
          <w:b/>
          <w:bCs/>
        </w:rPr>
        <w:t>4.2 PAH contamination levels</w:t>
      </w:r>
    </w:p>
    <w:p w14:paraId="043BBC9F" w14:textId="4CDF0685" w:rsidR="00804511" w:rsidRPr="00313E9A" w:rsidRDefault="00804511" w:rsidP="007847E2">
      <w:pPr>
        <w:jc w:val="both"/>
        <w:rPr>
          <w:rFonts w:ascii="Arial" w:hAnsi="Arial" w:cs="Arial"/>
        </w:rPr>
      </w:pPr>
      <w:r w:rsidRPr="00313E9A">
        <w:rPr>
          <w:rFonts w:ascii="Arial" w:hAnsi="Arial" w:cs="Arial"/>
        </w:rPr>
        <w:t>At PNLB, royal terns exhibited particularly high PAH concentrations in both eggshells (</w:t>
      </w:r>
      <w:r w:rsidR="00975C2D" w:rsidRPr="005A7D02">
        <w:rPr>
          <w:rFonts w:ascii="Arial" w:hAnsi="Arial" w:cs="Arial"/>
          <w:highlight w:val="yellow"/>
        </w:rPr>
        <w:t>0.</w:t>
      </w:r>
      <w:r w:rsidRPr="005A7D02">
        <w:rPr>
          <w:rFonts w:ascii="Arial" w:hAnsi="Arial" w:cs="Arial"/>
          <w:highlight w:val="yellow"/>
        </w:rPr>
        <w:t>895 mg/kg</w:t>
      </w:r>
      <w:r w:rsidRPr="00313E9A">
        <w:rPr>
          <w:rFonts w:ascii="Arial" w:hAnsi="Arial" w:cs="Arial"/>
        </w:rPr>
        <w:t>) and egg contents (</w:t>
      </w:r>
      <w:r w:rsidR="00975C2D" w:rsidRPr="005A7D02">
        <w:rPr>
          <w:rFonts w:ascii="Arial" w:hAnsi="Arial" w:cs="Arial"/>
          <w:highlight w:val="yellow"/>
        </w:rPr>
        <w:t>0.</w:t>
      </w:r>
      <w:r w:rsidRPr="005A7D02">
        <w:rPr>
          <w:rFonts w:ascii="Arial" w:hAnsi="Arial" w:cs="Arial"/>
          <w:highlight w:val="yellow"/>
        </w:rPr>
        <w:t>802 mg/kg</w:t>
      </w:r>
      <w:r w:rsidRPr="00313E9A">
        <w:rPr>
          <w:rFonts w:ascii="Arial" w:hAnsi="Arial" w:cs="Arial"/>
        </w:rPr>
        <w:t xml:space="preserve">), with benzo(a)pyrene identified as the dominant compound. This PAH is well known for its mutagenic and teratogenic effects in vertebrates, even at low concentrations </w:t>
      </w:r>
      <w:r w:rsidRPr="00313E9A">
        <w:rPr>
          <w:rFonts w:ascii="Arial" w:hAnsi="Arial" w:cs="Arial"/>
        </w:rPr>
        <w:fldChar w:fldCharType="begin"/>
      </w:r>
      <w:r w:rsidRPr="00313E9A">
        <w:rPr>
          <w:rFonts w:ascii="Arial" w:hAnsi="Arial" w:cs="Arial"/>
        </w:rPr>
        <w:instrText xml:space="preserve"> ADDIN ZOTERO_ITEM CSL_CITATION {"citationID":"NfcJPVHU","properties":{"formattedCitation":"(Hao et al., 2021; Hoffman &amp; Gay, 1981)","plainCitation":"(Hao et al., 2021; Hoffman &amp; Gay, 1981)","noteIndex":0},"citationItems":[{"id":268,"uris":["http://zotero.org/users/18107686/items/ZFJCNS6V"],"itemData":{"id":268,"type":"article-journal","abstract":"Considering the explosive growth of the list of persistent organic pollutants (POPs), the scientific community is combatting increasing challenges to protect humans and wildlife from the potentially negative consequences of POPs. Herein, we characterize the main aspects and progress in the ecotoxicology of POPs in avian species since 2000. The majority of previous efforts has revealed the global occurrence of high levels of various POPs in birds. Laboratory research and epidemiological studies imply that POPs exert a broad-spectrum of side-effects on birds by interfering with their endocrine, immune and neural system, reproduction, and development, and growth. However, inconsistent results suggest that the potential effects of POP exposure on the physiological parameters in birds are multifactorial, involving a multitude of biological processes, species-specific differences, gender, age and types of compounds. Great progress has been achieved in identifying the species-specific sensitivity to dioxin-like compounds, which is attributed to different amino acid residues in the ligand-binding domain of the aryl hydrocarbon receptor. Besides the conventional concentration additivity, several studies have suggested that different classes of POPs possibly act synergistically or antagonistically based on their concentration. However, ecotoxicology information is still recorded in a scattered and inadequate manner, including lack of enough avian species, limited number of POPs investigated, and insufficient geographical representation, and thus our understanding of the effects of POPs on birds remains rudimentary, although mechanistic understanding of their mode of action is progressing. Particularly, research on what happens to wild bird populations and their ecosystems under POP stress is still unavailable. Thus, our aim is to predict and trace the effects POPs at different biological organization levels, especially from the molecular, cellular and individual levels to the population, community and ecosystem levels because of the limited and scattered information, as mentioned above.","container-title":"Environmental Science: Processes &amp; Impacts","DOI":"10.1039/D0EM00451K","ISSN":"2050-7895","issue":"3","journalAbbreviation":"Environ. Sci.: Processes Impacts","language":"en","page":"400-416","publisher":"The Royal Society of Chemistry","source":"pubs.rsc.org","title":"Ecotoxicology of persistent organic pollutants in birds","volume":"23","author":[{"family":"Hao","given":"Yanfen"},{"family":"Zheng","given":"Shucheng"},{"family":"Wang","given":"Pu"},{"family":"Sun","given":"Huizhong"},{"family":"Matsiko","given":"Julius"},{"family":"Li","given":"Wenjuan"},{"family":"Li","given":"Yingming"},{"family":"Zhang","given":"Qinghua"},{"family":"Jiang","given":"Guibin"}],"issued":{"date-parts":[["2021",4,1]]}}},{"id":270,"uris":["http://zotero.org/users/18107686/items/ABEBXZ2C"],"itemData":{"id":270,"type":"article-journal","abstract":"Studies with different avian species have revealed that surface applications of microliter amounts of some crude and fuel oils that coat less than 10% of the egg surface result in considerable reduction in hatching with teratogenicity and stunted growth. Other studies have shown that the embryotoxicity is dependent on the aromatic hydrocarbon content, further suggesting that the toxicity is due to causes other than asphyxia. In the present study the effects of three polycyclic aromatic hydrocarbons identified in petroleum were examined on mallard (Anas platyrhynchos) embryo development. Addition of benzo[a]pyrene (BaP), chrysene, or 7,12-dimethylbenz[a]anthracene (DMBA) to a synthetic petroleum hydrocarbon mixture of known composition and relatively low embryotoxicity resulted in embryotoxicity that was enhanced or equal to that of crude oil when 10 microliter was applied externally to eggs at 72 h of development. The order of ability to enhance embryotoxicity was DMBA greater than BaP greater than chrysene. The temporal pattern of embryonic death was similar to that reported after exposure to crude oil, with additional mortality occurring after outgrowth of the chorioallantois. Retarded growth, as reflected by embryonic body weight, crown-rump length, and bill length, was accompanied by teratogenicity. Abnormal embryos exhibited extreme stunting; eye, brain, and bill defects; and incomplete ossification. Gas chromatographic-mass spectral analysis of externally treated eggs showed the passage of aromatic hydrocarbons including chrysene through the shell and shell membranes to the developing embryos. These findings suggest that the presence of polycyclic aromatic hydrocarbons in petroleum, including BaP, chrysene, and DMBA, significantly enhances the overall embryotoxicity in avian species.","container-title":"Journal of Toxicology and Environmental Health","DOI":"10.1080/15287398109530019","ISSN":"0098-4108","issue":"5","journalAbbreviation":"J Toxicol Environ Health","language":"eng","page":"775-787","PMID":"6790722","source":"PubMed","title":"Embryotoxic effects of benzo[a]pyrene, chrysene, and 7,12-dimethylbenz[a]anthracene in petroleum hydrocarbon mixtures in mallard ducks","volume":"7","author":[{"family":"Hoffman","given":"D. J."},{"family":"Gay","given":"M. L."}],"issued":{"date-parts":[["1981",5]]}}}],"schema":"https://github.com/citation-style-language/schema/raw/master/csl-citation.json"} </w:instrText>
      </w:r>
      <w:r w:rsidRPr="00313E9A">
        <w:rPr>
          <w:rFonts w:ascii="Arial" w:hAnsi="Arial" w:cs="Arial"/>
        </w:rPr>
        <w:fldChar w:fldCharType="separate"/>
      </w:r>
      <w:r w:rsidR="00193A80">
        <w:rPr>
          <w:rFonts w:ascii="Arial" w:hAnsi="Arial" w:cs="Arial"/>
        </w:rPr>
        <w:t>(Hao et al., 2021; Hoffman &amp; Gay, 1981)</w:t>
      </w:r>
      <w:r w:rsidRPr="00313E9A">
        <w:rPr>
          <w:rFonts w:ascii="Arial" w:hAnsi="Arial" w:cs="Arial"/>
        </w:rPr>
        <w:fldChar w:fldCharType="end"/>
      </w:r>
      <w:r w:rsidRPr="00313E9A">
        <w:rPr>
          <w:rFonts w:ascii="Arial" w:hAnsi="Arial" w:cs="Arial"/>
        </w:rPr>
        <w:t>. Conversely, at PNDS, grey-headed gulls showed the highest levels of PAH contamination, particularly in egg contents (</w:t>
      </w:r>
      <w:r w:rsidR="00975C2D" w:rsidRPr="005A7D02">
        <w:rPr>
          <w:rFonts w:ascii="Arial" w:hAnsi="Arial" w:cs="Arial"/>
          <w:highlight w:val="yellow"/>
        </w:rPr>
        <w:t>0.</w:t>
      </w:r>
      <w:r w:rsidRPr="005A7D02">
        <w:rPr>
          <w:rFonts w:ascii="Arial" w:hAnsi="Arial" w:cs="Arial"/>
          <w:highlight w:val="yellow"/>
        </w:rPr>
        <w:t>752 mg/kg</w:t>
      </w:r>
      <w:r w:rsidRPr="00313E9A">
        <w:rPr>
          <w:rFonts w:ascii="Arial" w:hAnsi="Arial" w:cs="Arial"/>
        </w:rPr>
        <w:t xml:space="preserve">), where benzo(a)pyrene accounted for 706 mg/kg. These interspecific differences may reflect contrasting foraging behaviors (e.g., feeding grounds, prey types) or differing maternal detoxification strategies </w:t>
      </w:r>
      <w:r w:rsidRPr="00313E9A">
        <w:rPr>
          <w:rFonts w:ascii="Arial" w:hAnsi="Arial" w:cs="Arial"/>
        </w:rPr>
        <w:fldChar w:fldCharType="begin"/>
      </w:r>
      <w:r w:rsidRPr="00313E9A">
        <w:rPr>
          <w:rFonts w:ascii="Arial" w:hAnsi="Arial" w:cs="Arial"/>
        </w:rPr>
        <w:instrText xml:space="preserve"> ADDIN ZOTERO_ITEM CSL_CITATION {"citationID":"1SNtIavb","properties":{"formattedCitation":"(Verreault et al., 2005)","plainCitation":"(Verreault et al., 2005)","noteIndex":0},"citationItems":[{"id":331,"uris":["http://zotero.org/users/18107686/items/QSAJ8GEJ"],"itemData":{"id":331,"type":"article-journal","abstract":"The present study investigated new or lesser</w:instrText>
      </w:r>
      <w:r w:rsidRPr="00313E9A">
        <w:rPr>
          <w:rFonts w:ascii="Cambria Math" w:hAnsi="Cambria Math" w:cs="Cambria Math"/>
        </w:rPr>
        <w:instrText>‐</w:instrText>
      </w:r>
      <w:r w:rsidRPr="00313E9A">
        <w:rPr>
          <w:rFonts w:ascii="Arial" w:hAnsi="Arial" w:cs="Arial"/>
        </w:rPr>
        <w:instrText>studied and legacy organochlorine (OC) contaminants and metabolites in plasma and eggs of glaucous gulls (Larus hyperboreus) collected from major breeding colonies on Bear Island in the Norwegian Arctic. Hexachlorobutadiene was below the method limit of detection (&amp;lt;0.07 ng/g lipid wt) in all samples. The sum (sum) of 20 chlorobornane congener concentrations ranged between 294 and 986 ng/g lipid weight and 104 and 1,121 ng/g lipid weight in plasma and eggs, respectively, whereas those of ∑20polychlorinated naphthalene ranged between 1.34 and 126 ng/g lipid weight in plasma and 1.82 and 162 ng/g lipid weight in eggs. Bis(4</w:instrText>
      </w:r>
      <w:r w:rsidRPr="00313E9A">
        <w:rPr>
          <w:rFonts w:ascii="Cambria Math" w:hAnsi="Cambria Math" w:cs="Cambria Math"/>
        </w:rPr>
        <w:instrText>‐</w:instrText>
      </w:r>
      <w:r w:rsidRPr="00313E9A">
        <w:rPr>
          <w:rFonts w:ascii="Arial" w:hAnsi="Arial" w:cs="Arial"/>
        </w:rPr>
        <w:instrText>chlorophenyl) sulfone concentrations ranged between 5.24 and 143 ng/g lipid weight plasma, which is the first report of this contaminant in arctic biota north of Sweden. Based on 2,3,7,8</w:instrText>
      </w:r>
      <w:r w:rsidRPr="00313E9A">
        <w:rPr>
          <w:rFonts w:ascii="Cambria Math" w:hAnsi="Cambria Math" w:cs="Cambria Math"/>
        </w:rPr>
        <w:instrText>‐</w:instrText>
      </w:r>
      <w:r w:rsidRPr="00313E9A">
        <w:rPr>
          <w:rFonts w:ascii="Arial" w:hAnsi="Arial" w:cs="Arial"/>
        </w:rPr>
        <w:instrText>tetrachlorodibenzo</w:instrText>
      </w:r>
      <w:r w:rsidRPr="00313E9A">
        <w:rPr>
          <w:rFonts w:ascii="Cambria Math" w:hAnsi="Cambria Math" w:cs="Cambria Math"/>
        </w:rPr>
        <w:instrText>‐</w:instrText>
      </w:r>
      <w:r w:rsidRPr="00313E9A">
        <w:rPr>
          <w:rFonts w:ascii="Arial" w:hAnsi="Arial" w:cs="Arial"/>
        </w:rPr>
        <w:instrText>p</w:instrText>
      </w:r>
      <w:r w:rsidRPr="00313E9A">
        <w:rPr>
          <w:rFonts w:ascii="Cambria Math" w:hAnsi="Cambria Math" w:cs="Cambria Math"/>
        </w:rPr>
        <w:instrText>‐</w:instrText>
      </w:r>
      <w:r w:rsidRPr="00313E9A">
        <w:rPr>
          <w:rFonts w:ascii="Arial" w:hAnsi="Arial" w:cs="Arial"/>
        </w:rPr>
        <w:instrText>dioxin toxic equivalents (TEQs), partial dioxin</w:instrText>
      </w:r>
      <w:r w:rsidRPr="00313E9A">
        <w:rPr>
          <w:rFonts w:ascii="Cambria Math" w:hAnsi="Cambria Math" w:cs="Cambria Math"/>
        </w:rPr>
        <w:instrText>‐</w:instrText>
      </w:r>
      <w:r w:rsidRPr="00313E9A">
        <w:rPr>
          <w:rFonts w:ascii="Arial" w:hAnsi="Arial" w:cs="Arial"/>
        </w:rPr>
        <w:instrText>like toxicity varied between 3.04 and 20.8 ng TEQ/g lipid weight in plasma and 0.94 and 46.5 ng TEQ/g lipid weight in eggs, and largely was due to concentrations of non</w:instrText>
      </w:r>
      <w:r w:rsidRPr="00313E9A">
        <w:rPr>
          <w:rFonts w:ascii="Cambria Math" w:hAnsi="Cambria Math" w:cs="Cambria Math"/>
        </w:rPr>
        <w:instrText>‐</w:instrText>
      </w:r>
      <w:r w:rsidRPr="00313E9A">
        <w:rPr>
          <w:rFonts w:ascii="Arial" w:hAnsi="Arial" w:cs="Arial"/>
        </w:rPr>
        <w:instrText>ortho polychlorinated biphenyls (PCBs), with a very minor contribution from mono</w:instrText>
      </w:r>
      <w:r w:rsidRPr="00313E9A">
        <w:rPr>
          <w:rFonts w:ascii="Cambria Math" w:hAnsi="Cambria Math" w:cs="Cambria Math"/>
        </w:rPr>
        <w:instrText>‐</w:instrText>
      </w:r>
      <w:r w:rsidRPr="00313E9A">
        <w:rPr>
          <w:rFonts w:ascii="Arial" w:hAnsi="Arial" w:cs="Arial"/>
        </w:rPr>
        <w:instrText>ortho PCBs and polychlorinated naphthalenes. The major aryl sulfone metabolite in plasma was an unidentified hexachlorinated MeSO2</w:instrText>
      </w:r>
      <w:r w:rsidRPr="00313E9A">
        <w:rPr>
          <w:rFonts w:ascii="Cambria Math" w:hAnsi="Cambria Math" w:cs="Cambria Math"/>
        </w:rPr>
        <w:instrText>‐</w:instrText>
      </w:r>
      <w:r w:rsidRPr="00313E9A">
        <w:rPr>
          <w:rFonts w:ascii="Arial" w:hAnsi="Arial" w:cs="Arial"/>
        </w:rPr>
        <w:instrText>PCB congener (range: 13.5–551 ng/g lipid wt), whereas the pentachlorinated congeners 3′</w:instrText>
      </w:r>
      <w:r w:rsidRPr="00313E9A">
        <w:rPr>
          <w:rFonts w:ascii="Cambria Math" w:hAnsi="Cambria Math" w:cs="Cambria Math"/>
        </w:rPr>
        <w:instrText>‐</w:instrText>
      </w:r>
      <w:r w:rsidRPr="00313E9A">
        <w:rPr>
          <w:rFonts w:ascii="Arial" w:hAnsi="Arial" w:cs="Arial"/>
        </w:rPr>
        <w:instrText xml:space="preserve"> and 4′</w:instrText>
      </w:r>
      <w:r w:rsidRPr="00313E9A">
        <w:rPr>
          <w:rFonts w:ascii="Cambria Math" w:hAnsi="Cambria Math" w:cs="Cambria Math"/>
        </w:rPr>
        <w:instrText>‐</w:instrText>
      </w:r>
      <w:r w:rsidRPr="00313E9A">
        <w:rPr>
          <w:rFonts w:ascii="Arial" w:hAnsi="Arial" w:cs="Arial"/>
        </w:rPr>
        <w:instrText>MeSO2</w:instrText>
      </w:r>
      <w:r w:rsidRPr="00313E9A">
        <w:rPr>
          <w:rFonts w:ascii="Cambria Math" w:hAnsi="Cambria Math" w:cs="Cambria Math"/>
        </w:rPr>
        <w:instrText>‐</w:instrText>
      </w:r>
      <w:r w:rsidRPr="00313E9A">
        <w:rPr>
          <w:rFonts w:ascii="Arial" w:hAnsi="Arial" w:cs="Arial"/>
        </w:rPr>
        <w:instrText>CB101 (range: 4.49–38.1 ng/g lipid wt) dominated in eggs. The predominant halogenated phenolic compound (HPC) in plasma was consistently the PCB metabolite 4</w:instrText>
      </w:r>
      <w:r w:rsidRPr="00313E9A">
        <w:rPr>
          <w:rFonts w:ascii="Cambria Math" w:hAnsi="Cambria Math" w:cs="Cambria Math"/>
        </w:rPr>
        <w:instrText>‐</w:instrText>
      </w:r>
      <w:r w:rsidRPr="00313E9A">
        <w:rPr>
          <w:rFonts w:ascii="Arial" w:hAnsi="Arial" w:cs="Arial"/>
        </w:rPr>
        <w:instrText>OH</w:instrText>
      </w:r>
      <w:r w:rsidRPr="00313E9A">
        <w:rPr>
          <w:rFonts w:ascii="Cambria Math" w:hAnsi="Cambria Math" w:cs="Cambria Math"/>
        </w:rPr>
        <w:instrText>‐</w:instrText>
      </w:r>
      <w:r w:rsidRPr="00313E9A">
        <w:rPr>
          <w:rFonts w:ascii="Arial" w:hAnsi="Arial" w:cs="Arial"/>
        </w:rPr>
        <w:instrText xml:space="preserve">CB187 (range: 0.29–17.5 ng/g wet wt), whereas in eggs, detectable HPCs were at very low and transient concentrations. As part of a complex profile of contaminant exposure, these chemical classes and metabolites may be contributing factors to enhance physiological stress in breeding glaucous gulls.","container-title":"Environmental Toxicology and Chemistry","DOI":"10.1897/05-067R.1","ISSN":"0730-7268","issue":"10","page":"2486-2499","source":"Silverchair","title":"New organochlorine contaminants and metabolites in plasma and eggs of glaucous gulls (Larus hyperboreus) from the Norwegian Arctic","volume":"24","author":[{"family":"Verreault","given":"Jonathan"},{"family":"Letcher","given":"Robert J."},{"family":"Muir","given":"Derek C.G."},{"family":"Chu","given":"Shaogang"},{"family":"Gebbink","given":"Wouter A."},{"family":"Gabrielsen","given":"Geir W."}],"issued":{"date-parts":[["2005",10,1]]}}}],"schema":"https://github.com/citation-style-language/schema/raw/master/csl-citation.json"} </w:instrText>
      </w:r>
      <w:r w:rsidRPr="00313E9A">
        <w:rPr>
          <w:rFonts w:ascii="Arial" w:hAnsi="Arial" w:cs="Arial"/>
        </w:rPr>
        <w:fldChar w:fldCharType="separate"/>
      </w:r>
      <w:r w:rsidR="00193A80">
        <w:rPr>
          <w:rFonts w:ascii="Arial" w:hAnsi="Arial" w:cs="Arial"/>
        </w:rPr>
        <w:t>(</w:t>
      </w:r>
      <w:proofErr w:type="spellStart"/>
      <w:r w:rsidR="00193A80">
        <w:rPr>
          <w:rFonts w:ascii="Arial" w:hAnsi="Arial" w:cs="Arial"/>
        </w:rPr>
        <w:t>Verreault</w:t>
      </w:r>
      <w:proofErr w:type="spellEnd"/>
      <w:r w:rsidR="00193A80">
        <w:rPr>
          <w:rFonts w:ascii="Arial" w:hAnsi="Arial" w:cs="Arial"/>
        </w:rPr>
        <w:t xml:space="preserve"> et al., 2005)</w:t>
      </w:r>
      <w:r w:rsidRPr="00313E9A">
        <w:rPr>
          <w:rFonts w:ascii="Arial" w:hAnsi="Arial" w:cs="Arial"/>
        </w:rPr>
        <w:fldChar w:fldCharType="end"/>
      </w:r>
      <w:r w:rsidRPr="00313E9A">
        <w:rPr>
          <w:rFonts w:ascii="Arial" w:hAnsi="Arial" w:cs="Arial"/>
        </w:rPr>
        <w:t xml:space="preserve">. Such elevated concentrations suggest chronic exposure to local pollution sources, potentially linked to maritime traffic, agricultural burning, and plastic debris accumulation. The PAH levels observed in seabird eggs in this study are generally higher than those reported from other regions. Lower concentrations (0.01 to 0.07 mg/kg) have been reported in the Canadian Arctic </w:t>
      </w:r>
      <w:r w:rsidRPr="00313E9A">
        <w:rPr>
          <w:rFonts w:ascii="Arial" w:hAnsi="Arial" w:cs="Arial"/>
        </w:rPr>
        <w:fldChar w:fldCharType="begin"/>
      </w:r>
      <w:r w:rsidRPr="00313E9A">
        <w:rPr>
          <w:rFonts w:ascii="Arial" w:hAnsi="Arial" w:cs="Arial"/>
        </w:rPr>
        <w:instrText xml:space="preserve"> ADDIN ZOTERO_ITEM CSL_CITATION {"citationID":"smHZFIxl","properties":{"formattedCitation":"(Verreault et al., 2005)","plainCitation":"(Verreault et al., 2005)","noteIndex":0},"citationItems":[{"id":331,"uris":["http://zotero.org/users/18107686/items/QSAJ8GEJ"],"itemData":{"id":331,"type":"article-journal","abstract":"The present study investigated new or lesser</w:instrText>
      </w:r>
      <w:r w:rsidRPr="00313E9A">
        <w:rPr>
          <w:rFonts w:ascii="Cambria Math" w:hAnsi="Cambria Math" w:cs="Cambria Math"/>
        </w:rPr>
        <w:instrText>‐</w:instrText>
      </w:r>
      <w:r w:rsidRPr="00313E9A">
        <w:rPr>
          <w:rFonts w:ascii="Arial" w:hAnsi="Arial" w:cs="Arial"/>
        </w:rPr>
        <w:instrText>studied and legacy organochlorine (OC) contaminants and metabolites in plasma and eggs of glaucous gulls (Larus hyperboreus) collected from major breeding colonies on Bear Island in the Norwegian Arctic. Hexachlorobutadiene was below the method limit of detection (&amp;lt;0.07 ng/g lipid wt) in all samples. The sum (sum) of 20 chlorobornane congener concentrations ranged between 294 and 986 ng/g lipid weight and 104 and 1,121 ng/g lipid weight in plasma and eggs, respectively, whereas those of ∑20polychlorinated naphthalene ranged between 1.34 and 126 ng/g lipid weight in plasma and 1.82 and 162 ng/g lipid weight in eggs. Bis(4</w:instrText>
      </w:r>
      <w:r w:rsidRPr="00313E9A">
        <w:rPr>
          <w:rFonts w:ascii="Cambria Math" w:hAnsi="Cambria Math" w:cs="Cambria Math"/>
        </w:rPr>
        <w:instrText>‐</w:instrText>
      </w:r>
      <w:r w:rsidRPr="00313E9A">
        <w:rPr>
          <w:rFonts w:ascii="Arial" w:hAnsi="Arial" w:cs="Arial"/>
        </w:rPr>
        <w:instrText>chlorophenyl) sulfone concentrations ranged between 5.24 and 143 ng/g lipid weight plasma, which is the first report of this contaminant in arctic biota north of Sweden. Based on 2,3,7,8</w:instrText>
      </w:r>
      <w:r w:rsidRPr="00313E9A">
        <w:rPr>
          <w:rFonts w:ascii="Cambria Math" w:hAnsi="Cambria Math" w:cs="Cambria Math"/>
        </w:rPr>
        <w:instrText>‐</w:instrText>
      </w:r>
      <w:r w:rsidRPr="00313E9A">
        <w:rPr>
          <w:rFonts w:ascii="Arial" w:hAnsi="Arial" w:cs="Arial"/>
        </w:rPr>
        <w:instrText>tetrachlorodibenzo</w:instrText>
      </w:r>
      <w:r w:rsidRPr="00313E9A">
        <w:rPr>
          <w:rFonts w:ascii="Cambria Math" w:hAnsi="Cambria Math" w:cs="Cambria Math"/>
        </w:rPr>
        <w:instrText>‐</w:instrText>
      </w:r>
      <w:r w:rsidRPr="00313E9A">
        <w:rPr>
          <w:rFonts w:ascii="Arial" w:hAnsi="Arial" w:cs="Arial"/>
        </w:rPr>
        <w:instrText>p</w:instrText>
      </w:r>
      <w:r w:rsidRPr="00313E9A">
        <w:rPr>
          <w:rFonts w:ascii="Cambria Math" w:hAnsi="Cambria Math" w:cs="Cambria Math"/>
        </w:rPr>
        <w:instrText>‐</w:instrText>
      </w:r>
      <w:r w:rsidRPr="00313E9A">
        <w:rPr>
          <w:rFonts w:ascii="Arial" w:hAnsi="Arial" w:cs="Arial"/>
        </w:rPr>
        <w:instrText>dioxin toxic equivalents (TEQs), partial dioxin</w:instrText>
      </w:r>
      <w:r w:rsidRPr="00313E9A">
        <w:rPr>
          <w:rFonts w:ascii="Cambria Math" w:hAnsi="Cambria Math" w:cs="Cambria Math"/>
        </w:rPr>
        <w:instrText>‐</w:instrText>
      </w:r>
      <w:r w:rsidRPr="00313E9A">
        <w:rPr>
          <w:rFonts w:ascii="Arial" w:hAnsi="Arial" w:cs="Arial"/>
        </w:rPr>
        <w:instrText>like toxicity varied between 3.04 and 20.8 ng TEQ/g lipid weight in plasma and 0.94 and 46.5 ng TEQ/g lipid weight in eggs, and largely was due to concentrations of non</w:instrText>
      </w:r>
      <w:r w:rsidRPr="00313E9A">
        <w:rPr>
          <w:rFonts w:ascii="Cambria Math" w:hAnsi="Cambria Math" w:cs="Cambria Math"/>
        </w:rPr>
        <w:instrText>‐</w:instrText>
      </w:r>
      <w:r w:rsidRPr="00313E9A">
        <w:rPr>
          <w:rFonts w:ascii="Arial" w:hAnsi="Arial" w:cs="Arial"/>
        </w:rPr>
        <w:instrText>ortho polychlorinated biphenyls (PCBs), with a very minor contribution from mono</w:instrText>
      </w:r>
      <w:r w:rsidRPr="00313E9A">
        <w:rPr>
          <w:rFonts w:ascii="Cambria Math" w:hAnsi="Cambria Math" w:cs="Cambria Math"/>
        </w:rPr>
        <w:instrText>‐</w:instrText>
      </w:r>
      <w:r w:rsidRPr="00313E9A">
        <w:rPr>
          <w:rFonts w:ascii="Arial" w:hAnsi="Arial" w:cs="Arial"/>
        </w:rPr>
        <w:instrText>ortho PCBs and polychlorinated naphthalenes. The major aryl sulfone metabolite in plasma was an unidentified hexachlorinated MeSO2</w:instrText>
      </w:r>
      <w:r w:rsidRPr="00313E9A">
        <w:rPr>
          <w:rFonts w:ascii="Cambria Math" w:hAnsi="Cambria Math" w:cs="Cambria Math"/>
        </w:rPr>
        <w:instrText>‐</w:instrText>
      </w:r>
      <w:r w:rsidRPr="00313E9A">
        <w:rPr>
          <w:rFonts w:ascii="Arial" w:hAnsi="Arial" w:cs="Arial"/>
        </w:rPr>
        <w:instrText>PCB congener (range: 13.5–551 ng/g lipid wt), whereas the pentachlorinated congeners 3′</w:instrText>
      </w:r>
      <w:r w:rsidRPr="00313E9A">
        <w:rPr>
          <w:rFonts w:ascii="Cambria Math" w:hAnsi="Cambria Math" w:cs="Cambria Math"/>
        </w:rPr>
        <w:instrText>‐</w:instrText>
      </w:r>
      <w:r w:rsidRPr="00313E9A">
        <w:rPr>
          <w:rFonts w:ascii="Arial" w:hAnsi="Arial" w:cs="Arial"/>
        </w:rPr>
        <w:instrText xml:space="preserve"> and 4′</w:instrText>
      </w:r>
      <w:r w:rsidRPr="00313E9A">
        <w:rPr>
          <w:rFonts w:ascii="Cambria Math" w:hAnsi="Cambria Math" w:cs="Cambria Math"/>
        </w:rPr>
        <w:instrText>‐</w:instrText>
      </w:r>
      <w:r w:rsidRPr="00313E9A">
        <w:rPr>
          <w:rFonts w:ascii="Arial" w:hAnsi="Arial" w:cs="Arial"/>
        </w:rPr>
        <w:instrText>MeSO2</w:instrText>
      </w:r>
      <w:r w:rsidRPr="00313E9A">
        <w:rPr>
          <w:rFonts w:ascii="Cambria Math" w:hAnsi="Cambria Math" w:cs="Cambria Math"/>
        </w:rPr>
        <w:instrText>‐</w:instrText>
      </w:r>
      <w:r w:rsidRPr="00313E9A">
        <w:rPr>
          <w:rFonts w:ascii="Arial" w:hAnsi="Arial" w:cs="Arial"/>
        </w:rPr>
        <w:instrText>CB101 (range: 4.49–38.1 ng/g lipid wt) dominated in eggs. The predominant halogenated phenolic compound (HPC) in plasma was consistently the PCB metabolite 4</w:instrText>
      </w:r>
      <w:r w:rsidRPr="00313E9A">
        <w:rPr>
          <w:rFonts w:ascii="Cambria Math" w:hAnsi="Cambria Math" w:cs="Cambria Math"/>
        </w:rPr>
        <w:instrText>‐</w:instrText>
      </w:r>
      <w:r w:rsidRPr="00313E9A">
        <w:rPr>
          <w:rFonts w:ascii="Arial" w:hAnsi="Arial" w:cs="Arial"/>
        </w:rPr>
        <w:instrText>OH</w:instrText>
      </w:r>
      <w:r w:rsidRPr="00313E9A">
        <w:rPr>
          <w:rFonts w:ascii="Cambria Math" w:hAnsi="Cambria Math" w:cs="Cambria Math"/>
        </w:rPr>
        <w:instrText>‐</w:instrText>
      </w:r>
      <w:r w:rsidRPr="00313E9A">
        <w:rPr>
          <w:rFonts w:ascii="Arial" w:hAnsi="Arial" w:cs="Arial"/>
        </w:rPr>
        <w:instrText xml:space="preserve">CB187 (range: 0.29–17.5 ng/g wet wt), whereas in eggs, detectable HPCs were at very low and transient concentrations. As part of a complex profile of contaminant exposure, these chemical classes and metabolites may be contributing factors to enhance physiological stress in breeding glaucous gulls.","container-title":"Environmental Toxicology and Chemistry","DOI":"10.1897/05-067R.1","ISSN":"0730-7268","issue":"10","page":"2486-2499","source":"Silverchair","title":"New organochlorine contaminants and metabolites in plasma and eggs of glaucous gulls (Larus hyperboreus) from the Norwegian Arctic","volume":"24","author":[{"family":"Verreault","given":"Jonathan"},{"family":"Letcher","given":"Robert J."},{"family":"Muir","given":"Derek C.G."},{"family":"Chu","given":"Shaogang"},{"family":"Gebbink","given":"Wouter A."},{"family":"Gabrielsen","given":"Geir W."}],"issued":{"date-parts":[["2005",10,1]]}}}],"schema":"https://github.com/citation-style-language/schema/raw/master/csl-citation.json"} </w:instrText>
      </w:r>
      <w:r w:rsidRPr="00313E9A">
        <w:rPr>
          <w:rFonts w:ascii="Arial" w:hAnsi="Arial" w:cs="Arial"/>
        </w:rPr>
        <w:fldChar w:fldCharType="separate"/>
      </w:r>
      <w:r w:rsidR="00193A80">
        <w:rPr>
          <w:rFonts w:ascii="Arial" w:hAnsi="Arial" w:cs="Arial"/>
        </w:rPr>
        <w:t>(</w:t>
      </w:r>
      <w:proofErr w:type="spellStart"/>
      <w:r w:rsidR="00193A80">
        <w:rPr>
          <w:rFonts w:ascii="Arial" w:hAnsi="Arial" w:cs="Arial"/>
        </w:rPr>
        <w:t>Verreault</w:t>
      </w:r>
      <w:proofErr w:type="spellEnd"/>
      <w:r w:rsidR="00193A80">
        <w:rPr>
          <w:rFonts w:ascii="Arial" w:hAnsi="Arial" w:cs="Arial"/>
        </w:rPr>
        <w:t xml:space="preserve"> et al., 2005)</w:t>
      </w:r>
      <w:r w:rsidRPr="00313E9A">
        <w:rPr>
          <w:rFonts w:ascii="Arial" w:hAnsi="Arial" w:cs="Arial"/>
        </w:rPr>
        <w:fldChar w:fldCharType="end"/>
      </w:r>
      <w:r w:rsidRPr="00313E9A">
        <w:rPr>
          <w:rFonts w:ascii="Arial" w:hAnsi="Arial" w:cs="Arial"/>
        </w:rPr>
        <w:t xml:space="preserve">. In Iran, concentrations in </w:t>
      </w:r>
      <w:proofErr w:type="spellStart"/>
      <w:r w:rsidRPr="00313E9A">
        <w:rPr>
          <w:rFonts w:ascii="Arial" w:hAnsi="Arial" w:cs="Arial"/>
        </w:rPr>
        <w:t>Dromas</w:t>
      </w:r>
      <w:proofErr w:type="spellEnd"/>
      <w:r w:rsidRPr="00313E9A">
        <w:rPr>
          <w:rFonts w:ascii="Arial" w:hAnsi="Arial" w:cs="Arial"/>
        </w:rPr>
        <w:t xml:space="preserve"> </w:t>
      </w:r>
      <w:proofErr w:type="spellStart"/>
      <w:r w:rsidRPr="00313E9A">
        <w:rPr>
          <w:rFonts w:ascii="Arial" w:hAnsi="Arial" w:cs="Arial"/>
        </w:rPr>
        <w:t>ardeola</w:t>
      </w:r>
      <w:proofErr w:type="spellEnd"/>
      <w:r w:rsidRPr="00313E9A">
        <w:rPr>
          <w:rFonts w:ascii="Arial" w:hAnsi="Arial" w:cs="Arial"/>
        </w:rPr>
        <w:t xml:space="preserve"> and </w:t>
      </w:r>
      <w:proofErr w:type="spellStart"/>
      <w:r w:rsidRPr="00313E9A">
        <w:rPr>
          <w:rFonts w:ascii="Arial" w:hAnsi="Arial" w:cs="Arial"/>
        </w:rPr>
        <w:t>Egretta</w:t>
      </w:r>
      <w:proofErr w:type="spellEnd"/>
      <w:r w:rsidRPr="00313E9A">
        <w:rPr>
          <w:rFonts w:ascii="Arial" w:hAnsi="Arial" w:cs="Arial"/>
        </w:rPr>
        <w:t xml:space="preserve"> </w:t>
      </w:r>
      <w:proofErr w:type="spellStart"/>
      <w:r w:rsidRPr="00313E9A">
        <w:rPr>
          <w:rFonts w:ascii="Arial" w:hAnsi="Arial" w:cs="Arial"/>
        </w:rPr>
        <w:t>gularis</w:t>
      </w:r>
      <w:proofErr w:type="spellEnd"/>
      <w:r w:rsidRPr="00313E9A">
        <w:rPr>
          <w:rFonts w:ascii="Arial" w:hAnsi="Arial" w:cs="Arial"/>
        </w:rPr>
        <w:t xml:space="preserve"> eggs reached 0.217 mg/kg and 0.375 mg/kg, respectively </w:t>
      </w:r>
      <w:r w:rsidRPr="00313E9A">
        <w:rPr>
          <w:rFonts w:ascii="Arial" w:hAnsi="Arial" w:cs="Arial"/>
        </w:rPr>
        <w:fldChar w:fldCharType="begin"/>
      </w:r>
      <w:r w:rsidRPr="00313E9A">
        <w:rPr>
          <w:rFonts w:ascii="Arial" w:hAnsi="Arial" w:cs="Arial"/>
        </w:rPr>
        <w:instrText xml:space="preserve"> ADDIN ZOTERO_ITEM CSL_CITATION {"citationID":"wVRB01L6","properties":{"formattedCitation":"(Bayat et al., 2020)","plainCitation":"(Bayat et al., 2020)","noteIndex":0},"citationItems":[{"id":239,"uris":["http://zotero.org/users/18107686/items/72SQFMPW"],"itemData":{"id":239,"type":"article-journal","abstract":"Mond protected area is a region in the northeast of the Persian Gulf with high species richness, which in recent years has undergone changes and oil pollution. Persistent organic pollutants (POPs) can damage aquatic organisms and food chains. This study was performed in May and June 2016. The purpose of the study is to specify the origin and concentration of polycyclic aromatic hydrocarbons (PAHs) and n-alkanes contamination in two kinds of bivalves (Saccostrea cucullata and Mytilus edulis), two species of birds’ eggs (Dromas ardeola and Egretta gularis) and sediments and to find the best biomonitoring species from Nakhiloo Island for these contaminants. After two stages of column chromatography, the POPs compounds were identified by a gas chromatography–mass spectrometry method. PAHs and n-alkanes concentrations were determined for sediments (28.3–218.58 ng g−1 and 183.57–594.54 µg g−1, respectively), S. cucullata (25.89–57.04 ng g−1 and 24.50–32.26 µg g−1, respectively), M. edulis (15.20–59.54 ng g−1 and 34.59–53.50 µg g−1, respec</w:instrText>
      </w:r>
      <w:r w:rsidRPr="00A32C06">
        <w:rPr>
          <w:rFonts w:ascii="Arial" w:hAnsi="Arial" w:cs="Arial"/>
          <w:lang w:val="fr-SN"/>
        </w:rPr>
        <w:instrText>tively), D. ardeola (1</w:instrText>
      </w:r>
      <w:r w:rsidRPr="000173F3">
        <w:rPr>
          <w:rFonts w:ascii="Arial" w:hAnsi="Arial" w:cs="Arial"/>
          <w:lang w:val="fr-SN"/>
        </w:rPr>
        <w:instrText xml:space="preserve">62.90–404 ng g−1 and 118.40–217.39 µg g−1, respectively) and E. gularis (97.50–375.12 ng g−1 and 63.39–195.16 µg g−1, respectively). The concentration of compounds in the birds’ eggs was higher than in the bivalves. Diagnostic ratio of POPs usually showed petrogenic origin, and low molecular weight compounds predominated. Saccostrea cucullata showed the highest correlation with the sediments, which shows that it is the best biomonitor agent for this region. The concentration of pollutants in this area was low, and all concentrations were below the threshold level. Their principal cause of origin points to petrochemical plants, various types of vessels and in particular fishing activities in Mond protected area, and it is shown that filter feeders can do better biomonitoring than predators because of their physiological status.","container-title":"International Journal of Environmental Science and Technology","DOI":"10.1007/s13762-019-02478-1","ISSN":"1735-2630","issue":"3","journalAbbreviation":"Int. J. Environ. Sci. Technol.","language":"en","page":"1511-1528","source":"Springer Link","title":"Biomonitoring of hydrocarbons using seabirds’ eggs and bivalves in Nakhiloo Island, Persian Gulf, Iran","volume":"17","author":[{"family":"Bayat","given":"N."},{"family":"Saeb","given":"K."},{"family":"Bakhtiyari","given":"A. R."}],"issued":{"date-parts":[["2020",3,1]]}}}],"schema":"https://github.com/citation-style-language/schema/raw/master/csl-citation.json"} </w:instrText>
      </w:r>
      <w:r w:rsidRPr="00313E9A">
        <w:rPr>
          <w:rFonts w:ascii="Arial" w:hAnsi="Arial" w:cs="Arial"/>
        </w:rPr>
        <w:fldChar w:fldCharType="separate"/>
      </w:r>
      <w:r w:rsidR="00193A80">
        <w:rPr>
          <w:rFonts w:ascii="Arial" w:hAnsi="Arial" w:cs="Arial"/>
          <w:lang w:val="fr-SN"/>
        </w:rPr>
        <w:t>(</w:t>
      </w:r>
      <w:proofErr w:type="spellStart"/>
      <w:r w:rsidR="00193A80">
        <w:rPr>
          <w:rFonts w:ascii="Arial" w:hAnsi="Arial" w:cs="Arial"/>
          <w:lang w:val="fr-SN"/>
        </w:rPr>
        <w:t>Bayat</w:t>
      </w:r>
      <w:proofErr w:type="spellEnd"/>
      <w:r w:rsidR="00193A80">
        <w:rPr>
          <w:rFonts w:ascii="Arial" w:hAnsi="Arial" w:cs="Arial"/>
          <w:lang w:val="fr-SN"/>
        </w:rPr>
        <w:t xml:space="preserve"> et al., 2020)</w:t>
      </w:r>
      <w:r w:rsidRPr="00313E9A">
        <w:rPr>
          <w:rFonts w:ascii="Arial" w:hAnsi="Arial" w:cs="Arial"/>
        </w:rPr>
        <w:fldChar w:fldCharType="end"/>
      </w:r>
      <w:r w:rsidRPr="000173F3">
        <w:rPr>
          <w:rFonts w:ascii="Arial" w:hAnsi="Arial" w:cs="Arial"/>
          <w:lang w:val="fr-SN"/>
        </w:rPr>
        <w:t xml:space="preserve">. </w:t>
      </w:r>
      <w:r w:rsidRPr="00313E9A">
        <w:rPr>
          <w:rFonts w:ascii="Arial" w:hAnsi="Arial" w:cs="Arial"/>
        </w:rPr>
        <w:fldChar w:fldCharType="begin"/>
      </w:r>
      <w:r w:rsidRPr="000173F3">
        <w:rPr>
          <w:rFonts w:ascii="Arial" w:hAnsi="Arial" w:cs="Arial"/>
          <w:lang w:val="fr-SN"/>
        </w:rPr>
        <w:instrText xml:space="preserve"> ADDIN ZOTERO_ITEM CSL_CITATION {"citationID":"KW8KVHtI","properties":{"formattedCitation":"(Power et al., 2021)","plainCitation":"(Power et al., 2021)","noteIndex":0},"citationItems":[{"id":297,"uris":["http://zotero.org/users/18107686/items/W3NR5ZK6"],"itemData":{"id":297,"type":"article-journal","abstract":"Seabird eggs are considered a favourable matrix for monitoring marine pollutants and are widely used as higher trophic level indicators. Concentrations of Polycyclic aromatic hydrocarbons (</w:instrText>
      </w:r>
      <w:r w:rsidRPr="00313E9A">
        <w:rPr>
          <w:rFonts w:ascii="Arial" w:hAnsi="Arial" w:cs="Arial"/>
        </w:rPr>
        <w:instrText>Σ</w:instrText>
      </w:r>
      <w:r w:rsidRPr="000173F3">
        <w:rPr>
          <w:rFonts w:ascii="Arial" w:hAnsi="Arial" w:cs="Arial"/>
          <w:lang w:val="fr-SN"/>
        </w:rPr>
        <w:instrText xml:space="preserve">15PAH) were determined in the eggs of four piscivorous seabirds in Ireland from multiple colonies for the first time, Common Guillemot Uria aalge, Northern Gannet Morus bassanus, Common Tern Sterna hirundo and Arctic Tern S. paradisaea. PAH concentrations were generally lower than levels detected in eggs from other seabird studies and considerably lower than concentrations associated with no adverse effect in the eggs of domestic avian species. This study indicates potential site and species differences in PAH concentrations. Baseline data of PAHs in a range of seabird species from this study may provide an important reference point should a major pollution event occur in European waters, such as an oil spill.","container-title":"Marine Pollution Bulletin","DOI":"10.1016/j.marpolbul.2021.112636","ISSN":"0025-326X","journalAbbreviation":"Marine Pollution Bulletin","page":"112636","source":"ScienceDirect","title":"Polycyclic aromatic hydrocarbons (PAHs) in seabird eggs in Ireland","volume":"170","author":[{"family":"Power","given":"Andrew"},{"family":"White","given":"Philip"},{"family":"McHugh","given":"Brendan"},{"family":"Berrow","given":"Simon"},{"family":"McKeown","given":"Aaron"},{"family":"Crowley","given":"Denis"},{"family":"Newton","given":"Stephen"},{"family":"McGovern","given":"Evin"},{"family":"Murphy","given":"Sinéad"},{"family":"O'Connor","given":"Ian"}],"issued":{"date-parts":[["2021",9,1]]}}}],"schema":"https://github.com/citation-style-language/schema/raw/master/csl-citation.json"} </w:instrText>
      </w:r>
      <w:r w:rsidRPr="00313E9A">
        <w:rPr>
          <w:rFonts w:ascii="Arial" w:hAnsi="Arial" w:cs="Arial"/>
        </w:rPr>
        <w:fldChar w:fldCharType="separate"/>
      </w:r>
      <w:r w:rsidR="00193A80">
        <w:rPr>
          <w:rFonts w:ascii="Arial" w:hAnsi="Arial" w:cs="Arial"/>
          <w:lang w:val="fr-SN"/>
        </w:rPr>
        <w:t>(Power et al., 2021)</w:t>
      </w:r>
      <w:r w:rsidRPr="00313E9A">
        <w:rPr>
          <w:rFonts w:ascii="Arial" w:hAnsi="Arial" w:cs="Arial"/>
        </w:rPr>
        <w:fldChar w:fldCharType="end"/>
      </w:r>
      <w:r w:rsidRPr="000173F3">
        <w:rPr>
          <w:rFonts w:ascii="Arial" w:hAnsi="Arial" w:cs="Arial"/>
          <w:lang w:val="fr-SN"/>
        </w:rPr>
        <w:t xml:space="preserve"> </w:t>
      </w:r>
      <w:proofErr w:type="spellStart"/>
      <w:r w:rsidRPr="000173F3">
        <w:rPr>
          <w:rFonts w:ascii="Arial" w:hAnsi="Arial" w:cs="Arial"/>
          <w:lang w:val="fr-SN"/>
        </w:rPr>
        <w:t>found</w:t>
      </w:r>
      <w:proofErr w:type="spellEnd"/>
      <w:r w:rsidRPr="000173F3">
        <w:rPr>
          <w:rFonts w:ascii="Arial" w:hAnsi="Arial" w:cs="Arial"/>
          <w:lang w:val="fr-SN"/>
        </w:rPr>
        <w:t xml:space="preserve"> PAH concentrations </w:t>
      </w:r>
      <w:proofErr w:type="spellStart"/>
      <w:r w:rsidRPr="000173F3">
        <w:rPr>
          <w:rFonts w:ascii="Arial" w:hAnsi="Arial" w:cs="Arial"/>
          <w:lang w:val="fr-SN"/>
        </w:rPr>
        <w:t>ranging</w:t>
      </w:r>
      <w:proofErr w:type="spellEnd"/>
      <w:r w:rsidRPr="000173F3">
        <w:rPr>
          <w:rFonts w:ascii="Arial" w:hAnsi="Arial" w:cs="Arial"/>
          <w:lang w:val="fr-SN"/>
        </w:rPr>
        <w:t xml:space="preserve"> </w:t>
      </w:r>
      <w:proofErr w:type="spellStart"/>
      <w:r w:rsidRPr="000173F3">
        <w:rPr>
          <w:rFonts w:ascii="Arial" w:hAnsi="Arial" w:cs="Arial"/>
          <w:lang w:val="fr-SN"/>
        </w:rPr>
        <w:t>from</w:t>
      </w:r>
      <w:proofErr w:type="spellEnd"/>
      <w:r w:rsidRPr="000173F3">
        <w:rPr>
          <w:rFonts w:ascii="Arial" w:hAnsi="Arial" w:cs="Arial"/>
          <w:lang w:val="fr-SN"/>
        </w:rPr>
        <w:t xml:space="preserve"> 0.0008 to 0.208 mg/kg in guillemot, </w:t>
      </w:r>
      <w:proofErr w:type="spellStart"/>
      <w:r w:rsidRPr="000173F3">
        <w:rPr>
          <w:rFonts w:ascii="Arial" w:hAnsi="Arial" w:cs="Arial"/>
          <w:lang w:val="fr-SN"/>
        </w:rPr>
        <w:t>gannet</w:t>
      </w:r>
      <w:proofErr w:type="spellEnd"/>
      <w:r w:rsidRPr="000173F3">
        <w:rPr>
          <w:rFonts w:ascii="Arial" w:hAnsi="Arial" w:cs="Arial"/>
          <w:lang w:val="fr-SN"/>
        </w:rPr>
        <w:t xml:space="preserve">, </w:t>
      </w:r>
      <w:proofErr w:type="spellStart"/>
      <w:r w:rsidRPr="000173F3">
        <w:rPr>
          <w:rFonts w:ascii="Arial" w:hAnsi="Arial" w:cs="Arial"/>
          <w:lang w:val="fr-SN"/>
        </w:rPr>
        <w:t>Arctic</w:t>
      </w:r>
      <w:proofErr w:type="spellEnd"/>
      <w:r w:rsidRPr="000173F3">
        <w:rPr>
          <w:rFonts w:ascii="Arial" w:hAnsi="Arial" w:cs="Arial"/>
          <w:lang w:val="fr-SN"/>
        </w:rPr>
        <w:t xml:space="preserve"> </w:t>
      </w:r>
      <w:proofErr w:type="spellStart"/>
      <w:r w:rsidRPr="000173F3">
        <w:rPr>
          <w:rFonts w:ascii="Arial" w:hAnsi="Arial" w:cs="Arial"/>
          <w:lang w:val="fr-SN"/>
        </w:rPr>
        <w:t>tern</w:t>
      </w:r>
      <w:proofErr w:type="spellEnd"/>
      <w:r w:rsidRPr="000173F3">
        <w:rPr>
          <w:rFonts w:ascii="Arial" w:hAnsi="Arial" w:cs="Arial"/>
          <w:lang w:val="fr-SN"/>
        </w:rPr>
        <w:t xml:space="preserve">, and </w:t>
      </w:r>
      <w:proofErr w:type="spellStart"/>
      <w:r w:rsidRPr="000173F3">
        <w:rPr>
          <w:rFonts w:ascii="Arial" w:hAnsi="Arial" w:cs="Arial"/>
          <w:lang w:val="fr-SN"/>
        </w:rPr>
        <w:t>common</w:t>
      </w:r>
      <w:proofErr w:type="spellEnd"/>
      <w:r w:rsidRPr="000173F3">
        <w:rPr>
          <w:rFonts w:ascii="Arial" w:hAnsi="Arial" w:cs="Arial"/>
          <w:lang w:val="fr-SN"/>
        </w:rPr>
        <w:t xml:space="preserve"> </w:t>
      </w:r>
      <w:proofErr w:type="spellStart"/>
      <w:r w:rsidRPr="000173F3">
        <w:rPr>
          <w:rFonts w:ascii="Arial" w:hAnsi="Arial" w:cs="Arial"/>
          <w:lang w:val="fr-SN"/>
        </w:rPr>
        <w:t>tern</w:t>
      </w:r>
      <w:proofErr w:type="spellEnd"/>
      <w:r w:rsidRPr="000173F3">
        <w:rPr>
          <w:rFonts w:ascii="Arial" w:hAnsi="Arial" w:cs="Arial"/>
          <w:lang w:val="fr-SN"/>
        </w:rPr>
        <w:t xml:space="preserve"> </w:t>
      </w:r>
      <w:proofErr w:type="spellStart"/>
      <w:r w:rsidRPr="000173F3">
        <w:rPr>
          <w:rFonts w:ascii="Arial" w:hAnsi="Arial" w:cs="Arial"/>
          <w:lang w:val="fr-SN"/>
        </w:rPr>
        <w:t>eggs</w:t>
      </w:r>
      <w:proofErr w:type="spellEnd"/>
      <w:r w:rsidRPr="000173F3">
        <w:rPr>
          <w:rFonts w:ascii="Arial" w:hAnsi="Arial" w:cs="Arial"/>
          <w:lang w:val="fr-SN"/>
        </w:rPr>
        <w:t xml:space="preserve"> in Ireland, </w:t>
      </w:r>
      <w:proofErr w:type="spellStart"/>
      <w:r w:rsidRPr="000173F3">
        <w:rPr>
          <w:rFonts w:ascii="Arial" w:hAnsi="Arial" w:cs="Arial"/>
          <w:lang w:val="fr-SN"/>
        </w:rPr>
        <w:t>with</w:t>
      </w:r>
      <w:proofErr w:type="spellEnd"/>
      <w:r w:rsidRPr="000173F3">
        <w:rPr>
          <w:rFonts w:ascii="Arial" w:hAnsi="Arial" w:cs="Arial"/>
          <w:lang w:val="fr-SN"/>
        </w:rPr>
        <w:t xml:space="preserve"> </w:t>
      </w:r>
      <w:proofErr w:type="spellStart"/>
      <w:r w:rsidRPr="000173F3">
        <w:rPr>
          <w:rFonts w:ascii="Arial" w:hAnsi="Arial" w:cs="Arial"/>
          <w:lang w:val="fr-SN"/>
        </w:rPr>
        <w:t>naphthalene</w:t>
      </w:r>
      <w:proofErr w:type="spellEnd"/>
      <w:r w:rsidRPr="000173F3">
        <w:rPr>
          <w:rFonts w:ascii="Arial" w:hAnsi="Arial" w:cs="Arial"/>
          <w:lang w:val="fr-SN"/>
        </w:rPr>
        <w:t xml:space="preserve"> as the dominant compound. </w:t>
      </w:r>
      <w:r w:rsidRPr="00313E9A">
        <w:rPr>
          <w:rFonts w:ascii="Arial" w:hAnsi="Arial" w:cs="Arial"/>
        </w:rPr>
        <w:t>In black-tailed gull eggs collected in the Republic of Korea, concentration ranged of 0.134</w:t>
      </w:r>
      <w:r w:rsidR="005A7D02">
        <w:rPr>
          <w:rFonts w:ascii="Arial" w:hAnsi="Arial" w:cs="Arial"/>
        </w:rPr>
        <w:t>-</w:t>
      </w:r>
      <w:r w:rsidRPr="00313E9A">
        <w:rPr>
          <w:rFonts w:ascii="Arial" w:hAnsi="Arial" w:cs="Arial"/>
        </w:rPr>
        <w:t xml:space="preserve">0.231mg/kg for total PAHs </w:t>
      </w:r>
      <w:r w:rsidRPr="00313E9A">
        <w:rPr>
          <w:rFonts w:ascii="Arial" w:hAnsi="Arial" w:cs="Arial"/>
        </w:rPr>
        <w:fldChar w:fldCharType="begin"/>
      </w:r>
      <w:r w:rsidRPr="00313E9A">
        <w:rPr>
          <w:rFonts w:ascii="Arial" w:hAnsi="Arial" w:cs="Arial"/>
        </w:rPr>
        <w:instrText xml:space="preserve"> ADDIN ZOTERO_ITEM CSL_CITATION {"citationID":"RP19VS69","properties":{"formattedCitation":"(Chung et al., 2022)","plainCitation":"(Chung et al., 2022)","noteIndex":0},"citationItems":[{"id":253,"uris":["http://zotero.org/users/18107686/items/ZA85KT4F"],"itemData":{"id":253,"type":"article-journal","abstract":"The simultaneous determination of 8 polychlorinated biphenyls (PCBs), 23 organic chlorine pesticides (OCPs), and 35 polycyclic aromatic hydrocarbons (PAHs) in black-tailed gull eggs was described using ultrasound-assisted extraction and gas chromatography–tandem mass spectrometry (GC–MS/MS). The ranges of the lower limits of detection for PCBs, OCPs, and PAHs were 0.006–0.029, 0.01–0.10, and 0.01–0.20 μg kg−1, respectively. The intraday precision was in the range of 0.650–12.9% and the intraday accuracy was in the range of 86.6–113%. When the proposed method was used to analyze the target compounds in gull eggs collected from six sites in the Republic of Korea, the analytical results demonstrated concentration ranges of 113.32–394.07 µg kg−1 for total PCBs, 422.92–1082.09 µg kg−1 for total OCPs, and 134.50–231.27 µg kg−1 for total PAHs in the samples. The PCA results for PAHs and OCPs were well differentiated by sampling site, whereas those for PCBs differed little by sampling site. There were more pyrogenic PAHs in the West Sea and the South Sea with many industrial areas than in the East Sea with few industrial areas. Differences in the OCP patterns of samples from the West Sea close to China were considered to be related to the use of DDT in China until recently. PCBs were accumulated in the samples regardless of region, so there was no significant difference in the PCB patterns between the samples obtained from the three Seas.","container-title":"Environmental Monitoring and Assessment","DOI":"10.1007/s10661-022-09905-w","ISSN":"1573-2959","issue":"4","journalAbbreviation":"Environ Monit Assess","language":"en","page":"268","source":"Springer Link","title":"Quantitative analysis and contamination profiles of PCBs, OCPs, and PAHs in black-tailed gull eggs in the Republic of Korea","volume":"194","author":[{"family":"Chung","given":"David"},{"family":"Lee","given":"Jang-Ho"},{"family":"Lee","given":"Soo-Yong"},{"family":"Oh","given":"Yun-Suk"},{"family":"Shin","given":"Ho-Sang"}],"issued":{"date-parts":[["2022",3,9]]}}}],"schema":"https://github.com/citation-style-language/schema/raw/master/csl-citation.json"} </w:instrText>
      </w:r>
      <w:r w:rsidRPr="00313E9A">
        <w:rPr>
          <w:rFonts w:ascii="Arial" w:hAnsi="Arial" w:cs="Arial"/>
        </w:rPr>
        <w:fldChar w:fldCharType="separate"/>
      </w:r>
      <w:r w:rsidR="00193A80">
        <w:rPr>
          <w:rFonts w:ascii="Arial" w:hAnsi="Arial" w:cs="Arial"/>
        </w:rPr>
        <w:t>(Chung et al., 2022)</w:t>
      </w:r>
      <w:r w:rsidRPr="00313E9A">
        <w:rPr>
          <w:rFonts w:ascii="Arial" w:hAnsi="Arial" w:cs="Arial"/>
        </w:rPr>
        <w:fldChar w:fldCharType="end"/>
      </w:r>
      <w:r w:rsidRPr="00313E9A">
        <w:rPr>
          <w:rFonts w:ascii="Arial" w:hAnsi="Arial" w:cs="Arial"/>
        </w:rPr>
        <w:t xml:space="preserve">. </w:t>
      </w:r>
    </w:p>
    <w:p w14:paraId="02BFC395" w14:textId="77777777" w:rsidR="002C2A7A" w:rsidRPr="00313E9A" w:rsidRDefault="002C2A7A" w:rsidP="00804511">
      <w:pPr>
        <w:jc w:val="both"/>
        <w:rPr>
          <w:rFonts w:ascii="Arial" w:hAnsi="Arial" w:cs="Arial"/>
          <w:b/>
        </w:rPr>
      </w:pPr>
    </w:p>
    <w:p w14:paraId="11BED7DD" w14:textId="77777777" w:rsidR="00804511" w:rsidRPr="00313E9A" w:rsidRDefault="00804511" w:rsidP="00804511">
      <w:pPr>
        <w:jc w:val="both"/>
        <w:rPr>
          <w:rFonts w:ascii="Arial" w:hAnsi="Arial" w:cs="Arial"/>
          <w:b/>
        </w:rPr>
      </w:pPr>
      <w:r w:rsidRPr="00313E9A">
        <w:rPr>
          <w:rFonts w:ascii="Arial" w:hAnsi="Arial" w:cs="Arial"/>
          <w:b/>
          <w:bCs/>
        </w:rPr>
        <w:t xml:space="preserve">4.3 </w:t>
      </w:r>
      <w:r w:rsidRPr="00313E9A">
        <w:rPr>
          <w:rFonts w:ascii="Arial" w:hAnsi="Arial" w:cs="Arial"/>
          <w:b/>
        </w:rPr>
        <w:t>Potential sources of pollution</w:t>
      </w:r>
    </w:p>
    <w:p w14:paraId="616BFD9F" w14:textId="086D6797" w:rsidR="00804511" w:rsidRPr="00313E9A" w:rsidRDefault="00804511" w:rsidP="00804511">
      <w:pPr>
        <w:jc w:val="both"/>
        <w:rPr>
          <w:rFonts w:ascii="Arial" w:hAnsi="Arial" w:cs="Arial"/>
        </w:rPr>
      </w:pPr>
      <w:r w:rsidRPr="00313E9A">
        <w:rPr>
          <w:rFonts w:ascii="Arial" w:hAnsi="Arial" w:cs="Arial"/>
        </w:rPr>
        <w:t xml:space="preserve">The elevated levels of both ETMs and PAHs observed in seabird eggs suggest sustained and potentially diverse contamination sources around the breeding sites. At PNLB, the proximity to major shipping routes and artisanal fishing harbors increases the likelihood of hydrocarbon leaks and anti-fouling paint residues, both known to contain heavy metals such as Pb, as well as PAHs </w:t>
      </w:r>
      <w:r w:rsidRPr="00313E9A">
        <w:rPr>
          <w:rFonts w:ascii="Arial" w:hAnsi="Arial" w:cs="Arial"/>
        </w:rPr>
        <w:fldChar w:fldCharType="begin"/>
      </w:r>
      <w:r w:rsidRPr="00313E9A">
        <w:rPr>
          <w:rFonts w:ascii="Arial" w:hAnsi="Arial" w:cs="Arial"/>
        </w:rPr>
        <w:instrText xml:space="preserve"> ADDIN ZOTERO_ITEM CSL_CITATION {"citationID":"opJ45qs9","properties":{"formattedCitation":"(Ackerman et al., 2016; Scheuhammer, 1987; Ytreberg et al., 2020)","plainCitation":"(Ackerman et al., 2016; Scheuhammer, 1987; Ytreberg et al., 2020)","noteIndex":0},"citationItems":[{"id":22,"uris":["http://zotero.org/users/18107686/items/FKL6U42H"],"itemData":{"id":22,"type":"article-journal","abstract":"Methylmercury contamination of the environment is an important issue globally, and birds are useful bioindicators for mercury monitoring programs. The available data on mercury contamination of birds in western North America were synthesized. Original data from multiple databases were obtained and a literature review was conducted to obtain additional mercury concentrations. In total, 29219 original bird mercury concentrations from 225 species were compiled, and an additional 1712 mean mercury concentrations, representing 19998 individuals and 176 species, from 200 publications were obtained. To make mercury data comparable across bird tissues, published equations of tissue mercury correlations were used to convert all mercury concentrations into blood-equivalent mercury concentrations. Blood-equivalent mercury concentrations differed among species, foraging guilds, habitat types, locations, and ecoregions. Piscivores and carnivores exhibited the greatest mercury concentrations, whereas herbivores and granivores exhibited the lowest mercury concentrations. Bird mercury concentrations were greatest in ocean and salt marsh habitats and lowest in terrestrial habitats. Bird mercury concentrations were above toxicity benchmarks in many areas throughout western North America, and multiple hotspots were identified. Additionally, published toxicity benchmarks established in multiple tissues were summarized and translated into a common blood-equivalent mercury concentration. Overall, 66% of birds sampled in western North American exceeded a blood-equivalent mercury concentration of 0.2 μg/g wet weight (ww; above background levels), which is the lowest-observed effect level, 28% exceeded 1.0 μg/g ww (moderate risk), 8% exceeded 3.0 μg/g ww (high risk), and 4% exceeded 4.0 μg/g ww (severe risk). Mercury monitoring programs should sample bird tissues, such as adult blood and eggs, that are most-easily translated into tissues with well-developed toxicity benchmarks and that are directly relevant to bird reproduction. Results indicate that mercury contamination of birds is prevalent in many areas throughout western North America, and large-scale ecological attributes are important factors influencing bird mercury concentrations.","container-title":"Science of The Total Environment","DOI":"10.1016/j.scitotenv.2016.03.071","ISSN":"0048-9697","journalAbbreviation":"Science of The Total Environment","page":"749-769","source":"ScienceDirect","title":"Avian mercury exposure and toxicological risk across western North America: A synthesis","title-short":"Avian mercury exposure and toxicological risk across western North America","volume":"568","author":[{"family":"Ackerman","given":"Joshua T."},{"family":"Eagles-Smith","given":"Collin A."},{"family":"Herzog","given":"Mark P."},{"family":"Hartman","given":"C. Alex"},{"family":"Peterson","given":"Sarah H."},{"family":"Evers","given":"David C."},{"family":"Jackson","given":"Allyson K."},{"family":"Elliott","given":"John E."},{"family":"Vander Pol","given":"Stacy S."},{"family":"Bryan","given":"Colleen E."}],"issued":{"date-parts":[["2016",10,15]]}}},{"id":78,"uris":["http://zotero.org/users/18107686/items/L4IKNSSS"],"itemData":{"id":78,"type":"article-journal","abstract":"The toxicity of chronic dietary metal exposure in birds is reviewed. It is concluded that significant physiological and biochemical responses to such exposure conditions occur at dietary metal concentrations insufficient to cause signs of overt toxicity. Particularly important are reproductive effects which include decreased egg production, decreased hatchability, and increased hatchling mortality. Young, growing birds are typically more sensitive to the toxic effects of chronic metal exposure than adults, and altricial species are often more sensitive than precocial species. Factors which modify the absorption and toxicity of heavy metals, such as Se for the case of Hg, and Ca for the case of Pb and Cd, are discussed. Monitoring strategies for assessing environmental metal exposure in birds are evaluated.","container-title":"Environmental Pollution","DOI":"10.1016/0269-7491(87)90173-4","ISSN":"0269-7491","issue":"4","journalAbbreviation":"Environmental Pollution","page":"263-295","source":"ScienceDirect","title":"The chronic toxicity of aluminium, cadmium, mercury, and lead in birds: A review","title-short":"The chronic toxicity of aluminium, cadmium, mercury, and lead in birds","volume":"46","author":[{"family":"Scheuhammer","given":"A. M."}],"issued":{"date-parts":[["1987",1,1]]}}},{"id":319,"uris":["http://zotero.org/users/18107686/items/XSHZPPYC"],"itemData":{"id":319,"type":"article-journal","abstract":"Discharge of grey water from ships is today unregulated in most sea areas, including the Baltic Sea. Annually, an estimated 5.5 million m3 grey water is emitted to the Baltic Sea with largest contribution from RoPax (4.25 million m3) and cruise ships (0.65 million m3). In total 44 different contaminants in grey water was identified and sorted into the sub categories organic compounds (28) and metals (16). Zinc and copper had the highest average concentrations with yearly inputs of 2.8 tons (zinc) and 1.5 tons (copper). 159 tons of nitrogen and 26.4 tons of phosphorus were estimated to be discharged to the Baltic Sea annually. An environmental risk assessment of contaminants, performed at a shipping lane in the Baltic Sea, showed the risk for adverse effects from grey water to be low. Nitrogen and phosphorus input from grey water contributes to 0.25% of the exceedance of, for the Baltic Sea set, eutrophication target.","container-title":"Marine Pollution Bulletin","DOI":"10.1016/j.marpolbul.2020.110891","ISSN":"0025-326X","journalAbbreviation":"Marine Pollution Bulletin","page":"110891","source":"ScienceDirect","title":"Environmental impacts of grey water discharge from ships in the Baltic Sea","volume":"152","author":[{"family":"Ytreberg","given":"Erik"},{"family":"Eriksson","given":"Martin"},{"family":"Maljutenko","given":"Ilja"},{"family":"Jalkanen","given":"Jukka-Pekka"},{"family":"Johansson","given":"Lasse"},{"family":"Hassellöv","given":"Ida-Maja"},{"family":"Granhag","given":"Lena"}],"issued":{"date-parts":[["2020",3,1]]}}}],"schema":"https://github.com/citation-style-language/schema/raw/master/csl-citation.json"} </w:instrText>
      </w:r>
      <w:r w:rsidRPr="00313E9A">
        <w:rPr>
          <w:rFonts w:ascii="Arial" w:hAnsi="Arial" w:cs="Arial"/>
        </w:rPr>
        <w:fldChar w:fldCharType="separate"/>
      </w:r>
      <w:r w:rsidR="00193A80">
        <w:rPr>
          <w:rFonts w:ascii="Arial" w:hAnsi="Arial" w:cs="Arial"/>
        </w:rPr>
        <w:t xml:space="preserve">(Ackerman et al., 2016; </w:t>
      </w:r>
      <w:proofErr w:type="spellStart"/>
      <w:r w:rsidR="00193A80">
        <w:rPr>
          <w:rFonts w:ascii="Arial" w:hAnsi="Arial" w:cs="Arial"/>
        </w:rPr>
        <w:t>Scheuhammer</w:t>
      </w:r>
      <w:proofErr w:type="spellEnd"/>
      <w:r w:rsidR="00193A80">
        <w:rPr>
          <w:rFonts w:ascii="Arial" w:hAnsi="Arial" w:cs="Arial"/>
        </w:rPr>
        <w:t xml:space="preserve">, 1987; </w:t>
      </w:r>
      <w:proofErr w:type="spellStart"/>
      <w:r w:rsidR="00193A80">
        <w:rPr>
          <w:rFonts w:ascii="Arial" w:hAnsi="Arial" w:cs="Arial"/>
        </w:rPr>
        <w:t>Ytreberg</w:t>
      </w:r>
      <w:proofErr w:type="spellEnd"/>
      <w:r w:rsidR="00193A80">
        <w:rPr>
          <w:rFonts w:ascii="Arial" w:hAnsi="Arial" w:cs="Arial"/>
        </w:rPr>
        <w:t xml:space="preserve"> et al., 2020)</w:t>
      </w:r>
      <w:r w:rsidRPr="00313E9A">
        <w:rPr>
          <w:rFonts w:ascii="Arial" w:hAnsi="Arial" w:cs="Arial"/>
        </w:rPr>
        <w:fldChar w:fldCharType="end"/>
      </w:r>
      <w:r w:rsidRPr="00313E9A">
        <w:rPr>
          <w:rFonts w:ascii="Arial" w:hAnsi="Arial" w:cs="Arial"/>
        </w:rPr>
        <w:t xml:space="preserve">. In addition, the Saloum Delta is characterized by intense pirogue traffic, supporting artisanal fisheries and inter-island transportation. These wooden motorized boats frequently use low-grade fuel and lubricants, which may leak or be discharged into the water, contributing significantly to localized hydrocarbon contamination and combustion-derived PAHs. Similarly, at PNDS, the coastal zone of Saint-Louis supports a dense fishing community with heavy reliance on motorized pirogues. Fuel spills during engine maintenance, oil discharges, and proximity to fish landing sites can lead to increased input of petroleum-based pollutants, including PAHs and trace metals, particularly in sheltered estuarine waters. This fishing-related activity adds to existing sources such as domestic wastewater discharge, landfill runoff, and untreated industrial effluents. The region’s extensive use of open-field burning for agricultural waste and mangrove wood harvesting can also release PAHs and mobilize trace metals into the estuarine system </w:t>
      </w:r>
      <w:r w:rsidRPr="00313E9A">
        <w:rPr>
          <w:rFonts w:ascii="Arial" w:hAnsi="Arial" w:cs="Arial"/>
        </w:rPr>
        <w:fldChar w:fldCharType="begin"/>
      </w:r>
      <w:r w:rsidRPr="00313E9A">
        <w:rPr>
          <w:rFonts w:ascii="Arial" w:hAnsi="Arial" w:cs="Arial"/>
        </w:rPr>
        <w:instrText xml:space="preserve"> ADDIN ZOTERO_ITEM CSL_CITATION {"citationID":"1KtCQxnL","properties":{"formattedCitation":"(Manoj &amp; Padhy, 2014)","plainCitation":"(Manoj &amp; Padhy, 2014)","noteIndex":0},"citationItems":[{"id":281,"uris":["http://zotero.org/users/18107686/items/454PQ4DX"],"itemData":{"id":281,"type":"article-journal","abstract":"Distribution and enrichment of six elements (iron, zinc, copper, lead, cadmium and manganese) in surface bed sediments, collected from seventeen selected locations during pre-monsoon and postmonsoon periods, of the tropical Chottanagpur plateau river Subarnarekha along with the ecological risks involved were investigated. Owing to the rich occurrence of mineral resources, the Subarnarekha river basin has a large scale presence of industrial and mining units especially in the Indian State of Jharkhand. An assessment, which involved examining distribution pattern of elements, comparative studies with sediment quality guidelines (SQGs) and geochemical background values and a sequential and integrated index analyses approach (containing contamination factor (CF), pollution load index (PLI), contamination degree (CD), enrichment factor (EF), geo-accumulation index (Igeo) and potential ecological risk index (PERI)), was followed to estimate enrichment and risks of elements in the bed sediments. Sediments collected from areas having abundance of population, industrial conglomerates and mining units recorded elevated element concentrations, which exceeded SQGs, and significantly higher values of CF, CD, PLI, EF, Igeo and PERI. Cadmium demonstrated surprising regularity in its enrichment; contributed most to the ecological risks; and high toxicity risks due to cadmium exceeded 64% of the sites. Moreover, chronic exposures of other elements would also lead to similar ecological risks. In addition to revealing potential ecological risks due to cadmium and other elements our investigation markedly highlighted anthropogenic control over sediment quality deterioration and some immediate sediment quality management strategies are needed to remediate and control river bed contamination.","container-title":"Journal of Environmental Protection","DOI":"10.4236/jep.2014.514136","issue":"14","language":"en","license":"http://creativecommons.org/licenses/by/4.0/","page":"1419-1434","publisher":"Scientific Research Publishing","source":"www.scirp.org","title":"Distribution, Enrichment and Ecological Risk Assessment of Six Elements in Bed Sediments of a Tropical River, Chottanagpur Plateau: A Spatial and Temporal Appraisal","title-short":"Distribution, Enrichment and Ecological Risk Assessment of Six Elements in Bed Sediments of a Tropical River, Chottanagpur Plateau","volume":"5","author":[{"family":"Manoj","given":"Kumar"},{"family":"Padhy","given":"Pratap Kumar"}],"issued":{"date-parts":[["2014",11,20]]}}}],"schema":"https://github.com/citation-style-language/schema/raw/master/csl-citation.json"} </w:instrText>
      </w:r>
      <w:r w:rsidRPr="00313E9A">
        <w:rPr>
          <w:rFonts w:ascii="Arial" w:hAnsi="Arial" w:cs="Arial"/>
        </w:rPr>
        <w:fldChar w:fldCharType="separate"/>
      </w:r>
      <w:r w:rsidR="00193A80">
        <w:rPr>
          <w:rFonts w:ascii="Arial" w:hAnsi="Arial" w:cs="Arial"/>
        </w:rPr>
        <w:t>(</w:t>
      </w:r>
      <w:proofErr w:type="spellStart"/>
      <w:r w:rsidR="00193A80">
        <w:rPr>
          <w:rFonts w:ascii="Arial" w:hAnsi="Arial" w:cs="Arial"/>
        </w:rPr>
        <w:t>Manoj</w:t>
      </w:r>
      <w:proofErr w:type="spellEnd"/>
      <w:r w:rsidR="00193A80">
        <w:rPr>
          <w:rFonts w:ascii="Arial" w:hAnsi="Arial" w:cs="Arial"/>
        </w:rPr>
        <w:t xml:space="preserve"> &amp; </w:t>
      </w:r>
      <w:proofErr w:type="spellStart"/>
      <w:r w:rsidR="00193A80">
        <w:rPr>
          <w:rFonts w:ascii="Arial" w:hAnsi="Arial" w:cs="Arial"/>
        </w:rPr>
        <w:t>Padhy</w:t>
      </w:r>
      <w:proofErr w:type="spellEnd"/>
      <w:r w:rsidR="00193A80">
        <w:rPr>
          <w:rFonts w:ascii="Arial" w:hAnsi="Arial" w:cs="Arial"/>
        </w:rPr>
        <w:t>, 2014)</w:t>
      </w:r>
      <w:r w:rsidRPr="00313E9A">
        <w:rPr>
          <w:rFonts w:ascii="Arial" w:hAnsi="Arial" w:cs="Arial"/>
        </w:rPr>
        <w:fldChar w:fldCharType="end"/>
      </w:r>
      <w:r w:rsidRPr="00313E9A">
        <w:rPr>
          <w:rFonts w:ascii="Arial" w:hAnsi="Arial" w:cs="Arial"/>
        </w:rPr>
        <w:t xml:space="preserve">. Furthermore, sediment resuspension during tidal cycles could reintroduce legacy </w:t>
      </w:r>
      <w:r w:rsidRPr="00313E9A">
        <w:rPr>
          <w:rFonts w:ascii="Arial" w:hAnsi="Arial" w:cs="Arial"/>
        </w:rPr>
        <w:lastRenderedPageBreak/>
        <w:t xml:space="preserve">contaminants into the food web. The consistent detection of benzo(a)pyrene as a dominant PAH in egg contents points to pyrogenic origins, typically associated with incomplete combustion of fossil fuels and biomass. The accumulation of plastic debris, increasingly documented in West African marine environments, may also act as a secondary vector for both PAHs and trace metals through sorption and ingestion by prey species </w:t>
      </w:r>
      <w:r w:rsidRPr="00313E9A">
        <w:rPr>
          <w:rFonts w:ascii="Arial" w:hAnsi="Arial" w:cs="Arial"/>
        </w:rPr>
        <w:fldChar w:fldCharType="begin"/>
      </w:r>
      <w:r w:rsidRPr="00313E9A">
        <w:rPr>
          <w:rFonts w:ascii="Arial" w:hAnsi="Arial" w:cs="Arial"/>
        </w:rPr>
        <w:instrText xml:space="preserve"> ADDIN ZOTERO_ITEM CSL_CITATION {"citationID":"F5kMASQC","properties":{"formattedCitation":"(Diansyah et al., 2024)","plainCitation":"(Diansyah et al., 2024)","noteIndex":0},"citationItems":[{"id":258,"uris":["http://zotero.org/users/18107686/items/4I57CC9Y"],"itemData":{"id":258,"type":"article-journal","abstract":"Tidal dynamics contribute to fluctuations in microplastic abundance (MPs). This is the first study to characterize MPs under the influence of tidal fluctuations in the Musi River Estuary. MPs samples were collected during flood and ebb tides at 10 research stations representing the inner, middle and outer parts of the Musi River Estuary. MPs were extracted to identify the shape, color and size. MP abundances were 467.67 ± 127.84 particles/m3 during flood tide and 723.67 ± 112.05 particles/m3 during ebb tide. The concentration of MPs in the outer zone of the estuary (ocean) was detected to be higher than in the inner zone of the estuary (river). The MPs found were dominated by black color, film shape and size 101–250 μm. A greater abundance of MPs at ebb tide than at flood tide implies that the Musi Estuary's largest source of emissions is discharge from the river.","container-title":"Marine Pollution Bulletin","DOI":"10.1016/j.marpolbul.2024.116431","ISSN":"0025-326X","journalAbbreviation":"Marine Pollution Bulletin","page":"116431","source":"ScienceDirect","title":"Dynamics of microplastic abundance under tidal fluctuation in Musi estuary, Indonesia","volume":"203","author":[{"family":"Diansyah","given":"Gusti"},{"literal":"Rozirwan"},{"family":"Rahman","given":"M. Akbar"},{"family":"Nugroho","given":"Redho Yoga"},{"family":"Syakti","given":"Agung Dhamar"}],"issued":{"date-parts":[["2024",6,1]]}}}],"schema":"https://github.com/citation-style-language/schema/raw/master/csl-citation.json"} </w:instrText>
      </w:r>
      <w:r w:rsidRPr="00313E9A">
        <w:rPr>
          <w:rFonts w:ascii="Arial" w:hAnsi="Arial" w:cs="Arial"/>
        </w:rPr>
        <w:fldChar w:fldCharType="separate"/>
      </w:r>
      <w:r w:rsidR="00193A80">
        <w:rPr>
          <w:rFonts w:ascii="Arial" w:hAnsi="Arial" w:cs="Arial"/>
        </w:rPr>
        <w:t>(</w:t>
      </w:r>
      <w:proofErr w:type="spellStart"/>
      <w:r w:rsidR="00193A80">
        <w:rPr>
          <w:rFonts w:ascii="Arial" w:hAnsi="Arial" w:cs="Arial"/>
        </w:rPr>
        <w:t>Diansyah</w:t>
      </w:r>
      <w:proofErr w:type="spellEnd"/>
      <w:r w:rsidR="00193A80">
        <w:rPr>
          <w:rFonts w:ascii="Arial" w:hAnsi="Arial" w:cs="Arial"/>
        </w:rPr>
        <w:t xml:space="preserve"> et al., 2024)</w:t>
      </w:r>
      <w:r w:rsidRPr="00313E9A">
        <w:rPr>
          <w:rFonts w:ascii="Arial" w:hAnsi="Arial" w:cs="Arial"/>
        </w:rPr>
        <w:fldChar w:fldCharType="end"/>
      </w:r>
      <w:r w:rsidRPr="00313E9A">
        <w:rPr>
          <w:rFonts w:ascii="Arial" w:hAnsi="Arial" w:cs="Arial"/>
        </w:rPr>
        <w:t>. Overall, the contamination patterns observed in seabird eggs likely reflect a combination of point-source discharges and diffuse, chronic inputs related to human activity across both marine and terrestrial interfaces.</w:t>
      </w:r>
    </w:p>
    <w:p w14:paraId="06EDA06C" w14:textId="77777777" w:rsidR="007847E2" w:rsidRPr="00313E9A" w:rsidRDefault="007847E2" w:rsidP="00804511">
      <w:pPr>
        <w:jc w:val="both"/>
        <w:rPr>
          <w:rFonts w:ascii="Arial" w:hAnsi="Arial" w:cs="Arial"/>
        </w:rPr>
      </w:pPr>
    </w:p>
    <w:p w14:paraId="652FF2AC" w14:textId="77777777" w:rsidR="007847E2" w:rsidRPr="00313E9A" w:rsidRDefault="00804511" w:rsidP="007847E2">
      <w:pPr>
        <w:outlineLvl w:val="2"/>
        <w:rPr>
          <w:rFonts w:ascii="Arial" w:hAnsi="Arial" w:cs="Arial"/>
          <w:b/>
          <w:bCs/>
        </w:rPr>
      </w:pPr>
      <w:r w:rsidRPr="00313E9A">
        <w:rPr>
          <w:rFonts w:ascii="Arial" w:hAnsi="Arial" w:cs="Arial"/>
          <w:b/>
          <w:bCs/>
        </w:rPr>
        <w:t>4.4 Eggshell and egg content contamination levels comparison</w:t>
      </w:r>
    </w:p>
    <w:p w14:paraId="7B7DAD76" w14:textId="71281DEE" w:rsidR="00E053D0" w:rsidRPr="00313E9A" w:rsidRDefault="00804511" w:rsidP="007847E2">
      <w:pPr>
        <w:spacing w:after="100" w:afterAutospacing="1"/>
        <w:jc w:val="both"/>
        <w:outlineLvl w:val="2"/>
        <w:rPr>
          <w:rFonts w:ascii="Arial" w:hAnsi="Arial" w:cs="Arial"/>
          <w:b/>
          <w:bCs/>
        </w:rPr>
      </w:pPr>
      <w:r w:rsidRPr="00313E9A">
        <w:rPr>
          <w:rFonts w:ascii="Arial" w:hAnsi="Arial" w:cs="Arial"/>
        </w:rPr>
        <w:t xml:space="preserve">Eggshells generally accumulated higher concentrations of lead (Pb) and cadmium (Cd) than egg contents, particularly in royal terns, as observed in other bird species </w:t>
      </w:r>
      <w:r w:rsidRPr="00803898">
        <w:rPr>
          <w:rFonts w:ascii="Arial" w:hAnsi="Arial" w:cs="Arial"/>
        </w:rPr>
        <w:fldChar w:fldCharType="begin"/>
      </w:r>
      <w:r w:rsidRPr="00803898">
        <w:rPr>
          <w:rFonts w:ascii="Arial" w:hAnsi="Arial" w:cs="Arial"/>
        </w:rPr>
        <w:instrText xml:space="preserve"> ADDIN ZOTERO_ITEM CSL_CITATION {"citationID":"BcoJMZPS","properties":{"formattedCitation":"(Dauwe et al., 2005; Or\\uc0\\u322{}owski et al., 2019)","plainCitation":"(Dauwe et al., 2005; Orłowski et al., 2019)","noteIndex":0},"citationItems":[{"id":257,"uris":["http://zotero.org/users/18107686/items/8R8VGXH8"],"itemData":{"id":257,"type":"article-journal","abstract":"Egg laying may be an additional excretory pathway for heavy metals available to laying female birds. In this study, we examined the relationships between tissue concentrations (both internal organs and feathers) of 10 breeding female great tits (Parus major) and the concentrations in their eggs. We also investigated differences in metal concentrations (Ag, Al, As, Cd, Co, Cr, Cu, Hg, Mn, Ni, Pb, Zn) among eggs as a result of the laying order of the eggs. Heavy-metal concentrations in internal tissues were highest in bone (Cr, Ni, Pb, Zn), kidney (Cd), liver (Cu), blood (Al, As, Co, Hg), and intestine (Ag, Mn). In the egg contents, relatively high concentrations of the essential elements Cr, Co, Cu, Mn, Ni, and Zn were found. In eggshells, concentrations of Ag, Al, As, Co, Cr, and Ni were high compared with internal tissue concentrations. Metal concentrations in the egg contents and eggshells were poorly correlated with metal concentrations in internal tissues and feathers; significant positive correlations were found only for cadmium and lead. We found few significant differences in metal concentrations among eggs, and none were according to the laying order of the eggs. The egg volume tended to decrease significantly as egg laying progressed. Our results seem to suggest that no special sampling strategies (e.g., sampling the first egg or pooling eggs from one clutch) are required for most metals.","container-title":"Archives of Environmental Contamination and Toxicology","DOI":"10.1007/s00244-003-0209-z","ISSN":"1432-0703","issue":"2","journalAbbreviation":"Arch Environ Contam Toxicol","language":"en","page":"249-256","source":"Springer Link","title":"Heavy-Metal Concentrations in Female Laying Great Tits (Parus major)and Their Clutches","volume":"49","author":[{"family":"Dauwe","given":"T."},{"family":"Janssens","given":"E."},{"family":"Bervoets","given":"L."},{"family":"Blust","given":"R."},{"family":"Eens","given":"M."}],"issued":{"date-parts":[["2005",8,1]]}}},{"id":328,"uris":["http://zotero.org/users/18107686/items/ZA7D2UN9"],"itemData":{"id":328,"type":"article-journal","abstract":"Whether Ca and other micronutrients are equally distributed in an avian eggshell over its longitudinal section and what portion of these local resources are utilized by developing embryos are unanswered questions in avian reproductive physiology. Here, we measured the thickness and concentrations of Ca and 16 other chemical elements (Al, As, Cd, Co, Cr, Cu, Fe, Hg, K, Mg, Mn, Na, Ni, Pb, Se, and Sr) in 4 shell regions (sharp pole, equator, shoulder, blunt pole) of White Stork (Ciconia ciconia) eggs representing different stages of embryonic development, from unresorbed eggshells to almost fully resorbed ones (with near-to-hatch embryos). We found that unresorbed eggshells displayed several significant differences in the concentrations of 15 elements (Al, As, Ca, Cd, Co, Cr, Fe, K, Hg, Mg, Mn, Na, Ni, Se, and Sr) between various regions of the same shell. Only 2 metals (As and Ca) showed a cross-sectional decrease in concentrations from the sharp pole to the blunt one. In particular, we observed that unresorbed eggshells at the blunt pole were less calcified (with 2.4% less Ca) compared to the sharp pole. In contrast, the concentrations of 6 other metals (Co, Fe, Mg, Mn, Na, and Se) peaked in the relatively less calcified region of the blunt pole, where concentrations (such as Se) were up to 10 times as high as in other regions of unresorbed eggshells. Our findings highlight that eggshells over their longitudinal sections are not chemically homogeneous. Surprisingly, however, and contrary to our expectations, we found that unresorbed eggshells were thinner (2.1–5.9% less depending on the region) and at the same time more strongly calcified than resorbed eggshells. This suggests that some modification has occurred in the shell structure and raises the question of thin-shelled eggs in populations of wild birds.","container-title":"The Auk","DOI":"10.1093/auk/ukz026","ISSN":"1938-4254","issue":"3","journalAbbreviation":"Auk","page":"ukz026","source":"Silverchair","title":"Calcium and metals are not evenly distributed in avian eggshells over their longitudinal section","volume":"136","author":[{"family":"Orłowski","given":"Grzegorz"},{"family":"Siekiera","given":"Joachim"},{"family":"Karg","given":"Jerzy"},{"family":"Tobolka","given":"Marcin"},{"family":"Wuczyński","given":"Andrzej"},{"family":"Kaługa","given":"Ireneusz"},{"family":"Siekiera","given":"Artur"},{"family":"Cyga-Döhner","given":"Roman"},{"family":"Dudzik","given":"Eliza"}],"issued":{"date-parts":[["2019",8,28]]}}}],"schema":"https://github.com/citation-style-language/schema/raw/master/csl-citation.json"} </w:instrText>
      </w:r>
      <w:r w:rsidRPr="00803898">
        <w:rPr>
          <w:rFonts w:ascii="Arial" w:hAnsi="Arial" w:cs="Arial"/>
        </w:rPr>
        <w:fldChar w:fldCharType="separate"/>
      </w:r>
      <w:r w:rsidR="00193A80" w:rsidRPr="00A32C06">
        <w:rPr>
          <w:rFonts w:ascii="Arial" w:hAnsi="Arial" w:cs="Arial"/>
          <w:szCs w:val="24"/>
        </w:rPr>
        <w:t>(</w:t>
      </w:r>
      <w:proofErr w:type="spellStart"/>
      <w:r w:rsidR="00193A80" w:rsidRPr="00A32C06">
        <w:rPr>
          <w:rFonts w:ascii="Arial" w:hAnsi="Arial" w:cs="Arial"/>
          <w:szCs w:val="24"/>
        </w:rPr>
        <w:t>Dauwe</w:t>
      </w:r>
      <w:proofErr w:type="spellEnd"/>
      <w:r w:rsidR="00193A80" w:rsidRPr="00A32C06">
        <w:rPr>
          <w:rFonts w:ascii="Arial" w:hAnsi="Arial" w:cs="Arial"/>
          <w:szCs w:val="24"/>
        </w:rPr>
        <w:t xml:space="preserve"> et al., 2005; </w:t>
      </w:r>
      <w:proofErr w:type="spellStart"/>
      <w:r w:rsidR="00193A80" w:rsidRPr="00A32C06">
        <w:rPr>
          <w:rFonts w:ascii="Arial" w:hAnsi="Arial" w:cs="Arial"/>
          <w:szCs w:val="24"/>
        </w:rPr>
        <w:t>Orłowski</w:t>
      </w:r>
      <w:proofErr w:type="spellEnd"/>
      <w:r w:rsidR="00193A80" w:rsidRPr="00A32C06">
        <w:rPr>
          <w:rFonts w:ascii="Arial" w:hAnsi="Arial" w:cs="Arial"/>
          <w:szCs w:val="24"/>
        </w:rPr>
        <w:t xml:space="preserve"> et al., 2019)</w:t>
      </w:r>
      <w:r w:rsidRPr="00803898">
        <w:rPr>
          <w:rFonts w:ascii="Arial" w:hAnsi="Arial" w:cs="Arial"/>
        </w:rPr>
        <w:fldChar w:fldCharType="end"/>
      </w:r>
      <w:r w:rsidRPr="00313E9A">
        <w:rPr>
          <w:rFonts w:ascii="Arial" w:hAnsi="Arial" w:cs="Arial"/>
        </w:rPr>
        <w:t xml:space="preserve">. This phenomenon is well-documented </w:t>
      </w:r>
      <w:r w:rsidRPr="00313E9A">
        <w:rPr>
          <w:rFonts w:ascii="Arial" w:hAnsi="Arial" w:cs="Arial"/>
        </w:rPr>
        <w:fldChar w:fldCharType="begin"/>
      </w:r>
      <w:r w:rsidRPr="00313E9A">
        <w:rPr>
          <w:rFonts w:ascii="Arial" w:hAnsi="Arial" w:cs="Arial"/>
        </w:rPr>
        <w:instrText xml:space="preserve"> ADDIN ZOTERO_ITEM CSL_CITATION {"citationID":"tFwpzMjH","properties":{"formattedCitation":"(Burger, 2006; Pain et al., 2019)","plainCitation":"(Burger, 2006; Pain et al., 2019)","noteIndex":0},"citationItems":[{"id":247,"uris":["http://zotero.org/users/18107686/items/NPAVEM8X"],"itemData":{"id":247,"type":"article-journal","abstract":"A wide range of scientists, managers, governmental agencies, and the public are interested in assessing the health and well-being of species, populations, and ecosystems. This has resulted in increased studies of the usefulness of different indicators as a measure of stressors and contaminants. This paper presents a review of bioindicators since 1970 by using four journals: Science of the Total Environment, Environmental Science and Technology, Environmental Pollution, and Ecotoxicology and Environmental Safety. The overall objective was to examine temporal trends in publications on bioindicators, the species used as bioindicators, the contaminants of concern, and what they indicated (e.g., pollution or air quality). Overall, there has been a steady rise in the publication of papers about indicators since 1970, with nearly 35% of the indicator papers published in the last 5 years. Most papers that use the term indicator or bioindicator deal with some form of pollution, environmental quality, or human health. The greatest percent of indicator papers dealt with metal pollution and other chemical pollution, and the least dealt with oil. Despite the recent attention the developed countries have given to radioactive radiation and nuclear waste storage, only 5% of the papers were describing bioindicators of radiation. Plants accounted for over 40% of the indicator papers, followed by invertebrates and then fish. Of the total indicator papers, less than 2% each were attributable to sediments, reptiles, amphibians, and ecosystems. These data indicate that indicators have not been developed equally for different contaminants or with the use of different species. Mammals and birds, which often represent top-trophic levels, are clearly underrepresented. Although the choice of journals examined clearly affected the results, these data indicate a disproportionate emphasis on plants, overall pollution, and metals. To design an adequate biomonitoring plan, managers and public policy makers require more information on a suite of species from the same location. Only with such information can the best accumulators for particular contaminants be selected. Many people contributed to various aspects of my research and thinking about bioindicators over the years, and I thank them now: M. Gochfeld, E.J. Zillioux, M. Greenberg, B.D. Goldstein, C.W. Powers, K. Cooper, I.L. Brisbin Jr, R. Ramos, C. Dixon, C. Jeitner, K.F. Gaines, R.A. Kennamer, C. Lord, C. Safina, T. Shukla, and S. Shukla. The research reported herein was conducted under approved Rutgers University protocols and was funded by NIMH, NIEHS (ESO 5022), EPA, US Fish &amp; Wildlife Service, National Wildlife Foundation, NJ Endangered and NonGame Species Program, Consortium for Risk Evaluation with Stakeholder Participation (CRESP) through the Department of Energy (AI #DE-FC01-95EW55084), and the Environmental and Occupational Health Sciences Institute. The views expressed in this paper are solely the responsibility of the author, and do not represent those of the funding agencies. Many people contributed to various aspects of my research and thinking about bioindicators over the years, and I thank them now: M. Gochfeld, E.J. Zillioux, M. Greenberg, B.D. Goldstein, C.W. Powers, K. Cooper, I.L. Brisbin Jr, R. Ramos, C. Dixon, C. Jeitner, K.F. Gaines, R.A. Kennamer, C. Lord, C. Safina, T. Shukla, and S. Shukla. The research reported herein was conducted under approved Rutgers University protocols and was funded by NIMH, NIEHS (ESO 5022), EPA, US Fish &amp; Wildlife Service, National Wildlife Foundation, NJ Endangered and NonGame Species Program, Consortium for Risk Evaluation with Stakeholder Participation (CRESP) through the Department of Energy (AI #DE-FC01-95EW55084), and the Environmental and Occupational Health Sciences Institute. The views expressed in this paper are solely the responsibility of the author, and do not represent those of the funding agencies.","container-title":"Environmental Bioindicators","DOI":"10.1080/15555270600701540","ISSN":"1555-5275","issue":"2","note":"_eprint: https://doi.org/10.1080/15555270600701540","page":"136-144","publisher":"Taylor &amp; Francis","source":"Taylor and Francis+NEJM","title":"Bioindicators: A Review of Their Use in the Environmental Literature 1970–2005","title-short":"Bioindicators","volume":"1","author":[{"family":"Burger","given":"Joanna"}],"issued":{"date-parts":[["2006",7,1]]}}},{"id":295,"uris":["http://zotero.org/users/18107686/items/66JRIQXR"],"itemData":{"id":295,"type":"article-journal","abstract":"Poisoning of wild birds following ingestion of lead from ammunition has long been recognised and considerable recent research has focused on terrestrial birds, including raptors and scavengers. This paper builds upon previous reviews and finds that both the number of taxa affected and geographical spread of cases has increased. Some lead may also be absorbed from embedded ammunition fragments in injured birds which risk sub-lethal and welfare effects. Some papers suggest inter-specific differences in sensitivity to lead, although it is difficult to disentangle these from other factors that influence effect severity. Sub-lethal effects have been found at lower blood lead concentrations than previously reported, suggesting that previous effect-level ‘thresholds’ should be abandoned or revised. Lead poisoning is estimated to kill a million wildfowl a year in Europe and cause sub-lethal poisoning in another ≥ 3 million. Modelling and correlative studies have supported the potential for population-level effects of lead poisoning in wildfowl, terrestrial birds, raptors and scavengers.","container-title":"Ambio","DOI":"10.1007/s13280-019-01159-0","ISSN":"1654-7209","issue":"9","journalAbbreviation":"Ambio","language":"en","page":"935-953","source":"Springer Link","title":"Effects of lead from ammunition on birds and other wildlife: A review and update","title-short":"Effects of lead from ammunition on birds and other wildlife","volume":"48","author":[{"family":"Pain","given":"Deborah J."},{"family":"Mateo","given":"Rafael"},{"family":"Green","given":"Rhys E."}],"issued":{"date-parts":[["2019",9,1]]}}}],"schema":"https://github.com/citation-style-language/schema/raw/master/csl-citation.json"} </w:instrText>
      </w:r>
      <w:r w:rsidRPr="00313E9A">
        <w:rPr>
          <w:rFonts w:ascii="Arial" w:hAnsi="Arial" w:cs="Arial"/>
        </w:rPr>
        <w:fldChar w:fldCharType="separate"/>
      </w:r>
      <w:r w:rsidR="00193A80">
        <w:rPr>
          <w:rFonts w:ascii="Arial" w:hAnsi="Arial" w:cs="Arial"/>
          <w:noProof/>
        </w:rPr>
        <w:t>(Burger, 2006; Pain et al., 2019)</w:t>
      </w:r>
      <w:r w:rsidRPr="00313E9A">
        <w:rPr>
          <w:rFonts w:ascii="Arial" w:hAnsi="Arial" w:cs="Arial"/>
        </w:rPr>
        <w:fldChar w:fldCharType="end"/>
      </w:r>
      <w:r w:rsidRPr="00313E9A">
        <w:rPr>
          <w:rFonts w:ascii="Arial" w:hAnsi="Arial" w:cs="Arial"/>
        </w:rPr>
        <w:t xml:space="preserve"> and is attributed to the passive incorporation of metals during eggshell formation, when females mobilize mineral reserves. </w:t>
      </w:r>
      <w:bookmarkStart w:id="3" w:name="OLE_LINK3"/>
      <w:bookmarkStart w:id="4" w:name="OLE_LINK4"/>
      <w:r w:rsidRPr="00313E9A">
        <w:rPr>
          <w:rFonts w:ascii="Arial" w:hAnsi="Arial" w:cs="Arial"/>
        </w:rPr>
        <w:t>Calcium in the shell can bind metallic cations, especially those with strong affinity for calcareous matrices</w:t>
      </w:r>
      <w:bookmarkEnd w:id="3"/>
      <w:bookmarkEnd w:id="4"/>
      <w:r w:rsidRPr="00313E9A">
        <w:rPr>
          <w:rFonts w:ascii="Arial" w:hAnsi="Arial" w:cs="Arial"/>
        </w:rPr>
        <w:t xml:space="preserve"> </w:t>
      </w:r>
      <w:r w:rsidRPr="00313E9A">
        <w:rPr>
          <w:rFonts w:ascii="Arial" w:hAnsi="Arial" w:cs="Arial"/>
        </w:rPr>
        <w:fldChar w:fldCharType="begin"/>
      </w:r>
      <w:r w:rsidR="00193A80">
        <w:rPr>
          <w:rFonts w:ascii="Arial" w:hAnsi="Arial" w:cs="Arial"/>
        </w:rPr>
        <w:instrText xml:space="preserve"> ADDIN ZOTERO_ITEM CSL_CITATION {"citationID":"tHMzKbMZ","properties":{"unsorted":false,"formattedCitation":"(Dudev et al., 2003; Or\\uc0\\u322{}owski et al., 2017)","plainCitation":"(Dudev et al., 2003; Orłowski et al., 2017)","noteIndex":0},"citationItems":[{"id":260,"uris":["http://zotero.org/users/18107686/items/XIF5XN3P"],"itemData":{"id":260,"type":"article-journal","abstract":"The role of the second shell in the process of metal binding and selectivity in metalloproteins has been elucidated by combining Protein Data Bank (PDB) surveys of Mg, Mn, Ca, and Zn binding sites with density functional theory/continuum dielectric methods (DFT/CDM). Peptide backbone groups were found to be the most common second-shell ligand in Mg, Mn, Ca, and Zn binding sites, followed (in decreasing order) by Asp/Glu, Lys/Arg, Asn/Gln, and Ser/Thr side chains. Aromatic oxygen- or nitrogen-containing side chains (Tyr, His, and Trp) and sulfur-containing side chains (Cys and Met) are seldom found in the second coordination layer. The backbone and Asn/Gln side chain are ubiquitous in the metal second coordination layer as their carbonyl oxygen and amide hydrogen can act as a hydrogen-bond acceptor and donor, respectively, and can therefore partner practically every first-shell ligand. The second most common outer-shell ligand, Asp/Glu, predominantly hydrogen bonds to a metal-bound water or Zn-bound histidine and polarizes the H−O or H−N bond. In certain cases, a second-shell Asp/Glu could affect the protonation state of the metal ligand. It could also energetically stabilize a positively charged metal complex more than a neutral ligand such as the backbone and Asn/Gln side chain. As for the first shell, the second shell is predicted to contribute to the metal selectivity of the binding site by discriminating between metal cations of different ionic radii and coordination geometries. The first-shell−second-shell interaction energies decay rapidly with increasing solvent exposure of the metal binding site. They are less favorable but are of the same order of magnitude as compared to the respective metal−first-shell interaction energies. Altogether, the results indicate that the structure and properties of the second shell are dictated by those of the first layer. The outer shell is apparently designed to stabilize/protect the inner-shell and complement/enhance its properties.","container-title":"Journal of the American Chemical Society","DOI":"10.1021/ja0209722","ISSN":"0002-7863","issue":"10","journalAbbreviation":"J. Am. Chem. Soc.","page":"3168-3180","publisher":"American Chemical Society","source":"ACS Publications","title":"First−Second Shell Interactions in Metal Binding Sites in Proteins:  A PDB Survey and DFT/CDM Calculations","title-short":"First−Second Shell Interactions in Metal Binding Sites in Proteins","volume":"125","author":[{"family":"Dudev","given":"Todor"},{"literal":"Lin"},{"family":"Dudev","given":"Minko"},{"family":"Lim","given":"Carmay"}],"issued":{"date-parts":[["2003",3,1]]}}},{"id":346,"uris":["http://zotero.org/users/18107686/items/8PY8P6MJ"],"itemData":{"id":346,"type":"article-journal","container-title":"Journal of Ornithology","DOI":"10.1007/s10336-016-1366-y","ISSN":"2193-7192, 2193-7206","issue":"1","journalAbbreviation":"J Ornithol","language":"en","page":"297-309","source":"DOI.org (Crossref)","title":"The pattern of distribution and interaction of metals and calcium in eggshells and egg contents in relation to the embryonic development of eggs in a small passerine bird","volume":"158","author":[{"family":"Orłowski","given":"Grzegorz"},{"family":"Hałupka","given":"Lucyna"},{"family":"Pokorny","given":"Przemysław"},{"family":"Klimczuk","given":"Ewelina"},{"family":"Sztwiertnia","given":"Hanna"},{"family":"Dobicki","given":"Wojciech"},{"family":"Polechoński","given":"Ryszard"}],"issued":{"date-parts":[["2017",1]]}}}],"schema":"https://github.com/citation-style-language/schema/raw/master/csl-citation.json"} </w:instrText>
      </w:r>
      <w:r w:rsidRPr="00313E9A">
        <w:rPr>
          <w:rFonts w:ascii="Arial" w:hAnsi="Arial" w:cs="Arial"/>
        </w:rPr>
        <w:fldChar w:fldCharType="separate"/>
      </w:r>
      <w:r w:rsidR="00193A80" w:rsidRPr="00A32C06">
        <w:rPr>
          <w:rFonts w:ascii="Arial" w:hAnsi="Arial" w:cs="Arial"/>
          <w:szCs w:val="24"/>
          <w:highlight w:val="yellow"/>
          <w:lang w:val="fr-FR"/>
        </w:rPr>
        <w:t>(</w:t>
      </w:r>
      <w:proofErr w:type="spellStart"/>
      <w:r w:rsidR="00193A80" w:rsidRPr="00A32C06">
        <w:rPr>
          <w:rFonts w:ascii="Arial" w:hAnsi="Arial" w:cs="Arial"/>
          <w:szCs w:val="24"/>
          <w:highlight w:val="yellow"/>
          <w:lang w:val="fr-FR"/>
        </w:rPr>
        <w:t>Dudev</w:t>
      </w:r>
      <w:proofErr w:type="spellEnd"/>
      <w:r w:rsidR="00193A80" w:rsidRPr="00A32C06">
        <w:rPr>
          <w:rFonts w:ascii="Arial" w:hAnsi="Arial" w:cs="Arial"/>
          <w:szCs w:val="24"/>
          <w:highlight w:val="yellow"/>
          <w:lang w:val="fr-FR"/>
        </w:rPr>
        <w:t xml:space="preserve"> et al., 2003; </w:t>
      </w:r>
      <w:proofErr w:type="spellStart"/>
      <w:r w:rsidR="00193A80" w:rsidRPr="00A32C06">
        <w:rPr>
          <w:rFonts w:ascii="Arial" w:hAnsi="Arial" w:cs="Arial"/>
          <w:szCs w:val="24"/>
          <w:highlight w:val="yellow"/>
          <w:lang w:val="fr-FR"/>
        </w:rPr>
        <w:t>Orłowski</w:t>
      </w:r>
      <w:proofErr w:type="spellEnd"/>
      <w:r w:rsidR="00193A80" w:rsidRPr="00A32C06">
        <w:rPr>
          <w:rFonts w:ascii="Arial" w:hAnsi="Arial" w:cs="Arial"/>
          <w:szCs w:val="24"/>
          <w:highlight w:val="yellow"/>
          <w:lang w:val="fr-FR"/>
        </w:rPr>
        <w:t xml:space="preserve"> et al., 2017</w:t>
      </w:r>
      <w:r w:rsidR="00193A80" w:rsidRPr="00193A80">
        <w:rPr>
          <w:rFonts w:ascii="Arial" w:hAnsi="Arial" w:cs="Arial"/>
          <w:szCs w:val="24"/>
          <w:lang w:val="fr-FR"/>
        </w:rPr>
        <w:t>)</w:t>
      </w:r>
      <w:r w:rsidRPr="00313E9A">
        <w:rPr>
          <w:rFonts w:ascii="Arial" w:hAnsi="Arial" w:cs="Arial"/>
        </w:rPr>
        <w:fldChar w:fldCharType="end"/>
      </w:r>
      <w:r w:rsidRPr="00313E9A">
        <w:rPr>
          <w:rFonts w:ascii="Arial" w:hAnsi="Arial" w:cs="Arial"/>
        </w:rPr>
        <w:t xml:space="preserve">. In contrast, mercury (Hg) was primarily detected in egg contents, consistent with its strong affinity for protein- and lipid-rich tissues. This distribution pattern, confirmed in earlier studies </w:t>
      </w:r>
      <w:r w:rsidRPr="00313E9A">
        <w:rPr>
          <w:rFonts w:ascii="Arial" w:hAnsi="Arial" w:cs="Arial"/>
        </w:rPr>
        <w:fldChar w:fldCharType="begin"/>
      </w:r>
      <w:r w:rsidRPr="00313E9A">
        <w:rPr>
          <w:rFonts w:ascii="Arial" w:hAnsi="Arial" w:cs="Arial"/>
        </w:rPr>
        <w:instrText xml:space="preserve"> ADDIN ZOTERO_ITEM CSL_CITATION {"citationID":"NzuPycZL","properties":{"formattedCitation":"(Ashkoo et al., 2020; Monteiro &amp; Furness, 1995)","plainCitation":"(Ashkoo et al., 2020; Monteiro &amp; Furness, 1995)","noteIndex":0},"citationItems":[{"id":233,"uris":["http://zotero.org/users/18107686/items/EFCCFHIJ"],"itemData":{"id":233,"type":"article-journal","abstract":"The Persian Gulf, the most important marine ecosystem, and its islands are negatively impacted by development and pollution. Different types of pollution, especially heavy metals in these habitats, may create risks to birds, influencing reproductive performance, survival, and behaviors. Heavy metals (Cd, Pb, Cr) were analyzed in two long-lived and top food web–level sea birds, Lesser (Thalasseus bengalensis) and Greater Crested Tern (Thalasseus bergii). The research was carried out during 2018 on Nakhiloo Island, located in Dayyer-Nakhiloo Marine National Park, northeastern Persian Gulf, Iran. The nests were selected randomly, and 40 eggs of colonially-nesting terns (20 eggs T. bengalensis and 20 eggs T. bergii; a single egg per nest) were collected. The concentration of heavy metals in eggshells and egg contents was studied to investigate whether bioaccumulation varies between the eggshells and egg contents and also varies in both species. There were significant differences in the amounts of Cd between eggshell and egg content in the Greater and Lesser Crested Tern. This difference was not significant in the concentrations of Pb between the eggshell and egg content in the Tern species. Concentration of Cr did not appear to accumulate in the egg content and was below detection limit. There were significant differences in the concentrations of Cd in the eggshells and egg content between the Greater and Lesser Crested Tern. The results serve to improve understanding and to evaluate the dynamics of heavy metals in eggshells and egg content in various avian species.","container-title":"Marine Pollution Bulletin","DOI":"10.1016/j.marpolbul.2020.111126","ISSN":"0025-326X","journalAbbreviation":"Marine Pollution Bulletin","page":"111126","source":"ScienceDirect","title":"Bioaccumulation of heavy metals in eggshell and egg content of seabirds: Lesser (&lt;i&gt;Thalasseus bengalensis&lt;/i&gt;) and Greater Crested Tern (&lt;i&gt;Thalasseus bergii&lt;/i&gt;)","title-short":"Bioaccumulation of heavy metals in eggshell and egg content of seabirds","volume":"154","author":[{"family":"Ashkoo","given":"Amin"},{"family":"Amininasab","given":"Seyed Mehdi"},{"family":"Zamani-Ahmadmahmoodi","given":"Rasool"}],"issued":{"date-parts":[["2020",5,1]]}}},{"id":335,"uris":["http://zotero.org/users/18107686/items/UKVFLDUB"],"itemData":{"id":335,"type":"article-journal","abstract":"The oceans play a major role in global cycling of mercury and widespread contamination of marine ecosystems has been demonstrated in recent years. Monitoring mercury in the marine environment is a priority and biomonitoring has featured prominently in this respect. Seabirds, as top predators, present high mercury levels due to food chain amplification and thus will reflect slight variations in environmental mercury and its hazards to humans better than do most invertebrates and cold blood vertebrates. There is experimental evidence that levels of mercury in seabirds show a dose-response relationship, so that increased contamination of the environment causes a corresponding increase in the level in birds. This coupled with current knowledge on the dynamics of mercury in birds gives a good basis for the use of seabird as monitors of mercury. Internal tissues, blood, eggs, feathers and chicks have been used as monitoring units. Feathers are the most attractive amongst them. They are both chemically and physically stable, accumulate higher mercury levels than other tissues and their sampling is non-destructive. However, it is essential to sample a consistent feather area from all birds to minimise the effects of moult and body feathers are the most adequate. Feathers from birds in museum collections offer a great potential for the study of synoptic geographical and historical of changes in mercury levels on a global scale with large sample sizes. For example, studies with time series of feather samples from seabirds provide evidence of a 3-fold increase of mercury contamination in the marine ecosystem of North-eastern Atlantic over the last 100 years and little increase in mercury contamination in the Southern hemisphere during the same period.","container-title":"Water, Air, and Soil Pollution","DOI":"10.1007/BF01189736","ISSN":"1573-2932","issue":"1","journalAbbreviation":"Water Air Soil Pollut","language":"en","page":"851-870","source":"Springer Link","title":"Seabirds as monitors of mercury in the marine environment","volume":"80","author":[{"family":"Monteiro","given":"L. R."},{"family":"Furness","given":"R. W."}],"issued":{"date-parts":[["1995",2,1]]}}}],"schema":"https://github.com/citation-style-language/schema/raw/master/csl-citation.json"} </w:instrText>
      </w:r>
      <w:r w:rsidRPr="00313E9A">
        <w:rPr>
          <w:rFonts w:ascii="Arial" w:hAnsi="Arial" w:cs="Arial"/>
        </w:rPr>
        <w:fldChar w:fldCharType="separate"/>
      </w:r>
      <w:r w:rsidR="00193A80">
        <w:rPr>
          <w:rFonts w:ascii="Arial" w:hAnsi="Arial" w:cs="Arial"/>
          <w:noProof/>
        </w:rPr>
        <w:t>(</w:t>
      </w:r>
      <w:r w:rsidR="00193A80" w:rsidRPr="00A32C06">
        <w:rPr>
          <w:rFonts w:ascii="Arial" w:hAnsi="Arial" w:cs="Arial"/>
          <w:noProof/>
          <w:highlight w:val="yellow"/>
        </w:rPr>
        <w:t>Ashkoo et al., 2020; Monteiro &amp; Furness, 1995</w:t>
      </w:r>
      <w:r w:rsidR="00193A80">
        <w:rPr>
          <w:rFonts w:ascii="Arial" w:hAnsi="Arial" w:cs="Arial"/>
          <w:noProof/>
        </w:rPr>
        <w:t>)</w:t>
      </w:r>
      <w:r w:rsidRPr="00313E9A">
        <w:rPr>
          <w:rFonts w:ascii="Arial" w:hAnsi="Arial" w:cs="Arial"/>
        </w:rPr>
        <w:fldChar w:fldCharType="end"/>
      </w:r>
      <w:r w:rsidRPr="00313E9A">
        <w:rPr>
          <w:rFonts w:ascii="Arial" w:hAnsi="Arial" w:cs="Arial"/>
        </w:rPr>
        <w:t xml:space="preserve">, reflects active maternal transfer via the bloodstream to the developing yolk. More recently, </w:t>
      </w:r>
      <w:r w:rsidRPr="00313E9A">
        <w:rPr>
          <w:rFonts w:ascii="Arial" w:hAnsi="Arial" w:cs="Arial"/>
        </w:rPr>
        <w:fldChar w:fldCharType="begin"/>
      </w:r>
      <w:r w:rsidRPr="00313E9A">
        <w:rPr>
          <w:rFonts w:ascii="Arial" w:hAnsi="Arial" w:cs="Arial"/>
        </w:rPr>
        <w:instrText xml:space="preserve"> ADDIN ZOTERO_ITEM CSL_CITATION {"citationID":"hvX3AG58","properties":{"formattedCitation":"(Carravieri et al., 2020)","plainCitation":"(Carravieri et al., 2020)","noteIndex":0},"citationItems":[{"id":251,"uris":["http://zotero.org/users/18107686/items/769NIVA6"],"itemData":{"id":251,"type":"article-journal","abstract":"Seabirds from remote regions are mainly exposed to environmental contaminants from non-point contamination of their food webs. Pre-fledging seabird chicks are fed by their parents with marine prey captured in the vicinity of breeding colonies. Contaminant concentrations in tissues of pre-fledging chicks can thus be mostly related to local dietary sources, and have the potential to unravel spatial patterns of environmental contamination in marine ecosystems. Here, mercury (Hg), 13 other trace elements, and 18 persistent organic pollutants (POPs) were quantified in blood of chicks across four breeding locations that encompass a large latitudinal range in the southern Indian Ocean (from Antarctica, through subantarctic areas, to the subtropics), over a single breeding season. Thirteen species of penguins, albatrosses and petrels were studied, including endangered and near-threatened species, such as Amsterdam albatrosses and emperor penguins. Blood Hg burdens varied widely between species, with a factor of ~50 between the lowest and highest concentrations (mean ± SD, 0.05 ± 0.01 and 2.66 ± 0.81 µg g−1 dry weight, in thin-billed prions and Amsterdam albatrosses, respectively). Species relying on Antarctic waters for feeding had low Hg exposure. Concentrations of POPs were low in chicks, with the exception of hexachlorobenzene. Contaminant concentrations were mainly explained by species differences, but feeding habitat (inferred from δ13C values) and chicks’ body mass also contributed to explain variation. Collectively, our findings call for further toxicological investigations in Amsterdam albatrosses and small petrel species, because they were exposed to high and diverse sources of contaminants, and in macaroni penguins, which specifically showed very high selenium concentrations.\nCapsule\nSeabird chicks from four distant sites in the southern Indian Ocean had contrasted blood metallic and organic contaminant patterns depending on species, feeding habitat and body mass.","container-title":"Environment International","DOI":"10.1016/j.envint.2019.105225","ISSN":"0160-4120","journalAbbreviation":"Environment International","page":"105225","source":"ScienceDirect","title":"Trace elements and persistent organic pollutants in chicks of 13 seabird species from Antarctica to the subtropics","volume":"134","author":[{"family":"Carravieri","given":"Alice"},{"family":"Bustamante","given":"Paco"},{"family":"Labadie","given":"Pierre"},{"family":"Budzinski","given":"Hélène"},{"family":"Chastel","given":"Olivier"},{"family":"Cherel","given":"Yves"}],"issued":{"date-parts":[["2020",1,1]]}}}],"schema":"https://github.com/citation-style-language/schema/raw/master/csl-citation.json"} </w:instrText>
      </w:r>
      <w:r w:rsidRPr="00313E9A">
        <w:rPr>
          <w:rFonts w:ascii="Arial" w:hAnsi="Arial" w:cs="Arial"/>
        </w:rPr>
        <w:fldChar w:fldCharType="separate"/>
      </w:r>
      <w:r w:rsidR="00193A80">
        <w:rPr>
          <w:rFonts w:ascii="Arial" w:hAnsi="Arial" w:cs="Arial"/>
          <w:noProof/>
        </w:rPr>
        <w:t>(Carravieri et al., 2020)</w:t>
      </w:r>
      <w:r w:rsidRPr="00313E9A">
        <w:rPr>
          <w:rFonts w:ascii="Arial" w:hAnsi="Arial" w:cs="Arial"/>
        </w:rPr>
        <w:fldChar w:fldCharType="end"/>
      </w:r>
      <w:r w:rsidRPr="00313E9A">
        <w:rPr>
          <w:rFonts w:ascii="Arial" w:hAnsi="Arial" w:cs="Arial"/>
        </w:rPr>
        <w:t xml:space="preserve"> demonstrated that this mechanism is particularly effective for methylmercury (</w:t>
      </w:r>
      <w:proofErr w:type="spellStart"/>
      <w:r w:rsidRPr="00313E9A">
        <w:rPr>
          <w:rFonts w:ascii="Arial" w:hAnsi="Arial" w:cs="Arial"/>
        </w:rPr>
        <w:t>MeHg</w:t>
      </w:r>
      <w:proofErr w:type="spellEnd"/>
      <w:r w:rsidRPr="00313E9A">
        <w:rPr>
          <w:rFonts w:ascii="Arial" w:hAnsi="Arial" w:cs="Arial"/>
        </w:rPr>
        <w:t xml:space="preserve">), which is common in marine food webs. Unlike trace metals, PAHs displayed mixed or inverted trends depending on the compound and species. Low molecular weight PAHs (e.g., naphthalene, fluorene) tended to accumulate more in eggshells, possibly due to their affinity for lipids in the shell membranes or passive diffusion through external tissues </w:t>
      </w:r>
      <w:r w:rsidRPr="00313E9A">
        <w:rPr>
          <w:rFonts w:ascii="Arial" w:hAnsi="Arial" w:cs="Arial"/>
        </w:rPr>
        <w:fldChar w:fldCharType="begin"/>
      </w:r>
      <w:r w:rsidRPr="00313E9A">
        <w:rPr>
          <w:rFonts w:ascii="Arial" w:hAnsi="Arial" w:cs="Arial"/>
        </w:rPr>
        <w:instrText xml:space="preserve"> ADDIN ZOTERO_ITEM CSL_CITATION {"citationID":"fJIa2pan","properties":{"formattedCitation":"(Syakti et al., 2018)","plainCitation":"(Syakti et al., 2018)","noteIndex":0},"citationItems":[{"id":309,"uris":["http://zotero.org/users/18107686/items/VZ6R4EVN"],"itemData":{"id":309,"type":"article-journal","abstract":"Despite Indonesia being considered as second highest source of marine plastic debris in the world, few studies have been conducted on plastic debris in Indonesia, particularly microplastics. By using a simple device to simultaneously grade floating microplastics, we investigated microplastic contamination in the ecosystem of small islands in Bintan Regency, Riau Island Province, Indonesia. The average number of floating microplastics from 11 beach stations around Bintan Island was 122.8 ± 67.8 pieces per station, which corresponds to 0.45 pieces per m3 and represents a low-medium microplastic pollution level compared to the levels of other marine environments worldwide. Polymer identification using Attenuated Total Reflectance-Fourier Transform Infrared (ATR-FTIR) Spectroscopy successfully identified Polyethylene (PE) (17.3 ± 8.3%), Low Density PE (17.6 ± 5.5%), Oxidized LDPE (&lt;0.1%), Polypropylene (PP) (54 ± 13%), PP Atactic (&lt;0.4%), PP isotactic (&lt;0.2%) and Polystyrene (PS) (10.4 ± 9.1%) from different forms and shapes of microplastics i.e., fragments (50.9 ± 4.9%), fibers (26.2 ± 3%), granule (13.1 ± 3.8%) and films (9.8 ± 5.1%). We suggest that the generation of these microplastics was likely due to physicochemical processes, including biological degradation in this tropical ecosystem. Environmental implication of microplastics in this area increases the problems associated with ingestion, bioaccumulation and biomagnification across trophic levels and co-pollutants absorbed onto microplastics.","container-title":"Marine Pollution Bulletin","DOI":"10.1016/j.marpolbul.2018.11.005","ISSN":"0025-326X","journalAbbreviation":"Marine Pollution Bulletin","page":"593-600","source":"ScienceDirect","title":"Simultaneous grading of microplastic size sampling in the Small Islands of Bintan water, Indonesia","volume":"137","author":[{"family":"Syakti","given":"Agung Dhamar"},{"family":"Hidayati","given":"Nuning Vita"},{"family":"Jaya","given":"Yales Veva"},{"family":"Siregar","given":"Sofyan Husein"},{"family":"Yude","given":"Renald"},{"literal":"Suhendy"},{"family":"Asia","given":"Laurence"},{"family":"Wong-Wah-Chung","given":"Pascal"},{"family":"Doumenq","given":"Pierre"}],"issued":{"date-parts":[["2018",12,1]]}}}],"schema":"https://github.com/citation-style-language/schema/raw/master/csl-citation.json"} </w:instrText>
      </w:r>
      <w:r w:rsidRPr="00313E9A">
        <w:rPr>
          <w:rFonts w:ascii="Arial" w:hAnsi="Arial" w:cs="Arial"/>
        </w:rPr>
        <w:fldChar w:fldCharType="separate"/>
      </w:r>
      <w:r w:rsidR="00193A80">
        <w:rPr>
          <w:rFonts w:ascii="Arial" w:hAnsi="Arial" w:cs="Arial"/>
          <w:noProof/>
        </w:rPr>
        <w:t>(Syakti et al., 2018)</w:t>
      </w:r>
      <w:r w:rsidRPr="00313E9A">
        <w:rPr>
          <w:rFonts w:ascii="Arial" w:hAnsi="Arial" w:cs="Arial"/>
        </w:rPr>
        <w:fldChar w:fldCharType="end"/>
      </w:r>
      <w:r w:rsidRPr="00313E9A">
        <w:rPr>
          <w:rFonts w:ascii="Arial" w:hAnsi="Arial" w:cs="Arial"/>
        </w:rPr>
        <w:t xml:space="preserve">. Conversely, high molecular weight PAHs such as benzo(a)pyrene, known for its toxicity and carcinogenicity, were consistently found at much higher concentrations in egg contents. This pattern suggests active maternal transfer via the circulatory system to the yolk, where these compounds accumulate in lipid-rich fractions </w:t>
      </w:r>
      <w:r w:rsidRPr="00313E9A">
        <w:rPr>
          <w:rFonts w:ascii="Arial" w:hAnsi="Arial" w:cs="Arial"/>
        </w:rPr>
        <w:fldChar w:fldCharType="begin"/>
      </w:r>
      <w:r w:rsidRPr="00313E9A">
        <w:rPr>
          <w:rFonts w:ascii="Arial" w:hAnsi="Arial" w:cs="Arial"/>
        </w:rPr>
        <w:instrText xml:space="preserve"> ADDIN ZOTERO_ITEM CSL_CITATION {"citationID":"reodsMqu","properties":{"formattedCitation":"(Ricolfi et al., 2024)","plainCitation":"(Ricolfi et al., 2024)","noteIndex":0},"citationItems":[{"id":301,"uris":["http://zotero.org/users/18107686/items/ST8V4ZZU"],"itemData":{"id":301,"type":"article-journal","abstract":"Per- and polyfluoroalkyl substances (PFAS) are synthetic chemicals widely used in consumer products. PFAS can accumulate in animal tissues, resulting in biomagnification and adverse effects on wildlife, such as reproductive impairment. In bird species, PFAS are transferred from mothers to eggs along with essential nutrients and may affect embryo development. However, the extent of maternal PFAS transfer across different species and compounds remains poorly understood. Here, we conducted a systematic review and meta-analysis to quantify maternal PFAS transfer in wild birds and investigate potential sources of variation. We tested the moderating effects of compounds’ physicochemical properties and biological traits of studied birds. The dataset included 505 measurements of PFAS concentration and 371 effect sizes derived from 13 studies on 16 bird species and 25 compounds. Overall, across all studies and species, we found a 41% higher concentration of PFAS in offspring than in mothers. Specifically, contaminants were concentrated in the yolk, longer and heavier compounds showed preferential transfer, larger clutch size was associated with decreased PFAS transfer and a higher transfer rate was shown in species with piscivorous and opportunistic/diverse diets. A validation assessment showed good robustness of the overall meta-analytic result. Given the crucial role of birds in maintaining ecological balance, this research article has relevant implications for modelling the impacts of PFAS on wildlife, ecosystems, and human health.","container-title":"Chemosphere","DOI":"10.1016/j.chemosphere.2024.142346","ISSN":"0045-6535","journalAbbreviation":"Chemosphere","page":"142346","source":"ScienceDirect","title":"Maternal transfer of per- and polyfluoroalkyl substances (PFAS) in wild birds: A systematic review and meta-analysis","title-short":"Maternal transfer of per- and polyfluoroalkyl substances (PFAS) in wild birds","volume":"361","author":[{"family":"Ricolfi","given":"Lorenzo"},{"family":"Taylor","given":"Matthew D."},{"family":"Yang","given":"Yefeng"},{"family":"Lagisz","given":"Malgorzata"},{"family":"Nakagawa","given":"Shinichi"}],"issued":{"date-parts":[["2024",8,1]]}}}],"schema":"https://github.com/citation-style-language/schema/raw/master/csl-citation.json"} </w:instrText>
      </w:r>
      <w:r w:rsidRPr="00313E9A">
        <w:rPr>
          <w:rFonts w:ascii="Arial" w:hAnsi="Arial" w:cs="Arial"/>
        </w:rPr>
        <w:fldChar w:fldCharType="separate"/>
      </w:r>
      <w:r w:rsidR="00193A80">
        <w:rPr>
          <w:rFonts w:ascii="Arial" w:hAnsi="Arial" w:cs="Arial"/>
          <w:noProof/>
        </w:rPr>
        <w:t>(Ricolfi et al., 2024)</w:t>
      </w:r>
      <w:r w:rsidRPr="00313E9A">
        <w:rPr>
          <w:rFonts w:ascii="Arial" w:hAnsi="Arial" w:cs="Arial"/>
        </w:rPr>
        <w:fldChar w:fldCharType="end"/>
      </w:r>
      <w:r w:rsidRPr="00313E9A">
        <w:rPr>
          <w:rFonts w:ascii="Arial" w:hAnsi="Arial" w:cs="Arial"/>
        </w:rPr>
        <w:t>.</w:t>
      </w:r>
      <w:r w:rsidR="00C30A0F" w:rsidRPr="00313E9A">
        <w:rPr>
          <w:rFonts w:ascii="Arial" w:hAnsi="Arial" w:cs="Arial"/>
        </w:rPr>
        <w:t xml:space="preserve"> </w:t>
      </w:r>
    </w:p>
    <w:p w14:paraId="1F74872C" w14:textId="77777777" w:rsidR="00790ADA" w:rsidRPr="00313E9A" w:rsidRDefault="00790ADA" w:rsidP="00441B6F">
      <w:pPr>
        <w:pStyle w:val="Body"/>
        <w:spacing w:after="0"/>
        <w:rPr>
          <w:rFonts w:ascii="Arial" w:hAnsi="Arial" w:cs="Arial"/>
        </w:rPr>
      </w:pPr>
    </w:p>
    <w:p w14:paraId="54726DD6" w14:textId="77777777" w:rsidR="00790ADA" w:rsidRDefault="00804511" w:rsidP="00441B6F">
      <w:pPr>
        <w:pStyle w:val="ConcHead"/>
        <w:spacing w:after="0"/>
        <w:jc w:val="both"/>
        <w:rPr>
          <w:rFonts w:ascii="Arial" w:hAnsi="Arial" w:cs="Arial"/>
        </w:rPr>
      </w:pPr>
      <w:r w:rsidRPr="00313E9A">
        <w:rPr>
          <w:rFonts w:ascii="Arial" w:hAnsi="Arial" w:cs="Arial"/>
        </w:rPr>
        <w:t>5</w:t>
      </w:r>
      <w:r w:rsidR="00000F8F" w:rsidRPr="00313E9A">
        <w:rPr>
          <w:rFonts w:ascii="Arial" w:hAnsi="Arial" w:cs="Arial"/>
        </w:rPr>
        <w:t xml:space="preserve">. </w:t>
      </w:r>
      <w:r w:rsidR="00B01FCD" w:rsidRPr="00313E9A">
        <w:rPr>
          <w:rFonts w:ascii="Arial" w:hAnsi="Arial" w:cs="Arial"/>
        </w:rPr>
        <w:t>Conclusion</w:t>
      </w:r>
    </w:p>
    <w:p w14:paraId="4201B958" w14:textId="77777777" w:rsidR="00651151" w:rsidRPr="00313E9A" w:rsidRDefault="00651151" w:rsidP="00441B6F">
      <w:pPr>
        <w:pStyle w:val="ConcHead"/>
        <w:spacing w:after="0"/>
        <w:jc w:val="both"/>
        <w:rPr>
          <w:rFonts w:ascii="Arial" w:hAnsi="Arial" w:cs="Arial"/>
        </w:rPr>
      </w:pPr>
    </w:p>
    <w:p w14:paraId="44EC9630" w14:textId="77777777" w:rsidR="00804511" w:rsidRDefault="00804511" w:rsidP="00441B6F">
      <w:pPr>
        <w:pStyle w:val="AcknHead"/>
        <w:spacing w:after="0"/>
        <w:jc w:val="both"/>
        <w:rPr>
          <w:rFonts w:ascii="Arial" w:hAnsi="Arial" w:cs="Arial"/>
          <w:b w:val="0"/>
          <w:caps w:val="0"/>
          <w:sz w:val="20"/>
        </w:rPr>
      </w:pPr>
      <w:r w:rsidRPr="00313E9A">
        <w:rPr>
          <w:rFonts w:ascii="Arial" w:hAnsi="Arial" w:cs="Arial"/>
          <w:b w:val="0"/>
          <w:caps w:val="0"/>
          <w:sz w:val="20"/>
        </w:rPr>
        <w:t>This study highlights differential contamination of royal tern and grey-headed gull eggs by trace elements (Pb, Cd, Hg) and polycyclic aromatic hydrocarbons (PAHs) in two coastal national parks of Senegal, the Langue de Barbarie National Park (PNLB) and the Saloum Delta National Park (PNDS). The results reveal significant bioaccumulation of lead (Pb) across all matrices, particularly in eggshells, and a specific presence of mercury (Hg) in egg contents, confirming distinct pathways of contaminant transfer. Regarding PAHs, light compounds were more concentrated in the eggshells, while heavier PAHs such as benzo(a)pyrene were predominantly found in the egg contents, highlighting active lipid-mediated maternal transfer. Beyond providing a baseline reference prior to offshore hydrocarbon exploitation in Senegal, these findings underscore the value of seabird eggs as sensitive bioindicators of environmental contamination. They also call for strengthened monitoring efforts and integrated management strategies in protected coastal areas to mitigate the impacts of chemical pollutants on biodiversity and ecosystem health. However, this study presents certain limitations, including a relatively small sample size, a single sampling period, and the absence of environmental matrices such as sediments or prey species, which restricts the ability to identify precise contamination sources. Additionally, mercury speciation and biological effect assessments were not performed, limiting the evaluation of toxicological impacts on seabird reproduction.</w:t>
      </w:r>
    </w:p>
    <w:p w14:paraId="0F00C47D" w14:textId="77777777" w:rsidR="003E1769" w:rsidRDefault="003E1769" w:rsidP="003E1769">
      <w:pPr>
        <w:rPr>
          <w:rFonts w:ascii="Calibri" w:eastAsia="Calibri" w:hAnsi="Calibri"/>
          <w:kern w:val="2"/>
          <w:highlight w:val="yellow"/>
        </w:rPr>
      </w:pPr>
    </w:p>
    <w:p w14:paraId="2B7EB6D2" w14:textId="77777777" w:rsidR="003E1769" w:rsidRDefault="003E1769" w:rsidP="003E1769">
      <w:pPr>
        <w:rPr>
          <w:rFonts w:ascii="Calibri" w:eastAsia="Calibri" w:hAnsi="Calibri"/>
          <w:kern w:val="2"/>
          <w:highlight w:val="yellow"/>
        </w:rPr>
      </w:pPr>
      <w:bookmarkStart w:id="5" w:name="_Hlk218868534"/>
      <w:bookmarkStart w:id="6" w:name="_Hlk229240739"/>
      <w:bookmarkStart w:id="7" w:name="_Hlk226454370"/>
    </w:p>
    <w:p w14:paraId="37384DBD" w14:textId="77777777" w:rsidR="003E1769" w:rsidRPr="00005ED1" w:rsidRDefault="003E1769" w:rsidP="003E1769">
      <w:pPr>
        <w:pStyle w:val="Sansinterligne"/>
        <w:rPr>
          <w:rFonts w:ascii="Arial" w:hAnsi="Arial" w:cs="Arial"/>
          <w:highlight w:val="yellow"/>
        </w:rPr>
      </w:pPr>
      <w:bookmarkStart w:id="8" w:name="_Hlk221624953"/>
      <w:r w:rsidRPr="00005ED1">
        <w:rPr>
          <w:rFonts w:ascii="Arial" w:hAnsi="Arial" w:cs="Arial"/>
          <w:highlight w:val="yellow"/>
        </w:rPr>
        <w:t>Disclaimer (Artificial intelligence)</w:t>
      </w:r>
    </w:p>
    <w:p w14:paraId="060B0F06" w14:textId="77777777" w:rsidR="003E1769" w:rsidRPr="00005ED1" w:rsidRDefault="003E1769" w:rsidP="003E1769">
      <w:pPr>
        <w:pStyle w:val="Sansinterligne"/>
        <w:rPr>
          <w:rFonts w:ascii="Arial" w:hAnsi="Arial" w:cs="Arial"/>
          <w:highlight w:val="yellow"/>
        </w:rPr>
      </w:pPr>
    </w:p>
    <w:p w14:paraId="714C17F8" w14:textId="77777777" w:rsidR="003E1769" w:rsidRDefault="003E1769" w:rsidP="003E1769">
      <w:pPr>
        <w:pStyle w:val="Sansinterligne"/>
        <w:rPr>
          <w:rFonts w:ascii="Arial" w:hAnsi="Arial" w:cs="Arial"/>
          <w:highlight w:val="yellow"/>
        </w:rPr>
      </w:pPr>
      <w:r w:rsidRPr="00005ED1">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bookmarkEnd w:id="5"/>
    </w:p>
    <w:bookmarkEnd w:id="6"/>
    <w:bookmarkEnd w:id="8"/>
    <w:p w14:paraId="0F40672E" w14:textId="77777777" w:rsidR="003E1769" w:rsidRDefault="003E1769" w:rsidP="003E1769">
      <w:pPr>
        <w:pStyle w:val="Sansinterligne"/>
        <w:rPr>
          <w:rFonts w:ascii="Arial" w:hAnsi="Arial" w:cs="Arial"/>
          <w:highlight w:val="yellow"/>
        </w:rPr>
      </w:pPr>
    </w:p>
    <w:bookmarkEnd w:id="7"/>
    <w:p w14:paraId="4674EEFA" w14:textId="77777777" w:rsidR="003E1769" w:rsidRPr="00313E9A" w:rsidRDefault="003E1769" w:rsidP="00441B6F">
      <w:pPr>
        <w:pStyle w:val="AcknHead"/>
        <w:spacing w:after="0"/>
        <w:jc w:val="both"/>
        <w:rPr>
          <w:rFonts w:ascii="Arial" w:hAnsi="Arial" w:cs="Arial"/>
          <w:b w:val="0"/>
          <w:caps w:val="0"/>
          <w:sz w:val="20"/>
        </w:rPr>
      </w:pPr>
    </w:p>
    <w:p w14:paraId="434A9B69" w14:textId="77777777" w:rsidR="00804511" w:rsidRPr="00313E9A" w:rsidRDefault="00804511" w:rsidP="00441B6F">
      <w:pPr>
        <w:pStyle w:val="AcknHead"/>
        <w:spacing w:after="0"/>
        <w:jc w:val="both"/>
        <w:rPr>
          <w:rFonts w:ascii="Arial" w:hAnsi="Arial" w:cs="Arial"/>
        </w:rPr>
      </w:pPr>
    </w:p>
    <w:p w14:paraId="75DDB234" w14:textId="77777777" w:rsidR="00B01FCD" w:rsidRPr="00313E9A" w:rsidRDefault="00B01FCD" w:rsidP="00441B6F">
      <w:pPr>
        <w:pStyle w:val="ReferHead"/>
        <w:spacing w:after="0"/>
        <w:jc w:val="both"/>
        <w:rPr>
          <w:rFonts w:ascii="Arial" w:hAnsi="Arial" w:cs="Arial"/>
        </w:rPr>
      </w:pPr>
      <w:r w:rsidRPr="00313E9A">
        <w:rPr>
          <w:rFonts w:ascii="Arial" w:hAnsi="Arial" w:cs="Arial"/>
        </w:rPr>
        <w:t>References</w:t>
      </w:r>
    </w:p>
    <w:p w14:paraId="550A66DB" w14:textId="77777777" w:rsidR="00790ADA" w:rsidRPr="00313E9A" w:rsidRDefault="00790ADA" w:rsidP="00441B6F">
      <w:pPr>
        <w:pStyle w:val="ReferHead"/>
        <w:spacing w:after="0"/>
        <w:jc w:val="both"/>
        <w:rPr>
          <w:rFonts w:ascii="Arial" w:hAnsi="Arial" w:cs="Arial"/>
        </w:rPr>
      </w:pPr>
    </w:p>
    <w:p w14:paraId="13B40258" w14:textId="77777777" w:rsidR="00A1768D" w:rsidRPr="00A1768D" w:rsidRDefault="00313E9A" w:rsidP="00A1768D">
      <w:pPr>
        <w:pStyle w:val="Bibliographie"/>
        <w:rPr>
          <w:rFonts w:ascii="Arial" w:hAnsi="Arial" w:cs="Arial"/>
          <w:sz w:val="22"/>
        </w:rPr>
      </w:pPr>
      <w:r w:rsidRPr="00313E9A">
        <w:rPr>
          <w:rFonts w:ascii="Arial" w:hAnsi="Arial" w:cs="Arial"/>
          <w:b/>
        </w:rPr>
        <w:fldChar w:fldCharType="begin"/>
      </w:r>
      <w:r w:rsidR="00A1768D">
        <w:rPr>
          <w:rFonts w:ascii="Arial" w:hAnsi="Arial" w:cs="Arial"/>
          <w:b/>
        </w:rPr>
        <w:instrText xml:space="preserve"> ADDIN ZOTERO_BIBL {"uncited":[],"omitted":[],"custom":[]} CSL_BIBLIOGRAPHY </w:instrText>
      </w:r>
      <w:r w:rsidRPr="00313E9A">
        <w:rPr>
          <w:rFonts w:ascii="Arial" w:hAnsi="Arial" w:cs="Arial"/>
          <w:b/>
        </w:rPr>
        <w:fldChar w:fldCharType="separate"/>
      </w:r>
      <w:r w:rsidR="00A1768D" w:rsidRPr="00A1768D">
        <w:rPr>
          <w:rFonts w:ascii="Arial" w:hAnsi="Arial" w:cs="Arial"/>
          <w:sz w:val="22"/>
        </w:rPr>
        <w:t xml:space="preserve">Ackerman, J. T., Eagles-Smith, C. A., Herzog, M. P., Hartman, C. A., Peterson, S. H., Evers, D. C., Jackson, A. K., Elliott, J. E., Vander Pol, S. S., &amp; Bryan, C. E. (2016). Avian mercury exposure and toxicological risk across western North America: A synthesis. </w:t>
      </w:r>
      <w:r w:rsidR="00A1768D" w:rsidRPr="00A1768D">
        <w:rPr>
          <w:rFonts w:ascii="Arial" w:hAnsi="Arial" w:cs="Arial"/>
          <w:i/>
          <w:iCs/>
          <w:sz w:val="22"/>
        </w:rPr>
        <w:t>Science of The Total Environment</w:t>
      </w:r>
      <w:r w:rsidR="00A1768D" w:rsidRPr="00A1768D">
        <w:rPr>
          <w:rFonts w:ascii="Arial" w:hAnsi="Arial" w:cs="Arial"/>
          <w:sz w:val="22"/>
        </w:rPr>
        <w:t xml:space="preserve">, </w:t>
      </w:r>
      <w:r w:rsidR="00A1768D" w:rsidRPr="00A1768D">
        <w:rPr>
          <w:rFonts w:ascii="Arial" w:hAnsi="Arial" w:cs="Arial"/>
          <w:i/>
          <w:iCs/>
          <w:sz w:val="22"/>
        </w:rPr>
        <w:t>568</w:t>
      </w:r>
      <w:r w:rsidR="00A1768D" w:rsidRPr="00A1768D">
        <w:rPr>
          <w:rFonts w:ascii="Arial" w:hAnsi="Arial" w:cs="Arial"/>
          <w:sz w:val="22"/>
        </w:rPr>
        <w:t>, 749–769. https://doi.org/10.1016/j.scitotenv.2016.03.071</w:t>
      </w:r>
    </w:p>
    <w:p w14:paraId="7BCAAC94"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Ashkoo</w:t>
      </w:r>
      <w:proofErr w:type="spellEnd"/>
      <w:r w:rsidRPr="00741765">
        <w:rPr>
          <w:rFonts w:ascii="Arial" w:hAnsi="Arial" w:cs="Arial"/>
          <w:sz w:val="22"/>
        </w:rPr>
        <w:t xml:space="preserve">, A., </w:t>
      </w:r>
      <w:proofErr w:type="spellStart"/>
      <w:r w:rsidRPr="00741765">
        <w:rPr>
          <w:rFonts w:ascii="Arial" w:hAnsi="Arial" w:cs="Arial"/>
          <w:sz w:val="22"/>
        </w:rPr>
        <w:t>Amininasab</w:t>
      </w:r>
      <w:proofErr w:type="spellEnd"/>
      <w:r w:rsidRPr="00741765">
        <w:rPr>
          <w:rFonts w:ascii="Arial" w:hAnsi="Arial" w:cs="Arial"/>
          <w:sz w:val="22"/>
        </w:rPr>
        <w:t>, S. M., &amp; Zamani-</w:t>
      </w:r>
      <w:proofErr w:type="spellStart"/>
      <w:r w:rsidRPr="00741765">
        <w:rPr>
          <w:rFonts w:ascii="Arial" w:hAnsi="Arial" w:cs="Arial"/>
          <w:sz w:val="22"/>
        </w:rPr>
        <w:t>Ahmadmahmoodi</w:t>
      </w:r>
      <w:proofErr w:type="spellEnd"/>
      <w:r w:rsidRPr="00741765">
        <w:rPr>
          <w:rFonts w:ascii="Arial" w:hAnsi="Arial" w:cs="Arial"/>
          <w:sz w:val="22"/>
        </w:rPr>
        <w:t>, R. (2020). Bioaccumulation of heavy metals in eggshell and egg content of seabirds: Lesser (</w:t>
      </w:r>
      <w:r w:rsidRPr="00741765">
        <w:rPr>
          <w:rFonts w:ascii="Arial" w:hAnsi="Arial" w:cs="Arial"/>
          <w:i/>
          <w:iCs/>
          <w:sz w:val="22"/>
        </w:rPr>
        <w:t xml:space="preserve">Thalasseus </w:t>
      </w:r>
      <w:proofErr w:type="spellStart"/>
      <w:r w:rsidRPr="00741765">
        <w:rPr>
          <w:rFonts w:ascii="Arial" w:hAnsi="Arial" w:cs="Arial"/>
          <w:i/>
          <w:iCs/>
          <w:sz w:val="22"/>
        </w:rPr>
        <w:t>bengalensis</w:t>
      </w:r>
      <w:proofErr w:type="spellEnd"/>
      <w:r w:rsidRPr="00741765">
        <w:rPr>
          <w:rFonts w:ascii="Arial" w:hAnsi="Arial" w:cs="Arial"/>
          <w:sz w:val="22"/>
        </w:rPr>
        <w:t>) and Greater Crested Tern (</w:t>
      </w:r>
      <w:r w:rsidRPr="00741765">
        <w:rPr>
          <w:rFonts w:ascii="Arial" w:hAnsi="Arial" w:cs="Arial"/>
          <w:i/>
          <w:iCs/>
          <w:sz w:val="22"/>
        </w:rPr>
        <w:t xml:space="preserve">Thalasseus </w:t>
      </w:r>
      <w:proofErr w:type="spellStart"/>
      <w:r w:rsidRPr="00741765">
        <w:rPr>
          <w:rFonts w:ascii="Arial" w:hAnsi="Arial" w:cs="Arial"/>
          <w:i/>
          <w:iCs/>
          <w:sz w:val="22"/>
        </w:rPr>
        <w:t>bergii</w:t>
      </w:r>
      <w:proofErr w:type="spellEnd"/>
      <w:r w:rsidRPr="00741765">
        <w:rPr>
          <w:rFonts w:ascii="Arial" w:hAnsi="Arial" w:cs="Arial"/>
          <w:sz w:val="22"/>
        </w:rPr>
        <w:t xml:space="preserve">). </w:t>
      </w:r>
      <w:r w:rsidRPr="00741765">
        <w:rPr>
          <w:rFonts w:ascii="Arial" w:hAnsi="Arial" w:cs="Arial"/>
          <w:i/>
          <w:iCs/>
          <w:sz w:val="22"/>
        </w:rPr>
        <w:t>Marine Pollution Bulletin</w:t>
      </w:r>
      <w:r w:rsidRPr="00741765">
        <w:rPr>
          <w:rFonts w:ascii="Arial" w:hAnsi="Arial" w:cs="Arial"/>
          <w:sz w:val="22"/>
        </w:rPr>
        <w:t xml:space="preserve">, </w:t>
      </w:r>
      <w:r w:rsidRPr="00741765">
        <w:rPr>
          <w:rFonts w:ascii="Arial" w:hAnsi="Arial" w:cs="Arial"/>
          <w:i/>
          <w:iCs/>
          <w:sz w:val="22"/>
        </w:rPr>
        <w:t>154</w:t>
      </w:r>
      <w:r w:rsidRPr="00741765">
        <w:rPr>
          <w:rFonts w:ascii="Arial" w:hAnsi="Arial" w:cs="Arial"/>
          <w:sz w:val="22"/>
        </w:rPr>
        <w:t>, 111126. https://doi.org/10.1016/j.marpolbul.2020.111126</w:t>
      </w:r>
    </w:p>
    <w:p w14:paraId="294B95F7"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Barbier</w:t>
      </w:r>
      <w:proofErr w:type="spellEnd"/>
      <w:r w:rsidRPr="00741765">
        <w:rPr>
          <w:rFonts w:ascii="Arial" w:hAnsi="Arial" w:cs="Arial"/>
          <w:sz w:val="22"/>
        </w:rPr>
        <w:t xml:space="preserve">, E. B., Hacker, S. D., Kennedy, C., Koch, E. W., Stier, A. C., &amp; Silliman, B. R. (2011). The value of estuarine and coastal ecosystem services. </w:t>
      </w:r>
      <w:r w:rsidRPr="00741765">
        <w:rPr>
          <w:rFonts w:ascii="Arial" w:hAnsi="Arial" w:cs="Arial"/>
          <w:i/>
          <w:iCs/>
          <w:sz w:val="22"/>
        </w:rPr>
        <w:t>Ecological Monographs</w:t>
      </w:r>
      <w:r w:rsidRPr="00741765">
        <w:rPr>
          <w:rFonts w:ascii="Arial" w:hAnsi="Arial" w:cs="Arial"/>
          <w:sz w:val="22"/>
        </w:rPr>
        <w:t xml:space="preserve">, </w:t>
      </w:r>
      <w:r w:rsidRPr="00741765">
        <w:rPr>
          <w:rFonts w:ascii="Arial" w:hAnsi="Arial" w:cs="Arial"/>
          <w:i/>
          <w:iCs/>
          <w:sz w:val="22"/>
        </w:rPr>
        <w:t>81</w:t>
      </w:r>
      <w:r w:rsidRPr="00741765">
        <w:rPr>
          <w:rFonts w:ascii="Arial" w:hAnsi="Arial" w:cs="Arial"/>
          <w:sz w:val="22"/>
        </w:rPr>
        <w:t>(2), 169–193. https://doi.org/10.1890/10-1510.1</w:t>
      </w:r>
    </w:p>
    <w:p w14:paraId="53C4E34B"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Bayat</w:t>
      </w:r>
      <w:proofErr w:type="spellEnd"/>
      <w:r w:rsidRPr="00741765">
        <w:rPr>
          <w:rFonts w:ascii="Arial" w:hAnsi="Arial" w:cs="Arial"/>
          <w:sz w:val="22"/>
        </w:rPr>
        <w:t xml:space="preserve">, N., Saeb, K., &amp; </w:t>
      </w:r>
      <w:proofErr w:type="spellStart"/>
      <w:r w:rsidRPr="00741765">
        <w:rPr>
          <w:rFonts w:ascii="Arial" w:hAnsi="Arial" w:cs="Arial"/>
          <w:sz w:val="22"/>
        </w:rPr>
        <w:t>Bakhtiyari</w:t>
      </w:r>
      <w:proofErr w:type="spellEnd"/>
      <w:r w:rsidRPr="00741765">
        <w:rPr>
          <w:rFonts w:ascii="Arial" w:hAnsi="Arial" w:cs="Arial"/>
          <w:sz w:val="22"/>
        </w:rPr>
        <w:t xml:space="preserve">, A. R. (2020). Biomonitoring of hydrocarbons using seabirds’ eggs and bivalves in </w:t>
      </w:r>
      <w:proofErr w:type="spellStart"/>
      <w:r w:rsidRPr="00741765">
        <w:rPr>
          <w:rFonts w:ascii="Arial" w:hAnsi="Arial" w:cs="Arial"/>
          <w:sz w:val="22"/>
        </w:rPr>
        <w:t>Nakhiloo</w:t>
      </w:r>
      <w:proofErr w:type="spellEnd"/>
      <w:r w:rsidRPr="00741765">
        <w:rPr>
          <w:rFonts w:ascii="Arial" w:hAnsi="Arial" w:cs="Arial"/>
          <w:sz w:val="22"/>
        </w:rPr>
        <w:t xml:space="preserve"> Island, Persian Gulf, Iran. </w:t>
      </w:r>
      <w:r w:rsidRPr="00741765">
        <w:rPr>
          <w:rFonts w:ascii="Arial" w:hAnsi="Arial" w:cs="Arial"/>
          <w:i/>
          <w:iCs/>
          <w:sz w:val="22"/>
        </w:rPr>
        <w:t>International Journal of Environmental Science and Technology</w:t>
      </w:r>
      <w:r w:rsidRPr="00741765">
        <w:rPr>
          <w:rFonts w:ascii="Arial" w:hAnsi="Arial" w:cs="Arial"/>
          <w:sz w:val="22"/>
        </w:rPr>
        <w:t xml:space="preserve">, </w:t>
      </w:r>
      <w:r w:rsidRPr="00741765">
        <w:rPr>
          <w:rFonts w:ascii="Arial" w:hAnsi="Arial" w:cs="Arial"/>
          <w:i/>
          <w:iCs/>
          <w:sz w:val="22"/>
        </w:rPr>
        <w:t>17</w:t>
      </w:r>
      <w:r w:rsidRPr="00741765">
        <w:rPr>
          <w:rFonts w:ascii="Arial" w:hAnsi="Arial" w:cs="Arial"/>
          <w:sz w:val="22"/>
        </w:rPr>
        <w:t>(3), 1511–1528. https://doi.org/10.1007/s13762-019-02478-1</w:t>
      </w:r>
    </w:p>
    <w:p w14:paraId="4350A7C9"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Burger, J. (2002). Food Chain Differences Affect Heavy Metals in Bird Eggs in Barnegat Bay, New Jersey. </w:t>
      </w:r>
      <w:r w:rsidRPr="00741765">
        <w:rPr>
          <w:rFonts w:ascii="Arial" w:hAnsi="Arial" w:cs="Arial"/>
          <w:i/>
          <w:iCs/>
          <w:sz w:val="22"/>
        </w:rPr>
        <w:t>Environmental Research</w:t>
      </w:r>
      <w:r w:rsidRPr="00741765">
        <w:rPr>
          <w:rFonts w:ascii="Arial" w:hAnsi="Arial" w:cs="Arial"/>
          <w:sz w:val="22"/>
        </w:rPr>
        <w:t xml:space="preserve">, </w:t>
      </w:r>
      <w:r w:rsidRPr="00741765">
        <w:rPr>
          <w:rFonts w:ascii="Arial" w:hAnsi="Arial" w:cs="Arial"/>
          <w:i/>
          <w:iCs/>
          <w:sz w:val="22"/>
        </w:rPr>
        <w:t>90</w:t>
      </w:r>
      <w:r w:rsidRPr="00741765">
        <w:rPr>
          <w:rFonts w:ascii="Arial" w:hAnsi="Arial" w:cs="Arial"/>
          <w:sz w:val="22"/>
        </w:rPr>
        <w:t>(1), 33–39. https://doi.org/10.1006/enrs.2002.4381</w:t>
      </w:r>
    </w:p>
    <w:p w14:paraId="0841A74F"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Burger, J. (2006). Bioindicators: A Review of Their Use in the Environmental Literature 1970–2005. </w:t>
      </w:r>
      <w:r w:rsidRPr="00741765">
        <w:rPr>
          <w:rFonts w:ascii="Arial" w:hAnsi="Arial" w:cs="Arial"/>
          <w:i/>
          <w:iCs/>
          <w:sz w:val="22"/>
        </w:rPr>
        <w:t>Environmental Bioindicators</w:t>
      </w:r>
      <w:r w:rsidRPr="00741765">
        <w:rPr>
          <w:rFonts w:ascii="Arial" w:hAnsi="Arial" w:cs="Arial"/>
          <w:sz w:val="22"/>
        </w:rPr>
        <w:t xml:space="preserve">, </w:t>
      </w:r>
      <w:r w:rsidRPr="00741765">
        <w:rPr>
          <w:rFonts w:ascii="Arial" w:hAnsi="Arial" w:cs="Arial"/>
          <w:i/>
          <w:iCs/>
          <w:sz w:val="22"/>
        </w:rPr>
        <w:t>1</w:t>
      </w:r>
      <w:r w:rsidRPr="00741765">
        <w:rPr>
          <w:rFonts w:ascii="Arial" w:hAnsi="Arial" w:cs="Arial"/>
          <w:sz w:val="22"/>
        </w:rPr>
        <w:t>(2), 136–144. https://doi.org/10.1080/15555270600701540</w:t>
      </w:r>
    </w:p>
    <w:p w14:paraId="59BC3AA5"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Burger, J., &amp; </w:t>
      </w:r>
      <w:proofErr w:type="spellStart"/>
      <w:r w:rsidRPr="00741765">
        <w:rPr>
          <w:rFonts w:ascii="Arial" w:hAnsi="Arial" w:cs="Arial"/>
          <w:sz w:val="22"/>
        </w:rPr>
        <w:t>Elbin</w:t>
      </w:r>
      <w:proofErr w:type="spellEnd"/>
      <w:r w:rsidRPr="00741765">
        <w:rPr>
          <w:rFonts w:ascii="Arial" w:hAnsi="Arial" w:cs="Arial"/>
          <w:sz w:val="22"/>
        </w:rPr>
        <w:t>, S. (2015). Contaminant levels in Herring (</w:t>
      </w:r>
      <w:proofErr w:type="spellStart"/>
      <w:r w:rsidRPr="00741765">
        <w:rPr>
          <w:rFonts w:ascii="Arial" w:hAnsi="Arial" w:cs="Arial"/>
          <w:sz w:val="22"/>
        </w:rPr>
        <w:t>Larus</w:t>
      </w:r>
      <w:proofErr w:type="spellEnd"/>
      <w:r w:rsidRPr="00741765">
        <w:rPr>
          <w:rFonts w:ascii="Arial" w:hAnsi="Arial" w:cs="Arial"/>
          <w:sz w:val="22"/>
        </w:rPr>
        <w:t xml:space="preserve"> </w:t>
      </w:r>
      <w:proofErr w:type="spellStart"/>
      <w:r w:rsidRPr="00741765">
        <w:rPr>
          <w:rFonts w:ascii="Arial" w:hAnsi="Arial" w:cs="Arial"/>
          <w:sz w:val="22"/>
        </w:rPr>
        <w:t>argentatus</w:t>
      </w:r>
      <w:proofErr w:type="spellEnd"/>
      <w:r w:rsidRPr="00741765">
        <w:rPr>
          <w:rFonts w:ascii="Arial" w:hAnsi="Arial" w:cs="Arial"/>
          <w:sz w:val="22"/>
        </w:rPr>
        <w:t>) and Great Black-backed Gull (</w:t>
      </w:r>
      <w:proofErr w:type="spellStart"/>
      <w:r w:rsidRPr="00741765">
        <w:rPr>
          <w:rFonts w:ascii="Arial" w:hAnsi="Arial" w:cs="Arial"/>
          <w:sz w:val="22"/>
        </w:rPr>
        <w:t>Larus</w:t>
      </w:r>
      <w:proofErr w:type="spellEnd"/>
      <w:r w:rsidRPr="00741765">
        <w:rPr>
          <w:rFonts w:ascii="Arial" w:hAnsi="Arial" w:cs="Arial"/>
          <w:sz w:val="22"/>
        </w:rPr>
        <w:t xml:space="preserve"> marinus) eggs from colonies in the New York harbor complex </w:t>
      </w:r>
      <w:r w:rsidRPr="00741765">
        <w:rPr>
          <w:rFonts w:ascii="Arial" w:hAnsi="Arial" w:cs="Arial"/>
          <w:sz w:val="22"/>
        </w:rPr>
        <w:lastRenderedPageBreak/>
        <w:t xml:space="preserve">between 2012 and 2013. </w:t>
      </w:r>
      <w:r w:rsidRPr="00741765">
        <w:rPr>
          <w:rFonts w:ascii="Arial" w:hAnsi="Arial" w:cs="Arial"/>
          <w:i/>
          <w:iCs/>
          <w:sz w:val="22"/>
        </w:rPr>
        <w:t>Ecotoxicology (London, England)</w:t>
      </w:r>
      <w:r w:rsidRPr="00741765">
        <w:rPr>
          <w:rFonts w:ascii="Arial" w:hAnsi="Arial" w:cs="Arial"/>
          <w:sz w:val="22"/>
        </w:rPr>
        <w:t xml:space="preserve">, </w:t>
      </w:r>
      <w:r w:rsidRPr="00741765">
        <w:rPr>
          <w:rFonts w:ascii="Arial" w:hAnsi="Arial" w:cs="Arial"/>
          <w:i/>
          <w:iCs/>
          <w:sz w:val="22"/>
        </w:rPr>
        <w:t>24</w:t>
      </w:r>
      <w:r w:rsidRPr="00741765">
        <w:rPr>
          <w:rFonts w:ascii="Arial" w:hAnsi="Arial" w:cs="Arial"/>
          <w:sz w:val="22"/>
        </w:rPr>
        <w:t>(2), 445–452. https://doi.org/10.1007/s10646-014-1393-5</w:t>
      </w:r>
    </w:p>
    <w:p w14:paraId="2522A795"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Burger, J., &amp; </w:t>
      </w:r>
      <w:proofErr w:type="spellStart"/>
      <w:r w:rsidRPr="00741765">
        <w:rPr>
          <w:rFonts w:ascii="Arial" w:hAnsi="Arial" w:cs="Arial"/>
          <w:sz w:val="22"/>
        </w:rPr>
        <w:t>Gochfeld</w:t>
      </w:r>
      <w:proofErr w:type="spellEnd"/>
      <w:r w:rsidRPr="00741765">
        <w:rPr>
          <w:rFonts w:ascii="Arial" w:hAnsi="Arial" w:cs="Arial"/>
          <w:sz w:val="22"/>
        </w:rPr>
        <w:t xml:space="preserve">, M. (2004). Marine Birds as Sentinels of Environmental Pollution. </w:t>
      </w:r>
      <w:proofErr w:type="spellStart"/>
      <w:r w:rsidRPr="00741765">
        <w:rPr>
          <w:rFonts w:ascii="Arial" w:hAnsi="Arial" w:cs="Arial"/>
          <w:i/>
          <w:iCs/>
          <w:sz w:val="22"/>
        </w:rPr>
        <w:t>EcoHealth</w:t>
      </w:r>
      <w:proofErr w:type="spellEnd"/>
      <w:r w:rsidRPr="00741765">
        <w:rPr>
          <w:rFonts w:ascii="Arial" w:hAnsi="Arial" w:cs="Arial"/>
          <w:sz w:val="22"/>
        </w:rPr>
        <w:t xml:space="preserve">, </w:t>
      </w:r>
      <w:r w:rsidRPr="00741765">
        <w:rPr>
          <w:rFonts w:ascii="Arial" w:hAnsi="Arial" w:cs="Arial"/>
          <w:i/>
          <w:iCs/>
          <w:sz w:val="22"/>
        </w:rPr>
        <w:t>1</w:t>
      </w:r>
      <w:r w:rsidRPr="00741765">
        <w:rPr>
          <w:rFonts w:ascii="Arial" w:hAnsi="Arial" w:cs="Arial"/>
          <w:sz w:val="22"/>
        </w:rPr>
        <w:t>(3), 263–274. https://doi.org/10.1007/s10393-004-0096-4</w:t>
      </w:r>
    </w:p>
    <w:p w14:paraId="3D83B83A"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Carravieri</w:t>
      </w:r>
      <w:proofErr w:type="spellEnd"/>
      <w:r w:rsidRPr="00741765">
        <w:rPr>
          <w:rFonts w:ascii="Arial" w:hAnsi="Arial" w:cs="Arial"/>
          <w:sz w:val="22"/>
        </w:rPr>
        <w:t xml:space="preserve">, A., Bustamante, P., Labadie, P., </w:t>
      </w:r>
      <w:proofErr w:type="spellStart"/>
      <w:r w:rsidRPr="00741765">
        <w:rPr>
          <w:rFonts w:ascii="Arial" w:hAnsi="Arial" w:cs="Arial"/>
          <w:sz w:val="22"/>
        </w:rPr>
        <w:t>Budzinski</w:t>
      </w:r>
      <w:proofErr w:type="spellEnd"/>
      <w:r w:rsidRPr="00741765">
        <w:rPr>
          <w:rFonts w:ascii="Arial" w:hAnsi="Arial" w:cs="Arial"/>
          <w:sz w:val="22"/>
        </w:rPr>
        <w:t xml:space="preserve">, H., </w:t>
      </w:r>
      <w:proofErr w:type="spellStart"/>
      <w:r w:rsidRPr="00741765">
        <w:rPr>
          <w:rFonts w:ascii="Arial" w:hAnsi="Arial" w:cs="Arial"/>
          <w:sz w:val="22"/>
        </w:rPr>
        <w:t>Chastel</w:t>
      </w:r>
      <w:proofErr w:type="spellEnd"/>
      <w:r w:rsidRPr="00741765">
        <w:rPr>
          <w:rFonts w:ascii="Arial" w:hAnsi="Arial" w:cs="Arial"/>
          <w:sz w:val="22"/>
        </w:rPr>
        <w:t xml:space="preserve">, O., &amp; </w:t>
      </w:r>
      <w:proofErr w:type="spellStart"/>
      <w:r w:rsidRPr="00741765">
        <w:rPr>
          <w:rFonts w:ascii="Arial" w:hAnsi="Arial" w:cs="Arial"/>
          <w:sz w:val="22"/>
        </w:rPr>
        <w:t>Cherel</w:t>
      </w:r>
      <w:proofErr w:type="spellEnd"/>
      <w:r w:rsidRPr="00741765">
        <w:rPr>
          <w:rFonts w:ascii="Arial" w:hAnsi="Arial" w:cs="Arial"/>
          <w:sz w:val="22"/>
        </w:rPr>
        <w:t xml:space="preserve">, Y. (2020). Trace elements and persistent organic pollutants in chicks of 13 seabird species from Antarctica to the subtropics. </w:t>
      </w:r>
      <w:r w:rsidRPr="00741765">
        <w:rPr>
          <w:rFonts w:ascii="Arial" w:hAnsi="Arial" w:cs="Arial"/>
          <w:i/>
          <w:iCs/>
          <w:sz w:val="22"/>
        </w:rPr>
        <w:t>Environment International</w:t>
      </w:r>
      <w:r w:rsidRPr="00741765">
        <w:rPr>
          <w:rFonts w:ascii="Arial" w:hAnsi="Arial" w:cs="Arial"/>
          <w:sz w:val="22"/>
        </w:rPr>
        <w:t xml:space="preserve">, </w:t>
      </w:r>
      <w:r w:rsidRPr="00741765">
        <w:rPr>
          <w:rFonts w:ascii="Arial" w:hAnsi="Arial" w:cs="Arial"/>
          <w:i/>
          <w:iCs/>
          <w:sz w:val="22"/>
        </w:rPr>
        <w:t>134</w:t>
      </w:r>
      <w:r w:rsidRPr="00741765">
        <w:rPr>
          <w:rFonts w:ascii="Arial" w:hAnsi="Arial" w:cs="Arial"/>
          <w:sz w:val="22"/>
        </w:rPr>
        <w:t>, 105225. https://doi.org/10.1016/j.envint.2019.105225</w:t>
      </w:r>
    </w:p>
    <w:p w14:paraId="013F4C49"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Chung, D., Lee, J.-H., Lee, S.-Y., Oh, Y.-S., &amp; Shin, H.-S. (2022). Quantitative analysis and contamination profiles of PCBs, OCPs, and PAHs in black-tailed gull eggs in the Republic of Korea. </w:t>
      </w:r>
      <w:r w:rsidRPr="00741765">
        <w:rPr>
          <w:rFonts w:ascii="Arial" w:hAnsi="Arial" w:cs="Arial"/>
          <w:i/>
          <w:iCs/>
          <w:sz w:val="22"/>
        </w:rPr>
        <w:t>Environmental Monitoring and Assessment</w:t>
      </w:r>
      <w:r w:rsidRPr="00741765">
        <w:rPr>
          <w:rFonts w:ascii="Arial" w:hAnsi="Arial" w:cs="Arial"/>
          <w:sz w:val="22"/>
        </w:rPr>
        <w:t xml:space="preserve">, </w:t>
      </w:r>
      <w:r w:rsidRPr="00741765">
        <w:rPr>
          <w:rFonts w:ascii="Arial" w:hAnsi="Arial" w:cs="Arial"/>
          <w:i/>
          <w:iCs/>
          <w:sz w:val="22"/>
        </w:rPr>
        <w:t>194</w:t>
      </w:r>
      <w:r w:rsidRPr="00741765">
        <w:rPr>
          <w:rFonts w:ascii="Arial" w:hAnsi="Arial" w:cs="Arial"/>
          <w:sz w:val="22"/>
        </w:rPr>
        <w:t>(4), 268. https://doi.org/10.1007/s10661-022-09905-w</w:t>
      </w:r>
    </w:p>
    <w:p w14:paraId="745E3D5F"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Cipro, C. V. Z., Bustamante, P., </w:t>
      </w:r>
      <w:proofErr w:type="spellStart"/>
      <w:r w:rsidRPr="00741765">
        <w:rPr>
          <w:rFonts w:ascii="Arial" w:hAnsi="Arial" w:cs="Arial"/>
          <w:sz w:val="22"/>
        </w:rPr>
        <w:t>Petry</w:t>
      </w:r>
      <w:proofErr w:type="spellEnd"/>
      <w:r w:rsidRPr="00741765">
        <w:rPr>
          <w:rFonts w:ascii="Arial" w:hAnsi="Arial" w:cs="Arial"/>
          <w:sz w:val="22"/>
        </w:rPr>
        <w:t xml:space="preserve">, M. V., &amp; </w:t>
      </w:r>
      <w:proofErr w:type="spellStart"/>
      <w:r w:rsidRPr="00741765">
        <w:rPr>
          <w:rFonts w:ascii="Arial" w:hAnsi="Arial" w:cs="Arial"/>
          <w:sz w:val="22"/>
        </w:rPr>
        <w:t>Montone</w:t>
      </w:r>
      <w:proofErr w:type="spellEnd"/>
      <w:r w:rsidRPr="00741765">
        <w:rPr>
          <w:rFonts w:ascii="Arial" w:hAnsi="Arial" w:cs="Arial"/>
          <w:sz w:val="22"/>
        </w:rPr>
        <w:t xml:space="preserve">, R. C. (2018). Seabird colonies as relevant sources of pollutants in Antarctic ecosystems: Part 1 - Trace elements. </w:t>
      </w:r>
      <w:r w:rsidRPr="00741765">
        <w:rPr>
          <w:rFonts w:ascii="Arial" w:hAnsi="Arial" w:cs="Arial"/>
          <w:i/>
          <w:iCs/>
          <w:sz w:val="22"/>
        </w:rPr>
        <w:t>Chemosphere</w:t>
      </w:r>
      <w:r w:rsidRPr="00741765">
        <w:rPr>
          <w:rFonts w:ascii="Arial" w:hAnsi="Arial" w:cs="Arial"/>
          <w:sz w:val="22"/>
        </w:rPr>
        <w:t xml:space="preserve">, </w:t>
      </w:r>
      <w:r w:rsidRPr="00741765">
        <w:rPr>
          <w:rFonts w:ascii="Arial" w:hAnsi="Arial" w:cs="Arial"/>
          <w:i/>
          <w:iCs/>
          <w:sz w:val="22"/>
        </w:rPr>
        <w:t>204</w:t>
      </w:r>
      <w:r w:rsidRPr="00741765">
        <w:rPr>
          <w:rFonts w:ascii="Arial" w:hAnsi="Arial" w:cs="Arial"/>
          <w:sz w:val="22"/>
        </w:rPr>
        <w:t>, 535–547. https://doi.org/10.1016/j.chemosphere.2018.02.048</w:t>
      </w:r>
    </w:p>
    <w:p w14:paraId="5E654FD6"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Dauwe</w:t>
      </w:r>
      <w:proofErr w:type="spellEnd"/>
      <w:r w:rsidRPr="00741765">
        <w:rPr>
          <w:rFonts w:ascii="Arial" w:hAnsi="Arial" w:cs="Arial"/>
          <w:sz w:val="22"/>
        </w:rPr>
        <w:t xml:space="preserve">, T., Janssens, E., </w:t>
      </w:r>
      <w:proofErr w:type="spellStart"/>
      <w:r w:rsidRPr="00741765">
        <w:rPr>
          <w:rFonts w:ascii="Arial" w:hAnsi="Arial" w:cs="Arial"/>
          <w:sz w:val="22"/>
        </w:rPr>
        <w:t>Bervoets</w:t>
      </w:r>
      <w:proofErr w:type="spellEnd"/>
      <w:r w:rsidRPr="00741765">
        <w:rPr>
          <w:rFonts w:ascii="Arial" w:hAnsi="Arial" w:cs="Arial"/>
          <w:sz w:val="22"/>
        </w:rPr>
        <w:t xml:space="preserve">, L., </w:t>
      </w:r>
      <w:proofErr w:type="spellStart"/>
      <w:r w:rsidRPr="00741765">
        <w:rPr>
          <w:rFonts w:ascii="Arial" w:hAnsi="Arial" w:cs="Arial"/>
          <w:sz w:val="22"/>
        </w:rPr>
        <w:t>Blust</w:t>
      </w:r>
      <w:proofErr w:type="spellEnd"/>
      <w:r w:rsidRPr="00741765">
        <w:rPr>
          <w:rFonts w:ascii="Arial" w:hAnsi="Arial" w:cs="Arial"/>
          <w:sz w:val="22"/>
        </w:rPr>
        <w:t xml:space="preserve">, R., &amp; </w:t>
      </w:r>
      <w:proofErr w:type="spellStart"/>
      <w:r w:rsidRPr="00741765">
        <w:rPr>
          <w:rFonts w:ascii="Arial" w:hAnsi="Arial" w:cs="Arial"/>
          <w:sz w:val="22"/>
        </w:rPr>
        <w:t>Eens</w:t>
      </w:r>
      <w:proofErr w:type="spellEnd"/>
      <w:r w:rsidRPr="00741765">
        <w:rPr>
          <w:rFonts w:ascii="Arial" w:hAnsi="Arial" w:cs="Arial"/>
          <w:sz w:val="22"/>
        </w:rPr>
        <w:t>, M. (2005). Heavy-Metal Concentrations in Female Laying Great Tits (</w:t>
      </w:r>
      <w:proofErr w:type="spellStart"/>
      <w:r w:rsidRPr="00741765">
        <w:rPr>
          <w:rFonts w:ascii="Arial" w:hAnsi="Arial" w:cs="Arial"/>
          <w:sz w:val="22"/>
        </w:rPr>
        <w:t>Parus</w:t>
      </w:r>
      <w:proofErr w:type="spellEnd"/>
      <w:r w:rsidRPr="00741765">
        <w:rPr>
          <w:rFonts w:ascii="Arial" w:hAnsi="Arial" w:cs="Arial"/>
          <w:sz w:val="22"/>
        </w:rPr>
        <w:t xml:space="preserve"> </w:t>
      </w:r>
      <w:proofErr w:type="gramStart"/>
      <w:r w:rsidRPr="00741765">
        <w:rPr>
          <w:rFonts w:ascii="Arial" w:hAnsi="Arial" w:cs="Arial"/>
          <w:sz w:val="22"/>
        </w:rPr>
        <w:t>major)and</w:t>
      </w:r>
      <w:proofErr w:type="gramEnd"/>
      <w:r w:rsidRPr="00741765">
        <w:rPr>
          <w:rFonts w:ascii="Arial" w:hAnsi="Arial" w:cs="Arial"/>
          <w:sz w:val="22"/>
        </w:rPr>
        <w:t xml:space="preserve"> Their Clutches. </w:t>
      </w:r>
      <w:r w:rsidRPr="00741765">
        <w:rPr>
          <w:rFonts w:ascii="Arial" w:hAnsi="Arial" w:cs="Arial"/>
          <w:i/>
          <w:iCs/>
          <w:sz w:val="22"/>
        </w:rPr>
        <w:t>Archives of Environmental Contamination and Toxicology</w:t>
      </w:r>
      <w:r w:rsidRPr="00741765">
        <w:rPr>
          <w:rFonts w:ascii="Arial" w:hAnsi="Arial" w:cs="Arial"/>
          <w:sz w:val="22"/>
        </w:rPr>
        <w:t xml:space="preserve">, </w:t>
      </w:r>
      <w:r w:rsidRPr="00741765">
        <w:rPr>
          <w:rFonts w:ascii="Arial" w:hAnsi="Arial" w:cs="Arial"/>
          <w:i/>
          <w:iCs/>
          <w:sz w:val="22"/>
        </w:rPr>
        <w:t>49</w:t>
      </w:r>
      <w:r w:rsidRPr="00741765">
        <w:rPr>
          <w:rFonts w:ascii="Arial" w:hAnsi="Arial" w:cs="Arial"/>
          <w:sz w:val="22"/>
        </w:rPr>
        <w:t>(2), 249–256. https://doi.org/10.1007/s00244-003-0209-z</w:t>
      </w:r>
    </w:p>
    <w:p w14:paraId="6FB4A087"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Diansyah</w:t>
      </w:r>
      <w:proofErr w:type="spellEnd"/>
      <w:r w:rsidRPr="00741765">
        <w:rPr>
          <w:rFonts w:ascii="Arial" w:hAnsi="Arial" w:cs="Arial"/>
          <w:sz w:val="22"/>
        </w:rPr>
        <w:t xml:space="preserve">, G., </w:t>
      </w:r>
      <w:proofErr w:type="spellStart"/>
      <w:r w:rsidRPr="00741765">
        <w:rPr>
          <w:rFonts w:ascii="Arial" w:hAnsi="Arial" w:cs="Arial"/>
          <w:sz w:val="22"/>
        </w:rPr>
        <w:t>Rozirwan</w:t>
      </w:r>
      <w:proofErr w:type="spellEnd"/>
      <w:r w:rsidRPr="00741765">
        <w:rPr>
          <w:rFonts w:ascii="Arial" w:hAnsi="Arial" w:cs="Arial"/>
          <w:sz w:val="22"/>
        </w:rPr>
        <w:t xml:space="preserve">, Rahman, M. A., </w:t>
      </w:r>
      <w:proofErr w:type="spellStart"/>
      <w:r w:rsidRPr="00741765">
        <w:rPr>
          <w:rFonts w:ascii="Arial" w:hAnsi="Arial" w:cs="Arial"/>
          <w:sz w:val="22"/>
        </w:rPr>
        <w:t>Nugroho</w:t>
      </w:r>
      <w:proofErr w:type="spellEnd"/>
      <w:r w:rsidRPr="00741765">
        <w:rPr>
          <w:rFonts w:ascii="Arial" w:hAnsi="Arial" w:cs="Arial"/>
          <w:sz w:val="22"/>
        </w:rPr>
        <w:t xml:space="preserve">, R. Y., &amp; </w:t>
      </w:r>
      <w:proofErr w:type="spellStart"/>
      <w:r w:rsidRPr="00741765">
        <w:rPr>
          <w:rFonts w:ascii="Arial" w:hAnsi="Arial" w:cs="Arial"/>
          <w:sz w:val="22"/>
        </w:rPr>
        <w:t>Syakti</w:t>
      </w:r>
      <w:proofErr w:type="spellEnd"/>
      <w:r w:rsidRPr="00741765">
        <w:rPr>
          <w:rFonts w:ascii="Arial" w:hAnsi="Arial" w:cs="Arial"/>
          <w:sz w:val="22"/>
        </w:rPr>
        <w:t xml:space="preserve">, A. D. (2024). Dynamics of microplastic abundance under tidal fluctuation in </w:t>
      </w:r>
      <w:proofErr w:type="spellStart"/>
      <w:r w:rsidRPr="00741765">
        <w:rPr>
          <w:rFonts w:ascii="Arial" w:hAnsi="Arial" w:cs="Arial"/>
          <w:sz w:val="22"/>
        </w:rPr>
        <w:t>Musi</w:t>
      </w:r>
      <w:proofErr w:type="spellEnd"/>
      <w:r w:rsidRPr="00741765">
        <w:rPr>
          <w:rFonts w:ascii="Arial" w:hAnsi="Arial" w:cs="Arial"/>
          <w:sz w:val="22"/>
        </w:rPr>
        <w:t xml:space="preserve"> estuary, Indonesia. </w:t>
      </w:r>
      <w:r w:rsidRPr="00741765">
        <w:rPr>
          <w:rFonts w:ascii="Arial" w:hAnsi="Arial" w:cs="Arial"/>
          <w:i/>
          <w:iCs/>
          <w:sz w:val="22"/>
        </w:rPr>
        <w:t>Marine Pollution Bulletin</w:t>
      </w:r>
      <w:r w:rsidRPr="00741765">
        <w:rPr>
          <w:rFonts w:ascii="Arial" w:hAnsi="Arial" w:cs="Arial"/>
          <w:sz w:val="22"/>
        </w:rPr>
        <w:t xml:space="preserve">, </w:t>
      </w:r>
      <w:r w:rsidRPr="00741765">
        <w:rPr>
          <w:rFonts w:ascii="Arial" w:hAnsi="Arial" w:cs="Arial"/>
          <w:i/>
          <w:iCs/>
          <w:sz w:val="22"/>
        </w:rPr>
        <w:t>203</w:t>
      </w:r>
      <w:r w:rsidRPr="00741765">
        <w:rPr>
          <w:rFonts w:ascii="Arial" w:hAnsi="Arial" w:cs="Arial"/>
          <w:sz w:val="22"/>
        </w:rPr>
        <w:t>, 116431. https://doi.org/10.1016/j.marpolbul.2024.116431</w:t>
      </w:r>
    </w:p>
    <w:p w14:paraId="7F7F486F"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Duarte, C. M., </w:t>
      </w:r>
      <w:proofErr w:type="spellStart"/>
      <w:r w:rsidRPr="00741765">
        <w:rPr>
          <w:rFonts w:ascii="Arial" w:hAnsi="Arial" w:cs="Arial"/>
          <w:sz w:val="22"/>
        </w:rPr>
        <w:t>Agusti</w:t>
      </w:r>
      <w:proofErr w:type="spellEnd"/>
      <w:r w:rsidRPr="00741765">
        <w:rPr>
          <w:rFonts w:ascii="Arial" w:hAnsi="Arial" w:cs="Arial"/>
          <w:sz w:val="22"/>
        </w:rPr>
        <w:t xml:space="preserve">, S., </w:t>
      </w:r>
      <w:proofErr w:type="spellStart"/>
      <w:r w:rsidRPr="00741765">
        <w:rPr>
          <w:rFonts w:ascii="Arial" w:hAnsi="Arial" w:cs="Arial"/>
          <w:sz w:val="22"/>
        </w:rPr>
        <w:t>Barbier</w:t>
      </w:r>
      <w:proofErr w:type="spellEnd"/>
      <w:r w:rsidRPr="00741765">
        <w:rPr>
          <w:rFonts w:ascii="Arial" w:hAnsi="Arial" w:cs="Arial"/>
          <w:sz w:val="22"/>
        </w:rPr>
        <w:t xml:space="preserve">, E., Britten, G. L., Castilla, J. C., </w:t>
      </w:r>
      <w:proofErr w:type="spellStart"/>
      <w:r w:rsidRPr="00741765">
        <w:rPr>
          <w:rFonts w:ascii="Arial" w:hAnsi="Arial" w:cs="Arial"/>
          <w:sz w:val="22"/>
        </w:rPr>
        <w:t>Gattuso</w:t>
      </w:r>
      <w:proofErr w:type="spellEnd"/>
      <w:r w:rsidRPr="00741765">
        <w:rPr>
          <w:rFonts w:ascii="Arial" w:hAnsi="Arial" w:cs="Arial"/>
          <w:sz w:val="22"/>
        </w:rPr>
        <w:t xml:space="preserve">, J.-P., </w:t>
      </w:r>
      <w:proofErr w:type="spellStart"/>
      <w:r w:rsidRPr="00741765">
        <w:rPr>
          <w:rFonts w:ascii="Arial" w:hAnsi="Arial" w:cs="Arial"/>
          <w:sz w:val="22"/>
        </w:rPr>
        <w:t>Fulweiler</w:t>
      </w:r>
      <w:proofErr w:type="spellEnd"/>
      <w:r w:rsidRPr="00741765">
        <w:rPr>
          <w:rFonts w:ascii="Arial" w:hAnsi="Arial" w:cs="Arial"/>
          <w:sz w:val="22"/>
        </w:rPr>
        <w:t xml:space="preserve">, R. W., Hughes, T. P., Knowlton, N., Lovelock, C. E., </w:t>
      </w:r>
      <w:proofErr w:type="spellStart"/>
      <w:r w:rsidRPr="00741765">
        <w:rPr>
          <w:rFonts w:ascii="Arial" w:hAnsi="Arial" w:cs="Arial"/>
          <w:sz w:val="22"/>
        </w:rPr>
        <w:t>Lotze</w:t>
      </w:r>
      <w:proofErr w:type="spellEnd"/>
      <w:r w:rsidRPr="00741765">
        <w:rPr>
          <w:rFonts w:ascii="Arial" w:hAnsi="Arial" w:cs="Arial"/>
          <w:sz w:val="22"/>
        </w:rPr>
        <w:t xml:space="preserve">, H. K., </w:t>
      </w:r>
      <w:proofErr w:type="spellStart"/>
      <w:r w:rsidRPr="00741765">
        <w:rPr>
          <w:rFonts w:ascii="Arial" w:hAnsi="Arial" w:cs="Arial"/>
          <w:sz w:val="22"/>
        </w:rPr>
        <w:t>Predragovic</w:t>
      </w:r>
      <w:proofErr w:type="spellEnd"/>
      <w:r w:rsidRPr="00741765">
        <w:rPr>
          <w:rFonts w:ascii="Arial" w:hAnsi="Arial" w:cs="Arial"/>
          <w:sz w:val="22"/>
        </w:rPr>
        <w:t xml:space="preserve">, M., </w:t>
      </w:r>
      <w:proofErr w:type="spellStart"/>
      <w:r w:rsidRPr="00741765">
        <w:rPr>
          <w:rFonts w:ascii="Arial" w:hAnsi="Arial" w:cs="Arial"/>
          <w:sz w:val="22"/>
        </w:rPr>
        <w:t>Poloczanska</w:t>
      </w:r>
      <w:proofErr w:type="spellEnd"/>
      <w:r w:rsidRPr="00741765">
        <w:rPr>
          <w:rFonts w:ascii="Arial" w:hAnsi="Arial" w:cs="Arial"/>
          <w:sz w:val="22"/>
        </w:rPr>
        <w:t xml:space="preserve">, E., Roberts, C., &amp; Worm, B. (2020). Rebuilding marine life. </w:t>
      </w:r>
      <w:r w:rsidRPr="00741765">
        <w:rPr>
          <w:rFonts w:ascii="Arial" w:hAnsi="Arial" w:cs="Arial"/>
          <w:i/>
          <w:iCs/>
          <w:sz w:val="22"/>
        </w:rPr>
        <w:t>Nature</w:t>
      </w:r>
      <w:r w:rsidRPr="00741765">
        <w:rPr>
          <w:rFonts w:ascii="Arial" w:hAnsi="Arial" w:cs="Arial"/>
          <w:sz w:val="22"/>
        </w:rPr>
        <w:t xml:space="preserve">, </w:t>
      </w:r>
      <w:r w:rsidRPr="00741765">
        <w:rPr>
          <w:rFonts w:ascii="Arial" w:hAnsi="Arial" w:cs="Arial"/>
          <w:i/>
          <w:iCs/>
          <w:sz w:val="22"/>
        </w:rPr>
        <w:t>580</w:t>
      </w:r>
      <w:r w:rsidRPr="00741765">
        <w:rPr>
          <w:rFonts w:ascii="Arial" w:hAnsi="Arial" w:cs="Arial"/>
          <w:sz w:val="22"/>
        </w:rPr>
        <w:t>(7801), 39–51. https://doi.org/10.1038/s41586-020-2146-7</w:t>
      </w:r>
    </w:p>
    <w:p w14:paraId="510AD205"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lastRenderedPageBreak/>
        <w:t>Dudev</w:t>
      </w:r>
      <w:proofErr w:type="spellEnd"/>
      <w:r w:rsidRPr="00741765">
        <w:rPr>
          <w:rFonts w:ascii="Arial" w:hAnsi="Arial" w:cs="Arial"/>
          <w:sz w:val="22"/>
        </w:rPr>
        <w:t xml:space="preserve">, T., Lin, </w:t>
      </w:r>
      <w:proofErr w:type="spellStart"/>
      <w:r w:rsidRPr="00741765">
        <w:rPr>
          <w:rFonts w:ascii="Arial" w:hAnsi="Arial" w:cs="Arial"/>
          <w:sz w:val="22"/>
        </w:rPr>
        <w:t>Dudev</w:t>
      </w:r>
      <w:proofErr w:type="spellEnd"/>
      <w:r w:rsidRPr="00741765">
        <w:rPr>
          <w:rFonts w:ascii="Arial" w:hAnsi="Arial" w:cs="Arial"/>
          <w:sz w:val="22"/>
        </w:rPr>
        <w:t xml:space="preserve">, M., &amp; Lim, C. (2003). First−Second Shell Interactions in Metal Binding Sites in Proteins: A PDB Survey and DFT/CDM Calculations. </w:t>
      </w:r>
      <w:r w:rsidRPr="00741765">
        <w:rPr>
          <w:rFonts w:ascii="Arial" w:hAnsi="Arial" w:cs="Arial"/>
          <w:i/>
          <w:iCs/>
          <w:sz w:val="22"/>
        </w:rPr>
        <w:t>Journal of the American Chemical Society</w:t>
      </w:r>
      <w:r w:rsidRPr="00741765">
        <w:rPr>
          <w:rFonts w:ascii="Arial" w:hAnsi="Arial" w:cs="Arial"/>
          <w:sz w:val="22"/>
        </w:rPr>
        <w:t xml:space="preserve">, </w:t>
      </w:r>
      <w:r w:rsidRPr="00741765">
        <w:rPr>
          <w:rFonts w:ascii="Arial" w:hAnsi="Arial" w:cs="Arial"/>
          <w:i/>
          <w:iCs/>
          <w:sz w:val="22"/>
        </w:rPr>
        <w:t>125</w:t>
      </w:r>
      <w:r w:rsidRPr="00741765">
        <w:rPr>
          <w:rFonts w:ascii="Arial" w:hAnsi="Arial" w:cs="Arial"/>
          <w:sz w:val="22"/>
        </w:rPr>
        <w:t>(10), 3168–3180. https://doi.org/10.1021/ja0209722</w:t>
      </w:r>
    </w:p>
    <w:p w14:paraId="2727E1DC"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Espín</w:t>
      </w:r>
      <w:proofErr w:type="spellEnd"/>
      <w:r w:rsidRPr="00741765">
        <w:rPr>
          <w:rFonts w:ascii="Arial" w:hAnsi="Arial" w:cs="Arial"/>
          <w:sz w:val="22"/>
        </w:rPr>
        <w:t>, S., Ruiz, S., Sánchez-</w:t>
      </w:r>
      <w:proofErr w:type="spellStart"/>
      <w:r w:rsidRPr="00741765">
        <w:rPr>
          <w:rFonts w:ascii="Arial" w:hAnsi="Arial" w:cs="Arial"/>
          <w:sz w:val="22"/>
        </w:rPr>
        <w:t>Virosta</w:t>
      </w:r>
      <w:proofErr w:type="spellEnd"/>
      <w:r w:rsidRPr="00741765">
        <w:rPr>
          <w:rFonts w:ascii="Arial" w:hAnsi="Arial" w:cs="Arial"/>
          <w:sz w:val="22"/>
        </w:rPr>
        <w:t xml:space="preserve">, P., </w:t>
      </w:r>
      <w:proofErr w:type="spellStart"/>
      <w:r w:rsidRPr="00741765">
        <w:rPr>
          <w:rFonts w:ascii="Arial" w:hAnsi="Arial" w:cs="Arial"/>
          <w:sz w:val="22"/>
        </w:rPr>
        <w:t>Salminen</w:t>
      </w:r>
      <w:proofErr w:type="spellEnd"/>
      <w:r w:rsidRPr="00741765">
        <w:rPr>
          <w:rFonts w:ascii="Arial" w:hAnsi="Arial" w:cs="Arial"/>
          <w:sz w:val="22"/>
        </w:rPr>
        <w:t xml:space="preserve">, J.-P., &amp; </w:t>
      </w:r>
      <w:proofErr w:type="spellStart"/>
      <w:r w:rsidRPr="00741765">
        <w:rPr>
          <w:rFonts w:ascii="Arial" w:hAnsi="Arial" w:cs="Arial"/>
          <w:sz w:val="22"/>
        </w:rPr>
        <w:t>Eeva</w:t>
      </w:r>
      <w:proofErr w:type="spellEnd"/>
      <w:r w:rsidRPr="00741765">
        <w:rPr>
          <w:rFonts w:ascii="Arial" w:hAnsi="Arial" w:cs="Arial"/>
          <w:sz w:val="22"/>
        </w:rPr>
        <w:t xml:space="preserve">, T. (2016). Effects of experimental calcium availability and anthropogenic metal pollution on eggshell characteristics and yolk carotenoid and vitamin levels in two passerine birds. </w:t>
      </w:r>
      <w:r w:rsidRPr="00741765">
        <w:rPr>
          <w:rFonts w:ascii="Arial" w:hAnsi="Arial" w:cs="Arial"/>
          <w:i/>
          <w:iCs/>
          <w:sz w:val="22"/>
        </w:rPr>
        <w:t>Chemosphere</w:t>
      </w:r>
      <w:r w:rsidRPr="00741765">
        <w:rPr>
          <w:rFonts w:ascii="Arial" w:hAnsi="Arial" w:cs="Arial"/>
          <w:sz w:val="22"/>
        </w:rPr>
        <w:t xml:space="preserve">, </w:t>
      </w:r>
      <w:r w:rsidRPr="00741765">
        <w:rPr>
          <w:rFonts w:ascii="Arial" w:hAnsi="Arial" w:cs="Arial"/>
          <w:i/>
          <w:iCs/>
          <w:sz w:val="22"/>
        </w:rPr>
        <w:t>151</w:t>
      </w:r>
      <w:r w:rsidRPr="00741765">
        <w:rPr>
          <w:rFonts w:ascii="Arial" w:hAnsi="Arial" w:cs="Arial"/>
          <w:sz w:val="22"/>
        </w:rPr>
        <w:t>, 189–201. https://doi.org/10.1016/j.chemosphere.2016.02.074</w:t>
      </w:r>
    </w:p>
    <w:p w14:paraId="401078CF"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Halpern, B. S., Frazier, M., </w:t>
      </w:r>
      <w:proofErr w:type="spellStart"/>
      <w:r w:rsidRPr="00741765">
        <w:rPr>
          <w:rFonts w:ascii="Arial" w:hAnsi="Arial" w:cs="Arial"/>
          <w:sz w:val="22"/>
        </w:rPr>
        <w:t>Afflerbach</w:t>
      </w:r>
      <w:proofErr w:type="spellEnd"/>
      <w:r w:rsidRPr="00741765">
        <w:rPr>
          <w:rFonts w:ascii="Arial" w:hAnsi="Arial" w:cs="Arial"/>
          <w:sz w:val="22"/>
        </w:rPr>
        <w:t xml:space="preserve">, J., Lowndes, J. S., </w:t>
      </w:r>
      <w:proofErr w:type="spellStart"/>
      <w:r w:rsidRPr="00741765">
        <w:rPr>
          <w:rFonts w:ascii="Arial" w:hAnsi="Arial" w:cs="Arial"/>
          <w:sz w:val="22"/>
        </w:rPr>
        <w:t>Micheli</w:t>
      </w:r>
      <w:proofErr w:type="spellEnd"/>
      <w:r w:rsidRPr="00741765">
        <w:rPr>
          <w:rFonts w:ascii="Arial" w:hAnsi="Arial" w:cs="Arial"/>
          <w:sz w:val="22"/>
        </w:rPr>
        <w:t xml:space="preserve">, F., O’Hara, C., Scarborough, C., &amp; </w:t>
      </w:r>
      <w:proofErr w:type="spellStart"/>
      <w:r w:rsidRPr="00741765">
        <w:rPr>
          <w:rFonts w:ascii="Arial" w:hAnsi="Arial" w:cs="Arial"/>
          <w:sz w:val="22"/>
        </w:rPr>
        <w:t>Selkoe</w:t>
      </w:r>
      <w:proofErr w:type="spellEnd"/>
      <w:r w:rsidRPr="00741765">
        <w:rPr>
          <w:rFonts w:ascii="Arial" w:hAnsi="Arial" w:cs="Arial"/>
          <w:sz w:val="22"/>
        </w:rPr>
        <w:t xml:space="preserve">, K. A. (2019). Recent pace of change in human impact on the world’s ocean. </w:t>
      </w:r>
      <w:r w:rsidRPr="00741765">
        <w:rPr>
          <w:rFonts w:ascii="Arial" w:hAnsi="Arial" w:cs="Arial"/>
          <w:i/>
          <w:iCs/>
          <w:sz w:val="22"/>
        </w:rPr>
        <w:t>Scientific Reports</w:t>
      </w:r>
      <w:r w:rsidRPr="00741765">
        <w:rPr>
          <w:rFonts w:ascii="Arial" w:hAnsi="Arial" w:cs="Arial"/>
          <w:sz w:val="22"/>
        </w:rPr>
        <w:t xml:space="preserve">, </w:t>
      </w:r>
      <w:r w:rsidRPr="00741765">
        <w:rPr>
          <w:rFonts w:ascii="Arial" w:hAnsi="Arial" w:cs="Arial"/>
          <w:i/>
          <w:iCs/>
          <w:sz w:val="22"/>
        </w:rPr>
        <w:t>9</w:t>
      </w:r>
      <w:r w:rsidRPr="00741765">
        <w:rPr>
          <w:rFonts w:ascii="Arial" w:hAnsi="Arial" w:cs="Arial"/>
          <w:sz w:val="22"/>
        </w:rPr>
        <w:t>(1), 11609. https://doi.org/10.1038/s41598-019-47201-9</w:t>
      </w:r>
    </w:p>
    <w:p w14:paraId="52F76667"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Hao, Y., Zheng, S., Wang, P., Sun, H., </w:t>
      </w:r>
      <w:proofErr w:type="spellStart"/>
      <w:r w:rsidRPr="00741765">
        <w:rPr>
          <w:rFonts w:ascii="Arial" w:hAnsi="Arial" w:cs="Arial"/>
          <w:sz w:val="22"/>
        </w:rPr>
        <w:t>Matsiko</w:t>
      </w:r>
      <w:proofErr w:type="spellEnd"/>
      <w:r w:rsidRPr="00741765">
        <w:rPr>
          <w:rFonts w:ascii="Arial" w:hAnsi="Arial" w:cs="Arial"/>
          <w:sz w:val="22"/>
        </w:rPr>
        <w:t xml:space="preserve">, J., Li, W., Li, Y., Zhang, Q., &amp; Jiang, G. (2021). Ecotoxicology of persistent organic pollutants in birds. </w:t>
      </w:r>
      <w:r w:rsidRPr="00741765">
        <w:rPr>
          <w:rFonts w:ascii="Arial" w:hAnsi="Arial" w:cs="Arial"/>
          <w:i/>
          <w:iCs/>
          <w:sz w:val="22"/>
        </w:rPr>
        <w:t>Environmental Science: Processes &amp; Impacts</w:t>
      </w:r>
      <w:r w:rsidRPr="00741765">
        <w:rPr>
          <w:rFonts w:ascii="Arial" w:hAnsi="Arial" w:cs="Arial"/>
          <w:sz w:val="22"/>
        </w:rPr>
        <w:t xml:space="preserve">, </w:t>
      </w:r>
      <w:r w:rsidRPr="00741765">
        <w:rPr>
          <w:rFonts w:ascii="Arial" w:hAnsi="Arial" w:cs="Arial"/>
          <w:i/>
          <w:iCs/>
          <w:sz w:val="22"/>
        </w:rPr>
        <w:t>23</w:t>
      </w:r>
      <w:r w:rsidRPr="00741765">
        <w:rPr>
          <w:rFonts w:ascii="Arial" w:hAnsi="Arial" w:cs="Arial"/>
          <w:sz w:val="22"/>
        </w:rPr>
        <w:t>(3), 400–416. https://doi.org/10.1039/D0EM00451K</w:t>
      </w:r>
    </w:p>
    <w:p w14:paraId="78206903"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Hoffman, D. J., &amp; Gay, M. L. (1981). Embryotoxic effects of benzo[a]pyrene, chrysene, and 7,12-dimethylbenz[a]anthracene in petroleum hydrocarbon mixtures in mallard ducks. </w:t>
      </w:r>
      <w:r w:rsidRPr="00741765">
        <w:rPr>
          <w:rFonts w:ascii="Arial" w:hAnsi="Arial" w:cs="Arial"/>
          <w:i/>
          <w:iCs/>
          <w:sz w:val="22"/>
        </w:rPr>
        <w:t>Journal of Toxicology and Environmental Health</w:t>
      </w:r>
      <w:r w:rsidRPr="00741765">
        <w:rPr>
          <w:rFonts w:ascii="Arial" w:hAnsi="Arial" w:cs="Arial"/>
          <w:sz w:val="22"/>
        </w:rPr>
        <w:t xml:space="preserve">, </w:t>
      </w:r>
      <w:r w:rsidRPr="00741765">
        <w:rPr>
          <w:rFonts w:ascii="Arial" w:hAnsi="Arial" w:cs="Arial"/>
          <w:i/>
          <w:iCs/>
          <w:sz w:val="22"/>
        </w:rPr>
        <w:t>7</w:t>
      </w:r>
      <w:r w:rsidRPr="00741765">
        <w:rPr>
          <w:rFonts w:ascii="Arial" w:hAnsi="Arial" w:cs="Arial"/>
          <w:sz w:val="22"/>
        </w:rPr>
        <w:t>(5), 775–787. https://doi.org/10.1080/15287398109530019</w:t>
      </w:r>
    </w:p>
    <w:p w14:paraId="0E699200"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Jerez, S., </w:t>
      </w:r>
      <w:proofErr w:type="spellStart"/>
      <w:r w:rsidRPr="00741765">
        <w:rPr>
          <w:rFonts w:ascii="Arial" w:hAnsi="Arial" w:cs="Arial"/>
          <w:sz w:val="22"/>
        </w:rPr>
        <w:t>Motas</w:t>
      </w:r>
      <w:proofErr w:type="spellEnd"/>
      <w:r w:rsidRPr="00741765">
        <w:rPr>
          <w:rFonts w:ascii="Arial" w:hAnsi="Arial" w:cs="Arial"/>
          <w:sz w:val="22"/>
        </w:rPr>
        <w:t xml:space="preserve">, M., </w:t>
      </w:r>
      <w:proofErr w:type="spellStart"/>
      <w:r w:rsidRPr="00741765">
        <w:rPr>
          <w:rFonts w:ascii="Arial" w:hAnsi="Arial" w:cs="Arial"/>
          <w:sz w:val="22"/>
        </w:rPr>
        <w:t>Benzal</w:t>
      </w:r>
      <w:proofErr w:type="spellEnd"/>
      <w:r w:rsidRPr="00741765">
        <w:rPr>
          <w:rFonts w:ascii="Arial" w:hAnsi="Arial" w:cs="Arial"/>
          <w:sz w:val="22"/>
        </w:rPr>
        <w:t xml:space="preserve">, J., Diaz, J., Vidal, V., D’Amico, V., &amp; Barbosa, A. (2013). Distribution of metals and trace elements in adult and juvenile penguins from the Antarctic Peninsula area. </w:t>
      </w:r>
      <w:r w:rsidRPr="00741765">
        <w:rPr>
          <w:rFonts w:ascii="Arial" w:hAnsi="Arial" w:cs="Arial"/>
          <w:i/>
          <w:iCs/>
          <w:sz w:val="22"/>
        </w:rPr>
        <w:t>Environmental Science and Pollution Research</w:t>
      </w:r>
      <w:r w:rsidRPr="00741765">
        <w:rPr>
          <w:rFonts w:ascii="Arial" w:hAnsi="Arial" w:cs="Arial"/>
          <w:sz w:val="22"/>
        </w:rPr>
        <w:t xml:space="preserve">, </w:t>
      </w:r>
      <w:r w:rsidRPr="00741765">
        <w:rPr>
          <w:rFonts w:ascii="Arial" w:hAnsi="Arial" w:cs="Arial"/>
          <w:i/>
          <w:iCs/>
          <w:sz w:val="22"/>
        </w:rPr>
        <w:t>20</w:t>
      </w:r>
      <w:r w:rsidRPr="00741765">
        <w:rPr>
          <w:rFonts w:ascii="Arial" w:hAnsi="Arial" w:cs="Arial"/>
          <w:sz w:val="22"/>
        </w:rPr>
        <w:t>(5), 3300–3311. https://doi.org/10.1007/s11356-012-1235-z</w:t>
      </w:r>
    </w:p>
    <w:p w14:paraId="0312D1DC" w14:textId="77777777" w:rsidR="00A1768D" w:rsidRPr="00A1768D" w:rsidRDefault="00A1768D" w:rsidP="00A1768D">
      <w:pPr>
        <w:pStyle w:val="Bibliographie"/>
        <w:rPr>
          <w:rFonts w:ascii="Arial" w:hAnsi="Arial" w:cs="Arial"/>
          <w:sz w:val="22"/>
          <w:lang w:val="fr-FR"/>
        </w:rPr>
      </w:pPr>
      <w:r w:rsidRPr="00741765">
        <w:rPr>
          <w:rFonts w:ascii="Arial" w:hAnsi="Arial" w:cs="Arial"/>
          <w:sz w:val="22"/>
        </w:rPr>
        <w:t xml:space="preserve">Jones, K. R., Venter, O., Fuller, R. A., Allan, J. R., Maxwell, S. L., </w:t>
      </w:r>
      <w:proofErr w:type="spellStart"/>
      <w:r w:rsidRPr="00741765">
        <w:rPr>
          <w:rFonts w:ascii="Arial" w:hAnsi="Arial" w:cs="Arial"/>
          <w:sz w:val="22"/>
        </w:rPr>
        <w:t>Negret</w:t>
      </w:r>
      <w:proofErr w:type="spellEnd"/>
      <w:r w:rsidRPr="00741765">
        <w:rPr>
          <w:rFonts w:ascii="Arial" w:hAnsi="Arial" w:cs="Arial"/>
          <w:sz w:val="22"/>
        </w:rPr>
        <w:t xml:space="preserve">, P. J., &amp; Watson, J. E. M. (2018). One-third of global protected land is under intense human pressure. </w:t>
      </w:r>
      <w:r w:rsidRPr="00A1768D">
        <w:rPr>
          <w:rFonts w:ascii="Arial" w:hAnsi="Arial" w:cs="Arial"/>
          <w:i/>
          <w:iCs/>
          <w:sz w:val="22"/>
          <w:lang w:val="fr-FR"/>
        </w:rPr>
        <w:t>Science</w:t>
      </w:r>
      <w:r w:rsidRPr="00A1768D">
        <w:rPr>
          <w:rFonts w:ascii="Arial" w:hAnsi="Arial" w:cs="Arial"/>
          <w:sz w:val="22"/>
          <w:lang w:val="fr-FR"/>
        </w:rPr>
        <w:t xml:space="preserve">, </w:t>
      </w:r>
      <w:r w:rsidRPr="00A1768D">
        <w:rPr>
          <w:rFonts w:ascii="Arial" w:hAnsi="Arial" w:cs="Arial"/>
          <w:i/>
          <w:iCs/>
          <w:sz w:val="22"/>
          <w:lang w:val="fr-FR"/>
        </w:rPr>
        <w:t>360</w:t>
      </w:r>
      <w:r w:rsidRPr="00A1768D">
        <w:rPr>
          <w:rFonts w:ascii="Arial" w:hAnsi="Arial" w:cs="Arial"/>
          <w:sz w:val="22"/>
          <w:lang w:val="fr-FR"/>
        </w:rPr>
        <w:t>(6390), 788–791. https://doi.org/10.1126/science.aap9565</w:t>
      </w:r>
    </w:p>
    <w:p w14:paraId="04099FD2" w14:textId="77777777" w:rsidR="00A1768D" w:rsidRPr="00741765" w:rsidRDefault="00A1768D" w:rsidP="00A1768D">
      <w:pPr>
        <w:pStyle w:val="Bibliographie"/>
        <w:rPr>
          <w:rFonts w:ascii="Arial" w:hAnsi="Arial" w:cs="Arial"/>
          <w:sz w:val="22"/>
        </w:rPr>
      </w:pPr>
      <w:r w:rsidRPr="00A1768D">
        <w:rPr>
          <w:rFonts w:ascii="Arial" w:hAnsi="Arial" w:cs="Arial"/>
          <w:sz w:val="22"/>
          <w:lang w:val="fr-FR"/>
        </w:rPr>
        <w:lastRenderedPageBreak/>
        <w:t xml:space="preserve">Lopes, C. S., </w:t>
      </w:r>
      <w:proofErr w:type="spellStart"/>
      <w:r w:rsidRPr="00A1768D">
        <w:rPr>
          <w:rFonts w:ascii="Arial" w:hAnsi="Arial" w:cs="Arial"/>
          <w:sz w:val="22"/>
          <w:lang w:val="fr-FR"/>
        </w:rPr>
        <w:t>Laranjeiro</w:t>
      </w:r>
      <w:proofErr w:type="spellEnd"/>
      <w:r w:rsidRPr="00A1768D">
        <w:rPr>
          <w:rFonts w:ascii="Arial" w:hAnsi="Arial" w:cs="Arial"/>
          <w:sz w:val="22"/>
          <w:lang w:val="fr-FR"/>
        </w:rPr>
        <w:t xml:space="preserve">, M. I., </w:t>
      </w:r>
      <w:proofErr w:type="spellStart"/>
      <w:r w:rsidRPr="00A1768D">
        <w:rPr>
          <w:rFonts w:ascii="Arial" w:hAnsi="Arial" w:cs="Arial"/>
          <w:sz w:val="22"/>
          <w:lang w:val="fr-FR"/>
        </w:rPr>
        <w:t>Lavers</w:t>
      </w:r>
      <w:proofErr w:type="spellEnd"/>
      <w:r w:rsidRPr="00A1768D">
        <w:rPr>
          <w:rFonts w:ascii="Arial" w:hAnsi="Arial" w:cs="Arial"/>
          <w:sz w:val="22"/>
          <w:lang w:val="fr-FR"/>
        </w:rPr>
        <w:t xml:space="preserve">, J. L., </w:t>
      </w:r>
      <w:proofErr w:type="spellStart"/>
      <w:r w:rsidRPr="00A1768D">
        <w:rPr>
          <w:rFonts w:ascii="Arial" w:hAnsi="Arial" w:cs="Arial"/>
          <w:sz w:val="22"/>
          <w:lang w:val="fr-FR"/>
        </w:rPr>
        <w:t>Finger</w:t>
      </w:r>
      <w:proofErr w:type="spellEnd"/>
      <w:r w:rsidRPr="00A1768D">
        <w:rPr>
          <w:rFonts w:ascii="Arial" w:hAnsi="Arial" w:cs="Arial"/>
          <w:sz w:val="22"/>
          <w:lang w:val="fr-FR"/>
        </w:rPr>
        <w:t xml:space="preserve">, A., &amp; Provencher, J. (2022). </w:t>
      </w:r>
      <w:r w:rsidRPr="00741765">
        <w:rPr>
          <w:rFonts w:ascii="Arial" w:hAnsi="Arial" w:cs="Arial"/>
          <w:sz w:val="22"/>
        </w:rPr>
        <w:t xml:space="preserve">Seabirds as Indicators of Metal and Plastic Pollution. In </w:t>
      </w:r>
      <w:r w:rsidRPr="00741765">
        <w:rPr>
          <w:rFonts w:ascii="Arial" w:hAnsi="Arial" w:cs="Arial"/>
          <w:i/>
          <w:iCs/>
          <w:sz w:val="22"/>
        </w:rPr>
        <w:t>Volume 1: Seabird Biodiversity and Human Activities</w:t>
      </w:r>
      <w:r w:rsidRPr="00741765">
        <w:rPr>
          <w:rFonts w:ascii="Arial" w:hAnsi="Arial" w:cs="Arial"/>
          <w:sz w:val="22"/>
        </w:rPr>
        <w:t>. CRC Press.</w:t>
      </w:r>
    </w:p>
    <w:p w14:paraId="0044E5EE" w14:textId="77777777" w:rsidR="00A1768D" w:rsidRPr="00A1768D" w:rsidRDefault="00A1768D" w:rsidP="00A1768D">
      <w:pPr>
        <w:pStyle w:val="Bibliographie"/>
        <w:rPr>
          <w:rFonts w:ascii="Arial" w:hAnsi="Arial" w:cs="Arial"/>
          <w:sz w:val="22"/>
          <w:lang w:val="fr-FR"/>
        </w:rPr>
      </w:pPr>
      <w:proofErr w:type="spellStart"/>
      <w:r w:rsidRPr="00741765">
        <w:rPr>
          <w:rFonts w:ascii="Arial" w:hAnsi="Arial" w:cs="Arial"/>
          <w:sz w:val="22"/>
        </w:rPr>
        <w:t>Manoj</w:t>
      </w:r>
      <w:proofErr w:type="spellEnd"/>
      <w:r w:rsidRPr="00741765">
        <w:rPr>
          <w:rFonts w:ascii="Arial" w:hAnsi="Arial" w:cs="Arial"/>
          <w:sz w:val="22"/>
        </w:rPr>
        <w:t xml:space="preserve">, K., &amp; </w:t>
      </w:r>
      <w:proofErr w:type="spellStart"/>
      <w:r w:rsidRPr="00741765">
        <w:rPr>
          <w:rFonts w:ascii="Arial" w:hAnsi="Arial" w:cs="Arial"/>
          <w:sz w:val="22"/>
        </w:rPr>
        <w:t>Padhy</w:t>
      </w:r>
      <w:proofErr w:type="spellEnd"/>
      <w:r w:rsidRPr="00741765">
        <w:rPr>
          <w:rFonts w:ascii="Arial" w:hAnsi="Arial" w:cs="Arial"/>
          <w:sz w:val="22"/>
        </w:rPr>
        <w:t xml:space="preserve">, P. K. (2014). Distribution, Enrichment and Ecological Risk Assessment of Six Elements in Bed Sediments of a Tropical River, </w:t>
      </w:r>
      <w:proofErr w:type="spellStart"/>
      <w:r w:rsidRPr="00741765">
        <w:rPr>
          <w:rFonts w:ascii="Arial" w:hAnsi="Arial" w:cs="Arial"/>
          <w:sz w:val="22"/>
        </w:rPr>
        <w:t>Chottanagpur</w:t>
      </w:r>
      <w:proofErr w:type="spellEnd"/>
      <w:r w:rsidRPr="00741765">
        <w:rPr>
          <w:rFonts w:ascii="Arial" w:hAnsi="Arial" w:cs="Arial"/>
          <w:sz w:val="22"/>
        </w:rPr>
        <w:t xml:space="preserve"> Plateau: A Spatial and Temporal Appraisal. </w:t>
      </w:r>
      <w:r w:rsidRPr="00A1768D">
        <w:rPr>
          <w:rFonts w:ascii="Arial" w:hAnsi="Arial" w:cs="Arial"/>
          <w:i/>
          <w:iCs/>
          <w:sz w:val="22"/>
          <w:lang w:val="fr-FR"/>
        </w:rPr>
        <w:t xml:space="preserve">Journal of </w:t>
      </w:r>
      <w:proofErr w:type="spellStart"/>
      <w:r w:rsidRPr="00A1768D">
        <w:rPr>
          <w:rFonts w:ascii="Arial" w:hAnsi="Arial" w:cs="Arial"/>
          <w:i/>
          <w:iCs/>
          <w:sz w:val="22"/>
          <w:lang w:val="fr-FR"/>
        </w:rPr>
        <w:t>Environmental</w:t>
      </w:r>
      <w:proofErr w:type="spellEnd"/>
      <w:r w:rsidRPr="00A1768D">
        <w:rPr>
          <w:rFonts w:ascii="Arial" w:hAnsi="Arial" w:cs="Arial"/>
          <w:i/>
          <w:iCs/>
          <w:sz w:val="22"/>
          <w:lang w:val="fr-FR"/>
        </w:rPr>
        <w:t xml:space="preserve"> Protection</w:t>
      </w:r>
      <w:r w:rsidRPr="00A1768D">
        <w:rPr>
          <w:rFonts w:ascii="Arial" w:hAnsi="Arial" w:cs="Arial"/>
          <w:sz w:val="22"/>
          <w:lang w:val="fr-FR"/>
        </w:rPr>
        <w:t xml:space="preserve">, </w:t>
      </w:r>
      <w:r w:rsidRPr="00A1768D">
        <w:rPr>
          <w:rFonts w:ascii="Arial" w:hAnsi="Arial" w:cs="Arial"/>
          <w:i/>
          <w:iCs/>
          <w:sz w:val="22"/>
          <w:lang w:val="fr-FR"/>
        </w:rPr>
        <w:t>5</w:t>
      </w:r>
      <w:r w:rsidRPr="00A1768D">
        <w:rPr>
          <w:rFonts w:ascii="Arial" w:hAnsi="Arial" w:cs="Arial"/>
          <w:sz w:val="22"/>
          <w:lang w:val="fr-FR"/>
        </w:rPr>
        <w:t>(14), 1419–1434. https://doi.org/10.4236/jep.2014.514136</w:t>
      </w:r>
    </w:p>
    <w:p w14:paraId="6E358D20" w14:textId="77777777" w:rsidR="00A1768D" w:rsidRPr="00741765" w:rsidRDefault="00A1768D" w:rsidP="00A1768D">
      <w:pPr>
        <w:pStyle w:val="Bibliographie"/>
        <w:rPr>
          <w:rFonts w:ascii="Arial" w:hAnsi="Arial" w:cs="Arial"/>
          <w:sz w:val="22"/>
        </w:rPr>
      </w:pPr>
      <w:r w:rsidRPr="00A1768D">
        <w:rPr>
          <w:rFonts w:ascii="Arial" w:hAnsi="Arial" w:cs="Arial"/>
          <w:sz w:val="22"/>
          <w:lang w:val="fr-FR"/>
        </w:rPr>
        <w:t xml:space="preserve">Matos, D. M., Ramos, J. A., </w:t>
      </w:r>
      <w:proofErr w:type="spellStart"/>
      <w:r w:rsidRPr="00A1768D">
        <w:rPr>
          <w:rFonts w:ascii="Arial" w:hAnsi="Arial" w:cs="Arial"/>
          <w:sz w:val="22"/>
          <w:lang w:val="fr-FR"/>
        </w:rPr>
        <w:t>Brandão</w:t>
      </w:r>
      <w:proofErr w:type="spellEnd"/>
      <w:r w:rsidRPr="00A1768D">
        <w:rPr>
          <w:rFonts w:ascii="Arial" w:hAnsi="Arial" w:cs="Arial"/>
          <w:sz w:val="22"/>
          <w:lang w:val="fr-FR"/>
        </w:rPr>
        <w:t xml:space="preserve">, L. C., </w:t>
      </w:r>
      <w:proofErr w:type="spellStart"/>
      <w:r w:rsidRPr="00A1768D">
        <w:rPr>
          <w:rFonts w:ascii="Arial" w:hAnsi="Arial" w:cs="Arial"/>
          <w:sz w:val="22"/>
          <w:lang w:val="fr-FR"/>
        </w:rPr>
        <w:t>Bessa</w:t>
      </w:r>
      <w:proofErr w:type="spellEnd"/>
      <w:r w:rsidRPr="00A1768D">
        <w:rPr>
          <w:rFonts w:ascii="Arial" w:hAnsi="Arial" w:cs="Arial"/>
          <w:sz w:val="22"/>
          <w:lang w:val="fr-FR"/>
        </w:rPr>
        <w:t xml:space="preserve">, F., Silva, V., Rodrigues, I., Antunes, S., Santos, I. dos, </w:t>
      </w:r>
      <w:proofErr w:type="spellStart"/>
      <w:r w:rsidRPr="00A1768D">
        <w:rPr>
          <w:rFonts w:ascii="Arial" w:hAnsi="Arial" w:cs="Arial"/>
          <w:sz w:val="22"/>
          <w:lang w:val="fr-FR"/>
        </w:rPr>
        <w:t>Coentro</w:t>
      </w:r>
      <w:proofErr w:type="spellEnd"/>
      <w:r w:rsidRPr="00A1768D">
        <w:rPr>
          <w:rFonts w:ascii="Arial" w:hAnsi="Arial" w:cs="Arial"/>
          <w:sz w:val="22"/>
          <w:lang w:val="fr-FR"/>
        </w:rPr>
        <w:t xml:space="preserve">, J., Cunha, S. C., Fernandes, J. O., Carvalho, L. A. E. B. de, Marques, M. P. M., Santos, S., &amp; Paiva, V. H. (2023). </w:t>
      </w:r>
      <w:r w:rsidRPr="00741765">
        <w:rPr>
          <w:rFonts w:ascii="Arial" w:hAnsi="Arial" w:cs="Arial"/>
          <w:sz w:val="22"/>
        </w:rPr>
        <w:t xml:space="preserve">Seabirds as bioindicators of anthropogenic and chemical pollution. </w:t>
      </w:r>
      <w:r w:rsidRPr="00741765">
        <w:rPr>
          <w:rFonts w:ascii="Arial" w:hAnsi="Arial" w:cs="Arial"/>
          <w:i/>
          <w:iCs/>
          <w:sz w:val="22"/>
        </w:rPr>
        <w:t>Scientific Letters</w:t>
      </w:r>
      <w:r w:rsidRPr="00741765">
        <w:rPr>
          <w:rFonts w:ascii="Arial" w:hAnsi="Arial" w:cs="Arial"/>
          <w:sz w:val="22"/>
        </w:rPr>
        <w:t xml:space="preserve">, </w:t>
      </w:r>
      <w:r w:rsidRPr="00741765">
        <w:rPr>
          <w:rFonts w:ascii="Arial" w:hAnsi="Arial" w:cs="Arial"/>
          <w:i/>
          <w:iCs/>
          <w:sz w:val="22"/>
        </w:rPr>
        <w:t>1</w:t>
      </w:r>
      <w:r w:rsidRPr="00741765">
        <w:rPr>
          <w:rFonts w:ascii="Arial" w:hAnsi="Arial" w:cs="Arial"/>
          <w:sz w:val="22"/>
        </w:rPr>
        <w:t>(Sup 1). https://doi.org/10.48797/sl.2023.58</w:t>
      </w:r>
    </w:p>
    <w:p w14:paraId="177405FC"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Monteiro, L. R., &amp; Furness, R. W. (1995). Seabirds as monitors of mercury in the marine environment. </w:t>
      </w:r>
      <w:r w:rsidRPr="00741765">
        <w:rPr>
          <w:rFonts w:ascii="Arial" w:hAnsi="Arial" w:cs="Arial"/>
          <w:i/>
          <w:iCs/>
          <w:sz w:val="22"/>
        </w:rPr>
        <w:t>Water, Air, and Soil Pollution</w:t>
      </w:r>
      <w:r w:rsidRPr="00741765">
        <w:rPr>
          <w:rFonts w:ascii="Arial" w:hAnsi="Arial" w:cs="Arial"/>
          <w:sz w:val="22"/>
        </w:rPr>
        <w:t xml:space="preserve">, </w:t>
      </w:r>
      <w:r w:rsidRPr="00741765">
        <w:rPr>
          <w:rFonts w:ascii="Arial" w:hAnsi="Arial" w:cs="Arial"/>
          <w:i/>
          <w:iCs/>
          <w:sz w:val="22"/>
        </w:rPr>
        <w:t>80</w:t>
      </w:r>
      <w:r w:rsidRPr="00741765">
        <w:rPr>
          <w:rFonts w:ascii="Arial" w:hAnsi="Arial" w:cs="Arial"/>
          <w:sz w:val="22"/>
        </w:rPr>
        <w:t>(1), 851–870. https://doi.org/10.1007/BF01189736</w:t>
      </w:r>
    </w:p>
    <w:p w14:paraId="59164B2B"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Morea, J. P. (2023). The economic, social and environmental impacts of offshore oil exploration in Argentina: A critical appraisal. </w:t>
      </w:r>
      <w:r w:rsidRPr="00741765">
        <w:rPr>
          <w:rFonts w:ascii="Arial" w:hAnsi="Arial" w:cs="Arial"/>
          <w:i/>
          <w:iCs/>
          <w:sz w:val="22"/>
        </w:rPr>
        <w:t>The Extractive Industries and Society</w:t>
      </w:r>
      <w:r w:rsidRPr="00741765">
        <w:rPr>
          <w:rFonts w:ascii="Arial" w:hAnsi="Arial" w:cs="Arial"/>
          <w:sz w:val="22"/>
        </w:rPr>
        <w:t xml:space="preserve">, </w:t>
      </w:r>
      <w:r w:rsidRPr="00741765">
        <w:rPr>
          <w:rFonts w:ascii="Arial" w:hAnsi="Arial" w:cs="Arial"/>
          <w:i/>
          <w:iCs/>
          <w:sz w:val="22"/>
        </w:rPr>
        <w:t>15</w:t>
      </w:r>
      <w:r w:rsidRPr="00741765">
        <w:rPr>
          <w:rFonts w:ascii="Arial" w:hAnsi="Arial" w:cs="Arial"/>
          <w:sz w:val="22"/>
        </w:rPr>
        <w:t>, 101295. https://doi.org/10.1016/j.exis.2023.101295</w:t>
      </w:r>
    </w:p>
    <w:p w14:paraId="474E9A6B"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Motlagh</w:t>
      </w:r>
      <w:proofErr w:type="spellEnd"/>
      <w:r w:rsidRPr="00741765">
        <w:rPr>
          <w:rFonts w:ascii="Arial" w:hAnsi="Arial" w:cs="Arial"/>
          <w:sz w:val="22"/>
        </w:rPr>
        <w:t xml:space="preserve">, Z. K., </w:t>
      </w:r>
      <w:proofErr w:type="spellStart"/>
      <w:r w:rsidRPr="00741765">
        <w:rPr>
          <w:rFonts w:ascii="Arial" w:hAnsi="Arial" w:cs="Arial"/>
          <w:sz w:val="22"/>
        </w:rPr>
        <w:t>Tavakoli</w:t>
      </w:r>
      <w:proofErr w:type="spellEnd"/>
      <w:r w:rsidRPr="00741765">
        <w:rPr>
          <w:rFonts w:ascii="Arial" w:hAnsi="Arial" w:cs="Arial"/>
          <w:sz w:val="22"/>
        </w:rPr>
        <w:t xml:space="preserve">, M., &amp; </w:t>
      </w:r>
      <w:proofErr w:type="spellStart"/>
      <w:r w:rsidRPr="00741765">
        <w:rPr>
          <w:rFonts w:ascii="Arial" w:hAnsi="Arial" w:cs="Arial"/>
          <w:sz w:val="22"/>
        </w:rPr>
        <w:t>Sayadi</w:t>
      </w:r>
      <w:proofErr w:type="spellEnd"/>
      <w:r w:rsidRPr="00741765">
        <w:rPr>
          <w:rFonts w:ascii="Arial" w:hAnsi="Arial" w:cs="Arial"/>
          <w:sz w:val="22"/>
        </w:rPr>
        <w:t xml:space="preserve">, M. H. (2025). Microplastics and heavy metals in the coastal areas: Marine health assessment and ecosystem services values. </w:t>
      </w:r>
      <w:r w:rsidRPr="00741765">
        <w:rPr>
          <w:rFonts w:ascii="Arial" w:hAnsi="Arial" w:cs="Arial"/>
          <w:i/>
          <w:iCs/>
          <w:sz w:val="22"/>
        </w:rPr>
        <w:t>Environmental Development</w:t>
      </w:r>
      <w:r w:rsidRPr="00741765">
        <w:rPr>
          <w:rFonts w:ascii="Arial" w:hAnsi="Arial" w:cs="Arial"/>
          <w:sz w:val="22"/>
        </w:rPr>
        <w:t xml:space="preserve">, </w:t>
      </w:r>
      <w:r w:rsidRPr="00741765">
        <w:rPr>
          <w:rFonts w:ascii="Arial" w:hAnsi="Arial" w:cs="Arial"/>
          <w:i/>
          <w:iCs/>
          <w:sz w:val="22"/>
        </w:rPr>
        <w:t>54</w:t>
      </w:r>
      <w:r w:rsidRPr="00741765">
        <w:rPr>
          <w:rFonts w:ascii="Arial" w:hAnsi="Arial" w:cs="Arial"/>
          <w:sz w:val="22"/>
        </w:rPr>
        <w:t>, 101132. https://doi.org/10.1016/j.envdev.2024.101132</w:t>
      </w:r>
    </w:p>
    <w:p w14:paraId="2D86E6FE"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Orłowski</w:t>
      </w:r>
      <w:proofErr w:type="spellEnd"/>
      <w:r w:rsidRPr="00741765">
        <w:rPr>
          <w:rFonts w:ascii="Arial" w:hAnsi="Arial" w:cs="Arial"/>
          <w:sz w:val="22"/>
        </w:rPr>
        <w:t xml:space="preserve">, G., </w:t>
      </w:r>
      <w:proofErr w:type="spellStart"/>
      <w:r w:rsidRPr="00741765">
        <w:rPr>
          <w:rFonts w:ascii="Arial" w:hAnsi="Arial" w:cs="Arial"/>
          <w:sz w:val="22"/>
        </w:rPr>
        <w:t>Hałupka</w:t>
      </w:r>
      <w:proofErr w:type="spellEnd"/>
      <w:r w:rsidRPr="00741765">
        <w:rPr>
          <w:rFonts w:ascii="Arial" w:hAnsi="Arial" w:cs="Arial"/>
          <w:sz w:val="22"/>
        </w:rPr>
        <w:t xml:space="preserve">, L., Pokorny, P., </w:t>
      </w:r>
      <w:proofErr w:type="spellStart"/>
      <w:r w:rsidRPr="00741765">
        <w:rPr>
          <w:rFonts w:ascii="Arial" w:hAnsi="Arial" w:cs="Arial"/>
          <w:sz w:val="22"/>
        </w:rPr>
        <w:t>Klimczuk</w:t>
      </w:r>
      <w:proofErr w:type="spellEnd"/>
      <w:r w:rsidRPr="00741765">
        <w:rPr>
          <w:rFonts w:ascii="Arial" w:hAnsi="Arial" w:cs="Arial"/>
          <w:sz w:val="22"/>
        </w:rPr>
        <w:t xml:space="preserve">, E., </w:t>
      </w:r>
      <w:proofErr w:type="spellStart"/>
      <w:r w:rsidRPr="00741765">
        <w:rPr>
          <w:rFonts w:ascii="Arial" w:hAnsi="Arial" w:cs="Arial"/>
          <w:sz w:val="22"/>
        </w:rPr>
        <w:t>Sztwiertnia</w:t>
      </w:r>
      <w:proofErr w:type="spellEnd"/>
      <w:r w:rsidRPr="00741765">
        <w:rPr>
          <w:rFonts w:ascii="Arial" w:hAnsi="Arial" w:cs="Arial"/>
          <w:sz w:val="22"/>
        </w:rPr>
        <w:t xml:space="preserve">, H., </w:t>
      </w:r>
      <w:proofErr w:type="spellStart"/>
      <w:r w:rsidRPr="00741765">
        <w:rPr>
          <w:rFonts w:ascii="Arial" w:hAnsi="Arial" w:cs="Arial"/>
          <w:sz w:val="22"/>
        </w:rPr>
        <w:t>Dobicki</w:t>
      </w:r>
      <w:proofErr w:type="spellEnd"/>
      <w:r w:rsidRPr="00741765">
        <w:rPr>
          <w:rFonts w:ascii="Arial" w:hAnsi="Arial" w:cs="Arial"/>
          <w:sz w:val="22"/>
        </w:rPr>
        <w:t xml:space="preserve">, W., &amp; </w:t>
      </w:r>
      <w:proofErr w:type="spellStart"/>
      <w:r w:rsidRPr="00741765">
        <w:rPr>
          <w:rFonts w:ascii="Arial" w:hAnsi="Arial" w:cs="Arial"/>
          <w:sz w:val="22"/>
        </w:rPr>
        <w:t>Polechoński</w:t>
      </w:r>
      <w:proofErr w:type="spellEnd"/>
      <w:r w:rsidRPr="00741765">
        <w:rPr>
          <w:rFonts w:ascii="Arial" w:hAnsi="Arial" w:cs="Arial"/>
          <w:sz w:val="22"/>
        </w:rPr>
        <w:t xml:space="preserve">, R. (2017). The pattern of distribution and interaction of metals and calcium in eggshells and egg contents in relation to the embryonic development of eggs in a small passerine bird. </w:t>
      </w:r>
      <w:r w:rsidRPr="00741765">
        <w:rPr>
          <w:rFonts w:ascii="Arial" w:hAnsi="Arial" w:cs="Arial"/>
          <w:i/>
          <w:iCs/>
          <w:sz w:val="22"/>
        </w:rPr>
        <w:t>Journal of Ornithology</w:t>
      </w:r>
      <w:r w:rsidRPr="00741765">
        <w:rPr>
          <w:rFonts w:ascii="Arial" w:hAnsi="Arial" w:cs="Arial"/>
          <w:sz w:val="22"/>
        </w:rPr>
        <w:t xml:space="preserve">, </w:t>
      </w:r>
      <w:r w:rsidRPr="00741765">
        <w:rPr>
          <w:rFonts w:ascii="Arial" w:hAnsi="Arial" w:cs="Arial"/>
          <w:i/>
          <w:iCs/>
          <w:sz w:val="22"/>
        </w:rPr>
        <w:t>158</w:t>
      </w:r>
      <w:r w:rsidRPr="00741765">
        <w:rPr>
          <w:rFonts w:ascii="Arial" w:hAnsi="Arial" w:cs="Arial"/>
          <w:sz w:val="22"/>
        </w:rPr>
        <w:t>(1), 297–309. https://doi.org/10.1007/s10336-016-1366-y</w:t>
      </w:r>
    </w:p>
    <w:p w14:paraId="2B587C3C"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lastRenderedPageBreak/>
        <w:t>Orłowski</w:t>
      </w:r>
      <w:proofErr w:type="spellEnd"/>
      <w:r w:rsidRPr="00741765">
        <w:rPr>
          <w:rFonts w:ascii="Arial" w:hAnsi="Arial" w:cs="Arial"/>
          <w:sz w:val="22"/>
        </w:rPr>
        <w:t xml:space="preserve">, G., </w:t>
      </w:r>
      <w:proofErr w:type="spellStart"/>
      <w:r w:rsidRPr="00741765">
        <w:rPr>
          <w:rFonts w:ascii="Arial" w:hAnsi="Arial" w:cs="Arial"/>
          <w:sz w:val="22"/>
        </w:rPr>
        <w:t>Siekiera</w:t>
      </w:r>
      <w:proofErr w:type="spellEnd"/>
      <w:r w:rsidRPr="00741765">
        <w:rPr>
          <w:rFonts w:ascii="Arial" w:hAnsi="Arial" w:cs="Arial"/>
          <w:sz w:val="22"/>
        </w:rPr>
        <w:t xml:space="preserve">, J., </w:t>
      </w:r>
      <w:proofErr w:type="spellStart"/>
      <w:r w:rsidRPr="00741765">
        <w:rPr>
          <w:rFonts w:ascii="Arial" w:hAnsi="Arial" w:cs="Arial"/>
          <w:sz w:val="22"/>
        </w:rPr>
        <w:t>Karg</w:t>
      </w:r>
      <w:proofErr w:type="spellEnd"/>
      <w:r w:rsidRPr="00741765">
        <w:rPr>
          <w:rFonts w:ascii="Arial" w:hAnsi="Arial" w:cs="Arial"/>
          <w:sz w:val="22"/>
        </w:rPr>
        <w:t xml:space="preserve">, J., </w:t>
      </w:r>
      <w:proofErr w:type="spellStart"/>
      <w:r w:rsidRPr="00741765">
        <w:rPr>
          <w:rFonts w:ascii="Arial" w:hAnsi="Arial" w:cs="Arial"/>
          <w:sz w:val="22"/>
        </w:rPr>
        <w:t>Tobolka</w:t>
      </w:r>
      <w:proofErr w:type="spellEnd"/>
      <w:r w:rsidRPr="00741765">
        <w:rPr>
          <w:rFonts w:ascii="Arial" w:hAnsi="Arial" w:cs="Arial"/>
          <w:sz w:val="22"/>
        </w:rPr>
        <w:t xml:space="preserve">, M., </w:t>
      </w:r>
      <w:proofErr w:type="spellStart"/>
      <w:r w:rsidRPr="00741765">
        <w:rPr>
          <w:rFonts w:ascii="Arial" w:hAnsi="Arial" w:cs="Arial"/>
          <w:sz w:val="22"/>
        </w:rPr>
        <w:t>Wuczyński</w:t>
      </w:r>
      <w:proofErr w:type="spellEnd"/>
      <w:r w:rsidRPr="00741765">
        <w:rPr>
          <w:rFonts w:ascii="Arial" w:hAnsi="Arial" w:cs="Arial"/>
          <w:sz w:val="22"/>
        </w:rPr>
        <w:t xml:space="preserve">, A., </w:t>
      </w:r>
      <w:proofErr w:type="spellStart"/>
      <w:r w:rsidRPr="00741765">
        <w:rPr>
          <w:rFonts w:ascii="Arial" w:hAnsi="Arial" w:cs="Arial"/>
          <w:sz w:val="22"/>
        </w:rPr>
        <w:t>Kaługa</w:t>
      </w:r>
      <w:proofErr w:type="spellEnd"/>
      <w:r w:rsidRPr="00741765">
        <w:rPr>
          <w:rFonts w:ascii="Arial" w:hAnsi="Arial" w:cs="Arial"/>
          <w:sz w:val="22"/>
        </w:rPr>
        <w:t xml:space="preserve">, I., </w:t>
      </w:r>
      <w:proofErr w:type="spellStart"/>
      <w:r w:rsidRPr="00741765">
        <w:rPr>
          <w:rFonts w:ascii="Arial" w:hAnsi="Arial" w:cs="Arial"/>
          <w:sz w:val="22"/>
        </w:rPr>
        <w:t>Siekiera</w:t>
      </w:r>
      <w:proofErr w:type="spellEnd"/>
      <w:r w:rsidRPr="00741765">
        <w:rPr>
          <w:rFonts w:ascii="Arial" w:hAnsi="Arial" w:cs="Arial"/>
          <w:sz w:val="22"/>
        </w:rPr>
        <w:t xml:space="preserve">, A., </w:t>
      </w:r>
      <w:proofErr w:type="spellStart"/>
      <w:r w:rsidRPr="00741765">
        <w:rPr>
          <w:rFonts w:ascii="Arial" w:hAnsi="Arial" w:cs="Arial"/>
          <w:sz w:val="22"/>
        </w:rPr>
        <w:t>Cyga-Döhner</w:t>
      </w:r>
      <w:proofErr w:type="spellEnd"/>
      <w:r w:rsidRPr="00741765">
        <w:rPr>
          <w:rFonts w:ascii="Arial" w:hAnsi="Arial" w:cs="Arial"/>
          <w:sz w:val="22"/>
        </w:rPr>
        <w:t xml:space="preserve">, R., &amp; </w:t>
      </w:r>
      <w:proofErr w:type="spellStart"/>
      <w:r w:rsidRPr="00741765">
        <w:rPr>
          <w:rFonts w:ascii="Arial" w:hAnsi="Arial" w:cs="Arial"/>
          <w:sz w:val="22"/>
        </w:rPr>
        <w:t>Dudzik</w:t>
      </w:r>
      <w:proofErr w:type="spellEnd"/>
      <w:r w:rsidRPr="00741765">
        <w:rPr>
          <w:rFonts w:ascii="Arial" w:hAnsi="Arial" w:cs="Arial"/>
          <w:sz w:val="22"/>
        </w:rPr>
        <w:t xml:space="preserve">, E. (2019). Calcium and metals are not evenly distributed in avian eggshells over their longitudinal section. </w:t>
      </w:r>
      <w:r w:rsidRPr="00741765">
        <w:rPr>
          <w:rFonts w:ascii="Arial" w:hAnsi="Arial" w:cs="Arial"/>
          <w:i/>
          <w:iCs/>
          <w:sz w:val="22"/>
        </w:rPr>
        <w:t>The Auk</w:t>
      </w:r>
      <w:r w:rsidRPr="00741765">
        <w:rPr>
          <w:rFonts w:ascii="Arial" w:hAnsi="Arial" w:cs="Arial"/>
          <w:sz w:val="22"/>
        </w:rPr>
        <w:t xml:space="preserve">, </w:t>
      </w:r>
      <w:r w:rsidRPr="00741765">
        <w:rPr>
          <w:rFonts w:ascii="Arial" w:hAnsi="Arial" w:cs="Arial"/>
          <w:i/>
          <w:iCs/>
          <w:sz w:val="22"/>
        </w:rPr>
        <w:t>136</w:t>
      </w:r>
      <w:r w:rsidRPr="00741765">
        <w:rPr>
          <w:rFonts w:ascii="Arial" w:hAnsi="Arial" w:cs="Arial"/>
          <w:sz w:val="22"/>
        </w:rPr>
        <w:t>(3), ukz026. https://doi.org/10.1093/auk/ukz026</w:t>
      </w:r>
    </w:p>
    <w:p w14:paraId="7CA2DB17"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Oudi</w:t>
      </w:r>
      <w:proofErr w:type="spellEnd"/>
      <w:r w:rsidRPr="00741765">
        <w:rPr>
          <w:rFonts w:ascii="Arial" w:hAnsi="Arial" w:cs="Arial"/>
          <w:sz w:val="22"/>
        </w:rPr>
        <w:t xml:space="preserve">, A., </w:t>
      </w:r>
      <w:proofErr w:type="spellStart"/>
      <w:r w:rsidRPr="00741765">
        <w:rPr>
          <w:rFonts w:ascii="Arial" w:hAnsi="Arial" w:cs="Arial"/>
          <w:sz w:val="22"/>
        </w:rPr>
        <w:t>Chokri</w:t>
      </w:r>
      <w:proofErr w:type="spellEnd"/>
      <w:r w:rsidRPr="00741765">
        <w:rPr>
          <w:rFonts w:ascii="Arial" w:hAnsi="Arial" w:cs="Arial"/>
          <w:sz w:val="22"/>
        </w:rPr>
        <w:t xml:space="preserve">, M. A., </w:t>
      </w:r>
      <w:proofErr w:type="spellStart"/>
      <w:r w:rsidRPr="00741765">
        <w:rPr>
          <w:rFonts w:ascii="Arial" w:hAnsi="Arial" w:cs="Arial"/>
          <w:sz w:val="22"/>
        </w:rPr>
        <w:t>Hammouda</w:t>
      </w:r>
      <w:proofErr w:type="spellEnd"/>
      <w:r w:rsidRPr="00741765">
        <w:rPr>
          <w:rFonts w:ascii="Arial" w:hAnsi="Arial" w:cs="Arial"/>
          <w:sz w:val="22"/>
        </w:rPr>
        <w:t xml:space="preserve">, A., </w:t>
      </w:r>
      <w:proofErr w:type="spellStart"/>
      <w:r w:rsidRPr="00741765">
        <w:rPr>
          <w:rFonts w:ascii="Arial" w:hAnsi="Arial" w:cs="Arial"/>
          <w:sz w:val="22"/>
        </w:rPr>
        <w:t>Chaabane</w:t>
      </w:r>
      <w:proofErr w:type="spellEnd"/>
      <w:r w:rsidRPr="00741765">
        <w:rPr>
          <w:rFonts w:ascii="Arial" w:hAnsi="Arial" w:cs="Arial"/>
          <w:sz w:val="22"/>
        </w:rPr>
        <w:t xml:space="preserve">, R., </w:t>
      </w:r>
      <w:proofErr w:type="spellStart"/>
      <w:r w:rsidRPr="00741765">
        <w:rPr>
          <w:rFonts w:ascii="Arial" w:hAnsi="Arial" w:cs="Arial"/>
          <w:sz w:val="22"/>
        </w:rPr>
        <w:t>Badraoui</w:t>
      </w:r>
      <w:proofErr w:type="spellEnd"/>
      <w:r w:rsidRPr="00741765">
        <w:rPr>
          <w:rFonts w:ascii="Arial" w:hAnsi="Arial" w:cs="Arial"/>
          <w:sz w:val="22"/>
        </w:rPr>
        <w:t xml:space="preserve">, R., </w:t>
      </w:r>
      <w:proofErr w:type="spellStart"/>
      <w:r w:rsidRPr="00741765">
        <w:rPr>
          <w:rFonts w:ascii="Arial" w:hAnsi="Arial" w:cs="Arial"/>
          <w:sz w:val="22"/>
        </w:rPr>
        <w:t>Besnard</w:t>
      </w:r>
      <w:proofErr w:type="spellEnd"/>
      <w:r w:rsidRPr="00741765">
        <w:rPr>
          <w:rFonts w:ascii="Arial" w:hAnsi="Arial" w:cs="Arial"/>
          <w:sz w:val="22"/>
        </w:rPr>
        <w:t xml:space="preserve">, A., &amp; Santos, R. (2019). Physiological impacts of pollution exposure in seabird’s progeny nesting in a Mediterranean contaminated area. </w:t>
      </w:r>
      <w:r w:rsidRPr="00741765">
        <w:rPr>
          <w:rFonts w:ascii="Arial" w:hAnsi="Arial" w:cs="Arial"/>
          <w:i/>
          <w:iCs/>
          <w:sz w:val="22"/>
        </w:rPr>
        <w:t>Marine Pollution Bulletin</w:t>
      </w:r>
      <w:r w:rsidRPr="00741765">
        <w:rPr>
          <w:rFonts w:ascii="Arial" w:hAnsi="Arial" w:cs="Arial"/>
          <w:sz w:val="22"/>
        </w:rPr>
        <w:t xml:space="preserve">, </w:t>
      </w:r>
      <w:r w:rsidRPr="00741765">
        <w:rPr>
          <w:rFonts w:ascii="Arial" w:hAnsi="Arial" w:cs="Arial"/>
          <w:i/>
          <w:iCs/>
          <w:sz w:val="22"/>
        </w:rPr>
        <w:t>142</w:t>
      </w:r>
      <w:r w:rsidRPr="00741765">
        <w:rPr>
          <w:rFonts w:ascii="Arial" w:hAnsi="Arial" w:cs="Arial"/>
          <w:sz w:val="22"/>
        </w:rPr>
        <w:t>, 196–205. https://doi.org/10.1016/j.marpolbul.2019.02.056</w:t>
      </w:r>
    </w:p>
    <w:p w14:paraId="0EBC04A2"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Pain, D. J., Mateo, R., &amp; Green, R. E. (2019). Effects of lead from ammunition on birds and other wildlife: A review and update. </w:t>
      </w:r>
      <w:proofErr w:type="spellStart"/>
      <w:r w:rsidRPr="00741765">
        <w:rPr>
          <w:rFonts w:ascii="Arial" w:hAnsi="Arial" w:cs="Arial"/>
          <w:i/>
          <w:iCs/>
          <w:sz w:val="22"/>
        </w:rPr>
        <w:t>Ambio</w:t>
      </w:r>
      <w:proofErr w:type="spellEnd"/>
      <w:r w:rsidRPr="00741765">
        <w:rPr>
          <w:rFonts w:ascii="Arial" w:hAnsi="Arial" w:cs="Arial"/>
          <w:sz w:val="22"/>
        </w:rPr>
        <w:t xml:space="preserve">, </w:t>
      </w:r>
      <w:r w:rsidRPr="00741765">
        <w:rPr>
          <w:rFonts w:ascii="Arial" w:hAnsi="Arial" w:cs="Arial"/>
          <w:i/>
          <w:iCs/>
          <w:sz w:val="22"/>
        </w:rPr>
        <w:t>48</w:t>
      </w:r>
      <w:r w:rsidRPr="00741765">
        <w:rPr>
          <w:rFonts w:ascii="Arial" w:hAnsi="Arial" w:cs="Arial"/>
          <w:sz w:val="22"/>
        </w:rPr>
        <w:t>(9), 935–953. https://doi.org/10.1007/s13280-019-01159-0</w:t>
      </w:r>
    </w:p>
    <w:p w14:paraId="5E0A7751"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Power, A., White, P., McHugh, B., </w:t>
      </w:r>
      <w:proofErr w:type="spellStart"/>
      <w:r w:rsidRPr="00741765">
        <w:rPr>
          <w:rFonts w:ascii="Arial" w:hAnsi="Arial" w:cs="Arial"/>
          <w:sz w:val="22"/>
        </w:rPr>
        <w:t>Berrow</w:t>
      </w:r>
      <w:proofErr w:type="spellEnd"/>
      <w:r w:rsidRPr="00741765">
        <w:rPr>
          <w:rFonts w:ascii="Arial" w:hAnsi="Arial" w:cs="Arial"/>
          <w:sz w:val="22"/>
        </w:rPr>
        <w:t xml:space="preserve">, S., McKeown, A., Crowley, D., Newton, S., McGovern, E., Murphy, S., &amp; O’Connor, I. (2021). Polycyclic aromatic hydrocarbons (PAHs) in seabird eggs in Ireland. </w:t>
      </w:r>
      <w:r w:rsidRPr="00741765">
        <w:rPr>
          <w:rFonts w:ascii="Arial" w:hAnsi="Arial" w:cs="Arial"/>
          <w:i/>
          <w:iCs/>
          <w:sz w:val="22"/>
        </w:rPr>
        <w:t>Marine Pollution Bulletin</w:t>
      </w:r>
      <w:r w:rsidRPr="00741765">
        <w:rPr>
          <w:rFonts w:ascii="Arial" w:hAnsi="Arial" w:cs="Arial"/>
          <w:sz w:val="22"/>
        </w:rPr>
        <w:t xml:space="preserve">, </w:t>
      </w:r>
      <w:r w:rsidRPr="00741765">
        <w:rPr>
          <w:rFonts w:ascii="Arial" w:hAnsi="Arial" w:cs="Arial"/>
          <w:i/>
          <w:iCs/>
          <w:sz w:val="22"/>
        </w:rPr>
        <w:t>170</w:t>
      </w:r>
      <w:r w:rsidRPr="00741765">
        <w:rPr>
          <w:rFonts w:ascii="Arial" w:hAnsi="Arial" w:cs="Arial"/>
          <w:sz w:val="22"/>
        </w:rPr>
        <w:t>, 112636. https://doi.org/10.1016/j.marpolbul.2021.112636</w:t>
      </w:r>
    </w:p>
    <w:p w14:paraId="52904EAB"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Ricolfi</w:t>
      </w:r>
      <w:proofErr w:type="spellEnd"/>
      <w:r w:rsidRPr="00741765">
        <w:rPr>
          <w:rFonts w:ascii="Arial" w:hAnsi="Arial" w:cs="Arial"/>
          <w:sz w:val="22"/>
        </w:rPr>
        <w:t xml:space="preserve">, L., Taylor, M. D., Yang, Y., </w:t>
      </w:r>
      <w:proofErr w:type="spellStart"/>
      <w:r w:rsidRPr="00741765">
        <w:rPr>
          <w:rFonts w:ascii="Arial" w:hAnsi="Arial" w:cs="Arial"/>
          <w:sz w:val="22"/>
        </w:rPr>
        <w:t>Lagisz</w:t>
      </w:r>
      <w:proofErr w:type="spellEnd"/>
      <w:r w:rsidRPr="00741765">
        <w:rPr>
          <w:rFonts w:ascii="Arial" w:hAnsi="Arial" w:cs="Arial"/>
          <w:sz w:val="22"/>
        </w:rPr>
        <w:t xml:space="preserve">, M., &amp; Nakagawa, S. (2024). Maternal transfer of per- and polyfluoroalkyl substances (PFAS) in wild birds: A systematic review and meta-analysis. </w:t>
      </w:r>
      <w:r w:rsidRPr="00741765">
        <w:rPr>
          <w:rFonts w:ascii="Arial" w:hAnsi="Arial" w:cs="Arial"/>
          <w:i/>
          <w:iCs/>
          <w:sz w:val="22"/>
        </w:rPr>
        <w:t>Chemosphere</w:t>
      </w:r>
      <w:r w:rsidRPr="00741765">
        <w:rPr>
          <w:rFonts w:ascii="Arial" w:hAnsi="Arial" w:cs="Arial"/>
          <w:sz w:val="22"/>
        </w:rPr>
        <w:t xml:space="preserve">, </w:t>
      </w:r>
      <w:r w:rsidRPr="00741765">
        <w:rPr>
          <w:rFonts w:ascii="Arial" w:hAnsi="Arial" w:cs="Arial"/>
          <w:i/>
          <w:iCs/>
          <w:sz w:val="22"/>
        </w:rPr>
        <w:t>361</w:t>
      </w:r>
      <w:r w:rsidRPr="00741765">
        <w:rPr>
          <w:rFonts w:ascii="Arial" w:hAnsi="Arial" w:cs="Arial"/>
          <w:sz w:val="22"/>
        </w:rPr>
        <w:t>, 142346. https://doi.org/10.1016/j.chemosphere.2024.142346</w:t>
      </w:r>
    </w:p>
    <w:p w14:paraId="0526D3B6"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Scheuhammer</w:t>
      </w:r>
      <w:proofErr w:type="spellEnd"/>
      <w:r w:rsidRPr="00741765">
        <w:rPr>
          <w:rFonts w:ascii="Arial" w:hAnsi="Arial" w:cs="Arial"/>
          <w:sz w:val="22"/>
        </w:rPr>
        <w:t xml:space="preserve">, A. M. (1987). The chronic toxicity of </w:t>
      </w:r>
      <w:proofErr w:type="spellStart"/>
      <w:r w:rsidRPr="00741765">
        <w:rPr>
          <w:rFonts w:ascii="Arial" w:hAnsi="Arial" w:cs="Arial"/>
          <w:sz w:val="22"/>
        </w:rPr>
        <w:t>aluminium</w:t>
      </w:r>
      <w:proofErr w:type="spellEnd"/>
      <w:r w:rsidRPr="00741765">
        <w:rPr>
          <w:rFonts w:ascii="Arial" w:hAnsi="Arial" w:cs="Arial"/>
          <w:sz w:val="22"/>
        </w:rPr>
        <w:t xml:space="preserve">, cadmium, mercury, and lead in birds: A review. </w:t>
      </w:r>
      <w:r w:rsidRPr="00741765">
        <w:rPr>
          <w:rFonts w:ascii="Arial" w:hAnsi="Arial" w:cs="Arial"/>
          <w:i/>
          <w:iCs/>
          <w:sz w:val="22"/>
        </w:rPr>
        <w:t>Environmental Pollution</w:t>
      </w:r>
      <w:r w:rsidRPr="00741765">
        <w:rPr>
          <w:rFonts w:ascii="Arial" w:hAnsi="Arial" w:cs="Arial"/>
          <w:sz w:val="22"/>
        </w:rPr>
        <w:t xml:space="preserve">, </w:t>
      </w:r>
      <w:r w:rsidRPr="00741765">
        <w:rPr>
          <w:rFonts w:ascii="Arial" w:hAnsi="Arial" w:cs="Arial"/>
          <w:i/>
          <w:iCs/>
          <w:sz w:val="22"/>
        </w:rPr>
        <w:t>46</w:t>
      </w:r>
      <w:r w:rsidRPr="00741765">
        <w:rPr>
          <w:rFonts w:ascii="Arial" w:hAnsi="Arial" w:cs="Arial"/>
          <w:sz w:val="22"/>
        </w:rPr>
        <w:t>(4), 263–295. https://doi.org/10.1016/0269-7491(87)90173-4</w:t>
      </w:r>
    </w:p>
    <w:p w14:paraId="3D949B93"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Sonne</w:t>
      </w:r>
      <w:proofErr w:type="spellEnd"/>
      <w:r w:rsidRPr="00741765">
        <w:rPr>
          <w:rFonts w:ascii="Arial" w:hAnsi="Arial" w:cs="Arial"/>
          <w:sz w:val="22"/>
        </w:rPr>
        <w:t xml:space="preserve">, C., Siebert, U., </w:t>
      </w:r>
      <w:proofErr w:type="spellStart"/>
      <w:r w:rsidRPr="00741765">
        <w:rPr>
          <w:rFonts w:ascii="Arial" w:hAnsi="Arial" w:cs="Arial"/>
          <w:sz w:val="22"/>
        </w:rPr>
        <w:t>Gonnsen</w:t>
      </w:r>
      <w:proofErr w:type="spellEnd"/>
      <w:r w:rsidRPr="00741765">
        <w:rPr>
          <w:rFonts w:ascii="Arial" w:hAnsi="Arial" w:cs="Arial"/>
          <w:sz w:val="22"/>
        </w:rPr>
        <w:t xml:space="preserve">, K., </w:t>
      </w:r>
      <w:proofErr w:type="spellStart"/>
      <w:r w:rsidRPr="00741765">
        <w:rPr>
          <w:rFonts w:ascii="Arial" w:hAnsi="Arial" w:cs="Arial"/>
          <w:sz w:val="22"/>
        </w:rPr>
        <w:t>Desforges</w:t>
      </w:r>
      <w:proofErr w:type="spellEnd"/>
      <w:r w:rsidRPr="00741765">
        <w:rPr>
          <w:rFonts w:ascii="Arial" w:hAnsi="Arial" w:cs="Arial"/>
          <w:sz w:val="22"/>
        </w:rPr>
        <w:t xml:space="preserve">, J.-P., </w:t>
      </w:r>
      <w:proofErr w:type="spellStart"/>
      <w:r w:rsidRPr="00741765">
        <w:rPr>
          <w:rFonts w:ascii="Arial" w:hAnsi="Arial" w:cs="Arial"/>
          <w:sz w:val="22"/>
        </w:rPr>
        <w:t>Eulaers</w:t>
      </w:r>
      <w:proofErr w:type="spellEnd"/>
      <w:r w:rsidRPr="00741765">
        <w:rPr>
          <w:rFonts w:ascii="Arial" w:hAnsi="Arial" w:cs="Arial"/>
          <w:sz w:val="22"/>
        </w:rPr>
        <w:t xml:space="preserve">, I., Persson, S., Roos, A., </w:t>
      </w:r>
      <w:proofErr w:type="spellStart"/>
      <w:r w:rsidRPr="00741765">
        <w:rPr>
          <w:rFonts w:ascii="Arial" w:hAnsi="Arial" w:cs="Arial"/>
          <w:sz w:val="22"/>
        </w:rPr>
        <w:t>Bäcklin</w:t>
      </w:r>
      <w:proofErr w:type="spellEnd"/>
      <w:r w:rsidRPr="00741765">
        <w:rPr>
          <w:rFonts w:ascii="Arial" w:hAnsi="Arial" w:cs="Arial"/>
          <w:sz w:val="22"/>
        </w:rPr>
        <w:t xml:space="preserve">, B.-M., </w:t>
      </w:r>
      <w:proofErr w:type="spellStart"/>
      <w:r w:rsidRPr="00741765">
        <w:rPr>
          <w:rFonts w:ascii="Arial" w:hAnsi="Arial" w:cs="Arial"/>
          <w:sz w:val="22"/>
        </w:rPr>
        <w:t>Kauhala</w:t>
      </w:r>
      <w:proofErr w:type="spellEnd"/>
      <w:r w:rsidRPr="00741765">
        <w:rPr>
          <w:rFonts w:ascii="Arial" w:hAnsi="Arial" w:cs="Arial"/>
          <w:sz w:val="22"/>
        </w:rPr>
        <w:t xml:space="preserve">, K., </w:t>
      </w:r>
      <w:proofErr w:type="spellStart"/>
      <w:r w:rsidRPr="00741765">
        <w:rPr>
          <w:rFonts w:ascii="Arial" w:hAnsi="Arial" w:cs="Arial"/>
          <w:sz w:val="22"/>
        </w:rPr>
        <w:t>Tange</w:t>
      </w:r>
      <w:proofErr w:type="spellEnd"/>
      <w:r w:rsidRPr="00741765">
        <w:rPr>
          <w:rFonts w:ascii="Arial" w:hAnsi="Arial" w:cs="Arial"/>
          <w:sz w:val="22"/>
        </w:rPr>
        <w:t xml:space="preserve"> Olsen, M., Harding, K. C., </w:t>
      </w:r>
      <w:proofErr w:type="spellStart"/>
      <w:r w:rsidRPr="00741765">
        <w:rPr>
          <w:rFonts w:ascii="Arial" w:hAnsi="Arial" w:cs="Arial"/>
          <w:sz w:val="22"/>
        </w:rPr>
        <w:t>Treu</w:t>
      </w:r>
      <w:proofErr w:type="spellEnd"/>
      <w:r w:rsidRPr="00741765">
        <w:rPr>
          <w:rFonts w:ascii="Arial" w:hAnsi="Arial" w:cs="Arial"/>
          <w:sz w:val="22"/>
        </w:rPr>
        <w:t xml:space="preserve">, G., </w:t>
      </w:r>
      <w:proofErr w:type="spellStart"/>
      <w:r w:rsidRPr="00741765">
        <w:rPr>
          <w:rFonts w:ascii="Arial" w:hAnsi="Arial" w:cs="Arial"/>
          <w:sz w:val="22"/>
        </w:rPr>
        <w:t>Galatius</w:t>
      </w:r>
      <w:proofErr w:type="spellEnd"/>
      <w:r w:rsidRPr="00741765">
        <w:rPr>
          <w:rFonts w:ascii="Arial" w:hAnsi="Arial" w:cs="Arial"/>
          <w:sz w:val="22"/>
        </w:rPr>
        <w:t>, A., Andersen-</w:t>
      </w:r>
      <w:proofErr w:type="spellStart"/>
      <w:r w:rsidRPr="00741765">
        <w:rPr>
          <w:rFonts w:ascii="Arial" w:hAnsi="Arial" w:cs="Arial"/>
          <w:sz w:val="22"/>
        </w:rPr>
        <w:t>Ranberg</w:t>
      </w:r>
      <w:proofErr w:type="spellEnd"/>
      <w:r w:rsidRPr="00741765">
        <w:rPr>
          <w:rFonts w:ascii="Arial" w:hAnsi="Arial" w:cs="Arial"/>
          <w:sz w:val="22"/>
        </w:rPr>
        <w:t xml:space="preserve">, E., Gross, S., </w:t>
      </w:r>
      <w:proofErr w:type="spellStart"/>
      <w:r w:rsidRPr="00741765">
        <w:rPr>
          <w:rFonts w:ascii="Arial" w:hAnsi="Arial" w:cs="Arial"/>
          <w:sz w:val="22"/>
        </w:rPr>
        <w:t>Lakemeyer</w:t>
      </w:r>
      <w:proofErr w:type="spellEnd"/>
      <w:r w:rsidRPr="00741765">
        <w:rPr>
          <w:rFonts w:ascii="Arial" w:hAnsi="Arial" w:cs="Arial"/>
          <w:sz w:val="22"/>
        </w:rPr>
        <w:t xml:space="preserve">, J., Lehnert, K., Lam, S. S., Peng, W., &amp; Dietz, R. (2020). Health effects from contaminant exposure in Baltic Sea birds and </w:t>
      </w:r>
      <w:r w:rsidRPr="00741765">
        <w:rPr>
          <w:rFonts w:ascii="Arial" w:hAnsi="Arial" w:cs="Arial"/>
          <w:sz w:val="22"/>
        </w:rPr>
        <w:lastRenderedPageBreak/>
        <w:t xml:space="preserve">marine mammals: A review. </w:t>
      </w:r>
      <w:r w:rsidRPr="00741765">
        <w:rPr>
          <w:rFonts w:ascii="Arial" w:hAnsi="Arial" w:cs="Arial"/>
          <w:i/>
          <w:iCs/>
          <w:sz w:val="22"/>
        </w:rPr>
        <w:t>Environment International</w:t>
      </w:r>
      <w:r w:rsidRPr="00741765">
        <w:rPr>
          <w:rFonts w:ascii="Arial" w:hAnsi="Arial" w:cs="Arial"/>
          <w:sz w:val="22"/>
        </w:rPr>
        <w:t xml:space="preserve">, </w:t>
      </w:r>
      <w:r w:rsidRPr="00741765">
        <w:rPr>
          <w:rFonts w:ascii="Arial" w:hAnsi="Arial" w:cs="Arial"/>
          <w:i/>
          <w:iCs/>
          <w:sz w:val="22"/>
        </w:rPr>
        <w:t>139</w:t>
      </w:r>
      <w:r w:rsidRPr="00741765">
        <w:rPr>
          <w:rFonts w:ascii="Arial" w:hAnsi="Arial" w:cs="Arial"/>
          <w:sz w:val="22"/>
        </w:rPr>
        <w:t>, 105725. https://doi.org/10.1016/j.envint.2020.105725</w:t>
      </w:r>
    </w:p>
    <w:p w14:paraId="0921218F" w14:textId="77777777" w:rsidR="00A1768D" w:rsidRPr="00A1768D" w:rsidRDefault="00A1768D" w:rsidP="00A1768D">
      <w:pPr>
        <w:pStyle w:val="Bibliographie"/>
        <w:rPr>
          <w:rFonts w:ascii="Arial" w:hAnsi="Arial" w:cs="Arial"/>
          <w:sz w:val="22"/>
          <w:lang w:val="fr-FR"/>
        </w:rPr>
      </w:pPr>
      <w:proofErr w:type="spellStart"/>
      <w:r w:rsidRPr="00741765">
        <w:rPr>
          <w:rFonts w:ascii="Arial" w:hAnsi="Arial" w:cs="Arial"/>
          <w:sz w:val="22"/>
        </w:rPr>
        <w:t>Syakti</w:t>
      </w:r>
      <w:proofErr w:type="spellEnd"/>
      <w:r w:rsidRPr="00741765">
        <w:rPr>
          <w:rFonts w:ascii="Arial" w:hAnsi="Arial" w:cs="Arial"/>
          <w:sz w:val="22"/>
        </w:rPr>
        <w:t xml:space="preserve">, A. D., </w:t>
      </w:r>
      <w:proofErr w:type="spellStart"/>
      <w:r w:rsidRPr="00741765">
        <w:rPr>
          <w:rFonts w:ascii="Arial" w:hAnsi="Arial" w:cs="Arial"/>
          <w:sz w:val="22"/>
        </w:rPr>
        <w:t>Hidayati</w:t>
      </w:r>
      <w:proofErr w:type="spellEnd"/>
      <w:r w:rsidRPr="00741765">
        <w:rPr>
          <w:rFonts w:ascii="Arial" w:hAnsi="Arial" w:cs="Arial"/>
          <w:sz w:val="22"/>
        </w:rPr>
        <w:t xml:space="preserve">, N. V., Jaya, Y. V., </w:t>
      </w:r>
      <w:proofErr w:type="spellStart"/>
      <w:r w:rsidRPr="00741765">
        <w:rPr>
          <w:rFonts w:ascii="Arial" w:hAnsi="Arial" w:cs="Arial"/>
          <w:sz w:val="22"/>
        </w:rPr>
        <w:t>Siregar</w:t>
      </w:r>
      <w:proofErr w:type="spellEnd"/>
      <w:r w:rsidRPr="00741765">
        <w:rPr>
          <w:rFonts w:ascii="Arial" w:hAnsi="Arial" w:cs="Arial"/>
          <w:sz w:val="22"/>
        </w:rPr>
        <w:t xml:space="preserve">, S. H., </w:t>
      </w:r>
      <w:proofErr w:type="spellStart"/>
      <w:r w:rsidRPr="00741765">
        <w:rPr>
          <w:rFonts w:ascii="Arial" w:hAnsi="Arial" w:cs="Arial"/>
          <w:sz w:val="22"/>
        </w:rPr>
        <w:t>Yude</w:t>
      </w:r>
      <w:proofErr w:type="spellEnd"/>
      <w:r w:rsidRPr="00741765">
        <w:rPr>
          <w:rFonts w:ascii="Arial" w:hAnsi="Arial" w:cs="Arial"/>
          <w:sz w:val="22"/>
        </w:rPr>
        <w:t xml:space="preserve">, R., </w:t>
      </w:r>
      <w:proofErr w:type="spellStart"/>
      <w:r w:rsidRPr="00741765">
        <w:rPr>
          <w:rFonts w:ascii="Arial" w:hAnsi="Arial" w:cs="Arial"/>
          <w:sz w:val="22"/>
        </w:rPr>
        <w:t>Suhendy</w:t>
      </w:r>
      <w:proofErr w:type="spellEnd"/>
      <w:r w:rsidRPr="00741765">
        <w:rPr>
          <w:rFonts w:ascii="Arial" w:hAnsi="Arial" w:cs="Arial"/>
          <w:sz w:val="22"/>
        </w:rPr>
        <w:t>, Asia, L., Wong-</w:t>
      </w:r>
      <w:proofErr w:type="spellStart"/>
      <w:r w:rsidRPr="00741765">
        <w:rPr>
          <w:rFonts w:ascii="Arial" w:hAnsi="Arial" w:cs="Arial"/>
          <w:sz w:val="22"/>
        </w:rPr>
        <w:t>Wah</w:t>
      </w:r>
      <w:proofErr w:type="spellEnd"/>
      <w:r w:rsidRPr="00741765">
        <w:rPr>
          <w:rFonts w:ascii="Arial" w:hAnsi="Arial" w:cs="Arial"/>
          <w:sz w:val="22"/>
        </w:rPr>
        <w:t xml:space="preserve">-Chung, P., &amp; </w:t>
      </w:r>
      <w:proofErr w:type="spellStart"/>
      <w:r w:rsidRPr="00741765">
        <w:rPr>
          <w:rFonts w:ascii="Arial" w:hAnsi="Arial" w:cs="Arial"/>
          <w:sz w:val="22"/>
        </w:rPr>
        <w:t>Doumenq</w:t>
      </w:r>
      <w:proofErr w:type="spellEnd"/>
      <w:r w:rsidRPr="00741765">
        <w:rPr>
          <w:rFonts w:ascii="Arial" w:hAnsi="Arial" w:cs="Arial"/>
          <w:sz w:val="22"/>
        </w:rPr>
        <w:t xml:space="preserve">, P. (2018). Simultaneous grading of microplastic size sampling in the Small Islands of </w:t>
      </w:r>
      <w:proofErr w:type="spellStart"/>
      <w:r w:rsidRPr="00741765">
        <w:rPr>
          <w:rFonts w:ascii="Arial" w:hAnsi="Arial" w:cs="Arial"/>
          <w:sz w:val="22"/>
        </w:rPr>
        <w:t>Bintan</w:t>
      </w:r>
      <w:proofErr w:type="spellEnd"/>
      <w:r w:rsidRPr="00741765">
        <w:rPr>
          <w:rFonts w:ascii="Arial" w:hAnsi="Arial" w:cs="Arial"/>
          <w:sz w:val="22"/>
        </w:rPr>
        <w:t xml:space="preserve"> water, Indonesia. </w:t>
      </w:r>
      <w:r w:rsidRPr="00A1768D">
        <w:rPr>
          <w:rFonts w:ascii="Arial" w:hAnsi="Arial" w:cs="Arial"/>
          <w:i/>
          <w:iCs/>
          <w:sz w:val="22"/>
          <w:lang w:val="fr-FR"/>
        </w:rPr>
        <w:t>Marine Pollution Bulletin</w:t>
      </w:r>
      <w:r w:rsidRPr="00A1768D">
        <w:rPr>
          <w:rFonts w:ascii="Arial" w:hAnsi="Arial" w:cs="Arial"/>
          <w:sz w:val="22"/>
          <w:lang w:val="fr-FR"/>
        </w:rPr>
        <w:t xml:space="preserve">, </w:t>
      </w:r>
      <w:r w:rsidRPr="00A1768D">
        <w:rPr>
          <w:rFonts w:ascii="Arial" w:hAnsi="Arial" w:cs="Arial"/>
          <w:i/>
          <w:iCs/>
          <w:sz w:val="22"/>
          <w:lang w:val="fr-FR"/>
        </w:rPr>
        <w:t>137</w:t>
      </w:r>
      <w:r w:rsidRPr="00A1768D">
        <w:rPr>
          <w:rFonts w:ascii="Arial" w:hAnsi="Arial" w:cs="Arial"/>
          <w:sz w:val="22"/>
          <w:lang w:val="fr-FR"/>
        </w:rPr>
        <w:t>, 593–600. https://doi.org/10.1016/j.marpolbul.2018.11.005</w:t>
      </w:r>
    </w:p>
    <w:p w14:paraId="5711258B" w14:textId="77777777" w:rsidR="00A1768D" w:rsidRPr="00741765" w:rsidRDefault="00A1768D" w:rsidP="00A1768D">
      <w:pPr>
        <w:pStyle w:val="Bibliographie"/>
        <w:rPr>
          <w:rFonts w:ascii="Arial" w:hAnsi="Arial" w:cs="Arial"/>
          <w:sz w:val="22"/>
        </w:rPr>
      </w:pPr>
      <w:proofErr w:type="spellStart"/>
      <w:r w:rsidRPr="00A1768D">
        <w:rPr>
          <w:rFonts w:ascii="Arial" w:hAnsi="Arial" w:cs="Arial"/>
          <w:sz w:val="22"/>
          <w:lang w:val="fr-FR"/>
        </w:rPr>
        <w:t>Uddin</w:t>
      </w:r>
      <w:proofErr w:type="spellEnd"/>
      <w:r w:rsidRPr="00A1768D">
        <w:rPr>
          <w:rFonts w:ascii="Arial" w:hAnsi="Arial" w:cs="Arial"/>
          <w:sz w:val="22"/>
          <w:lang w:val="fr-FR"/>
        </w:rPr>
        <w:t xml:space="preserve">, M. M., &amp; Xu, F. (2024). </w:t>
      </w:r>
      <w:r w:rsidRPr="00741765">
        <w:rPr>
          <w:rFonts w:ascii="Arial" w:hAnsi="Arial" w:cs="Arial"/>
          <w:sz w:val="22"/>
        </w:rPr>
        <w:t xml:space="preserve">Sources, Occurrences, and Risks of Polycyclic Aromatic Hydro-Carbons (PAHs) in Bangladesh: A Review of Current Status. </w:t>
      </w:r>
      <w:r w:rsidRPr="00741765">
        <w:rPr>
          <w:rFonts w:ascii="Arial" w:hAnsi="Arial" w:cs="Arial"/>
          <w:i/>
          <w:iCs/>
          <w:sz w:val="22"/>
        </w:rPr>
        <w:t>Atmosphere</w:t>
      </w:r>
      <w:r w:rsidRPr="00741765">
        <w:rPr>
          <w:rFonts w:ascii="Arial" w:hAnsi="Arial" w:cs="Arial"/>
          <w:sz w:val="22"/>
        </w:rPr>
        <w:t xml:space="preserve">, </w:t>
      </w:r>
      <w:r w:rsidRPr="00741765">
        <w:rPr>
          <w:rFonts w:ascii="Arial" w:hAnsi="Arial" w:cs="Arial"/>
          <w:i/>
          <w:iCs/>
          <w:sz w:val="22"/>
        </w:rPr>
        <w:t>15</w:t>
      </w:r>
      <w:r w:rsidRPr="00741765">
        <w:rPr>
          <w:rFonts w:ascii="Arial" w:hAnsi="Arial" w:cs="Arial"/>
          <w:sz w:val="22"/>
        </w:rPr>
        <w:t>(2). https://doi.org/10.3390/atmos15020233</w:t>
      </w:r>
    </w:p>
    <w:p w14:paraId="47DA20FC"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Ukpene</w:t>
      </w:r>
      <w:proofErr w:type="spellEnd"/>
      <w:r w:rsidRPr="00741765">
        <w:rPr>
          <w:rFonts w:ascii="Arial" w:hAnsi="Arial" w:cs="Arial"/>
          <w:sz w:val="22"/>
        </w:rPr>
        <w:t xml:space="preserve">, A. O., </w:t>
      </w:r>
      <w:proofErr w:type="spellStart"/>
      <w:r w:rsidRPr="00741765">
        <w:rPr>
          <w:rFonts w:ascii="Arial" w:hAnsi="Arial" w:cs="Arial"/>
          <w:sz w:val="22"/>
        </w:rPr>
        <w:t>Igborgbor</w:t>
      </w:r>
      <w:proofErr w:type="spellEnd"/>
      <w:r w:rsidRPr="00741765">
        <w:rPr>
          <w:rFonts w:ascii="Arial" w:hAnsi="Arial" w:cs="Arial"/>
          <w:sz w:val="22"/>
        </w:rPr>
        <w:t xml:space="preserve">, J. C., </w:t>
      </w:r>
      <w:proofErr w:type="spellStart"/>
      <w:r w:rsidRPr="00741765">
        <w:rPr>
          <w:rFonts w:ascii="Arial" w:hAnsi="Arial" w:cs="Arial"/>
          <w:sz w:val="22"/>
        </w:rPr>
        <w:t>Oduma</w:t>
      </w:r>
      <w:proofErr w:type="spellEnd"/>
      <w:r w:rsidRPr="00741765">
        <w:rPr>
          <w:rFonts w:ascii="Arial" w:hAnsi="Arial" w:cs="Arial"/>
          <w:sz w:val="22"/>
        </w:rPr>
        <w:t xml:space="preserve">, E., &amp; </w:t>
      </w:r>
      <w:proofErr w:type="spellStart"/>
      <w:r w:rsidRPr="00741765">
        <w:rPr>
          <w:rFonts w:ascii="Arial" w:hAnsi="Arial" w:cs="Arial"/>
          <w:sz w:val="22"/>
        </w:rPr>
        <w:t>Konyeme</w:t>
      </w:r>
      <w:proofErr w:type="spellEnd"/>
      <w:r w:rsidRPr="00741765">
        <w:rPr>
          <w:rFonts w:ascii="Arial" w:hAnsi="Arial" w:cs="Arial"/>
          <w:sz w:val="22"/>
        </w:rPr>
        <w:t xml:space="preserve">, T. E. (2024). ENVIRONMENTAL IMPACTS OF OIL SPILLS ON MARINE ECOSYSTEMS: A CASE STUDY OF THE NIGER-DELTA ENVIRONMENT. </w:t>
      </w:r>
      <w:r w:rsidRPr="00741765">
        <w:rPr>
          <w:rFonts w:ascii="Arial" w:hAnsi="Arial" w:cs="Arial"/>
          <w:i/>
          <w:iCs/>
          <w:sz w:val="22"/>
        </w:rPr>
        <w:t>African Journal of Health, Safety and Environment</w:t>
      </w:r>
      <w:r w:rsidRPr="00741765">
        <w:rPr>
          <w:rFonts w:ascii="Arial" w:hAnsi="Arial" w:cs="Arial"/>
          <w:sz w:val="22"/>
        </w:rPr>
        <w:t xml:space="preserve">, </w:t>
      </w:r>
      <w:r w:rsidRPr="00741765">
        <w:rPr>
          <w:rFonts w:ascii="Arial" w:hAnsi="Arial" w:cs="Arial"/>
          <w:i/>
          <w:iCs/>
          <w:sz w:val="22"/>
        </w:rPr>
        <w:t>5</w:t>
      </w:r>
      <w:r w:rsidRPr="00741765">
        <w:rPr>
          <w:rFonts w:ascii="Arial" w:hAnsi="Arial" w:cs="Arial"/>
          <w:sz w:val="22"/>
        </w:rPr>
        <w:t>(1), 103–113. https://doi.org/10.52417/ajhse.v5i1.466</w:t>
      </w:r>
    </w:p>
    <w:p w14:paraId="16303512"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van </w:t>
      </w:r>
      <w:proofErr w:type="spellStart"/>
      <w:r w:rsidRPr="00741765">
        <w:rPr>
          <w:rFonts w:ascii="Arial" w:hAnsi="Arial" w:cs="Arial"/>
          <w:sz w:val="22"/>
        </w:rPr>
        <w:t>Gessellen</w:t>
      </w:r>
      <w:proofErr w:type="spellEnd"/>
      <w:r w:rsidRPr="00741765">
        <w:rPr>
          <w:rFonts w:ascii="Arial" w:hAnsi="Arial" w:cs="Arial"/>
          <w:sz w:val="22"/>
        </w:rPr>
        <w:t xml:space="preserve">, N., &amp; </w:t>
      </w:r>
      <w:proofErr w:type="spellStart"/>
      <w:r w:rsidRPr="00741765">
        <w:rPr>
          <w:rFonts w:ascii="Arial" w:hAnsi="Arial" w:cs="Arial"/>
          <w:sz w:val="22"/>
        </w:rPr>
        <w:t>Bouwman</w:t>
      </w:r>
      <w:proofErr w:type="spellEnd"/>
      <w:r w:rsidRPr="00741765">
        <w:rPr>
          <w:rFonts w:ascii="Arial" w:hAnsi="Arial" w:cs="Arial"/>
          <w:sz w:val="22"/>
        </w:rPr>
        <w:t xml:space="preserve">, H. (2025). Are Metal Concentrations in Lesser Flamingo Eggs and Eggshells Good Indicators of Environmental Pollution? </w:t>
      </w:r>
      <w:r w:rsidRPr="00741765">
        <w:rPr>
          <w:rFonts w:ascii="Arial" w:hAnsi="Arial" w:cs="Arial"/>
          <w:i/>
          <w:iCs/>
          <w:sz w:val="22"/>
        </w:rPr>
        <w:t>Archives of Environmental Contamination and Toxicology</w:t>
      </w:r>
      <w:r w:rsidRPr="00741765">
        <w:rPr>
          <w:rFonts w:ascii="Arial" w:hAnsi="Arial" w:cs="Arial"/>
          <w:sz w:val="22"/>
        </w:rPr>
        <w:t xml:space="preserve">, </w:t>
      </w:r>
      <w:r w:rsidRPr="00741765">
        <w:rPr>
          <w:rFonts w:ascii="Arial" w:hAnsi="Arial" w:cs="Arial"/>
          <w:i/>
          <w:iCs/>
          <w:sz w:val="22"/>
        </w:rPr>
        <w:t>88</w:t>
      </w:r>
      <w:r w:rsidRPr="00741765">
        <w:rPr>
          <w:rFonts w:ascii="Arial" w:hAnsi="Arial" w:cs="Arial"/>
          <w:sz w:val="22"/>
        </w:rPr>
        <w:t>(1), 39–54. https://doi.org/10.1007/s00244-024-01102-9</w:t>
      </w:r>
    </w:p>
    <w:p w14:paraId="5270BEFE" w14:textId="77777777" w:rsidR="00A1768D" w:rsidRPr="00741765" w:rsidRDefault="00A1768D" w:rsidP="00A1768D">
      <w:pPr>
        <w:pStyle w:val="Bibliographie"/>
        <w:rPr>
          <w:rFonts w:ascii="Arial" w:hAnsi="Arial" w:cs="Arial"/>
          <w:sz w:val="22"/>
        </w:rPr>
      </w:pPr>
      <w:r w:rsidRPr="00741765">
        <w:rPr>
          <w:rFonts w:ascii="Arial" w:hAnsi="Arial" w:cs="Arial"/>
          <w:sz w:val="22"/>
        </w:rPr>
        <w:t xml:space="preserve">van </w:t>
      </w:r>
      <w:proofErr w:type="spellStart"/>
      <w:r w:rsidRPr="00741765">
        <w:rPr>
          <w:rFonts w:ascii="Arial" w:hAnsi="Arial" w:cs="Arial"/>
          <w:sz w:val="22"/>
        </w:rPr>
        <w:t>Roomen</w:t>
      </w:r>
      <w:proofErr w:type="spellEnd"/>
      <w:r w:rsidRPr="00741765">
        <w:rPr>
          <w:rFonts w:ascii="Arial" w:hAnsi="Arial" w:cs="Arial"/>
          <w:sz w:val="22"/>
        </w:rPr>
        <w:t xml:space="preserve">, M., </w:t>
      </w:r>
      <w:proofErr w:type="spellStart"/>
      <w:r w:rsidRPr="00741765">
        <w:rPr>
          <w:rFonts w:ascii="Arial" w:hAnsi="Arial" w:cs="Arial"/>
          <w:sz w:val="22"/>
        </w:rPr>
        <w:t>Reneerkens</w:t>
      </w:r>
      <w:proofErr w:type="spellEnd"/>
      <w:r w:rsidRPr="00741765">
        <w:rPr>
          <w:rFonts w:ascii="Arial" w:hAnsi="Arial" w:cs="Arial"/>
          <w:sz w:val="22"/>
        </w:rPr>
        <w:t xml:space="preserve">, J., </w:t>
      </w:r>
      <w:proofErr w:type="spellStart"/>
      <w:r w:rsidRPr="00741765">
        <w:rPr>
          <w:rFonts w:ascii="Arial" w:hAnsi="Arial" w:cs="Arial"/>
          <w:sz w:val="22"/>
        </w:rPr>
        <w:t>Citegetse</w:t>
      </w:r>
      <w:proofErr w:type="spellEnd"/>
      <w:r w:rsidRPr="00741765">
        <w:rPr>
          <w:rFonts w:ascii="Arial" w:hAnsi="Arial" w:cs="Arial"/>
          <w:sz w:val="22"/>
        </w:rPr>
        <w:t xml:space="preserve">, G., Crowe, O., Gueye, K., </w:t>
      </w:r>
      <w:proofErr w:type="spellStart"/>
      <w:r w:rsidRPr="00741765">
        <w:rPr>
          <w:rFonts w:ascii="Arial" w:hAnsi="Arial" w:cs="Arial"/>
          <w:sz w:val="22"/>
        </w:rPr>
        <w:t>Langendoen</w:t>
      </w:r>
      <w:proofErr w:type="spellEnd"/>
      <w:r w:rsidRPr="00741765">
        <w:rPr>
          <w:rFonts w:ascii="Arial" w:hAnsi="Arial" w:cs="Arial"/>
          <w:sz w:val="22"/>
        </w:rPr>
        <w:t xml:space="preserve">, T., Dodman, T., </w:t>
      </w:r>
      <w:proofErr w:type="spellStart"/>
      <w:r w:rsidRPr="00741765">
        <w:rPr>
          <w:rFonts w:ascii="Arial" w:hAnsi="Arial" w:cs="Arial"/>
          <w:sz w:val="22"/>
        </w:rPr>
        <w:t>Meise</w:t>
      </w:r>
      <w:proofErr w:type="spellEnd"/>
      <w:r w:rsidRPr="00741765">
        <w:rPr>
          <w:rFonts w:ascii="Arial" w:hAnsi="Arial" w:cs="Arial"/>
          <w:sz w:val="22"/>
        </w:rPr>
        <w:t xml:space="preserve">, K., &amp; </w:t>
      </w:r>
      <w:proofErr w:type="spellStart"/>
      <w:r w:rsidRPr="00741765">
        <w:rPr>
          <w:rFonts w:ascii="Arial" w:hAnsi="Arial" w:cs="Arial"/>
          <w:sz w:val="22"/>
        </w:rPr>
        <w:t>Schekkerman</w:t>
      </w:r>
      <w:proofErr w:type="spellEnd"/>
      <w:r w:rsidRPr="00741765">
        <w:rPr>
          <w:rFonts w:ascii="Arial" w:hAnsi="Arial" w:cs="Arial"/>
          <w:sz w:val="22"/>
        </w:rPr>
        <w:t xml:space="preserve">, H. (2025). </w:t>
      </w:r>
      <w:r w:rsidRPr="00741765">
        <w:rPr>
          <w:rFonts w:ascii="Arial" w:hAnsi="Arial" w:cs="Arial"/>
          <w:i/>
          <w:iCs/>
          <w:sz w:val="22"/>
        </w:rPr>
        <w:t xml:space="preserve">East Atlantic Flyway Assessment 2023. The status of coastal </w:t>
      </w:r>
      <w:proofErr w:type="spellStart"/>
      <w:r w:rsidRPr="00741765">
        <w:rPr>
          <w:rFonts w:ascii="Arial" w:hAnsi="Arial" w:cs="Arial"/>
          <w:i/>
          <w:iCs/>
          <w:sz w:val="22"/>
        </w:rPr>
        <w:t>waterbird</w:t>
      </w:r>
      <w:proofErr w:type="spellEnd"/>
      <w:r w:rsidRPr="00741765">
        <w:rPr>
          <w:rFonts w:ascii="Arial" w:hAnsi="Arial" w:cs="Arial"/>
          <w:i/>
          <w:iCs/>
          <w:sz w:val="22"/>
        </w:rPr>
        <w:t xml:space="preserve"> populations and their sites</w:t>
      </w:r>
      <w:r w:rsidRPr="00741765">
        <w:rPr>
          <w:rFonts w:ascii="Arial" w:hAnsi="Arial" w:cs="Arial"/>
          <w:sz w:val="22"/>
        </w:rPr>
        <w:t xml:space="preserve">. </w:t>
      </w:r>
      <w:proofErr w:type="spellStart"/>
      <w:r w:rsidRPr="00741765">
        <w:rPr>
          <w:rFonts w:ascii="Arial" w:hAnsi="Arial" w:cs="Arial"/>
          <w:sz w:val="22"/>
        </w:rPr>
        <w:t>Wadden</w:t>
      </w:r>
      <w:proofErr w:type="spellEnd"/>
      <w:r w:rsidRPr="00741765">
        <w:rPr>
          <w:rFonts w:ascii="Arial" w:hAnsi="Arial" w:cs="Arial"/>
          <w:sz w:val="22"/>
        </w:rPr>
        <w:t xml:space="preserve"> Sea Flyway Initiative p/a CWSS, Wilhelmshaven, Germany, Wetlands International, Wageningen, The Netherlands, </w:t>
      </w:r>
      <w:proofErr w:type="spellStart"/>
      <w:r w:rsidRPr="00741765">
        <w:rPr>
          <w:rFonts w:ascii="Arial" w:hAnsi="Arial" w:cs="Arial"/>
          <w:sz w:val="22"/>
        </w:rPr>
        <w:t>BirdLife</w:t>
      </w:r>
      <w:proofErr w:type="spellEnd"/>
      <w:r w:rsidRPr="00741765">
        <w:rPr>
          <w:rFonts w:ascii="Arial" w:hAnsi="Arial" w:cs="Arial"/>
          <w:sz w:val="22"/>
        </w:rPr>
        <w:t xml:space="preserve"> International, Cambridge, United Kingdom. https://doi.org/10.5281/zenodo.15423626</w:t>
      </w:r>
    </w:p>
    <w:p w14:paraId="4A5BECBE" w14:textId="77777777" w:rsidR="00A1768D" w:rsidRPr="00741765" w:rsidRDefault="00A1768D" w:rsidP="00A1768D">
      <w:pPr>
        <w:pStyle w:val="Bibliographie"/>
        <w:rPr>
          <w:rFonts w:ascii="Arial" w:hAnsi="Arial" w:cs="Arial"/>
          <w:sz w:val="22"/>
        </w:rPr>
      </w:pPr>
      <w:proofErr w:type="spellStart"/>
      <w:r w:rsidRPr="00A1768D">
        <w:rPr>
          <w:rFonts w:ascii="Arial" w:hAnsi="Arial" w:cs="Arial"/>
          <w:sz w:val="22"/>
          <w:lang w:val="fr-FR"/>
        </w:rPr>
        <w:t>Venkadeshwaran</w:t>
      </w:r>
      <w:proofErr w:type="spellEnd"/>
      <w:r w:rsidRPr="00A1768D">
        <w:rPr>
          <w:rFonts w:ascii="Arial" w:hAnsi="Arial" w:cs="Arial"/>
          <w:sz w:val="22"/>
          <w:lang w:val="fr-FR"/>
        </w:rPr>
        <w:t xml:space="preserve">, K., </w:t>
      </w:r>
      <w:proofErr w:type="spellStart"/>
      <w:r w:rsidRPr="00A1768D">
        <w:rPr>
          <w:rFonts w:ascii="Arial" w:hAnsi="Arial" w:cs="Arial"/>
          <w:sz w:val="22"/>
          <w:lang w:val="fr-FR"/>
        </w:rPr>
        <w:t>Bibhu</w:t>
      </w:r>
      <w:proofErr w:type="spellEnd"/>
      <w:r w:rsidRPr="00A1768D">
        <w:rPr>
          <w:rFonts w:ascii="Arial" w:hAnsi="Arial" w:cs="Arial"/>
          <w:sz w:val="22"/>
          <w:lang w:val="fr-FR"/>
        </w:rPr>
        <w:t xml:space="preserve">, V., Rani, R., &amp; </w:t>
      </w:r>
      <w:proofErr w:type="spellStart"/>
      <w:r w:rsidRPr="00A1768D">
        <w:rPr>
          <w:rFonts w:ascii="Arial" w:hAnsi="Arial" w:cs="Arial"/>
          <w:sz w:val="22"/>
          <w:lang w:val="fr-FR"/>
        </w:rPr>
        <w:t>Meher</w:t>
      </w:r>
      <w:proofErr w:type="spellEnd"/>
      <w:r w:rsidRPr="00A1768D">
        <w:rPr>
          <w:rFonts w:ascii="Arial" w:hAnsi="Arial" w:cs="Arial"/>
          <w:sz w:val="22"/>
          <w:lang w:val="fr-FR"/>
        </w:rPr>
        <w:t xml:space="preserve">, K. (2025). </w:t>
      </w:r>
      <w:r w:rsidRPr="00741765">
        <w:rPr>
          <w:rFonts w:ascii="Arial" w:hAnsi="Arial" w:cs="Arial"/>
          <w:sz w:val="22"/>
        </w:rPr>
        <w:t xml:space="preserve">Exploring Heavy Metal Contamination in Aquatic Ecosystems and Its Implications for Fish Consumption. </w:t>
      </w:r>
      <w:r w:rsidRPr="00741765">
        <w:rPr>
          <w:rFonts w:ascii="Arial" w:hAnsi="Arial" w:cs="Arial"/>
          <w:i/>
          <w:iCs/>
          <w:sz w:val="22"/>
        </w:rPr>
        <w:t xml:space="preserve">Natural </w:t>
      </w:r>
      <w:r w:rsidRPr="00741765">
        <w:rPr>
          <w:rFonts w:ascii="Arial" w:hAnsi="Arial" w:cs="Arial"/>
          <w:i/>
          <w:iCs/>
          <w:sz w:val="22"/>
        </w:rPr>
        <w:lastRenderedPageBreak/>
        <w:t>and Engineering Sciences</w:t>
      </w:r>
      <w:r w:rsidRPr="00741765">
        <w:rPr>
          <w:rFonts w:ascii="Arial" w:hAnsi="Arial" w:cs="Arial"/>
          <w:sz w:val="22"/>
        </w:rPr>
        <w:t xml:space="preserve">, </w:t>
      </w:r>
      <w:r w:rsidRPr="00741765">
        <w:rPr>
          <w:rFonts w:ascii="Arial" w:hAnsi="Arial" w:cs="Arial"/>
          <w:i/>
          <w:iCs/>
          <w:sz w:val="22"/>
        </w:rPr>
        <w:t>10</w:t>
      </w:r>
      <w:r w:rsidRPr="00741765">
        <w:rPr>
          <w:rFonts w:ascii="Arial" w:hAnsi="Arial" w:cs="Arial"/>
          <w:sz w:val="22"/>
        </w:rPr>
        <w:t>(1), 231–243. https://doi.org/10.28978/nesciences.1643512</w:t>
      </w:r>
    </w:p>
    <w:p w14:paraId="43960007" w14:textId="77777777" w:rsidR="00A1768D" w:rsidRPr="00741765" w:rsidRDefault="00A1768D" w:rsidP="00A1768D">
      <w:pPr>
        <w:pStyle w:val="Bibliographie"/>
        <w:rPr>
          <w:rFonts w:ascii="Arial" w:hAnsi="Arial" w:cs="Arial"/>
          <w:sz w:val="22"/>
        </w:rPr>
      </w:pPr>
      <w:proofErr w:type="spellStart"/>
      <w:r w:rsidRPr="00741765">
        <w:rPr>
          <w:rFonts w:ascii="Arial" w:hAnsi="Arial" w:cs="Arial"/>
          <w:sz w:val="22"/>
        </w:rPr>
        <w:t>Verreault</w:t>
      </w:r>
      <w:proofErr w:type="spellEnd"/>
      <w:r w:rsidRPr="00741765">
        <w:rPr>
          <w:rFonts w:ascii="Arial" w:hAnsi="Arial" w:cs="Arial"/>
          <w:sz w:val="22"/>
        </w:rPr>
        <w:t xml:space="preserve">, J., Letcher, R. J., Muir, D. C. G., Chu, S., </w:t>
      </w:r>
      <w:proofErr w:type="spellStart"/>
      <w:r w:rsidRPr="00741765">
        <w:rPr>
          <w:rFonts w:ascii="Arial" w:hAnsi="Arial" w:cs="Arial"/>
          <w:sz w:val="22"/>
        </w:rPr>
        <w:t>Gebbink</w:t>
      </w:r>
      <w:proofErr w:type="spellEnd"/>
      <w:r w:rsidRPr="00741765">
        <w:rPr>
          <w:rFonts w:ascii="Arial" w:hAnsi="Arial" w:cs="Arial"/>
          <w:sz w:val="22"/>
        </w:rPr>
        <w:t xml:space="preserve">, W. A., &amp; </w:t>
      </w:r>
      <w:proofErr w:type="spellStart"/>
      <w:r w:rsidRPr="00741765">
        <w:rPr>
          <w:rFonts w:ascii="Arial" w:hAnsi="Arial" w:cs="Arial"/>
          <w:sz w:val="22"/>
        </w:rPr>
        <w:t>Gabrielsen</w:t>
      </w:r>
      <w:proofErr w:type="spellEnd"/>
      <w:r w:rsidRPr="00741765">
        <w:rPr>
          <w:rFonts w:ascii="Arial" w:hAnsi="Arial" w:cs="Arial"/>
          <w:sz w:val="22"/>
        </w:rPr>
        <w:t>, G. W. (2005). New organochlorine contaminants and metabolites in plasma and eggs of glaucous gulls (</w:t>
      </w:r>
      <w:proofErr w:type="spellStart"/>
      <w:r w:rsidRPr="00741765">
        <w:rPr>
          <w:rFonts w:ascii="Arial" w:hAnsi="Arial" w:cs="Arial"/>
          <w:sz w:val="22"/>
        </w:rPr>
        <w:t>Larus</w:t>
      </w:r>
      <w:proofErr w:type="spellEnd"/>
      <w:r w:rsidRPr="00741765">
        <w:rPr>
          <w:rFonts w:ascii="Arial" w:hAnsi="Arial" w:cs="Arial"/>
          <w:sz w:val="22"/>
        </w:rPr>
        <w:t xml:space="preserve"> </w:t>
      </w:r>
      <w:proofErr w:type="spellStart"/>
      <w:r w:rsidRPr="00741765">
        <w:rPr>
          <w:rFonts w:ascii="Arial" w:hAnsi="Arial" w:cs="Arial"/>
          <w:sz w:val="22"/>
        </w:rPr>
        <w:t>hyperboreus</w:t>
      </w:r>
      <w:proofErr w:type="spellEnd"/>
      <w:r w:rsidRPr="00741765">
        <w:rPr>
          <w:rFonts w:ascii="Arial" w:hAnsi="Arial" w:cs="Arial"/>
          <w:sz w:val="22"/>
        </w:rPr>
        <w:t xml:space="preserve">) from the Norwegian Arctic. </w:t>
      </w:r>
      <w:r w:rsidRPr="00741765">
        <w:rPr>
          <w:rFonts w:ascii="Arial" w:hAnsi="Arial" w:cs="Arial"/>
          <w:i/>
          <w:iCs/>
          <w:sz w:val="22"/>
        </w:rPr>
        <w:t>Environmental Toxicology and Chemistry</w:t>
      </w:r>
      <w:r w:rsidRPr="00741765">
        <w:rPr>
          <w:rFonts w:ascii="Arial" w:hAnsi="Arial" w:cs="Arial"/>
          <w:sz w:val="22"/>
        </w:rPr>
        <w:t xml:space="preserve">, </w:t>
      </w:r>
      <w:r w:rsidRPr="00741765">
        <w:rPr>
          <w:rFonts w:ascii="Arial" w:hAnsi="Arial" w:cs="Arial"/>
          <w:i/>
          <w:iCs/>
          <w:sz w:val="22"/>
        </w:rPr>
        <w:t>24</w:t>
      </w:r>
      <w:r w:rsidRPr="00741765">
        <w:rPr>
          <w:rFonts w:ascii="Arial" w:hAnsi="Arial" w:cs="Arial"/>
          <w:sz w:val="22"/>
        </w:rPr>
        <w:t>(10), 2486–2499. https://doi.org/10.1897/05-067R.1</w:t>
      </w:r>
    </w:p>
    <w:p w14:paraId="6C8BDF90" w14:textId="77777777" w:rsidR="00A1768D" w:rsidRPr="00A1768D" w:rsidRDefault="00A1768D" w:rsidP="00A1768D">
      <w:pPr>
        <w:pStyle w:val="Bibliographie"/>
        <w:rPr>
          <w:rFonts w:ascii="Arial" w:hAnsi="Arial" w:cs="Arial"/>
          <w:sz w:val="22"/>
          <w:lang w:val="fr-FR"/>
        </w:rPr>
      </w:pPr>
      <w:proofErr w:type="spellStart"/>
      <w:r w:rsidRPr="00741765">
        <w:rPr>
          <w:rFonts w:ascii="Arial" w:hAnsi="Arial" w:cs="Arial"/>
          <w:sz w:val="22"/>
        </w:rPr>
        <w:t>Ytreberg</w:t>
      </w:r>
      <w:proofErr w:type="spellEnd"/>
      <w:r w:rsidRPr="00741765">
        <w:rPr>
          <w:rFonts w:ascii="Arial" w:hAnsi="Arial" w:cs="Arial"/>
          <w:sz w:val="22"/>
        </w:rPr>
        <w:t xml:space="preserve">, E., Eriksson, M., </w:t>
      </w:r>
      <w:proofErr w:type="spellStart"/>
      <w:r w:rsidRPr="00741765">
        <w:rPr>
          <w:rFonts w:ascii="Arial" w:hAnsi="Arial" w:cs="Arial"/>
          <w:sz w:val="22"/>
        </w:rPr>
        <w:t>Maljutenko</w:t>
      </w:r>
      <w:proofErr w:type="spellEnd"/>
      <w:r w:rsidRPr="00741765">
        <w:rPr>
          <w:rFonts w:ascii="Arial" w:hAnsi="Arial" w:cs="Arial"/>
          <w:sz w:val="22"/>
        </w:rPr>
        <w:t xml:space="preserve">, I., </w:t>
      </w:r>
      <w:proofErr w:type="spellStart"/>
      <w:r w:rsidRPr="00741765">
        <w:rPr>
          <w:rFonts w:ascii="Arial" w:hAnsi="Arial" w:cs="Arial"/>
          <w:sz w:val="22"/>
        </w:rPr>
        <w:t>Jalkanen</w:t>
      </w:r>
      <w:proofErr w:type="spellEnd"/>
      <w:r w:rsidRPr="00741765">
        <w:rPr>
          <w:rFonts w:ascii="Arial" w:hAnsi="Arial" w:cs="Arial"/>
          <w:sz w:val="22"/>
        </w:rPr>
        <w:t xml:space="preserve">, J.-P., Johansson, L., </w:t>
      </w:r>
      <w:proofErr w:type="spellStart"/>
      <w:r w:rsidRPr="00741765">
        <w:rPr>
          <w:rFonts w:ascii="Arial" w:hAnsi="Arial" w:cs="Arial"/>
          <w:sz w:val="22"/>
        </w:rPr>
        <w:t>Hassellöv</w:t>
      </w:r>
      <w:proofErr w:type="spellEnd"/>
      <w:r w:rsidRPr="00741765">
        <w:rPr>
          <w:rFonts w:ascii="Arial" w:hAnsi="Arial" w:cs="Arial"/>
          <w:sz w:val="22"/>
        </w:rPr>
        <w:t xml:space="preserve">, I.-M., &amp; </w:t>
      </w:r>
      <w:proofErr w:type="spellStart"/>
      <w:r w:rsidRPr="00741765">
        <w:rPr>
          <w:rFonts w:ascii="Arial" w:hAnsi="Arial" w:cs="Arial"/>
          <w:sz w:val="22"/>
        </w:rPr>
        <w:t>Granhag</w:t>
      </w:r>
      <w:proofErr w:type="spellEnd"/>
      <w:r w:rsidRPr="00741765">
        <w:rPr>
          <w:rFonts w:ascii="Arial" w:hAnsi="Arial" w:cs="Arial"/>
          <w:sz w:val="22"/>
        </w:rPr>
        <w:t xml:space="preserve">, L. (2020). Environmental impacts of grey water discharge from ships in the Baltic Sea. </w:t>
      </w:r>
      <w:r w:rsidRPr="00A1768D">
        <w:rPr>
          <w:rFonts w:ascii="Arial" w:hAnsi="Arial" w:cs="Arial"/>
          <w:i/>
          <w:iCs/>
          <w:sz w:val="22"/>
          <w:lang w:val="fr-FR"/>
        </w:rPr>
        <w:t>Marine Pollution Bulletin</w:t>
      </w:r>
      <w:r w:rsidRPr="00A1768D">
        <w:rPr>
          <w:rFonts w:ascii="Arial" w:hAnsi="Arial" w:cs="Arial"/>
          <w:sz w:val="22"/>
          <w:lang w:val="fr-FR"/>
        </w:rPr>
        <w:t xml:space="preserve">, </w:t>
      </w:r>
      <w:r w:rsidRPr="00A1768D">
        <w:rPr>
          <w:rFonts w:ascii="Arial" w:hAnsi="Arial" w:cs="Arial"/>
          <w:i/>
          <w:iCs/>
          <w:sz w:val="22"/>
          <w:lang w:val="fr-FR"/>
        </w:rPr>
        <w:t>152</w:t>
      </w:r>
      <w:r w:rsidRPr="00A1768D">
        <w:rPr>
          <w:rFonts w:ascii="Arial" w:hAnsi="Arial" w:cs="Arial"/>
          <w:sz w:val="22"/>
          <w:lang w:val="fr-FR"/>
        </w:rPr>
        <w:t>, 110891. https://doi.org/10.1016/j.marpolbul.2020.110891</w:t>
      </w:r>
    </w:p>
    <w:p w14:paraId="5BF6ED6E" w14:textId="22584843" w:rsidR="00B01FCD" w:rsidRPr="00313E9A" w:rsidRDefault="00313E9A" w:rsidP="00A1768D">
      <w:pPr>
        <w:pStyle w:val="Bibliographie"/>
        <w:rPr>
          <w:rFonts w:ascii="Arial" w:hAnsi="Arial" w:cs="Arial"/>
          <w:b/>
        </w:rPr>
      </w:pPr>
      <w:r w:rsidRPr="00313E9A">
        <w:rPr>
          <w:rFonts w:ascii="Arial" w:hAnsi="Arial" w:cs="Arial"/>
          <w:b/>
        </w:rPr>
        <w:fldChar w:fldCharType="end"/>
      </w:r>
    </w:p>
    <w:sectPr w:rsidR="00B01FCD" w:rsidRPr="00313E9A" w:rsidSect="00651151">
      <w:headerReference w:type="even" r:id="rId18"/>
      <w:headerReference w:type="default" r:id="rId19"/>
      <w:footerReference w:type="default" r:id="rId20"/>
      <w:headerReference w:type="first" r:id="rId21"/>
      <w:type w:val="continuous"/>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4222E" w14:textId="77777777" w:rsidR="00EB408D" w:rsidRDefault="00EB408D" w:rsidP="00C37E61">
      <w:r>
        <w:separator/>
      </w:r>
    </w:p>
  </w:endnote>
  <w:endnote w:type="continuationSeparator" w:id="0">
    <w:p w14:paraId="44B5F037" w14:textId="77777777" w:rsidR="00EB408D" w:rsidRDefault="00EB408D"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B190F" w14:textId="77777777" w:rsidR="000173F3" w:rsidRDefault="000173F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76490" w14:textId="77777777" w:rsidR="000173F3" w:rsidRDefault="000173F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CE346" w14:textId="77777777" w:rsidR="000173F3" w:rsidRDefault="000173F3">
    <w:pPr>
      <w:pStyle w:val="Pieddepage"/>
      <w:rPr>
        <w:rFonts w:ascii="Arial" w:hAnsi="Arial" w:cs="Arial"/>
        <w:sz w:val="16"/>
      </w:rPr>
    </w:pPr>
  </w:p>
  <w:p w14:paraId="55C7A129" w14:textId="77777777" w:rsidR="000173F3" w:rsidRDefault="000173F3" w:rsidP="009E048A">
    <w:pPr>
      <w:pStyle w:val="Pieddepage"/>
      <w:jc w:val="center"/>
      <w:rPr>
        <w:rFonts w:ascii="Arial" w:hAnsi="Arial" w:cs="Arial"/>
        <w:sz w:val="16"/>
      </w:rPr>
    </w:pPr>
    <w:r>
      <w:rPr>
        <w:rFonts w:ascii="Arial" w:hAnsi="Arial" w:cs="Arial"/>
        <w:sz w:val="16"/>
      </w:rPr>
      <w:t>____________________________________________________________________________________________</w:t>
    </w:r>
  </w:p>
  <w:p w14:paraId="667E8C97" w14:textId="77777777" w:rsidR="000173F3" w:rsidRDefault="000173F3">
    <w:pPr>
      <w:pStyle w:val="Pieddepage"/>
      <w:rPr>
        <w:rFonts w:ascii="Arial" w:hAnsi="Arial" w:cs="Arial"/>
        <w:sz w:val="16"/>
      </w:rPr>
    </w:pPr>
  </w:p>
  <w:p w14:paraId="1FE46FDF" w14:textId="77777777" w:rsidR="000173F3" w:rsidRPr="009E048A" w:rsidRDefault="000173F3">
    <w:pPr>
      <w:pStyle w:val="Pieddepage"/>
      <w:rPr>
        <w:rFonts w:ascii="Arial" w:hAnsi="Arial" w:cs="Arial"/>
        <w:i/>
        <w:sz w:val="16"/>
      </w:rPr>
    </w:pPr>
    <w:r w:rsidRPr="009E048A">
      <w:rPr>
        <w:rFonts w:ascii="Arial" w:hAnsi="Arial" w:cs="Arial"/>
        <w:i/>
        <w:sz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703E5" w14:textId="77777777" w:rsidR="000173F3" w:rsidRPr="00C37E61" w:rsidRDefault="000173F3" w:rsidP="00C37E6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C48E1" w14:textId="77777777" w:rsidR="00EB408D" w:rsidRDefault="00EB408D" w:rsidP="00C37E61">
      <w:r>
        <w:separator/>
      </w:r>
    </w:p>
  </w:footnote>
  <w:footnote w:type="continuationSeparator" w:id="0">
    <w:p w14:paraId="0144653D" w14:textId="77777777" w:rsidR="00EB408D" w:rsidRDefault="00EB408D"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B57D2" w14:textId="4A6CF97A" w:rsidR="000173F3" w:rsidRDefault="00EB408D">
    <w:pPr>
      <w:pStyle w:val="En-tte"/>
    </w:pPr>
    <w:r>
      <w:rPr>
        <w:noProof/>
      </w:rPr>
      <w:pict w14:anchorId="3D6166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32110" o:spid="_x0000_s2057" type="#_x0000_t136" alt="" style="position:absolute;margin-left:0;margin-top:0;width:595.85pt;height:67.2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A4EA3" w14:textId="2462589D" w:rsidR="000173F3" w:rsidRDefault="00EB408D">
    <w:pPr>
      <w:pStyle w:val="En-tte"/>
    </w:pPr>
    <w:r>
      <w:rPr>
        <w:noProof/>
      </w:rPr>
      <w:pict w14:anchorId="15F5C2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32111" o:spid="_x0000_s2056" type="#_x0000_t136" alt="" style="position:absolute;margin-left:0;margin-top:0;width:595.85pt;height:67.2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0F6EF" w14:textId="0B4E69A1" w:rsidR="000173F3" w:rsidRPr="00296529" w:rsidRDefault="00EB408D" w:rsidP="00296529">
    <w:pPr>
      <w:ind w:left="2160"/>
      <w:jc w:val="center"/>
      <w:rPr>
        <w:rFonts w:ascii="Times New Roman" w:eastAsia="Calibri" w:hAnsi="Times New Roman"/>
        <w:i/>
        <w:sz w:val="18"/>
        <w:szCs w:val="22"/>
      </w:rPr>
    </w:pPr>
    <w:r>
      <w:rPr>
        <w:noProof/>
      </w:rPr>
      <w:pict w14:anchorId="595E41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32109" o:spid="_x0000_s2055" type="#_x0000_t136" alt="" style="position:absolute;left:0;text-align:left;margin-left:0;margin-top:0;width:595.85pt;height:67.2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p w14:paraId="46FDFF13" w14:textId="77777777" w:rsidR="000173F3" w:rsidRPr="00296529" w:rsidRDefault="000173F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192F43FC" w14:textId="77777777" w:rsidR="000173F3" w:rsidRPr="00296529" w:rsidRDefault="000173F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54FEA58" w14:textId="77777777" w:rsidR="000173F3" w:rsidRPr="00296529" w:rsidRDefault="000173F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5DE1CF8" w14:textId="77777777" w:rsidR="000173F3" w:rsidRDefault="000173F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50A1841" w14:textId="77777777" w:rsidR="000173F3" w:rsidRDefault="000173F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F515E5C" w14:textId="77777777" w:rsidR="000173F3" w:rsidRDefault="000173F3">
    <w:pPr>
      <w:pStyle w:val="En-tte"/>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6BA9F" w14:textId="5B47911F" w:rsidR="000173F3" w:rsidRDefault="00EB408D">
    <w:pPr>
      <w:pStyle w:val="En-tte"/>
    </w:pPr>
    <w:r>
      <w:rPr>
        <w:noProof/>
      </w:rPr>
      <w:pict w14:anchorId="5D0D7E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32113" o:spid="_x0000_s2054" type="#_x0000_t136" alt="" style="position:absolute;margin-left:0;margin-top:0;width:595.85pt;height:67.2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7B415847">
        <v:shape id="_x0000_s2053" type="#_x0000_t136" alt="" style="position:absolute;margin-left:0;margin-top:0;width:595.85pt;height:67.2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35DB7" w14:textId="3A5B8BC1" w:rsidR="000173F3" w:rsidRDefault="00EB408D">
    <w:pPr>
      <w:pStyle w:val="En-tte"/>
    </w:pPr>
    <w:r>
      <w:rPr>
        <w:noProof/>
      </w:rPr>
      <w:pict w14:anchorId="0245D1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32114" o:spid="_x0000_s2052" type="#_x0000_t136" alt="" style="position:absolute;margin-left:0;margin-top:0;width:595.85pt;height:67.2pt;rotation:315;z-index:-2516408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219E0147">
        <v:shape id="_x0000_s2051" type="#_x0000_t136" alt="" style="position:absolute;margin-left:0;margin-top:0;width:595.85pt;height:67.2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7123E" w14:textId="09DC7940" w:rsidR="000173F3" w:rsidRPr="00296529" w:rsidRDefault="00EB408D" w:rsidP="00296529">
    <w:pPr>
      <w:ind w:left="2160"/>
      <w:jc w:val="center"/>
      <w:rPr>
        <w:rFonts w:ascii="Times New Roman" w:eastAsia="Calibri" w:hAnsi="Times New Roman"/>
        <w:i/>
        <w:sz w:val="18"/>
        <w:szCs w:val="22"/>
      </w:rPr>
    </w:pPr>
    <w:r>
      <w:rPr>
        <w:noProof/>
      </w:rPr>
      <w:pict w14:anchorId="1BD5E9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32112" o:spid="_x0000_s2050" type="#_x0000_t136" alt="" style="position:absolute;left:0;text-align:left;margin-left:0;margin-top:0;width:595.85pt;height:67.2pt;rotation:315;z-index:-2516490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263A2CAC">
        <v:shape id="_x0000_s2049" type="#_x0000_t136" alt="" style="position:absolute;left:0;text-align:left;margin-left:0;margin-top:0;width:595.85pt;height:67.2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p w14:paraId="12939A36" w14:textId="77777777" w:rsidR="000173F3" w:rsidRPr="00296529" w:rsidRDefault="000173F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38FBA3F" w14:textId="77777777" w:rsidR="000173F3" w:rsidRPr="00296529" w:rsidRDefault="000173F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BE8D84D" w14:textId="77777777" w:rsidR="000173F3" w:rsidRPr="00296529" w:rsidRDefault="000173F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EBF04E0" w14:textId="77777777" w:rsidR="000173F3" w:rsidRDefault="000173F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12AC570" w14:textId="77777777" w:rsidR="000173F3" w:rsidRDefault="000173F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0E53F25" w14:textId="77777777" w:rsidR="000173F3" w:rsidRDefault="000173F3">
    <w:pPr>
      <w:pStyle w:val="En-tte"/>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021315"/>
    <w:multiLevelType w:val="hybridMultilevel"/>
    <w:tmpl w:val="8FA05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24"/>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7"/>
  </w:num>
  <w:num w:numId="6">
    <w:abstractNumId w:val="6"/>
  </w:num>
  <w:num w:numId="7">
    <w:abstractNumId w:val="1"/>
  </w:num>
  <w:num w:numId="8">
    <w:abstractNumId w:val="12"/>
  </w:num>
  <w:num w:numId="9">
    <w:abstractNumId w:val="26"/>
  </w:num>
  <w:num w:numId="10">
    <w:abstractNumId w:val="2"/>
  </w:num>
  <w:num w:numId="11">
    <w:abstractNumId w:val="19"/>
  </w:num>
  <w:num w:numId="12">
    <w:abstractNumId w:val="3"/>
  </w:num>
  <w:num w:numId="13">
    <w:abstractNumId w:val="18"/>
  </w:num>
  <w:num w:numId="14">
    <w:abstractNumId w:val="8"/>
  </w:num>
  <w:num w:numId="15">
    <w:abstractNumId w:val="22"/>
  </w:num>
  <w:num w:numId="16">
    <w:abstractNumId w:val="5"/>
  </w:num>
  <w:num w:numId="17">
    <w:abstractNumId w:val="23"/>
  </w:num>
  <w:num w:numId="18">
    <w:abstractNumId w:val="14"/>
  </w:num>
  <w:num w:numId="19">
    <w:abstractNumId w:val="29"/>
  </w:num>
  <w:num w:numId="20">
    <w:abstractNumId w:val="11"/>
  </w:num>
  <w:num w:numId="21">
    <w:abstractNumId w:val="9"/>
  </w:num>
  <w:num w:numId="22">
    <w:abstractNumId w:val="13"/>
  </w:num>
  <w:num w:numId="23">
    <w:abstractNumId w:val="20"/>
  </w:num>
  <w:num w:numId="24">
    <w:abstractNumId w:val="27"/>
  </w:num>
  <w:num w:numId="25">
    <w:abstractNumId w:val="4"/>
  </w:num>
  <w:num w:numId="26">
    <w:abstractNumId w:val="16"/>
  </w:num>
  <w:num w:numId="27">
    <w:abstractNumId w:val="21"/>
  </w:num>
  <w:num w:numId="28">
    <w:abstractNumId w:val="28"/>
  </w:num>
  <w:num w:numId="29">
    <w:abstractNumId w:val="25"/>
  </w:num>
  <w:num w:numId="30">
    <w:abstractNumId w:val="10"/>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173F3"/>
    <w:rsid w:val="00030174"/>
    <w:rsid w:val="0004579C"/>
    <w:rsid w:val="00052561"/>
    <w:rsid w:val="00063CE9"/>
    <w:rsid w:val="000A47FA"/>
    <w:rsid w:val="000A65D3"/>
    <w:rsid w:val="000B1E33"/>
    <w:rsid w:val="000D689F"/>
    <w:rsid w:val="000E7B7B"/>
    <w:rsid w:val="000E7D62"/>
    <w:rsid w:val="00103357"/>
    <w:rsid w:val="00123C9F"/>
    <w:rsid w:val="00126190"/>
    <w:rsid w:val="00130F17"/>
    <w:rsid w:val="001320BF"/>
    <w:rsid w:val="00163BC4"/>
    <w:rsid w:val="00191062"/>
    <w:rsid w:val="00192B72"/>
    <w:rsid w:val="00193A80"/>
    <w:rsid w:val="001A026C"/>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2A7A"/>
    <w:rsid w:val="002C57D2"/>
    <w:rsid w:val="002D3F06"/>
    <w:rsid w:val="002E0D56"/>
    <w:rsid w:val="00302CEC"/>
    <w:rsid w:val="00313E9A"/>
    <w:rsid w:val="00315186"/>
    <w:rsid w:val="00323441"/>
    <w:rsid w:val="0033343E"/>
    <w:rsid w:val="003512C2"/>
    <w:rsid w:val="00371FB6"/>
    <w:rsid w:val="003763C1"/>
    <w:rsid w:val="00376BBE"/>
    <w:rsid w:val="0039224F"/>
    <w:rsid w:val="003A43A4"/>
    <w:rsid w:val="003A7E18"/>
    <w:rsid w:val="003B017F"/>
    <w:rsid w:val="003C4C86"/>
    <w:rsid w:val="003C6258"/>
    <w:rsid w:val="003E1769"/>
    <w:rsid w:val="003E2904"/>
    <w:rsid w:val="00401927"/>
    <w:rsid w:val="00407616"/>
    <w:rsid w:val="0041027F"/>
    <w:rsid w:val="00412475"/>
    <w:rsid w:val="00423789"/>
    <w:rsid w:val="00440F43"/>
    <w:rsid w:val="00441B6F"/>
    <w:rsid w:val="00446221"/>
    <w:rsid w:val="00450E62"/>
    <w:rsid w:val="004539DB"/>
    <w:rsid w:val="00471A80"/>
    <w:rsid w:val="00480619"/>
    <w:rsid w:val="00496DFF"/>
    <w:rsid w:val="004D305E"/>
    <w:rsid w:val="004D4277"/>
    <w:rsid w:val="004D678A"/>
    <w:rsid w:val="00502516"/>
    <w:rsid w:val="00505F06"/>
    <w:rsid w:val="00506828"/>
    <w:rsid w:val="0053056E"/>
    <w:rsid w:val="00554FDA"/>
    <w:rsid w:val="00592C5B"/>
    <w:rsid w:val="005A7D02"/>
    <w:rsid w:val="005C784C"/>
    <w:rsid w:val="005D17F6"/>
    <w:rsid w:val="005E5539"/>
    <w:rsid w:val="00602864"/>
    <w:rsid w:val="00602BF5"/>
    <w:rsid w:val="00617FDD"/>
    <w:rsid w:val="00633614"/>
    <w:rsid w:val="00633F68"/>
    <w:rsid w:val="00636EB2"/>
    <w:rsid w:val="006375B8"/>
    <w:rsid w:val="00651151"/>
    <w:rsid w:val="0066510A"/>
    <w:rsid w:val="00673F9F"/>
    <w:rsid w:val="00686953"/>
    <w:rsid w:val="00687DEA"/>
    <w:rsid w:val="00687E67"/>
    <w:rsid w:val="006967F7"/>
    <w:rsid w:val="006A250C"/>
    <w:rsid w:val="006B21D3"/>
    <w:rsid w:val="006B57D0"/>
    <w:rsid w:val="006C184C"/>
    <w:rsid w:val="006D30FF"/>
    <w:rsid w:val="006D6940"/>
    <w:rsid w:val="006F11EC"/>
    <w:rsid w:val="0070082C"/>
    <w:rsid w:val="007369E6"/>
    <w:rsid w:val="00741765"/>
    <w:rsid w:val="00746E59"/>
    <w:rsid w:val="00754C9A"/>
    <w:rsid w:val="0075599A"/>
    <w:rsid w:val="00761D52"/>
    <w:rsid w:val="0077749E"/>
    <w:rsid w:val="007847E2"/>
    <w:rsid w:val="00790ADA"/>
    <w:rsid w:val="007B0B3A"/>
    <w:rsid w:val="007D2288"/>
    <w:rsid w:val="007E088F"/>
    <w:rsid w:val="007E2B46"/>
    <w:rsid w:val="007F7B32"/>
    <w:rsid w:val="00803898"/>
    <w:rsid w:val="00804511"/>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36806"/>
    <w:rsid w:val="009500A6"/>
    <w:rsid w:val="00957C18"/>
    <w:rsid w:val="009659BA"/>
    <w:rsid w:val="00975C2D"/>
    <w:rsid w:val="00983040"/>
    <w:rsid w:val="009B3FB9"/>
    <w:rsid w:val="009C2465"/>
    <w:rsid w:val="009D35A0"/>
    <w:rsid w:val="009D7EB7"/>
    <w:rsid w:val="009E048A"/>
    <w:rsid w:val="009E08E9"/>
    <w:rsid w:val="009E3DB9"/>
    <w:rsid w:val="009E6E35"/>
    <w:rsid w:val="009F0EDA"/>
    <w:rsid w:val="00A03B96"/>
    <w:rsid w:val="00A05B19"/>
    <w:rsid w:val="00A1134E"/>
    <w:rsid w:val="00A1768D"/>
    <w:rsid w:val="00A24E7E"/>
    <w:rsid w:val="00A258C3"/>
    <w:rsid w:val="00A32C06"/>
    <w:rsid w:val="00A347C0"/>
    <w:rsid w:val="00A51431"/>
    <w:rsid w:val="00A539AD"/>
    <w:rsid w:val="00A649CF"/>
    <w:rsid w:val="00A94063"/>
    <w:rsid w:val="00AA6219"/>
    <w:rsid w:val="00AA74E0"/>
    <w:rsid w:val="00AB703F"/>
    <w:rsid w:val="00AC6BB8"/>
    <w:rsid w:val="00AD7C9C"/>
    <w:rsid w:val="00AE008F"/>
    <w:rsid w:val="00B01FCD"/>
    <w:rsid w:val="00B05889"/>
    <w:rsid w:val="00B10E5A"/>
    <w:rsid w:val="00B11B23"/>
    <w:rsid w:val="00B1776C"/>
    <w:rsid w:val="00B324A0"/>
    <w:rsid w:val="00B52583"/>
    <w:rsid w:val="00B52896"/>
    <w:rsid w:val="00B5676C"/>
    <w:rsid w:val="00B83BF6"/>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41361"/>
    <w:rsid w:val="00C70F1B"/>
    <w:rsid w:val="00C71A47"/>
    <w:rsid w:val="00C7464C"/>
    <w:rsid w:val="00C85588"/>
    <w:rsid w:val="00CD6755"/>
    <w:rsid w:val="00CD6856"/>
    <w:rsid w:val="00CE0089"/>
    <w:rsid w:val="00CE793C"/>
    <w:rsid w:val="00CF193C"/>
    <w:rsid w:val="00D173F1"/>
    <w:rsid w:val="00D61FA0"/>
    <w:rsid w:val="00D74CB0"/>
    <w:rsid w:val="00D77ACF"/>
    <w:rsid w:val="00D8295D"/>
    <w:rsid w:val="00DC2A65"/>
    <w:rsid w:val="00DE15F0"/>
    <w:rsid w:val="00DE5663"/>
    <w:rsid w:val="00DE78AA"/>
    <w:rsid w:val="00E053D0"/>
    <w:rsid w:val="00E15994"/>
    <w:rsid w:val="00E167DA"/>
    <w:rsid w:val="00E26B22"/>
    <w:rsid w:val="00E3114E"/>
    <w:rsid w:val="00E31A70"/>
    <w:rsid w:val="00E35B02"/>
    <w:rsid w:val="00E66496"/>
    <w:rsid w:val="00E66B35"/>
    <w:rsid w:val="00E66E10"/>
    <w:rsid w:val="00E769F6"/>
    <w:rsid w:val="00E80D28"/>
    <w:rsid w:val="00E8407C"/>
    <w:rsid w:val="00E84F3C"/>
    <w:rsid w:val="00EA012C"/>
    <w:rsid w:val="00EB408D"/>
    <w:rsid w:val="00EC6A55"/>
    <w:rsid w:val="00ED0288"/>
    <w:rsid w:val="00ED7224"/>
    <w:rsid w:val="00EE52CB"/>
    <w:rsid w:val="00EF581D"/>
    <w:rsid w:val="00EF7FD8"/>
    <w:rsid w:val="00F06F59"/>
    <w:rsid w:val="00F17988"/>
    <w:rsid w:val="00F36385"/>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3D493366"/>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3A80"/>
    <w:rPr>
      <w:rFonts w:ascii="Helvetica" w:hAnsi="Helvetica"/>
    </w:rPr>
  </w:style>
  <w:style w:type="paragraph" w:styleId="Titre1">
    <w:name w:val="heading 1"/>
    <w:basedOn w:val="Normal"/>
    <w:next w:val="Normal"/>
    <w:qFormat/>
    <w:rsid w:val="00423789"/>
    <w:pPr>
      <w:keepNext/>
      <w:spacing w:before="240" w:after="60"/>
      <w:outlineLvl w:val="0"/>
    </w:pPr>
    <w:rPr>
      <w:rFonts w:ascii="Arial" w:hAnsi="Arial"/>
      <w:b/>
      <w:kern w:val="28"/>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r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Pieddepage">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En-tte">
    <w:name w:val="header"/>
    <w:basedOn w:val="Normal"/>
    <w:link w:val="En-tteCar"/>
    <w:uiPriority w:val="99"/>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Policepardfau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Lienhypertexte">
    <w:name w:val="Hyperlink"/>
    <w:basedOn w:val="Policepardfaut"/>
    <w:rsid w:val="00030174"/>
    <w:rPr>
      <w:color w:val="FF0080"/>
      <w:u w:val="single"/>
    </w:rPr>
  </w:style>
  <w:style w:type="character" w:styleId="Lienhypertextesuivivisit">
    <w:name w:val="FollowedHyperlink"/>
    <w:basedOn w:val="Policepardfaut"/>
    <w:rsid w:val="00FB3A86"/>
    <w:rPr>
      <w:color w:val="800080"/>
      <w:u w:val="single"/>
    </w:rPr>
  </w:style>
  <w:style w:type="table" w:styleId="Grilledutableau">
    <w:name w:val="Table Grid"/>
    <w:basedOn w:val="Tableau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sdetexte2">
    <w:name w:val="Body Text 2"/>
    <w:basedOn w:val="Normal"/>
    <w:link w:val="Corpsdetexte2Car"/>
    <w:rsid w:val="00EF7FD8"/>
    <w:pPr>
      <w:spacing w:after="120" w:line="480" w:lineRule="auto"/>
    </w:pPr>
  </w:style>
  <w:style w:type="character" w:customStyle="1" w:styleId="Corpsdetexte2Car">
    <w:name w:val="Corps de texte 2 Car"/>
    <w:basedOn w:val="Policepardfaut"/>
    <w:link w:val="Corpsdetexte2"/>
    <w:rsid w:val="00EF7FD8"/>
    <w:rPr>
      <w:rFonts w:ascii="Helvetica" w:hAnsi="Helvetica"/>
    </w:rPr>
  </w:style>
  <w:style w:type="character" w:styleId="Marquedecommentaire">
    <w:name w:val="annotation reference"/>
    <w:basedOn w:val="Policepardfaut"/>
    <w:uiPriority w:val="99"/>
    <w:unhideWhenUsed/>
    <w:rsid w:val="00746E59"/>
    <w:rPr>
      <w:sz w:val="16"/>
      <w:szCs w:val="16"/>
    </w:rPr>
  </w:style>
  <w:style w:type="paragraph" w:styleId="Commentaire">
    <w:name w:val="annotation text"/>
    <w:basedOn w:val="Normal"/>
    <w:link w:val="CommentaireCar"/>
    <w:uiPriority w:val="99"/>
    <w:unhideWhenUsed/>
    <w:rsid w:val="00746E59"/>
    <w:rPr>
      <w:rFonts w:ascii="Times New Roman" w:hAnsi="Times New Roman"/>
      <w:lang w:val="nb-NO" w:eastAsia="nb-NO"/>
    </w:rPr>
  </w:style>
  <w:style w:type="character" w:customStyle="1" w:styleId="CommentaireCar">
    <w:name w:val="Commentaire Car"/>
    <w:basedOn w:val="Policepardfaut"/>
    <w:link w:val="Commentaire"/>
    <w:uiPriority w:val="99"/>
    <w:rsid w:val="00746E59"/>
    <w:rPr>
      <w:lang w:val="nb-NO" w:eastAsia="nb-NO"/>
    </w:rPr>
  </w:style>
  <w:style w:type="paragraph" w:styleId="Textedebulles">
    <w:name w:val="Balloon Text"/>
    <w:basedOn w:val="Normal"/>
    <w:link w:val="TextedebullesCar"/>
    <w:rsid w:val="00746E59"/>
    <w:rPr>
      <w:rFonts w:ascii="Tahoma" w:hAnsi="Tahoma" w:cs="Tahoma"/>
      <w:sz w:val="16"/>
      <w:szCs w:val="16"/>
    </w:rPr>
  </w:style>
  <w:style w:type="character" w:customStyle="1" w:styleId="TextedebullesCar">
    <w:name w:val="Texte de bulles Car"/>
    <w:basedOn w:val="Policepardfaut"/>
    <w:link w:val="Textedebulles"/>
    <w:rsid w:val="00746E59"/>
    <w:rPr>
      <w:rFonts w:ascii="Tahoma" w:hAnsi="Tahoma" w:cs="Tahoma"/>
      <w:sz w:val="16"/>
      <w:szCs w:val="16"/>
    </w:rPr>
  </w:style>
  <w:style w:type="paragraph" w:styleId="Corpsdetexte3">
    <w:name w:val="Body Text 3"/>
    <w:basedOn w:val="Normal"/>
    <w:link w:val="Corpsdetexte3Car"/>
    <w:rsid w:val="00231920"/>
    <w:pPr>
      <w:spacing w:after="120"/>
    </w:pPr>
    <w:rPr>
      <w:sz w:val="16"/>
      <w:szCs w:val="16"/>
    </w:rPr>
  </w:style>
  <w:style w:type="character" w:customStyle="1" w:styleId="Corpsdetexte3Car">
    <w:name w:val="Corps de texte 3 Car"/>
    <w:basedOn w:val="Policepardfaut"/>
    <w:link w:val="Corpsdetexte3"/>
    <w:rsid w:val="00231920"/>
    <w:rPr>
      <w:rFonts w:ascii="Helvetica" w:hAnsi="Helvetica"/>
      <w:sz w:val="16"/>
      <w:szCs w:val="16"/>
    </w:rPr>
  </w:style>
  <w:style w:type="character" w:styleId="Numrodeligne">
    <w:name w:val="line number"/>
    <w:basedOn w:val="Policepardfaut"/>
    <w:rsid w:val="00412475"/>
  </w:style>
  <w:style w:type="character" w:styleId="Accentuation">
    <w:name w:val="Emphasis"/>
    <w:basedOn w:val="Policepardfaut"/>
    <w:uiPriority w:val="20"/>
    <w:qFormat/>
    <w:rsid w:val="0024282C"/>
    <w:rPr>
      <w:i/>
      <w:iCs/>
    </w:rPr>
  </w:style>
  <w:style w:type="character" w:styleId="Mentionnonrsolue">
    <w:name w:val="Unresolved Mention"/>
    <w:basedOn w:val="Policepardfaut"/>
    <w:uiPriority w:val="99"/>
    <w:semiHidden/>
    <w:unhideWhenUsed/>
    <w:rsid w:val="00287E68"/>
    <w:rPr>
      <w:color w:val="605E5C"/>
      <w:shd w:val="clear" w:color="auto" w:fill="E1DFDD"/>
    </w:rPr>
  </w:style>
  <w:style w:type="character" w:customStyle="1" w:styleId="En-tteCar">
    <w:name w:val="En-tête Car"/>
    <w:basedOn w:val="Policepardfaut"/>
    <w:link w:val="En-tte"/>
    <w:uiPriority w:val="99"/>
    <w:rsid w:val="00ED7224"/>
    <w:rPr>
      <w:rFonts w:ascii="Helvetica" w:hAnsi="Helvetica"/>
    </w:rPr>
  </w:style>
  <w:style w:type="paragraph" w:styleId="Bibliographie">
    <w:name w:val="Bibliography"/>
    <w:basedOn w:val="Normal"/>
    <w:next w:val="Normal"/>
    <w:uiPriority w:val="37"/>
    <w:unhideWhenUsed/>
    <w:rsid w:val="00313E9A"/>
    <w:pPr>
      <w:spacing w:line="480" w:lineRule="auto"/>
      <w:ind w:left="720" w:hanging="720"/>
    </w:pPr>
  </w:style>
  <w:style w:type="character" w:styleId="Numrodepage">
    <w:name w:val="page number"/>
    <w:basedOn w:val="Policepardfaut"/>
    <w:semiHidden/>
    <w:unhideWhenUsed/>
    <w:rsid w:val="00323441"/>
  </w:style>
  <w:style w:type="paragraph" w:styleId="Sansinterligne">
    <w:name w:val="No Spacing"/>
    <w:uiPriority w:val="1"/>
    <w:qFormat/>
    <w:rsid w:val="003E1769"/>
    <w:rPr>
      <w:rFonts w:asciiTheme="minorHAnsi" w:eastAsiaTheme="minorHAnsi" w:hAnsiTheme="minorHAnsi" w:cstheme="minorBidi"/>
      <w:sz w:val="22"/>
      <w:szCs w:val="22"/>
      <w:lang w:val="en-GB"/>
    </w:rPr>
  </w:style>
  <w:style w:type="paragraph" w:styleId="NormalWeb">
    <w:name w:val="Normal (Web)"/>
    <w:basedOn w:val="Normal"/>
    <w:uiPriority w:val="99"/>
    <w:semiHidden/>
    <w:unhideWhenUsed/>
    <w:rsid w:val="000173F3"/>
    <w:pPr>
      <w:spacing w:before="100" w:beforeAutospacing="1" w:after="100" w:afterAutospacing="1"/>
    </w:pPr>
    <w:rPr>
      <w:rFonts w:ascii="Times New Roman" w:eastAsiaTheme="minorEastAsia" w:hAnsi="Times New Roman"/>
      <w:sz w:val="24"/>
      <w:szCs w:val="24"/>
      <w:lang w:val="fr-SN" w:eastAsia="fr-FR"/>
    </w:rPr>
  </w:style>
  <w:style w:type="paragraph" w:styleId="Paragraphedeliste">
    <w:name w:val="List Paragraph"/>
    <w:basedOn w:val="Normal"/>
    <w:uiPriority w:val="34"/>
    <w:qFormat/>
    <w:rsid w:val="00480619"/>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4614318">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472410620">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06682207">
      <w:bodyDiv w:val="1"/>
      <w:marLeft w:val="0"/>
      <w:marRight w:val="0"/>
      <w:marTop w:val="0"/>
      <w:marBottom w:val="0"/>
      <w:divBdr>
        <w:top w:val="none" w:sz="0" w:space="0" w:color="auto"/>
        <w:left w:val="none" w:sz="0" w:space="0" w:color="auto"/>
        <w:bottom w:val="none" w:sz="0" w:space="0" w:color="auto"/>
        <w:right w:val="none" w:sz="0" w:space="0" w:color="auto"/>
      </w:divBdr>
    </w:div>
    <w:div w:id="726877165">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325015695">
      <w:bodyDiv w:val="1"/>
      <w:marLeft w:val="0"/>
      <w:marRight w:val="0"/>
      <w:marTop w:val="0"/>
      <w:marBottom w:val="0"/>
      <w:divBdr>
        <w:top w:val="none" w:sz="0" w:space="0" w:color="auto"/>
        <w:left w:val="none" w:sz="0" w:space="0" w:color="auto"/>
        <w:bottom w:val="none" w:sz="0" w:space="0" w:color="auto"/>
        <w:right w:val="none" w:sz="0" w:space="0" w:color="auto"/>
      </w:divBdr>
    </w:div>
    <w:div w:id="1554268685">
      <w:bodyDiv w:val="1"/>
      <w:marLeft w:val="0"/>
      <w:marRight w:val="0"/>
      <w:marTop w:val="0"/>
      <w:marBottom w:val="0"/>
      <w:divBdr>
        <w:top w:val="none" w:sz="0" w:space="0" w:color="auto"/>
        <w:left w:val="none" w:sz="0" w:space="0" w:color="auto"/>
        <w:bottom w:val="none" w:sz="0" w:space="0" w:color="auto"/>
        <w:right w:val="none" w:sz="0" w:space="0" w:color="auto"/>
      </w:divBdr>
    </w:div>
    <w:div w:id="1599363979">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88687540">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E9EC4-D1F9-7749-8072-7DBB82C72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Settings\logan\Local Settings\Temporary Internet Files\OLK35\2007 paper template.dot</Template>
  <TotalTime>1035</TotalTime>
  <Pages>17</Pages>
  <Words>29708</Words>
  <Characters>163400</Characters>
  <Application>Microsoft Office Word</Application>
  <DocSecurity>0</DocSecurity>
  <Lines>1361</Lines>
  <Paragraphs>385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192723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Microsoft Office User</cp:lastModifiedBy>
  <cp:revision>23</cp:revision>
  <cp:lastPrinted>1999-07-06T11:00:00Z</cp:lastPrinted>
  <dcterms:created xsi:type="dcterms:W3CDTF">2026-06-02T14:44:00Z</dcterms:created>
  <dcterms:modified xsi:type="dcterms:W3CDTF">2026-06-11T00:27:00Z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id="C5qxSAvN"/&gt;&lt;style id="http://www.zotero.org/styles/apa" locale="en-GB"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