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4346C" w14:textId="77777777" w:rsidR="0099097F" w:rsidRPr="004031F2" w:rsidRDefault="0099097F" w:rsidP="00EE1E09">
      <w:pPr>
        <w:spacing w:before="202"/>
        <w:ind w:left="265" w:right="859"/>
        <w:jc w:val="center"/>
        <w:rPr>
          <w:rFonts w:ascii="Times New Roman" w:hAnsi="Times New Roman" w:cs="Times New Roman"/>
          <w:b/>
        </w:rPr>
      </w:pPr>
      <w:r w:rsidRPr="004031F2">
        <w:rPr>
          <w:rStyle w:val="Strong"/>
          <w:rFonts w:ascii="Times New Roman" w:hAnsi="Times New Roman" w:cs="Times New Roman"/>
        </w:rPr>
        <w:t>A NOVEL TIMOMAM MODEL</w:t>
      </w:r>
      <w:r w:rsidRPr="004031F2">
        <w:rPr>
          <w:rFonts w:ascii="Times New Roman" w:hAnsi="Times New Roman" w:cs="Times New Roman"/>
          <w:b/>
        </w:rPr>
        <w:t xml:space="preserve"> FOR THE ASSESSMENT OF WATER </w:t>
      </w:r>
      <w:r w:rsidR="00FB626E" w:rsidRPr="004031F2">
        <w:rPr>
          <w:rFonts w:ascii="Times New Roman" w:hAnsi="Times New Roman" w:cs="Times New Roman"/>
          <w:b/>
        </w:rPr>
        <w:t>QUALITY OF FOUR RIVERS IN LAFIA-</w:t>
      </w:r>
      <w:r w:rsidRPr="004031F2">
        <w:rPr>
          <w:rFonts w:ascii="Times New Roman" w:hAnsi="Times New Roman" w:cs="Times New Roman"/>
          <w:b/>
        </w:rPr>
        <w:t>NIGERIA</w:t>
      </w:r>
      <w:r w:rsidR="00FB626E" w:rsidRPr="004031F2">
        <w:rPr>
          <w:rFonts w:ascii="Times New Roman" w:hAnsi="Times New Roman" w:cs="Times New Roman"/>
          <w:b/>
        </w:rPr>
        <w:t>, USING SELECTED PHYSICOCHEMICAL PARAMETERS</w:t>
      </w:r>
    </w:p>
    <w:p w14:paraId="155BEE46" w14:textId="77777777" w:rsidR="00F57609" w:rsidRPr="004031F2" w:rsidRDefault="00EE1E09" w:rsidP="00354E30">
      <w:pPr>
        <w:spacing w:before="202"/>
        <w:ind w:left="265" w:right="859"/>
        <w:jc w:val="center"/>
        <w:rPr>
          <w:rFonts w:ascii="Times New Roman" w:hAnsi="Times New Roman" w:cs="Times New Roman"/>
          <w:b/>
          <w:spacing w:val="-1"/>
          <w:vertAlign w:val="superscript"/>
        </w:rPr>
      </w:pPr>
      <w:r w:rsidRPr="004031F2">
        <w:rPr>
          <w:rFonts w:ascii="Times New Roman" w:hAnsi="Times New Roman" w:cs="Times New Roman"/>
          <w:b/>
        </w:rPr>
        <w:br/>
      </w:r>
    </w:p>
    <w:p w14:paraId="02D0C182" w14:textId="77777777" w:rsidR="00354E30" w:rsidRPr="004031F2" w:rsidRDefault="00354E30" w:rsidP="00354E30">
      <w:pPr>
        <w:spacing w:before="202"/>
        <w:ind w:left="265" w:right="859"/>
        <w:jc w:val="center"/>
        <w:rPr>
          <w:rFonts w:ascii="Times New Roman" w:hAnsi="Times New Roman" w:cs="Times New Roman"/>
        </w:rPr>
      </w:pPr>
    </w:p>
    <w:p w14:paraId="1D9C560B" w14:textId="77777777" w:rsidR="00DF0CB7" w:rsidRPr="004031F2" w:rsidRDefault="00DF0CB7" w:rsidP="00DF0CB7">
      <w:pPr>
        <w:pStyle w:val="Heading1"/>
        <w:spacing w:before="201"/>
        <w:ind w:left="265" w:right="860"/>
        <w:jc w:val="center"/>
      </w:pPr>
      <w:r w:rsidRPr="004031F2">
        <w:t>ABSTRACT</w:t>
      </w:r>
    </w:p>
    <w:p w14:paraId="119DB839" w14:textId="77777777" w:rsidR="00EF40A5" w:rsidRPr="004031F2" w:rsidRDefault="00EF40A5" w:rsidP="00EF40A5">
      <w:pPr>
        <w:spacing w:after="0"/>
        <w:jc w:val="both"/>
        <w:rPr>
          <w:rFonts w:ascii="Times New Roman" w:hAnsi="Times New Roman" w:cs="Times New Roman"/>
        </w:rPr>
      </w:pPr>
      <w:r>
        <w:rPr>
          <w:highlight w:val="yellow"/>
        </w:rPr>
        <w:t>Water samples were collected from Gandu, Tundu-Amba, Ombi-Anzaku and Shabu communities in Lafia Local Government Area of Nasarawa State, north-central Nigeria, to assess water quality and develop a model based on selected physico-chemical parameters. Samples from four rivers were obtained during the dry and wet seasons and analysed for pH, temperature, dissolved oxygen (DO), biochemical oxygen demand (BOD), chemical oxygen demand (COD) and electrical conductivity (EC) using standard procedures. The mean pH values ranged from 6.4 to 7.2 in the dry season and from 5.9 to 7.6 in the wet season, while the mean temperatures were 27.10 °C and 26.3 °C, respectively. The corresponding dry- and wet-season mean values were 4.3 and 4.35 mg/L for DO, 2.6 and 2.0 mg/L for BOD, 2.8 and 2.7 mg/L for COD, and 100 and 86 µS/cm for EC. The measured values were below or within the maximum permissible limits for domestic water recommended by the United States Environmental Protection Agency and the World Health Organization. Using Minitab 18, a multivariate water quality index model, designated the TIMOMAM model, was developed from the measured parameters. The model was statistically significant (P0.10), and 98.08% of the variation in the water quality index was explained by pH, temperature, DO and BOD; COD and EC were not retained in the model. The model was applied to Shabu River and compared with the weighted arithmetic and Oregon water quality models. The respective WQI values were 19.32, 19.43 and 4.95, indicating excellent water quality status on the 0-25 scale.</w:t>
      </w:r>
    </w:p>
    <w:p w14:paraId="6AB10D1D" w14:textId="77777777" w:rsidR="00EF40A5" w:rsidRPr="004031F2" w:rsidRDefault="00EF40A5" w:rsidP="00EF40A5">
      <w:pPr>
        <w:pStyle w:val="BodyText"/>
        <w:jc w:val="both"/>
        <w:rPr>
          <w:rFonts w:eastAsia="Calibri"/>
          <w:color w:val="262626" w:themeColor="text1" w:themeTint="D9"/>
        </w:rPr>
      </w:pPr>
    </w:p>
    <w:p w14:paraId="25510A65" w14:textId="77777777" w:rsidR="00EF40A5" w:rsidRPr="004031F2" w:rsidRDefault="00EF40A5" w:rsidP="00EF40A5">
      <w:pPr>
        <w:pStyle w:val="BodyText"/>
        <w:jc w:val="both"/>
      </w:pPr>
      <w:r>
        <w:rPr>
          <w:highlight w:val="yellow"/>
        </w:rPr>
        <w:t>Keywords: TIMOMAM model; water quality index; physico-chemical parameters; river water; Lafia; Nasarawa State; dissolved oxygen; biochemical oxygen demand; electrical conductivity; seasonal variation</w:t>
      </w:r>
    </w:p>
    <w:p w14:paraId="31089E02" w14:textId="77777777" w:rsidR="00AC6C89" w:rsidRPr="004031F2" w:rsidRDefault="00AC6C89" w:rsidP="008173BF">
      <w:pPr>
        <w:pStyle w:val="BodyText"/>
        <w:jc w:val="both"/>
      </w:pPr>
    </w:p>
    <w:p w14:paraId="32A279FC" w14:textId="77777777" w:rsidR="008460AF" w:rsidRPr="004031F2" w:rsidRDefault="008460AF" w:rsidP="008460AF">
      <w:pPr>
        <w:spacing w:after="0" w:line="360" w:lineRule="auto"/>
        <w:jc w:val="both"/>
        <w:rPr>
          <w:rFonts w:ascii="Times New Roman" w:hAnsi="Times New Roman" w:cs="Times New Roman"/>
          <w:b/>
        </w:rPr>
      </w:pPr>
    </w:p>
    <w:p w14:paraId="1E2E886C" w14:textId="77777777" w:rsidR="00915EE4" w:rsidRPr="004031F2" w:rsidRDefault="00915EE4" w:rsidP="00C4577A">
      <w:pPr>
        <w:spacing w:after="0" w:line="360" w:lineRule="auto"/>
        <w:jc w:val="both"/>
        <w:rPr>
          <w:rFonts w:ascii="Times New Roman" w:hAnsi="Times New Roman" w:cs="Times New Roman"/>
          <w:b/>
        </w:rPr>
        <w:sectPr w:rsidR="00915EE4" w:rsidRPr="004031F2" w:rsidSect="00C9581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A3462D5" w14:textId="77777777" w:rsidR="008460AF" w:rsidRPr="004031F2" w:rsidRDefault="008460AF" w:rsidP="00C4577A">
      <w:pPr>
        <w:spacing w:after="0" w:line="360" w:lineRule="auto"/>
        <w:jc w:val="both"/>
        <w:rPr>
          <w:rFonts w:ascii="Times New Roman" w:hAnsi="Times New Roman" w:cs="Times New Roman"/>
          <w:b/>
        </w:rPr>
      </w:pPr>
      <w:r w:rsidRPr="004031F2">
        <w:rPr>
          <w:rFonts w:ascii="Times New Roman" w:hAnsi="Times New Roman" w:cs="Times New Roman"/>
          <w:b/>
        </w:rPr>
        <w:t xml:space="preserve">INTRODUCTION </w:t>
      </w:r>
    </w:p>
    <w:p w14:paraId="46C09025" w14:textId="77777777" w:rsidR="008460AF" w:rsidRPr="004031F2" w:rsidRDefault="008460AF" w:rsidP="00C4577A">
      <w:pPr>
        <w:spacing w:after="0" w:line="360" w:lineRule="auto"/>
        <w:jc w:val="both"/>
        <w:rPr>
          <w:rFonts w:ascii="Times New Roman" w:hAnsi="Times New Roman" w:cs="Times New Roman"/>
        </w:rPr>
      </w:pPr>
      <w:r>
        <w:rPr>
          <w:highlight w:val="yellow"/>
        </w:rPr>
        <w:t>Water is one of the most abundant substances in nature and is essential for the survival of plants and animals. It occurs in different forms, including rain, river, spring and mineral water (Duan &amp; Duan, 2020; Koutsoyiannis, 2020). River water may be relatively pure at its source, but it can become contaminated when suspended impurities come into contact with it as it flows through the plains. Some suspended impurities are associated with water-borne diseases that contribute substantially to mortality among children (De Leeuw et al., 2020; GBD 2021 Diarrhoeal Diseases Collaborators, 2025).</w:t>
      </w:r>
    </w:p>
    <w:p w14:paraId="6466C490" w14:textId="77777777" w:rsidR="004A4113" w:rsidRPr="004031F2" w:rsidRDefault="008460AF" w:rsidP="00C4577A">
      <w:pPr>
        <w:spacing w:line="360" w:lineRule="auto"/>
        <w:jc w:val="both"/>
        <w:rPr>
          <w:rFonts w:ascii="Times New Roman" w:eastAsia="Times New Roman" w:hAnsi="Times New Roman" w:cs="Times New Roman"/>
        </w:rPr>
      </w:pPr>
      <w:r>
        <w:rPr>
          <w:highlight w:val="yellow"/>
        </w:rPr>
        <w:lastRenderedPageBreak/>
        <w:t>Over-exploitation, poor management and pollution continuously threaten freshwater resources. Pollution of freshwater bodies, such as rivers, streams, lakes and ponds, is often associated with industrial discharge, municipal waste disposal and surface runoff. Successive increases and subsequent changes in environmental pressure affect water quality and reduce the economic value of its present and future spatial distribution (Ighalo et al., 2021; Umar, 2020).</w:t>
      </w:r>
    </w:p>
    <w:p w14:paraId="558FC272" w14:textId="77777777" w:rsidR="008460AF" w:rsidRPr="004031F2" w:rsidRDefault="008460AF" w:rsidP="00C4577A">
      <w:pPr>
        <w:spacing w:line="360" w:lineRule="auto"/>
        <w:jc w:val="both"/>
        <w:rPr>
          <w:rFonts w:ascii="Times New Roman" w:eastAsia="Times New Roman" w:hAnsi="Times New Roman" w:cs="Times New Roman"/>
        </w:rPr>
      </w:pPr>
      <w:r>
        <w:rPr>
          <w:highlight w:val="yellow"/>
        </w:rPr>
        <w:t>Agricultural practices and urban runoff into rivers are major sources of pollution. Water bodies containing excessive nutrients and organic matter can adversely affect aquatic life. Runoff, mainly from farm soil, can greatly reduce water quality, thereby making the water unhealthy for end users. Algae may subsequently die and settle at the bottom of water bodies, where bacteria consume dissolved oxygen and cause the water to develop an unpleasant odour (Müller et al., 2020; Xia et al., 2020).</w:t>
      </w:r>
    </w:p>
    <w:p w14:paraId="07236C1B" w14:textId="77777777" w:rsidR="008460AF" w:rsidRPr="004031F2" w:rsidRDefault="008460AF" w:rsidP="00C4577A">
      <w:pPr>
        <w:spacing w:after="0" w:line="360" w:lineRule="auto"/>
        <w:jc w:val="both"/>
        <w:rPr>
          <w:rFonts w:ascii="Times New Roman" w:eastAsia="Times New Roman" w:hAnsi="Times New Roman" w:cs="Times New Roman"/>
        </w:rPr>
      </w:pPr>
      <w:r>
        <w:rPr>
          <w:highlight w:val="yellow"/>
        </w:rPr>
        <w:t>Water pollution is measured by assessing the physico-chemical parameters of water (Abulude et al., 2023; Ogbe et al., 2025; Ojo et al., 2026). Physico-chemical analysis is a primary consideration in assessing water quality for uses such as drinking, irrigation, fisheries and industrial purposes. Several studies have shown that some physico-chemical parameters contribute to the contamination of river water. These parameters include total dissolved solids (TDS), total suspended solids (TSS), electrical conductivity (EC), alkalinity, chlorides, phosphates, biochemical oxygen demand (BOD), dissolved oxygen (DO) and others. Previous studies have indicated that the presence of these parameters in water bodies can impose a heavy burden on public health, thereby increasing obstacles to socio-economic progress (Abulude et al., 2023; Ogbe et al., 2025).</w:t>
      </w:r>
    </w:p>
    <w:p w14:paraId="74F6EF5E" w14:textId="77777777" w:rsidR="008460AF" w:rsidRPr="004031F2" w:rsidRDefault="00F145BE" w:rsidP="00C4577A">
      <w:pPr>
        <w:autoSpaceDE w:val="0"/>
        <w:autoSpaceDN w:val="0"/>
        <w:adjustRightInd w:val="0"/>
        <w:spacing w:after="0" w:line="360" w:lineRule="auto"/>
        <w:jc w:val="both"/>
        <w:rPr>
          <w:rFonts w:ascii="Times New Roman" w:hAnsi="Times New Roman" w:cs="Times New Roman"/>
        </w:rPr>
      </w:pPr>
      <w:r>
        <w:rPr>
          <w:highlight w:val="yellow"/>
        </w:rPr>
        <w:t>As in other developing countries in Africa, water quality is a serious concern in Nigeria, and studies related to the drinking water quality of Rivers Amba, Gandu, Ombi-Anzaku and Shabu in Lafia, Nasarawa State, Nigeria, have not been conducted. These rivers may be deteriorating gradually because of human activities and industrial effluents released into the water bodies. These activities are likely to reduce water quality and may make the water unsafe for swimming (contact recreation), domestic purposes and aquatic life.</w:t>
      </w:r>
    </w:p>
    <w:p w14:paraId="4049E5C1" w14:textId="77777777" w:rsidR="00BF2017" w:rsidRPr="004031F2" w:rsidRDefault="008460AF" w:rsidP="00C4577A">
      <w:pPr>
        <w:spacing w:after="0" w:line="360" w:lineRule="auto"/>
        <w:jc w:val="both"/>
        <w:rPr>
          <w:rFonts w:ascii="Times New Roman" w:eastAsia="Times New Roman" w:hAnsi="Times New Roman" w:cs="Times New Roman"/>
        </w:rPr>
      </w:pPr>
      <w:r>
        <w:rPr>
          <w:highlight w:val="yellow"/>
        </w:rPr>
        <w:t xml:space="preserve">The physico-chemical analysis of water parameters depends on the purpose for which the water is used and the extent of quality and purity required by consumers (American Public Health Association [APHA], American Water Works Association [AWWA], &amp; Water Environment Federation [WEF], 2023). It is therefore imperative to determine water quality before utilisation, because continuous use affects the ecosystem and the immediate environment that depends on these water bodies. A healthy aquatic ecosystem depends on physico-chemical and biological characteristics (World Health Organization </w:t>
      </w:r>
      <w:r>
        <w:rPr>
          <w:highlight w:val="yellow"/>
        </w:rPr>
        <w:lastRenderedPageBreak/>
        <w:t>[WHO], 2022). This research aims to analyse the physico-chemical properties of drinking water collected from the four rivers in Lafia town, Nasarawa State, Nigeria, with a view to developing a novel water quality index in the form of a multilinear regression model based on the measured physico-chemical parameters of the water.</w:t>
      </w:r>
    </w:p>
    <w:p w14:paraId="6DFFF9A6" w14:textId="77777777" w:rsidR="00C073E7" w:rsidRPr="004031F2" w:rsidRDefault="008B2FC5" w:rsidP="00C4577A">
      <w:pPr>
        <w:spacing w:line="360" w:lineRule="auto"/>
        <w:jc w:val="both"/>
        <w:rPr>
          <w:rFonts w:ascii="Times New Roman" w:hAnsi="Times New Roman" w:cs="Times New Roman"/>
        </w:rPr>
      </w:pPr>
      <w:r w:rsidRPr="004031F2">
        <w:rPr>
          <w:rFonts w:ascii="Times New Roman" w:hAnsi="Times New Roman" w:cs="Times New Roman"/>
          <w:b/>
        </w:rPr>
        <w:t>MATERIALS AND METHOD</w:t>
      </w:r>
    </w:p>
    <w:p w14:paraId="10193BA9" w14:textId="77777777" w:rsidR="008B2FC5" w:rsidRPr="004031F2" w:rsidRDefault="008B2FC5" w:rsidP="00C4577A">
      <w:pPr>
        <w:spacing w:line="360" w:lineRule="auto"/>
        <w:jc w:val="both"/>
        <w:rPr>
          <w:rFonts w:ascii="Times New Roman" w:hAnsi="Times New Roman" w:cs="Times New Roman"/>
        </w:rPr>
      </w:pPr>
      <w:r w:rsidRPr="004031F2">
        <w:rPr>
          <w:rFonts w:ascii="Times New Roman" w:hAnsi="Times New Roman" w:cs="Times New Roman"/>
          <w:b/>
        </w:rPr>
        <w:t>Study Area</w:t>
      </w:r>
    </w:p>
    <w:p w14:paraId="33127AAB" w14:textId="77777777" w:rsidR="00915EE4" w:rsidRPr="004031F2" w:rsidRDefault="008B2FC5" w:rsidP="00915EE4">
      <w:pPr>
        <w:pStyle w:val="NormalWeb"/>
        <w:spacing w:before="0" w:beforeAutospacing="0" w:after="0" w:afterAutospacing="0" w:line="360" w:lineRule="auto"/>
        <w:jc w:val="both"/>
        <w:rPr>
          <w:sz w:val="22"/>
          <w:szCs w:val="22"/>
        </w:rPr>
      </w:pPr>
      <w:r>
        <w:rPr>
          <w:highlight w:val="yellow"/>
        </w:rPr>
        <w:t>Lafia and its suburbs lie between latitudes 8°30'27''N and 8°34'15''N and longitudes 8°30'19''E and 8°38'19''E in the Guinea savannah region of north-central Nigeria. The area is situated at an elevation of 179 m above sea level and is about 192 km from Abuja along the Abuja-Makurdi road. Lafia is the largest town in Nasarawa State, with a population of 445,300 inhabitants, according to the National Bureau of Statistics population projection (National Bureau of Statistics, 2016).</w:t>
      </w:r>
    </w:p>
    <w:p w14:paraId="66F8B568" w14:textId="77777777" w:rsidR="00161D11" w:rsidRPr="004031F2" w:rsidRDefault="00161D11" w:rsidP="00915EE4">
      <w:pPr>
        <w:pStyle w:val="NormalWeb"/>
        <w:spacing w:before="0" w:beforeAutospacing="0" w:after="0" w:afterAutospacing="0" w:line="360" w:lineRule="auto"/>
        <w:jc w:val="both"/>
        <w:rPr>
          <w:sz w:val="22"/>
          <w:szCs w:val="22"/>
        </w:rPr>
      </w:pPr>
    </w:p>
    <w:p w14:paraId="6E5434F7" w14:textId="77777777" w:rsidR="008B2FC5" w:rsidRPr="004031F2" w:rsidRDefault="008B2FC5" w:rsidP="00C4577A">
      <w:pPr>
        <w:spacing w:after="0" w:line="360" w:lineRule="auto"/>
        <w:rPr>
          <w:rFonts w:ascii="Times New Roman" w:eastAsia="Times New Roman" w:hAnsi="Times New Roman" w:cs="Times New Roman"/>
          <w:b/>
          <w:bCs/>
        </w:rPr>
      </w:pPr>
      <w:r w:rsidRPr="004031F2">
        <w:rPr>
          <w:rFonts w:ascii="Times New Roman" w:eastAsia="Times New Roman" w:hAnsi="Times New Roman" w:cs="Times New Roman"/>
          <w:b/>
          <w:bCs/>
        </w:rPr>
        <w:t xml:space="preserve">Sample Collection </w:t>
      </w:r>
    </w:p>
    <w:p w14:paraId="2F80CDEF" w14:textId="77777777" w:rsidR="00C4577A" w:rsidRPr="004031F2" w:rsidRDefault="008B2FC5" w:rsidP="00C4577A">
      <w:pPr>
        <w:spacing w:before="240" w:after="0" w:line="360" w:lineRule="auto"/>
        <w:jc w:val="both"/>
        <w:rPr>
          <w:rFonts w:ascii="Times New Roman" w:eastAsia="Times New Roman" w:hAnsi="Times New Roman" w:cs="Times New Roman"/>
        </w:rPr>
      </w:pPr>
      <w:r>
        <w:rPr>
          <w:highlight w:val="yellow"/>
        </w:rPr>
        <w:t>In each of the four rivers (Amba, Ombi-Anzaku, Gandu and Shabu), five water samples were collected at weekly intervals from each river at the same time in March 2020, representing the dry season. The water samples were collected from areas of human activity, about 12 m from the riverbank and onshore of the respective rivers, into cleaned 1 L polyethylene bottles that were appropriately labelled, rinsed with the relevant river water before final collection and tightly closed. The bottles were placed in ice in a cooler and transported to the laboratory for analysis after each sampling interval. This procedure was repeated after one week for another river until all the rivers had been sampled. Thus, a total of twenty samples were obtained for the dry-season analysis. Similar determinations were carried out for another twenty samples from the respective rivers in August 2020 to represent the wet or rainy season.</w:t>
      </w:r>
    </w:p>
    <w:p w14:paraId="7B691A5E" w14:textId="77777777" w:rsidR="008B2FC5" w:rsidRPr="004031F2" w:rsidRDefault="008B2FC5" w:rsidP="00C4577A">
      <w:pPr>
        <w:spacing w:before="240" w:after="0" w:line="360" w:lineRule="auto"/>
        <w:jc w:val="both"/>
        <w:rPr>
          <w:rFonts w:ascii="Times New Roman" w:eastAsia="Times New Roman" w:hAnsi="Times New Roman" w:cs="Times New Roman"/>
        </w:rPr>
      </w:pPr>
      <w:r w:rsidRPr="004031F2">
        <w:rPr>
          <w:rFonts w:ascii="Times New Roman" w:eastAsia="Times New Roman" w:hAnsi="Times New Roman" w:cs="Times New Roman"/>
          <w:b/>
        </w:rPr>
        <w:t>Sample Preservation</w:t>
      </w:r>
    </w:p>
    <w:p w14:paraId="0A259278" w14:textId="77777777" w:rsidR="00C4577A" w:rsidRPr="004031F2" w:rsidRDefault="0072049C" w:rsidP="005E158A">
      <w:pPr>
        <w:spacing w:before="240" w:after="0" w:line="360" w:lineRule="auto"/>
        <w:jc w:val="both"/>
        <w:rPr>
          <w:rFonts w:ascii="Times New Roman" w:eastAsia="Times New Roman" w:hAnsi="Times New Roman" w:cs="Times New Roman"/>
        </w:rPr>
      </w:pPr>
      <w:r>
        <w:rPr>
          <w:highlight w:val="yellow"/>
        </w:rPr>
        <w:t>The river samples collected were properly sealed and kept in a refrigerator at a temperature range of -4 °C to -10 °C to avoid contamination and the effects of light and temperature variation. Preservation of the water samples for physico-chemical analysis was maintained using the method described by APHA, AWWA and WEF (2023).</w:t>
      </w:r>
    </w:p>
    <w:p w14:paraId="5E70C50E" w14:textId="77777777" w:rsidR="008B2FC5" w:rsidRPr="004031F2" w:rsidRDefault="008B2FC5" w:rsidP="00C4577A">
      <w:pPr>
        <w:spacing w:after="0" w:line="360" w:lineRule="auto"/>
        <w:jc w:val="both"/>
        <w:rPr>
          <w:rFonts w:ascii="Times New Roman" w:eastAsia="Times New Roman" w:hAnsi="Times New Roman" w:cs="Times New Roman"/>
        </w:rPr>
      </w:pPr>
      <w:r>
        <w:rPr>
          <w:highlight w:val="yellow"/>
        </w:rPr>
        <w:t>Physico-chemical Analysis of Water</w:t>
      </w:r>
    </w:p>
    <w:p w14:paraId="2744A485" w14:textId="77777777" w:rsidR="00C4577A" w:rsidRPr="004031F2" w:rsidRDefault="00F22175" w:rsidP="00C4577A">
      <w:pPr>
        <w:spacing w:after="0" w:line="360" w:lineRule="auto"/>
        <w:jc w:val="both"/>
        <w:rPr>
          <w:rFonts w:ascii="Times New Roman" w:hAnsi="Times New Roman" w:cs="Times New Roman"/>
        </w:rPr>
      </w:pPr>
      <w:r>
        <w:rPr>
          <w:highlight w:val="yellow"/>
        </w:rPr>
        <w:lastRenderedPageBreak/>
        <w:t>Physico-chemical parameters, including pH, temperature, EC, DO, BOD and COD, were assessed for each river (Amba, Ombi-Anzaku, Gandu and Shabu) in the dry and wet seasons, respectively.</w:t>
      </w:r>
    </w:p>
    <w:p w14:paraId="0F685484" w14:textId="77777777" w:rsidR="008B2FC5" w:rsidRPr="004031F2" w:rsidRDefault="00193F82" w:rsidP="00C4577A">
      <w:pPr>
        <w:spacing w:after="0" w:line="360" w:lineRule="auto"/>
        <w:jc w:val="both"/>
        <w:rPr>
          <w:rFonts w:ascii="Times New Roman" w:hAnsi="Times New Roman" w:cs="Times New Roman"/>
          <w:b/>
        </w:rPr>
      </w:pPr>
      <w:r w:rsidRPr="004031F2">
        <w:rPr>
          <w:rFonts w:ascii="Times New Roman" w:hAnsi="Times New Roman" w:cs="Times New Roman"/>
          <w:b/>
        </w:rPr>
        <w:t>Determination of</w:t>
      </w:r>
      <w:r w:rsidR="008B2FC5" w:rsidRPr="004031F2">
        <w:rPr>
          <w:rFonts w:ascii="Times New Roman" w:hAnsi="Times New Roman" w:cs="Times New Roman"/>
          <w:b/>
        </w:rPr>
        <w:t xml:space="preserve"> pH</w:t>
      </w:r>
      <w:r w:rsidRPr="004031F2">
        <w:rPr>
          <w:rFonts w:ascii="Times New Roman" w:hAnsi="Times New Roman" w:cs="Times New Roman"/>
          <w:b/>
        </w:rPr>
        <w:t xml:space="preserve"> and Temperature of Water Samples</w:t>
      </w:r>
    </w:p>
    <w:p w14:paraId="307F0965" w14:textId="77777777" w:rsidR="00EA3551" w:rsidRPr="004031F2" w:rsidRDefault="008B2FC5" w:rsidP="00C4577A">
      <w:pPr>
        <w:spacing w:after="0" w:line="360" w:lineRule="auto"/>
        <w:jc w:val="both"/>
        <w:rPr>
          <w:rFonts w:ascii="Times New Roman" w:eastAsiaTheme="minorHAnsi" w:hAnsi="Times New Roman" w:cs="Times New Roman"/>
        </w:rPr>
      </w:pPr>
      <w:r>
        <w:rPr>
          <w:highlight w:val="yellow"/>
        </w:rPr>
        <w:t>The pH and temperature of the water samples were determined at the point of collection using a Jenway digital pH meter (model 3505). This was carried out by immersing the pH/temperature electrode into the water samples, and readings were taken after the indicated value remained constant for 1 minute.</w:t>
      </w:r>
    </w:p>
    <w:p w14:paraId="14983F6F" w14:textId="77777777" w:rsidR="008B2FC5" w:rsidRPr="004031F2" w:rsidRDefault="008B2FC5" w:rsidP="00C4577A">
      <w:pPr>
        <w:spacing w:after="0" w:line="360" w:lineRule="auto"/>
        <w:jc w:val="both"/>
        <w:rPr>
          <w:rFonts w:ascii="Times New Roman" w:hAnsi="Times New Roman" w:cs="Times New Roman"/>
          <w:b/>
        </w:rPr>
      </w:pPr>
      <w:r w:rsidRPr="004031F2">
        <w:rPr>
          <w:rFonts w:ascii="Times New Roman" w:hAnsi="Times New Roman" w:cs="Times New Roman"/>
          <w:b/>
        </w:rPr>
        <w:t xml:space="preserve">Determination of Electrical Conductivity </w:t>
      </w:r>
    </w:p>
    <w:p w14:paraId="2FC653B3" w14:textId="77777777" w:rsidR="008B2FC5" w:rsidRPr="004031F2" w:rsidRDefault="008B2FC5" w:rsidP="00C4577A">
      <w:pPr>
        <w:spacing w:line="360" w:lineRule="auto"/>
        <w:jc w:val="both"/>
        <w:rPr>
          <w:rFonts w:ascii="Times New Roman" w:hAnsi="Times New Roman" w:cs="Times New Roman"/>
        </w:rPr>
      </w:pPr>
      <w:r>
        <w:rPr>
          <w:highlight w:val="yellow"/>
        </w:rPr>
        <w:t>Electrical conductivity (EC) of the water samples was obtained using an Oyster digital electrical conductivity meter. The values were taken in triplicate and expressed in µS/cm.</w:t>
      </w:r>
    </w:p>
    <w:p w14:paraId="6685D3B7" w14:textId="77777777" w:rsidR="008B2FC5" w:rsidRPr="004031F2" w:rsidRDefault="008B2FC5" w:rsidP="00C4577A">
      <w:pPr>
        <w:spacing w:after="0" w:line="360" w:lineRule="auto"/>
        <w:jc w:val="both"/>
        <w:rPr>
          <w:rFonts w:ascii="Times New Roman" w:hAnsi="Times New Roman" w:cs="Times New Roman"/>
          <w:b/>
        </w:rPr>
      </w:pPr>
      <w:r w:rsidRPr="004031F2">
        <w:rPr>
          <w:rFonts w:ascii="Times New Roman" w:hAnsi="Times New Roman" w:cs="Times New Roman"/>
          <w:b/>
        </w:rPr>
        <w:t>Dissolved Oxygen (DO)</w:t>
      </w:r>
    </w:p>
    <w:p w14:paraId="3717FD94" w14:textId="77777777" w:rsidR="008B2FC5" w:rsidRPr="004031F2" w:rsidRDefault="008B2FC5" w:rsidP="00C4577A">
      <w:pPr>
        <w:spacing w:after="0" w:line="360" w:lineRule="auto"/>
        <w:jc w:val="both"/>
        <w:rPr>
          <w:rFonts w:ascii="Times New Roman" w:hAnsi="Times New Roman" w:cs="Times New Roman"/>
          <w:b/>
        </w:rPr>
      </w:pPr>
      <w:r>
        <w:rPr>
          <w:highlight w:val="yellow"/>
        </w:rPr>
        <w:t>Dissolved oxygen was determined in triplicate using Fresh Innovative MultitecDOO kits. The water samples were placed in the DO measuring tube and compared with the calibrated DO-level chart, after which the readings were recorded.</w:t>
      </w:r>
    </w:p>
    <w:p w14:paraId="2E67F866" w14:textId="77777777" w:rsidR="00C4577A" w:rsidRPr="004031F2" w:rsidRDefault="00C4577A" w:rsidP="00C4577A">
      <w:pPr>
        <w:spacing w:after="0" w:line="360" w:lineRule="auto"/>
        <w:jc w:val="both"/>
        <w:rPr>
          <w:rFonts w:ascii="Times New Roman" w:hAnsi="Times New Roman" w:cs="Times New Roman"/>
          <w:b/>
        </w:rPr>
      </w:pPr>
    </w:p>
    <w:p w14:paraId="65B12E87" w14:textId="77777777" w:rsidR="008B2FC5" w:rsidRPr="004031F2" w:rsidRDefault="008B2FC5" w:rsidP="00C4577A">
      <w:pPr>
        <w:spacing w:after="0" w:line="360" w:lineRule="auto"/>
        <w:jc w:val="both"/>
        <w:rPr>
          <w:rFonts w:ascii="Times New Roman" w:hAnsi="Times New Roman" w:cs="Times New Roman"/>
          <w:b/>
        </w:rPr>
      </w:pPr>
      <w:r w:rsidRPr="004031F2">
        <w:rPr>
          <w:rFonts w:ascii="Times New Roman" w:hAnsi="Times New Roman" w:cs="Times New Roman"/>
          <w:b/>
        </w:rPr>
        <w:t>Determination of Biochemical Oxygen Demand (BOD)</w:t>
      </w:r>
    </w:p>
    <w:p w14:paraId="5952EA33" w14:textId="77777777" w:rsidR="008B2FC5" w:rsidRPr="004031F2" w:rsidRDefault="008B2FC5" w:rsidP="00C4577A">
      <w:pPr>
        <w:spacing w:after="0" w:line="360" w:lineRule="auto"/>
        <w:jc w:val="both"/>
        <w:rPr>
          <w:rFonts w:ascii="Times New Roman" w:hAnsi="Times New Roman" w:cs="Times New Roman"/>
        </w:rPr>
      </w:pPr>
      <w:r>
        <w:rPr>
          <w:highlight w:val="yellow"/>
        </w:rPr>
        <w:t>Biochemical oxygen demand (BOD) (mg/L) was determined in triplicate using the dissolved oxygen kit. The BOD levels of the water samples were determined by comparing the DO level of the water samples taken immediately with the DO level of the water samples incubated for 5 days. The difference between the two DO levels represented the amount of oxygen required for the decomposition of organic material in the water and served as the BOD level.</w:t>
      </w:r>
    </w:p>
    <w:p w14:paraId="5CEF9BB7" w14:textId="77777777" w:rsidR="00B7344A" w:rsidRPr="004031F2" w:rsidRDefault="00B7344A" w:rsidP="00C4577A">
      <w:pPr>
        <w:spacing w:after="0" w:line="360" w:lineRule="auto"/>
        <w:jc w:val="both"/>
        <w:rPr>
          <w:rFonts w:ascii="Times New Roman" w:hAnsi="Times New Roman" w:cs="Times New Roman"/>
          <w:b/>
          <w:bCs/>
        </w:rPr>
      </w:pPr>
    </w:p>
    <w:p w14:paraId="6F35989D" w14:textId="77777777" w:rsidR="008B2FC5" w:rsidRPr="004031F2" w:rsidRDefault="008B2FC5" w:rsidP="004A4113">
      <w:pPr>
        <w:spacing w:after="0" w:line="360" w:lineRule="auto"/>
        <w:jc w:val="both"/>
        <w:rPr>
          <w:rFonts w:ascii="Times New Roman" w:hAnsi="Times New Roman" w:cs="Times New Roman"/>
          <w:b/>
          <w:bCs/>
        </w:rPr>
      </w:pPr>
      <w:r w:rsidRPr="004031F2">
        <w:rPr>
          <w:rFonts w:ascii="Times New Roman" w:hAnsi="Times New Roman" w:cs="Times New Roman"/>
          <w:b/>
          <w:bCs/>
        </w:rPr>
        <w:t>Determination of Chemical Oxygen Demand (COD)</w:t>
      </w:r>
    </w:p>
    <w:p w14:paraId="762CB6C5" w14:textId="77777777" w:rsidR="008B2FC5" w:rsidRPr="004031F2" w:rsidRDefault="008B2FC5" w:rsidP="004A4113">
      <w:pPr>
        <w:pStyle w:val="Default"/>
        <w:spacing w:line="360" w:lineRule="auto"/>
        <w:jc w:val="both"/>
        <w:rPr>
          <w:sz w:val="22"/>
          <w:szCs w:val="22"/>
        </w:rPr>
      </w:pPr>
      <w:r>
        <w:rPr>
          <w:highlight w:val="yellow"/>
        </w:rPr>
        <w:t>Chemical oxygen demand was determined by acidifying the water sample and heating it to 150 °C for two hours. The COD was measured using the colorimetric method described by APHA, AWWA and WEF (2023) and analysed using a UV spectrophotometer (S23A) at 420 nm. The results were taken in triplicate.</w:t>
      </w:r>
    </w:p>
    <w:p w14:paraId="2C6C8799" w14:textId="77777777" w:rsidR="0001315B" w:rsidRPr="004031F2" w:rsidRDefault="0001315B" w:rsidP="004A4113">
      <w:pPr>
        <w:pStyle w:val="Default"/>
        <w:spacing w:line="360" w:lineRule="auto"/>
        <w:jc w:val="both"/>
        <w:rPr>
          <w:rFonts w:eastAsiaTheme="minorHAnsi"/>
          <w:b/>
          <w:sz w:val="22"/>
          <w:szCs w:val="22"/>
        </w:rPr>
      </w:pPr>
      <w:r>
        <w:rPr>
          <w:highlight w:val="yellow"/>
        </w:rPr>
        <w:t>Development of the Model (Water Quality Index)</w:t>
      </w:r>
    </w:p>
    <w:p w14:paraId="5A9ABEF0" w14:textId="77777777" w:rsidR="00632730" w:rsidRPr="004031F2" w:rsidRDefault="00632730" w:rsidP="00632730">
      <w:pPr>
        <w:spacing w:line="360" w:lineRule="auto"/>
        <w:jc w:val="both"/>
        <w:rPr>
          <w:rFonts w:ascii="Times New Roman" w:hAnsi="Times New Roman" w:cs="Times New Roman"/>
          <w:b/>
        </w:rPr>
      </w:pPr>
      <w:r>
        <w:rPr>
          <w:highlight w:val="yellow"/>
        </w:rPr>
        <w:t>The data obtained from the physico-chemical analysis of the four rivers were used as the model variables and entered into the Minitab 18 statistical computer program to develop the water quality model.</w:t>
      </w:r>
    </w:p>
    <w:p w14:paraId="7D9BEC87" w14:textId="77777777" w:rsidR="00AF73D3" w:rsidRPr="004031F2" w:rsidRDefault="00AF73D3" w:rsidP="00C4577A">
      <w:pPr>
        <w:spacing w:after="0" w:line="360" w:lineRule="auto"/>
        <w:jc w:val="both"/>
        <w:rPr>
          <w:rFonts w:ascii="Times New Roman" w:hAnsi="Times New Roman" w:cs="Times New Roman"/>
          <w:b/>
        </w:rPr>
      </w:pPr>
    </w:p>
    <w:p w14:paraId="61CDF419" w14:textId="77777777" w:rsidR="00AF73D3" w:rsidRPr="004031F2" w:rsidRDefault="004D6D44" w:rsidP="00C4577A">
      <w:pPr>
        <w:spacing w:after="0" w:line="360" w:lineRule="auto"/>
        <w:jc w:val="both"/>
        <w:rPr>
          <w:rFonts w:ascii="Times New Roman" w:hAnsi="Times New Roman" w:cs="Times New Roman"/>
          <w:b/>
        </w:rPr>
      </w:pPr>
      <w:r w:rsidRPr="004031F2">
        <w:rPr>
          <w:rFonts w:ascii="Times New Roman" w:hAnsi="Times New Roman" w:cs="Times New Roman"/>
          <w:b/>
        </w:rPr>
        <w:t>RESULTS AND DISCUSSION</w:t>
      </w:r>
      <w:r w:rsidR="00141622" w:rsidRPr="004031F2">
        <w:rPr>
          <w:rFonts w:ascii="Times New Roman" w:hAnsi="Times New Roman" w:cs="Times New Roman"/>
          <w:b/>
        </w:rPr>
        <w:t xml:space="preserve"> </w:t>
      </w:r>
    </w:p>
    <w:p w14:paraId="351A4311" w14:textId="77777777" w:rsidR="004D6D44" w:rsidRPr="004031F2" w:rsidRDefault="00597BBA" w:rsidP="00C4577A">
      <w:pPr>
        <w:spacing w:after="0" w:line="360" w:lineRule="auto"/>
        <w:jc w:val="both"/>
        <w:rPr>
          <w:rFonts w:ascii="Times New Roman" w:hAnsi="Times New Roman" w:cs="Times New Roman"/>
          <w:b/>
        </w:rPr>
      </w:pPr>
      <w:r w:rsidRPr="004031F2">
        <w:rPr>
          <w:rFonts w:ascii="Times New Roman" w:hAnsi="Times New Roman" w:cs="Times New Roman"/>
          <w:b/>
        </w:rPr>
        <w:t>Physico</w:t>
      </w:r>
      <w:r w:rsidR="004D6D44" w:rsidRPr="004031F2">
        <w:rPr>
          <w:rFonts w:ascii="Times New Roman" w:hAnsi="Times New Roman" w:cs="Times New Roman"/>
          <w:b/>
        </w:rPr>
        <w:t>chemical Parameters of the Rivers</w:t>
      </w:r>
      <w:r w:rsidR="004D6D44" w:rsidRPr="004031F2">
        <w:rPr>
          <w:rFonts w:ascii="Times New Roman" w:hAnsi="Times New Roman" w:cs="Times New Roman"/>
          <w:b/>
        </w:rPr>
        <w:tab/>
      </w:r>
    </w:p>
    <w:p w14:paraId="4B8BB0CD" w14:textId="77777777" w:rsidR="004D6D44" w:rsidRPr="004031F2" w:rsidRDefault="00AF73D3" w:rsidP="00C4577A">
      <w:pPr>
        <w:spacing w:after="0" w:line="360" w:lineRule="auto"/>
        <w:jc w:val="both"/>
        <w:rPr>
          <w:rFonts w:ascii="Times New Roman" w:hAnsi="Times New Roman" w:cs="Times New Roman"/>
        </w:rPr>
      </w:pPr>
      <w:r>
        <w:rPr>
          <w:highlight w:val="yellow"/>
        </w:rPr>
        <w:t>The physico-chemical parameters analysed from the four river locations in Lafia metropolis for both the dry and wet seasons are presented as line charts in Figures 1-4, alongside the United States Environmental Protection Agency (U.S. EPA) and WHO standards for river water.</w:t>
      </w:r>
    </w:p>
    <w:p w14:paraId="490A8934" w14:textId="77777777" w:rsidR="00915EE4" w:rsidRPr="004031F2" w:rsidRDefault="00915EE4" w:rsidP="00C4577A">
      <w:pPr>
        <w:spacing w:after="0" w:line="360" w:lineRule="auto"/>
        <w:jc w:val="both"/>
        <w:rPr>
          <w:rFonts w:ascii="Times New Roman" w:hAnsi="Times New Roman" w:cs="Times New Roman"/>
        </w:rPr>
        <w:sectPr w:rsidR="00915EE4" w:rsidRPr="004031F2" w:rsidSect="00C95815">
          <w:type w:val="continuous"/>
          <w:pgSz w:w="12240" w:h="15840"/>
          <w:pgMar w:top="1440" w:right="1440" w:bottom="1440" w:left="1440" w:header="720" w:footer="720" w:gutter="0"/>
          <w:cols w:space="720"/>
          <w:docGrid w:linePitch="360"/>
        </w:sectPr>
      </w:pPr>
    </w:p>
    <w:p w14:paraId="343E7CD6" w14:textId="77777777" w:rsidR="004D6D44" w:rsidRPr="004031F2" w:rsidRDefault="004D6D44" w:rsidP="00C4577A">
      <w:pPr>
        <w:spacing w:after="0" w:line="360" w:lineRule="auto"/>
        <w:jc w:val="both"/>
        <w:rPr>
          <w:rFonts w:ascii="Times New Roman" w:hAnsi="Times New Roman" w:cs="Times New Roman"/>
        </w:rPr>
      </w:pPr>
    </w:p>
    <w:p w14:paraId="5C47FBA0" w14:textId="77777777" w:rsidR="004D6D44" w:rsidRPr="004031F2" w:rsidRDefault="004D6D44" w:rsidP="00C4577A">
      <w:pPr>
        <w:spacing w:after="0" w:line="360" w:lineRule="auto"/>
        <w:jc w:val="both"/>
        <w:rPr>
          <w:rFonts w:ascii="Times New Roman" w:hAnsi="Times New Roman" w:cs="Times New Roman"/>
        </w:rPr>
      </w:pPr>
      <w:r w:rsidRPr="004031F2">
        <w:rPr>
          <w:rFonts w:ascii="Times New Roman" w:hAnsi="Times New Roman" w:cs="Times New Roman"/>
          <w:noProof/>
        </w:rPr>
        <w:drawing>
          <wp:inline distT="0" distB="0" distL="0" distR="0" wp14:anchorId="284F6E6C" wp14:editId="0A4BE467">
            <wp:extent cx="6076950" cy="1847850"/>
            <wp:effectExtent l="19050" t="0" r="19050" b="0"/>
            <wp:docPr id="4" name="Chart 4">
              <a:extLst xmlns:a="http://schemas.openxmlformats.org/drawingml/2006/main">
                <a:ext uri="{FF2B5EF4-FFF2-40B4-BE49-F238E27FC236}">
                  <a16:creationId xmlns:a16="http://schemas.microsoft.com/office/drawing/2014/main" id="{06CFB0D4-8A7F-462B-AB49-B5B24E8D2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8D19D1" w14:textId="77777777" w:rsidR="004D6D44" w:rsidRPr="004031F2" w:rsidRDefault="00EF7163" w:rsidP="00C4577A">
      <w:pPr>
        <w:spacing w:line="360" w:lineRule="auto"/>
        <w:jc w:val="both"/>
        <w:rPr>
          <w:rFonts w:ascii="Times New Roman" w:hAnsi="Times New Roman" w:cs="Times New Roman"/>
        </w:rPr>
      </w:pPr>
      <w:r>
        <w:rPr>
          <w:highlight w:val="yellow"/>
        </w:rPr>
        <w:t>Figure 1: Physico-chemical parameters of River Amba</w:t>
      </w:r>
    </w:p>
    <w:p w14:paraId="502447F5" w14:textId="77777777" w:rsidR="004D6D44" w:rsidRPr="004031F2" w:rsidRDefault="004D6D44" w:rsidP="00C4577A">
      <w:pPr>
        <w:spacing w:after="0" w:line="360" w:lineRule="auto"/>
        <w:jc w:val="both"/>
        <w:rPr>
          <w:rFonts w:ascii="Times New Roman" w:hAnsi="Times New Roman" w:cs="Times New Roman"/>
        </w:rPr>
      </w:pPr>
    </w:p>
    <w:p w14:paraId="1AE96476" w14:textId="77777777" w:rsidR="004D6D44" w:rsidRPr="004031F2" w:rsidRDefault="004D6D44" w:rsidP="00C4577A">
      <w:pPr>
        <w:spacing w:after="0" w:line="360" w:lineRule="auto"/>
        <w:jc w:val="both"/>
        <w:rPr>
          <w:rFonts w:ascii="Times New Roman" w:hAnsi="Times New Roman" w:cs="Times New Roman"/>
        </w:rPr>
      </w:pPr>
    </w:p>
    <w:p w14:paraId="06BFD046" w14:textId="77777777" w:rsidR="004D6D44" w:rsidRPr="004031F2" w:rsidRDefault="004D6D44" w:rsidP="00C4577A">
      <w:pPr>
        <w:spacing w:after="0" w:line="360" w:lineRule="auto"/>
        <w:ind w:left="270"/>
        <w:jc w:val="both"/>
        <w:rPr>
          <w:rFonts w:ascii="Times New Roman" w:hAnsi="Times New Roman" w:cs="Times New Roman"/>
        </w:rPr>
      </w:pPr>
      <w:r w:rsidRPr="004031F2">
        <w:rPr>
          <w:rFonts w:ascii="Times New Roman" w:hAnsi="Times New Roman" w:cs="Times New Roman"/>
          <w:noProof/>
        </w:rPr>
        <w:drawing>
          <wp:inline distT="0" distB="0" distL="0" distR="0" wp14:anchorId="1C85FB9E" wp14:editId="5B1298B7">
            <wp:extent cx="5905500" cy="1943100"/>
            <wp:effectExtent l="19050" t="0" r="19050" b="0"/>
            <wp:docPr id="5" name="Chart 5">
              <a:extLst xmlns:a="http://schemas.openxmlformats.org/drawingml/2006/main">
                <a:ext uri="{FF2B5EF4-FFF2-40B4-BE49-F238E27FC236}">
                  <a16:creationId xmlns:a16="http://schemas.microsoft.com/office/drawing/2014/main" id="{E8D4335B-2B0E-4C8B-B285-86F548BE3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A5B2E6" w14:textId="77777777" w:rsidR="004D6D44" w:rsidRPr="004031F2" w:rsidRDefault="00EF7163" w:rsidP="00C4577A">
      <w:pPr>
        <w:spacing w:after="0" w:line="360" w:lineRule="auto"/>
        <w:ind w:left="270"/>
        <w:jc w:val="both"/>
        <w:rPr>
          <w:rFonts w:ascii="Times New Roman" w:hAnsi="Times New Roman" w:cs="Times New Roman"/>
        </w:rPr>
      </w:pPr>
      <w:r>
        <w:rPr>
          <w:highlight w:val="yellow"/>
        </w:rPr>
        <w:t>Figure 2: Physico-chemical parameters of River Shabu</w:t>
      </w:r>
    </w:p>
    <w:p w14:paraId="7ACCCE22" w14:textId="77777777" w:rsidR="004D6D44" w:rsidRPr="004031F2" w:rsidRDefault="004D6D44" w:rsidP="00C4577A">
      <w:pPr>
        <w:spacing w:after="0" w:line="360" w:lineRule="auto"/>
        <w:ind w:left="270"/>
        <w:jc w:val="both"/>
        <w:rPr>
          <w:rFonts w:ascii="Times New Roman" w:hAnsi="Times New Roman" w:cs="Times New Roman"/>
        </w:rPr>
      </w:pPr>
    </w:p>
    <w:p w14:paraId="1E0CF17A" w14:textId="77777777" w:rsidR="004D6D44" w:rsidRPr="004031F2" w:rsidRDefault="004D6D44" w:rsidP="00C4577A">
      <w:pPr>
        <w:spacing w:after="0" w:line="360" w:lineRule="auto"/>
        <w:ind w:left="270"/>
        <w:jc w:val="both"/>
        <w:rPr>
          <w:rFonts w:ascii="Times New Roman" w:hAnsi="Times New Roman" w:cs="Times New Roman"/>
        </w:rPr>
      </w:pPr>
    </w:p>
    <w:p w14:paraId="7198AA5C" w14:textId="77777777" w:rsidR="004D6D44" w:rsidRPr="004031F2" w:rsidRDefault="004D6D44" w:rsidP="00C4577A">
      <w:pPr>
        <w:spacing w:after="0" w:line="360" w:lineRule="auto"/>
        <w:ind w:left="270"/>
        <w:jc w:val="both"/>
        <w:rPr>
          <w:rFonts w:ascii="Times New Roman" w:hAnsi="Times New Roman" w:cs="Times New Roman"/>
        </w:rPr>
      </w:pPr>
    </w:p>
    <w:p w14:paraId="08CC91D9" w14:textId="77777777" w:rsidR="004D6D44" w:rsidRPr="004031F2" w:rsidRDefault="004D6D44" w:rsidP="00C4577A">
      <w:pPr>
        <w:spacing w:after="0" w:line="360" w:lineRule="auto"/>
        <w:ind w:left="270"/>
        <w:jc w:val="both"/>
        <w:rPr>
          <w:rFonts w:ascii="Times New Roman" w:hAnsi="Times New Roman" w:cs="Times New Roman"/>
        </w:rPr>
      </w:pPr>
      <w:r w:rsidRPr="004031F2">
        <w:rPr>
          <w:rFonts w:ascii="Times New Roman" w:hAnsi="Times New Roman" w:cs="Times New Roman"/>
          <w:noProof/>
        </w:rPr>
        <w:lastRenderedPageBreak/>
        <w:drawing>
          <wp:inline distT="0" distB="0" distL="0" distR="0" wp14:anchorId="737986C9" wp14:editId="1834B2DA">
            <wp:extent cx="5600700" cy="2219325"/>
            <wp:effectExtent l="19050" t="0" r="19050" b="0"/>
            <wp:docPr id="8" name="Chart 8">
              <a:extLst xmlns:a="http://schemas.openxmlformats.org/drawingml/2006/main">
                <a:ext uri="{FF2B5EF4-FFF2-40B4-BE49-F238E27FC236}">
                  <a16:creationId xmlns:a16="http://schemas.microsoft.com/office/drawing/2014/main" id="{59F6E231-7AF7-4BA4-B14D-0320D7A20B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03E037" w14:textId="77777777" w:rsidR="004D6D44" w:rsidRPr="004031F2" w:rsidRDefault="00EF7163" w:rsidP="00915EE4">
      <w:pPr>
        <w:spacing w:after="0" w:line="360" w:lineRule="auto"/>
        <w:ind w:left="270"/>
        <w:jc w:val="both"/>
        <w:rPr>
          <w:rFonts w:ascii="Times New Roman" w:hAnsi="Times New Roman" w:cs="Times New Roman"/>
        </w:rPr>
      </w:pPr>
      <w:r>
        <w:rPr>
          <w:highlight w:val="yellow"/>
        </w:rPr>
        <w:t>Figure 3: Physico-chemical parameters of River Ombi-Anzaku</w:t>
      </w:r>
    </w:p>
    <w:p w14:paraId="4EBD622A" w14:textId="77777777" w:rsidR="004D6D44" w:rsidRPr="004031F2" w:rsidRDefault="004D6D44" w:rsidP="00C4577A">
      <w:pPr>
        <w:spacing w:after="0" w:line="360" w:lineRule="auto"/>
        <w:ind w:left="270"/>
        <w:jc w:val="both"/>
        <w:rPr>
          <w:rFonts w:ascii="Times New Roman" w:hAnsi="Times New Roman" w:cs="Times New Roman"/>
        </w:rPr>
      </w:pPr>
    </w:p>
    <w:p w14:paraId="526BCA56" w14:textId="77777777" w:rsidR="004D6D44" w:rsidRPr="004031F2" w:rsidRDefault="00915EE4" w:rsidP="00915EE4">
      <w:pPr>
        <w:spacing w:after="0" w:line="360" w:lineRule="auto"/>
        <w:jc w:val="both"/>
        <w:rPr>
          <w:rFonts w:ascii="Times New Roman" w:hAnsi="Times New Roman" w:cs="Times New Roman"/>
        </w:rPr>
      </w:pPr>
      <w:r w:rsidRPr="004031F2">
        <w:rPr>
          <w:rFonts w:ascii="Times New Roman" w:hAnsi="Times New Roman" w:cs="Times New Roman"/>
          <w:noProof/>
        </w:rPr>
        <w:drawing>
          <wp:inline distT="0" distB="0" distL="0" distR="0" wp14:anchorId="38BE02FA" wp14:editId="6C8509FC">
            <wp:extent cx="5695950" cy="2247900"/>
            <wp:effectExtent l="19050" t="0" r="19050" b="0"/>
            <wp:docPr id="2" name="Chart 14">
              <a:extLst xmlns:a="http://schemas.openxmlformats.org/drawingml/2006/main">
                <a:ext uri="{FF2B5EF4-FFF2-40B4-BE49-F238E27FC236}">
                  <a16:creationId xmlns:a16="http://schemas.microsoft.com/office/drawing/2014/main" id="{87B083DE-F029-43A3-B8DE-636C94816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3E205C" w14:textId="77777777" w:rsidR="002D349E" w:rsidRPr="004031F2" w:rsidRDefault="00A26351" w:rsidP="00F00DDD">
      <w:pPr>
        <w:spacing w:after="0" w:line="360" w:lineRule="auto"/>
        <w:jc w:val="both"/>
        <w:rPr>
          <w:rFonts w:ascii="Times New Roman" w:hAnsi="Times New Roman" w:cs="Times New Roman"/>
        </w:rPr>
      </w:pPr>
      <w:r>
        <w:rPr>
          <w:highlight w:val="yellow"/>
        </w:rPr>
        <w:t>Figure 4: Physico-chemical parameters of River Gandu.</w:t>
      </w:r>
    </w:p>
    <w:p w14:paraId="466C181A" w14:textId="77777777" w:rsidR="00A031FD" w:rsidRPr="004031F2" w:rsidRDefault="00A031FD" w:rsidP="008173BF">
      <w:pPr>
        <w:pStyle w:val="Default"/>
        <w:spacing w:line="360" w:lineRule="auto"/>
        <w:jc w:val="both"/>
        <w:rPr>
          <w:sz w:val="22"/>
          <w:szCs w:val="22"/>
        </w:rPr>
        <w:sectPr w:rsidR="00A031FD" w:rsidRPr="004031F2" w:rsidSect="00C95815">
          <w:type w:val="continuous"/>
          <w:pgSz w:w="12240" w:h="15840"/>
          <w:pgMar w:top="1440" w:right="1440" w:bottom="1440" w:left="1440" w:header="720" w:footer="720" w:gutter="0"/>
          <w:cols w:space="720"/>
          <w:docGrid w:linePitch="360"/>
        </w:sectPr>
      </w:pPr>
    </w:p>
    <w:p w14:paraId="3BE57D81" w14:textId="77777777" w:rsidR="00F00DDD" w:rsidRPr="004031F2" w:rsidRDefault="00F00DDD" w:rsidP="008173BF">
      <w:pPr>
        <w:pStyle w:val="Default"/>
        <w:spacing w:line="360" w:lineRule="auto"/>
        <w:jc w:val="both"/>
        <w:rPr>
          <w:sz w:val="22"/>
          <w:szCs w:val="22"/>
        </w:rPr>
      </w:pPr>
    </w:p>
    <w:p w14:paraId="6E0C9274" w14:textId="77777777" w:rsidR="00C342C1" w:rsidRPr="004031F2" w:rsidRDefault="00C342C1" w:rsidP="008173BF">
      <w:pPr>
        <w:pStyle w:val="Default"/>
        <w:spacing w:line="360" w:lineRule="auto"/>
        <w:jc w:val="both"/>
        <w:rPr>
          <w:sz w:val="22"/>
          <w:szCs w:val="22"/>
        </w:rPr>
        <w:sectPr w:rsidR="00C342C1" w:rsidRPr="004031F2" w:rsidSect="00C95815">
          <w:type w:val="continuous"/>
          <w:pgSz w:w="12240" w:h="15840"/>
          <w:pgMar w:top="1440" w:right="1440" w:bottom="1440" w:left="1440" w:header="720" w:footer="720" w:gutter="0"/>
          <w:cols w:space="720"/>
          <w:docGrid w:linePitch="360"/>
        </w:sectPr>
      </w:pPr>
    </w:p>
    <w:p w14:paraId="735B6F1D" w14:textId="77777777" w:rsidR="004D6D44" w:rsidRPr="004031F2" w:rsidRDefault="00A26351" w:rsidP="008173BF">
      <w:pPr>
        <w:pStyle w:val="Default"/>
        <w:spacing w:line="360" w:lineRule="auto"/>
        <w:jc w:val="both"/>
        <w:rPr>
          <w:rFonts w:eastAsiaTheme="minorHAnsi"/>
          <w:sz w:val="22"/>
          <w:szCs w:val="22"/>
        </w:rPr>
      </w:pPr>
      <w:r>
        <w:rPr>
          <w:highlight w:val="yellow"/>
        </w:rPr>
        <w:t xml:space="preserve">Figures 1-4 generally show that the mean pH values of all water samples from the four rivers ranged between 6.4 and 7.2 in the dry season, compared with 5.9 and 7.6 in the wet season. The acceptable range of pH for potable water is 6.5-8.5 (Standards Organisation of Nigeria, 2015; WHO, 2022). These values were below or within the U.S. EPA and WHO recommended levels of 6.5-8.5 for river water (U.S. Environmental Protection Agency, 2026; WHO, 2022). The pH values obtained in this study are consistent with values reported for water in previous studies (Abulude et al., 2023; Ojo et al., 2026). These pH values indicate either a slightly acidic or slightly alkaline nature of the water. The slight variations between the dry and wet seasons may be attributable to the flowing nature of the rivers, especially during the wet season. Running water has the tendency to redistribute anions and cations, thereby leaving little room for the </w:t>
      </w:r>
      <w:r>
        <w:rPr>
          <w:highlight w:val="yellow"/>
        </w:rPr>
        <w:lastRenderedPageBreak/>
        <w:t>accumulation of ions that would increase acidity. The slightly high and low pH values are considered to have no adverse effect because running water is capable of self-purification as a result of eutrophication, a clarification process that occurs to a high degree with distance of movement (WHO, 2022).</w:t>
      </w:r>
    </w:p>
    <w:p w14:paraId="15C298DC" w14:textId="77777777" w:rsidR="00BC3738" w:rsidRPr="004031F2" w:rsidRDefault="004D6D44" w:rsidP="00C4577A">
      <w:pPr>
        <w:spacing w:line="360" w:lineRule="auto"/>
        <w:jc w:val="both"/>
        <w:rPr>
          <w:rFonts w:ascii="Times New Roman" w:hAnsi="Times New Roman" w:cs="Times New Roman"/>
        </w:rPr>
      </w:pPr>
      <w:r>
        <w:rPr>
          <w:highlight w:val="yellow"/>
        </w:rPr>
        <w:t>Furthermore, the mean pH values observed in this study align with previous findings that stable pH ranges often indicate minimal industrial pollutants, rainwater inflows or leachate drainage in the study area. For instance, Abulude et al. (2023) reported that relatively neutral pH values are a marker of reduced anthropogenic contamination in river systems. Similarly, Ojo et al. (2026) observed that water sources with limited industrial activity maintained pH values within acceptable ranges, suggesting limited external pollutant input. Seasonal variation in pH has also been documented. Ojo et al. (2026) found that pH values were higher in the dry season than in the wet season and attributed this to reduced dilution and runoff. Zafar and Kumari (2024) also reported seasonal differences in river-water physico-chemical parameters. Collectively, these studies support the observation that higher dry-season pH values compared with wet-season values can occur as part of a hydrological pattern.</w:t>
      </w:r>
    </w:p>
    <w:p w14:paraId="656EE3FF" w14:textId="77777777" w:rsidR="00F50B04" w:rsidRPr="004031F2" w:rsidRDefault="00264421" w:rsidP="00F50B04">
      <w:pPr>
        <w:spacing w:after="0" w:line="360" w:lineRule="auto"/>
        <w:jc w:val="both"/>
        <w:rPr>
          <w:rFonts w:ascii="Times New Roman" w:hAnsi="Times New Roman" w:cs="Times New Roman"/>
        </w:rPr>
      </w:pPr>
      <w:r>
        <w:rPr>
          <w:highlight w:val="yellow"/>
        </w:rPr>
        <w:t>The average temperature values obtained for the four rivers were 27.10 °C in the dry season and 26.3 °C in the wet season. Individual values for Rivers Amba, Shabu, Ombi-Anzaku and Gandu are shown in Figures 1-4, respectively. The values in the respective rivers were all lower than the 40 °C permissible limit recommended by both the U.S. EPA and WHO for river water. A previous study by Abulude et al. (2023) indicated that average temperature varies from 25.0 to 26.8 °C in the wet season and from 26.5 to 30.7 °C during the dry season. The slight increase in temperature observed during the dry season compared with the wet season can be attributed to the elevated atmospheric temperatures typical of Lafia at that time. Seasonal temperature fluctuations in rivers can influence the dissolution of metals and other chemical substances, thereby affecting water quality through processes such as percolation. Ojo et al. (2026) reported minimal seasonal variation in temperature in Lagos water sources, with dry-season samples showing slightly higher values owing to reduced rainfall and dilution. Abulude et al. (2023) highlighted that elevated water temperatures promote microbial activity, which can deteriorate water quality in terms of colour, taste, odour and corrosiveness. Zafar and Kumari (2024) confirmed that higher temperatures favour microbial growth and can increase hazards in water bodies. Collectively, these studies reinforce that although seasonal temperature variation is minimal, elevated dry-season temperatures can enhance microbial activity and chemical dissolution, thereby posing risks to water quality.</w:t>
      </w:r>
    </w:p>
    <w:p w14:paraId="6A2D90B1" w14:textId="77777777" w:rsidR="00F50B04" w:rsidRPr="004031F2" w:rsidRDefault="00F50B04" w:rsidP="00F50B04">
      <w:pPr>
        <w:spacing w:after="0" w:line="360" w:lineRule="auto"/>
        <w:jc w:val="both"/>
        <w:rPr>
          <w:rFonts w:ascii="Times New Roman" w:hAnsi="Times New Roman" w:cs="Times New Roman"/>
        </w:rPr>
      </w:pPr>
    </w:p>
    <w:p w14:paraId="7114B515" w14:textId="77777777" w:rsidR="004D6D44" w:rsidRPr="004031F2" w:rsidRDefault="006D1D82" w:rsidP="00F50B04">
      <w:pPr>
        <w:spacing w:after="0" w:line="360" w:lineRule="auto"/>
        <w:jc w:val="both"/>
        <w:rPr>
          <w:rFonts w:ascii="Times New Roman" w:hAnsi="Times New Roman" w:cs="Times New Roman"/>
        </w:rPr>
      </w:pPr>
      <w:r>
        <w:rPr>
          <w:highlight w:val="yellow"/>
        </w:rPr>
        <w:t>The mean DO values observed in this study (4.3 mg/L in the dry season and 4.35 mg/L in the wet season) reflect only slight seasonal variation, which is consistent with previous findings that dissolved oxygen levels in rivers often remain relatively stable across seasons. Ojo et al. (2026) reported similar insignificant differences in DO between dry and wet seasons in Lagos water sources, attributing this to consistent hydrological mixing. However, these values fall below the maximum permissible limit of 6.5 mg/L set by both the U.S. EPA and WHO, suggesting moderate oxygen deficiency compared with international standards. Abulude et al. (2023) highlighted that reduced DO levels are often linked to nitrification activity, agricultural drainage and livestock presence along river courses, all of which consume oxygen through organic matter decomposition. Ogbe et al. (2025) also observed lower DO concentrations in Nigerian rivers influenced by farming and runoff, reinforcing the role of anthropogenic activity in oxygen depletion. Despite being below regulatory thresholds, the DO levels reported here remain sufficient to sustain aquatic fauna, because dissolved oxygen is essential for respiration and metabolic processes in aquatic organisms (Zafar &amp; Kumari, 2024). Collectively, these studies confirm that while the rivers studied maintain commendable DO levels for water quality, anthropogenic influences continue to exert pressure on oxygen balance, with implications for ecosystem health and sustainability. The investigated rivers will therefore support the growth and existence of aquatic organisms.</w:t>
      </w:r>
    </w:p>
    <w:p w14:paraId="4273DE37" w14:textId="77777777" w:rsidR="00F50B04" w:rsidRPr="004031F2" w:rsidRDefault="00F50B04" w:rsidP="00C4577A">
      <w:pPr>
        <w:spacing w:line="360" w:lineRule="auto"/>
        <w:jc w:val="both"/>
        <w:rPr>
          <w:rFonts w:ascii="Times New Roman" w:hAnsi="Times New Roman" w:cs="Times New Roman"/>
        </w:rPr>
      </w:pPr>
    </w:p>
    <w:p w14:paraId="7220B9EC" w14:textId="77777777" w:rsidR="004D6D44" w:rsidRPr="004031F2" w:rsidRDefault="004D6D44" w:rsidP="00C4577A">
      <w:pPr>
        <w:spacing w:line="360" w:lineRule="auto"/>
        <w:jc w:val="both"/>
        <w:rPr>
          <w:rFonts w:ascii="Times New Roman" w:hAnsi="Times New Roman" w:cs="Times New Roman"/>
        </w:rPr>
      </w:pPr>
      <w:r>
        <w:rPr>
          <w:highlight w:val="yellow"/>
        </w:rPr>
        <w:t>The mean BOD values in the four rivers ranged from 2.6 mg/L in the dry season to 2.0 mg/L in the rainy season. These values were also observed to be significantly lower than the recommended thresholds of 40 and 100 mg/L according to the U.S. EPA and WHO standards, respectively. BOD, an important water quality parameter, provides an index for assessing the effect of discharged wastewater on the receiving environment. Since the BOD levels were below the stipulated threshold, it can be inferred that large quantities of organic waste were not present in the water bodies. Additionally, there may not be a direct health implication, but BOD provides insight into overall water quality. BOD can occur as a result of excessive nutrients, such as nitrites and phosphates, domestic sewage, runoff and fertilisers (Duan &amp; Duan, 2020; Koutsoyiannis, 2020). The variation in mean BOD values between seasons, as depicted in Figures 1-4, may have been due to high flow rate, precipitation, possible agricultural practices and runoff in and around the rivers (Xia et al., 2020).</w:t>
      </w:r>
    </w:p>
    <w:p w14:paraId="6C8979AF" w14:textId="77777777" w:rsidR="004D6D44" w:rsidRPr="004031F2" w:rsidRDefault="004D6D44" w:rsidP="00C4577A">
      <w:pPr>
        <w:spacing w:after="0" w:line="360" w:lineRule="auto"/>
        <w:jc w:val="both"/>
        <w:rPr>
          <w:rFonts w:ascii="Times New Roman" w:hAnsi="Times New Roman" w:cs="Times New Roman"/>
        </w:rPr>
      </w:pPr>
      <w:r>
        <w:rPr>
          <w:highlight w:val="yellow"/>
        </w:rPr>
        <w:lastRenderedPageBreak/>
        <w:t>The analysis of chemical oxygen demand for the rivers (Figures 1-4) showed mean values of 2.8 and 2.7 mg/L for the dry and wet seasons, respectively. These values were much lower than the threshold values of 40 mg/L (U.S. EPA) and 120 mg/L (WHO). This indicates that all four rivers were relatively unpolluted, at least by organic materials such as chemicals and fertilisers from farms. Variation in the COD of river water quality is mainly influenced by domestic sewage, industrial effluents and saltwater intrusion (Müller et al., 2020; Xia et al., 2020). The variation in COD levels between seasons was minimal; hence, the influence of domestic sewage, industrial effluents and saltwater intrusion may be absent or negligible.</w:t>
      </w:r>
    </w:p>
    <w:p w14:paraId="710E1E97" w14:textId="77777777" w:rsidR="004D6D44" w:rsidRPr="004031F2" w:rsidRDefault="004D6D44" w:rsidP="00C4577A">
      <w:pPr>
        <w:spacing w:after="0" w:line="360" w:lineRule="auto"/>
        <w:jc w:val="both"/>
        <w:rPr>
          <w:rFonts w:ascii="Times New Roman" w:hAnsi="Times New Roman" w:cs="Times New Roman"/>
        </w:rPr>
      </w:pPr>
      <w:r>
        <w:rPr>
          <w:highlight w:val="yellow"/>
        </w:rPr>
        <w:t>For electrical conductivity, values in the rivers averaged 100 µS/cm in the dry season and 86 µS/cm in the wet season. These values were below the maximum permissible level of 1000 µS/cm for river water according to both the U.S. EPA and WHO standards. This suggests possible low levels of cations (Ca2+, Mg2+) and anions (Cl-, SO42-) and, consequently, high water quality. Pure water is naturally a poor conductor of electricity; hence, higher electrical conductivity in water results from an excessive increase in the concentration of dissolved ionic solids within the water samples. Sources of EC may include an abundance of dissolved salts due to poor irrigation management, minerals from rainwater, runoff or other discharges. The EC result, which was higher in the dry season and lower in the wet season, was in agreement with similar studies by Abulude et al. (2023). High conductivity is often observed in rivers because of the inflow or deposition of sewage into water bodies (Onojake et al., 2017). The EC values obtained in this study are consistent with findings from the Bonny/New Calabar River Estuary, where seasonal variation in water quality parameters was reported (Onojake et al., 2017).</w:t>
      </w:r>
    </w:p>
    <w:p w14:paraId="45B875F9" w14:textId="77777777" w:rsidR="00B84C5C" w:rsidRPr="004031F2" w:rsidRDefault="00C734E8" w:rsidP="00B525D6">
      <w:pPr>
        <w:spacing w:before="240" w:line="360" w:lineRule="auto"/>
        <w:jc w:val="both"/>
        <w:rPr>
          <w:rFonts w:ascii="Times New Roman" w:hAnsi="Times New Roman" w:cs="Times New Roman"/>
        </w:rPr>
      </w:pPr>
      <w:r>
        <w:rPr>
          <w:highlight w:val="yellow"/>
        </w:rPr>
        <w:t>Generally, the water quality assessed using the physico-chemical parameters revealed slight variations from one river to another. The result showed that the physico-chemical parameters were in the following order: Shabu River &gt; Ombi-Anzaku &gt; Amba &gt; Gandu River.</w:t>
      </w:r>
    </w:p>
    <w:p w14:paraId="5092B9AE" w14:textId="77777777" w:rsidR="00B84C5C" w:rsidRPr="004031F2" w:rsidRDefault="00B84C5C" w:rsidP="00B525D6">
      <w:pPr>
        <w:spacing w:before="240" w:line="360" w:lineRule="auto"/>
        <w:jc w:val="both"/>
        <w:rPr>
          <w:rFonts w:ascii="Times New Roman" w:hAnsi="Times New Roman" w:cs="Times New Roman"/>
        </w:rPr>
        <w:sectPr w:rsidR="00B84C5C" w:rsidRPr="004031F2" w:rsidSect="00C95815">
          <w:type w:val="continuous"/>
          <w:pgSz w:w="12240" w:h="15840"/>
          <w:pgMar w:top="1440" w:right="1440" w:bottom="1440" w:left="1440" w:header="720" w:footer="720" w:gutter="0"/>
          <w:cols w:space="720"/>
          <w:docGrid w:linePitch="360"/>
        </w:sectPr>
      </w:pPr>
    </w:p>
    <w:p w14:paraId="27EA3B74" w14:textId="77777777" w:rsidR="00C342C1" w:rsidRPr="004031F2" w:rsidRDefault="00C342C1" w:rsidP="00B525D6">
      <w:pPr>
        <w:spacing w:before="240" w:line="360" w:lineRule="auto"/>
        <w:jc w:val="both"/>
        <w:rPr>
          <w:rFonts w:ascii="Times New Roman" w:hAnsi="Times New Roman" w:cs="Times New Roman"/>
          <w:b/>
        </w:rPr>
      </w:pPr>
    </w:p>
    <w:p w14:paraId="5FF7928D" w14:textId="77777777" w:rsidR="00EF7163" w:rsidRPr="004031F2" w:rsidRDefault="00820884" w:rsidP="00B525D6">
      <w:pPr>
        <w:spacing w:before="240" w:line="360" w:lineRule="auto"/>
        <w:jc w:val="both"/>
        <w:rPr>
          <w:rFonts w:ascii="Times New Roman" w:hAnsi="Times New Roman" w:cs="Times New Roman"/>
          <w:b/>
        </w:rPr>
      </w:pPr>
      <w:r>
        <w:rPr>
          <w:highlight w:val="yellow"/>
        </w:rPr>
        <w:t>Picture 1: Novel Water Quality Index Development (TIMOMAM Model)</w:t>
      </w:r>
    </w:p>
    <w:p w14:paraId="37BE1B04" w14:textId="77777777" w:rsidR="00EF7163" w:rsidRPr="004031F2" w:rsidRDefault="00E34850" w:rsidP="00B525D6">
      <w:pPr>
        <w:spacing w:before="240" w:line="360" w:lineRule="auto"/>
        <w:jc w:val="both"/>
        <w:rPr>
          <w:rFonts w:ascii="Times New Roman" w:hAnsi="Times New Roman" w:cs="Times New Roman"/>
          <w:b/>
        </w:rPr>
      </w:pPr>
      <w:r w:rsidRPr="004031F2">
        <w:rPr>
          <w:rFonts w:ascii="Times New Roman" w:hAnsi="Times New Roman" w:cs="Times New Roman"/>
          <w:noProof/>
        </w:rPr>
        <w:lastRenderedPageBreak/>
        <w:drawing>
          <wp:inline distT="0" distB="0" distL="0" distR="0" wp14:anchorId="05510B16" wp14:editId="11230B22">
            <wp:extent cx="5716988" cy="3275937"/>
            <wp:effectExtent l="0" t="0" r="0" b="127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6463" cy="3275636"/>
                    </a:xfrm>
                    <a:prstGeom prst="rect">
                      <a:avLst/>
                    </a:prstGeom>
                    <a:noFill/>
                    <a:ln>
                      <a:noFill/>
                    </a:ln>
                  </pic:spPr>
                </pic:pic>
              </a:graphicData>
            </a:graphic>
          </wp:inline>
        </w:drawing>
      </w:r>
    </w:p>
    <w:p w14:paraId="131F4298" w14:textId="77777777" w:rsidR="00EF7163" w:rsidRPr="004031F2" w:rsidRDefault="00EF7163" w:rsidP="000D5811">
      <w:pPr>
        <w:spacing w:line="360" w:lineRule="auto"/>
        <w:rPr>
          <w:rFonts w:ascii="Times New Roman" w:hAnsi="Times New Roman" w:cs="Times New Roman"/>
        </w:rPr>
      </w:pPr>
      <w:r w:rsidRPr="004031F2">
        <w:rPr>
          <w:rFonts w:ascii="Times New Roman" w:hAnsi="Times New Roman" w:cs="Times New Roman"/>
          <w:b/>
          <w:i/>
        </w:rPr>
        <w:t>WQI= 120.6 + 6.341 pH – 10.05 T</w:t>
      </w:r>
      <m:oMath>
        <m:r>
          <m:rPr>
            <m:sty m:val="bi"/>
          </m:rPr>
          <w:rPr>
            <w:rFonts w:ascii="Cambria Math" w:hAnsi="Cambria Math" w:cs="Times New Roman"/>
          </w:rPr>
          <m:t>℃</m:t>
        </m:r>
      </m:oMath>
      <w:r w:rsidRPr="004031F2">
        <w:rPr>
          <w:rFonts w:ascii="Times New Roman" w:hAnsi="Times New Roman" w:cs="Times New Roman"/>
          <w:b/>
          <w:i/>
        </w:rPr>
        <w:t xml:space="preserve"> -1.567 DO – 2.89 BOD + 0.1843 T</w:t>
      </w:r>
      <w:r w:rsidRPr="004031F2">
        <w:rPr>
          <w:rFonts w:ascii="Times New Roman" w:hAnsi="Times New Roman" w:cs="Times New Roman"/>
          <w:b/>
          <w:i/>
          <w:vertAlign w:val="superscript"/>
        </w:rPr>
        <w:t>2</w:t>
      </w:r>
      <m:oMath>
        <m:r>
          <m:rPr>
            <m:sty m:val="bi"/>
          </m:rPr>
          <w:rPr>
            <w:rFonts w:ascii="Cambria Math" w:hAnsi="Cambria Math" w:cs="Times New Roman"/>
          </w:rPr>
          <m:t>℃</m:t>
        </m:r>
      </m:oMath>
      <w:r w:rsidRPr="004031F2">
        <w:rPr>
          <w:rFonts w:ascii="Times New Roman" w:hAnsi="Times New Roman" w:cs="Times New Roman"/>
          <w:b/>
          <w:i/>
        </w:rPr>
        <w:t xml:space="preserve"> + 0.0906 BOD</w:t>
      </w:r>
      <w:r w:rsidRPr="004031F2">
        <w:rPr>
          <w:rFonts w:ascii="Times New Roman" w:hAnsi="Times New Roman" w:cs="Times New Roman"/>
          <w:b/>
          <w:i/>
          <w:vertAlign w:val="superscript"/>
        </w:rPr>
        <w:t>2</w:t>
      </w:r>
      <w:r w:rsidRPr="004031F2">
        <w:rPr>
          <w:rFonts w:ascii="Times New Roman" w:hAnsi="Times New Roman" w:cs="Times New Roman"/>
          <w:b/>
          <w:i/>
        </w:rPr>
        <w:t xml:space="preserve"> + 0.343 pH</w:t>
      </w:r>
      <w:r w:rsidRPr="004031F2">
        <w:rPr>
          <w:rFonts w:ascii="Times New Roman" w:hAnsi="Times New Roman" w:cs="Times New Roman"/>
          <w:b/>
          <w:i/>
          <w:vertAlign w:val="superscript"/>
        </w:rPr>
        <w:t>*</w:t>
      </w:r>
      <w:r w:rsidRPr="004031F2">
        <w:rPr>
          <w:rFonts w:ascii="Times New Roman" w:hAnsi="Times New Roman" w:cs="Times New Roman"/>
          <w:b/>
          <w:i/>
        </w:rPr>
        <w:t>BOD</w:t>
      </w:r>
      <w:r w:rsidRPr="004031F2">
        <w:rPr>
          <w:rFonts w:ascii="Times New Roman" w:hAnsi="Times New Roman" w:cs="Times New Roman"/>
          <w:i/>
        </w:rPr>
        <w:t xml:space="preserve">  </w:t>
      </w:r>
      <w:r w:rsidRPr="004031F2">
        <w:rPr>
          <w:rFonts w:ascii="Times New Roman" w:hAnsi="Times New Roman" w:cs="Times New Roman"/>
        </w:rPr>
        <w:t xml:space="preserve">          (Equation 1)</w:t>
      </w:r>
    </w:p>
    <w:p w14:paraId="314A8867" w14:textId="77777777" w:rsidR="00C342C1" w:rsidRPr="004031F2" w:rsidRDefault="00C342C1" w:rsidP="000D5811">
      <w:pPr>
        <w:spacing w:line="360" w:lineRule="auto"/>
        <w:jc w:val="both"/>
        <w:rPr>
          <w:rFonts w:ascii="Times New Roman" w:hAnsi="Times New Roman" w:cs="Times New Roman"/>
        </w:rPr>
        <w:sectPr w:rsidR="00C342C1" w:rsidRPr="004031F2" w:rsidSect="00C95815">
          <w:type w:val="continuous"/>
          <w:pgSz w:w="12240" w:h="15840"/>
          <w:pgMar w:top="1440" w:right="1440" w:bottom="1440" w:left="1440" w:header="720" w:footer="720" w:gutter="0"/>
          <w:cols w:space="720"/>
          <w:docGrid w:linePitch="360"/>
        </w:sectPr>
      </w:pPr>
    </w:p>
    <w:p w14:paraId="135FA054" w14:textId="77777777" w:rsidR="00EF7163" w:rsidRPr="004031F2" w:rsidRDefault="00EF7163" w:rsidP="000D5811">
      <w:pPr>
        <w:spacing w:line="360" w:lineRule="auto"/>
        <w:jc w:val="both"/>
        <w:rPr>
          <w:rFonts w:ascii="Times New Roman" w:hAnsi="Times New Roman" w:cs="Times New Roman"/>
        </w:rPr>
      </w:pPr>
      <w:r>
        <w:rPr>
          <w:highlight w:val="yellow"/>
        </w:rPr>
        <w:t>Equation 1 is the novel TIMOMAM model developed in this study, and it estimates the water quality index of each river using the physico-chemical parameters of pH, temperature, DO and BOD. COD and EC were excluded primarily because of their lack of correlation with water quality, as reported by the Minitab statistical program used. The relationship between the WQI and the five variables in the TIMOMAM model was statistically significant (p0.10).</w:t>
      </w:r>
    </w:p>
    <w:p w14:paraId="56965FE0" w14:textId="77777777" w:rsidR="008E5A91" w:rsidRPr="004031F2" w:rsidRDefault="00EF7163" w:rsidP="00E34850">
      <w:pPr>
        <w:spacing w:line="360" w:lineRule="auto"/>
        <w:jc w:val="both"/>
        <w:rPr>
          <w:rFonts w:ascii="Times New Roman" w:hAnsi="Times New Roman" w:cs="Times New Roman"/>
        </w:rPr>
      </w:pPr>
      <w:r>
        <w:rPr>
          <w:highlight w:val="yellow"/>
        </w:rPr>
        <w:t>The percentage variation explained by this model was high (R2 = 98.08). Thus, this equation or model can be used to predict the WQI for any of these four rivers, or for other rivers, by measuring the four physico-chemical parameters at any given time or season. With the model, one may also identify or fix appropriate settings for the physico-chemical parameters in order to obtain a desired value or range of values for the water quality index.</w:t>
      </w:r>
    </w:p>
    <w:p w14:paraId="61E8F867" w14:textId="77777777" w:rsidR="00C342C1" w:rsidRPr="004031F2" w:rsidRDefault="00C342C1" w:rsidP="001E2FEE">
      <w:pPr>
        <w:spacing w:after="0" w:line="240" w:lineRule="auto"/>
        <w:jc w:val="both"/>
        <w:rPr>
          <w:rFonts w:ascii="Times New Roman" w:hAnsi="Times New Roman" w:cs="Times New Roman"/>
          <w:b/>
        </w:rPr>
        <w:sectPr w:rsidR="00C342C1" w:rsidRPr="004031F2" w:rsidSect="00C95815">
          <w:type w:val="continuous"/>
          <w:pgSz w:w="12240" w:h="15840"/>
          <w:pgMar w:top="1440" w:right="1440" w:bottom="1440" w:left="1440" w:header="720" w:footer="720" w:gutter="0"/>
          <w:cols w:space="720"/>
          <w:docGrid w:linePitch="360"/>
        </w:sectPr>
      </w:pPr>
    </w:p>
    <w:p w14:paraId="418E7410" w14:textId="77777777" w:rsidR="008E5A91" w:rsidRPr="004031F2" w:rsidRDefault="008E5A91" w:rsidP="001E2FEE">
      <w:pPr>
        <w:spacing w:after="0" w:line="240" w:lineRule="auto"/>
        <w:jc w:val="both"/>
        <w:rPr>
          <w:rFonts w:ascii="Times New Roman" w:hAnsi="Times New Roman" w:cs="Times New Roman"/>
          <w:b/>
        </w:rPr>
      </w:pPr>
    </w:p>
    <w:p w14:paraId="11077231" w14:textId="77777777" w:rsidR="001E2FEE" w:rsidRPr="004031F2" w:rsidRDefault="008763C0" w:rsidP="001E2FEE">
      <w:pPr>
        <w:spacing w:after="0" w:line="240" w:lineRule="auto"/>
        <w:jc w:val="both"/>
        <w:rPr>
          <w:rFonts w:ascii="Times New Roman" w:hAnsi="Times New Roman" w:cs="Times New Roman"/>
          <w:b/>
        </w:rPr>
      </w:pPr>
      <w:r>
        <w:rPr>
          <w:highlight w:val="yellow"/>
        </w:rPr>
        <w:t>Table 1: Water Quality Indices of Shabu River (Wet Season) Using TIMOMAM, Weighted Arithmetic and Oregon Models</w:t>
      </w:r>
    </w:p>
    <w:p w14:paraId="65B47640" w14:textId="77777777" w:rsidR="001E2FEE" w:rsidRPr="004031F2" w:rsidRDefault="001E2FEE" w:rsidP="001E2FEE">
      <w:pPr>
        <w:spacing w:after="0" w:line="240" w:lineRule="auto"/>
        <w:jc w:val="both"/>
        <w:rPr>
          <w:rFonts w:ascii="Times New Roman" w:hAnsi="Times New Roman" w:cs="Times New Roman"/>
          <w:b/>
        </w:rPr>
      </w:pPr>
    </w:p>
    <w:tbl>
      <w:tblPr>
        <w:tblStyle w:val="LightShading"/>
        <w:tblW w:w="9576" w:type="dxa"/>
        <w:tblLayout w:type="fixed"/>
        <w:tblLook w:val="04A0" w:firstRow="1" w:lastRow="0" w:firstColumn="1" w:lastColumn="0" w:noHBand="0" w:noVBand="1"/>
      </w:tblPr>
      <w:tblGrid>
        <w:gridCol w:w="918"/>
        <w:gridCol w:w="1080"/>
        <w:gridCol w:w="990"/>
        <w:gridCol w:w="900"/>
        <w:gridCol w:w="1080"/>
        <w:gridCol w:w="926"/>
        <w:gridCol w:w="964"/>
        <w:gridCol w:w="877"/>
        <w:gridCol w:w="1013"/>
        <w:gridCol w:w="828"/>
      </w:tblGrid>
      <w:tr w:rsidR="001E2FEE" w:rsidRPr="004031F2" w14:paraId="6D1BFBC0" w14:textId="77777777" w:rsidTr="008E5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hideMark/>
          </w:tcPr>
          <w:p w14:paraId="572954C8" w14:textId="77777777" w:rsidR="001E2FEE" w:rsidRPr="004031F2" w:rsidRDefault="001E2FEE">
            <w:pPr>
              <w:jc w:val="center"/>
              <w:rPr>
                <w:rFonts w:ascii="Times New Roman" w:hAnsi="Times New Roman" w:cs="Times New Roman"/>
                <w:b w:val="0"/>
              </w:rPr>
            </w:pPr>
            <w:r w:rsidRPr="004031F2">
              <w:rPr>
                <w:rFonts w:ascii="Times New Roman" w:hAnsi="Times New Roman" w:cs="Times New Roman"/>
                <w:b w:val="0"/>
              </w:rPr>
              <w:t>S/N</w:t>
            </w:r>
          </w:p>
        </w:tc>
        <w:tc>
          <w:tcPr>
            <w:tcW w:w="1080" w:type="dxa"/>
            <w:hideMark/>
          </w:tcPr>
          <w:p w14:paraId="67A66D32"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pH</w:t>
            </w:r>
          </w:p>
        </w:tc>
        <w:tc>
          <w:tcPr>
            <w:tcW w:w="990" w:type="dxa"/>
            <w:hideMark/>
          </w:tcPr>
          <w:p w14:paraId="76B8109F"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Tempt</w:t>
            </w:r>
          </w:p>
        </w:tc>
        <w:tc>
          <w:tcPr>
            <w:tcW w:w="900" w:type="dxa"/>
            <w:hideMark/>
          </w:tcPr>
          <w:p w14:paraId="0E628E77"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DO</w:t>
            </w:r>
          </w:p>
        </w:tc>
        <w:tc>
          <w:tcPr>
            <w:tcW w:w="1080" w:type="dxa"/>
            <w:hideMark/>
          </w:tcPr>
          <w:p w14:paraId="76001184"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BOD</w:t>
            </w:r>
          </w:p>
        </w:tc>
        <w:tc>
          <w:tcPr>
            <w:tcW w:w="926" w:type="dxa"/>
            <w:hideMark/>
          </w:tcPr>
          <w:p w14:paraId="7BACEE2F"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COD</w:t>
            </w:r>
          </w:p>
        </w:tc>
        <w:tc>
          <w:tcPr>
            <w:tcW w:w="964" w:type="dxa"/>
            <w:hideMark/>
          </w:tcPr>
          <w:p w14:paraId="343A7D62"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EC</w:t>
            </w:r>
          </w:p>
        </w:tc>
        <w:tc>
          <w:tcPr>
            <w:tcW w:w="877" w:type="dxa"/>
            <w:hideMark/>
          </w:tcPr>
          <w:p w14:paraId="42E8D944"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T-WQI</w:t>
            </w:r>
          </w:p>
        </w:tc>
        <w:tc>
          <w:tcPr>
            <w:tcW w:w="1013" w:type="dxa"/>
            <w:hideMark/>
          </w:tcPr>
          <w:p w14:paraId="79E3D62C"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WA-WQI</w:t>
            </w:r>
          </w:p>
        </w:tc>
        <w:tc>
          <w:tcPr>
            <w:tcW w:w="828" w:type="dxa"/>
            <w:hideMark/>
          </w:tcPr>
          <w:p w14:paraId="349C5956" w14:textId="77777777" w:rsidR="001E2FEE" w:rsidRPr="004031F2"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031F2">
              <w:rPr>
                <w:rFonts w:ascii="Times New Roman" w:hAnsi="Times New Roman" w:cs="Times New Roman"/>
                <w:b w:val="0"/>
              </w:rPr>
              <w:t>O-WQI</w:t>
            </w:r>
          </w:p>
        </w:tc>
      </w:tr>
      <w:tr w:rsidR="001E2FEE" w:rsidRPr="004031F2" w14:paraId="5C16013C"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6595E7D6"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1</w:t>
            </w:r>
          </w:p>
        </w:tc>
        <w:tc>
          <w:tcPr>
            <w:tcW w:w="1080" w:type="dxa"/>
            <w:tcBorders>
              <w:top w:val="nil"/>
              <w:bottom w:val="nil"/>
            </w:tcBorders>
            <w:shd w:val="clear" w:color="auto" w:fill="FFFFFF" w:themeFill="background1"/>
            <w:hideMark/>
          </w:tcPr>
          <w:p w14:paraId="42EBFCF2"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7.10</w:t>
            </w:r>
          </w:p>
        </w:tc>
        <w:tc>
          <w:tcPr>
            <w:tcW w:w="990" w:type="dxa"/>
            <w:tcBorders>
              <w:top w:val="nil"/>
              <w:bottom w:val="nil"/>
            </w:tcBorders>
            <w:shd w:val="clear" w:color="auto" w:fill="FFFFFF" w:themeFill="background1"/>
            <w:hideMark/>
          </w:tcPr>
          <w:p w14:paraId="7253A195"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28.5</w:t>
            </w:r>
          </w:p>
        </w:tc>
        <w:tc>
          <w:tcPr>
            <w:tcW w:w="900" w:type="dxa"/>
            <w:tcBorders>
              <w:top w:val="nil"/>
              <w:bottom w:val="nil"/>
            </w:tcBorders>
            <w:shd w:val="clear" w:color="auto" w:fill="FFFFFF" w:themeFill="background1"/>
            <w:hideMark/>
          </w:tcPr>
          <w:p w14:paraId="0D6AD0E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6.200</w:t>
            </w:r>
          </w:p>
        </w:tc>
        <w:tc>
          <w:tcPr>
            <w:tcW w:w="1080" w:type="dxa"/>
            <w:tcBorders>
              <w:top w:val="nil"/>
              <w:bottom w:val="nil"/>
            </w:tcBorders>
            <w:shd w:val="clear" w:color="auto" w:fill="FFFFFF" w:themeFill="background1"/>
            <w:hideMark/>
          </w:tcPr>
          <w:p w14:paraId="55DC3C6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4.000</w:t>
            </w:r>
          </w:p>
        </w:tc>
        <w:tc>
          <w:tcPr>
            <w:tcW w:w="926" w:type="dxa"/>
            <w:tcBorders>
              <w:top w:val="nil"/>
              <w:bottom w:val="nil"/>
            </w:tcBorders>
            <w:shd w:val="clear" w:color="auto" w:fill="FFFFFF" w:themeFill="background1"/>
            <w:hideMark/>
          </w:tcPr>
          <w:p w14:paraId="7D060E2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3.100</w:t>
            </w:r>
          </w:p>
        </w:tc>
        <w:tc>
          <w:tcPr>
            <w:tcW w:w="964" w:type="dxa"/>
            <w:tcBorders>
              <w:top w:val="nil"/>
              <w:bottom w:val="nil"/>
            </w:tcBorders>
            <w:shd w:val="clear" w:color="auto" w:fill="FFFFFF" w:themeFill="background1"/>
            <w:hideMark/>
          </w:tcPr>
          <w:p w14:paraId="6C5942EF"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30.0</w:t>
            </w:r>
          </w:p>
        </w:tc>
        <w:tc>
          <w:tcPr>
            <w:tcW w:w="877" w:type="dxa"/>
            <w:tcBorders>
              <w:top w:val="nil"/>
              <w:bottom w:val="nil"/>
            </w:tcBorders>
            <w:shd w:val="clear" w:color="auto" w:fill="FFFFFF" w:themeFill="background1"/>
            <w:hideMark/>
          </w:tcPr>
          <w:p w14:paraId="3769AC28"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031F2">
              <w:rPr>
                <w:rFonts w:ascii="Times New Roman" w:hAnsi="Times New Roman" w:cs="Times New Roman"/>
              </w:rPr>
              <w:t>19.18</w:t>
            </w:r>
          </w:p>
        </w:tc>
        <w:tc>
          <w:tcPr>
            <w:tcW w:w="1013" w:type="dxa"/>
            <w:tcBorders>
              <w:top w:val="nil"/>
              <w:bottom w:val="nil"/>
            </w:tcBorders>
            <w:shd w:val="clear" w:color="auto" w:fill="FFFFFF" w:themeFill="background1"/>
            <w:hideMark/>
          </w:tcPr>
          <w:p w14:paraId="6BFE5292"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18.77</w:t>
            </w:r>
          </w:p>
        </w:tc>
        <w:tc>
          <w:tcPr>
            <w:tcW w:w="828" w:type="dxa"/>
            <w:tcBorders>
              <w:top w:val="nil"/>
              <w:bottom w:val="nil"/>
            </w:tcBorders>
            <w:shd w:val="clear" w:color="auto" w:fill="FFFFFF" w:themeFill="background1"/>
            <w:hideMark/>
          </w:tcPr>
          <w:p w14:paraId="16B2954A"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6.72</w:t>
            </w:r>
          </w:p>
        </w:tc>
      </w:tr>
      <w:tr w:rsidR="001E2FEE" w:rsidRPr="004031F2" w14:paraId="4B19AC4A"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533A5454"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lastRenderedPageBreak/>
              <w:t>2</w:t>
            </w:r>
          </w:p>
        </w:tc>
        <w:tc>
          <w:tcPr>
            <w:tcW w:w="1080" w:type="dxa"/>
            <w:tcBorders>
              <w:top w:val="nil"/>
              <w:left w:val="nil"/>
              <w:bottom w:val="nil"/>
              <w:right w:val="nil"/>
            </w:tcBorders>
            <w:shd w:val="clear" w:color="auto" w:fill="FFFFFF" w:themeFill="background1"/>
            <w:hideMark/>
          </w:tcPr>
          <w:p w14:paraId="7FC20C2E"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7.30</w:t>
            </w:r>
          </w:p>
        </w:tc>
        <w:tc>
          <w:tcPr>
            <w:tcW w:w="990" w:type="dxa"/>
            <w:tcBorders>
              <w:top w:val="nil"/>
              <w:left w:val="nil"/>
              <w:bottom w:val="nil"/>
              <w:right w:val="nil"/>
            </w:tcBorders>
            <w:shd w:val="clear" w:color="auto" w:fill="FFFFFF" w:themeFill="background1"/>
            <w:hideMark/>
          </w:tcPr>
          <w:p w14:paraId="525A2F9B"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28.5</w:t>
            </w:r>
          </w:p>
        </w:tc>
        <w:tc>
          <w:tcPr>
            <w:tcW w:w="900" w:type="dxa"/>
            <w:tcBorders>
              <w:top w:val="nil"/>
              <w:left w:val="nil"/>
              <w:bottom w:val="nil"/>
              <w:right w:val="nil"/>
            </w:tcBorders>
            <w:shd w:val="clear" w:color="auto" w:fill="FFFFFF" w:themeFill="background1"/>
            <w:hideMark/>
          </w:tcPr>
          <w:p w14:paraId="68E1208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6.200</w:t>
            </w:r>
          </w:p>
        </w:tc>
        <w:tc>
          <w:tcPr>
            <w:tcW w:w="1080" w:type="dxa"/>
            <w:tcBorders>
              <w:top w:val="nil"/>
              <w:left w:val="nil"/>
              <w:bottom w:val="nil"/>
              <w:right w:val="nil"/>
            </w:tcBorders>
            <w:shd w:val="clear" w:color="auto" w:fill="FFFFFF" w:themeFill="background1"/>
            <w:hideMark/>
          </w:tcPr>
          <w:p w14:paraId="1FAAB9DC"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4.500</w:t>
            </w:r>
          </w:p>
        </w:tc>
        <w:tc>
          <w:tcPr>
            <w:tcW w:w="926" w:type="dxa"/>
            <w:tcBorders>
              <w:top w:val="nil"/>
              <w:left w:val="nil"/>
              <w:bottom w:val="nil"/>
              <w:right w:val="nil"/>
            </w:tcBorders>
            <w:shd w:val="clear" w:color="auto" w:fill="FFFFFF" w:themeFill="background1"/>
            <w:hideMark/>
          </w:tcPr>
          <w:p w14:paraId="73A8F154"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3.200</w:t>
            </w:r>
          </w:p>
        </w:tc>
        <w:tc>
          <w:tcPr>
            <w:tcW w:w="964" w:type="dxa"/>
            <w:tcBorders>
              <w:top w:val="nil"/>
              <w:left w:val="nil"/>
              <w:bottom w:val="nil"/>
              <w:right w:val="nil"/>
            </w:tcBorders>
            <w:shd w:val="clear" w:color="auto" w:fill="FFFFFF" w:themeFill="background1"/>
            <w:hideMark/>
          </w:tcPr>
          <w:p w14:paraId="333F1D80"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30.0</w:t>
            </w:r>
          </w:p>
        </w:tc>
        <w:tc>
          <w:tcPr>
            <w:tcW w:w="877" w:type="dxa"/>
            <w:tcBorders>
              <w:top w:val="nil"/>
              <w:left w:val="nil"/>
              <w:bottom w:val="nil"/>
              <w:right w:val="nil"/>
            </w:tcBorders>
            <w:shd w:val="clear" w:color="auto" w:fill="FFFFFF" w:themeFill="background1"/>
            <w:hideMark/>
          </w:tcPr>
          <w:p w14:paraId="175B8641"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18.91</w:t>
            </w:r>
          </w:p>
        </w:tc>
        <w:tc>
          <w:tcPr>
            <w:tcW w:w="1013" w:type="dxa"/>
            <w:tcBorders>
              <w:top w:val="nil"/>
              <w:left w:val="nil"/>
              <w:bottom w:val="nil"/>
              <w:right w:val="nil"/>
            </w:tcBorders>
            <w:shd w:val="clear" w:color="auto" w:fill="FFFFFF" w:themeFill="background1"/>
            <w:hideMark/>
          </w:tcPr>
          <w:p w14:paraId="2D3A1B6B"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20.37</w:t>
            </w:r>
          </w:p>
        </w:tc>
        <w:tc>
          <w:tcPr>
            <w:tcW w:w="828" w:type="dxa"/>
            <w:tcBorders>
              <w:top w:val="nil"/>
              <w:left w:val="nil"/>
              <w:bottom w:val="nil"/>
              <w:right w:val="nil"/>
            </w:tcBorders>
            <w:shd w:val="clear" w:color="auto" w:fill="FFFFFF" w:themeFill="background1"/>
            <w:hideMark/>
          </w:tcPr>
          <w:p w14:paraId="293AAD5E"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7.20</w:t>
            </w:r>
          </w:p>
        </w:tc>
      </w:tr>
      <w:tr w:rsidR="001E2FEE" w:rsidRPr="004031F2" w14:paraId="46004E46"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32F3751D"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3</w:t>
            </w:r>
          </w:p>
        </w:tc>
        <w:tc>
          <w:tcPr>
            <w:tcW w:w="1080" w:type="dxa"/>
            <w:tcBorders>
              <w:top w:val="nil"/>
              <w:bottom w:val="nil"/>
            </w:tcBorders>
            <w:shd w:val="clear" w:color="auto" w:fill="FFFFFF" w:themeFill="background1"/>
            <w:hideMark/>
          </w:tcPr>
          <w:p w14:paraId="40E0B865"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7.10</w:t>
            </w:r>
          </w:p>
        </w:tc>
        <w:tc>
          <w:tcPr>
            <w:tcW w:w="990" w:type="dxa"/>
            <w:tcBorders>
              <w:top w:val="nil"/>
              <w:bottom w:val="nil"/>
            </w:tcBorders>
            <w:shd w:val="clear" w:color="auto" w:fill="FFFFFF" w:themeFill="background1"/>
            <w:hideMark/>
          </w:tcPr>
          <w:p w14:paraId="080ED2E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29.0</w:t>
            </w:r>
          </w:p>
        </w:tc>
        <w:tc>
          <w:tcPr>
            <w:tcW w:w="900" w:type="dxa"/>
            <w:tcBorders>
              <w:top w:val="nil"/>
              <w:bottom w:val="nil"/>
            </w:tcBorders>
            <w:shd w:val="clear" w:color="auto" w:fill="FFFFFF" w:themeFill="background1"/>
            <w:hideMark/>
          </w:tcPr>
          <w:p w14:paraId="3BBCF9ED"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6.200</w:t>
            </w:r>
          </w:p>
        </w:tc>
        <w:tc>
          <w:tcPr>
            <w:tcW w:w="1080" w:type="dxa"/>
            <w:tcBorders>
              <w:top w:val="nil"/>
              <w:bottom w:val="nil"/>
            </w:tcBorders>
            <w:shd w:val="clear" w:color="auto" w:fill="FFFFFF" w:themeFill="background1"/>
            <w:hideMark/>
          </w:tcPr>
          <w:p w14:paraId="5BCCBA0F"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4.001</w:t>
            </w:r>
          </w:p>
        </w:tc>
        <w:tc>
          <w:tcPr>
            <w:tcW w:w="926" w:type="dxa"/>
            <w:tcBorders>
              <w:top w:val="nil"/>
              <w:bottom w:val="nil"/>
            </w:tcBorders>
            <w:shd w:val="clear" w:color="auto" w:fill="FFFFFF" w:themeFill="background1"/>
            <w:hideMark/>
          </w:tcPr>
          <w:p w14:paraId="580ABDC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3.100</w:t>
            </w:r>
          </w:p>
        </w:tc>
        <w:tc>
          <w:tcPr>
            <w:tcW w:w="964" w:type="dxa"/>
            <w:tcBorders>
              <w:top w:val="nil"/>
              <w:bottom w:val="nil"/>
            </w:tcBorders>
            <w:shd w:val="clear" w:color="auto" w:fill="FFFFFF" w:themeFill="background1"/>
            <w:hideMark/>
          </w:tcPr>
          <w:p w14:paraId="2F20079D"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30.0</w:t>
            </w:r>
          </w:p>
        </w:tc>
        <w:tc>
          <w:tcPr>
            <w:tcW w:w="877" w:type="dxa"/>
            <w:tcBorders>
              <w:top w:val="nil"/>
              <w:bottom w:val="nil"/>
            </w:tcBorders>
            <w:shd w:val="clear" w:color="auto" w:fill="FFFFFF" w:themeFill="background1"/>
            <w:hideMark/>
          </w:tcPr>
          <w:p w14:paraId="7AD0D6F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19.08</w:t>
            </w:r>
          </w:p>
        </w:tc>
        <w:tc>
          <w:tcPr>
            <w:tcW w:w="1013" w:type="dxa"/>
            <w:tcBorders>
              <w:top w:val="nil"/>
              <w:bottom w:val="nil"/>
            </w:tcBorders>
            <w:shd w:val="clear" w:color="auto" w:fill="FFFFFF" w:themeFill="background1"/>
            <w:hideMark/>
          </w:tcPr>
          <w:p w14:paraId="38D3C621"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18.80</w:t>
            </w:r>
          </w:p>
        </w:tc>
        <w:tc>
          <w:tcPr>
            <w:tcW w:w="828" w:type="dxa"/>
            <w:tcBorders>
              <w:top w:val="nil"/>
              <w:bottom w:val="nil"/>
            </w:tcBorders>
            <w:shd w:val="clear" w:color="auto" w:fill="FFFFFF" w:themeFill="background1"/>
            <w:hideMark/>
          </w:tcPr>
          <w:p w14:paraId="2F64B854"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6.73</w:t>
            </w:r>
          </w:p>
        </w:tc>
      </w:tr>
      <w:tr w:rsidR="001E2FEE" w:rsidRPr="004031F2" w14:paraId="50A02097"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14C7B284"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4</w:t>
            </w:r>
          </w:p>
        </w:tc>
        <w:tc>
          <w:tcPr>
            <w:tcW w:w="1080" w:type="dxa"/>
            <w:tcBorders>
              <w:top w:val="nil"/>
              <w:left w:val="nil"/>
              <w:bottom w:val="nil"/>
              <w:right w:val="nil"/>
            </w:tcBorders>
            <w:shd w:val="clear" w:color="auto" w:fill="FFFFFF" w:themeFill="background1"/>
            <w:hideMark/>
          </w:tcPr>
          <w:p w14:paraId="4C1838A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6.82</w:t>
            </w:r>
          </w:p>
        </w:tc>
        <w:tc>
          <w:tcPr>
            <w:tcW w:w="990" w:type="dxa"/>
            <w:tcBorders>
              <w:top w:val="nil"/>
              <w:left w:val="nil"/>
              <w:bottom w:val="nil"/>
              <w:right w:val="nil"/>
            </w:tcBorders>
            <w:shd w:val="clear" w:color="auto" w:fill="FFFFFF" w:themeFill="background1"/>
            <w:hideMark/>
          </w:tcPr>
          <w:p w14:paraId="58437D6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28.0</w:t>
            </w:r>
          </w:p>
        </w:tc>
        <w:tc>
          <w:tcPr>
            <w:tcW w:w="900" w:type="dxa"/>
            <w:tcBorders>
              <w:top w:val="nil"/>
              <w:left w:val="nil"/>
              <w:bottom w:val="nil"/>
              <w:right w:val="nil"/>
            </w:tcBorders>
            <w:shd w:val="clear" w:color="auto" w:fill="FFFFFF" w:themeFill="background1"/>
            <w:hideMark/>
          </w:tcPr>
          <w:p w14:paraId="302E742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6.200</w:t>
            </w:r>
          </w:p>
        </w:tc>
        <w:tc>
          <w:tcPr>
            <w:tcW w:w="1080" w:type="dxa"/>
            <w:tcBorders>
              <w:top w:val="nil"/>
              <w:left w:val="nil"/>
              <w:bottom w:val="nil"/>
              <w:right w:val="nil"/>
            </w:tcBorders>
            <w:shd w:val="clear" w:color="auto" w:fill="FFFFFF" w:themeFill="background1"/>
            <w:hideMark/>
          </w:tcPr>
          <w:p w14:paraId="012A6AD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4.001</w:t>
            </w:r>
          </w:p>
        </w:tc>
        <w:tc>
          <w:tcPr>
            <w:tcW w:w="926" w:type="dxa"/>
            <w:tcBorders>
              <w:top w:val="nil"/>
              <w:left w:val="nil"/>
              <w:bottom w:val="nil"/>
              <w:right w:val="nil"/>
            </w:tcBorders>
            <w:shd w:val="clear" w:color="auto" w:fill="FFFFFF" w:themeFill="background1"/>
            <w:hideMark/>
          </w:tcPr>
          <w:p w14:paraId="5352555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3.000</w:t>
            </w:r>
          </w:p>
        </w:tc>
        <w:tc>
          <w:tcPr>
            <w:tcW w:w="964" w:type="dxa"/>
            <w:tcBorders>
              <w:top w:val="nil"/>
              <w:left w:val="nil"/>
              <w:bottom w:val="nil"/>
              <w:right w:val="nil"/>
            </w:tcBorders>
            <w:shd w:val="clear" w:color="auto" w:fill="FFFFFF" w:themeFill="background1"/>
            <w:hideMark/>
          </w:tcPr>
          <w:p w14:paraId="18A08EC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30.0</w:t>
            </w:r>
          </w:p>
        </w:tc>
        <w:tc>
          <w:tcPr>
            <w:tcW w:w="877" w:type="dxa"/>
            <w:tcBorders>
              <w:top w:val="nil"/>
              <w:left w:val="nil"/>
              <w:bottom w:val="nil"/>
              <w:right w:val="nil"/>
            </w:tcBorders>
            <w:shd w:val="clear" w:color="auto" w:fill="FFFFFF" w:themeFill="background1"/>
            <w:hideMark/>
          </w:tcPr>
          <w:p w14:paraId="6293032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16.47</w:t>
            </w:r>
          </w:p>
        </w:tc>
        <w:tc>
          <w:tcPr>
            <w:tcW w:w="1013" w:type="dxa"/>
            <w:tcBorders>
              <w:top w:val="nil"/>
              <w:left w:val="nil"/>
              <w:bottom w:val="nil"/>
              <w:right w:val="nil"/>
            </w:tcBorders>
            <w:shd w:val="clear" w:color="auto" w:fill="FFFFFF" w:themeFill="background1"/>
            <w:hideMark/>
          </w:tcPr>
          <w:p w14:paraId="3CEC96E1"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16.54</w:t>
            </w:r>
          </w:p>
        </w:tc>
        <w:tc>
          <w:tcPr>
            <w:tcW w:w="828" w:type="dxa"/>
            <w:tcBorders>
              <w:top w:val="nil"/>
              <w:left w:val="nil"/>
              <w:bottom w:val="nil"/>
              <w:right w:val="nil"/>
            </w:tcBorders>
            <w:shd w:val="clear" w:color="auto" w:fill="FFFFFF" w:themeFill="background1"/>
            <w:hideMark/>
          </w:tcPr>
          <w:p w14:paraId="5B6519EB"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6.67</w:t>
            </w:r>
          </w:p>
        </w:tc>
      </w:tr>
      <w:tr w:rsidR="001E2FEE" w:rsidRPr="004031F2" w14:paraId="6B01B8A3"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2A0F20FD"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5</w:t>
            </w:r>
          </w:p>
        </w:tc>
        <w:tc>
          <w:tcPr>
            <w:tcW w:w="1080" w:type="dxa"/>
            <w:tcBorders>
              <w:top w:val="nil"/>
              <w:bottom w:val="nil"/>
            </w:tcBorders>
            <w:shd w:val="clear" w:color="auto" w:fill="FFFFFF" w:themeFill="background1"/>
            <w:hideMark/>
          </w:tcPr>
          <w:p w14:paraId="2171657A"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6.75</w:t>
            </w:r>
          </w:p>
        </w:tc>
        <w:tc>
          <w:tcPr>
            <w:tcW w:w="990" w:type="dxa"/>
            <w:tcBorders>
              <w:top w:val="nil"/>
              <w:bottom w:val="nil"/>
            </w:tcBorders>
            <w:shd w:val="clear" w:color="auto" w:fill="FFFFFF" w:themeFill="background1"/>
            <w:hideMark/>
          </w:tcPr>
          <w:p w14:paraId="164EAB7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25.0</w:t>
            </w:r>
          </w:p>
        </w:tc>
        <w:tc>
          <w:tcPr>
            <w:tcW w:w="900" w:type="dxa"/>
            <w:tcBorders>
              <w:top w:val="nil"/>
              <w:bottom w:val="nil"/>
            </w:tcBorders>
            <w:shd w:val="clear" w:color="auto" w:fill="FFFFFF" w:themeFill="background1"/>
            <w:hideMark/>
          </w:tcPr>
          <w:p w14:paraId="6314221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bottom w:val="nil"/>
            </w:tcBorders>
            <w:shd w:val="clear" w:color="auto" w:fill="FFFFFF" w:themeFill="background1"/>
            <w:hideMark/>
          </w:tcPr>
          <w:p w14:paraId="166D6304"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2.003</w:t>
            </w:r>
          </w:p>
        </w:tc>
        <w:tc>
          <w:tcPr>
            <w:tcW w:w="926" w:type="dxa"/>
            <w:tcBorders>
              <w:top w:val="nil"/>
              <w:bottom w:val="nil"/>
            </w:tcBorders>
            <w:shd w:val="clear" w:color="auto" w:fill="FFFFFF" w:themeFill="background1"/>
            <w:hideMark/>
          </w:tcPr>
          <w:p w14:paraId="7D7C57EE"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3.159</w:t>
            </w:r>
          </w:p>
        </w:tc>
        <w:tc>
          <w:tcPr>
            <w:tcW w:w="964" w:type="dxa"/>
            <w:tcBorders>
              <w:top w:val="nil"/>
              <w:bottom w:val="nil"/>
            </w:tcBorders>
            <w:shd w:val="clear" w:color="auto" w:fill="FFFFFF" w:themeFill="background1"/>
            <w:hideMark/>
          </w:tcPr>
          <w:p w14:paraId="2646509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w:t>
            </w:r>
          </w:p>
        </w:tc>
        <w:tc>
          <w:tcPr>
            <w:tcW w:w="877" w:type="dxa"/>
            <w:tcBorders>
              <w:top w:val="nil"/>
              <w:bottom w:val="nil"/>
            </w:tcBorders>
            <w:shd w:val="clear" w:color="auto" w:fill="FFFFFF" w:themeFill="background1"/>
            <w:hideMark/>
          </w:tcPr>
          <w:p w14:paraId="728F099F"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19.97</w:t>
            </w:r>
          </w:p>
        </w:tc>
        <w:tc>
          <w:tcPr>
            <w:tcW w:w="1013" w:type="dxa"/>
            <w:tcBorders>
              <w:top w:val="nil"/>
              <w:bottom w:val="nil"/>
            </w:tcBorders>
            <w:shd w:val="clear" w:color="auto" w:fill="FFFFFF" w:themeFill="background1"/>
            <w:hideMark/>
          </w:tcPr>
          <w:p w14:paraId="74710541"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19.48</w:t>
            </w:r>
          </w:p>
        </w:tc>
        <w:tc>
          <w:tcPr>
            <w:tcW w:w="828" w:type="dxa"/>
            <w:tcBorders>
              <w:top w:val="nil"/>
              <w:bottom w:val="nil"/>
            </w:tcBorders>
            <w:shd w:val="clear" w:color="auto" w:fill="FFFFFF" w:themeFill="background1"/>
            <w:hideMark/>
          </w:tcPr>
          <w:p w14:paraId="2EE38F6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3.88</w:t>
            </w:r>
          </w:p>
        </w:tc>
      </w:tr>
      <w:tr w:rsidR="001E2FEE" w:rsidRPr="004031F2" w14:paraId="22BE5AF9"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3C152AF8"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6</w:t>
            </w:r>
          </w:p>
        </w:tc>
        <w:tc>
          <w:tcPr>
            <w:tcW w:w="1080" w:type="dxa"/>
            <w:tcBorders>
              <w:top w:val="nil"/>
              <w:left w:val="nil"/>
              <w:bottom w:val="nil"/>
              <w:right w:val="nil"/>
            </w:tcBorders>
            <w:shd w:val="clear" w:color="auto" w:fill="FFFFFF" w:themeFill="background1"/>
            <w:hideMark/>
          </w:tcPr>
          <w:p w14:paraId="131E3959"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6.90</w:t>
            </w:r>
          </w:p>
        </w:tc>
        <w:tc>
          <w:tcPr>
            <w:tcW w:w="990" w:type="dxa"/>
            <w:tcBorders>
              <w:top w:val="nil"/>
              <w:left w:val="nil"/>
              <w:bottom w:val="nil"/>
              <w:right w:val="nil"/>
            </w:tcBorders>
            <w:shd w:val="clear" w:color="auto" w:fill="FFFFFF" w:themeFill="background1"/>
            <w:hideMark/>
          </w:tcPr>
          <w:p w14:paraId="098AC93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26.0</w:t>
            </w:r>
          </w:p>
        </w:tc>
        <w:tc>
          <w:tcPr>
            <w:tcW w:w="900" w:type="dxa"/>
            <w:tcBorders>
              <w:top w:val="nil"/>
              <w:left w:val="nil"/>
              <w:bottom w:val="nil"/>
              <w:right w:val="nil"/>
            </w:tcBorders>
            <w:shd w:val="clear" w:color="auto" w:fill="FFFFFF" w:themeFill="background1"/>
            <w:hideMark/>
          </w:tcPr>
          <w:p w14:paraId="2C566AE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left w:val="nil"/>
              <w:bottom w:val="nil"/>
              <w:right w:val="nil"/>
            </w:tcBorders>
            <w:shd w:val="clear" w:color="auto" w:fill="FFFFFF" w:themeFill="background1"/>
            <w:hideMark/>
          </w:tcPr>
          <w:p w14:paraId="0A4FAF35"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2.001</w:t>
            </w:r>
          </w:p>
        </w:tc>
        <w:tc>
          <w:tcPr>
            <w:tcW w:w="926" w:type="dxa"/>
            <w:tcBorders>
              <w:top w:val="nil"/>
              <w:left w:val="nil"/>
              <w:bottom w:val="nil"/>
              <w:right w:val="nil"/>
            </w:tcBorders>
            <w:shd w:val="clear" w:color="auto" w:fill="FFFFFF" w:themeFill="background1"/>
            <w:hideMark/>
          </w:tcPr>
          <w:p w14:paraId="2E0139D4"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3.259</w:t>
            </w:r>
          </w:p>
        </w:tc>
        <w:tc>
          <w:tcPr>
            <w:tcW w:w="964" w:type="dxa"/>
            <w:tcBorders>
              <w:top w:val="nil"/>
              <w:left w:val="nil"/>
              <w:bottom w:val="nil"/>
              <w:right w:val="nil"/>
            </w:tcBorders>
            <w:shd w:val="clear" w:color="auto" w:fill="FFFFFF" w:themeFill="background1"/>
            <w:hideMark/>
          </w:tcPr>
          <w:p w14:paraId="00144EF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w:t>
            </w:r>
          </w:p>
        </w:tc>
        <w:tc>
          <w:tcPr>
            <w:tcW w:w="877" w:type="dxa"/>
            <w:tcBorders>
              <w:top w:val="nil"/>
              <w:left w:val="nil"/>
              <w:bottom w:val="nil"/>
              <w:right w:val="nil"/>
            </w:tcBorders>
            <w:shd w:val="clear" w:color="auto" w:fill="FFFFFF" w:themeFill="background1"/>
            <w:hideMark/>
          </w:tcPr>
          <w:p w14:paraId="2626F2A3"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20.37</w:t>
            </w:r>
          </w:p>
        </w:tc>
        <w:tc>
          <w:tcPr>
            <w:tcW w:w="1013" w:type="dxa"/>
            <w:tcBorders>
              <w:top w:val="nil"/>
              <w:left w:val="nil"/>
              <w:bottom w:val="nil"/>
              <w:right w:val="nil"/>
            </w:tcBorders>
            <w:shd w:val="clear" w:color="auto" w:fill="FFFFFF" w:themeFill="background1"/>
            <w:hideMark/>
          </w:tcPr>
          <w:p w14:paraId="3F372FE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20.72</w:t>
            </w:r>
          </w:p>
        </w:tc>
        <w:tc>
          <w:tcPr>
            <w:tcW w:w="828" w:type="dxa"/>
            <w:tcBorders>
              <w:top w:val="nil"/>
              <w:left w:val="nil"/>
              <w:bottom w:val="nil"/>
              <w:right w:val="nil"/>
            </w:tcBorders>
            <w:shd w:val="clear" w:color="auto" w:fill="FFFFFF" w:themeFill="background1"/>
            <w:hideMark/>
          </w:tcPr>
          <w:p w14:paraId="4336A756"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3.88</w:t>
            </w:r>
          </w:p>
        </w:tc>
      </w:tr>
      <w:tr w:rsidR="001E2FEE" w:rsidRPr="004031F2" w14:paraId="3561E2AA"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7BB4B5EE"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7</w:t>
            </w:r>
          </w:p>
        </w:tc>
        <w:tc>
          <w:tcPr>
            <w:tcW w:w="1080" w:type="dxa"/>
            <w:tcBorders>
              <w:top w:val="nil"/>
              <w:bottom w:val="nil"/>
            </w:tcBorders>
            <w:shd w:val="clear" w:color="auto" w:fill="FFFFFF" w:themeFill="background1"/>
            <w:hideMark/>
          </w:tcPr>
          <w:p w14:paraId="5EB4637F"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7.10</w:t>
            </w:r>
          </w:p>
        </w:tc>
        <w:tc>
          <w:tcPr>
            <w:tcW w:w="990" w:type="dxa"/>
            <w:tcBorders>
              <w:top w:val="nil"/>
              <w:bottom w:val="nil"/>
            </w:tcBorders>
            <w:shd w:val="clear" w:color="auto" w:fill="FFFFFF" w:themeFill="background1"/>
            <w:hideMark/>
          </w:tcPr>
          <w:p w14:paraId="4959D8AD"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26.0</w:t>
            </w:r>
          </w:p>
        </w:tc>
        <w:tc>
          <w:tcPr>
            <w:tcW w:w="900" w:type="dxa"/>
            <w:tcBorders>
              <w:top w:val="nil"/>
              <w:bottom w:val="nil"/>
            </w:tcBorders>
            <w:shd w:val="clear" w:color="auto" w:fill="FFFFFF" w:themeFill="background1"/>
            <w:hideMark/>
          </w:tcPr>
          <w:p w14:paraId="16DA410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bottom w:val="nil"/>
            </w:tcBorders>
            <w:shd w:val="clear" w:color="auto" w:fill="FFFFFF" w:themeFill="background1"/>
            <w:hideMark/>
          </w:tcPr>
          <w:p w14:paraId="4DFCD39A"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2.000</w:t>
            </w:r>
          </w:p>
        </w:tc>
        <w:tc>
          <w:tcPr>
            <w:tcW w:w="926" w:type="dxa"/>
            <w:tcBorders>
              <w:top w:val="nil"/>
              <w:bottom w:val="nil"/>
            </w:tcBorders>
            <w:shd w:val="clear" w:color="auto" w:fill="FFFFFF" w:themeFill="background1"/>
            <w:hideMark/>
          </w:tcPr>
          <w:p w14:paraId="774E87A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3.359</w:t>
            </w:r>
          </w:p>
        </w:tc>
        <w:tc>
          <w:tcPr>
            <w:tcW w:w="964" w:type="dxa"/>
            <w:tcBorders>
              <w:top w:val="nil"/>
              <w:bottom w:val="nil"/>
            </w:tcBorders>
            <w:shd w:val="clear" w:color="auto" w:fill="FFFFFF" w:themeFill="background1"/>
            <w:hideMark/>
          </w:tcPr>
          <w:p w14:paraId="1AB7AB53"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w:t>
            </w:r>
          </w:p>
        </w:tc>
        <w:tc>
          <w:tcPr>
            <w:tcW w:w="877" w:type="dxa"/>
            <w:tcBorders>
              <w:top w:val="nil"/>
              <w:bottom w:val="nil"/>
            </w:tcBorders>
            <w:shd w:val="clear" w:color="auto" w:fill="FFFFFF" w:themeFill="background1"/>
            <w:hideMark/>
          </w:tcPr>
          <w:p w14:paraId="133460E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21.78</w:t>
            </w:r>
          </w:p>
        </w:tc>
        <w:tc>
          <w:tcPr>
            <w:tcW w:w="1013" w:type="dxa"/>
            <w:tcBorders>
              <w:top w:val="nil"/>
              <w:bottom w:val="nil"/>
            </w:tcBorders>
            <w:shd w:val="clear" w:color="auto" w:fill="FFFFFF" w:themeFill="background1"/>
            <w:hideMark/>
          </w:tcPr>
          <w:p w14:paraId="5B7637E9"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20.67</w:t>
            </w:r>
          </w:p>
        </w:tc>
        <w:tc>
          <w:tcPr>
            <w:tcW w:w="828" w:type="dxa"/>
            <w:tcBorders>
              <w:top w:val="nil"/>
              <w:bottom w:val="nil"/>
            </w:tcBorders>
            <w:shd w:val="clear" w:color="auto" w:fill="FFFFFF" w:themeFill="background1"/>
            <w:hideMark/>
          </w:tcPr>
          <w:p w14:paraId="614BD61C"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3.89</w:t>
            </w:r>
          </w:p>
        </w:tc>
      </w:tr>
      <w:tr w:rsidR="001E2FEE" w:rsidRPr="004031F2" w14:paraId="27E07D17"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07415C38"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8</w:t>
            </w:r>
          </w:p>
        </w:tc>
        <w:tc>
          <w:tcPr>
            <w:tcW w:w="1080" w:type="dxa"/>
            <w:tcBorders>
              <w:top w:val="nil"/>
              <w:left w:val="nil"/>
              <w:bottom w:val="nil"/>
              <w:right w:val="nil"/>
            </w:tcBorders>
            <w:shd w:val="clear" w:color="auto" w:fill="FFFFFF" w:themeFill="background1"/>
            <w:hideMark/>
          </w:tcPr>
          <w:p w14:paraId="717B7641"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6.90</w:t>
            </w:r>
          </w:p>
        </w:tc>
        <w:tc>
          <w:tcPr>
            <w:tcW w:w="990" w:type="dxa"/>
            <w:tcBorders>
              <w:top w:val="nil"/>
              <w:left w:val="nil"/>
              <w:bottom w:val="nil"/>
              <w:right w:val="nil"/>
            </w:tcBorders>
            <w:shd w:val="clear" w:color="auto" w:fill="FFFFFF" w:themeFill="background1"/>
            <w:hideMark/>
          </w:tcPr>
          <w:p w14:paraId="2874985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25.5</w:t>
            </w:r>
          </w:p>
        </w:tc>
        <w:tc>
          <w:tcPr>
            <w:tcW w:w="900" w:type="dxa"/>
            <w:tcBorders>
              <w:top w:val="nil"/>
              <w:left w:val="nil"/>
              <w:bottom w:val="nil"/>
              <w:right w:val="nil"/>
            </w:tcBorders>
            <w:shd w:val="clear" w:color="auto" w:fill="FFFFFF" w:themeFill="background1"/>
            <w:hideMark/>
          </w:tcPr>
          <w:p w14:paraId="1C0638A0"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left w:val="nil"/>
              <w:bottom w:val="nil"/>
              <w:right w:val="nil"/>
            </w:tcBorders>
            <w:shd w:val="clear" w:color="auto" w:fill="FFFFFF" w:themeFill="background1"/>
            <w:hideMark/>
          </w:tcPr>
          <w:p w14:paraId="35B709D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2.000</w:t>
            </w:r>
          </w:p>
        </w:tc>
        <w:tc>
          <w:tcPr>
            <w:tcW w:w="926" w:type="dxa"/>
            <w:tcBorders>
              <w:top w:val="nil"/>
              <w:left w:val="nil"/>
              <w:bottom w:val="nil"/>
              <w:right w:val="nil"/>
            </w:tcBorders>
            <w:shd w:val="clear" w:color="auto" w:fill="FFFFFF" w:themeFill="background1"/>
            <w:hideMark/>
          </w:tcPr>
          <w:p w14:paraId="4A028F3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3.259</w:t>
            </w:r>
          </w:p>
        </w:tc>
        <w:tc>
          <w:tcPr>
            <w:tcW w:w="964" w:type="dxa"/>
            <w:tcBorders>
              <w:top w:val="nil"/>
              <w:left w:val="nil"/>
              <w:bottom w:val="nil"/>
              <w:right w:val="nil"/>
            </w:tcBorders>
            <w:shd w:val="clear" w:color="auto" w:fill="FFFFFF" w:themeFill="background1"/>
            <w:hideMark/>
          </w:tcPr>
          <w:p w14:paraId="5F3E388E"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w:t>
            </w:r>
          </w:p>
        </w:tc>
        <w:tc>
          <w:tcPr>
            <w:tcW w:w="877" w:type="dxa"/>
            <w:tcBorders>
              <w:top w:val="nil"/>
              <w:left w:val="nil"/>
              <w:bottom w:val="nil"/>
              <w:right w:val="nil"/>
            </w:tcBorders>
            <w:shd w:val="clear" w:color="auto" w:fill="FFFFFF" w:themeFill="background1"/>
            <w:hideMark/>
          </w:tcPr>
          <w:p w14:paraId="710C832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20.65</w:t>
            </w:r>
          </w:p>
        </w:tc>
        <w:tc>
          <w:tcPr>
            <w:tcW w:w="1013" w:type="dxa"/>
            <w:tcBorders>
              <w:top w:val="nil"/>
              <w:left w:val="nil"/>
              <w:bottom w:val="nil"/>
              <w:right w:val="nil"/>
            </w:tcBorders>
            <w:shd w:val="clear" w:color="auto" w:fill="FFFFFF" w:themeFill="background1"/>
            <w:hideMark/>
          </w:tcPr>
          <w:p w14:paraId="0810CB76"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20.68</w:t>
            </w:r>
          </w:p>
        </w:tc>
        <w:tc>
          <w:tcPr>
            <w:tcW w:w="828" w:type="dxa"/>
            <w:tcBorders>
              <w:top w:val="nil"/>
              <w:left w:val="nil"/>
              <w:bottom w:val="nil"/>
              <w:right w:val="nil"/>
            </w:tcBorders>
            <w:shd w:val="clear" w:color="auto" w:fill="FFFFFF" w:themeFill="background1"/>
            <w:hideMark/>
          </w:tcPr>
          <w:p w14:paraId="075A223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3.88</w:t>
            </w:r>
          </w:p>
        </w:tc>
      </w:tr>
      <w:tr w:rsidR="001E2FEE" w:rsidRPr="004031F2" w14:paraId="00E8691F"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6A2BA9A7"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9</w:t>
            </w:r>
          </w:p>
        </w:tc>
        <w:tc>
          <w:tcPr>
            <w:tcW w:w="1080" w:type="dxa"/>
            <w:tcBorders>
              <w:top w:val="nil"/>
              <w:bottom w:val="nil"/>
            </w:tcBorders>
            <w:shd w:val="clear" w:color="auto" w:fill="FFFFFF" w:themeFill="background1"/>
            <w:hideMark/>
          </w:tcPr>
          <w:p w14:paraId="281864C1"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6.70</w:t>
            </w:r>
          </w:p>
        </w:tc>
        <w:tc>
          <w:tcPr>
            <w:tcW w:w="990" w:type="dxa"/>
            <w:tcBorders>
              <w:top w:val="nil"/>
              <w:bottom w:val="nil"/>
            </w:tcBorders>
            <w:shd w:val="clear" w:color="auto" w:fill="FFFFFF" w:themeFill="background1"/>
            <w:hideMark/>
          </w:tcPr>
          <w:p w14:paraId="4ADE07F8"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28.5</w:t>
            </w:r>
          </w:p>
        </w:tc>
        <w:tc>
          <w:tcPr>
            <w:tcW w:w="900" w:type="dxa"/>
            <w:tcBorders>
              <w:top w:val="nil"/>
              <w:bottom w:val="nil"/>
            </w:tcBorders>
            <w:shd w:val="clear" w:color="auto" w:fill="FFFFFF" w:themeFill="background1"/>
            <w:hideMark/>
          </w:tcPr>
          <w:p w14:paraId="42E4965A"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bottom w:val="nil"/>
            </w:tcBorders>
            <w:shd w:val="clear" w:color="auto" w:fill="FFFFFF" w:themeFill="background1"/>
            <w:hideMark/>
          </w:tcPr>
          <w:p w14:paraId="5668CBB1"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2.000</w:t>
            </w:r>
          </w:p>
        </w:tc>
        <w:tc>
          <w:tcPr>
            <w:tcW w:w="926" w:type="dxa"/>
            <w:tcBorders>
              <w:top w:val="nil"/>
              <w:bottom w:val="nil"/>
            </w:tcBorders>
            <w:shd w:val="clear" w:color="auto" w:fill="FFFFFF" w:themeFill="background1"/>
            <w:hideMark/>
          </w:tcPr>
          <w:p w14:paraId="0D5B2CB5"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2.657</w:t>
            </w:r>
          </w:p>
        </w:tc>
        <w:tc>
          <w:tcPr>
            <w:tcW w:w="964" w:type="dxa"/>
            <w:tcBorders>
              <w:top w:val="nil"/>
              <w:bottom w:val="nil"/>
            </w:tcBorders>
            <w:shd w:val="clear" w:color="auto" w:fill="FFFFFF" w:themeFill="background1"/>
            <w:hideMark/>
          </w:tcPr>
          <w:p w14:paraId="7DCEC25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50.0</w:t>
            </w:r>
          </w:p>
        </w:tc>
        <w:tc>
          <w:tcPr>
            <w:tcW w:w="877" w:type="dxa"/>
            <w:tcBorders>
              <w:top w:val="nil"/>
              <w:bottom w:val="nil"/>
            </w:tcBorders>
            <w:shd w:val="clear" w:color="auto" w:fill="FFFFFF" w:themeFill="background1"/>
            <w:hideMark/>
          </w:tcPr>
          <w:p w14:paraId="0002725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18.95</w:t>
            </w:r>
          </w:p>
        </w:tc>
        <w:tc>
          <w:tcPr>
            <w:tcW w:w="1013" w:type="dxa"/>
            <w:tcBorders>
              <w:top w:val="nil"/>
              <w:bottom w:val="nil"/>
            </w:tcBorders>
            <w:shd w:val="clear" w:color="auto" w:fill="FFFFFF" w:themeFill="background1"/>
            <w:hideMark/>
          </w:tcPr>
          <w:p w14:paraId="78E9AC2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19.31</w:t>
            </w:r>
          </w:p>
        </w:tc>
        <w:tc>
          <w:tcPr>
            <w:tcW w:w="828" w:type="dxa"/>
            <w:tcBorders>
              <w:top w:val="nil"/>
              <w:bottom w:val="nil"/>
            </w:tcBorders>
            <w:shd w:val="clear" w:color="auto" w:fill="FFFFFF" w:themeFill="background1"/>
            <w:hideMark/>
          </w:tcPr>
          <w:p w14:paraId="377E3C9F"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3.89</w:t>
            </w:r>
          </w:p>
        </w:tc>
      </w:tr>
      <w:tr w:rsidR="001E2FEE" w:rsidRPr="004031F2" w14:paraId="356E5558"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6F157711"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10</w:t>
            </w:r>
          </w:p>
        </w:tc>
        <w:tc>
          <w:tcPr>
            <w:tcW w:w="1080" w:type="dxa"/>
            <w:tcBorders>
              <w:top w:val="nil"/>
              <w:left w:val="nil"/>
              <w:bottom w:val="nil"/>
              <w:right w:val="nil"/>
            </w:tcBorders>
            <w:shd w:val="clear" w:color="auto" w:fill="FFFFFF" w:themeFill="background1"/>
            <w:hideMark/>
          </w:tcPr>
          <w:p w14:paraId="2585B8D8"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6.90</w:t>
            </w:r>
          </w:p>
        </w:tc>
        <w:tc>
          <w:tcPr>
            <w:tcW w:w="990" w:type="dxa"/>
            <w:tcBorders>
              <w:top w:val="nil"/>
              <w:left w:val="nil"/>
              <w:bottom w:val="nil"/>
              <w:right w:val="nil"/>
            </w:tcBorders>
            <w:shd w:val="clear" w:color="auto" w:fill="FFFFFF" w:themeFill="background1"/>
            <w:hideMark/>
          </w:tcPr>
          <w:p w14:paraId="16110A9E"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28.0</w:t>
            </w:r>
          </w:p>
        </w:tc>
        <w:tc>
          <w:tcPr>
            <w:tcW w:w="900" w:type="dxa"/>
            <w:tcBorders>
              <w:top w:val="nil"/>
              <w:left w:val="nil"/>
              <w:bottom w:val="nil"/>
              <w:right w:val="nil"/>
            </w:tcBorders>
            <w:shd w:val="clear" w:color="auto" w:fill="FFFFFF" w:themeFill="background1"/>
            <w:hideMark/>
          </w:tcPr>
          <w:p w14:paraId="26D10234"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left w:val="nil"/>
              <w:bottom w:val="nil"/>
              <w:right w:val="nil"/>
            </w:tcBorders>
            <w:shd w:val="clear" w:color="auto" w:fill="FFFFFF" w:themeFill="background1"/>
            <w:hideMark/>
          </w:tcPr>
          <w:p w14:paraId="3B4E3E36"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2.000</w:t>
            </w:r>
          </w:p>
        </w:tc>
        <w:tc>
          <w:tcPr>
            <w:tcW w:w="926" w:type="dxa"/>
            <w:tcBorders>
              <w:top w:val="nil"/>
              <w:left w:val="nil"/>
              <w:bottom w:val="nil"/>
              <w:right w:val="nil"/>
            </w:tcBorders>
            <w:shd w:val="clear" w:color="auto" w:fill="FFFFFF" w:themeFill="background1"/>
            <w:hideMark/>
          </w:tcPr>
          <w:p w14:paraId="43B575BC"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2.757</w:t>
            </w:r>
          </w:p>
        </w:tc>
        <w:tc>
          <w:tcPr>
            <w:tcW w:w="964" w:type="dxa"/>
            <w:tcBorders>
              <w:top w:val="nil"/>
              <w:left w:val="nil"/>
              <w:bottom w:val="nil"/>
              <w:right w:val="nil"/>
            </w:tcBorders>
            <w:shd w:val="clear" w:color="auto" w:fill="FFFFFF" w:themeFill="background1"/>
            <w:hideMark/>
          </w:tcPr>
          <w:p w14:paraId="23727827"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50.0</w:t>
            </w:r>
          </w:p>
        </w:tc>
        <w:tc>
          <w:tcPr>
            <w:tcW w:w="877" w:type="dxa"/>
            <w:tcBorders>
              <w:top w:val="nil"/>
              <w:left w:val="nil"/>
              <w:bottom w:val="nil"/>
              <w:right w:val="nil"/>
            </w:tcBorders>
            <w:shd w:val="clear" w:color="auto" w:fill="FFFFFF" w:themeFill="background1"/>
            <w:hideMark/>
          </w:tcPr>
          <w:p w14:paraId="79783540"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20.18</w:t>
            </w:r>
          </w:p>
        </w:tc>
        <w:tc>
          <w:tcPr>
            <w:tcW w:w="1013" w:type="dxa"/>
            <w:tcBorders>
              <w:top w:val="nil"/>
              <w:left w:val="nil"/>
              <w:bottom w:val="nil"/>
              <w:right w:val="nil"/>
            </w:tcBorders>
            <w:shd w:val="clear" w:color="auto" w:fill="FFFFFF" w:themeFill="background1"/>
            <w:hideMark/>
          </w:tcPr>
          <w:p w14:paraId="139FC43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20.84</w:t>
            </w:r>
          </w:p>
        </w:tc>
        <w:tc>
          <w:tcPr>
            <w:tcW w:w="828" w:type="dxa"/>
            <w:tcBorders>
              <w:top w:val="nil"/>
              <w:left w:val="nil"/>
              <w:bottom w:val="nil"/>
              <w:right w:val="nil"/>
            </w:tcBorders>
            <w:shd w:val="clear" w:color="auto" w:fill="FFFFFF" w:themeFill="background1"/>
            <w:hideMark/>
          </w:tcPr>
          <w:p w14:paraId="73378EC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3.90</w:t>
            </w:r>
          </w:p>
        </w:tc>
      </w:tr>
      <w:tr w:rsidR="001E2FEE" w:rsidRPr="004031F2" w14:paraId="6EA9BE97"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64CCE902"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11</w:t>
            </w:r>
          </w:p>
        </w:tc>
        <w:tc>
          <w:tcPr>
            <w:tcW w:w="1080" w:type="dxa"/>
            <w:tcBorders>
              <w:top w:val="nil"/>
              <w:bottom w:val="nil"/>
            </w:tcBorders>
            <w:shd w:val="clear" w:color="auto" w:fill="FFFFFF" w:themeFill="background1"/>
            <w:hideMark/>
          </w:tcPr>
          <w:p w14:paraId="2413DBFA"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6.70</w:t>
            </w:r>
          </w:p>
        </w:tc>
        <w:tc>
          <w:tcPr>
            <w:tcW w:w="990" w:type="dxa"/>
            <w:tcBorders>
              <w:top w:val="nil"/>
              <w:bottom w:val="nil"/>
            </w:tcBorders>
            <w:shd w:val="clear" w:color="auto" w:fill="FFFFFF" w:themeFill="background1"/>
            <w:hideMark/>
          </w:tcPr>
          <w:p w14:paraId="28EACF0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28.5</w:t>
            </w:r>
          </w:p>
        </w:tc>
        <w:tc>
          <w:tcPr>
            <w:tcW w:w="900" w:type="dxa"/>
            <w:tcBorders>
              <w:top w:val="nil"/>
              <w:bottom w:val="nil"/>
            </w:tcBorders>
            <w:shd w:val="clear" w:color="auto" w:fill="FFFFFF" w:themeFill="background1"/>
            <w:hideMark/>
          </w:tcPr>
          <w:p w14:paraId="531504C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bottom w:val="nil"/>
            </w:tcBorders>
            <w:shd w:val="clear" w:color="auto" w:fill="FFFFFF" w:themeFill="background1"/>
            <w:hideMark/>
          </w:tcPr>
          <w:p w14:paraId="686519D6"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2.005</w:t>
            </w:r>
          </w:p>
        </w:tc>
        <w:tc>
          <w:tcPr>
            <w:tcW w:w="926" w:type="dxa"/>
            <w:tcBorders>
              <w:top w:val="nil"/>
              <w:bottom w:val="nil"/>
            </w:tcBorders>
            <w:shd w:val="clear" w:color="auto" w:fill="FFFFFF" w:themeFill="background1"/>
            <w:hideMark/>
          </w:tcPr>
          <w:p w14:paraId="099D14E4"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2.657</w:t>
            </w:r>
          </w:p>
        </w:tc>
        <w:tc>
          <w:tcPr>
            <w:tcW w:w="964" w:type="dxa"/>
            <w:tcBorders>
              <w:top w:val="nil"/>
              <w:bottom w:val="nil"/>
            </w:tcBorders>
            <w:shd w:val="clear" w:color="auto" w:fill="FFFFFF" w:themeFill="background1"/>
            <w:hideMark/>
          </w:tcPr>
          <w:p w14:paraId="6A3722C0"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50.0</w:t>
            </w:r>
          </w:p>
        </w:tc>
        <w:tc>
          <w:tcPr>
            <w:tcW w:w="877" w:type="dxa"/>
            <w:tcBorders>
              <w:top w:val="nil"/>
              <w:bottom w:val="nil"/>
            </w:tcBorders>
            <w:shd w:val="clear" w:color="auto" w:fill="FFFFFF" w:themeFill="background1"/>
            <w:hideMark/>
          </w:tcPr>
          <w:p w14:paraId="603D1B3B"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18.95</w:t>
            </w:r>
          </w:p>
        </w:tc>
        <w:tc>
          <w:tcPr>
            <w:tcW w:w="1013" w:type="dxa"/>
            <w:tcBorders>
              <w:top w:val="nil"/>
              <w:bottom w:val="nil"/>
            </w:tcBorders>
            <w:shd w:val="clear" w:color="auto" w:fill="FFFFFF" w:themeFill="background1"/>
            <w:hideMark/>
          </w:tcPr>
          <w:p w14:paraId="234A8D76"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19.31</w:t>
            </w:r>
          </w:p>
        </w:tc>
        <w:tc>
          <w:tcPr>
            <w:tcW w:w="828" w:type="dxa"/>
            <w:tcBorders>
              <w:top w:val="nil"/>
              <w:bottom w:val="nil"/>
            </w:tcBorders>
            <w:shd w:val="clear" w:color="auto" w:fill="FFFFFF" w:themeFill="background1"/>
            <w:hideMark/>
          </w:tcPr>
          <w:p w14:paraId="7E21B856"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3.90</w:t>
            </w:r>
          </w:p>
        </w:tc>
      </w:tr>
      <w:tr w:rsidR="001E2FEE" w:rsidRPr="004031F2" w14:paraId="4352CD68"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010190BC"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12</w:t>
            </w:r>
          </w:p>
        </w:tc>
        <w:tc>
          <w:tcPr>
            <w:tcW w:w="1080" w:type="dxa"/>
            <w:tcBorders>
              <w:top w:val="nil"/>
              <w:left w:val="nil"/>
              <w:bottom w:val="nil"/>
              <w:right w:val="nil"/>
            </w:tcBorders>
            <w:shd w:val="clear" w:color="auto" w:fill="FFFFFF" w:themeFill="background1"/>
            <w:hideMark/>
          </w:tcPr>
          <w:p w14:paraId="341A22BC"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6.50</w:t>
            </w:r>
          </w:p>
        </w:tc>
        <w:tc>
          <w:tcPr>
            <w:tcW w:w="990" w:type="dxa"/>
            <w:tcBorders>
              <w:top w:val="nil"/>
              <w:left w:val="nil"/>
              <w:bottom w:val="nil"/>
              <w:right w:val="nil"/>
            </w:tcBorders>
            <w:shd w:val="clear" w:color="auto" w:fill="FFFFFF" w:themeFill="background1"/>
            <w:hideMark/>
          </w:tcPr>
          <w:p w14:paraId="69B3671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28.0</w:t>
            </w:r>
          </w:p>
        </w:tc>
        <w:tc>
          <w:tcPr>
            <w:tcW w:w="900" w:type="dxa"/>
            <w:tcBorders>
              <w:top w:val="nil"/>
              <w:left w:val="nil"/>
              <w:bottom w:val="nil"/>
              <w:right w:val="nil"/>
            </w:tcBorders>
            <w:shd w:val="clear" w:color="auto" w:fill="FFFFFF" w:themeFill="background1"/>
            <w:hideMark/>
          </w:tcPr>
          <w:p w14:paraId="22874FDD"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4.200</w:t>
            </w:r>
          </w:p>
        </w:tc>
        <w:tc>
          <w:tcPr>
            <w:tcW w:w="1080" w:type="dxa"/>
            <w:tcBorders>
              <w:top w:val="nil"/>
              <w:left w:val="nil"/>
              <w:bottom w:val="nil"/>
              <w:right w:val="nil"/>
            </w:tcBorders>
            <w:shd w:val="clear" w:color="auto" w:fill="FFFFFF" w:themeFill="background1"/>
            <w:hideMark/>
          </w:tcPr>
          <w:p w14:paraId="3C0F935F"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2.001</w:t>
            </w:r>
          </w:p>
        </w:tc>
        <w:tc>
          <w:tcPr>
            <w:tcW w:w="926" w:type="dxa"/>
            <w:tcBorders>
              <w:top w:val="nil"/>
              <w:left w:val="nil"/>
              <w:bottom w:val="nil"/>
              <w:right w:val="nil"/>
            </w:tcBorders>
            <w:shd w:val="clear" w:color="auto" w:fill="FFFFFF" w:themeFill="background1"/>
            <w:hideMark/>
          </w:tcPr>
          <w:p w14:paraId="3C95854B"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2.557</w:t>
            </w:r>
          </w:p>
        </w:tc>
        <w:tc>
          <w:tcPr>
            <w:tcW w:w="964" w:type="dxa"/>
            <w:tcBorders>
              <w:top w:val="nil"/>
              <w:left w:val="nil"/>
              <w:bottom w:val="nil"/>
              <w:right w:val="nil"/>
            </w:tcBorders>
            <w:shd w:val="clear" w:color="auto" w:fill="FFFFFF" w:themeFill="background1"/>
            <w:hideMark/>
          </w:tcPr>
          <w:p w14:paraId="4F2769A8"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50.0</w:t>
            </w:r>
          </w:p>
        </w:tc>
        <w:tc>
          <w:tcPr>
            <w:tcW w:w="877" w:type="dxa"/>
            <w:tcBorders>
              <w:top w:val="nil"/>
              <w:left w:val="nil"/>
              <w:bottom w:val="nil"/>
              <w:right w:val="nil"/>
            </w:tcBorders>
            <w:shd w:val="clear" w:color="auto" w:fill="FFFFFF" w:themeFill="background1"/>
            <w:hideMark/>
          </w:tcPr>
          <w:p w14:paraId="360D42F3"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17.37</w:t>
            </w:r>
          </w:p>
        </w:tc>
        <w:tc>
          <w:tcPr>
            <w:tcW w:w="1013" w:type="dxa"/>
            <w:tcBorders>
              <w:top w:val="nil"/>
              <w:left w:val="nil"/>
              <w:bottom w:val="nil"/>
              <w:right w:val="nil"/>
            </w:tcBorders>
            <w:shd w:val="clear" w:color="auto" w:fill="FFFFFF" w:themeFill="background1"/>
            <w:hideMark/>
          </w:tcPr>
          <w:p w14:paraId="35CE33D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17.71</w:t>
            </w:r>
          </w:p>
        </w:tc>
        <w:tc>
          <w:tcPr>
            <w:tcW w:w="828" w:type="dxa"/>
            <w:tcBorders>
              <w:top w:val="nil"/>
              <w:left w:val="nil"/>
              <w:bottom w:val="nil"/>
              <w:right w:val="nil"/>
            </w:tcBorders>
            <w:shd w:val="clear" w:color="auto" w:fill="FFFFFF" w:themeFill="background1"/>
            <w:hideMark/>
          </w:tcPr>
          <w:p w14:paraId="42A8084A" w14:textId="77777777" w:rsidR="001E2FEE" w:rsidRPr="004031F2"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rPr>
              <w:t>4.88</w:t>
            </w:r>
          </w:p>
        </w:tc>
      </w:tr>
      <w:tr w:rsidR="001E2FEE" w:rsidRPr="004031F2" w14:paraId="563BEA62"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single" w:sz="8" w:space="0" w:color="000000"/>
            </w:tcBorders>
            <w:shd w:val="clear" w:color="auto" w:fill="FFFFFF" w:themeFill="background1"/>
            <w:hideMark/>
          </w:tcPr>
          <w:p w14:paraId="5A9EF668" w14:textId="77777777" w:rsidR="001E2FEE" w:rsidRPr="004031F2" w:rsidRDefault="001E2FEE">
            <w:pPr>
              <w:jc w:val="center"/>
              <w:rPr>
                <w:rFonts w:ascii="Times New Roman" w:hAnsi="Times New Roman" w:cs="Times New Roman"/>
              </w:rPr>
            </w:pPr>
            <w:r w:rsidRPr="004031F2">
              <w:rPr>
                <w:rFonts w:ascii="Times New Roman" w:hAnsi="Times New Roman" w:cs="Times New Roman"/>
              </w:rPr>
              <w:t>Mean</w:t>
            </w:r>
          </w:p>
        </w:tc>
        <w:tc>
          <w:tcPr>
            <w:tcW w:w="1080" w:type="dxa"/>
            <w:tcBorders>
              <w:top w:val="nil"/>
              <w:bottom w:val="single" w:sz="8" w:space="0" w:color="000000"/>
            </w:tcBorders>
            <w:shd w:val="clear" w:color="auto" w:fill="FFFFFF" w:themeFill="background1"/>
            <w:hideMark/>
          </w:tcPr>
          <w:p w14:paraId="1F5FD5A4"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6.898</w:t>
            </w:r>
          </w:p>
        </w:tc>
        <w:tc>
          <w:tcPr>
            <w:tcW w:w="990" w:type="dxa"/>
            <w:tcBorders>
              <w:top w:val="nil"/>
              <w:bottom w:val="single" w:sz="8" w:space="0" w:color="000000"/>
            </w:tcBorders>
            <w:shd w:val="clear" w:color="auto" w:fill="FFFFFF" w:themeFill="background1"/>
            <w:hideMark/>
          </w:tcPr>
          <w:p w14:paraId="3A93B099"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27.458</w:t>
            </w:r>
          </w:p>
        </w:tc>
        <w:tc>
          <w:tcPr>
            <w:tcW w:w="900" w:type="dxa"/>
            <w:tcBorders>
              <w:top w:val="nil"/>
              <w:bottom w:val="single" w:sz="8" w:space="0" w:color="000000"/>
            </w:tcBorders>
            <w:shd w:val="clear" w:color="auto" w:fill="FFFFFF" w:themeFill="background1"/>
            <w:hideMark/>
          </w:tcPr>
          <w:p w14:paraId="4EEAA404"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4.867</w:t>
            </w:r>
          </w:p>
        </w:tc>
        <w:tc>
          <w:tcPr>
            <w:tcW w:w="1080" w:type="dxa"/>
            <w:tcBorders>
              <w:top w:val="nil"/>
              <w:bottom w:val="single" w:sz="8" w:space="0" w:color="000000"/>
            </w:tcBorders>
            <w:shd w:val="clear" w:color="auto" w:fill="FFFFFF" w:themeFill="background1"/>
            <w:hideMark/>
          </w:tcPr>
          <w:p w14:paraId="1AA2FD67"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2.709</w:t>
            </w:r>
          </w:p>
        </w:tc>
        <w:tc>
          <w:tcPr>
            <w:tcW w:w="926" w:type="dxa"/>
            <w:tcBorders>
              <w:top w:val="nil"/>
              <w:bottom w:val="single" w:sz="8" w:space="0" w:color="000000"/>
            </w:tcBorders>
            <w:shd w:val="clear" w:color="auto" w:fill="FFFFFF" w:themeFill="background1"/>
            <w:hideMark/>
          </w:tcPr>
          <w:p w14:paraId="79E02AFC"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3.005</w:t>
            </w:r>
          </w:p>
        </w:tc>
        <w:tc>
          <w:tcPr>
            <w:tcW w:w="964" w:type="dxa"/>
            <w:tcBorders>
              <w:top w:val="nil"/>
              <w:bottom w:val="single" w:sz="8" w:space="0" w:color="000000"/>
            </w:tcBorders>
            <w:shd w:val="clear" w:color="auto" w:fill="FFFFFF" w:themeFill="background1"/>
            <w:hideMark/>
          </w:tcPr>
          <w:p w14:paraId="27DE0C32"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33.3</w:t>
            </w:r>
          </w:p>
        </w:tc>
        <w:tc>
          <w:tcPr>
            <w:tcW w:w="877" w:type="dxa"/>
            <w:tcBorders>
              <w:top w:val="nil"/>
              <w:bottom w:val="single" w:sz="8" w:space="0" w:color="000000"/>
            </w:tcBorders>
            <w:shd w:val="clear" w:color="auto" w:fill="FFFFFF" w:themeFill="background1"/>
            <w:hideMark/>
          </w:tcPr>
          <w:p w14:paraId="0C869D61"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19.32</w:t>
            </w:r>
          </w:p>
        </w:tc>
        <w:tc>
          <w:tcPr>
            <w:tcW w:w="1013" w:type="dxa"/>
            <w:tcBorders>
              <w:top w:val="nil"/>
              <w:bottom w:val="single" w:sz="8" w:space="0" w:color="000000"/>
            </w:tcBorders>
            <w:shd w:val="clear" w:color="auto" w:fill="FFFFFF" w:themeFill="background1"/>
            <w:hideMark/>
          </w:tcPr>
          <w:p w14:paraId="23504318"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19.43</w:t>
            </w:r>
          </w:p>
        </w:tc>
        <w:tc>
          <w:tcPr>
            <w:tcW w:w="828" w:type="dxa"/>
            <w:tcBorders>
              <w:top w:val="nil"/>
              <w:bottom w:val="single" w:sz="8" w:space="0" w:color="000000"/>
            </w:tcBorders>
            <w:shd w:val="clear" w:color="auto" w:fill="FFFFFF" w:themeFill="background1"/>
            <w:hideMark/>
          </w:tcPr>
          <w:p w14:paraId="592AB3AD" w14:textId="77777777" w:rsidR="001E2FEE" w:rsidRPr="004031F2"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031F2">
              <w:rPr>
                <w:rFonts w:ascii="Times New Roman" w:hAnsi="Times New Roman" w:cs="Times New Roman"/>
                <w:b/>
              </w:rPr>
              <w:t>4.95</w:t>
            </w:r>
          </w:p>
        </w:tc>
      </w:tr>
    </w:tbl>
    <w:p w14:paraId="539B9914" w14:textId="77777777" w:rsidR="00C342C1" w:rsidRPr="004031F2" w:rsidRDefault="00C342C1" w:rsidP="008E5A91">
      <w:pPr>
        <w:spacing w:before="240" w:line="360" w:lineRule="auto"/>
        <w:jc w:val="both"/>
        <w:rPr>
          <w:rFonts w:ascii="Times New Roman" w:hAnsi="Times New Roman" w:cs="Times New Roman"/>
        </w:rPr>
        <w:sectPr w:rsidR="00C342C1" w:rsidRPr="004031F2" w:rsidSect="00C95815">
          <w:type w:val="continuous"/>
          <w:pgSz w:w="12240" w:h="15840"/>
          <w:pgMar w:top="1440" w:right="1440" w:bottom="1440" w:left="1440" w:header="720" w:footer="720" w:gutter="0"/>
          <w:cols w:space="720"/>
          <w:docGrid w:linePitch="360"/>
        </w:sectPr>
      </w:pPr>
    </w:p>
    <w:p w14:paraId="134C6830" w14:textId="77777777" w:rsidR="00C342C1" w:rsidRPr="004031F2" w:rsidRDefault="00C342C1" w:rsidP="008E5A91">
      <w:pPr>
        <w:spacing w:before="240" w:line="360" w:lineRule="auto"/>
        <w:jc w:val="both"/>
        <w:rPr>
          <w:rFonts w:ascii="Times New Roman" w:hAnsi="Times New Roman" w:cs="Times New Roman"/>
        </w:rPr>
      </w:pPr>
    </w:p>
    <w:p w14:paraId="7545BDB2" w14:textId="77777777" w:rsidR="008E5A91" w:rsidRPr="004031F2" w:rsidRDefault="00E34850" w:rsidP="008E5A91">
      <w:pPr>
        <w:spacing w:before="240" w:line="360" w:lineRule="auto"/>
        <w:jc w:val="both"/>
        <w:rPr>
          <w:rFonts w:ascii="Times New Roman" w:hAnsi="Times New Roman" w:cs="Times New Roman"/>
        </w:rPr>
      </w:pPr>
      <w:r>
        <w:rPr>
          <w:highlight w:val="yellow"/>
        </w:rPr>
        <w:t>Table 1 shows the evaluated water quality indices using the TIMOMAM, weighted arithmetic and Oregon models, respectively, for Shabu River in the wet season. The TIMOMAM model evaluated the mean water quality index of the river as 19.32, while the Weighted Arithmetic and Oregon models gave 19.43 and 4.95 units, respectively. The closeness of the values obtained from the novel model (TIMOMAM) and the weighted arithmetic model (19.32 and 19.43) indicates, and may attest to, the high reliability of the new model. The TIMOMAM model was also built using the same water quality status scale as the weighted arithmetic model (Brown et al., 1970; Cude, 2001).</w:t>
      </w:r>
    </w:p>
    <w:p w14:paraId="0F8B41B7" w14:textId="77777777" w:rsidR="00C342C1" w:rsidRPr="004031F2" w:rsidRDefault="00C342C1" w:rsidP="00134FD2">
      <w:pPr>
        <w:spacing w:before="240" w:line="360" w:lineRule="auto"/>
        <w:jc w:val="both"/>
        <w:rPr>
          <w:rFonts w:ascii="Times New Roman" w:hAnsi="Times New Roman" w:cs="Times New Roman"/>
          <w:b/>
        </w:rPr>
        <w:sectPr w:rsidR="00C342C1" w:rsidRPr="004031F2" w:rsidSect="00C95815">
          <w:type w:val="continuous"/>
          <w:pgSz w:w="12240" w:h="15840"/>
          <w:pgMar w:top="1440" w:right="1440" w:bottom="1440" w:left="1440" w:header="720" w:footer="720" w:gutter="0"/>
          <w:cols w:space="720"/>
          <w:docGrid w:linePitch="360"/>
        </w:sectPr>
      </w:pPr>
    </w:p>
    <w:p w14:paraId="6C64BA42" w14:textId="77777777" w:rsidR="004031F2" w:rsidRDefault="004031F2" w:rsidP="00134FD2">
      <w:pPr>
        <w:spacing w:before="240" w:line="360" w:lineRule="auto"/>
        <w:jc w:val="both"/>
        <w:rPr>
          <w:rFonts w:ascii="Times New Roman" w:hAnsi="Times New Roman" w:cs="Times New Roman"/>
          <w:b/>
        </w:rPr>
      </w:pPr>
    </w:p>
    <w:p w14:paraId="6F4A5954" w14:textId="77777777" w:rsidR="004031F2" w:rsidRDefault="004031F2" w:rsidP="00134FD2">
      <w:pPr>
        <w:spacing w:before="240" w:line="360" w:lineRule="auto"/>
        <w:jc w:val="both"/>
        <w:rPr>
          <w:rFonts w:ascii="Times New Roman" w:hAnsi="Times New Roman" w:cs="Times New Roman"/>
          <w:b/>
        </w:rPr>
      </w:pPr>
    </w:p>
    <w:p w14:paraId="1251E654" w14:textId="77777777" w:rsidR="004031F2" w:rsidRDefault="004031F2" w:rsidP="00134FD2">
      <w:pPr>
        <w:spacing w:before="240" w:line="360" w:lineRule="auto"/>
        <w:jc w:val="both"/>
        <w:rPr>
          <w:rFonts w:ascii="Times New Roman" w:hAnsi="Times New Roman" w:cs="Times New Roman"/>
          <w:b/>
        </w:rPr>
      </w:pPr>
    </w:p>
    <w:p w14:paraId="6AFDCCE6" w14:textId="77777777" w:rsidR="004031F2" w:rsidRDefault="004031F2" w:rsidP="00134FD2">
      <w:pPr>
        <w:spacing w:before="240" w:line="360" w:lineRule="auto"/>
        <w:jc w:val="both"/>
        <w:rPr>
          <w:rFonts w:ascii="Times New Roman" w:hAnsi="Times New Roman" w:cs="Times New Roman"/>
          <w:b/>
        </w:rPr>
      </w:pPr>
    </w:p>
    <w:p w14:paraId="25AA9016" w14:textId="77777777" w:rsidR="008E5A91" w:rsidRPr="004031F2" w:rsidRDefault="008E5A91" w:rsidP="00134FD2">
      <w:pPr>
        <w:spacing w:before="240" w:line="360" w:lineRule="auto"/>
        <w:jc w:val="both"/>
        <w:rPr>
          <w:rFonts w:ascii="Times New Roman" w:hAnsi="Times New Roman" w:cs="Times New Roman"/>
          <w:b/>
        </w:rPr>
      </w:pPr>
      <w:r>
        <w:rPr>
          <w:highlight w:val="yellow"/>
        </w:rPr>
        <w:t>Table 2: Water Quality Index and Status Levels</w:t>
      </w:r>
    </w:p>
    <w:tbl>
      <w:tblPr>
        <w:tblStyle w:val="LightShading"/>
        <w:tblW w:w="0" w:type="auto"/>
        <w:shd w:val="clear" w:color="auto" w:fill="FFFFFF" w:themeFill="background1"/>
        <w:tblLook w:val="04A0" w:firstRow="1" w:lastRow="0" w:firstColumn="1" w:lastColumn="0" w:noHBand="0" w:noVBand="1"/>
      </w:tblPr>
      <w:tblGrid>
        <w:gridCol w:w="4788"/>
        <w:gridCol w:w="4788"/>
      </w:tblGrid>
      <w:tr w:rsidR="00134FD2" w:rsidRPr="004031F2" w14:paraId="71C9283B" w14:textId="77777777" w:rsidTr="0013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1B6671A3" w14:textId="77777777" w:rsidR="00134FD2" w:rsidRPr="004031F2" w:rsidRDefault="00134FD2" w:rsidP="00C342C1">
            <w:pPr>
              <w:spacing w:before="120"/>
              <w:jc w:val="center"/>
              <w:rPr>
                <w:rFonts w:ascii="Times New Roman" w:hAnsi="Times New Roman" w:cs="Times New Roman"/>
                <w:b w:val="0"/>
                <w:bCs w:val="0"/>
              </w:rPr>
            </w:pPr>
            <w:r w:rsidRPr="004031F2">
              <w:rPr>
                <w:rFonts w:ascii="Times New Roman" w:hAnsi="Times New Roman" w:cs="Times New Roman"/>
                <w:b w:val="0"/>
                <w:bCs w:val="0"/>
              </w:rPr>
              <w:t>WATER QUALITY INDEX LEVELS</w:t>
            </w:r>
          </w:p>
        </w:tc>
        <w:tc>
          <w:tcPr>
            <w:tcW w:w="4788" w:type="dxa"/>
            <w:shd w:val="clear" w:color="auto" w:fill="FFFFFF" w:themeFill="background1"/>
          </w:tcPr>
          <w:p w14:paraId="4422454B" w14:textId="77777777" w:rsidR="00134FD2" w:rsidRPr="004031F2" w:rsidRDefault="00134FD2" w:rsidP="00C342C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031F2">
              <w:rPr>
                <w:rFonts w:ascii="Times New Roman" w:hAnsi="Times New Roman" w:cs="Times New Roman"/>
                <w:b w:val="0"/>
                <w:bCs w:val="0"/>
              </w:rPr>
              <w:t>WATER QUALITY STATUS</w:t>
            </w:r>
          </w:p>
        </w:tc>
      </w:tr>
      <w:tr w:rsidR="00134FD2" w:rsidRPr="004031F2" w14:paraId="4F26D46F"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4D196568" w14:textId="77777777" w:rsidR="00134FD2" w:rsidRPr="004031F2" w:rsidRDefault="00134FD2" w:rsidP="00C342C1">
            <w:pPr>
              <w:spacing w:before="120"/>
              <w:jc w:val="center"/>
              <w:rPr>
                <w:rFonts w:ascii="Times New Roman" w:hAnsi="Times New Roman" w:cs="Times New Roman"/>
                <w:b w:val="0"/>
                <w:bCs w:val="0"/>
              </w:rPr>
            </w:pPr>
            <w:r w:rsidRPr="004031F2">
              <w:rPr>
                <w:rFonts w:ascii="Times New Roman" w:hAnsi="Times New Roman" w:cs="Times New Roman"/>
                <w:b w:val="0"/>
                <w:bCs w:val="0"/>
              </w:rPr>
              <w:t>0-25</w:t>
            </w:r>
          </w:p>
        </w:tc>
        <w:tc>
          <w:tcPr>
            <w:tcW w:w="4788" w:type="dxa"/>
            <w:shd w:val="clear" w:color="auto" w:fill="FFFFFF" w:themeFill="background1"/>
          </w:tcPr>
          <w:p w14:paraId="625417ED" w14:textId="77777777" w:rsidR="00134FD2" w:rsidRPr="004031F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4031F2">
              <w:rPr>
                <w:rFonts w:ascii="Times New Roman" w:hAnsi="Times New Roman" w:cs="Times New Roman"/>
                <w:bCs/>
              </w:rPr>
              <w:t>Excellent water</w:t>
            </w:r>
          </w:p>
        </w:tc>
      </w:tr>
      <w:tr w:rsidR="00134FD2" w:rsidRPr="004031F2" w14:paraId="0AA152B5" w14:textId="77777777" w:rsidTr="00134FD2">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1FB09166" w14:textId="77777777" w:rsidR="00134FD2" w:rsidRPr="004031F2" w:rsidRDefault="00134FD2" w:rsidP="00C342C1">
            <w:pPr>
              <w:spacing w:before="120"/>
              <w:jc w:val="center"/>
              <w:rPr>
                <w:rFonts w:ascii="Times New Roman" w:hAnsi="Times New Roman" w:cs="Times New Roman"/>
                <w:b w:val="0"/>
                <w:bCs w:val="0"/>
              </w:rPr>
            </w:pPr>
            <w:r w:rsidRPr="004031F2">
              <w:rPr>
                <w:rFonts w:ascii="Times New Roman" w:hAnsi="Times New Roman" w:cs="Times New Roman"/>
                <w:b w:val="0"/>
                <w:bCs w:val="0"/>
              </w:rPr>
              <w:t>25-50</w:t>
            </w:r>
          </w:p>
        </w:tc>
        <w:tc>
          <w:tcPr>
            <w:tcW w:w="4788" w:type="dxa"/>
            <w:shd w:val="clear" w:color="auto" w:fill="FFFFFF" w:themeFill="background1"/>
          </w:tcPr>
          <w:p w14:paraId="53C6BF2F" w14:textId="77777777" w:rsidR="00134FD2" w:rsidRPr="004031F2" w:rsidRDefault="00134FD2" w:rsidP="00C342C1">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4031F2">
              <w:rPr>
                <w:rFonts w:ascii="Times New Roman" w:hAnsi="Times New Roman" w:cs="Times New Roman"/>
                <w:bCs/>
              </w:rPr>
              <w:t>Good water quality</w:t>
            </w:r>
          </w:p>
        </w:tc>
      </w:tr>
      <w:tr w:rsidR="00134FD2" w:rsidRPr="004031F2" w14:paraId="244D905F"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69EE9B0E" w14:textId="77777777" w:rsidR="00134FD2" w:rsidRPr="004031F2" w:rsidRDefault="00134FD2" w:rsidP="00C342C1">
            <w:pPr>
              <w:spacing w:before="120"/>
              <w:jc w:val="center"/>
              <w:rPr>
                <w:rFonts w:ascii="Times New Roman" w:hAnsi="Times New Roman" w:cs="Times New Roman"/>
                <w:b w:val="0"/>
                <w:bCs w:val="0"/>
              </w:rPr>
            </w:pPr>
            <w:r w:rsidRPr="004031F2">
              <w:rPr>
                <w:rFonts w:ascii="Times New Roman" w:hAnsi="Times New Roman" w:cs="Times New Roman"/>
                <w:b w:val="0"/>
                <w:bCs w:val="0"/>
              </w:rPr>
              <w:t>51-75</w:t>
            </w:r>
          </w:p>
        </w:tc>
        <w:tc>
          <w:tcPr>
            <w:tcW w:w="4788" w:type="dxa"/>
            <w:shd w:val="clear" w:color="auto" w:fill="FFFFFF" w:themeFill="background1"/>
          </w:tcPr>
          <w:p w14:paraId="01BF55DC" w14:textId="77777777" w:rsidR="00134FD2" w:rsidRPr="004031F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4031F2">
              <w:rPr>
                <w:rFonts w:ascii="Times New Roman" w:hAnsi="Times New Roman" w:cs="Times New Roman"/>
                <w:bCs/>
              </w:rPr>
              <w:t>Poor water quality</w:t>
            </w:r>
          </w:p>
        </w:tc>
      </w:tr>
      <w:tr w:rsidR="00134FD2" w:rsidRPr="004031F2" w14:paraId="53B1BCA3" w14:textId="77777777" w:rsidTr="00134FD2">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4EA84FE0" w14:textId="77777777" w:rsidR="00134FD2" w:rsidRPr="004031F2" w:rsidRDefault="00134FD2" w:rsidP="00C342C1">
            <w:pPr>
              <w:spacing w:before="120"/>
              <w:jc w:val="center"/>
              <w:rPr>
                <w:rFonts w:ascii="Times New Roman" w:hAnsi="Times New Roman" w:cs="Times New Roman"/>
                <w:b w:val="0"/>
                <w:bCs w:val="0"/>
              </w:rPr>
            </w:pPr>
            <w:r w:rsidRPr="004031F2">
              <w:rPr>
                <w:rFonts w:ascii="Times New Roman" w:hAnsi="Times New Roman" w:cs="Times New Roman"/>
                <w:b w:val="0"/>
                <w:bCs w:val="0"/>
              </w:rPr>
              <w:t>76-100</w:t>
            </w:r>
          </w:p>
        </w:tc>
        <w:tc>
          <w:tcPr>
            <w:tcW w:w="4788" w:type="dxa"/>
            <w:shd w:val="clear" w:color="auto" w:fill="FFFFFF" w:themeFill="background1"/>
          </w:tcPr>
          <w:p w14:paraId="2A0D1A2B" w14:textId="77777777" w:rsidR="00134FD2" w:rsidRPr="004031F2" w:rsidRDefault="00134FD2" w:rsidP="00C342C1">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4031F2">
              <w:rPr>
                <w:rFonts w:ascii="Times New Roman" w:hAnsi="Times New Roman" w:cs="Times New Roman"/>
                <w:bCs/>
              </w:rPr>
              <w:t>Very poor water quality</w:t>
            </w:r>
          </w:p>
        </w:tc>
      </w:tr>
      <w:tr w:rsidR="00134FD2" w:rsidRPr="004031F2" w14:paraId="60A4ACAC"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649E8AF6" w14:textId="77777777" w:rsidR="00134FD2" w:rsidRPr="004031F2" w:rsidRDefault="005044E0" w:rsidP="00C342C1">
            <w:pPr>
              <w:spacing w:before="120"/>
              <w:jc w:val="center"/>
              <w:rPr>
                <w:rFonts w:ascii="Times New Roman" w:hAnsi="Times New Roman" w:cs="Times New Roman"/>
                <w:b w:val="0"/>
                <w:bCs w:val="0"/>
              </w:rPr>
            </w:pPr>
            <m:oMathPara>
              <m:oMath>
                <m:r>
                  <m:rPr>
                    <m:sty m:val="bi"/>
                  </m:rPr>
                  <w:rPr>
                    <w:rFonts w:ascii="Cambria Math" w:hAnsi="Cambria Math" w:cs="Times New Roman"/>
                  </w:rPr>
                  <m:t>≫100</m:t>
                </m:r>
              </m:oMath>
            </m:oMathPara>
          </w:p>
        </w:tc>
        <w:tc>
          <w:tcPr>
            <w:tcW w:w="4788" w:type="dxa"/>
            <w:shd w:val="clear" w:color="auto" w:fill="FFFFFF" w:themeFill="background1"/>
          </w:tcPr>
          <w:p w14:paraId="3145DFBA" w14:textId="77777777" w:rsidR="00134FD2" w:rsidRPr="004031F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4031F2">
              <w:rPr>
                <w:rFonts w:ascii="Times New Roman" w:hAnsi="Times New Roman" w:cs="Times New Roman"/>
                <w:bCs/>
              </w:rPr>
              <w:t>Unsuitable for drinking</w:t>
            </w:r>
          </w:p>
        </w:tc>
      </w:tr>
    </w:tbl>
    <w:p w14:paraId="288134FA" w14:textId="77777777" w:rsidR="00134FD2" w:rsidRPr="004031F2" w:rsidRDefault="00134FD2" w:rsidP="003F0C39">
      <w:pPr>
        <w:spacing w:before="240"/>
        <w:jc w:val="both"/>
        <w:rPr>
          <w:rFonts w:ascii="Times New Roman" w:hAnsi="Times New Roman" w:cs="Times New Roman"/>
          <w:b/>
          <w:bCs/>
        </w:rPr>
        <w:sectPr w:rsidR="00134FD2" w:rsidRPr="004031F2" w:rsidSect="00C95815">
          <w:type w:val="continuous"/>
          <w:pgSz w:w="12240" w:h="15840"/>
          <w:pgMar w:top="1440" w:right="1440" w:bottom="1440" w:left="1440" w:header="720" w:footer="720" w:gutter="0"/>
          <w:cols w:space="720"/>
          <w:docGrid w:linePitch="360"/>
        </w:sectPr>
      </w:pPr>
    </w:p>
    <w:p w14:paraId="7FDA2346" w14:textId="77777777" w:rsidR="00C342C1" w:rsidRPr="004031F2" w:rsidRDefault="00C342C1" w:rsidP="003D51B4">
      <w:pPr>
        <w:spacing w:before="240" w:line="360" w:lineRule="auto"/>
        <w:jc w:val="both"/>
        <w:rPr>
          <w:rFonts w:ascii="Times New Roman" w:hAnsi="Times New Roman" w:cs="Times New Roman"/>
        </w:rPr>
        <w:sectPr w:rsidR="00C342C1" w:rsidRPr="004031F2" w:rsidSect="00C95815">
          <w:type w:val="continuous"/>
          <w:pgSz w:w="12240" w:h="15840"/>
          <w:pgMar w:top="1440" w:right="1440" w:bottom="1440" w:left="1440" w:header="720" w:footer="720" w:gutter="0"/>
          <w:cols w:space="720"/>
          <w:docGrid w:linePitch="360"/>
        </w:sectPr>
      </w:pPr>
    </w:p>
    <w:p w14:paraId="6E882711" w14:textId="77777777" w:rsidR="003D51B4" w:rsidRPr="004031F2" w:rsidRDefault="008763C0" w:rsidP="003D51B4">
      <w:pPr>
        <w:spacing w:before="240" w:line="360" w:lineRule="auto"/>
        <w:jc w:val="both"/>
        <w:rPr>
          <w:rFonts w:ascii="Times New Roman" w:hAnsi="Times New Roman" w:cs="Times New Roman"/>
        </w:rPr>
      </w:pPr>
      <w:r>
        <w:rPr>
          <w:highlight w:val="yellow"/>
        </w:rPr>
        <w:lastRenderedPageBreak/>
        <w:t>Table 2 shows the water quality status for this river. The evaluated water quality indices of the river using the models all showed that, during the rainy season, the water was of excellent quality (WQI between zero and twenty-five). The measured physico-chemical parameters were all observed to be far below the threshold limits given by the regulatory bodies, WHO and U.S. EPA, meaning that the river waters were less polluted, and these models corroborated these observations.</w:t>
      </w:r>
    </w:p>
    <w:p w14:paraId="784FB414" w14:textId="77777777" w:rsidR="005E158A" w:rsidRPr="004031F2" w:rsidRDefault="005E158A" w:rsidP="00F00DDD">
      <w:pPr>
        <w:pStyle w:val="Heading1"/>
        <w:spacing w:before="195" w:line="360" w:lineRule="auto"/>
        <w:ind w:left="0"/>
      </w:pPr>
      <w:r w:rsidRPr="004031F2">
        <w:t>CONCLUSION</w:t>
      </w:r>
    </w:p>
    <w:p w14:paraId="24BC5BAD" w14:textId="77777777" w:rsidR="005E158A" w:rsidRPr="004031F2" w:rsidRDefault="005E158A" w:rsidP="00F00DDD">
      <w:pPr>
        <w:spacing w:before="240" w:line="360" w:lineRule="auto"/>
        <w:jc w:val="both"/>
        <w:rPr>
          <w:rFonts w:ascii="Times New Roman" w:hAnsi="Times New Roman" w:cs="Times New Roman"/>
        </w:rPr>
      </w:pPr>
      <w:r>
        <w:rPr>
          <w:highlight w:val="yellow"/>
        </w:rPr>
        <w:t>This study assessed the water quality of four rivers in Lafia Local Government Area, Nasarawa State, using selected physico-chemical parameters and a newly developed water quality index model. The measured values for pH, temperature, dissolved oxygen, biochemical oxygen demand, chemical oxygen demand and electrical conductivity were generally below or within the referenced permissible limits for domestic water. Seasonal differences were observed, but they were not large enough to suggest marked deterioration during either the dry or wet season. The TIMOMAM model was developed using pH, temperature, dissolved oxygen and biochemical oxygen demand, while chemical oxygen demand and electrical conductivity were not retained because they did not fit the model. The model explained 98.08% of the variation in the water quality index and produced a mean value of 19.32 for Shabu River in the wet season. This value was close to the weighted arithmetic result of 19.43 and within the same quality category as the Oregon model result of 4.95. Based on the water quality status scale used in the study, the assessed river water was classified as excellent. Continued local protection of the rivers from waste disposal, runoff and animal grazing remains necessary for sustaining these conditions appropriately over time.</w:t>
      </w:r>
    </w:p>
    <w:p w14:paraId="6915D1CA" w14:textId="77777777" w:rsidR="000C4B26" w:rsidRPr="004031F2" w:rsidRDefault="000C4B26" w:rsidP="00152EEA">
      <w:pPr>
        <w:spacing w:line="360" w:lineRule="auto"/>
        <w:jc w:val="both"/>
        <w:rPr>
          <w:rFonts w:ascii="Times New Roman" w:hAnsi="Times New Roman" w:cs="Times New Roman"/>
        </w:rPr>
      </w:pPr>
    </w:p>
    <w:p w14:paraId="051E1957" w14:textId="77777777" w:rsidR="00077C8F" w:rsidRDefault="00000000">
      <w:pPr>
        <w:pStyle w:val="NoSpacing"/>
      </w:pPr>
      <w:r>
        <w:rPr>
          <w:b/>
          <w:highlight w:val="yellow"/>
        </w:rPr>
        <w:t>LIMITATIONS</w:t>
      </w:r>
    </w:p>
    <w:p w14:paraId="6EBEC1BF" w14:textId="77777777" w:rsidR="00077C8F" w:rsidRDefault="00000000">
      <w:r>
        <w:rPr>
          <w:highlight w:val="yellow"/>
        </w:rPr>
        <w:t>This study was limited to four rivers within Lafia Local Government Area and to samples collected during two seasonal periods in 2020. The findings therefore describe the water quality status at the sampled locations and periods, but they may not represent conditions throughout the year or across all sections of the rivers. Only selected physico-chemical parameters were analysed, namely pH, temperature, dissolved oxygen, biochemical oxygen demand, chemical oxygen demand and electrical conductivity. Other potentially relevant indicators, including microbial quality, nutrients, heavy metals and emerging contaminants, were not included in the model development. The TIMOMAM model was developed from the dataset generated in this study and was evaluated using Shabu River data; wider validation with independent datasets from other rivers and seasons would be required before broader application. The study also relied on comparisons with regulatory guideline values, which may differ according to water-use purpose and jurisdiction in different local settings.</w:t>
      </w:r>
    </w:p>
    <w:p w14:paraId="271B9D7F" w14:textId="77777777" w:rsidR="000C4B26" w:rsidRPr="004031F2" w:rsidRDefault="000C4B26" w:rsidP="000C4B26">
      <w:pPr>
        <w:pStyle w:val="NoSpacing"/>
        <w:rPr>
          <w:rFonts w:ascii="Times New Roman" w:hAnsi="Times New Roman" w:cs="Times New Roman"/>
        </w:rPr>
      </w:pPr>
      <w:bookmarkStart w:id="0" w:name="_Hlk198031404"/>
      <w:r w:rsidRPr="004031F2">
        <w:rPr>
          <w:rFonts w:ascii="Times New Roman" w:hAnsi="Times New Roman" w:cs="Times New Roman"/>
        </w:rPr>
        <w:lastRenderedPageBreak/>
        <w:t>Disclaimer (Artificial intelligence)</w:t>
      </w:r>
    </w:p>
    <w:p w14:paraId="6975D432" w14:textId="77777777" w:rsidR="000C4B26" w:rsidRPr="004031F2" w:rsidRDefault="000C4B26" w:rsidP="000C4B26">
      <w:pPr>
        <w:pStyle w:val="NoSpacing"/>
        <w:rPr>
          <w:rFonts w:ascii="Times New Roman" w:hAnsi="Times New Roman" w:cs="Times New Roman"/>
        </w:rPr>
      </w:pPr>
    </w:p>
    <w:p w14:paraId="685A71CE" w14:textId="77777777" w:rsidR="000C4B26" w:rsidRPr="004031F2" w:rsidRDefault="000C4B26" w:rsidP="000C4B26">
      <w:pPr>
        <w:pStyle w:val="NoSpacing"/>
        <w:rPr>
          <w:rFonts w:ascii="Times New Roman" w:hAnsi="Times New Roman" w:cs="Times New Roman"/>
        </w:rPr>
      </w:pPr>
      <w:r w:rsidRPr="004031F2">
        <w:rPr>
          <w:rFonts w:ascii="Times New Roman" w:hAnsi="Times New Roman" w:cs="Times New Roman"/>
        </w:rPr>
        <w:t xml:space="preserve">Author(s) hereby declare that NO generative AI technologies such as Large Language Models (ChatGPT, COPILOT, etc.) and text-to-image generators have been used during the writing or editing of this manuscript. </w:t>
      </w:r>
    </w:p>
    <w:bookmarkEnd w:id="0"/>
    <w:p w14:paraId="70CCDE66" w14:textId="77777777" w:rsidR="000C4B26" w:rsidRPr="004031F2" w:rsidRDefault="000C4B26" w:rsidP="00152EEA">
      <w:pPr>
        <w:spacing w:line="360" w:lineRule="auto"/>
        <w:jc w:val="both"/>
        <w:rPr>
          <w:rFonts w:ascii="Times New Roman" w:hAnsi="Times New Roman" w:cs="Times New Roman"/>
        </w:rPr>
      </w:pPr>
    </w:p>
    <w:p w14:paraId="7E7CE4D7" w14:textId="77777777" w:rsidR="000C2209" w:rsidRPr="004031F2" w:rsidRDefault="000C2209" w:rsidP="000E244F">
      <w:pPr>
        <w:pStyle w:val="Default"/>
        <w:spacing w:before="240" w:after="8" w:line="360" w:lineRule="auto"/>
        <w:ind w:left="720" w:hanging="720"/>
        <w:jc w:val="both"/>
        <w:rPr>
          <w:b/>
          <w:sz w:val="22"/>
          <w:szCs w:val="22"/>
        </w:rPr>
      </w:pPr>
      <w:r w:rsidRPr="004031F2">
        <w:rPr>
          <w:b/>
          <w:sz w:val="22"/>
          <w:szCs w:val="22"/>
        </w:rPr>
        <w:t>REFERENCE</w:t>
      </w:r>
      <w:r w:rsidR="00407803" w:rsidRPr="004031F2">
        <w:rPr>
          <w:b/>
          <w:sz w:val="22"/>
          <w:szCs w:val="22"/>
        </w:rPr>
        <w:t>S</w:t>
      </w:r>
    </w:p>
    <w:p w14:paraId="1E3BBFD2"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Abulude, F. O., Akinnusotu, A., Adeoya, E. A., Mabayoje, S. O., Oluwagbayide, S. D., Arifalo, K. M., &amp; Adamu, A. (2023). Quality of surface and ground water in three states of Nigeria: Assessment of physicochemical characteristics and selected contamination patterns. </w:t>
      </w:r>
      <w:r w:rsidRPr="00762E9F">
        <w:rPr>
          <w:rFonts w:ascii="Aptos" w:eastAsia="Aptos" w:hAnsi="Aptos" w:cs="Times New Roman"/>
          <w:i/>
          <w:iCs/>
          <w:kern w:val="2"/>
          <w:lang w:val="en-IN"/>
          <w14:ligatures w14:val="standardContextual"/>
        </w:rPr>
        <w:t>Environmental Sciences Proceedings, 25</w:t>
      </w:r>
      <w:r w:rsidRPr="00762E9F">
        <w:rPr>
          <w:rFonts w:ascii="Aptos" w:eastAsia="Aptos" w:hAnsi="Aptos" w:cs="Times New Roman"/>
          <w:kern w:val="2"/>
          <w:lang w:val="en-IN"/>
          <w14:ligatures w14:val="standardContextual"/>
        </w:rPr>
        <w:t xml:space="preserve">(1), Article 48. </w:t>
      </w:r>
      <w:hyperlink r:id="rId19" w:history="1">
        <w:r w:rsidRPr="00762E9F">
          <w:rPr>
            <w:rFonts w:ascii="Aptos" w:eastAsia="Aptos" w:hAnsi="Aptos" w:cs="Times New Roman"/>
            <w:color w:val="467886"/>
            <w:kern w:val="2"/>
            <w:u w:val="single"/>
            <w:lang w:val="en-IN"/>
            <w14:ligatures w14:val="standardContextual"/>
          </w:rPr>
          <w:t>https://doi.org/10.3390/ECWS-7-14258</w:t>
        </w:r>
      </w:hyperlink>
    </w:p>
    <w:p w14:paraId="753A96B4"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American Public Health Association, American Water Works Association, &amp; Water Environment Federation. (2023). </w:t>
      </w:r>
      <w:r w:rsidRPr="00762E9F">
        <w:rPr>
          <w:rFonts w:ascii="Aptos" w:eastAsia="Aptos" w:hAnsi="Aptos" w:cs="Times New Roman"/>
          <w:i/>
          <w:iCs/>
          <w:kern w:val="2"/>
          <w:lang w:val="en-IN"/>
          <w14:ligatures w14:val="standardContextual"/>
        </w:rPr>
        <w:t>Standard methods for the examination of water and wastewater</w:t>
      </w:r>
      <w:r w:rsidRPr="00762E9F">
        <w:rPr>
          <w:rFonts w:ascii="Aptos" w:eastAsia="Aptos" w:hAnsi="Aptos" w:cs="Times New Roman"/>
          <w:kern w:val="2"/>
          <w:lang w:val="en-IN"/>
          <w14:ligatures w14:val="standardContextual"/>
        </w:rPr>
        <w:t xml:space="preserve"> (24th ed.). APHA Press. </w:t>
      </w:r>
      <w:hyperlink r:id="rId20" w:history="1">
        <w:r w:rsidRPr="00762E9F">
          <w:rPr>
            <w:rFonts w:ascii="Aptos" w:eastAsia="Aptos" w:hAnsi="Aptos" w:cs="Times New Roman"/>
            <w:color w:val="467886"/>
            <w:kern w:val="2"/>
            <w:u w:val="single"/>
            <w:lang w:val="en-IN"/>
            <w14:ligatures w14:val="standardContextual"/>
          </w:rPr>
          <w:t>https://secure.apha.org/imis/ItemDetail?CATEGORY=BK&amp;iProductCode=978-087553-2998</w:t>
        </w:r>
      </w:hyperlink>
    </w:p>
    <w:p w14:paraId="63B4792A"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Brown, R. M., McClelland, N. I., Deininger, R. A., &amp; Tozer, R. G. (1970). A water quality index: Do we dare? </w:t>
      </w:r>
      <w:r w:rsidRPr="00762E9F">
        <w:rPr>
          <w:rFonts w:ascii="Aptos" w:eastAsia="Aptos" w:hAnsi="Aptos" w:cs="Times New Roman"/>
          <w:i/>
          <w:iCs/>
          <w:kern w:val="2"/>
          <w:lang w:val="en-IN"/>
          <w14:ligatures w14:val="standardContextual"/>
        </w:rPr>
        <w:t>Water &amp; Sewage Works, 117</w:t>
      </w:r>
      <w:r w:rsidRPr="00762E9F">
        <w:rPr>
          <w:rFonts w:ascii="Aptos" w:eastAsia="Aptos" w:hAnsi="Aptos" w:cs="Times New Roman"/>
          <w:kern w:val="2"/>
          <w:lang w:val="en-IN"/>
          <w14:ligatures w14:val="standardContextual"/>
        </w:rPr>
        <w:t xml:space="preserve">(10), 339–343. </w:t>
      </w:r>
    </w:p>
    <w:p w14:paraId="1D99312D"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Cude, C. G. (2001). Oregon Water Quality Index: A tool for evaluating water quality management effectiveness. </w:t>
      </w:r>
      <w:r w:rsidRPr="00762E9F">
        <w:rPr>
          <w:rFonts w:ascii="Aptos" w:eastAsia="Aptos" w:hAnsi="Aptos" w:cs="Times New Roman"/>
          <w:i/>
          <w:iCs/>
          <w:kern w:val="2"/>
          <w:lang w:val="en-IN"/>
          <w14:ligatures w14:val="standardContextual"/>
        </w:rPr>
        <w:t>Journal of the American Water Resources Association, 37</w:t>
      </w:r>
      <w:r w:rsidRPr="00762E9F">
        <w:rPr>
          <w:rFonts w:ascii="Aptos" w:eastAsia="Aptos" w:hAnsi="Aptos" w:cs="Times New Roman"/>
          <w:kern w:val="2"/>
          <w:lang w:val="en-IN"/>
          <w14:ligatures w14:val="standardContextual"/>
        </w:rPr>
        <w:t xml:space="preserve">(1), 125–137. </w:t>
      </w:r>
      <w:hyperlink r:id="rId21" w:history="1">
        <w:r w:rsidRPr="00762E9F">
          <w:rPr>
            <w:rFonts w:ascii="Aptos" w:eastAsia="Aptos" w:hAnsi="Aptos" w:cs="Times New Roman"/>
            <w:color w:val="467886"/>
            <w:kern w:val="2"/>
            <w:u w:val="single"/>
            <w:lang w:val="en-IN"/>
            <w14:ligatures w14:val="standardContextual"/>
          </w:rPr>
          <w:t>https://doi.org/10.1111/j.1752-1688.2001.tb05480.x</w:t>
        </w:r>
      </w:hyperlink>
    </w:p>
    <w:p w14:paraId="19005AED"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De Leeuw, J., Lamb, M. P., Parker, G., Moodie, A. J., Haught, D., Venditti, J. G., &amp; Nittrouer, J. A. (2020). Entrainment and suspension of sand and gravel. </w:t>
      </w:r>
      <w:r w:rsidRPr="00762E9F">
        <w:rPr>
          <w:rFonts w:ascii="Aptos" w:eastAsia="Aptos" w:hAnsi="Aptos" w:cs="Times New Roman"/>
          <w:i/>
          <w:iCs/>
          <w:kern w:val="2"/>
          <w:lang w:val="en-IN"/>
          <w14:ligatures w14:val="standardContextual"/>
        </w:rPr>
        <w:t>Earth Surface Dynamics, 8</w:t>
      </w:r>
      <w:r w:rsidRPr="00762E9F">
        <w:rPr>
          <w:rFonts w:ascii="Aptos" w:eastAsia="Aptos" w:hAnsi="Aptos" w:cs="Times New Roman"/>
          <w:kern w:val="2"/>
          <w:lang w:val="en-IN"/>
          <w14:ligatures w14:val="standardContextual"/>
        </w:rPr>
        <w:t xml:space="preserve">(2), 485–504. </w:t>
      </w:r>
      <w:hyperlink r:id="rId22" w:history="1">
        <w:r w:rsidRPr="00762E9F">
          <w:rPr>
            <w:rFonts w:ascii="Aptos" w:eastAsia="Aptos" w:hAnsi="Aptos" w:cs="Times New Roman"/>
            <w:color w:val="467886"/>
            <w:kern w:val="2"/>
            <w:u w:val="single"/>
            <w:lang w:val="en-IN"/>
            <w14:ligatures w14:val="standardContextual"/>
          </w:rPr>
          <w:t>https://doi.org/10.5194/esurf-8-485-2020</w:t>
        </w:r>
      </w:hyperlink>
    </w:p>
    <w:p w14:paraId="3DACE5D4"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Duan, Q., &amp; Duan, A. (2020). The energy and water cycles under climate change. </w:t>
      </w:r>
      <w:r w:rsidRPr="00762E9F">
        <w:rPr>
          <w:rFonts w:ascii="Aptos" w:eastAsia="Aptos" w:hAnsi="Aptos" w:cs="Times New Roman"/>
          <w:i/>
          <w:iCs/>
          <w:kern w:val="2"/>
          <w:lang w:val="en-IN"/>
          <w14:ligatures w14:val="standardContextual"/>
        </w:rPr>
        <w:t>National Science Review, 7</w:t>
      </w:r>
      <w:r w:rsidRPr="00762E9F">
        <w:rPr>
          <w:rFonts w:ascii="Aptos" w:eastAsia="Aptos" w:hAnsi="Aptos" w:cs="Times New Roman"/>
          <w:kern w:val="2"/>
          <w:lang w:val="en-IN"/>
          <w14:ligatures w14:val="standardContextual"/>
        </w:rPr>
        <w:t xml:space="preserve">(3), 553–557. </w:t>
      </w:r>
      <w:hyperlink r:id="rId23" w:history="1">
        <w:r w:rsidRPr="00762E9F">
          <w:rPr>
            <w:rFonts w:ascii="Aptos" w:eastAsia="Aptos" w:hAnsi="Aptos" w:cs="Times New Roman"/>
            <w:color w:val="467886"/>
            <w:kern w:val="2"/>
            <w:u w:val="single"/>
            <w:lang w:val="en-IN"/>
            <w14:ligatures w14:val="standardContextual"/>
          </w:rPr>
          <w:t>https://doi.org/10.1093/nsr/nwaa003</w:t>
        </w:r>
      </w:hyperlink>
    </w:p>
    <w:p w14:paraId="2CF9C48B"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GBD 2021 Diarrhoeal Diseases Collaborators. (2025). Global, regional, and national age-sex-specific burden of diarrhoeal diseases, their risk factors, and aetiologies, 1990–2021, for 204 countries and territories: A systematic analysis for the Global Burden of Disease Study 2021. </w:t>
      </w:r>
      <w:r w:rsidRPr="00762E9F">
        <w:rPr>
          <w:rFonts w:ascii="Aptos" w:eastAsia="Aptos" w:hAnsi="Aptos" w:cs="Times New Roman"/>
          <w:i/>
          <w:iCs/>
          <w:kern w:val="2"/>
          <w:lang w:val="en-IN"/>
          <w14:ligatures w14:val="standardContextual"/>
        </w:rPr>
        <w:t>The Lancet Infectious Diseases, 25</w:t>
      </w:r>
      <w:r w:rsidRPr="00762E9F">
        <w:rPr>
          <w:rFonts w:ascii="Aptos" w:eastAsia="Aptos" w:hAnsi="Aptos" w:cs="Times New Roman"/>
          <w:kern w:val="2"/>
          <w:lang w:val="en-IN"/>
          <w14:ligatures w14:val="standardContextual"/>
        </w:rPr>
        <w:t xml:space="preserve">(5), 519–536. </w:t>
      </w:r>
      <w:hyperlink r:id="rId24" w:history="1">
        <w:r w:rsidRPr="00762E9F">
          <w:rPr>
            <w:rFonts w:ascii="Aptos" w:eastAsia="Aptos" w:hAnsi="Aptos" w:cs="Times New Roman"/>
            <w:color w:val="467886"/>
            <w:kern w:val="2"/>
            <w:u w:val="single"/>
            <w:lang w:val="en-IN"/>
            <w14:ligatures w14:val="standardContextual"/>
          </w:rPr>
          <w:t>https://doi.org/10.1016/S1473-3099(24)00691-1</w:t>
        </w:r>
      </w:hyperlink>
    </w:p>
    <w:p w14:paraId="04F5C9C3"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Ighalo, J. O., Adeniyi, A. G., Adeniran, J. A., &amp; Ogunniyi, S. (2021). A systematic literature analysis of the nature and regional distribution of water pollution sources in Nigeria. </w:t>
      </w:r>
      <w:r w:rsidRPr="00762E9F">
        <w:rPr>
          <w:rFonts w:ascii="Aptos" w:eastAsia="Aptos" w:hAnsi="Aptos" w:cs="Times New Roman"/>
          <w:i/>
          <w:iCs/>
          <w:kern w:val="2"/>
          <w:lang w:val="en-IN"/>
          <w14:ligatures w14:val="standardContextual"/>
        </w:rPr>
        <w:t>Journal of Cleaner Production, 283</w:t>
      </w:r>
      <w:r w:rsidRPr="00762E9F">
        <w:rPr>
          <w:rFonts w:ascii="Aptos" w:eastAsia="Aptos" w:hAnsi="Aptos" w:cs="Times New Roman"/>
          <w:kern w:val="2"/>
          <w:lang w:val="en-IN"/>
          <w14:ligatures w14:val="standardContextual"/>
        </w:rPr>
        <w:t xml:space="preserve">, Article 124566. </w:t>
      </w:r>
      <w:hyperlink r:id="rId25" w:history="1">
        <w:r w:rsidRPr="00762E9F">
          <w:rPr>
            <w:rFonts w:ascii="Aptos" w:eastAsia="Aptos" w:hAnsi="Aptos" w:cs="Times New Roman"/>
            <w:color w:val="467886"/>
            <w:kern w:val="2"/>
            <w:u w:val="single"/>
            <w:lang w:val="en-IN"/>
            <w14:ligatures w14:val="standardContextual"/>
          </w:rPr>
          <w:t>https://doi.org/10.1016/j.jclepro.2020.124566</w:t>
        </w:r>
      </w:hyperlink>
    </w:p>
    <w:p w14:paraId="6449F955"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Koutsoyiannis, D. (2020). Revisiting the global hydrological cycle: Is it intensifying? </w:t>
      </w:r>
      <w:r w:rsidRPr="00762E9F">
        <w:rPr>
          <w:rFonts w:ascii="Aptos" w:eastAsia="Aptos" w:hAnsi="Aptos" w:cs="Times New Roman"/>
          <w:i/>
          <w:iCs/>
          <w:kern w:val="2"/>
          <w:lang w:val="en-IN"/>
          <w14:ligatures w14:val="standardContextual"/>
        </w:rPr>
        <w:t>Hydrology and Earth System Sciences, 24</w:t>
      </w:r>
      <w:r w:rsidRPr="00762E9F">
        <w:rPr>
          <w:rFonts w:ascii="Aptos" w:eastAsia="Aptos" w:hAnsi="Aptos" w:cs="Times New Roman"/>
          <w:kern w:val="2"/>
          <w:lang w:val="en-IN"/>
          <w14:ligatures w14:val="standardContextual"/>
        </w:rPr>
        <w:t xml:space="preserve">(8), 3899–3932. </w:t>
      </w:r>
      <w:hyperlink r:id="rId26" w:history="1">
        <w:r w:rsidRPr="00762E9F">
          <w:rPr>
            <w:rFonts w:ascii="Aptos" w:eastAsia="Aptos" w:hAnsi="Aptos" w:cs="Times New Roman"/>
            <w:color w:val="467886"/>
            <w:kern w:val="2"/>
            <w:u w:val="single"/>
            <w:lang w:val="en-IN"/>
            <w14:ligatures w14:val="standardContextual"/>
          </w:rPr>
          <w:t>https://doi.org/10.5194/hess-24-3899-2020</w:t>
        </w:r>
      </w:hyperlink>
    </w:p>
    <w:p w14:paraId="04EF1444"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Müller, A., Österlund, H., Marsalek, J., &amp; Viklander, M. (2020). The pollution conveyed by urban runoff: A review of sources. </w:t>
      </w:r>
      <w:r w:rsidRPr="00762E9F">
        <w:rPr>
          <w:rFonts w:ascii="Aptos" w:eastAsia="Aptos" w:hAnsi="Aptos" w:cs="Times New Roman"/>
          <w:i/>
          <w:iCs/>
          <w:kern w:val="2"/>
          <w:lang w:val="en-IN"/>
          <w14:ligatures w14:val="standardContextual"/>
        </w:rPr>
        <w:t>Science of the Total Environment, 709</w:t>
      </w:r>
      <w:r w:rsidRPr="00762E9F">
        <w:rPr>
          <w:rFonts w:ascii="Aptos" w:eastAsia="Aptos" w:hAnsi="Aptos" w:cs="Times New Roman"/>
          <w:kern w:val="2"/>
          <w:lang w:val="en-IN"/>
          <w14:ligatures w14:val="standardContextual"/>
        </w:rPr>
        <w:t xml:space="preserve">, Article 136125. </w:t>
      </w:r>
      <w:hyperlink r:id="rId27" w:history="1">
        <w:r w:rsidRPr="00762E9F">
          <w:rPr>
            <w:rFonts w:ascii="Aptos" w:eastAsia="Aptos" w:hAnsi="Aptos" w:cs="Times New Roman"/>
            <w:color w:val="467886"/>
            <w:kern w:val="2"/>
            <w:u w:val="single"/>
            <w:lang w:val="en-IN"/>
            <w14:ligatures w14:val="standardContextual"/>
          </w:rPr>
          <w:t>https://doi.org/10.1016/j.scitotenv.2019.136125</w:t>
        </w:r>
      </w:hyperlink>
    </w:p>
    <w:p w14:paraId="62E914C5"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National Bureau of Statistics. (2016). </w:t>
      </w:r>
      <w:r w:rsidRPr="00762E9F">
        <w:rPr>
          <w:rFonts w:ascii="Aptos" w:eastAsia="Aptos" w:hAnsi="Aptos" w:cs="Times New Roman"/>
          <w:i/>
          <w:iCs/>
          <w:kern w:val="2"/>
          <w:lang w:val="en-IN"/>
          <w14:ligatures w14:val="standardContextual"/>
        </w:rPr>
        <w:t>Population 2006–2016</w:t>
      </w:r>
      <w:r w:rsidRPr="00762E9F">
        <w:rPr>
          <w:rFonts w:ascii="Aptos" w:eastAsia="Aptos" w:hAnsi="Aptos" w:cs="Times New Roman"/>
          <w:kern w:val="2"/>
          <w:lang w:val="en-IN"/>
          <w14:ligatures w14:val="standardContextual"/>
        </w:rPr>
        <w:t xml:space="preserve">. </w:t>
      </w:r>
      <w:hyperlink r:id="rId28" w:history="1">
        <w:r w:rsidRPr="00762E9F">
          <w:rPr>
            <w:rFonts w:ascii="Aptos" w:eastAsia="Aptos" w:hAnsi="Aptos" w:cs="Times New Roman"/>
            <w:color w:val="467886"/>
            <w:kern w:val="2"/>
            <w:u w:val="single"/>
            <w:lang w:val="en-IN"/>
            <w14:ligatures w14:val="standardContextual"/>
          </w:rPr>
          <w:t>https://nigerianstat.gov.ng/download/474</w:t>
        </w:r>
      </w:hyperlink>
    </w:p>
    <w:p w14:paraId="22CEBFE1"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lastRenderedPageBreak/>
        <w:t xml:space="preserve">Ogbe, K. U., Dauda, T., Samdare, P. O., Idowu, I. D., Omada, O. I., Daniel, A. E., Efemena, B. A., &amp; Enebere, A. S. (2025). Water quality status of Nigeria surface water through physicochemical parameters: An empirical review. </w:t>
      </w:r>
      <w:r w:rsidRPr="00762E9F">
        <w:rPr>
          <w:rFonts w:ascii="Aptos" w:eastAsia="Aptos" w:hAnsi="Aptos" w:cs="Times New Roman"/>
          <w:i/>
          <w:iCs/>
          <w:kern w:val="2"/>
          <w:lang w:val="en-IN"/>
          <w14:ligatures w14:val="standardContextual"/>
        </w:rPr>
        <w:t>Sahel Journal of Life Sciences FUDMA, 3</w:t>
      </w:r>
      <w:r w:rsidRPr="00762E9F">
        <w:rPr>
          <w:rFonts w:ascii="Aptos" w:eastAsia="Aptos" w:hAnsi="Aptos" w:cs="Times New Roman"/>
          <w:kern w:val="2"/>
          <w:lang w:val="en-IN"/>
          <w14:ligatures w14:val="standardContextual"/>
        </w:rPr>
        <w:t xml:space="preserve">(2), 139–147. </w:t>
      </w:r>
      <w:hyperlink r:id="rId29" w:history="1">
        <w:r w:rsidRPr="00762E9F">
          <w:rPr>
            <w:rFonts w:ascii="Aptos" w:eastAsia="Aptos" w:hAnsi="Aptos" w:cs="Times New Roman"/>
            <w:color w:val="467886"/>
            <w:kern w:val="2"/>
            <w:u w:val="single"/>
            <w:lang w:val="en-IN"/>
            <w14:ligatures w14:val="standardContextual"/>
          </w:rPr>
          <w:t>https://doi.org/10.33003/sajols-2025-0302-17</w:t>
        </w:r>
      </w:hyperlink>
    </w:p>
    <w:p w14:paraId="70A3ED4E"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Ojo, O. I., Coker, A. O., Omotosho, O. A., Atta, A. T., &amp; Yahaya, A. I. (2026). Assessment of physicochemical and microbial quality of water sources in Lagos urban slum: Implications for public health and environmental engineering. </w:t>
      </w:r>
      <w:r w:rsidRPr="00762E9F">
        <w:rPr>
          <w:rFonts w:ascii="Aptos" w:eastAsia="Aptos" w:hAnsi="Aptos" w:cs="Times New Roman"/>
          <w:i/>
          <w:iCs/>
          <w:kern w:val="2"/>
          <w:lang w:val="en-IN"/>
          <w14:ligatures w14:val="standardContextual"/>
        </w:rPr>
        <w:t>FUOYE Journal of Engineering and Technology, 11</w:t>
      </w:r>
      <w:r w:rsidRPr="00762E9F">
        <w:rPr>
          <w:rFonts w:ascii="Aptos" w:eastAsia="Aptos" w:hAnsi="Aptos" w:cs="Times New Roman"/>
          <w:kern w:val="2"/>
          <w:lang w:val="en-IN"/>
          <w14:ligatures w14:val="standardContextual"/>
        </w:rPr>
        <w:t xml:space="preserve">(1), 28–33. </w:t>
      </w:r>
      <w:hyperlink r:id="rId30" w:history="1">
        <w:r w:rsidRPr="00762E9F">
          <w:rPr>
            <w:rFonts w:ascii="Aptos" w:eastAsia="Aptos" w:hAnsi="Aptos" w:cs="Times New Roman"/>
            <w:color w:val="467886"/>
            <w:kern w:val="2"/>
            <w:u w:val="single"/>
            <w:lang w:val="en-IN"/>
            <w14:ligatures w14:val="standardContextual"/>
          </w:rPr>
          <w:t>https://doi.org/10.4314/fuoyejet.v11i1.6</w:t>
        </w:r>
      </w:hyperlink>
    </w:p>
    <w:p w14:paraId="5BD3CFFB"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Onojake, M. C., Sikoki, F. D., Omokheyeke, O., &amp; Akpiri, R. U. (2017). Surface water characteristics and trace metals level of the Bonny/New Calabar River Estuary, Niger Delta, Nigeria. </w:t>
      </w:r>
      <w:r w:rsidRPr="00762E9F">
        <w:rPr>
          <w:rFonts w:ascii="Aptos" w:eastAsia="Aptos" w:hAnsi="Aptos" w:cs="Times New Roman"/>
          <w:i/>
          <w:iCs/>
          <w:kern w:val="2"/>
          <w:lang w:val="en-IN"/>
          <w14:ligatures w14:val="standardContextual"/>
        </w:rPr>
        <w:t>Applied Water Science, 7</w:t>
      </w:r>
      <w:r w:rsidRPr="00762E9F">
        <w:rPr>
          <w:rFonts w:ascii="Aptos" w:eastAsia="Aptos" w:hAnsi="Aptos" w:cs="Times New Roman"/>
          <w:kern w:val="2"/>
          <w:lang w:val="en-IN"/>
          <w14:ligatures w14:val="standardContextual"/>
        </w:rPr>
        <w:t xml:space="preserve">, 951–959. </w:t>
      </w:r>
      <w:hyperlink r:id="rId31" w:history="1">
        <w:r w:rsidRPr="00762E9F">
          <w:rPr>
            <w:rFonts w:ascii="Aptos" w:eastAsia="Aptos" w:hAnsi="Aptos" w:cs="Times New Roman"/>
            <w:color w:val="467886"/>
            <w:kern w:val="2"/>
            <w:u w:val="single"/>
            <w:lang w:val="en-IN"/>
            <w14:ligatures w14:val="standardContextual"/>
          </w:rPr>
          <w:t>https://doi.org/10.1007/s13201-015-0306-y</w:t>
        </w:r>
      </w:hyperlink>
    </w:p>
    <w:p w14:paraId="67DEB9C1"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Standards Organisation of Nigeria. (2015). </w:t>
      </w:r>
      <w:r w:rsidRPr="00762E9F">
        <w:rPr>
          <w:rFonts w:ascii="Aptos" w:eastAsia="Aptos" w:hAnsi="Aptos" w:cs="Times New Roman"/>
          <w:i/>
          <w:iCs/>
          <w:kern w:val="2"/>
          <w:lang w:val="en-IN"/>
          <w14:ligatures w14:val="standardContextual"/>
        </w:rPr>
        <w:t>Nigerian standard for drinking water quality</w:t>
      </w:r>
      <w:r w:rsidRPr="00762E9F">
        <w:rPr>
          <w:rFonts w:ascii="Aptos" w:eastAsia="Aptos" w:hAnsi="Aptos" w:cs="Times New Roman"/>
          <w:kern w:val="2"/>
          <w:lang w:val="en-IN"/>
          <w14:ligatures w14:val="standardContextual"/>
        </w:rPr>
        <w:t xml:space="preserve">. </w:t>
      </w:r>
    </w:p>
    <w:p w14:paraId="66891EB1"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U.S. Environmental Protection Agency. (2026). </w:t>
      </w:r>
      <w:r w:rsidRPr="00762E9F">
        <w:rPr>
          <w:rFonts w:ascii="Aptos" w:eastAsia="Aptos" w:hAnsi="Aptos" w:cs="Times New Roman"/>
          <w:i/>
          <w:iCs/>
          <w:kern w:val="2"/>
          <w:lang w:val="en-IN"/>
          <w14:ligatures w14:val="standardContextual"/>
        </w:rPr>
        <w:t>Secondary drinking water standards: Guidance for nuisance chemicals</w:t>
      </w:r>
      <w:r w:rsidRPr="00762E9F">
        <w:rPr>
          <w:rFonts w:ascii="Aptos" w:eastAsia="Aptos" w:hAnsi="Aptos" w:cs="Times New Roman"/>
          <w:kern w:val="2"/>
          <w:lang w:val="en-IN"/>
          <w14:ligatures w14:val="standardContextual"/>
        </w:rPr>
        <w:t xml:space="preserve">. </w:t>
      </w:r>
      <w:hyperlink r:id="rId32" w:history="1">
        <w:r w:rsidRPr="00762E9F">
          <w:rPr>
            <w:rFonts w:ascii="Aptos" w:eastAsia="Aptos" w:hAnsi="Aptos" w:cs="Times New Roman"/>
            <w:color w:val="467886"/>
            <w:kern w:val="2"/>
            <w:u w:val="single"/>
            <w:lang w:val="en-IN"/>
            <w14:ligatures w14:val="standardContextual"/>
          </w:rPr>
          <w:t>https://www.epa.gov/sdwa/secondary-drinking-water-standards-guidance-nuisance-chemicals</w:t>
        </w:r>
      </w:hyperlink>
    </w:p>
    <w:p w14:paraId="356B56A0"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Umar, H. I. (2020). A review of the major source and effect of pollution in inland water bodies of Nigeria. </w:t>
      </w:r>
      <w:r w:rsidRPr="00762E9F">
        <w:rPr>
          <w:rFonts w:ascii="Aptos" w:eastAsia="Aptos" w:hAnsi="Aptos" w:cs="Times New Roman"/>
          <w:i/>
          <w:iCs/>
          <w:kern w:val="2"/>
          <w:lang w:val="en-IN"/>
          <w14:ligatures w14:val="standardContextual"/>
        </w:rPr>
        <w:t>International Journal of Engineering Research &amp; Technology, 9</w:t>
      </w:r>
      <w:r w:rsidRPr="00762E9F">
        <w:rPr>
          <w:rFonts w:ascii="Aptos" w:eastAsia="Aptos" w:hAnsi="Aptos" w:cs="Times New Roman"/>
          <w:kern w:val="2"/>
          <w:lang w:val="en-IN"/>
          <w14:ligatures w14:val="standardContextual"/>
        </w:rPr>
        <w:t xml:space="preserve">(6). </w:t>
      </w:r>
      <w:hyperlink r:id="rId33" w:history="1">
        <w:r w:rsidRPr="00762E9F">
          <w:rPr>
            <w:rFonts w:ascii="Aptos" w:eastAsia="Aptos" w:hAnsi="Aptos" w:cs="Times New Roman"/>
            <w:color w:val="467886"/>
            <w:kern w:val="2"/>
            <w:u w:val="single"/>
            <w:lang w:val="en-IN"/>
            <w14:ligatures w14:val="standardContextual"/>
          </w:rPr>
          <w:t>https://doi.org/10.17577/IJERTV9IS060522</w:t>
        </w:r>
      </w:hyperlink>
    </w:p>
    <w:p w14:paraId="71E7084C"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World Health Organization. (2022). </w:t>
      </w:r>
      <w:r w:rsidRPr="00762E9F">
        <w:rPr>
          <w:rFonts w:ascii="Aptos" w:eastAsia="Aptos" w:hAnsi="Aptos" w:cs="Times New Roman"/>
          <w:i/>
          <w:iCs/>
          <w:kern w:val="2"/>
          <w:lang w:val="en-IN"/>
          <w14:ligatures w14:val="standardContextual"/>
        </w:rPr>
        <w:t>Guidelines for drinking-water quality: Fourth edition incorporating the first and second addenda</w:t>
      </w:r>
      <w:r w:rsidRPr="00762E9F">
        <w:rPr>
          <w:rFonts w:ascii="Aptos" w:eastAsia="Aptos" w:hAnsi="Aptos" w:cs="Times New Roman"/>
          <w:kern w:val="2"/>
          <w:lang w:val="en-IN"/>
          <w14:ligatures w14:val="standardContextual"/>
        </w:rPr>
        <w:t xml:space="preserve">. </w:t>
      </w:r>
      <w:hyperlink r:id="rId34" w:history="1">
        <w:r w:rsidRPr="00762E9F">
          <w:rPr>
            <w:rFonts w:ascii="Aptos" w:eastAsia="Aptos" w:hAnsi="Aptos" w:cs="Times New Roman"/>
            <w:color w:val="467886"/>
            <w:kern w:val="2"/>
            <w:u w:val="single"/>
            <w:lang w:val="en-IN"/>
            <w14:ligatures w14:val="standardContextual"/>
          </w:rPr>
          <w:t>https://www.who.int/publications/i/item/9789240045064</w:t>
        </w:r>
      </w:hyperlink>
    </w:p>
    <w:p w14:paraId="47363316"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Xia, Y., Zhang, M., Tsang, D. C. W., Geng, N., Lu, D., Zhu, L., Igalavithana, A. D., Dissanayake, P. D., Rinklebe, J., Yang, X., &amp; Ok, Y. S. (2020). Recent advances in control technologies for non-point source pollution with nitrogen and phosphorous from agricultural runoff: Current practices and </w:t>
      </w:r>
      <w:proofErr w:type="gramStart"/>
      <w:r w:rsidRPr="00762E9F">
        <w:rPr>
          <w:rFonts w:ascii="Aptos" w:eastAsia="Aptos" w:hAnsi="Aptos" w:cs="Times New Roman"/>
          <w:kern w:val="2"/>
          <w:lang w:val="en-IN"/>
          <w14:ligatures w14:val="standardContextual"/>
        </w:rPr>
        <w:t>future prospects</w:t>
      </w:r>
      <w:proofErr w:type="gramEnd"/>
      <w:r w:rsidRPr="00762E9F">
        <w:rPr>
          <w:rFonts w:ascii="Aptos" w:eastAsia="Aptos" w:hAnsi="Aptos" w:cs="Times New Roman"/>
          <w:kern w:val="2"/>
          <w:lang w:val="en-IN"/>
          <w14:ligatures w14:val="standardContextual"/>
        </w:rPr>
        <w:t xml:space="preserve">. </w:t>
      </w:r>
      <w:r w:rsidRPr="00762E9F">
        <w:rPr>
          <w:rFonts w:ascii="Aptos" w:eastAsia="Aptos" w:hAnsi="Aptos" w:cs="Times New Roman"/>
          <w:i/>
          <w:iCs/>
          <w:kern w:val="2"/>
          <w:lang w:val="en-IN"/>
          <w14:ligatures w14:val="standardContextual"/>
        </w:rPr>
        <w:t>Applied Biological Chemistry, 63</w:t>
      </w:r>
      <w:r w:rsidRPr="00762E9F">
        <w:rPr>
          <w:rFonts w:ascii="Aptos" w:eastAsia="Aptos" w:hAnsi="Aptos" w:cs="Times New Roman"/>
          <w:kern w:val="2"/>
          <w:lang w:val="en-IN"/>
          <w14:ligatures w14:val="standardContextual"/>
        </w:rPr>
        <w:t xml:space="preserve">, Article 8. </w:t>
      </w:r>
      <w:hyperlink r:id="rId35" w:history="1">
        <w:r w:rsidRPr="00762E9F">
          <w:rPr>
            <w:rFonts w:ascii="Aptos" w:eastAsia="Aptos" w:hAnsi="Aptos" w:cs="Times New Roman"/>
            <w:color w:val="467886"/>
            <w:kern w:val="2"/>
            <w:u w:val="single"/>
            <w:lang w:val="en-IN"/>
            <w14:ligatures w14:val="standardContextual"/>
          </w:rPr>
          <w:t>https://doi.org/10.1186/s13765-020-0493-6</w:t>
        </w:r>
      </w:hyperlink>
    </w:p>
    <w:p w14:paraId="0552A6FE" w14:textId="77777777" w:rsidR="00762E9F" w:rsidRPr="00762E9F" w:rsidRDefault="00762E9F" w:rsidP="00762E9F">
      <w:pPr>
        <w:numPr>
          <w:ilvl w:val="0"/>
          <w:numId w:val="6"/>
        </w:numPr>
        <w:spacing w:after="160" w:line="259" w:lineRule="auto"/>
        <w:contextualSpacing/>
        <w:jc w:val="both"/>
        <w:rPr>
          <w:rFonts w:ascii="Aptos" w:eastAsia="Aptos" w:hAnsi="Aptos" w:cs="Times New Roman"/>
          <w:kern w:val="2"/>
          <w:lang w:val="en-IN"/>
          <w14:ligatures w14:val="standardContextual"/>
        </w:rPr>
      </w:pPr>
      <w:r w:rsidRPr="00762E9F">
        <w:rPr>
          <w:rFonts w:ascii="Aptos" w:eastAsia="Aptos" w:hAnsi="Aptos" w:cs="Times New Roman"/>
          <w:kern w:val="2"/>
          <w:lang w:val="en-IN"/>
          <w14:ligatures w14:val="standardContextual"/>
        </w:rPr>
        <w:t xml:space="preserve">Zafar, M. M., &amp; Kumari, A. (2024). Spatio-temporal evaluation of the impact of anthropogenic stressors on physico-chemical characteristics and water quality of the River Ganga using GIS-based approach in the middle Gangetic Plains at Patna, Bihar, India. </w:t>
      </w:r>
      <w:r w:rsidRPr="00762E9F">
        <w:rPr>
          <w:rFonts w:ascii="Aptos" w:eastAsia="Aptos" w:hAnsi="Aptos" w:cs="Times New Roman"/>
          <w:i/>
          <w:iCs/>
          <w:kern w:val="2"/>
          <w:lang w:val="en-IN"/>
          <w14:ligatures w14:val="standardContextual"/>
        </w:rPr>
        <w:t>Water Science and Technology, 89</w:t>
      </w:r>
      <w:r w:rsidRPr="00762E9F">
        <w:rPr>
          <w:rFonts w:ascii="Aptos" w:eastAsia="Aptos" w:hAnsi="Aptos" w:cs="Times New Roman"/>
          <w:kern w:val="2"/>
          <w:lang w:val="en-IN"/>
          <w14:ligatures w14:val="standardContextual"/>
        </w:rPr>
        <w:t xml:space="preserve">(5), 1382–1400. </w:t>
      </w:r>
      <w:hyperlink r:id="rId36" w:history="1">
        <w:r w:rsidRPr="00762E9F">
          <w:rPr>
            <w:rFonts w:ascii="Aptos" w:eastAsia="Aptos" w:hAnsi="Aptos" w:cs="Times New Roman"/>
            <w:color w:val="467886"/>
            <w:kern w:val="2"/>
            <w:u w:val="single"/>
            <w:lang w:val="en-IN"/>
            <w14:ligatures w14:val="standardContextual"/>
          </w:rPr>
          <w:t>https://doi.org/10.2166/wst.2024.053</w:t>
        </w:r>
      </w:hyperlink>
    </w:p>
    <w:p w14:paraId="34C7226D" w14:textId="5FD57E9B" w:rsidR="00077C8F" w:rsidRDefault="00077C8F" w:rsidP="00762E9F"/>
    <w:sectPr w:rsidR="00077C8F" w:rsidSect="00C958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EE0A" w14:textId="77777777" w:rsidR="00BF204A" w:rsidRDefault="00BF204A" w:rsidP="00BF2017">
      <w:pPr>
        <w:spacing w:after="0" w:line="240" w:lineRule="auto"/>
      </w:pPr>
      <w:r>
        <w:separator/>
      </w:r>
    </w:p>
  </w:endnote>
  <w:endnote w:type="continuationSeparator" w:id="0">
    <w:p w14:paraId="55F25944" w14:textId="77777777" w:rsidR="00BF204A" w:rsidRDefault="00BF204A" w:rsidP="00BF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chivo Narrow">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0E9A" w14:textId="77777777" w:rsidR="004E0A1B" w:rsidRDefault="004E0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D42B" w14:textId="77777777" w:rsidR="004E0A1B" w:rsidRDefault="004E0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D94C" w14:textId="77777777" w:rsidR="004E0A1B" w:rsidRDefault="004E0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F15A7" w14:textId="77777777" w:rsidR="00BF204A" w:rsidRDefault="00BF204A" w:rsidP="00BF2017">
      <w:pPr>
        <w:spacing w:after="0" w:line="240" w:lineRule="auto"/>
      </w:pPr>
      <w:r>
        <w:separator/>
      </w:r>
    </w:p>
  </w:footnote>
  <w:footnote w:type="continuationSeparator" w:id="0">
    <w:p w14:paraId="444C314F" w14:textId="77777777" w:rsidR="00BF204A" w:rsidRDefault="00BF204A" w:rsidP="00BF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3627" w14:textId="77777777" w:rsidR="004E0A1B" w:rsidRDefault="00000000">
    <w:pPr>
      <w:pStyle w:val="Header"/>
    </w:pPr>
    <w:r>
      <w:rPr>
        <w:noProof/>
      </w:rPr>
      <w:pict w14:anchorId="77FAF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554" w14:textId="77777777" w:rsidR="004E0A1B" w:rsidRDefault="00000000">
    <w:pPr>
      <w:pStyle w:val="Header"/>
    </w:pPr>
    <w:r>
      <w:rPr>
        <w:noProof/>
      </w:rPr>
      <w:pict w14:anchorId="77391B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DD7E" w14:textId="77777777" w:rsidR="004E0A1B" w:rsidRDefault="00000000">
    <w:pPr>
      <w:pStyle w:val="Header"/>
    </w:pPr>
    <w:r>
      <w:rPr>
        <w:noProof/>
      </w:rPr>
      <w:pict w14:anchorId="470F0D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43F15"/>
    <w:multiLevelType w:val="hybridMultilevel"/>
    <w:tmpl w:val="8C08AA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5B7D40"/>
    <w:multiLevelType w:val="multilevel"/>
    <w:tmpl w:val="97B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2218D"/>
    <w:multiLevelType w:val="hybridMultilevel"/>
    <w:tmpl w:val="C3CE66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2229F0"/>
    <w:multiLevelType w:val="multilevel"/>
    <w:tmpl w:val="50F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380DE9"/>
    <w:multiLevelType w:val="hybridMultilevel"/>
    <w:tmpl w:val="B3D46386"/>
    <w:lvl w:ilvl="0" w:tplc="60D2E13C">
      <w:start w:val="1"/>
      <w:numFmt w:val="decimal"/>
      <w:lvlText w:val="[%1]"/>
      <w:lvlJc w:val="left"/>
      <w:pPr>
        <w:ind w:left="940" w:hanging="413"/>
      </w:pPr>
      <w:rPr>
        <w:rFonts w:ascii="Calibri" w:eastAsia="Calibri" w:hAnsi="Calibri" w:cs="Calibri" w:hint="default"/>
        <w:spacing w:val="-1"/>
        <w:w w:val="100"/>
        <w:sz w:val="22"/>
        <w:szCs w:val="22"/>
        <w:lang w:val="en-US" w:eastAsia="en-US" w:bidi="ar-SA"/>
      </w:rPr>
    </w:lvl>
    <w:lvl w:ilvl="1" w:tplc="59FC6ED4">
      <w:numFmt w:val="bullet"/>
      <w:lvlText w:val="•"/>
      <w:lvlJc w:val="left"/>
      <w:pPr>
        <w:ind w:left="1304" w:hanging="413"/>
      </w:pPr>
      <w:rPr>
        <w:rFonts w:hint="default"/>
        <w:lang w:val="en-US" w:eastAsia="en-US" w:bidi="ar-SA"/>
      </w:rPr>
    </w:lvl>
    <w:lvl w:ilvl="2" w:tplc="53045932">
      <w:numFmt w:val="bullet"/>
      <w:lvlText w:val="•"/>
      <w:lvlJc w:val="left"/>
      <w:pPr>
        <w:ind w:left="1668" w:hanging="413"/>
      </w:pPr>
      <w:rPr>
        <w:rFonts w:hint="default"/>
        <w:lang w:val="en-US" w:eastAsia="en-US" w:bidi="ar-SA"/>
      </w:rPr>
    </w:lvl>
    <w:lvl w:ilvl="3" w:tplc="484AB0AE">
      <w:numFmt w:val="bullet"/>
      <w:lvlText w:val="•"/>
      <w:lvlJc w:val="left"/>
      <w:pPr>
        <w:ind w:left="2033" w:hanging="413"/>
      </w:pPr>
      <w:rPr>
        <w:rFonts w:hint="default"/>
        <w:lang w:val="en-US" w:eastAsia="en-US" w:bidi="ar-SA"/>
      </w:rPr>
    </w:lvl>
    <w:lvl w:ilvl="4" w:tplc="9C54B662">
      <w:numFmt w:val="bullet"/>
      <w:lvlText w:val="•"/>
      <w:lvlJc w:val="left"/>
      <w:pPr>
        <w:ind w:left="2397" w:hanging="413"/>
      </w:pPr>
      <w:rPr>
        <w:rFonts w:hint="default"/>
        <w:lang w:val="en-US" w:eastAsia="en-US" w:bidi="ar-SA"/>
      </w:rPr>
    </w:lvl>
    <w:lvl w:ilvl="5" w:tplc="6A04A558">
      <w:numFmt w:val="bullet"/>
      <w:lvlText w:val="•"/>
      <w:lvlJc w:val="left"/>
      <w:pPr>
        <w:ind w:left="2761" w:hanging="413"/>
      </w:pPr>
      <w:rPr>
        <w:rFonts w:hint="default"/>
        <w:lang w:val="en-US" w:eastAsia="en-US" w:bidi="ar-SA"/>
      </w:rPr>
    </w:lvl>
    <w:lvl w:ilvl="6" w:tplc="B4861ED8">
      <w:numFmt w:val="bullet"/>
      <w:lvlText w:val="•"/>
      <w:lvlJc w:val="left"/>
      <w:pPr>
        <w:ind w:left="3126" w:hanging="413"/>
      </w:pPr>
      <w:rPr>
        <w:rFonts w:hint="default"/>
        <w:lang w:val="en-US" w:eastAsia="en-US" w:bidi="ar-SA"/>
      </w:rPr>
    </w:lvl>
    <w:lvl w:ilvl="7" w:tplc="A970A76C">
      <w:numFmt w:val="bullet"/>
      <w:lvlText w:val="•"/>
      <w:lvlJc w:val="left"/>
      <w:pPr>
        <w:ind w:left="3490" w:hanging="413"/>
      </w:pPr>
      <w:rPr>
        <w:rFonts w:hint="default"/>
        <w:lang w:val="en-US" w:eastAsia="en-US" w:bidi="ar-SA"/>
      </w:rPr>
    </w:lvl>
    <w:lvl w:ilvl="8" w:tplc="8124BBFA">
      <w:numFmt w:val="bullet"/>
      <w:lvlText w:val="•"/>
      <w:lvlJc w:val="left"/>
      <w:pPr>
        <w:ind w:left="3854" w:hanging="413"/>
      </w:pPr>
      <w:rPr>
        <w:rFonts w:hint="default"/>
        <w:lang w:val="en-US" w:eastAsia="en-US" w:bidi="ar-SA"/>
      </w:rPr>
    </w:lvl>
  </w:abstractNum>
  <w:abstractNum w:abstractNumId="5" w15:restartNumberingAfterBreak="0">
    <w:nsid w:val="73F717F6"/>
    <w:multiLevelType w:val="multilevel"/>
    <w:tmpl w:val="BEEA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950682">
    <w:abstractNumId w:val="4"/>
  </w:num>
  <w:num w:numId="2" w16cid:durableId="2113012731">
    <w:abstractNumId w:val="1"/>
  </w:num>
  <w:num w:numId="3" w16cid:durableId="1972901490">
    <w:abstractNumId w:val="3"/>
  </w:num>
  <w:num w:numId="4" w16cid:durableId="63456848">
    <w:abstractNumId w:val="5"/>
  </w:num>
  <w:num w:numId="5" w16cid:durableId="818497699">
    <w:abstractNumId w:val="2"/>
  </w:num>
  <w:num w:numId="6" w16cid:durableId="196827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FC5"/>
    <w:rsid w:val="0001315B"/>
    <w:rsid w:val="000267DC"/>
    <w:rsid w:val="000441B9"/>
    <w:rsid w:val="00047A37"/>
    <w:rsid w:val="000719C1"/>
    <w:rsid w:val="00077C8F"/>
    <w:rsid w:val="000B2D20"/>
    <w:rsid w:val="000C1826"/>
    <w:rsid w:val="000C2209"/>
    <w:rsid w:val="000C4B26"/>
    <w:rsid w:val="000D5811"/>
    <w:rsid w:val="000E244F"/>
    <w:rsid w:val="000F04E3"/>
    <w:rsid w:val="00114C1C"/>
    <w:rsid w:val="0012716B"/>
    <w:rsid w:val="00134FD2"/>
    <w:rsid w:val="00135B6C"/>
    <w:rsid w:val="00141622"/>
    <w:rsid w:val="00152EEA"/>
    <w:rsid w:val="00154D71"/>
    <w:rsid w:val="00161D11"/>
    <w:rsid w:val="00193F82"/>
    <w:rsid w:val="001B58CD"/>
    <w:rsid w:val="001C5376"/>
    <w:rsid w:val="001E2FEE"/>
    <w:rsid w:val="001F19A7"/>
    <w:rsid w:val="002079F5"/>
    <w:rsid w:val="00214008"/>
    <w:rsid w:val="002276BA"/>
    <w:rsid w:val="0024765E"/>
    <w:rsid w:val="00252590"/>
    <w:rsid w:val="00254232"/>
    <w:rsid w:val="00264421"/>
    <w:rsid w:val="00270CD5"/>
    <w:rsid w:val="0028161C"/>
    <w:rsid w:val="00290280"/>
    <w:rsid w:val="002B16E5"/>
    <w:rsid w:val="002C1363"/>
    <w:rsid w:val="002D1082"/>
    <w:rsid w:val="002D349E"/>
    <w:rsid w:val="002D40AB"/>
    <w:rsid w:val="002E1587"/>
    <w:rsid w:val="002E4DEC"/>
    <w:rsid w:val="002F4369"/>
    <w:rsid w:val="00326A2B"/>
    <w:rsid w:val="00351FFA"/>
    <w:rsid w:val="00354E30"/>
    <w:rsid w:val="00356874"/>
    <w:rsid w:val="00356ADE"/>
    <w:rsid w:val="0036125E"/>
    <w:rsid w:val="00366ABA"/>
    <w:rsid w:val="00366E28"/>
    <w:rsid w:val="00372429"/>
    <w:rsid w:val="00380D55"/>
    <w:rsid w:val="003B61DE"/>
    <w:rsid w:val="003C4E2B"/>
    <w:rsid w:val="003D51B4"/>
    <w:rsid w:val="003E475A"/>
    <w:rsid w:val="003E7904"/>
    <w:rsid w:val="003F0C39"/>
    <w:rsid w:val="003F0EEB"/>
    <w:rsid w:val="004031F2"/>
    <w:rsid w:val="00404019"/>
    <w:rsid w:val="00407803"/>
    <w:rsid w:val="004123EA"/>
    <w:rsid w:val="00425F26"/>
    <w:rsid w:val="0043465F"/>
    <w:rsid w:val="00442E1D"/>
    <w:rsid w:val="00457DC6"/>
    <w:rsid w:val="00473480"/>
    <w:rsid w:val="004931F2"/>
    <w:rsid w:val="0049743C"/>
    <w:rsid w:val="00497C1D"/>
    <w:rsid w:val="004A4113"/>
    <w:rsid w:val="004C1225"/>
    <w:rsid w:val="004C5BD1"/>
    <w:rsid w:val="004D6D44"/>
    <w:rsid w:val="004E0A1B"/>
    <w:rsid w:val="004F4D81"/>
    <w:rsid w:val="00501A37"/>
    <w:rsid w:val="005044E0"/>
    <w:rsid w:val="00506722"/>
    <w:rsid w:val="00514718"/>
    <w:rsid w:val="00554F80"/>
    <w:rsid w:val="005800CB"/>
    <w:rsid w:val="00580E40"/>
    <w:rsid w:val="00597BBA"/>
    <w:rsid w:val="005D54B1"/>
    <w:rsid w:val="005D56E6"/>
    <w:rsid w:val="005E158A"/>
    <w:rsid w:val="006214A0"/>
    <w:rsid w:val="00632730"/>
    <w:rsid w:val="00646677"/>
    <w:rsid w:val="006702FE"/>
    <w:rsid w:val="00694C29"/>
    <w:rsid w:val="00696652"/>
    <w:rsid w:val="006D1D82"/>
    <w:rsid w:val="006E4F3E"/>
    <w:rsid w:val="0072049C"/>
    <w:rsid w:val="0074016A"/>
    <w:rsid w:val="00762E9F"/>
    <w:rsid w:val="007830F3"/>
    <w:rsid w:val="00797859"/>
    <w:rsid w:val="007B5721"/>
    <w:rsid w:val="007E6273"/>
    <w:rsid w:val="008032AA"/>
    <w:rsid w:val="0080467E"/>
    <w:rsid w:val="008173BF"/>
    <w:rsid w:val="00820884"/>
    <w:rsid w:val="00831621"/>
    <w:rsid w:val="00840AED"/>
    <w:rsid w:val="008460AF"/>
    <w:rsid w:val="00856A54"/>
    <w:rsid w:val="00862E48"/>
    <w:rsid w:val="0087017F"/>
    <w:rsid w:val="00875FA4"/>
    <w:rsid w:val="008763C0"/>
    <w:rsid w:val="008B2FC5"/>
    <w:rsid w:val="008C5AC9"/>
    <w:rsid w:val="008D58FB"/>
    <w:rsid w:val="008E11F2"/>
    <w:rsid w:val="008E5A91"/>
    <w:rsid w:val="008F1079"/>
    <w:rsid w:val="00915EE4"/>
    <w:rsid w:val="00930C4E"/>
    <w:rsid w:val="00936F49"/>
    <w:rsid w:val="0095334D"/>
    <w:rsid w:val="0099097F"/>
    <w:rsid w:val="009C7CB7"/>
    <w:rsid w:val="009D34F5"/>
    <w:rsid w:val="00A00C5A"/>
    <w:rsid w:val="00A031FD"/>
    <w:rsid w:val="00A26351"/>
    <w:rsid w:val="00A314C2"/>
    <w:rsid w:val="00A479DF"/>
    <w:rsid w:val="00A6107B"/>
    <w:rsid w:val="00A8787D"/>
    <w:rsid w:val="00AA5460"/>
    <w:rsid w:val="00AA56F1"/>
    <w:rsid w:val="00AA7477"/>
    <w:rsid w:val="00AC37EC"/>
    <w:rsid w:val="00AC5A51"/>
    <w:rsid w:val="00AC6C89"/>
    <w:rsid w:val="00AD6161"/>
    <w:rsid w:val="00AF73D3"/>
    <w:rsid w:val="00B0666F"/>
    <w:rsid w:val="00B06CE9"/>
    <w:rsid w:val="00B1030D"/>
    <w:rsid w:val="00B20B84"/>
    <w:rsid w:val="00B2525B"/>
    <w:rsid w:val="00B33B54"/>
    <w:rsid w:val="00B41DF5"/>
    <w:rsid w:val="00B525D6"/>
    <w:rsid w:val="00B64F26"/>
    <w:rsid w:val="00B71D9A"/>
    <w:rsid w:val="00B7344A"/>
    <w:rsid w:val="00B820B7"/>
    <w:rsid w:val="00B84C5C"/>
    <w:rsid w:val="00B9729A"/>
    <w:rsid w:val="00BB7AC0"/>
    <w:rsid w:val="00BC16CA"/>
    <w:rsid w:val="00BC3738"/>
    <w:rsid w:val="00BF2017"/>
    <w:rsid w:val="00BF204A"/>
    <w:rsid w:val="00C073E7"/>
    <w:rsid w:val="00C12258"/>
    <w:rsid w:val="00C342C1"/>
    <w:rsid w:val="00C4577A"/>
    <w:rsid w:val="00C734E8"/>
    <w:rsid w:val="00C800B4"/>
    <w:rsid w:val="00C95815"/>
    <w:rsid w:val="00CB1711"/>
    <w:rsid w:val="00CC09A0"/>
    <w:rsid w:val="00CE0AA4"/>
    <w:rsid w:val="00CE15D1"/>
    <w:rsid w:val="00CF687D"/>
    <w:rsid w:val="00D0721A"/>
    <w:rsid w:val="00DA6568"/>
    <w:rsid w:val="00DB1AAF"/>
    <w:rsid w:val="00DC6C34"/>
    <w:rsid w:val="00DD6F46"/>
    <w:rsid w:val="00DD70B0"/>
    <w:rsid w:val="00DE4B32"/>
    <w:rsid w:val="00DF0CB7"/>
    <w:rsid w:val="00DF2ADA"/>
    <w:rsid w:val="00E10EB5"/>
    <w:rsid w:val="00E304B8"/>
    <w:rsid w:val="00E34850"/>
    <w:rsid w:val="00E36F7C"/>
    <w:rsid w:val="00E4363B"/>
    <w:rsid w:val="00E43C9E"/>
    <w:rsid w:val="00E67062"/>
    <w:rsid w:val="00E900FC"/>
    <w:rsid w:val="00EA3551"/>
    <w:rsid w:val="00EB2872"/>
    <w:rsid w:val="00EE1E09"/>
    <w:rsid w:val="00EF40A5"/>
    <w:rsid w:val="00EF7163"/>
    <w:rsid w:val="00F00DDD"/>
    <w:rsid w:val="00F02BB3"/>
    <w:rsid w:val="00F145BE"/>
    <w:rsid w:val="00F22175"/>
    <w:rsid w:val="00F31F65"/>
    <w:rsid w:val="00F47F88"/>
    <w:rsid w:val="00F50B04"/>
    <w:rsid w:val="00F57609"/>
    <w:rsid w:val="00F72C6C"/>
    <w:rsid w:val="00F74450"/>
    <w:rsid w:val="00F75418"/>
    <w:rsid w:val="00F773E3"/>
    <w:rsid w:val="00FB626E"/>
    <w:rsid w:val="00FB6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35A8F"/>
  <w15:docId w15:val="{0F25077A-7290-44A5-B489-17D9420D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C5"/>
    <w:rPr>
      <w:rFonts w:ascii="Calibri" w:eastAsia="Calibri" w:hAnsi="Calibri" w:cs="SimSun"/>
    </w:rPr>
  </w:style>
  <w:style w:type="paragraph" w:styleId="Heading1">
    <w:name w:val="heading 1"/>
    <w:basedOn w:val="Normal"/>
    <w:link w:val="Heading1Char"/>
    <w:uiPriority w:val="1"/>
    <w:qFormat/>
    <w:rsid w:val="00F57609"/>
    <w:pPr>
      <w:widowControl w:val="0"/>
      <w:autoSpaceDE w:val="0"/>
      <w:autoSpaceDN w:val="0"/>
      <w:spacing w:after="0" w:line="240" w:lineRule="auto"/>
      <w:ind w:left="220"/>
      <w:outlineLvl w:val="0"/>
    </w:pPr>
    <w:rPr>
      <w:rFonts w:ascii="Times New Roman" w:eastAsia="Times New Roman" w:hAnsi="Times New Roman" w:cs="Times New Roman"/>
      <w:b/>
      <w:bCs/>
    </w:rPr>
  </w:style>
  <w:style w:type="paragraph" w:styleId="Heading3">
    <w:name w:val="heading 3"/>
    <w:basedOn w:val="Normal"/>
    <w:next w:val="Normal"/>
    <w:link w:val="Heading3Char"/>
    <w:uiPriority w:val="9"/>
    <w:semiHidden/>
    <w:unhideWhenUsed/>
    <w:qFormat/>
    <w:rsid w:val="00BC37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2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8B2FC5"/>
  </w:style>
  <w:style w:type="paragraph" w:styleId="BalloonText">
    <w:name w:val="Balloon Text"/>
    <w:basedOn w:val="Normal"/>
    <w:link w:val="BalloonTextChar"/>
    <w:uiPriority w:val="99"/>
    <w:semiHidden/>
    <w:unhideWhenUsed/>
    <w:rsid w:val="008B2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FC5"/>
    <w:rPr>
      <w:rFonts w:ascii="Tahoma" w:eastAsia="Calibri" w:hAnsi="Tahoma" w:cs="Tahoma"/>
      <w:sz w:val="16"/>
      <w:szCs w:val="16"/>
    </w:rPr>
  </w:style>
  <w:style w:type="character" w:customStyle="1" w:styleId="l6">
    <w:name w:val="l6"/>
    <w:basedOn w:val="DefaultParagraphFont"/>
    <w:rsid w:val="004D6D44"/>
  </w:style>
  <w:style w:type="character" w:customStyle="1" w:styleId="Heading1Char">
    <w:name w:val="Heading 1 Char"/>
    <w:basedOn w:val="DefaultParagraphFont"/>
    <w:link w:val="Heading1"/>
    <w:uiPriority w:val="1"/>
    <w:rsid w:val="00F57609"/>
    <w:rPr>
      <w:rFonts w:ascii="Times New Roman" w:eastAsia="Times New Roman" w:hAnsi="Times New Roman" w:cs="Times New Roman"/>
      <w:b/>
      <w:bCs/>
    </w:rPr>
  </w:style>
  <w:style w:type="paragraph" w:styleId="BodyText">
    <w:name w:val="Body Text"/>
    <w:basedOn w:val="Normal"/>
    <w:link w:val="BodyTextChar"/>
    <w:uiPriority w:val="1"/>
    <w:qFormat/>
    <w:rsid w:val="00F5760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57609"/>
    <w:rPr>
      <w:rFonts w:ascii="Times New Roman" w:eastAsia="Times New Roman" w:hAnsi="Times New Roman" w:cs="Times New Roman"/>
    </w:rPr>
  </w:style>
  <w:style w:type="paragraph" w:customStyle="1" w:styleId="Default">
    <w:name w:val="Default"/>
    <w:rsid w:val="000C22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
    <w:name w:val="text"/>
    <w:basedOn w:val="DefaultParagraphFont"/>
    <w:rsid w:val="00C12258"/>
  </w:style>
  <w:style w:type="paragraph" w:styleId="Header">
    <w:name w:val="header"/>
    <w:basedOn w:val="Normal"/>
    <w:link w:val="HeaderChar"/>
    <w:uiPriority w:val="99"/>
    <w:unhideWhenUsed/>
    <w:rsid w:val="00BF2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017"/>
    <w:rPr>
      <w:rFonts w:ascii="Calibri" w:eastAsia="Calibri" w:hAnsi="Calibri" w:cs="SimSun"/>
    </w:rPr>
  </w:style>
  <w:style w:type="paragraph" w:styleId="Footer">
    <w:name w:val="footer"/>
    <w:basedOn w:val="Normal"/>
    <w:link w:val="FooterChar"/>
    <w:uiPriority w:val="99"/>
    <w:unhideWhenUsed/>
    <w:rsid w:val="00BF2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017"/>
    <w:rPr>
      <w:rFonts w:ascii="Calibri" w:eastAsia="Calibri" w:hAnsi="Calibri" w:cs="SimSun"/>
    </w:rPr>
  </w:style>
  <w:style w:type="character" w:customStyle="1" w:styleId="A5">
    <w:name w:val="A5"/>
    <w:uiPriority w:val="99"/>
    <w:rsid w:val="00F145BE"/>
    <w:rPr>
      <w:rFonts w:cs="Archivo Narrow"/>
      <w:color w:val="000000"/>
      <w:sz w:val="18"/>
      <w:szCs w:val="18"/>
    </w:rPr>
  </w:style>
  <w:style w:type="character" w:customStyle="1" w:styleId="A7">
    <w:name w:val="A7"/>
    <w:uiPriority w:val="99"/>
    <w:rsid w:val="00F773E3"/>
    <w:rPr>
      <w:rFonts w:cs="Archivo Narrow"/>
      <w:b/>
      <w:bCs/>
      <w:color w:val="000000"/>
      <w:sz w:val="12"/>
      <w:szCs w:val="12"/>
    </w:rPr>
  </w:style>
  <w:style w:type="character" w:customStyle="1" w:styleId="A0">
    <w:name w:val="A0"/>
    <w:uiPriority w:val="99"/>
    <w:rsid w:val="00B9729A"/>
    <w:rPr>
      <w:rFonts w:cs="Archivo Narrow"/>
      <w:b/>
      <w:bCs/>
      <w:color w:val="000000"/>
      <w:sz w:val="44"/>
      <w:szCs w:val="44"/>
    </w:rPr>
  </w:style>
  <w:style w:type="paragraph" w:styleId="ListParagraph">
    <w:name w:val="List Paragraph"/>
    <w:basedOn w:val="Normal"/>
    <w:uiPriority w:val="1"/>
    <w:qFormat/>
    <w:rsid w:val="00161D11"/>
    <w:pPr>
      <w:widowControl w:val="0"/>
      <w:autoSpaceDE w:val="0"/>
      <w:autoSpaceDN w:val="0"/>
      <w:spacing w:after="0" w:line="240" w:lineRule="auto"/>
      <w:ind w:left="940" w:right="813" w:hanging="721"/>
      <w:jc w:val="both"/>
    </w:pPr>
    <w:rPr>
      <w:rFonts w:ascii="Times New Roman" w:eastAsia="Times New Roman" w:hAnsi="Times New Roman" w:cs="Times New Roman"/>
    </w:rPr>
  </w:style>
  <w:style w:type="character" w:styleId="Hyperlink">
    <w:name w:val="Hyperlink"/>
    <w:basedOn w:val="DefaultParagraphFont"/>
    <w:uiPriority w:val="99"/>
    <w:unhideWhenUsed/>
    <w:rsid w:val="00A26351"/>
    <w:rPr>
      <w:color w:val="0000FF" w:themeColor="hyperlink"/>
      <w:u w:val="single"/>
    </w:rPr>
  </w:style>
  <w:style w:type="table" w:styleId="LightShading">
    <w:name w:val="Light Shading"/>
    <w:basedOn w:val="TableNormal"/>
    <w:uiPriority w:val="60"/>
    <w:rsid w:val="001E2FEE"/>
    <w:pPr>
      <w:spacing w:after="0" w:line="240" w:lineRule="auto"/>
    </w:pPr>
    <w:rPr>
      <w:rFonts w:ascii="Calibri" w:eastAsia="Calibri" w:hAnsi="Calibri" w:cs="SimSu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ubtle1">
    <w:name w:val="Table Subtle 1"/>
    <w:basedOn w:val="TableNormal"/>
    <w:uiPriority w:val="99"/>
    <w:semiHidden/>
    <w:unhideWhenUsed/>
    <w:rsid w:val="003D51B4"/>
    <w:rPr>
      <w:rFonts w:ascii="Calibri" w:eastAsia="Calibri" w:hAnsi="Calibri" w:cs="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3D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4FD2"/>
    <w:rPr>
      <w:color w:val="808080"/>
    </w:rPr>
  </w:style>
  <w:style w:type="character" w:styleId="Strong">
    <w:name w:val="Strong"/>
    <w:basedOn w:val="DefaultParagraphFont"/>
    <w:uiPriority w:val="22"/>
    <w:qFormat/>
    <w:rsid w:val="0099097F"/>
    <w:rPr>
      <w:b/>
      <w:bCs/>
    </w:rPr>
  </w:style>
  <w:style w:type="paragraph" w:styleId="NoSpacing">
    <w:name w:val="No Spacing"/>
    <w:uiPriority w:val="1"/>
    <w:qFormat/>
    <w:rsid w:val="000C4B26"/>
    <w:pPr>
      <w:spacing w:after="0" w:line="240" w:lineRule="auto"/>
    </w:pPr>
    <w:rPr>
      <w:lang w:val="en-GB"/>
    </w:rPr>
  </w:style>
  <w:style w:type="character" w:customStyle="1" w:styleId="Heading3Char">
    <w:name w:val="Heading 3 Char"/>
    <w:basedOn w:val="DefaultParagraphFont"/>
    <w:link w:val="Heading3"/>
    <w:uiPriority w:val="9"/>
    <w:semiHidden/>
    <w:rsid w:val="00BC3738"/>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C3738"/>
    <w:rPr>
      <w:i/>
      <w:iCs/>
    </w:rPr>
  </w:style>
  <w:style w:type="character" w:styleId="HTMLCode">
    <w:name w:val="HTML Code"/>
    <w:basedOn w:val="DefaultParagraphFont"/>
    <w:uiPriority w:val="99"/>
    <w:semiHidden/>
    <w:unhideWhenUsed/>
    <w:rsid w:val="00BC37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49479">
      <w:bodyDiv w:val="1"/>
      <w:marLeft w:val="0"/>
      <w:marRight w:val="0"/>
      <w:marTop w:val="0"/>
      <w:marBottom w:val="0"/>
      <w:divBdr>
        <w:top w:val="none" w:sz="0" w:space="0" w:color="auto"/>
        <w:left w:val="none" w:sz="0" w:space="0" w:color="auto"/>
        <w:bottom w:val="none" w:sz="0" w:space="0" w:color="auto"/>
        <w:right w:val="none" w:sz="0" w:space="0" w:color="auto"/>
      </w:divBdr>
    </w:div>
    <w:div w:id="264271037">
      <w:bodyDiv w:val="1"/>
      <w:marLeft w:val="0"/>
      <w:marRight w:val="0"/>
      <w:marTop w:val="0"/>
      <w:marBottom w:val="0"/>
      <w:divBdr>
        <w:top w:val="none" w:sz="0" w:space="0" w:color="auto"/>
        <w:left w:val="none" w:sz="0" w:space="0" w:color="auto"/>
        <w:bottom w:val="none" w:sz="0" w:space="0" w:color="auto"/>
        <w:right w:val="none" w:sz="0" w:space="0" w:color="auto"/>
      </w:divBdr>
    </w:div>
    <w:div w:id="392390926">
      <w:bodyDiv w:val="1"/>
      <w:marLeft w:val="0"/>
      <w:marRight w:val="0"/>
      <w:marTop w:val="0"/>
      <w:marBottom w:val="0"/>
      <w:divBdr>
        <w:top w:val="none" w:sz="0" w:space="0" w:color="auto"/>
        <w:left w:val="none" w:sz="0" w:space="0" w:color="auto"/>
        <w:bottom w:val="none" w:sz="0" w:space="0" w:color="auto"/>
        <w:right w:val="none" w:sz="0" w:space="0" w:color="auto"/>
      </w:divBdr>
    </w:div>
    <w:div w:id="425617137">
      <w:bodyDiv w:val="1"/>
      <w:marLeft w:val="0"/>
      <w:marRight w:val="0"/>
      <w:marTop w:val="0"/>
      <w:marBottom w:val="0"/>
      <w:divBdr>
        <w:top w:val="none" w:sz="0" w:space="0" w:color="auto"/>
        <w:left w:val="none" w:sz="0" w:space="0" w:color="auto"/>
        <w:bottom w:val="none" w:sz="0" w:space="0" w:color="auto"/>
        <w:right w:val="none" w:sz="0" w:space="0" w:color="auto"/>
      </w:divBdr>
    </w:div>
    <w:div w:id="451285690">
      <w:bodyDiv w:val="1"/>
      <w:marLeft w:val="0"/>
      <w:marRight w:val="0"/>
      <w:marTop w:val="0"/>
      <w:marBottom w:val="0"/>
      <w:divBdr>
        <w:top w:val="none" w:sz="0" w:space="0" w:color="auto"/>
        <w:left w:val="none" w:sz="0" w:space="0" w:color="auto"/>
        <w:bottom w:val="none" w:sz="0" w:space="0" w:color="auto"/>
        <w:right w:val="none" w:sz="0" w:space="0" w:color="auto"/>
      </w:divBdr>
    </w:div>
    <w:div w:id="691148446">
      <w:bodyDiv w:val="1"/>
      <w:marLeft w:val="0"/>
      <w:marRight w:val="0"/>
      <w:marTop w:val="0"/>
      <w:marBottom w:val="0"/>
      <w:divBdr>
        <w:top w:val="none" w:sz="0" w:space="0" w:color="auto"/>
        <w:left w:val="none" w:sz="0" w:space="0" w:color="auto"/>
        <w:bottom w:val="none" w:sz="0" w:space="0" w:color="auto"/>
        <w:right w:val="none" w:sz="0" w:space="0" w:color="auto"/>
      </w:divBdr>
    </w:div>
    <w:div w:id="924221289">
      <w:bodyDiv w:val="1"/>
      <w:marLeft w:val="0"/>
      <w:marRight w:val="0"/>
      <w:marTop w:val="0"/>
      <w:marBottom w:val="0"/>
      <w:divBdr>
        <w:top w:val="none" w:sz="0" w:space="0" w:color="auto"/>
        <w:left w:val="none" w:sz="0" w:space="0" w:color="auto"/>
        <w:bottom w:val="none" w:sz="0" w:space="0" w:color="auto"/>
        <w:right w:val="none" w:sz="0" w:space="0" w:color="auto"/>
      </w:divBdr>
    </w:div>
    <w:div w:id="942807338">
      <w:bodyDiv w:val="1"/>
      <w:marLeft w:val="0"/>
      <w:marRight w:val="0"/>
      <w:marTop w:val="0"/>
      <w:marBottom w:val="0"/>
      <w:divBdr>
        <w:top w:val="none" w:sz="0" w:space="0" w:color="auto"/>
        <w:left w:val="none" w:sz="0" w:space="0" w:color="auto"/>
        <w:bottom w:val="none" w:sz="0" w:space="0" w:color="auto"/>
        <w:right w:val="none" w:sz="0" w:space="0" w:color="auto"/>
      </w:divBdr>
    </w:div>
    <w:div w:id="1010721637">
      <w:bodyDiv w:val="1"/>
      <w:marLeft w:val="0"/>
      <w:marRight w:val="0"/>
      <w:marTop w:val="0"/>
      <w:marBottom w:val="0"/>
      <w:divBdr>
        <w:top w:val="none" w:sz="0" w:space="0" w:color="auto"/>
        <w:left w:val="none" w:sz="0" w:space="0" w:color="auto"/>
        <w:bottom w:val="none" w:sz="0" w:space="0" w:color="auto"/>
        <w:right w:val="none" w:sz="0" w:space="0" w:color="auto"/>
      </w:divBdr>
    </w:div>
    <w:div w:id="1377201234">
      <w:bodyDiv w:val="1"/>
      <w:marLeft w:val="0"/>
      <w:marRight w:val="0"/>
      <w:marTop w:val="0"/>
      <w:marBottom w:val="0"/>
      <w:divBdr>
        <w:top w:val="none" w:sz="0" w:space="0" w:color="auto"/>
        <w:left w:val="none" w:sz="0" w:space="0" w:color="auto"/>
        <w:bottom w:val="none" w:sz="0" w:space="0" w:color="auto"/>
        <w:right w:val="none" w:sz="0" w:space="0" w:color="auto"/>
      </w:divBdr>
    </w:div>
    <w:div w:id="1489981554">
      <w:bodyDiv w:val="1"/>
      <w:marLeft w:val="0"/>
      <w:marRight w:val="0"/>
      <w:marTop w:val="0"/>
      <w:marBottom w:val="0"/>
      <w:divBdr>
        <w:top w:val="none" w:sz="0" w:space="0" w:color="auto"/>
        <w:left w:val="none" w:sz="0" w:space="0" w:color="auto"/>
        <w:bottom w:val="none" w:sz="0" w:space="0" w:color="auto"/>
        <w:right w:val="none" w:sz="0" w:space="0" w:color="auto"/>
      </w:divBdr>
    </w:div>
    <w:div w:id="1541161415">
      <w:bodyDiv w:val="1"/>
      <w:marLeft w:val="0"/>
      <w:marRight w:val="0"/>
      <w:marTop w:val="0"/>
      <w:marBottom w:val="0"/>
      <w:divBdr>
        <w:top w:val="none" w:sz="0" w:space="0" w:color="auto"/>
        <w:left w:val="none" w:sz="0" w:space="0" w:color="auto"/>
        <w:bottom w:val="none" w:sz="0" w:space="0" w:color="auto"/>
        <w:right w:val="none" w:sz="0" w:space="0" w:color="auto"/>
      </w:divBdr>
    </w:div>
    <w:div w:id="1581058926">
      <w:bodyDiv w:val="1"/>
      <w:marLeft w:val="0"/>
      <w:marRight w:val="0"/>
      <w:marTop w:val="0"/>
      <w:marBottom w:val="0"/>
      <w:divBdr>
        <w:top w:val="none" w:sz="0" w:space="0" w:color="auto"/>
        <w:left w:val="none" w:sz="0" w:space="0" w:color="auto"/>
        <w:bottom w:val="none" w:sz="0" w:space="0" w:color="auto"/>
        <w:right w:val="none" w:sz="0" w:space="0" w:color="auto"/>
      </w:divBdr>
    </w:div>
    <w:div w:id="1719285183">
      <w:bodyDiv w:val="1"/>
      <w:marLeft w:val="0"/>
      <w:marRight w:val="0"/>
      <w:marTop w:val="0"/>
      <w:marBottom w:val="0"/>
      <w:divBdr>
        <w:top w:val="none" w:sz="0" w:space="0" w:color="auto"/>
        <w:left w:val="none" w:sz="0" w:space="0" w:color="auto"/>
        <w:bottom w:val="none" w:sz="0" w:space="0" w:color="auto"/>
        <w:right w:val="none" w:sz="0" w:space="0" w:color="auto"/>
      </w:divBdr>
    </w:div>
    <w:div w:id="1889298430">
      <w:bodyDiv w:val="1"/>
      <w:marLeft w:val="0"/>
      <w:marRight w:val="0"/>
      <w:marTop w:val="0"/>
      <w:marBottom w:val="0"/>
      <w:divBdr>
        <w:top w:val="none" w:sz="0" w:space="0" w:color="auto"/>
        <w:left w:val="none" w:sz="0" w:space="0" w:color="auto"/>
        <w:bottom w:val="none" w:sz="0" w:space="0" w:color="auto"/>
        <w:right w:val="none" w:sz="0" w:space="0" w:color="auto"/>
      </w:divBdr>
    </w:div>
    <w:div w:id="1990397495">
      <w:bodyDiv w:val="1"/>
      <w:marLeft w:val="0"/>
      <w:marRight w:val="0"/>
      <w:marTop w:val="0"/>
      <w:marBottom w:val="0"/>
      <w:divBdr>
        <w:top w:val="none" w:sz="0" w:space="0" w:color="auto"/>
        <w:left w:val="none" w:sz="0" w:space="0" w:color="auto"/>
        <w:bottom w:val="none" w:sz="0" w:space="0" w:color="auto"/>
        <w:right w:val="none" w:sz="0" w:space="0" w:color="auto"/>
      </w:divBdr>
    </w:div>
    <w:div w:id="2134522710">
      <w:bodyDiv w:val="1"/>
      <w:marLeft w:val="0"/>
      <w:marRight w:val="0"/>
      <w:marTop w:val="0"/>
      <w:marBottom w:val="0"/>
      <w:divBdr>
        <w:top w:val="none" w:sz="0" w:space="0" w:color="auto"/>
        <w:left w:val="none" w:sz="0" w:space="0" w:color="auto"/>
        <w:bottom w:val="none" w:sz="0" w:space="0" w:color="auto"/>
        <w:right w:val="none" w:sz="0" w:space="0" w:color="auto"/>
      </w:divBdr>
    </w:div>
    <w:div w:id="213663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emf"/><Relationship Id="rId26" Type="http://schemas.openxmlformats.org/officeDocument/2006/relationships/hyperlink" Target="https://doi.org/10.5194/hess-24-3899-2020" TargetMode="External"/><Relationship Id="rId21" Type="http://schemas.openxmlformats.org/officeDocument/2006/relationships/hyperlink" Target="https://doi.org/10.1111/j.1752-1688.2001.tb05480.x" TargetMode="External"/><Relationship Id="rId34" Type="http://schemas.openxmlformats.org/officeDocument/2006/relationships/hyperlink" Target="https://www.who.int/publications/i/item/978924004506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hyperlink" Target="https://doi.org/10.1016/j.jclepro.2020.124566" TargetMode="External"/><Relationship Id="rId33" Type="http://schemas.openxmlformats.org/officeDocument/2006/relationships/hyperlink" Target="https://doi.org/10.17577/IJERTV9IS06052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secure.apha.org/imis/ItemDetail?CATEGORY=BK&amp;iProductCode=978-087553-2998" TargetMode="External"/><Relationship Id="rId29" Type="http://schemas.openxmlformats.org/officeDocument/2006/relationships/hyperlink" Target="https://doi.org/10.33003/sajols-2025-0302-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S1473-3099(24)00691-1" TargetMode="External"/><Relationship Id="rId32" Type="http://schemas.openxmlformats.org/officeDocument/2006/relationships/hyperlink" Target="https://www.epa.gov/sdwa/secondary-drinking-water-standards-guidance-nuisance-chemical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doi.org/10.1093/nsr/nwaa003" TargetMode="External"/><Relationship Id="rId28" Type="http://schemas.openxmlformats.org/officeDocument/2006/relationships/hyperlink" Target="https://nigerianstat.gov.ng/download/474" TargetMode="External"/><Relationship Id="rId36" Type="http://schemas.openxmlformats.org/officeDocument/2006/relationships/hyperlink" Target="https://doi.org/10.2166/wst.2024.053" TargetMode="External"/><Relationship Id="rId10" Type="http://schemas.openxmlformats.org/officeDocument/2006/relationships/footer" Target="footer1.xml"/><Relationship Id="rId19" Type="http://schemas.openxmlformats.org/officeDocument/2006/relationships/hyperlink" Target="https://doi.org/10.3390/ECWS-7-14258" TargetMode="External"/><Relationship Id="rId31" Type="http://schemas.openxmlformats.org/officeDocument/2006/relationships/hyperlink" Target="https://doi.org/10.1007/s13201-015-0306-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yperlink" Target="https://doi.org/10.5194/esurf-8-485-2020" TargetMode="External"/><Relationship Id="rId27" Type="http://schemas.openxmlformats.org/officeDocument/2006/relationships/hyperlink" Target="https://doi.org/10.1016/j.scitotenv.2019.136125" TargetMode="External"/><Relationship Id="rId30" Type="http://schemas.openxmlformats.org/officeDocument/2006/relationships/hyperlink" Target="https://doi.org/10.4314/fuoyejet.v11i1.6" TargetMode="External"/><Relationship Id="rId35" Type="http://schemas.openxmlformats.org/officeDocument/2006/relationships/hyperlink" Target="https://doi.org/10.1186/s13765-020-0493-6" TargetMode="External"/><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t> River Amba</a:t>
            </a:r>
            <a:endParaRPr lang="en-US" b="1"/>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6.8</c:v>
                </c:pt>
                <c:pt idx="1">
                  <c:v>8.5</c:v>
                </c:pt>
                <c:pt idx="2">
                  <c:v>8.5</c:v>
                </c:pt>
                <c:pt idx="3">
                  <c:v>27</c:v>
                </c:pt>
                <c:pt idx="4">
                  <c:v>40</c:v>
                </c:pt>
                <c:pt idx="5">
                  <c:v>40</c:v>
                </c:pt>
                <c:pt idx="6">
                  <c:v>4.8</c:v>
                </c:pt>
                <c:pt idx="7">
                  <c:v>6.5</c:v>
                </c:pt>
                <c:pt idx="8">
                  <c:v>6.5</c:v>
                </c:pt>
                <c:pt idx="9">
                  <c:v>2.6</c:v>
                </c:pt>
                <c:pt idx="10">
                  <c:v>40</c:v>
                </c:pt>
                <c:pt idx="11">
                  <c:v>100</c:v>
                </c:pt>
                <c:pt idx="12">
                  <c:v>2.8</c:v>
                </c:pt>
                <c:pt idx="13">
                  <c:v>120</c:v>
                </c:pt>
                <c:pt idx="14">
                  <c:v>40</c:v>
                </c:pt>
                <c:pt idx="15">
                  <c:v>256</c:v>
                </c:pt>
                <c:pt idx="16">
                  <c:v>1000</c:v>
                </c:pt>
                <c:pt idx="17">
                  <c:v>750</c:v>
                </c:pt>
              </c:numCache>
            </c:numRef>
          </c:val>
          <c:smooth val="0"/>
          <c:extLst>
            <c:ext xmlns:c16="http://schemas.microsoft.com/office/drawing/2014/chart" uri="{C3380CC4-5D6E-409C-BE32-E72D297353CC}">
              <c16:uniqueId val="{00000000-B285-4BFE-95D6-C98F1DAB435D}"/>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6.6</c:v>
                </c:pt>
                <c:pt idx="1">
                  <c:v>8.5</c:v>
                </c:pt>
                <c:pt idx="2">
                  <c:v>8.5</c:v>
                </c:pt>
                <c:pt idx="3">
                  <c:v>26</c:v>
                </c:pt>
                <c:pt idx="4">
                  <c:v>40</c:v>
                </c:pt>
                <c:pt idx="5">
                  <c:v>40</c:v>
                </c:pt>
                <c:pt idx="6">
                  <c:v>5.5</c:v>
                </c:pt>
                <c:pt idx="7">
                  <c:v>6.5</c:v>
                </c:pt>
                <c:pt idx="8">
                  <c:v>6.5</c:v>
                </c:pt>
                <c:pt idx="9">
                  <c:v>3.3</c:v>
                </c:pt>
                <c:pt idx="10">
                  <c:v>40</c:v>
                </c:pt>
                <c:pt idx="11">
                  <c:v>100</c:v>
                </c:pt>
                <c:pt idx="12">
                  <c:v>3</c:v>
                </c:pt>
                <c:pt idx="13">
                  <c:v>120</c:v>
                </c:pt>
                <c:pt idx="14">
                  <c:v>40</c:v>
                </c:pt>
                <c:pt idx="15">
                  <c:v>180</c:v>
                </c:pt>
                <c:pt idx="16">
                  <c:v>1000</c:v>
                </c:pt>
                <c:pt idx="17">
                  <c:v>750</c:v>
                </c:pt>
              </c:numCache>
            </c:numRef>
          </c:val>
          <c:smooth val="0"/>
          <c:extLst>
            <c:ext xmlns:c16="http://schemas.microsoft.com/office/drawing/2014/chart" uri="{C3380CC4-5D6E-409C-BE32-E72D297353CC}">
              <c16:uniqueId val="{00000001-B285-4BFE-95D6-C98F1DAB435D}"/>
            </c:ext>
          </c:extLst>
        </c:ser>
        <c:dLbls>
          <c:showLegendKey val="0"/>
          <c:showVal val="0"/>
          <c:showCatName val="0"/>
          <c:showSerName val="0"/>
          <c:showPercent val="0"/>
          <c:showBubbleSize val="0"/>
        </c:dLbls>
        <c:marker val="1"/>
        <c:smooth val="0"/>
        <c:axId val="446202240"/>
        <c:axId val="446204160"/>
      </c:lineChart>
      <c:catAx>
        <c:axId val="4462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204160"/>
        <c:crosses val="autoZero"/>
        <c:auto val="1"/>
        <c:lblAlgn val="ctr"/>
        <c:lblOffset val="100"/>
        <c:noMultiLvlLbl val="0"/>
      </c:catAx>
      <c:valAx>
        <c:axId val="446204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latin typeface="Times New Roman" pitchFamily="18" charset="0"/>
                    <a:cs typeface="Times New Roman" pitchFamily="18" charset="0"/>
                  </a:defRPr>
                </a:pPr>
                <a:r>
                  <a:rPr lang="en-US" sz="1200">
                    <a:latin typeface="Times New Roman" pitchFamily="18" charset="0"/>
                    <a:cs typeface="Times New Roman" pitchFamily="18" charset="0"/>
                  </a:rPr>
                  <a:t>Concentrations</a:t>
                </a:r>
                <a:r>
                  <a:rPr lang="en-US" sz="1200" baseline="0">
                    <a:latin typeface="Times New Roman" pitchFamily="18" charset="0"/>
                    <a:cs typeface="Times New Roman" pitchFamily="18" charset="0"/>
                  </a:rPr>
                  <a:t> of parameters</a:t>
                </a:r>
                <a:endParaRPr lang="en-US" sz="1200">
                  <a:latin typeface="Times New Roman" pitchFamily="18" charset="0"/>
                  <a:cs typeface="Times New Roman" pitchFamily="18" charset="0"/>
                </a:endParaRPr>
              </a:p>
            </c:rich>
          </c:tx>
          <c:layout>
            <c:manualLayout>
              <c:xMode val="edge"/>
              <c:yMode val="edge"/>
              <c:x val="2.222222222222224E-2"/>
              <c:y val="0.1077548118985126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20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latin typeface="Times New Roman" panose="02020603050405020304" pitchFamily="18" charset="0"/>
                <a:cs typeface="Times New Roman" panose="02020603050405020304" pitchFamily="18" charset="0"/>
              </a:rPr>
              <a:t>River Shabu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7.2</c:v>
                </c:pt>
                <c:pt idx="1">
                  <c:v>8.5</c:v>
                </c:pt>
                <c:pt idx="2">
                  <c:v>8.5</c:v>
                </c:pt>
                <c:pt idx="3">
                  <c:v>27.4</c:v>
                </c:pt>
                <c:pt idx="4">
                  <c:v>40</c:v>
                </c:pt>
                <c:pt idx="5">
                  <c:v>40</c:v>
                </c:pt>
                <c:pt idx="6">
                  <c:v>4.8</c:v>
                </c:pt>
                <c:pt idx="7">
                  <c:v>6.5</c:v>
                </c:pt>
                <c:pt idx="8">
                  <c:v>6.8</c:v>
                </c:pt>
                <c:pt idx="9">
                  <c:v>2.6</c:v>
                </c:pt>
                <c:pt idx="10">
                  <c:v>40</c:v>
                </c:pt>
                <c:pt idx="11">
                  <c:v>100</c:v>
                </c:pt>
                <c:pt idx="12">
                  <c:v>2.9</c:v>
                </c:pt>
                <c:pt idx="13">
                  <c:v>120</c:v>
                </c:pt>
                <c:pt idx="14">
                  <c:v>40</c:v>
                </c:pt>
                <c:pt idx="15">
                  <c:v>33.300000000000004</c:v>
                </c:pt>
                <c:pt idx="16">
                  <c:v>1000</c:v>
                </c:pt>
                <c:pt idx="17">
                  <c:v>750</c:v>
                </c:pt>
              </c:numCache>
            </c:numRef>
          </c:val>
          <c:smooth val="0"/>
          <c:extLst>
            <c:ext xmlns:c16="http://schemas.microsoft.com/office/drawing/2014/chart" uri="{C3380CC4-5D6E-409C-BE32-E72D297353CC}">
              <c16:uniqueId val="{00000000-FFE9-4B22-861F-FB39A4390E8C}"/>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6.5</c:v>
                </c:pt>
                <c:pt idx="1">
                  <c:v>8.5</c:v>
                </c:pt>
                <c:pt idx="2">
                  <c:v>8.5</c:v>
                </c:pt>
                <c:pt idx="3">
                  <c:v>26</c:v>
                </c:pt>
                <c:pt idx="4">
                  <c:v>40</c:v>
                </c:pt>
                <c:pt idx="5">
                  <c:v>40</c:v>
                </c:pt>
                <c:pt idx="6">
                  <c:v>4.2</c:v>
                </c:pt>
                <c:pt idx="7">
                  <c:v>6.5</c:v>
                </c:pt>
                <c:pt idx="8">
                  <c:v>6.5</c:v>
                </c:pt>
                <c:pt idx="9">
                  <c:v>2</c:v>
                </c:pt>
                <c:pt idx="10">
                  <c:v>40</c:v>
                </c:pt>
                <c:pt idx="11">
                  <c:v>100</c:v>
                </c:pt>
                <c:pt idx="12">
                  <c:v>2.8</c:v>
                </c:pt>
                <c:pt idx="13">
                  <c:v>120</c:v>
                </c:pt>
                <c:pt idx="14">
                  <c:v>40</c:v>
                </c:pt>
                <c:pt idx="15">
                  <c:v>40</c:v>
                </c:pt>
                <c:pt idx="16">
                  <c:v>1000</c:v>
                </c:pt>
                <c:pt idx="17">
                  <c:v>750</c:v>
                </c:pt>
              </c:numCache>
            </c:numRef>
          </c:val>
          <c:smooth val="0"/>
          <c:extLst>
            <c:ext xmlns:c16="http://schemas.microsoft.com/office/drawing/2014/chart" uri="{C3380CC4-5D6E-409C-BE32-E72D297353CC}">
              <c16:uniqueId val="{00000001-FFE9-4B22-861F-FB39A4390E8C}"/>
            </c:ext>
          </c:extLst>
        </c:ser>
        <c:dLbls>
          <c:showLegendKey val="0"/>
          <c:showVal val="0"/>
          <c:showCatName val="0"/>
          <c:showSerName val="0"/>
          <c:showPercent val="0"/>
          <c:showBubbleSize val="0"/>
        </c:dLbls>
        <c:marker val="1"/>
        <c:smooth val="0"/>
        <c:axId val="591937920"/>
        <c:axId val="591939840"/>
      </c:lineChart>
      <c:catAx>
        <c:axId val="59193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939840"/>
        <c:crosses val="autoZero"/>
        <c:auto val="1"/>
        <c:lblAlgn val="ctr"/>
        <c:lblOffset val="100"/>
        <c:noMultiLvlLbl val="0"/>
      </c:catAx>
      <c:valAx>
        <c:axId val="591939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Contrations</a:t>
                </a:r>
                <a:r>
                  <a:rPr lang="en-US" sz="1200" baseline="0">
                    <a:latin typeface="Times New Roman" pitchFamily="18" charset="0"/>
                    <a:cs typeface="Times New Roman" pitchFamily="18" charset="0"/>
                  </a:rPr>
                  <a:t> of Parametrs</a:t>
                </a:r>
                <a:endParaRPr lang="en-US" sz="1200">
                  <a:latin typeface="Times New Roman" pitchFamily="18" charset="0"/>
                  <a:cs typeface="Times New Roman" pitchFamily="18" charset="0"/>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93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a:t>
            </a:r>
            <a:r>
              <a:rPr lang="en-US" b="1" baseline="0">
                <a:latin typeface="Times New Roman" panose="02020603050405020304" pitchFamily="18" charset="0"/>
                <a:cs typeface="Times New Roman" panose="02020603050405020304" pitchFamily="18" charset="0"/>
              </a:rPr>
              <a:t>River Ombi-anzaku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7.9</c:v>
                </c:pt>
                <c:pt idx="1">
                  <c:v>8.5</c:v>
                </c:pt>
                <c:pt idx="2">
                  <c:v>8.5</c:v>
                </c:pt>
                <c:pt idx="3">
                  <c:v>26.8</c:v>
                </c:pt>
                <c:pt idx="4">
                  <c:v>40</c:v>
                </c:pt>
                <c:pt idx="5">
                  <c:v>40</c:v>
                </c:pt>
                <c:pt idx="6">
                  <c:v>2.8</c:v>
                </c:pt>
                <c:pt idx="7">
                  <c:v>6.5</c:v>
                </c:pt>
                <c:pt idx="8">
                  <c:v>6.8</c:v>
                </c:pt>
                <c:pt idx="9">
                  <c:v>2.6</c:v>
                </c:pt>
                <c:pt idx="10">
                  <c:v>40</c:v>
                </c:pt>
                <c:pt idx="11">
                  <c:v>100</c:v>
                </c:pt>
                <c:pt idx="12">
                  <c:v>2.8</c:v>
                </c:pt>
                <c:pt idx="13">
                  <c:v>120</c:v>
                </c:pt>
                <c:pt idx="14">
                  <c:v>40</c:v>
                </c:pt>
                <c:pt idx="15">
                  <c:v>73</c:v>
                </c:pt>
                <c:pt idx="16">
                  <c:v>1000</c:v>
                </c:pt>
                <c:pt idx="17">
                  <c:v>750</c:v>
                </c:pt>
              </c:numCache>
            </c:numRef>
          </c:val>
          <c:smooth val="0"/>
          <c:extLst>
            <c:ext xmlns:c16="http://schemas.microsoft.com/office/drawing/2014/chart" uri="{C3380CC4-5D6E-409C-BE32-E72D297353CC}">
              <c16:uniqueId val="{00000000-07EA-4C20-A1AA-D6FEB6896B06}"/>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6.8</c:v>
                </c:pt>
                <c:pt idx="1">
                  <c:v>8.5</c:v>
                </c:pt>
                <c:pt idx="2">
                  <c:v>8.5</c:v>
                </c:pt>
                <c:pt idx="3">
                  <c:v>26.2</c:v>
                </c:pt>
                <c:pt idx="4">
                  <c:v>40</c:v>
                </c:pt>
                <c:pt idx="5">
                  <c:v>40</c:v>
                </c:pt>
                <c:pt idx="6">
                  <c:v>3.5</c:v>
                </c:pt>
                <c:pt idx="7">
                  <c:v>6.5</c:v>
                </c:pt>
                <c:pt idx="8">
                  <c:v>6.5</c:v>
                </c:pt>
                <c:pt idx="9">
                  <c:v>1.3</c:v>
                </c:pt>
                <c:pt idx="10">
                  <c:v>40</c:v>
                </c:pt>
                <c:pt idx="11">
                  <c:v>100</c:v>
                </c:pt>
                <c:pt idx="12">
                  <c:v>2.7</c:v>
                </c:pt>
                <c:pt idx="13">
                  <c:v>120</c:v>
                </c:pt>
                <c:pt idx="14">
                  <c:v>40</c:v>
                </c:pt>
                <c:pt idx="15">
                  <c:v>50</c:v>
                </c:pt>
                <c:pt idx="16">
                  <c:v>1000</c:v>
                </c:pt>
                <c:pt idx="17">
                  <c:v>750</c:v>
                </c:pt>
              </c:numCache>
            </c:numRef>
          </c:val>
          <c:smooth val="0"/>
          <c:extLst>
            <c:ext xmlns:c16="http://schemas.microsoft.com/office/drawing/2014/chart" uri="{C3380CC4-5D6E-409C-BE32-E72D297353CC}">
              <c16:uniqueId val="{00000001-07EA-4C20-A1AA-D6FEB6896B06}"/>
            </c:ext>
          </c:extLst>
        </c:ser>
        <c:dLbls>
          <c:showLegendKey val="0"/>
          <c:showVal val="0"/>
          <c:showCatName val="0"/>
          <c:showSerName val="0"/>
          <c:showPercent val="0"/>
          <c:showBubbleSize val="0"/>
        </c:dLbls>
        <c:marker val="1"/>
        <c:smooth val="0"/>
        <c:axId val="591970688"/>
        <c:axId val="591972608"/>
      </c:lineChart>
      <c:catAx>
        <c:axId val="59197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972608"/>
        <c:crosses val="autoZero"/>
        <c:auto val="1"/>
        <c:lblAlgn val="ctr"/>
        <c:lblOffset val="100"/>
        <c:noMultiLvlLbl val="0"/>
      </c:catAx>
      <c:valAx>
        <c:axId val="591972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Concentrations</a:t>
                </a:r>
                <a:r>
                  <a:rPr lang="en-US" baseline="0"/>
                  <a:t> of </a:t>
                </a:r>
                <a:r>
                  <a:rPr lang="en-US" sz="1050" baseline="0">
                    <a:latin typeface="Times New Roman" pitchFamily="18" charset="0"/>
                    <a:cs typeface="Times New Roman" pitchFamily="18" charset="0"/>
                  </a:rPr>
                  <a:t>Parameters</a:t>
                </a:r>
                <a:endParaRPr lang="en-US" sz="1050">
                  <a:latin typeface="Times New Roman" pitchFamily="18" charset="0"/>
                  <a:cs typeface="Times New Roman" pitchFamily="18" charset="0"/>
                </a:endParaRPr>
              </a:p>
            </c:rich>
          </c:tx>
          <c:layout>
            <c:manualLayout>
              <c:xMode val="edge"/>
              <c:yMode val="edge"/>
              <c:x val="2.4943310657596397E-2"/>
              <c:y val="0.1264091559370529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97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a:t>
            </a:r>
            <a:r>
              <a:rPr lang="en-US" b="1" baseline="0">
                <a:latin typeface="Times New Roman" panose="02020603050405020304" pitchFamily="18" charset="0"/>
                <a:cs typeface="Times New Roman" panose="02020603050405020304" pitchFamily="18" charset="0"/>
              </a:rPr>
              <a:t>River Gandu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6.5</c:v>
                </c:pt>
                <c:pt idx="1">
                  <c:v>8.5</c:v>
                </c:pt>
                <c:pt idx="2">
                  <c:v>8.5</c:v>
                </c:pt>
                <c:pt idx="3">
                  <c:v>27.2</c:v>
                </c:pt>
                <c:pt idx="4">
                  <c:v>40</c:v>
                </c:pt>
                <c:pt idx="5">
                  <c:v>40</c:v>
                </c:pt>
                <c:pt idx="6">
                  <c:v>4.8</c:v>
                </c:pt>
                <c:pt idx="7">
                  <c:v>6.5</c:v>
                </c:pt>
                <c:pt idx="8">
                  <c:v>6.8</c:v>
                </c:pt>
                <c:pt idx="9">
                  <c:v>2.6</c:v>
                </c:pt>
                <c:pt idx="10">
                  <c:v>40</c:v>
                </c:pt>
                <c:pt idx="11">
                  <c:v>100</c:v>
                </c:pt>
                <c:pt idx="12">
                  <c:v>2.8</c:v>
                </c:pt>
                <c:pt idx="13">
                  <c:v>120</c:v>
                </c:pt>
                <c:pt idx="14">
                  <c:v>40</c:v>
                </c:pt>
                <c:pt idx="15">
                  <c:v>36.700000000000003</c:v>
                </c:pt>
                <c:pt idx="16">
                  <c:v>1000</c:v>
                </c:pt>
                <c:pt idx="17">
                  <c:v>750</c:v>
                </c:pt>
              </c:numCache>
            </c:numRef>
          </c:val>
          <c:smooth val="0"/>
          <c:extLst>
            <c:ext xmlns:c16="http://schemas.microsoft.com/office/drawing/2014/chart" uri="{C3380CC4-5D6E-409C-BE32-E72D297353CC}">
              <c16:uniqueId val="{00000000-6AC9-41E4-A1BA-163F250C0D59}"/>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6.3</c:v>
                </c:pt>
                <c:pt idx="1">
                  <c:v>8.5</c:v>
                </c:pt>
                <c:pt idx="2">
                  <c:v>8.5</c:v>
                </c:pt>
                <c:pt idx="3">
                  <c:v>27</c:v>
                </c:pt>
                <c:pt idx="4">
                  <c:v>40</c:v>
                </c:pt>
                <c:pt idx="5">
                  <c:v>40</c:v>
                </c:pt>
                <c:pt idx="6">
                  <c:v>4.2</c:v>
                </c:pt>
                <c:pt idx="7">
                  <c:v>6.5</c:v>
                </c:pt>
                <c:pt idx="8">
                  <c:v>6.5</c:v>
                </c:pt>
                <c:pt idx="9">
                  <c:v>1.3</c:v>
                </c:pt>
                <c:pt idx="10">
                  <c:v>40</c:v>
                </c:pt>
                <c:pt idx="11">
                  <c:v>100</c:v>
                </c:pt>
                <c:pt idx="12">
                  <c:v>2.2999999999999998</c:v>
                </c:pt>
                <c:pt idx="13">
                  <c:v>120</c:v>
                </c:pt>
                <c:pt idx="14">
                  <c:v>40</c:v>
                </c:pt>
                <c:pt idx="15">
                  <c:v>73</c:v>
                </c:pt>
                <c:pt idx="16">
                  <c:v>1000</c:v>
                </c:pt>
                <c:pt idx="17">
                  <c:v>750</c:v>
                </c:pt>
              </c:numCache>
            </c:numRef>
          </c:val>
          <c:smooth val="0"/>
          <c:extLst>
            <c:ext xmlns:c16="http://schemas.microsoft.com/office/drawing/2014/chart" uri="{C3380CC4-5D6E-409C-BE32-E72D297353CC}">
              <c16:uniqueId val="{00000001-6AC9-41E4-A1BA-163F250C0D59}"/>
            </c:ext>
          </c:extLst>
        </c:ser>
        <c:dLbls>
          <c:showLegendKey val="0"/>
          <c:showVal val="0"/>
          <c:showCatName val="0"/>
          <c:showSerName val="0"/>
          <c:showPercent val="0"/>
          <c:showBubbleSize val="0"/>
        </c:dLbls>
        <c:marker val="1"/>
        <c:smooth val="0"/>
        <c:axId val="593817984"/>
        <c:axId val="593819904"/>
      </c:lineChart>
      <c:catAx>
        <c:axId val="59381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9904"/>
        <c:crosses val="autoZero"/>
        <c:auto val="1"/>
        <c:lblAlgn val="ctr"/>
        <c:lblOffset val="100"/>
        <c:noMultiLvlLbl val="0"/>
      </c:catAx>
      <c:valAx>
        <c:axId val="59381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sz="1200">
                    <a:latin typeface="Times New Roman" pitchFamily="18" charset="0"/>
                    <a:cs typeface="Times New Roman" pitchFamily="18" charset="0"/>
                  </a:rPr>
                  <a:t>Concentrations</a:t>
                </a:r>
                <a:r>
                  <a:rPr lang="en-US" sz="1200" baseline="0">
                    <a:latin typeface="Times New Roman" pitchFamily="18" charset="0"/>
                    <a:cs typeface="Times New Roman" pitchFamily="18" charset="0"/>
                  </a:rPr>
                  <a:t> of Parameters</a:t>
                </a:r>
                <a:endParaRPr lang="en-US" sz="1200">
                  <a:latin typeface="Times New Roman" pitchFamily="18" charset="0"/>
                  <a:cs typeface="Times New Roman" pitchFamily="18" charset="0"/>
                </a:endParaRPr>
              </a:p>
            </c:rich>
          </c:tx>
          <c:layout>
            <c:manualLayout>
              <c:xMode val="edge"/>
              <c:yMode val="edge"/>
              <c:x val="3.1327522186816954E-2"/>
              <c:y val="0.23879843409404347"/>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381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D4A9CFD-61A0-40B6-8F42-A81181847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4648</Words>
  <Characters>26498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dc:creator>
  <cp:lastModifiedBy>SDI 1178</cp:lastModifiedBy>
  <cp:revision>5</cp:revision>
  <dcterms:created xsi:type="dcterms:W3CDTF">2026-06-13T20:13:00Z</dcterms:created>
  <dcterms:modified xsi:type="dcterms:W3CDTF">2026-06-18T06:34:00Z</dcterms:modified>
</cp:coreProperties>
</file>