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38A51" w14:textId="77777777" w:rsidR="001574BA" w:rsidRPr="001574BA" w:rsidRDefault="001574BA" w:rsidP="001574BA">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1574BA">
        <w:rPr>
          <w:rFonts w:ascii="Times New Roman" w:eastAsia="Times New Roman" w:hAnsi="Times New Roman" w:cs="Times New Roman"/>
          <w:b/>
          <w:bCs/>
          <w:i/>
          <w:iCs/>
          <w:sz w:val="36"/>
          <w:szCs w:val="36"/>
          <w:u w:val="single"/>
          <w:lang w:val="en-US" w:eastAsia="en-GB"/>
        </w:rPr>
        <w:t>Review Article</w:t>
      </w:r>
    </w:p>
    <w:p w14:paraId="1E2DD484" w14:textId="77777777" w:rsidR="00C93EFA" w:rsidRPr="00C93EFA" w:rsidRDefault="00C93EFA" w:rsidP="00C93EFA">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C93EFA">
        <w:rPr>
          <w:rFonts w:ascii="Times New Roman" w:eastAsia="Times New Roman" w:hAnsi="Times New Roman" w:cs="Times New Roman"/>
          <w:b/>
          <w:bCs/>
          <w:sz w:val="36"/>
          <w:szCs w:val="36"/>
          <w:lang w:eastAsia="en-GB"/>
        </w:rPr>
        <w:t>The Evolution of Software Containerization: Docker's Impact on DevOps and Microservices Architecture</w:t>
      </w:r>
    </w:p>
    <w:p w14:paraId="5F3E8CB1"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Abstract</w:t>
      </w:r>
    </w:p>
    <w:p w14:paraId="7DA839BD"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Software containerization has changed how applications are built, packaged, deployed and operated, and Docker has been the principal force behind that change. This article presents a critical narrative review of the academic literature on the technical foundations of containerization, its orchestration through platforms such as Kubernetes, and its relationship with two closely associated movements in contemporary software engineering: DevOps and microservices architecture. The review traces the conceptual line from hypervisor-based virtualization to lightweight, operating-system-level isolation, then examines the empirical evidence on performance, resource efficiency, security and organisational adoption. Particular attention falls on how container technology has served as an enabling substrate for continuous integration and delivery pipelines, for the decomposition of monolithic systems into independently deployable services, and for the extension of cloud-native practice into edge, Internet of Things and serverless settings. The review also engages critically with contested claims in this literature, including the durability of reported performance advantages, the persistence of security and supply-chain risk, and the uneven evidence base behind many widely repeated benefits of DevOps and microservices adoption. The synthesis suggests that Docker's importance lies less in any single technical innovation than in its function as a standardising artefact that lowered the practical threshold for adopting distributed, service-oriented and automation-intensive delivery models. The article closes by identifying gaps in empirical rigour, a shortage of longitudinal and industrial-scale studies, and promising directions including container security taxonomies, AI-assisted operations and the convergence of serverless and container paradigms.</w:t>
      </w:r>
    </w:p>
    <w:p w14:paraId="39BC06E4"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b/>
          <w:bCs/>
          <w:sz w:val="24"/>
          <w:szCs w:val="24"/>
          <w:lang w:eastAsia="en-GB"/>
        </w:rPr>
        <w:t>Keywords:</w:t>
      </w:r>
      <w:r w:rsidRPr="00C93EFA">
        <w:rPr>
          <w:rFonts w:ascii="Times New Roman" w:eastAsia="Times New Roman" w:hAnsi="Times New Roman" w:cs="Times New Roman"/>
          <w:sz w:val="24"/>
          <w:szCs w:val="24"/>
          <w:lang w:eastAsia="en-GB"/>
        </w:rPr>
        <w:t xml:space="preserve"> containerization; Docker; DevOps; microservices architecture; Kubernetes; cloud-native computing; continuous integration and delivery; container security</w:t>
      </w:r>
    </w:p>
    <w:p w14:paraId="7D611CC9"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1. Introduction</w:t>
      </w:r>
    </w:p>
    <w:p w14:paraId="119A418F"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1.1 The Pre-Container Era: Virtualization and the Limits of the Hypervisor Model</w:t>
      </w:r>
    </w:p>
    <w:p w14:paraId="65D1CC36" w14:textId="77777777" w:rsidR="00C93EFA" w:rsidRPr="00C84EA2" w:rsidRDefault="00C93EFA" w:rsidP="00C93EFA">
      <w:pPr>
        <w:spacing w:before="100" w:beforeAutospacing="1" w:after="100" w:afterAutospacing="1" w:line="240" w:lineRule="auto"/>
        <w:rPr>
          <w:rFonts w:ascii="Times New Roman" w:eastAsia="Times New Roman" w:hAnsi="Times New Roman" w:cs="Times New Roman"/>
          <w:bCs/>
          <w:sz w:val="24"/>
          <w:szCs w:val="24"/>
          <w:lang w:eastAsia="en-GB"/>
        </w:rPr>
      </w:pPr>
      <w:r w:rsidRPr="00C93EFA">
        <w:rPr>
          <w:rFonts w:ascii="Times New Roman" w:eastAsia="Times New Roman" w:hAnsi="Times New Roman" w:cs="Times New Roman"/>
          <w:sz w:val="24"/>
          <w:szCs w:val="24"/>
          <w:lang w:eastAsia="en-GB"/>
        </w:rPr>
        <w:t>For much of the first decade of large-scale cloud computing, server virtualization built on hypervisors was the dominant way of dividing physical infrastructure among multiple workloads. Hypervisor-based virtual machines (VMs) emulate a complete hardware environment, so that several guest operating systems can run side by side on one physical host while remaining mutually isolated (Pearce et al., 2013). That isolation has long been prized for the strength of its security boundary, but it carries a structural cost: every VM duplicates a full guest kernel, a set of device drivers, and an independent memory footprint, all of which limit density and slow provisioning (Bhardwaj &amp; Krishna, 2021). As cloud workloads diversified to include high-performance computing, large-scale data analytics and geographically distributed applications, it became reasonable to ask whether the hypervisor model could scale down efficiently enough to match the granularity that frequently redeployed modern services demanded (</w:t>
      </w:r>
      <w:proofErr w:type="spellStart"/>
      <w:r w:rsidRPr="00C93EFA">
        <w:rPr>
          <w:rFonts w:ascii="Times New Roman" w:eastAsia="Times New Roman" w:hAnsi="Times New Roman" w:cs="Times New Roman"/>
          <w:sz w:val="24"/>
          <w:szCs w:val="24"/>
          <w:lang w:eastAsia="en-GB"/>
        </w:rPr>
        <w:t>Casalicchio</w:t>
      </w:r>
      <w:proofErr w:type="spellEnd"/>
      <w:r w:rsidRPr="00C93EFA">
        <w:rPr>
          <w:rFonts w:ascii="Times New Roman" w:eastAsia="Times New Roman" w:hAnsi="Times New Roman" w:cs="Times New Roman"/>
          <w:sz w:val="24"/>
          <w:szCs w:val="24"/>
          <w:lang w:eastAsia="en-GB"/>
        </w:rPr>
        <w:t xml:space="preserve"> &amp; Iannucci, 2020). It was against this </w:t>
      </w:r>
      <w:r w:rsidRPr="00C93EFA">
        <w:rPr>
          <w:rFonts w:ascii="Times New Roman" w:eastAsia="Times New Roman" w:hAnsi="Times New Roman" w:cs="Times New Roman"/>
          <w:sz w:val="24"/>
          <w:szCs w:val="24"/>
          <w:lang w:eastAsia="en-GB"/>
        </w:rPr>
        <w:lastRenderedPageBreak/>
        <w:t>backdrop that operating-system-level virtualization — isolation enforced through kernel namespaces and control groups rather than emulated hardware — began to draw serious academic and industrial interest as a lighter alternative.</w:t>
      </w:r>
      <w:r>
        <w:rPr>
          <w:b/>
          <w:highlight w:val="yellow"/>
        </w:rPr>
        <w:t xml:space="preserve"> </w:t>
      </w:r>
      <w:r w:rsidRPr="00C84EA2">
        <w:rPr>
          <w:bCs/>
          <w:highlight w:val="yellow"/>
        </w:rPr>
        <w:t>Broader accounts of information-technology evolution similarly frame cloud computing and related digital technologies as pressures that require more adaptive organisational and technical frameworks (Singh &amp; Singh, 2024).</w:t>
      </w:r>
    </w:p>
    <w:p w14:paraId="3C941579"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1.2 Docker and the Containerization Turn</w:t>
      </w:r>
    </w:p>
    <w:p w14:paraId="1808A557"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Docker did not invent operating-system-level virtualization, but it standardised and popularised it in a way earlier Linux container technologies had not managed, chiefly by pairing kernel isolation primitives with a portable image format and a simple build-and-distribute workflow (Bentaleb et al., 2022). The effect was that a container could bundle an application together with its runtime dependencies into a single, versioned artefact that behaved consistently from a developer's laptop through to production infrastructure. Practitioner surveys suggest that this portability, more than any single performance characteristic, is what developers most often cite as their reason for adopting Docker and companion tools such as Docker Compose (Reis et al., 2022). The subsequent growth of container registries, base images and </w:t>
      </w:r>
      <w:proofErr w:type="spellStart"/>
      <w:r w:rsidRPr="00C93EFA">
        <w:rPr>
          <w:rFonts w:ascii="Times New Roman" w:eastAsia="Times New Roman" w:hAnsi="Times New Roman" w:cs="Times New Roman"/>
          <w:sz w:val="24"/>
          <w:szCs w:val="24"/>
          <w:lang w:eastAsia="en-GB"/>
        </w:rPr>
        <w:t>Dockerfile</w:t>
      </w:r>
      <w:proofErr w:type="spellEnd"/>
      <w:r w:rsidRPr="00C93EFA">
        <w:rPr>
          <w:rFonts w:ascii="Times New Roman" w:eastAsia="Times New Roman" w:hAnsi="Times New Roman" w:cs="Times New Roman"/>
          <w:sz w:val="24"/>
          <w:szCs w:val="24"/>
          <w:lang w:eastAsia="en-GB"/>
        </w:rPr>
        <w:t>-authoring conventions created an ecosystem whose quality characteristics — image size, layering discipline, dependency pinning, security posture — have themselves become objects of study (Rosa et al., 2023). Reviews of the wider container literature describe this period as one in which containerization moved from a niche systems-research topic to the default deployment unit across cloud, edge and high-performance computing settings (Pahl et al., 2019).</w:t>
      </w:r>
      <w:r>
        <w:rPr>
          <w:b/>
          <w:highlight w:val="yellow"/>
        </w:rPr>
        <w:t xml:space="preserve"> </w:t>
      </w:r>
      <w:r w:rsidRPr="00C84EA2">
        <w:rPr>
          <w:bCs/>
          <w:highlight w:val="yellow"/>
        </w:rPr>
        <w:t>A recent Docker-focused taxonomy likewise treats containerization as an ecosystem-level concern involving architecture, orchestration and cloud deployment rather than the container runtime alone (Muzumdar et al., 2024).</w:t>
      </w:r>
    </w:p>
    <w:p w14:paraId="1EBBC10A"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1.3 The Conceptual Convergence of Containers, DevOps, and Microservices</w:t>
      </w:r>
    </w:p>
    <w:p w14:paraId="23E96C95"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Containerization did not mature in isolation. It developed alongside, and in close conceptual partnership with, two other movements: DevOps, understood as a collaborative effort to automate and accelerate the delivery of reliable software (Leite et al., 2019), and microservices architecture, an approach to system design in which an application is decomposed into a set of small, independently deployable services (Di Francesco et al., 2019). The relationship between these three phenomena is better described as mutually reinforcing than strictly causal. Containers offer a packaging unit well suited to the granularity of microservices, while the automation ethos of DevOps depends on artefacts — container images among them — that can be built, tested and promoted through a pipeline with minimal manual intervention. Industrial case studies of migration to microservices repeatedly cite containerization as one of the technical enablers that made the architectural style operationally workable (</w:t>
      </w:r>
      <w:proofErr w:type="spellStart"/>
      <w:r w:rsidRPr="00C93EFA">
        <w:rPr>
          <w:rFonts w:ascii="Times New Roman" w:eastAsia="Times New Roman" w:hAnsi="Times New Roman" w:cs="Times New Roman"/>
          <w:sz w:val="24"/>
          <w:szCs w:val="24"/>
          <w:lang w:eastAsia="en-GB"/>
        </w:rPr>
        <w:t>Balalaie</w:t>
      </w:r>
      <w:proofErr w:type="spellEnd"/>
      <w:r w:rsidRPr="00C93EFA">
        <w:rPr>
          <w:rFonts w:ascii="Times New Roman" w:eastAsia="Times New Roman" w:hAnsi="Times New Roman" w:cs="Times New Roman"/>
          <w:sz w:val="24"/>
          <w:szCs w:val="24"/>
          <w:lang w:eastAsia="en-GB"/>
        </w:rPr>
        <w:t xml:space="preserve"> et al., 2018). At the same time, the literature warns against treating this convergence as inevitable or universally beneficial: it contains numerous accounts of organisations that adopted containers, microservices or DevOps practices without realising the gains they expected, and a strand of research has emerged specifically to catalogue the resulting pains alongside the gains (Soldani et al., 2018).</w:t>
      </w:r>
    </w:p>
    <w:p w14:paraId="4CF762B3" w14:textId="77777777" w:rsidR="00C93EFA" w:rsidRPr="00C84EA2" w:rsidRDefault="00C93EFA" w:rsidP="00C93EFA">
      <w:pPr>
        <w:rPr>
          <w:bCs/>
        </w:rPr>
      </w:pPr>
      <w:r w:rsidRPr="00C84EA2">
        <w:rPr>
          <w:bCs/>
          <w:highlight w:val="yellow"/>
        </w:rPr>
        <w:t xml:space="preserve">Although the literature reviewed above establishes the technical and organisational relevance of Docker, containers, DevOps and microservices, recent studies indicate that containerization knowledge remains fragmented across multi-cloud roles, architectural patterns, challenges and mitigation strategies, while industrial and edge-oriented orchestration studies still report gaps in edge-device support, IIoT protocols, security mechanisms and specialised resources for artificial </w:t>
      </w:r>
      <w:r w:rsidRPr="00C84EA2">
        <w:rPr>
          <w:bCs/>
          <w:highlight w:val="yellow"/>
        </w:rPr>
        <w:lastRenderedPageBreak/>
        <w:t>intelligence (Waseem et al., 2025; Alamoush &amp; Eichelberger, 2024). This gap justifies a focused synthesis that connects Docker, DevOps and microservices while distinguishing well-supported claims from areas where the evidence remains thin.</w:t>
      </w:r>
    </w:p>
    <w:p w14:paraId="1F9D018E"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1.4 Scope and Objectives of This Review</w:t>
      </w:r>
    </w:p>
    <w:p w14:paraId="49924D4F"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This review addresses three interlocking questions. First, what does the peer-reviewed literature establish about the technical characteristics of container-based virtualization, including its performance relative to hypervisor-based alternatives and its orchestration through platforms such as Kubernetes? Second, how has containerization, exemplified by Docker, interacted empirically with the adoption and practice of DevOps, particularly with respect to continuous integration and delivery? Third, what does the evidence say about the design, migration and operational consequences of microservices architecture, and how does container technology mediate those consequences, including with respect to security and governance? The review is bounded to peer-reviewed journal literature in software engineering, cloud computing and adjacent computer science sub-disciplines, and it deliberately seeks out points of empirical agreement, points of contestation, and gaps where the evidence remains thin. The aim is not to produce an implementation guide or a technology comparison of the kind found in practitioner literature, but to synthesise and critically appraise what the scholarly record permits one to conclude about Docker's part in reshaping software delivery practice.</w:t>
      </w:r>
    </w:p>
    <w:p w14:paraId="0CACB934"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2. Methods for Literature Selection</w:t>
      </w:r>
    </w:p>
    <w:p w14:paraId="5949A9C6"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This review follows a narrative rather than a systematic review methodology. A fully systematic review — with a pre-registered protocol, exhaustive search strings and formal quality-scoring of every retrieved record — suits narrowly defined empirical questions that lend themselves to quantitative synthesis. The subject matter here spans technical performance evaluation, organisational adoption research, architectural design science and security taxonomy, a breadth better served by a narrative synthesis able to connect findings across sub-literatures that rarely cite one another directly. This choice follows established guidance on review typologies, which distinguishes the critical narrative review — oriented towards conceptual synthesis and the identification of consensus and disagreement — from systematic and mapping reviews oriented towards exhaustive enumeration of a tightly scoped evidence base (Grant &amp; Booth, 2009). The search and selection process below was nonetheless conducted with a documented and reproducible structure, even though it does not claim the exhaustiveness of a formal systematic review.</w:t>
      </w:r>
    </w:p>
    <w:p w14:paraId="7A02FF5F"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The principal general-purpose databases searched were Web of Science, Scopus, Google Scholar and PubMed, the last included chiefly to capture cross-disciplinary methodological literature on review conduct rather than substantive computing content. These were supplemented by field-specific indexing resources commonly used in software engineering and computing research: the ACM Digital Library index, the IEEE Xplore index, the SpringerLink computer science collection, the ScienceDirect computer science and engineering collection, DBLP, and the DOAJ index of open-access journals, the last being useful for identifying peer-reviewed open-access venues such as those in the Springer Journal of Cloud Computing series. Search strings combined the core technological terms ("container*" OR "containerization" OR "containerisation" OR "Docker") with terms denoting the surrounding socio-technical phenomena ("DevOps" OR "continuous integration" OR "continuous delivery" OR "continuous deployment") and with terms denoting </w:t>
      </w:r>
      <w:r w:rsidRPr="00C93EFA">
        <w:rPr>
          <w:rFonts w:ascii="Times New Roman" w:eastAsia="Times New Roman" w:hAnsi="Times New Roman" w:cs="Times New Roman"/>
          <w:sz w:val="24"/>
          <w:szCs w:val="24"/>
          <w:lang w:eastAsia="en-GB"/>
        </w:rPr>
        <w:lastRenderedPageBreak/>
        <w:t>architectural style ("microservice*" OR "service-oriented architecture"), connected with Boolean operators adapted to each index's syntax. Supplementary searches paired "container*" with "Kubernetes," "orchestration," "security," "vulnerability," "serverless" and "edge computing" to ensure adequate coverage of the orchestration and security sub-literatures.</w:t>
      </w:r>
    </w:p>
    <w:p w14:paraId="600BD5AC" w14:textId="43212FBD"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The search privileged the period from 2013, the year of Docker's public release and a convenient marker for the onset of mainstream container adoption, through to a cut-off in early </w:t>
      </w:r>
      <w:r w:rsidR="009346DF">
        <w:rPr>
          <w:rFonts w:ascii="Times New Roman" w:eastAsia="Times New Roman" w:hAnsi="Times New Roman" w:cs="Times New Roman"/>
          <w:sz w:val="24"/>
          <w:szCs w:val="24"/>
          <w:lang w:eastAsia="en-GB"/>
        </w:rPr>
        <w:t xml:space="preserve">February </w:t>
      </w:r>
      <w:r w:rsidRPr="00C93EFA">
        <w:rPr>
          <w:rFonts w:ascii="Times New Roman" w:eastAsia="Times New Roman" w:hAnsi="Times New Roman" w:cs="Times New Roman"/>
          <w:sz w:val="24"/>
          <w:szCs w:val="24"/>
          <w:lang w:eastAsia="en-GB"/>
        </w:rPr>
        <w:t>2026, the most recent point at which indexing could reasonably be regarded as complete at the time of writing. A small number of classic studies on hypervisor-based virtualization predating this window were retained where they supply conceptual grounding the subsequent container-specific literature depends on. Records were restricted to English-language publications, given the predominance of English-language venues in this sub-field and the practical constraints of appraisal. Inclusion was limited to peer-reviewed journal articles; conference proceedings, book chapters, theses, pre-prints, trade-press articles and vendor white papers were excluded from the formal evidence base, although a small number of pre-print or proceedings items encountered while searching were used only to corroborate findings already evidenced by an included journal article and do not themselves appear in the reference list. Where multiple databases returned the same record, duplicates were identified by digital object identifier and title-author matching and resolved to a single citation. Screening proceeded in two passes: an initial title-and-abstract pass excluding records manifestly outside scope (studies of container technology in domains such as shipping logistics, for instance, which share terminology but not subject matter), followed by a full-text pass in which retained records were assessed for methodological transparency, clarity of reported findings, and relevance to the review's three guiding questions. Influential studies — identified through a combination of citation count, frequency of co-citation with other retained records, and explicit recommendation in survey and mapping articles already included — were prioritised for close reading and are disproportionately represented in the synthesis that follows, consistent with the convention in narrative reviews of weighting attention towards work that has demonstrably shaped a field's trajectory rather than treating every retrieved record as equally salient.</w:t>
      </w:r>
    </w:p>
    <w:p w14:paraId="4111128F"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3. Theoretical and Technical Foundations of Containerization</w:t>
      </w:r>
    </w:p>
    <w:p w14:paraId="4701C114"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3.1 Virtualization versus Containerization: Architectural Distinctions</w:t>
      </w:r>
    </w:p>
    <w:p w14:paraId="295900E5"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The conceptual distinction between hypervisor-based and container-based virtualization rests on the layer at which isolation is enforced. Hypervisors interpose a virtual machine monitor between guest operating systems and physical hardware, presenting each guest with what looks like dedicated hardware and so permitting heterogeneous operating systems to coexist on shared infrastructure (Pearce et al., 2013). Containers, by contrast, share a single host kernel and achieve isolation through kernel-level constructs — namespaces, which partition the visibility of processes, networking and file systems, and control groups, which bound the resources each container may consume (Bhardwaj &amp; Krishna, 2021). This architectural choice carries direct consequences: containers can be instantiated far faster than virtual machines can be booted, and they typically need substantially less memory and storage, since they avoid duplicating an entire guest kernel and its associated services (</w:t>
      </w:r>
      <w:proofErr w:type="spellStart"/>
      <w:r w:rsidRPr="00C93EFA">
        <w:rPr>
          <w:rFonts w:ascii="Times New Roman" w:eastAsia="Times New Roman" w:hAnsi="Times New Roman" w:cs="Times New Roman"/>
          <w:sz w:val="24"/>
          <w:szCs w:val="24"/>
          <w:lang w:eastAsia="en-GB"/>
        </w:rPr>
        <w:t>Casalicchio</w:t>
      </w:r>
      <w:proofErr w:type="spellEnd"/>
      <w:r w:rsidRPr="00C93EFA">
        <w:rPr>
          <w:rFonts w:ascii="Times New Roman" w:eastAsia="Times New Roman" w:hAnsi="Times New Roman" w:cs="Times New Roman"/>
          <w:sz w:val="24"/>
          <w:szCs w:val="24"/>
          <w:lang w:eastAsia="en-GB"/>
        </w:rPr>
        <w:t xml:space="preserve"> &amp; Iannucci, 2020). The trade-off is a narrower isolation boundary: a vulnerability in the shared host kernel can, in principle, compromise every container running on top of it, a concern that recurs throughout the security literature discussed in Section 7.</w:t>
      </w:r>
    </w:p>
    <w:p w14:paraId="568428DB"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lastRenderedPageBreak/>
        <w:t>Surveys that map this literature consistently organise the field around the isolation-versus-efficiency trade-off, while also noting that the practical distinction has blurred somewhat with the emergence of hybrid approaches that combine lightweight virtual machines with container-like interfaces specifically to recover stronger isolation without fully reverting to traditional hypervisor overheads (Bentaleb et al., 2022). Reviews of cloud container technologies situate Docker within this landscape as the technology that, more than any predecessor, turned container images into a portable, shareable unit of software distribution rather than merely a host-local mechanism for process isolation (Pahl et al., 2019). This shift in emphasis — from isolation mechanism to distributable artefact — is arguably the single most consequential move in the containerization literature, because it is precisely this property that later allowed containers to function as the substrate for continuous delivery pipelines and for the granular service boundaries characteristic of microservices architecture.</w:t>
      </w:r>
    </w:p>
    <w:p w14:paraId="27204755"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3.2 Docker's Engineering Model: Images, Layers, and Isolation Primitives</w:t>
      </w:r>
    </w:p>
    <w:p w14:paraId="1C5D3F54"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Docker's engineering model rests on three elements: a layered, copy-on-write image format that expresses incremental changes as new layers stacked on a shared base; a declarative build specification, the </w:t>
      </w:r>
      <w:proofErr w:type="spellStart"/>
      <w:r w:rsidRPr="00C93EFA">
        <w:rPr>
          <w:rFonts w:ascii="Times New Roman" w:eastAsia="Times New Roman" w:hAnsi="Times New Roman" w:cs="Times New Roman"/>
          <w:sz w:val="24"/>
          <w:szCs w:val="24"/>
          <w:lang w:eastAsia="en-GB"/>
        </w:rPr>
        <w:t>Dockerfile</w:t>
      </w:r>
      <w:proofErr w:type="spellEnd"/>
      <w:r w:rsidRPr="00C93EFA">
        <w:rPr>
          <w:rFonts w:ascii="Times New Roman" w:eastAsia="Times New Roman" w:hAnsi="Times New Roman" w:cs="Times New Roman"/>
          <w:sz w:val="24"/>
          <w:szCs w:val="24"/>
          <w:lang w:eastAsia="en-GB"/>
        </w:rPr>
        <w:t xml:space="preserve">, from which images are constructed; and a runtime that maps these images onto kernel namespaces and control groups at the point of execution. The layering model has drawn particular empirical scrutiny, because how developers compose </w:t>
      </w:r>
      <w:proofErr w:type="spellStart"/>
      <w:r w:rsidRPr="00C93EFA">
        <w:rPr>
          <w:rFonts w:ascii="Times New Roman" w:eastAsia="Times New Roman" w:hAnsi="Times New Roman" w:cs="Times New Roman"/>
          <w:sz w:val="24"/>
          <w:szCs w:val="24"/>
          <w:lang w:eastAsia="en-GB"/>
        </w:rPr>
        <w:t>Dockerfiles</w:t>
      </w:r>
      <w:proofErr w:type="spellEnd"/>
      <w:r w:rsidRPr="00C93EFA">
        <w:rPr>
          <w:rFonts w:ascii="Times New Roman" w:eastAsia="Times New Roman" w:hAnsi="Times New Roman" w:cs="Times New Roman"/>
          <w:sz w:val="24"/>
          <w:szCs w:val="24"/>
          <w:lang w:eastAsia="en-GB"/>
        </w:rPr>
        <w:t xml:space="preserve"> materially affects image size, build reproducibility and the surface area exposed to vulnerability. Work examining the criteria developers apply when choosing a base image to extend identifies two broad families of quality concern: configuration-related features tied to the structure and content of the </w:t>
      </w:r>
      <w:proofErr w:type="spellStart"/>
      <w:r w:rsidRPr="00C93EFA">
        <w:rPr>
          <w:rFonts w:ascii="Times New Roman" w:eastAsia="Times New Roman" w:hAnsi="Times New Roman" w:cs="Times New Roman"/>
          <w:sz w:val="24"/>
          <w:szCs w:val="24"/>
          <w:lang w:eastAsia="en-GB"/>
        </w:rPr>
        <w:t>Dockerfile</w:t>
      </w:r>
      <w:proofErr w:type="spellEnd"/>
      <w:r w:rsidRPr="00C93EFA">
        <w:rPr>
          <w:rFonts w:ascii="Times New Roman" w:eastAsia="Times New Roman" w:hAnsi="Times New Roman" w:cs="Times New Roman"/>
          <w:sz w:val="24"/>
          <w:szCs w:val="24"/>
          <w:lang w:eastAsia="en-GB"/>
        </w:rPr>
        <w:t xml:space="preserve"> itself, and image-related features tied to the resulting artefact's size, layer count and community provenance (Rosa et al., 2023). This split matters because it shows that quality in the Docker ecosystem is not a single attribute but a composite of authoring discipline and downstream artefact characteristics — a distinction with practical implications for how organisations govern their internal image catalogues.</w:t>
      </w:r>
    </w:p>
    <w:p w14:paraId="40533CE0"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Taxonomic surveys situate Docker's isolation primitives — namespaces for process, network, mount, user and inter-process communication isolation, and control groups for bounding CPU, memory and I/O consumption — within a broader comparative framework that also takes in alternative container engines and orchestration-adjacent runtimes, while noting that the performance metrics most often reported (startup latency, memory footprint, throughput under load) vary considerably with workload type and the maturity of the specific runtime under test (Bentaleb et al., 2022). A systematic literature review of container maintenance practices, synthesising findings across a substantial body of primary studies, reports that the largest single concentration of research effort addresses container scheduling techniques, accounting for roughly two-fifths of the studies reviewed, with performance evaluation, security measures and image detection processes each accounting for smaller but still substantial shares (Malhotra et al., 2024). This distribution is itself informative: it suggests that once Docker's basic engineering model had stabilised, academic interest shifted quickly towards the operational concerns of running containers at scale — precisely the orchestration and security territory examined in Sections 4 and 7.</w:t>
      </w:r>
    </w:p>
    <w:p w14:paraId="54534287"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Developer-facing empirical work corroborates the practical weight of these engineering choices. A survey of practitioners authoring Docker and Docker Compose specifications found that developers frequently struggle with multi-container composition, dependency ordering and the upkeep of configuration files as systems evolve — difficulties not fully anticipated by the comparatively simple conceptual model that introductory documentation </w:t>
      </w:r>
      <w:r w:rsidRPr="00C93EFA">
        <w:rPr>
          <w:rFonts w:ascii="Times New Roman" w:eastAsia="Times New Roman" w:hAnsi="Times New Roman" w:cs="Times New Roman"/>
          <w:sz w:val="24"/>
          <w:szCs w:val="24"/>
          <w:lang w:eastAsia="en-GB"/>
        </w:rPr>
        <w:lastRenderedPageBreak/>
        <w:t>tends to present (Reis et al., 2022). This gap between conceptual simplicity and operational complexity is a theme that recurs throughout the literature reviewed in this article, and it is one of the more consistent findings to emerge from practitioner-oriented empirical work on container technology.</w:t>
      </w:r>
    </w:p>
    <w:p w14:paraId="192C1720"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3.3 Performance and Resource Efficiency: The Empirical Record</w:t>
      </w:r>
    </w:p>
    <w:p w14:paraId="4B7FF78C"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The performance case for containers relative to virtual machines has been examined extensively, and the empirical record, while broadly favourable to containers, is more nuanced than popular accounts sometimes suggest. An early and influential comparison of container-based technologies for cloud deployment found negligible overhead on memory utilisation and CPU consumption when containers were set against bare-metal execution, but identified measurable overheads in input-output operations and other interactions with the underlying operating system, particularly under storage-intensive workloads (</w:t>
      </w:r>
      <w:proofErr w:type="spellStart"/>
      <w:r w:rsidRPr="00C93EFA">
        <w:rPr>
          <w:rFonts w:ascii="Times New Roman" w:eastAsia="Times New Roman" w:hAnsi="Times New Roman" w:cs="Times New Roman"/>
          <w:sz w:val="24"/>
          <w:szCs w:val="24"/>
          <w:lang w:eastAsia="en-GB"/>
        </w:rPr>
        <w:t>Kozhirbayev</w:t>
      </w:r>
      <w:proofErr w:type="spellEnd"/>
      <w:r w:rsidRPr="00C93EFA">
        <w:rPr>
          <w:rFonts w:ascii="Times New Roman" w:eastAsia="Times New Roman" w:hAnsi="Times New Roman" w:cs="Times New Roman"/>
          <w:sz w:val="24"/>
          <w:szCs w:val="24"/>
          <w:lang w:eastAsia="en-GB"/>
        </w:rPr>
        <w:t xml:space="preserve"> &amp; Sinnott, 2017). This pattern — near-native performance for compute-bound tasks, more variable behaviour for I/O-bound tasks — has been replicated in subsequent work on specific application classes. A study evaluating containers and virtual machines running a distributed database workload concurrently found that Docker containers carried lower overhead than a comparable VMware-based deployment, with performance approaching a non-virtualised baseline, although the size of the advantage depended on how many instances were co-located and the resulting contention for shared resources (</w:t>
      </w:r>
      <w:proofErr w:type="spellStart"/>
      <w:r w:rsidRPr="00C93EFA">
        <w:rPr>
          <w:rFonts w:ascii="Times New Roman" w:eastAsia="Times New Roman" w:hAnsi="Times New Roman" w:cs="Times New Roman"/>
          <w:sz w:val="24"/>
          <w:szCs w:val="24"/>
          <w:lang w:eastAsia="en-GB"/>
        </w:rPr>
        <w:t>Shirinbab</w:t>
      </w:r>
      <w:proofErr w:type="spellEnd"/>
      <w:r w:rsidRPr="00C93EFA">
        <w:rPr>
          <w:rFonts w:ascii="Times New Roman" w:eastAsia="Times New Roman" w:hAnsi="Times New Roman" w:cs="Times New Roman"/>
          <w:sz w:val="24"/>
          <w:szCs w:val="24"/>
          <w:lang w:eastAsia="en-GB"/>
        </w:rPr>
        <w:t xml:space="preserve"> et al., 2020).</w:t>
      </w:r>
    </w:p>
    <w:p w14:paraId="0748964C"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More recent experimental work has extended this comparison to the increasingly common scenario in which containers run on top of virtual machines rather than directly on bare metal, a configuration typical of public cloud infrastructure-as-a-service offerings. This work found that the choice of containerization platform and its associated storage driver materially affects input-output performance — differences attributable, for example, to whether the container runtime uses an overlay file system or an alternative storage backend — and it additionally noted that security-oriented design choices, such as defaulting to non-root container execution, can themselves carry a measurable performance cost (</w:t>
      </w:r>
      <w:proofErr w:type="spellStart"/>
      <w:r w:rsidRPr="00C93EFA">
        <w:rPr>
          <w:rFonts w:ascii="Times New Roman" w:eastAsia="Times New Roman" w:hAnsi="Times New Roman" w:cs="Times New Roman"/>
          <w:sz w:val="24"/>
          <w:szCs w:val="24"/>
          <w:lang w:eastAsia="en-GB"/>
        </w:rPr>
        <w:t>Aqasizade</w:t>
      </w:r>
      <w:proofErr w:type="spellEnd"/>
      <w:r w:rsidRPr="00C93EFA">
        <w:rPr>
          <w:rFonts w:ascii="Times New Roman" w:eastAsia="Times New Roman" w:hAnsi="Times New Roman" w:cs="Times New Roman"/>
          <w:sz w:val="24"/>
          <w:szCs w:val="24"/>
          <w:lang w:eastAsia="en-GB"/>
        </w:rPr>
        <w:t xml:space="preserve"> et al., 2025). Taken together, this body of work supports a qualified rather than unconditional claim: containers generally offer superior density and faster provisioning than hypervisor-based virtual machines, but the size of any given performance advantage is workload-dependent, sensitive to the specific runtime and storage driver in use, and not spread evenly across the resource dimensions that matter to operators. Broader reviews of the virtualization-to-containerization transition reach a similar conclusion, cautioning that performance claims drawn from a narrow set of benchmarks should not be generalised without regard for the heterogeneity of production workloads (Bhardwaj &amp; Krishna, 2021).</w:t>
      </w:r>
    </w:p>
    <w:p w14:paraId="06BA8C53"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Table 1 sets out the principal performance dimensions examined in this literature, the general direction of the reported findings, and the qualifications attached to each.</w:t>
      </w:r>
    </w:p>
    <w:p w14:paraId="3DA5EDCC"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b/>
          <w:bCs/>
          <w:sz w:val="24"/>
          <w:szCs w:val="24"/>
          <w:lang w:eastAsia="en-GB"/>
        </w:rPr>
        <w:t>Table 1. Reported performance characteristics of containers relative to hypervisor-based virtual machines</w:t>
      </w:r>
    </w:p>
    <w:tbl>
      <w:tblPr>
        <w:tblStyle w:val="TableGrid"/>
        <w:tblW w:w="0" w:type="auto"/>
        <w:tblLook w:val="04A0" w:firstRow="1" w:lastRow="0" w:firstColumn="1" w:lastColumn="0" w:noHBand="0" w:noVBand="1"/>
      </w:tblPr>
      <w:tblGrid>
        <w:gridCol w:w="2730"/>
        <w:gridCol w:w="2877"/>
        <w:gridCol w:w="3635"/>
      </w:tblGrid>
      <w:tr w:rsidR="00C93EFA" w:rsidRPr="00C93EFA" w14:paraId="71CB8E51" w14:textId="77777777" w:rsidTr="00EA47D4">
        <w:tc>
          <w:tcPr>
            <w:tcW w:w="0" w:type="auto"/>
            <w:hideMark/>
          </w:tcPr>
          <w:p w14:paraId="21A073F1"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Performance dimension</w:t>
            </w:r>
          </w:p>
        </w:tc>
        <w:tc>
          <w:tcPr>
            <w:tcW w:w="0" w:type="auto"/>
            <w:hideMark/>
          </w:tcPr>
          <w:p w14:paraId="238CAD4F"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General direction of findings</w:t>
            </w:r>
          </w:p>
        </w:tc>
        <w:tc>
          <w:tcPr>
            <w:tcW w:w="0" w:type="auto"/>
            <w:hideMark/>
          </w:tcPr>
          <w:p w14:paraId="66E1717C"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Principal qualification reported</w:t>
            </w:r>
          </w:p>
        </w:tc>
      </w:tr>
      <w:tr w:rsidR="00C93EFA" w:rsidRPr="00C93EFA" w14:paraId="7ABBBCCB" w14:textId="77777777" w:rsidTr="00EA47D4">
        <w:tc>
          <w:tcPr>
            <w:tcW w:w="0" w:type="auto"/>
            <w:hideMark/>
          </w:tcPr>
          <w:p w14:paraId="291FA553"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CPU utilisation</w:t>
            </w:r>
          </w:p>
        </w:tc>
        <w:tc>
          <w:tcPr>
            <w:tcW w:w="0" w:type="auto"/>
            <w:hideMark/>
          </w:tcPr>
          <w:p w14:paraId="3E162A35"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Near-native performance; minimal overhead</w:t>
            </w:r>
          </w:p>
        </w:tc>
        <w:tc>
          <w:tcPr>
            <w:tcW w:w="0" w:type="auto"/>
            <w:hideMark/>
          </w:tcPr>
          <w:p w14:paraId="735E10E9"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Convergence with VM performance under heavy multi-tenant contention</w:t>
            </w:r>
          </w:p>
        </w:tc>
      </w:tr>
      <w:tr w:rsidR="00C93EFA" w:rsidRPr="00C93EFA" w14:paraId="194DC28C" w14:textId="77777777" w:rsidTr="00EA47D4">
        <w:tc>
          <w:tcPr>
            <w:tcW w:w="0" w:type="auto"/>
            <w:hideMark/>
          </w:tcPr>
          <w:p w14:paraId="0F46A538"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lastRenderedPageBreak/>
              <w:t>Memory footprint</w:t>
            </w:r>
          </w:p>
        </w:tc>
        <w:tc>
          <w:tcPr>
            <w:tcW w:w="0" w:type="auto"/>
            <w:hideMark/>
          </w:tcPr>
          <w:p w14:paraId="243D175C"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Substantially lower than VMs</w:t>
            </w:r>
          </w:p>
        </w:tc>
        <w:tc>
          <w:tcPr>
            <w:tcW w:w="0" w:type="auto"/>
            <w:hideMark/>
          </w:tcPr>
          <w:p w14:paraId="56B5D8DF"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Advantage narrows when many containers share a host under load</w:t>
            </w:r>
          </w:p>
        </w:tc>
      </w:tr>
      <w:tr w:rsidR="00C93EFA" w:rsidRPr="00C93EFA" w14:paraId="7FC722B7" w14:textId="77777777" w:rsidTr="00EA47D4">
        <w:tc>
          <w:tcPr>
            <w:tcW w:w="0" w:type="auto"/>
            <w:hideMark/>
          </w:tcPr>
          <w:p w14:paraId="572D3F0A"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Provisioning/startup latency</w:t>
            </w:r>
          </w:p>
        </w:tc>
        <w:tc>
          <w:tcPr>
            <w:tcW w:w="0" w:type="auto"/>
            <w:hideMark/>
          </w:tcPr>
          <w:p w14:paraId="7DD835BA"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Markedly faster container instantiation</w:t>
            </w:r>
          </w:p>
        </w:tc>
        <w:tc>
          <w:tcPr>
            <w:tcW w:w="0" w:type="auto"/>
            <w:hideMark/>
          </w:tcPr>
          <w:p w14:paraId="6A920B44"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Latency increases with image size and layer count</w:t>
            </w:r>
          </w:p>
        </w:tc>
      </w:tr>
      <w:tr w:rsidR="00C93EFA" w:rsidRPr="00C93EFA" w14:paraId="153185F2" w14:textId="77777777" w:rsidTr="00EA47D4">
        <w:tc>
          <w:tcPr>
            <w:tcW w:w="0" w:type="auto"/>
            <w:hideMark/>
          </w:tcPr>
          <w:p w14:paraId="158BBFB8"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Input-output and storage throughput</w:t>
            </w:r>
          </w:p>
        </w:tc>
        <w:tc>
          <w:tcPr>
            <w:tcW w:w="0" w:type="auto"/>
            <w:hideMark/>
          </w:tcPr>
          <w:p w14:paraId="2D46A56D"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More variable; overhead observed in several studies</w:t>
            </w:r>
          </w:p>
        </w:tc>
        <w:tc>
          <w:tcPr>
            <w:tcW w:w="0" w:type="auto"/>
            <w:hideMark/>
          </w:tcPr>
          <w:p w14:paraId="0A450730"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Sensitive to storage driver and runtime selection</w:t>
            </w:r>
          </w:p>
        </w:tc>
      </w:tr>
      <w:tr w:rsidR="00C93EFA" w:rsidRPr="00C93EFA" w14:paraId="50AF2939" w14:textId="77777777" w:rsidTr="00EA47D4">
        <w:tc>
          <w:tcPr>
            <w:tcW w:w="0" w:type="auto"/>
            <w:hideMark/>
          </w:tcPr>
          <w:p w14:paraId="27EC4FA9"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Network throughput</w:t>
            </w:r>
          </w:p>
        </w:tc>
        <w:tc>
          <w:tcPr>
            <w:tcW w:w="0" w:type="auto"/>
            <w:hideMark/>
          </w:tcPr>
          <w:p w14:paraId="2FB8C975"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Generally comparable to native performance</w:t>
            </w:r>
          </w:p>
        </w:tc>
        <w:tc>
          <w:tcPr>
            <w:tcW w:w="0" w:type="auto"/>
            <w:hideMark/>
          </w:tcPr>
          <w:p w14:paraId="5F1556C8"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Differs across hypervisor combinations and container engines</w:t>
            </w:r>
          </w:p>
        </w:tc>
      </w:tr>
    </w:tbl>
    <w:p w14:paraId="6ACD3F21" w14:textId="77777777" w:rsidR="00C93EFA" w:rsidRPr="001F2388" w:rsidRDefault="00C93EFA" w:rsidP="00C93EFA">
      <w:pPr>
        <w:spacing w:before="100" w:beforeAutospacing="1" w:after="100" w:afterAutospacing="1" w:line="240" w:lineRule="auto"/>
        <w:rPr>
          <w:rFonts w:ascii="Times New Roman" w:eastAsia="Times New Roman" w:hAnsi="Times New Roman" w:cs="Times New Roman"/>
          <w:sz w:val="24"/>
          <w:szCs w:val="24"/>
          <w:lang w:val="nl-BE" w:eastAsia="en-GB"/>
        </w:rPr>
      </w:pPr>
      <w:r w:rsidRPr="00C93EFA">
        <w:rPr>
          <w:rFonts w:ascii="Times New Roman" w:eastAsia="Times New Roman" w:hAnsi="Times New Roman" w:cs="Times New Roman"/>
          <w:i/>
          <w:iCs/>
          <w:sz w:val="24"/>
          <w:szCs w:val="24"/>
          <w:lang w:eastAsia="en-GB"/>
        </w:rPr>
        <w:t xml:space="preserve">Sources: </w:t>
      </w:r>
      <w:proofErr w:type="spellStart"/>
      <w:r w:rsidRPr="00C93EFA">
        <w:rPr>
          <w:rFonts w:ascii="Times New Roman" w:eastAsia="Times New Roman" w:hAnsi="Times New Roman" w:cs="Times New Roman"/>
          <w:i/>
          <w:iCs/>
          <w:sz w:val="24"/>
          <w:szCs w:val="24"/>
          <w:lang w:eastAsia="en-GB"/>
        </w:rPr>
        <w:t>Kozhirbayev</w:t>
      </w:r>
      <w:proofErr w:type="spellEnd"/>
      <w:r w:rsidRPr="00C93EFA">
        <w:rPr>
          <w:rFonts w:ascii="Times New Roman" w:eastAsia="Times New Roman" w:hAnsi="Times New Roman" w:cs="Times New Roman"/>
          <w:i/>
          <w:iCs/>
          <w:sz w:val="24"/>
          <w:szCs w:val="24"/>
          <w:lang w:eastAsia="en-GB"/>
        </w:rPr>
        <w:t xml:space="preserve"> and Sinnott (2017); </w:t>
      </w:r>
      <w:proofErr w:type="spellStart"/>
      <w:r w:rsidRPr="00C93EFA">
        <w:rPr>
          <w:rFonts w:ascii="Times New Roman" w:eastAsia="Times New Roman" w:hAnsi="Times New Roman" w:cs="Times New Roman"/>
          <w:i/>
          <w:iCs/>
          <w:sz w:val="24"/>
          <w:szCs w:val="24"/>
          <w:lang w:eastAsia="en-GB"/>
        </w:rPr>
        <w:t>Shirinbab</w:t>
      </w:r>
      <w:proofErr w:type="spellEnd"/>
      <w:r w:rsidRPr="00C93EFA">
        <w:rPr>
          <w:rFonts w:ascii="Times New Roman" w:eastAsia="Times New Roman" w:hAnsi="Times New Roman" w:cs="Times New Roman"/>
          <w:i/>
          <w:iCs/>
          <w:sz w:val="24"/>
          <w:szCs w:val="24"/>
          <w:lang w:eastAsia="en-GB"/>
        </w:rPr>
        <w:t xml:space="preserve"> et al. </w:t>
      </w:r>
      <w:r w:rsidRPr="001F2388">
        <w:rPr>
          <w:rFonts w:ascii="Times New Roman" w:eastAsia="Times New Roman" w:hAnsi="Times New Roman" w:cs="Times New Roman"/>
          <w:i/>
          <w:iCs/>
          <w:sz w:val="24"/>
          <w:szCs w:val="24"/>
          <w:lang w:val="nl-BE" w:eastAsia="en-GB"/>
        </w:rPr>
        <w:t>(2020); Aqasizade et al. (2025); Bhardwaj and Krishna (2021).</w:t>
      </w:r>
    </w:p>
    <w:p w14:paraId="5EFBC382"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The table illustrates a pattern that recurs throughout this review: container technology delivers consistent, well-evidenced advantages in resource density and provisioning speed, while its advantages in storage and network performance are more conditional, hinging on implementation choices that are themselves the subject of ongoing comparative research. This nuance tends to be flattened in non-academic accounts of containerization, which often treat "lighter than a virtual machine" as an unqualified property rather than a workload-dependent empirical finding.</w:t>
      </w:r>
    </w:p>
    <w:p w14:paraId="7B882911"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4. Container Orchestration and the Cloud-Native Ecosystem</w:t>
      </w:r>
    </w:p>
    <w:p w14:paraId="319C5F06"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4.1 The Rise of Kubernetes and the Orchestration Layer</w:t>
      </w:r>
    </w:p>
    <w:p w14:paraId="56F627BE"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A single container, however efficiently packaged, does not by itself solve the problem of running a distributed application reliably across a fleet of machines. That is the problem orchestration platforms address, and Kubernetes has become the de facto standard at this layer of the cloud-native stack. Bibliometric analysis of the academic literature on container orchestration documents a marked and sustained rise in publication volume on Kubernetes from the mid-2010s onward, reflecting its consolidation as the reference orchestrator against which alternatives are typically benchmarked (Carrión, 2022a). The reasons for this consolidation are partly technical and partly path-dependent: once a critical mass of tooling, documentation and operator expertise had accumulated around Kubernetes, the cost of adopting an alternative orchestrator rose correspondingly — a dynamic the bibliometric record captures indirectly, through the sheer concentration of subsequent research effort on Kubernetes-specific concerns rather than on orchestration in the abstract.</w:t>
      </w:r>
    </w:p>
    <w:p w14:paraId="3C5F9790"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Reviews of cloud container technologies more broadly situate orchestration as the natural extension of the container abstraction, taken up once organisations moved beyond running isolated containers towards operating fleets of interdependent services, with orchestration responsible for placement, networking, health monitoring and reconciling a system's actual state with its declared desired state (Pahl et al., 2019). This reconciliation-based model, in which an orchestrator continuously works to bring a cluster into line with a specification, represents a further methodological convergence with DevOps practice, since it operationalises the principle of treating infrastructure configuration as a versioned, machine-readable artefact rather than as a sequence of manually executed administrative actions.</w:t>
      </w:r>
    </w:p>
    <w:p w14:paraId="3A464C99"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4.2 Scheduling, Resource Management, and Autoscaling</w:t>
      </w:r>
    </w:p>
    <w:p w14:paraId="35F568E4"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lastRenderedPageBreak/>
        <w:t>Within the orchestration layer, scheduling — assigning containerised workloads to physical or virtual nodes — has drawn a disproportionate share of academic attention relative to other orchestration concerns. A comprehensive review of Kubernetes scheduling research classifies the published algorithms into four broad categories: generic scheduling approaches that extend or replace the default Kubernetes scheduler with alternative heuristics; multi-objective optimisation-based scheduling that balances competing goals such as load balance, energy consumption and service-level compliance; artificial-intelligence-focused scheduling that applies machine learning or reinforcement learning to placement decisions; and autoscaling-enabled scheduling that couples placement with dynamic adjustment of the number of running replicas (</w:t>
      </w:r>
      <w:proofErr w:type="spellStart"/>
      <w:r w:rsidRPr="00C93EFA">
        <w:rPr>
          <w:rFonts w:ascii="Times New Roman" w:eastAsia="Times New Roman" w:hAnsi="Times New Roman" w:cs="Times New Roman"/>
          <w:sz w:val="24"/>
          <w:szCs w:val="24"/>
          <w:lang w:eastAsia="en-GB"/>
        </w:rPr>
        <w:t>Senjab</w:t>
      </w:r>
      <w:proofErr w:type="spellEnd"/>
      <w:r w:rsidRPr="00C93EFA">
        <w:rPr>
          <w:rFonts w:ascii="Times New Roman" w:eastAsia="Times New Roman" w:hAnsi="Times New Roman" w:cs="Times New Roman"/>
          <w:sz w:val="24"/>
          <w:szCs w:val="24"/>
          <w:lang w:eastAsia="en-GB"/>
        </w:rPr>
        <w:t xml:space="preserve"> et al., 2023). This taxonomy is corroborated by an independent review that develops its own classification of Kubernetes scheduling research covering the literature published between 2016 and 2022, and which identifies a persistent gap between the sophistication of proposed academic scheduling algorithms and the comparatively conservative defaults still used in most production deployments, attributing this gap partly to the absence of standardised benchmarks that would let practitioners compare alternative schedulers with confidence (Carrión, 2022b).</w:t>
      </w:r>
    </w:p>
    <w:p w14:paraId="22C5CE78"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The practical consequences of this scheduling research are most visible in resource-constrained or latency-sensitive deployment contexts, where a poor placement decision is amplified. Systematic reviews of container maintenance note that scheduling research interacts closely with the security and performance evaluation literatures discussed elsewhere in this article, since scheduling decisions affect not only throughput and latency but also the blast radius of any single compromised container, given that co-location policy determines which workloads share a kernel and, in many deployments, a network segment (Malhotra et al., 2024).</w:t>
      </w:r>
    </w:p>
    <w:p w14:paraId="198E8AB1"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4.3 Extending Containers to the Edge, IoT, and Serverless Computing</w:t>
      </w:r>
    </w:p>
    <w:p w14:paraId="0C6B6B84"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The orchestration model developed for data-centre-scale Kubernetes deployments has been progressively adapted to more constrained environments, including edge computing nodes and Internet of Things gateways, where compute, memory and network connectivity are all markedly more limited than in a centralised cloud. Empirical evaluation of orchestration tools designed for, or adapted to, edge environments finds that existing platforms differ considerably in how well they accommodate intermittently connected remote devices, and in how flexibly their scheduling logic can be tuned to edge-specific quality-of-service priorities; the authors caution that most supporting evidence in this sub-field has historically come from closed-network simulation rather than from deployment on genuine edge hardware (Čilić et al., 2023). This caution matters because it indicates that the orchestration literature, mature as it is in the centralised-cloud context, remains comparatively immature with respect to the heterogeneous, resource-constrained settings into which container technology is now being extended.</w:t>
      </w:r>
    </w:p>
    <w:p w14:paraId="100857CF"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A parallel extension has occurred towards serverless computing, where containers frequently serve as the underlying execution sandbox for ephemeral function invocations, even though the programming model presented to developers abstracts away explicit container management. A large-scale systematic survey of the serverless computing literature, reviewing 275 research papers published between 2016 and 2020, finds that scalability and the removal of server-side management responsibility are the most consistently reported advantages, while cold-start latency, vendor lock-in and the difficulty of testing distributed, event-driven applications composed of many small functions remain persistent and only </w:t>
      </w:r>
      <w:r w:rsidRPr="00C93EFA">
        <w:rPr>
          <w:rFonts w:ascii="Times New Roman" w:eastAsia="Times New Roman" w:hAnsi="Times New Roman" w:cs="Times New Roman"/>
          <w:sz w:val="24"/>
          <w:szCs w:val="24"/>
          <w:lang w:eastAsia="en-GB"/>
        </w:rPr>
        <w:lastRenderedPageBreak/>
        <w:t>partly resolved challenges (Hassan et al., 2021). A complementary systematic review focused specifically on serverless computing in Internet of Things contexts identifies a similar tension between the operational simplicity that serverless platforms promise and the latency and connectivity constraints typical of IoT deployments (Cassel et al., 2022). A further systematic review of the wider serverless literature corroborates this picture of a maturing but still fragmented research area, noting that much published work addresses narrow technical sub-problems — reducing cold-start latency, improving resource isolation between co-located functions — without yet converging on a unified architectural consensus (Wen et al., 2023).</w:t>
      </w:r>
    </w:p>
    <w:p w14:paraId="2B1D6429"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Table 2 brings together the principal orchestration-related technology categories discussed in this section, together with their characteristic deployment context and the central challenge most consistently identified for each in the literature reviewed.</w:t>
      </w:r>
    </w:p>
    <w:p w14:paraId="21984912"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b/>
          <w:bCs/>
          <w:sz w:val="24"/>
          <w:szCs w:val="24"/>
          <w:lang w:eastAsia="en-GB"/>
        </w:rPr>
        <w:t>Table 2. Container orchestration and its extensions across deployment contexts</w:t>
      </w:r>
    </w:p>
    <w:tbl>
      <w:tblPr>
        <w:tblStyle w:val="TableGrid"/>
        <w:tblW w:w="0" w:type="auto"/>
        <w:tblLook w:val="04A0" w:firstRow="1" w:lastRow="0" w:firstColumn="1" w:lastColumn="0" w:noHBand="0" w:noVBand="1"/>
      </w:tblPr>
      <w:tblGrid>
        <w:gridCol w:w="3144"/>
        <w:gridCol w:w="2697"/>
        <w:gridCol w:w="3401"/>
      </w:tblGrid>
      <w:tr w:rsidR="00C93EFA" w:rsidRPr="00C93EFA" w14:paraId="556CF795" w14:textId="77777777" w:rsidTr="0091620F">
        <w:tc>
          <w:tcPr>
            <w:tcW w:w="0" w:type="auto"/>
            <w:hideMark/>
          </w:tcPr>
          <w:p w14:paraId="6A37F8A6"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Orchestration category</w:t>
            </w:r>
          </w:p>
        </w:tc>
        <w:tc>
          <w:tcPr>
            <w:tcW w:w="0" w:type="auto"/>
            <w:hideMark/>
          </w:tcPr>
          <w:p w14:paraId="004AF298"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Characteristic deployment context</w:t>
            </w:r>
          </w:p>
        </w:tc>
        <w:tc>
          <w:tcPr>
            <w:tcW w:w="0" w:type="auto"/>
            <w:hideMark/>
          </w:tcPr>
          <w:p w14:paraId="56494F1D"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Central challenge identified in the literature</w:t>
            </w:r>
          </w:p>
        </w:tc>
      </w:tr>
      <w:tr w:rsidR="00C93EFA" w:rsidRPr="00C93EFA" w14:paraId="4E6DC7BF" w14:textId="77777777" w:rsidTr="0091620F">
        <w:tc>
          <w:tcPr>
            <w:tcW w:w="0" w:type="auto"/>
            <w:hideMark/>
          </w:tcPr>
          <w:p w14:paraId="5062F482"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Centralised cluster orchestration (Kubernetes and analogues)</w:t>
            </w:r>
          </w:p>
        </w:tc>
        <w:tc>
          <w:tcPr>
            <w:tcW w:w="0" w:type="auto"/>
            <w:hideMark/>
          </w:tcPr>
          <w:p w14:paraId="7F4AEFD9"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Data-centre and public cloud</w:t>
            </w:r>
          </w:p>
        </w:tc>
        <w:tc>
          <w:tcPr>
            <w:tcW w:w="0" w:type="auto"/>
            <w:hideMark/>
          </w:tcPr>
          <w:p w14:paraId="78E042C0"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Scheduling sophistication outpacing standardised benchmarking and production defaults</w:t>
            </w:r>
          </w:p>
        </w:tc>
      </w:tr>
      <w:tr w:rsidR="00C93EFA" w:rsidRPr="00C93EFA" w14:paraId="5D4CFF7A" w14:textId="77777777" w:rsidTr="0091620F">
        <w:tc>
          <w:tcPr>
            <w:tcW w:w="0" w:type="auto"/>
            <w:hideMark/>
          </w:tcPr>
          <w:p w14:paraId="6494B7F0"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AI- and optimisation-based scheduling</w:t>
            </w:r>
          </w:p>
        </w:tc>
        <w:tc>
          <w:tcPr>
            <w:tcW w:w="0" w:type="auto"/>
            <w:hideMark/>
          </w:tcPr>
          <w:p w14:paraId="38614BF4"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Large, heterogeneous clusters with competing objectives</w:t>
            </w:r>
          </w:p>
        </w:tc>
        <w:tc>
          <w:tcPr>
            <w:tcW w:w="0" w:type="auto"/>
            <w:hideMark/>
          </w:tcPr>
          <w:p w14:paraId="07AB9A59"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Balancing multiple objectives without added operational complexity</w:t>
            </w:r>
          </w:p>
        </w:tc>
      </w:tr>
      <w:tr w:rsidR="00C93EFA" w:rsidRPr="00C93EFA" w14:paraId="53AD2497" w14:textId="77777777" w:rsidTr="0091620F">
        <w:tc>
          <w:tcPr>
            <w:tcW w:w="0" w:type="auto"/>
            <w:hideMark/>
          </w:tcPr>
          <w:p w14:paraId="6DF1DF88"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Edge and fog orchestration</w:t>
            </w:r>
          </w:p>
        </w:tc>
        <w:tc>
          <w:tcPr>
            <w:tcW w:w="0" w:type="auto"/>
            <w:hideMark/>
          </w:tcPr>
          <w:p w14:paraId="73195A0A"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Resource-constrained, intermittently connected nodes</w:t>
            </w:r>
          </w:p>
        </w:tc>
        <w:tc>
          <w:tcPr>
            <w:tcW w:w="0" w:type="auto"/>
            <w:hideMark/>
          </w:tcPr>
          <w:p w14:paraId="2EA038BB"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Limited validation on genuine edge hardware versus simulation</w:t>
            </w:r>
          </w:p>
        </w:tc>
      </w:tr>
      <w:tr w:rsidR="00C93EFA" w:rsidRPr="00C93EFA" w14:paraId="6D1822E2" w14:textId="77777777" w:rsidTr="0091620F">
        <w:tc>
          <w:tcPr>
            <w:tcW w:w="0" w:type="auto"/>
            <w:hideMark/>
          </w:tcPr>
          <w:p w14:paraId="346199B6"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Serverless/function-as-a-service platforms</w:t>
            </w:r>
          </w:p>
        </w:tc>
        <w:tc>
          <w:tcPr>
            <w:tcW w:w="0" w:type="auto"/>
            <w:hideMark/>
          </w:tcPr>
          <w:p w14:paraId="1F52A154"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Event-driven, bursty workloads</w:t>
            </w:r>
          </w:p>
        </w:tc>
        <w:tc>
          <w:tcPr>
            <w:tcW w:w="0" w:type="auto"/>
            <w:hideMark/>
          </w:tcPr>
          <w:p w14:paraId="4003CE8F"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Cold-start latency and constrained suitability for real-time tasks</w:t>
            </w:r>
          </w:p>
        </w:tc>
      </w:tr>
      <w:tr w:rsidR="00C93EFA" w:rsidRPr="00C93EFA" w14:paraId="1286EF7D" w14:textId="77777777" w:rsidTr="0091620F">
        <w:tc>
          <w:tcPr>
            <w:tcW w:w="0" w:type="auto"/>
            <w:hideMark/>
          </w:tcPr>
          <w:p w14:paraId="51FF1742"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Serverless for IoT</w:t>
            </w:r>
          </w:p>
        </w:tc>
        <w:tc>
          <w:tcPr>
            <w:tcW w:w="0" w:type="auto"/>
            <w:hideMark/>
          </w:tcPr>
          <w:p w14:paraId="422C3331"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Latency- and connectivity-constrained device networks</w:t>
            </w:r>
          </w:p>
        </w:tc>
        <w:tc>
          <w:tcPr>
            <w:tcW w:w="0" w:type="auto"/>
            <w:hideMark/>
          </w:tcPr>
          <w:p w14:paraId="34B4AE13"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Mismatch between serverless abstractions and real-time requirements</w:t>
            </w:r>
          </w:p>
        </w:tc>
      </w:tr>
    </w:tbl>
    <w:p w14:paraId="5D9E470E"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i/>
          <w:iCs/>
          <w:sz w:val="24"/>
          <w:szCs w:val="24"/>
          <w:lang w:eastAsia="en-GB"/>
        </w:rPr>
        <w:t xml:space="preserve">Sources: Carrión (2022a, 2022b); </w:t>
      </w:r>
      <w:proofErr w:type="spellStart"/>
      <w:r w:rsidRPr="00C93EFA">
        <w:rPr>
          <w:rFonts w:ascii="Times New Roman" w:eastAsia="Times New Roman" w:hAnsi="Times New Roman" w:cs="Times New Roman"/>
          <w:i/>
          <w:iCs/>
          <w:sz w:val="24"/>
          <w:szCs w:val="24"/>
          <w:lang w:eastAsia="en-GB"/>
        </w:rPr>
        <w:t>Senjab</w:t>
      </w:r>
      <w:proofErr w:type="spellEnd"/>
      <w:r w:rsidRPr="00C93EFA">
        <w:rPr>
          <w:rFonts w:ascii="Times New Roman" w:eastAsia="Times New Roman" w:hAnsi="Times New Roman" w:cs="Times New Roman"/>
          <w:i/>
          <w:iCs/>
          <w:sz w:val="24"/>
          <w:szCs w:val="24"/>
          <w:lang w:eastAsia="en-GB"/>
        </w:rPr>
        <w:t xml:space="preserve"> et al. </w:t>
      </w:r>
      <w:r w:rsidRPr="001F2388">
        <w:rPr>
          <w:rFonts w:ascii="Times New Roman" w:eastAsia="Times New Roman" w:hAnsi="Times New Roman" w:cs="Times New Roman"/>
          <w:i/>
          <w:iCs/>
          <w:sz w:val="24"/>
          <w:szCs w:val="24"/>
          <w:lang w:val="nl-BE" w:eastAsia="en-GB"/>
        </w:rPr>
        <w:t xml:space="preserve">(2023); Čilić et al. (2023); Hassan et al. </w:t>
      </w:r>
      <w:r w:rsidRPr="00C93EFA">
        <w:rPr>
          <w:rFonts w:ascii="Times New Roman" w:eastAsia="Times New Roman" w:hAnsi="Times New Roman" w:cs="Times New Roman"/>
          <w:i/>
          <w:iCs/>
          <w:sz w:val="24"/>
          <w:szCs w:val="24"/>
          <w:lang w:eastAsia="en-GB"/>
        </w:rPr>
        <w:t>(2021); Cassel et al. (2022); Wen et al. (2023).</w:t>
      </w:r>
    </w:p>
    <w:p w14:paraId="1C18CA37"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What emerges from this body of work is a layered picture of orchestration maturity: the centralised, cloud-resident use of Kubernetes is comparatively well studied and operationally proven, whereas its extension towards the edge, and its conceptual cousin in serverless computing, remain active and unsettled research frontiers in which evidence quality lags the pace of platform innovation.</w:t>
      </w:r>
    </w:p>
    <w:p w14:paraId="7E12698E"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5. Docker, DevOps, and the Transformation of Software Delivery</w:t>
      </w:r>
    </w:p>
    <w:p w14:paraId="23687B07"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5.1 DevOps as Socio-Technical Practice: Concepts and Contested Definitions</w:t>
      </w:r>
    </w:p>
    <w:p w14:paraId="7A447A8E"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DevOps is often defined, in the absence of a single authoritative specification, as a collaborative, multidisciplinary organisational effort to automate the continuous delivery of new software while preserving correctness and reliability (Leite et al., 2019). This </w:t>
      </w:r>
      <w:r w:rsidRPr="00C93EFA">
        <w:rPr>
          <w:rFonts w:ascii="Times New Roman" w:eastAsia="Times New Roman" w:hAnsi="Times New Roman" w:cs="Times New Roman"/>
          <w:sz w:val="24"/>
          <w:szCs w:val="24"/>
          <w:lang w:eastAsia="en-GB"/>
        </w:rPr>
        <w:lastRenderedPageBreak/>
        <w:t xml:space="preserve">definitional looseness has practical consequences for the research literature, because studies of "DevOps adoption" or "DevOps practices" do not always operationalise the term in the same way, which complicates comparison across studies. A systematic mapping of the DevOps literature with respect to software quality finds that empirical studies tend to cluster around a recognisable set of practices — continuous integration, automated testing, infrastructure as code, continuous monitoring — even where authors' overarching definitions of DevOps differ, suggesting the practice cluster is more stable across the literature than the conceptual label attached to it (Mishra &amp; </w:t>
      </w:r>
      <w:proofErr w:type="spellStart"/>
      <w:r w:rsidRPr="00C93EFA">
        <w:rPr>
          <w:rFonts w:ascii="Times New Roman" w:eastAsia="Times New Roman" w:hAnsi="Times New Roman" w:cs="Times New Roman"/>
          <w:sz w:val="24"/>
          <w:szCs w:val="24"/>
          <w:lang w:eastAsia="en-GB"/>
        </w:rPr>
        <w:t>Otaiwi</w:t>
      </w:r>
      <w:proofErr w:type="spellEnd"/>
      <w:r w:rsidRPr="00C93EFA">
        <w:rPr>
          <w:rFonts w:ascii="Times New Roman" w:eastAsia="Times New Roman" w:hAnsi="Times New Roman" w:cs="Times New Roman"/>
          <w:sz w:val="24"/>
          <w:szCs w:val="24"/>
          <w:lang w:eastAsia="en-GB"/>
        </w:rPr>
        <w:t>, 2020). A systematic literature review constructing a benefits dependency network for DevOps reaches a related conclusion: the causal pathways connecting specific DevOps practices to organisational benefits, such as shorter lead times or more frequent deployment, are asserted considerably more often than they are rigorously demonstrated, with many primary studies relying on practitioner testimony rather than controlled comparison (Jabbari et al., 2018).</w:t>
      </w:r>
    </w:p>
    <w:p w14:paraId="301E9093"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A more recent systematic literature review mapping DevOps capabilities onto the life-cycle phases defined by the IEEE 2675-2021 DevOps standard represents an attempt to impose greater conceptual order on this previously fragmented terrain, organising the literature against an externally validated standard rather than relying solely on definitions internal to individual primary studies. It finds capability coverage markedly uneven across life-cycle phases, with build and deployment automation considerably better represented in the literature than the cultural and measurement capabilities the standard also specifies (Amaro et al., 2025). This unevenness fits a broader pattern visible across the DevOps literature reviewed here, in which the technically tractable dimensions of DevOps — pipeline automation, build tooling, deployment mechanics — have received disproportionate empirical attention relative to the organisational and cultural dimensions that practitioners and researchers alike often identify as the harder, and more consequential, side of DevOps transformation.</w:t>
      </w:r>
    </w:p>
    <w:p w14:paraId="1F9D1BF7"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5.2 Empirical Evidence on DevOps Adoption, Culture, and Outcomes</w:t>
      </w:r>
    </w:p>
    <w:p w14:paraId="69468DEC"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Case-study evidence on DevOps adoption in practice reinforces how central organisational and cultural factors are. A multiple case study of five companies engaged in web application and service development found that successful DevOps implementation depended as much on cross-functional collaboration norms and shared incident-response practices as on any specific toolchain; the twenty-six practitioners interviewed across these cases described technical automation as a necessary but insufficient condition for the benefits commonly attributed to DevOps (</w:t>
      </w:r>
      <w:proofErr w:type="spellStart"/>
      <w:r w:rsidRPr="00C93EFA">
        <w:rPr>
          <w:rFonts w:ascii="Times New Roman" w:eastAsia="Times New Roman" w:hAnsi="Times New Roman" w:cs="Times New Roman"/>
          <w:sz w:val="24"/>
          <w:szCs w:val="24"/>
          <w:lang w:eastAsia="en-GB"/>
        </w:rPr>
        <w:t>Lwakatare</w:t>
      </w:r>
      <w:proofErr w:type="spellEnd"/>
      <w:r w:rsidRPr="00C93EFA">
        <w:rPr>
          <w:rFonts w:ascii="Times New Roman" w:eastAsia="Times New Roman" w:hAnsi="Times New Roman" w:cs="Times New Roman"/>
          <w:sz w:val="24"/>
          <w:szCs w:val="24"/>
          <w:lang w:eastAsia="en-GB"/>
        </w:rPr>
        <w:t xml:space="preserve"> et al., 2019). A grounded-theory study examining successful DevOps adoption across fifteen companies similarly built a theoretical model in which incremental, learning-oriented adoption pathways were associated with more durable success than wholesale, top-down transformation programmes, a finding subsequently validated through a focus-group-based case study (Luz et al., 2019). A systematic literature review focused specifically on critical success factors for DevOps adoption supports this organisational emphasis, identifying leadership commitment, shared measurement practices and incremental rollout as recurring success factors, while noting that the evidence for many of these factors remains predominantly qualitative and drawn from a relatively small number of well-documented organisational contexts (Azad &amp; </w:t>
      </w:r>
      <w:proofErr w:type="spellStart"/>
      <w:r w:rsidRPr="00C93EFA">
        <w:rPr>
          <w:rFonts w:ascii="Times New Roman" w:eastAsia="Times New Roman" w:hAnsi="Times New Roman" w:cs="Times New Roman"/>
          <w:sz w:val="24"/>
          <w:szCs w:val="24"/>
          <w:lang w:eastAsia="en-GB"/>
        </w:rPr>
        <w:t>Hyrynsalmi</w:t>
      </w:r>
      <w:proofErr w:type="spellEnd"/>
      <w:r w:rsidRPr="00C93EFA">
        <w:rPr>
          <w:rFonts w:ascii="Times New Roman" w:eastAsia="Times New Roman" w:hAnsi="Times New Roman" w:cs="Times New Roman"/>
          <w:sz w:val="24"/>
          <w:szCs w:val="24"/>
          <w:lang w:eastAsia="en-GB"/>
        </w:rPr>
        <w:t>, 2023).</w:t>
      </w:r>
    </w:p>
    <w:p w14:paraId="52BF839B"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A complementary strand of research has sought to develop and validate metrics capable of operationalising DevOps maturity, partly in response to the observation that qualitative case-study evidence, while rich, does not readily support comparison across organisations or over </w:t>
      </w:r>
      <w:r w:rsidRPr="00C93EFA">
        <w:rPr>
          <w:rFonts w:ascii="Times New Roman" w:eastAsia="Times New Roman" w:hAnsi="Times New Roman" w:cs="Times New Roman"/>
          <w:sz w:val="24"/>
          <w:szCs w:val="24"/>
          <w:lang w:eastAsia="en-GB"/>
        </w:rPr>
        <w:lastRenderedPageBreak/>
        <w:t xml:space="preserve">time. A systematic literature review undertaken to identify such metrics catalogued thirty-two distinct metrics drawn from fifty-seven primary studies, spanning categories such as deployment frequency, lead time for changes, mean time to recovery and change failure rate, while observing that few organisations report measuring more than a small subset of these consistently — which limits how comparable reported adoption outcomes really are across the wider DevOps literature (Kumar et al., 2025). A further systematic mapping review examining the integration of DevOps with the Capability Maturity Model Integration framework finds a similarly emergent rather than settled body of work, concluding that formal maturity-model integration with DevOps is still more often proposed conceptually than empirically validated at scale (Rajab &amp; </w:t>
      </w:r>
      <w:proofErr w:type="spellStart"/>
      <w:r w:rsidRPr="00C93EFA">
        <w:rPr>
          <w:rFonts w:ascii="Times New Roman" w:eastAsia="Times New Roman" w:hAnsi="Times New Roman" w:cs="Times New Roman"/>
          <w:sz w:val="24"/>
          <w:szCs w:val="24"/>
          <w:lang w:eastAsia="en-GB"/>
        </w:rPr>
        <w:t>Alnoukari</w:t>
      </w:r>
      <w:proofErr w:type="spellEnd"/>
      <w:r w:rsidRPr="00C93EFA">
        <w:rPr>
          <w:rFonts w:ascii="Times New Roman" w:eastAsia="Times New Roman" w:hAnsi="Times New Roman" w:cs="Times New Roman"/>
          <w:sz w:val="24"/>
          <w:szCs w:val="24"/>
          <w:lang w:eastAsia="en-GB"/>
        </w:rPr>
        <w:t xml:space="preserve">, 2025). </w:t>
      </w:r>
      <w:proofErr w:type="gramStart"/>
      <w:r w:rsidRPr="00C93EFA">
        <w:rPr>
          <w:rFonts w:ascii="Times New Roman" w:eastAsia="Times New Roman" w:hAnsi="Times New Roman" w:cs="Times New Roman"/>
          <w:sz w:val="24"/>
          <w:szCs w:val="24"/>
          <w:lang w:eastAsia="en-GB"/>
        </w:rPr>
        <w:t>A further review surveys quality-aware DevOps research</w:t>
      </w:r>
      <w:proofErr w:type="gramEnd"/>
      <w:r w:rsidRPr="00C93EFA">
        <w:rPr>
          <w:rFonts w:ascii="Times New Roman" w:eastAsia="Times New Roman" w:hAnsi="Times New Roman" w:cs="Times New Roman"/>
          <w:sz w:val="24"/>
          <w:szCs w:val="24"/>
          <w:lang w:eastAsia="en-GB"/>
        </w:rPr>
        <w:t xml:space="preserve"> across the full delivery life cycle — architectural design, infrastructure as code, continuous integration and delivery, testing and verification, and runtime management — and singles out artificial-intelligence-assisted operations, including AI applied to DevOps tasks and DevOps practices tailored to AI software itself, as a nascent but rapidly growing sub-area (</w:t>
      </w:r>
      <w:proofErr w:type="spellStart"/>
      <w:r w:rsidRPr="00C93EFA">
        <w:rPr>
          <w:rFonts w:ascii="Times New Roman" w:eastAsia="Times New Roman" w:hAnsi="Times New Roman" w:cs="Times New Roman"/>
          <w:sz w:val="24"/>
          <w:szCs w:val="24"/>
          <w:lang w:eastAsia="en-GB"/>
        </w:rPr>
        <w:t>Alnafessah</w:t>
      </w:r>
      <w:proofErr w:type="spellEnd"/>
      <w:r w:rsidRPr="00C93EFA">
        <w:rPr>
          <w:rFonts w:ascii="Times New Roman" w:eastAsia="Times New Roman" w:hAnsi="Times New Roman" w:cs="Times New Roman"/>
          <w:sz w:val="24"/>
          <w:szCs w:val="24"/>
          <w:lang w:eastAsia="en-GB"/>
        </w:rPr>
        <w:t xml:space="preserve"> et al., 2021).</w:t>
      </w:r>
    </w:p>
    <w:p w14:paraId="1828A83A"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5.3 Container-Enabled Continuous Integration and Delivery</w:t>
      </w:r>
    </w:p>
    <w:p w14:paraId="6ACA8785"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Containers intersect with DevOps practice most directly through continuous integration and continuous delivery pipelines, where a container image frequently serves as the canonical, immutable artefact built once and then promoted unchanged through successive testing and deployment stages. This "build once, deploy everywhere" pattern addresses a long-standing source of deployment failure, in which discrepancies between development, testing and production environments produced defects that were hard to reproduce and diagnose. An interview-based study of continuous integration and delivery practice in the demanding context of cyber-physical systems development, spanning ten organisations across eight industrial domains and subsequently validated through a survey of fifty-five professional developers, found that organisations with a limited prior culture of continuous-integration practice tended to adopt pipelines that automated only the most readily mechanisable tasks, leaving more complex integration and hardware-in-the-loop testing manual — a pattern the authors attribute principally to gaps in practitioner knowledge rather than to fundamental limits of available container-based tooling (Zampetti et al., 2023).</w:t>
      </w:r>
    </w:p>
    <w:p w14:paraId="76BDD9F9"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This finding is consistent with the broader pattern noted in Section 5.1, in which the technically automatable components of a delivery pipeline are taken up more readily than the organisational learning needed to use that automation to full effect. Reviews of the DevOps literature converge on continuous integration and continuous delivery as the practice cluster with the strongest and most consistent empirical support, while cautioning that this strength partly reflects how much easier it is to measure pipeline-level outcomes, such as build frequency or lead time, than the more diffuse cultural and organisational outcomes DevOps proponents also claim (Mishra &amp; </w:t>
      </w:r>
      <w:proofErr w:type="spellStart"/>
      <w:r w:rsidRPr="00C93EFA">
        <w:rPr>
          <w:rFonts w:ascii="Times New Roman" w:eastAsia="Times New Roman" w:hAnsi="Times New Roman" w:cs="Times New Roman"/>
          <w:sz w:val="24"/>
          <w:szCs w:val="24"/>
          <w:lang w:eastAsia="en-GB"/>
        </w:rPr>
        <w:t>Otaiwi</w:t>
      </w:r>
      <w:proofErr w:type="spellEnd"/>
      <w:r w:rsidRPr="00C93EFA">
        <w:rPr>
          <w:rFonts w:ascii="Times New Roman" w:eastAsia="Times New Roman" w:hAnsi="Times New Roman" w:cs="Times New Roman"/>
          <w:sz w:val="24"/>
          <w:szCs w:val="24"/>
          <w:lang w:eastAsia="en-GB"/>
        </w:rPr>
        <w:t>, 2020).</w:t>
      </w:r>
    </w:p>
    <w:p w14:paraId="6C600B95"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Table 3 draws together the empirical findings on DevOps adoption discussed in this section, organised by the level at which each finding is pitched.</w:t>
      </w:r>
    </w:p>
    <w:p w14:paraId="3BA94326"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b/>
          <w:bCs/>
          <w:sz w:val="24"/>
          <w:szCs w:val="24"/>
          <w:lang w:eastAsia="en-GB"/>
        </w:rPr>
        <w:t>Table 3. Empirical findings on DevOps adoption, organised by level of analysis</w:t>
      </w:r>
    </w:p>
    <w:tbl>
      <w:tblPr>
        <w:tblStyle w:val="TableGrid"/>
        <w:tblW w:w="0" w:type="auto"/>
        <w:tblLook w:val="04A0" w:firstRow="1" w:lastRow="0" w:firstColumn="1" w:lastColumn="0" w:noHBand="0" w:noVBand="1"/>
      </w:tblPr>
      <w:tblGrid>
        <w:gridCol w:w="2429"/>
        <w:gridCol w:w="3969"/>
        <w:gridCol w:w="2844"/>
      </w:tblGrid>
      <w:tr w:rsidR="00C93EFA" w:rsidRPr="00C93EFA" w14:paraId="6ECF22AA" w14:textId="77777777" w:rsidTr="0091620F">
        <w:tc>
          <w:tcPr>
            <w:tcW w:w="0" w:type="auto"/>
            <w:hideMark/>
          </w:tcPr>
          <w:p w14:paraId="6781D18F"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Level of analysis</w:t>
            </w:r>
          </w:p>
        </w:tc>
        <w:tc>
          <w:tcPr>
            <w:tcW w:w="0" w:type="auto"/>
            <w:hideMark/>
          </w:tcPr>
          <w:p w14:paraId="7A514319"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Principal empirical finding</w:t>
            </w:r>
          </w:p>
        </w:tc>
        <w:tc>
          <w:tcPr>
            <w:tcW w:w="0" w:type="auto"/>
            <w:hideMark/>
          </w:tcPr>
          <w:p w14:paraId="1A88025B"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Strength of supporting evidence</w:t>
            </w:r>
          </w:p>
        </w:tc>
      </w:tr>
      <w:tr w:rsidR="00C93EFA" w:rsidRPr="00C93EFA" w14:paraId="58B384FE" w14:textId="77777777" w:rsidTr="0091620F">
        <w:tc>
          <w:tcPr>
            <w:tcW w:w="0" w:type="auto"/>
            <w:hideMark/>
          </w:tcPr>
          <w:p w14:paraId="1B71CA26"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Pipeline/technical</w:t>
            </w:r>
          </w:p>
        </w:tc>
        <w:tc>
          <w:tcPr>
            <w:tcW w:w="0" w:type="auto"/>
            <w:hideMark/>
          </w:tcPr>
          <w:p w14:paraId="7764C6FA"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Container images function as </w:t>
            </w:r>
            <w:r w:rsidRPr="00C93EFA">
              <w:rPr>
                <w:rFonts w:ascii="Times New Roman" w:eastAsia="Times New Roman" w:hAnsi="Times New Roman" w:cs="Times New Roman"/>
                <w:sz w:val="24"/>
                <w:szCs w:val="24"/>
                <w:lang w:eastAsia="en-GB"/>
              </w:rPr>
              <w:lastRenderedPageBreak/>
              <w:t>immutable, portable artefacts that reduce environment-related deployment failures</w:t>
            </w:r>
          </w:p>
        </w:tc>
        <w:tc>
          <w:tcPr>
            <w:tcW w:w="0" w:type="auto"/>
            <w:hideMark/>
          </w:tcPr>
          <w:p w14:paraId="70326758"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lastRenderedPageBreak/>
              <w:t xml:space="preserve">Strong; well replicated </w:t>
            </w:r>
            <w:r w:rsidRPr="00C93EFA">
              <w:rPr>
                <w:rFonts w:ascii="Times New Roman" w:eastAsia="Times New Roman" w:hAnsi="Times New Roman" w:cs="Times New Roman"/>
                <w:sz w:val="24"/>
                <w:szCs w:val="24"/>
                <w:lang w:eastAsia="en-GB"/>
              </w:rPr>
              <w:lastRenderedPageBreak/>
              <w:t>across case studies and surveys</w:t>
            </w:r>
          </w:p>
        </w:tc>
      </w:tr>
      <w:tr w:rsidR="00C93EFA" w:rsidRPr="00C93EFA" w14:paraId="433DBC57" w14:textId="77777777" w:rsidTr="0091620F">
        <w:tc>
          <w:tcPr>
            <w:tcW w:w="0" w:type="auto"/>
            <w:hideMark/>
          </w:tcPr>
          <w:p w14:paraId="7A01DF02"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lastRenderedPageBreak/>
              <w:t>Organisational/cultural</w:t>
            </w:r>
          </w:p>
        </w:tc>
        <w:tc>
          <w:tcPr>
            <w:tcW w:w="0" w:type="auto"/>
            <w:hideMark/>
          </w:tcPr>
          <w:p w14:paraId="34D54EA8"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Cross-functional collaboration and incremental adoption pathways associate with more durable success than wholesale transformation</w:t>
            </w:r>
          </w:p>
        </w:tc>
        <w:tc>
          <w:tcPr>
            <w:tcW w:w="0" w:type="auto"/>
            <w:hideMark/>
          </w:tcPr>
          <w:p w14:paraId="7637517A"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Moderate; predominantly qualitative, drawn from a limited set of documented contexts</w:t>
            </w:r>
          </w:p>
        </w:tc>
      </w:tr>
      <w:tr w:rsidR="00C93EFA" w:rsidRPr="00C93EFA" w14:paraId="3F439A28" w14:textId="77777777" w:rsidTr="0091620F">
        <w:tc>
          <w:tcPr>
            <w:tcW w:w="0" w:type="auto"/>
            <w:hideMark/>
          </w:tcPr>
          <w:p w14:paraId="326F3BBC"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Measurement</w:t>
            </w:r>
          </w:p>
        </w:tc>
        <w:tc>
          <w:tcPr>
            <w:tcW w:w="0" w:type="auto"/>
            <w:hideMark/>
          </w:tcPr>
          <w:p w14:paraId="705364E0"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A recognised but inconsistently applied set of metrics exists for DevOps maturity (e.g. deployment frequency, lead time, recovery time)</w:t>
            </w:r>
          </w:p>
        </w:tc>
        <w:tc>
          <w:tcPr>
            <w:tcW w:w="0" w:type="auto"/>
            <w:hideMark/>
          </w:tcPr>
          <w:p w14:paraId="4A51CD73"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Moderate; metric catalogues are well developed but consistent measurement is uneven</w:t>
            </w:r>
          </w:p>
        </w:tc>
      </w:tr>
      <w:tr w:rsidR="00C93EFA" w:rsidRPr="00C93EFA" w14:paraId="645EDE83" w14:textId="77777777" w:rsidTr="0091620F">
        <w:tc>
          <w:tcPr>
            <w:tcW w:w="0" w:type="auto"/>
            <w:hideMark/>
          </w:tcPr>
          <w:p w14:paraId="1F7DC128"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Standards alignment</w:t>
            </w:r>
          </w:p>
        </w:tc>
        <w:tc>
          <w:tcPr>
            <w:tcW w:w="0" w:type="auto"/>
            <w:hideMark/>
          </w:tcPr>
          <w:p w14:paraId="3667E017"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Mapping of practice onto formal standards (e.g. IEEE 2675-2021) reveals uneven capability coverage, particularly in cultural and measurement domains</w:t>
            </w:r>
          </w:p>
        </w:tc>
        <w:tc>
          <w:tcPr>
            <w:tcW w:w="0" w:type="auto"/>
            <w:hideMark/>
          </w:tcPr>
          <w:p w14:paraId="4A0CB3E9"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Emerging; few studies to date</w:t>
            </w:r>
          </w:p>
        </w:tc>
      </w:tr>
    </w:tbl>
    <w:p w14:paraId="268B44DF"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9346DF">
        <w:rPr>
          <w:rFonts w:ascii="Times New Roman" w:eastAsia="Times New Roman" w:hAnsi="Times New Roman" w:cs="Times New Roman"/>
          <w:i/>
          <w:iCs/>
          <w:sz w:val="24"/>
          <w:szCs w:val="24"/>
          <w:lang w:val="es-US" w:eastAsia="en-GB"/>
        </w:rPr>
        <w:t>Sources</w:t>
      </w:r>
      <w:proofErr w:type="spellEnd"/>
      <w:r w:rsidRPr="009346DF">
        <w:rPr>
          <w:rFonts w:ascii="Times New Roman" w:eastAsia="Times New Roman" w:hAnsi="Times New Roman" w:cs="Times New Roman"/>
          <w:i/>
          <w:iCs/>
          <w:sz w:val="24"/>
          <w:szCs w:val="24"/>
          <w:lang w:val="es-US" w:eastAsia="en-GB"/>
        </w:rPr>
        <w:t xml:space="preserve">: </w:t>
      </w:r>
      <w:proofErr w:type="spellStart"/>
      <w:r w:rsidRPr="009346DF">
        <w:rPr>
          <w:rFonts w:ascii="Times New Roman" w:eastAsia="Times New Roman" w:hAnsi="Times New Roman" w:cs="Times New Roman"/>
          <w:i/>
          <w:iCs/>
          <w:sz w:val="24"/>
          <w:szCs w:val="24"/>
          <w:lang w:val="es-US" w:eastAsia="en-GB"/>
        </w:rPr>
        <w:t>Lwakatare</w:t>
      </w:r>
      <w:proofErr w:type="spellEnd"/>
      <w:r w:rsidRPr="009346DF">
        <w:rPr>
          <w:rFonts w:ascii="Times New Roman" w:eastAsia="Times New Roman" w:hAnsi="Times New Roman" w:cs="Times New Roman"/>
          <w:i/>
          <w:iCs/>
          <w:sz w:val="24"/>
          <w:szCs w:val="24"/>
          <w:lang w:val="es-US" w:eastAsia="en-GB"/>
        </w:rPr>
        <w:t xml:space="preserve"> et al. (2019); Luz et al. </w:t>
      </w:r>
      <w:r w:rsidRPr="001F2388">
        <w:rPr>
          <w:rFonts w:ascii="Times New Roman" w:eastAsia="Times New Roman" w:hAnsi="Times New Roman" w:cs="Times New Roman"/>
          <w:i/>
          <w:iCs/>
          <w:sz w:val="24"/>
          <w:szCs w:val="24"/>
          <w:lang w:val="nl-BE" w:eastAsia="en-GB"/>
        </w:rPr>
        <w:t xml:space="preserve">(2019); Azad and Hyrynsalmi (2023); Kumar et al. (2025); Amaro et al. (2025); Jabbari et al. </w:t>
      </w:r>
      <w:r w:rsidRPr="00C93EFA">
        <w:rPr>
          <w:rFonts w:ascii="Times New Roman" w:eastAsia="Times New Roman" w:hAnsi="Times New Roman" w:cs="Times New Roman"/>
          <w:i/>
          <w:iCs/>
          <w:sz w:val="24"/>
          <w:szCs w:val="24"/>
          <w:lang w:eastAsia="en-GB"/>
        </w:rPr>
        <w:t>(2018).</w:t>
      </w:r>
    </w:p>
    <w:p w14:paraId="47DDED76"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Read across these four rows, the table points to a consistent asymmetry in the DevOps evidence base: confidence is highest where outcomes are narrowly and mechanically defined, and lowest where outcomes depend on sustained organisational change that is harder to observe and harder still to attribute cleanly to any one practice.</w:t>
      </w:r>
    </w:p>
    <w:p w14:paraId="27EBA887"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6. Microservices Architecture: Design, Migration, and Operational Challenges</w:t>
      </w:r>
    </w:p>
    <w:p w14:paraId="16AD02A9"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6.1 Architectural Principles and the Decomposition Problem</w:t>
      </w:r>
    </w:p>
    <w:p w14:paraId="064BC90B"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Microservices architecture organises a system as a collection of small, independently deployable services, each typically owned by a single team and communicating with other services through lightweight, language-agnostic mechanisms such as HTTP-based APIs. A systematic mapping study of the academic literature on architecting with microservices, extending an earlier mapping exercise to cover more than one hundred primary studies, finds that the central and most persistently unresolved technical question in this literature is decomposition: how a system's functional boundaries should be identified and translated into discrete service boundaries (Di Francesco et al., 2019). The same study observes that evaluation research — work that tests proposed decomposition or design approaches against real industrial systems rather than illustrative examples — remains rare relative to the volume of conceptual and prescriptive work, a finding the authors interpret as limiting how readily academic microservices research transfers into industrial practice.</w:t>
      </w:r>
    </w:p>
    <w:p w14:paraId="246C4E97"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Industrial experience reports support the centrality of the decomposition problem from a practitioner's vantage point. An analysis extracting common migration patterns from a small number of detailed industrial migration projects identifies recurring architectural moves common across these migrations, including the staged extraction of services from a monolith and the introduction of intermediary components to mediate between legacy code and newly extracted services, while noting that the sequencing and pacing of these moves varied considerably depending on each organisation's risk tolerance and existing operational maturity (</w:t>
      </w:r>
      <w:proofErr w:type="spellStart"/>
      <w:r w:rsidRPr="00C93EFA">
        <w:rPr>
          <w:rFonts w:ascii="Times New Roman" w:eastAsia="Times New Roman" w:hAnsi="Times New Roman" w:cs="Times New Roman"/>
          <w:sz w:val="24"/>
          <w:szCs w:val="24"/>
          <w:lang w:eastAsia="en-GB"/>
        </w:rPr>
        <w:t>Balalaie</w:t>
      </w:r>
      <w:proofErr w:type="spellEnd"/>
      <w:r w:rsidRPr="00C93EFA">
        <w:rPr>
          <w:rFonts w:ascii="Times New Roman" w:eastAsia="Times New Roman" w:hAnsi="Times New Roman" w:cs="Times New Roman"/>
          <w:sz w:val="24"/>
          <w:szCs w:val="24"/>
          <w:lang w:eastAsia="en-GB"/>
        </w:rPr>
        <w:t xml:space="preserve"> et al., 2018). This pattern-based account matters because it suggests that, </w:t>
      </w:r>
      <w:r w:rsidRPr="00C93EFA">
        <w:rPr>
          <w:rFonts w:ascii="Times New Roman" w:eastAsia="Times New Roman" w:hAnsi="Times New Roman" w:cs="Times New Roman"/>
          <w:sz w:val="24"/>
          <w:szCs w:val="24"/>
          <w:lang w:eastAsia="en-GB"/>
        </w:rPr>
        <w:lastRenderedPageBreak/>
        <w:t>for all the diversity of academic decomposition methods on offer, industrial migrations in practice converge on a comparatively small repertoire of pragmatic, incremental strategies.</w:t>
      </w:r>
    </w:p>
    <w:p w14:paraId="6A0FB50B"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6.2 Migration Drivers, Barriers, and Organisational Consequences</w:t>
      </w:r>
    </w:p>
    <w:p w14:paraId="77A15E0E"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The drivers cited for migrating from monolithic to microservices architectures recur across the literature with notable consistency: improved scalability, the ability to deploy and update services independently, and the freedom for different teams to choose technology stacks suited to their own service. A framework developed to assess organisational readiness for this transition draws these drivers together alongside a parallel set of risks, including the distributed-systems complexity that the monolith did not previously have to contend with, and concludes that organisations frequently underestimate the operational overhead — particularly around monitoring, data consistency and inter-service network reliability — that a successful migration requires (Auer et al., 2021). A systematic literature review surveying the broader landscape of microservices challenges and proposed solutions identifies similar themes, while observing that proposed solutions in the academic literature considerably outnumber empirically validated ones, leaving practitioners to rely substantially on heuristic and experience-based guidance rather than evidence-based prescription (Söylemez et al., 2022).</w:t>
      </w:r>
    </w:p>
    <w:p w14:paraId="04A230FB"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The grey literature has itself become an object of formal academic study, on the premise that much of the most current and operationally specific knowledge about microservices circulates first through practitioner blogs, conference talks and technical reports rather than through peer-reviewed venues. A systematic grey literature review that analyses this practitioner discourse identifies a consistent pattern in which development and operational activities are reported as the architectural stages that gain the most from microservices adoption: independent teams can build, test, deploy and scale their own services without coordinating releases with unrelated parts of the system. Difficulties in maintaining consistency across a multiplicity of independently evolving data stores recur, by contrast, as one of the most frequently reported pains (Soldani et al., 2018). A subsequent exploratory study targeting practitioners specifically drawn from "mature" teams with at least two years of microservices experience, comprising interviews with twenty-one practitioners and a follow-up survey of thirty-seven respondents across thirty-seven companies, found that experienced teams frequently deviate from commonly published "standard" advice once they have accumulated enough operational experience, adapting prescriptive guidance to their own organisational and technical context rather than applying it uniformly (Wang et al., 2021). This finding carries an important methodological implication for the literature as a whole: guidance synthesised mainly from early-adopter or less experienced practitioner accounts may not generalise to organisations with substantial operational maturity, a caveat that complicates any straightforward reading of the pains-and-gains literature as a stable, universally applicable inventory.</w:t>
      </w:r>
    </w:p>
    <w:p w14:paraId="5D3DC441"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6.3 Testing, Monitoring, and Quality Assurance in Microservice Systems</w:t>
      </w:r>
    </w:p>
    <w:p w14:paraId="259EDEDC"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The distributed nature of microservices architecture complicates testing and monitoring relative to monolithic systems, since failures can arise from the interaction of independently developed and independently evolving services rather than from any single component in isolation. A mixed-methods study combining a survey of one hundred and six practitioners with six follow-up interviews investigated how organisations design, monitor and test microservice systems in practice, finding that integration testing across service boundaries </w:t>
      </w:r>
      <w:r w:rsidRPr="00C93EFA">
        <w:rPr>
          <w:rFonts w:ascii="Times New Roman" w:eastAsia="Times New Roman" w:hAnsi="Times New Roman" w:cs="Times New Roman"/>
          <w:sz w:val="24"/>
          <w:szCs w:val="24"/>
          <w:lang w:eastAsia="en-GB"/>
        </w:rPr>
        <w:lastRenderedPageBreak/>
        <w:t>and runtime monitoring of inter-service communication are seen by practitioners as considerably more difficult than unit-level testing of individual services, and that tooling support for these distributed concerns lags tooling support for single-service development tasks (Waseem et al., 2021). The same study reports that practitioners frequently rely on a combination of automated health checks and manually curated dashboards to compensate for the absence of mature, integrated observability tooling — a workaround the authors characterise as a symptom of immature tooling rather than a deliberate or preferred practice.</w:t>
      </w:r>
    </w:p>
    <w:p w14:paraId="5AD87151"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These findings on testing and monitoring connect directly back to the container-orchestration literature discussed in Section 4, since the scheduling, networking and lifecycle-management decisions made by an orchestration platform directly shape what observability data is available to operators and how readily a failure can be traced to a specific service instance. The literature thus suggests that the operational challenges of microservices architecture cannot be fully understood apart from the container orchestration substrate on which microservices are typically deployed, which reinforces this review's broader argument that containerization, DevOps practice and microservices architecture form an interdependent rather than separable set of phenomena.</w:t>
      </w:r>
    </w:p>
    <w:p w14:paraId="3C8010A2"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Table 4 summarises the principal pains and gains reported across the migration and operational literature discussed in this section.</w:t>
      </w:r>
    </w:p>
    <w:p w14:paraId="180AF963"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b/>
          <w:bCs/>
          <w:sz w:val="24"/>
          <w:szCs w:val="24"/>
          <w:lang w:eastAsia="en-GB"/>
        </w:rPr>
        <w:t>Table 4. Reported pains and gains of microservices adoption and migration</w:t>
      </w:r>
    </w:p>
    <w:tbl>
      <w:tblPr>
        <w:tblStyle w:val="TableGrid"/>
        <w:tblW w:w="0" w:type="auto"/>
        <w:tblLook w:val="04A0" w:firstRow="1" w:lastRow="0" w:firstColumn="1" w:lastColumn="0" w:noHBand="0" w:noVBand="1"/>
      </w:tblPr>
      <w:tblGrid>
        <w:gridCol w:w="1913"/>
        <w:gridCol w:w="3794"/>
        <w:gridCol w:w="3535"/>
      </w:tblGrid>
      <w:tr w:rsidR="00C93EFA" w:rsidRPr="00C93EFA" w14:paraId="2F9E7CE1" w14:textId="77777777" w:rsidTr="0091620F">
        <w:tc>
          <w:tcPr>
            <w:tcW w:w="0" w:type="auto"/>
            <w:hideMark/>
          </w:tcPr>
          <w:p w14:paraId="780DF8F8"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Domain</w:t>
            </w:r>
          </w:p>
        </w:tc>
        <w:tc>
          <w:tcPr>
            <w:tcW w:w="0" w:type="auto"/>
            <w:hideMark/>
          </w:tcPr>
          <w:p w14:paraId="4B15302A"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Principal reported gain</w:t>
            </w:r>
          </w:p>
        </w:tc>
        <w:tc>
          <w:tcPr>
            <w:tcW w:w="0" w:type="auto"/>
            <w:hideMark/>
          </w:tcPr>
          <w:p w14:paraId="06E58EA8"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Principal reported pain</w:t>
            </w:r>
          </w:p>
        </w:tc>
      </w:tr>
      <w:tr w:rsidR="00C93EFA" w:rsidRPr="00C93EFA" w14:paraId="370E9EF0" w14:textId="77777777" w:rsidTr="0091620F">
        <w:tc>
          <w:tcPr>
            <w:tcW w:w="0" w:type="auto"/>
            <w:hideMark/>
          </w:tcPr>
          <w:p w14:paraId="6E297FE7"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Development</w:t>
            </w:r>
          </w:p>
        </w:tc>
        <w:tc>
          <w:tcPr>
            <w:tcW w:w="0" w:type="auto"/>
            <w:hideMark/>
          </w:tcPr>
          <w:p w14:paraId="491CBBA6"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Independent, parallel development by autonomous teams; technology-stack freedom</w:t>
            </w:r>
          </w:p>
        </w:tc>
        <w:tc>
          <w:tcPr>
            <w:tcW w:w="0" w:type="auto"/>
            <w:hideMark/>
          </w:tcPr>
          <w:p w14:paraId="6E57BD86"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Increased cognitive overhead in managing many small codebases</w:t>
            </w:r>
          </w:p>
        </w:tc>
      </w:tr>
      <w:tr w:rsidR="00C93EFA" w:rsidRPr="00C93EFA" w14:paraId="34206F38" w14:textId="77777777" w:rsidTr="0091620F">
        <w:tc>
          <w:tcPr>
            <w:tcW w:w="0" w:type="auto"/>
            <w:hideMark/>
          </w:tcPr>
          <w:p w14:paraId="46F42E56"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Deployment</w:t>
            </w:r>
          </w:p>
        </w:tc>
        <w:tc>
          <w:tcPr>
            <w:tcW w:w="0" w:type="auto"/>
            <w:hideMark/>
          </w:tcPr>
          <w:p w14:paraId="20A26838"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Independent </w:t>
            </w:r>
            <w:proofErr w:type="spellStart"/>
            <w:r w:rsidRPr="00C93EFA">
              <w:rPr>
                <w:rFonts w:ascii="Times New Roman" w:eastAsia="Times New Roman" w:hAnsi="Times New Roman" w:cs="Times New Roman"/>
                <w:sz w:val="24"/>
                <w:szCs w:val="24"/>
                <w:lang w:eastAsia="en-GB"/>
              </w:rPr>
              <w:t>deployability</w:t>
            </w:r>
            <w:proofErr w:type="spellEnd"/>
            <w:r w:rsidRPr="00C93EFA">
              <w:rPr>
                <w:rFonts w:ascii="Times New Roman" w:eastAsia="Times New Roman" w:hAnsi="Times New Roman" w:cs="Times New Roman"/>
                <w:sz w:val="24"/>
                <w:szCs w:val="24"/>
                <w:lang w:eastAsia="en-GB"/>
              </w:rPr>
              <w:t xml:space="preserve"> and scaling of individual services</w:t>
            </w:r>
          </w:p>
        </w:tc>
        <w:tc>
          <w:tcPr>
            <w:tcW w:w="0" w:type="auto"/>
            <w:hideMark/>
          </w:tcPr>
          <w:p w14:paraId="1184F10E"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Greater orchestration and pipeline complexity</w:t>
            </w:r>
          </w:p>
        </w:tc>
      </w:tr>
      <w:tr w:rsidR="00C93EFA" w:rsidRPr="00C93EFA" w14:paraId="28597EE7" w14:textId="77777777" w:rsidTr="0091620F">
        <w:tc>
          <w:tcPr>
            <w:tcW w:w="0" w:type="auto"/>
            <w:hideMark/>
          </w:tcPr>
          <w:p w14:paraId="5B57759C"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Data management</w:t>
            </w:r>
          </w:p>
        </w:tc>
        <w:tc>
          <w:tcPr>
            <w:tcW w:w="0" w:type="auto"/>
            <w:hideMark/>
          </w:tcPr>
          <w:p w14:paraId="4547B957"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Service-aligned data ownership</w:t>
            </w:r>
          </w:p>
        </w:tc>
        <w:tc>
          <w:tcPr>
            <w:tcW w:w="0" w:type="auto"/>
            <w:hideMark/>
          </w:tcPr>
          <w:p w14:paraId="6B9E0603"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Difficulty maintaining cross-service data consistency</w:t>
            </w:r>
          </w:p>
        </w:tc>
      </w:tr>
      <w:tr w:rsidR="00C93EFA" w:rsidRPr="00C93EFA" w14:paraId="15E40390" w14:textId="77777777" w:rsidTr="0091620F">
        <w:tc>
          <w:tcPr>
            <w:tcW w:w="0" w:type="auto"/>
            <w:hideMark/>
          </w:tcPr>
          <w:p w14:paraId="0C662748"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Testing and monitoring</w:t>
            </w:r>
          </w:p>
        </w:tc>
        <w:tc>
          <w:tcPr>
            <w:tcW w:w="0" w:type="auto"/>
            <w:hideMark/>
          </w:tcPr>
          <w:p w14:paraId="45FDB3F2"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Finer-grained fault isolation in principle</w:t>
            </w:r>
          </w:p>
        </w:tc>
        <w:tc>
          <w:tcPr>
            <w:tcW w:w="0" w:type="auto"/>
            <w:hideMark/>
          </w:tcPr>
          <w:p w14:paraId="30ED2CFF"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Immature tooling for cross-service integration testing and observability</w:t>
            </w:r>
          </w:p>
        </w:tc>
      </w:tr>
      <w:tr w:rsidR="00C93EFA" w:rsidRPr="00C93EFA" w14:paraId="68037763" w14:textId="77777777" w:rsidTr="0091620F">
        <w:tc>
          <w:tcPr>
            <w:tcW w:w="0" w:type="auto"/>
            <w:hideMark/>
          </w:tcPr>
          <w:p w14:paraId="67696561"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Organisational</w:t>
            </w:r>
          </w:p>
        </w:tc>
        <w:tc>
          <w:tcPr>
            <w:tcW w:w="0" w:type="auto"/>
            <w:hideMark/>
          </w:tcPr>
          <w:p w14:paraId="516331AC"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Alignment of team boundaries with service boundaries</w:t>
            </w:r>
          </w:p>
        </w:tc>
        <w:tc>
          <w:tcPr>
            <w:tcW w:w="0" w:type="auto"/>
            <w:hideMark/>
          </w:tcPr>
          <w:p w14:paraId="657581DA"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Underestimated operational overhead during migration</w:t>
            </w:r>
          </w:p>
        </w:tc>
      </w:tr>
    </w:tbl>
    <w:p w14:paraId="68080015"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1F2388">
        <w:rPr>
          <w:rFonts w:ascii="Times New Roman" w:eastAsia="Times New Roman" w:hAnsi="Times New Roman" w:cs="Times New Roman"/>
          <w:i/>
          <w:iCs/>
          <w:sz w:val="24"/>
          <w:szCs w:val="24"/>
          <w:lang w:val="nl-BE" w:eastAsia="en-GB"/>
        </w:rPr>
        <w:t xml:space="preserve">Sources: Soldani et al. (2018); Wang et al. </w:t>
      </w:r>
      <w:r w:rsidRPr="009346DF">
        <w:rPr>
          <w:rFonts w:ascii="Times New Roman" w:eastAsia="Times New Roman" w:hAnsi="Times New Roman" w:cs="Times New Roman"/>
          <w:i/>
          <w:iCs/>
          <w:sz w:val="24"/>
          <w:szCs w:val="24"/>
          <w:lang w:val="es-US" w:eastAsia="en-GB"/>
        </w:rPr>
        <w:t xml:space="preserve">(2021); Auer et al. (2021); Söylemez et al. </w:t>
      </w:r>
      <w:r w:rsidRPr="001F2388">
        <w:rPr>
          <w:rFonts w:ascii="Times New Roman" w:eastAsia="Times New Roman" w:hAnsi="Times New Roman" w:cs="Times New Roman"/>
          <w:i/>
          <w:iCs/>
          <w:sz w:val="24"/>
          <w:szCs w:val="24"/>
          <w:lang w:val="nl-BE" w:eastAsia="en-GB"/>
        </w:rPr>
        <w:t xml:space="preserve">(2022); Waseem et al. </w:t>
      </w:r>
      <w:r w:rsidRPr="00C93EFA">
        <w:rPr>
          <w:rFonts w:ascii="Times New Roman" w:eastAsia="Times New Roman" w:hAnsi="Times New Roman" w:cs="Times New Roman"/>
          <w:i/>
          <w:iCs/>
          <w:sz w:val="24"/>
          <w:szCs w:val="24"/>
          <w:lang w:eastAsia="en-GB"/>
        </w:rPr>
        <w:t>(2021).</w:t>
      </w:r>
    </w:p>
    <w:p w14:paraId="15F80DC8"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The pattern visible across the table is that microservices tend to redistribute effort rather than remove it: gains concentrated in development and deployment are matched by new burdens in data management and observability, a trade-off that tends to become more visible, not less, as a system matures and its service count grows.</w:t>
      </w:r>
    </w:p>
    <w:p w14:paraId="68357790"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7. Security, Governance, and Risk in Containerized Environments</w:t>
      </w:r>
    </w:p>
    <w:p w14:paraId="6638BB35"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7.1 The Container Attack Surface: A Taxonomic View</w:t>
      </w:r>
    </w:p>
    <w:p w14:paraId="2972CFAD"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lastRenderedPageBreak/>
        <w:t>The shared-kernel architecture that gives containers their efficiency advantage also narrows their isolation boundary relative to hypervisor-based virtual machines, and this trade-off has motivated a substantial and increasingly systematic security literature. A comprehensive container security survey analysing more than two hundred documented container-related vulnerabilities classifies these into forty-seven distinct exploit types spanning eleven attack vectors, ranging from container-escape techniques that exploit kernel or runtime flaws to allow a process to break out of its isolation boundary, through to supply-chain attacks that introduce malicious content into images before they are ever deployed (Jarkas et al., 2025). The scale of this taxonomy is itself informative: it indicates that container security is not reducible to a handful of well-understood failure modes but constitutes a genuinely broad and still-expanding attack surface, a conclusion reinforced by the authors' own observation that academic research on container security has historically leaned towards theoretical treatment of specific vulnerability classes rather than the kind of empirically grounded, comprehensive taxonomy practitioners need to prioritise defensive investment (Jarkas et al., 2025).</w:t>
      </w:r>
    </w:p>
    <w:p w14:paraId="3495D725"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A systematic literature review of container maintenance practices situates security measures as one of four principal phases of container lifecycle management, alongside scheduling, performance evaluation and image-related processes, and reports that security-focused studies form a substantial minority of the broader maintenance literature, concentrated particularly around image vulnerability scanning and runtime anomaly detection (Malhotra et al., 2024). This concentration suggests a research community more comfortable addressing security at the point of image construction and at the point of runtime monitoring than at the orchestration layer itself, even though orchestration-layer misconfiguration — overly permissive network policies, inadequate isolation between co-scheduled workloads — features prominently among the practical concerns raised elsewhere in the container security literature.</w:t>
      </w:r>
    </w:p>
    <w:p w14:paraId="736B823A"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7.2 Image Provenance, Supply-Chain Governance, and Compliance</w:t>
      </w:r>
    </w:p>
    <w:p w14:paraId="7E6FD876"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Because Docker images are frequently built by extending a publicly available base image, the provenance and maintenance discipline of that base image becomes a governance concern for every organisation that depends on it. Research examining the criteria that influence developers' choice of base image finds that quality signals such as community maintenance activity, transparent versioning and a demonstrated absence of known vulnerabilities materially influence adoption decisions, but also finds that many developers lack reliable, low-effort means of assessing these signals at the point of selection, relying instead on informal reputation or popularity as a proxy for trustworthiness (Rosa et al., 2023). This reliance on informal proxies represents a governance gap with direct security implications, since popularity and security posture are not the same thing, and a widely used but poorly maintained image can propagate vulnerabilities across a very large number of downstream deployments.</w:t>
      </w:r>
    </w:p>
    <w:p w14:paraId="23D02E90"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The developer-survey literature on </w:t>
      </w:r>
      <w:proofErr w:type="spellStart"/>
      <w:r w:rsidRPr="00C93EFA">
        <w:rPr>
          <w:rFonts w:ascii="Times New Roman" w:eastAsia="Times New Roman" w:hAnsi="Times New Roman" w:cs="Times New Roman"/>
          <w:sz w:val="24"/>
          <w:szCs w:val="24"/>
          <w:lang w:eastAsia="en-GB"/>
        </w:rPr>
        <w:t>Dockerfile</w:t>
      </w:r>
      <w:proofErr w:type="spellEnd"/>
      <w:r w:rsidRPr="00C93EFA">
        <w:rPr>
          <w:rFonts w:ascii="Times New Roman" w:eastAsia="Times New Roman" w:hAnsi="Times New Roman" w:cs="Times New Roman"/>
          <w:sz w:val="24"/>
          <w:szCs w:val="24"/>
          <w:lang w:eastAsia="en-GB"/>
        </w:rPr>
        <w:t xml:space="preserve"> and Docker Compose authoring practice points to a related governance difficulty: as multi-container specifications evolve, configuration can drift away from what is actually running in production, making it harder for an organisation to maintain an accurate, current inventory of its deployed software components (Reis et al., 2022). These findings together suggest that container supply-chain governance remains an area where practitioner need outpaces the maturity of both tooling and organisational process, notwithstanding the technical sophistication that has otherwise accumulated around image building and distribution.</w:t>
      </w:r>
    </w:p>
    <w:p w14:paraId="0497225B"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lastRenderedPageBreak/>
        <w:t>7.3 Mitigation Strategies and the Limits of Current Practice</w:t>
      </w:r>
    </w:p>
    <w:p w14:paraId="350DC0F2"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The mitigation strategies proposed across the security literature reviewed here can be organised loosely by the lifecycle stage they target: build-time strategies, such as automated vulnerability scanning of images before registry publication and the use of minimal base images to reduce attack surface; deployment-time strategies, such as enforcing least-privilege execution contexts and restricting which sensitive host resources may be mounted into a container; and runtime strategies, such as continuous monitoring for anomalous system-call patterns indicative of an in-progress container escape. Broader reviews of container technology adoption across high-performance computing, large-scale data analytics and geographically distributed application contexts note that the maturity of these mitigations varies considerably by deployment context, with build-time and deployment-time controls comparatively well established in mainstream cloud settings but less consistently applied at the edge and in fog deployments, where resource constraints can discourage the use of more computationally expensive scanning or monitoring tools (</w:t>
      </w:r>
      <w:proofErr w:type="spellStart"/>
      <w:r w:rsidRPr="00C93EFA">
        <w:rPr>
          <w:rFonts w:ascii="Times New Roman" w:eastAsia="Times New Roman" w:hAnsi="Times New Roman" w:cs="Times New Roman"/>
          <w:sz w:val="24"/>
          <w:szCs w:val="24"/>
          <w:lang w:eastAsia="en-GB"/>
        </w:rPr>
        <w:t>Casalicchio</w:t>
      </w:r>
      <w:proofErr w:type="spellEnd"/>
      <w:r w:rsidRPr="00C93EFA">
        <w:rPr>
          <w:rFonts w:ascii="Times New Roman" w:eastAsia="Times New Roman" w:hAnsi="Times New Roman" w:cs="Times New Roman"/>
          <w:sz w:val="24"/>
          <w:szCs w:val="24"/>
          <w:lang w:eastAsia="en-GB"/>
        </w:rPr>
        <w:t xml:space="preserve"> &amp; Iannucci, 2020). This unevenness echoes the broader pattern noted in Section 4.3, in which the extension of container and orchestration practice beyond the centralised cloud consistently lags the maturity already achieved within it.</w:t>
      </w:r>
    </w:p>
    <w:p w14:paraId="6BAFCD1E"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Notwithstanding the considerable technical sophistication evident in the recent security literature, several limitations recur. First, much of the evidence base remains weighted towards retrospective vulnerability cataloguing rather than prospective evaluation of how well a given mitigation performs under realistic production conditions. Second, the rapid evolution of container runtimes and orchestration platforms means vulnerability taxonomies risk dating relatively quickly, a concern the authors of the most comprehensive recent taxonomic work explicitly acknowledge (Jarkas et al., 2025). Third, foundational virtualization security scholarship, while predating the container-specific literature, still offers conceptually relevant cautions — particularly around the difficulty of achieving complete isolation guarantees in any shared-kernel or shared-hypervisor environment — that the container-specific literature has not always fully absorbed into its own framing of risk (Pearce et al., 2013).</w:t>
      </w:r>
    </w:p>
    <w:p w14:paraId="525CE37F"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Table 5 summarises the principal categories of container security risk identified across this literature, together with the lifecycle stage at which mitigation is typically applied.</w:t>
      </w:r>
    </w:p>
    <w:p w14:paraId="509052AE"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b/>
          <w:bCs/>
          <w:sz w:val="24"/>
          <w:szCs w:val="24"/>
          <w:lang w:eastAsia="en-GB"/>
        </w:rPr>
        <w:t>Table 5. A taxonomic summary of container security risk and corresponding mitigation focus</w:t>
      </w:r>
    </w:p>
    <w:tbl>
      <w:tblPr>
        <w:tblStyle w:val="TableGrid"/>
        <w:tblW w:w="0" w:type="auto"/>
        <w:tblLook w:val="04A0" w:firstRow="1" w:lastRow="0" w:firstColumn="1" w:lastColumn="0" w:noHBand="0" w:noVBand="1"/>
      </w:tblPr>
      <w:tblGrid>
        <w:gridCol w:w="2578"/>
        <w:gridCol w:w="3730"/>
        <w:gridCol w:w="2934"/>
      </w:tblGrid>
      <w:tr w:rsidR="00C93EFA" w:rsidRPr="00C93EFA" w14:paraId="5972DDCD" w14:textId="77777777" w:rsidTr="0091620F">
        <w:tc>
          <w:tcPr>
            <w:tcW w:w="0" w:type="auto"/>
            <w:hideMark/>
          </w:tcPr>
          <w:p w14:paraId="4BC0CB5B"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Risk category</w:t>
            </w:r>
          </w:p>
        </w:tc>
        <w:tc>
          <w:tcPr>
            <w:tcW w:w="0" w:type="auto"/>
            <w:hideMark/>
          </w:tcPr>
          <w:p w14:paraId="3E463C59"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Representative concern</w:t>
            </w:r>
          </w:p>
        </w:tc>
        <w:tc>
          <w:tcPr>
            <w:tcW w:w="0" w:type="auto"/>
            <w:hideMark/>
          </w:tcPr>
          <w:p w14:paraId="2785F774" w14:textId="77777777" w:rsidR="00C93EFA" w:rsidRPr="00C93EFA" w:rsidRDefault="00C93EFA" w:rsidP="00C93EFA">
            <w:pPr>
              <w:jc w:val="center"/>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Typical mitigation lifecycle stage</w:t>
            </w:r>
          </w:p>
        </w:tc>
      </w:tr>
      <w:tr w:rsidR="00C93EFA" w:rsidRPr="00C93EFA" w14:paraId="1A5442A3" w14:textId="77777777" w:rsidTr="0091620F">
        <w:tc>
          <w:tcPr>
            <w:tcW w:w="0" w:type="auto"/>
            <w:hideMark/>
          </w:tcPr>
          <w:p w14:paraId="26B3F850"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Container escape / kernel exploitation</w:t>
            </w:r>
          </w:p>
        </w:tc>
        <w:tc>
          <w:tcPr>
            <w:tcW w:w="0" w:type="auto"/>
            <w:hideMark/>
          </w:tcPr>
          <w:p w14:paraId="6149CBAF"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Shared-kernel vulnerabilities permitting cross-container compromise</w:t>
            </w:r>
          </w:p>
        </w:tc>
        <w:tc>
          <w:tcPr>
            <w:tcW w:w="0" w:type="auto"/>
            <w:hideMark/>
          </w:tcPr>
          <w:p w14:paraId="6717E25F"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Runtime monitoring; minimal-privilege configuration</w:t>
            </w:r>
          </w:p>
        </w:tc>
      </w:tr>
      <w:tr w:rsidR="00C93EFA" w:rsidRPr="00C93EFA" w14:paraId="78114435" w14:textId="77777777" w:rsidTr="0091620F">
        <w:tc>
          <w:tcPr>
            <w:tcW w:w="0" w:type="auto"/>
            <w:hideMark/>
          </w:tcPr>
          <w:p w14:paraId="2D8D1ED0"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Image supply-chain risk</w:t>
            </w:r>
          </w:p>
        </w:tc>
        <w:tc>
          <w:tcPr>
            <w:tcW w:w="0" w:type="auto"/>
            <w:hideMark/>
          </w:tcPr>
          <w:p w14:paraId="19E3E2DD"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Vulnerable or poorly maintained base images propagated downstream</w:t>
            </w:r>
          </w:p>
        </w:tc>
        <w:tc>
          <w:tcPr>
            <w:tcW w:w="0" w:type="auto"/>
            <w:hideMark/>
          </w:tcPr>
          <w:p w14:paraId="5682EED5"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Build-time scanning; provenance verification</w:t>
            </w:r>
          </w:p>
        </w:tc>
      </w:tr>
      <w:tr w:rsidR="00C93EFA" w:rsidRPr="00C93EFA" w14:paraId="502AF77A" w14:textId="77777777" w:rsidTr="0091620F">
        <w:tc>
          <w:tcPr>
            <w:tcW w:w="0" w:type="auto"/>
            <w:hideMark/>
          </w:tcPr>
          <w:p w14:paraId="4972957F"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Misconfiguration</w:t>
            </w:r>
          </w:p>
        </w:tc>
        <w:tc>
          <w:tcPr>
            <w:tcW w:w="0" w:type="auto"/>
            <w:hideMark/>
          </w:tcPr>
          <w:p w14:paraId="4BDE06DF"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Overly permissive network policy or excessive container privilege</w:t>
            </w:r>
          </w:p>
        </w:tc>
        <w:tc>
          <w:tcPr>
            <w:tcW w:w="0" w:type="auto"/>
            <w:hideMark/>
          </w:tcPr>
          <w:p w14:paraId="1FBA7BC5"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Deployment-time policy enforcement</w:t>
            </w:r>
          </w:p>
        </w:tc>
      </w:tr>
      <w:tr w:rsidR="00C93EFA" w:rsidRPr="00C93EFA" w14:paraId="3B057AB1" w14:textId="77777777" w:rsidTr="0091620F">
        <w:tc>
          <w:tcPr>
            <w:tcW w:w="0" w:type="auto"/>
            <w:hideMark/>
          </w:tcPr>
          <w:p w14:paraId="1B64E508"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Orchestration-layer risk</w:t>
            </w:r>
          </w:p>
        </w:tc>
        <w:tc>
          <w:tcPr>
            <w:tcW w:w="0" w:type="auto"/>
            <w:hideMark/>
          </w:tcPr>
          <w:p w14:paraId="08B311FE"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Scheduling or co-location decisions that increase compromise blast </w:t>
            </w:r>
            <w:r w:rsidRPr="00C93EFA">
              <w:rPr>
                <w:rFonts w:ascii="Times New Roman" w:eastAsia="Times New Roman" w:hAnsi="Times New Roman" w:cs="Times New Roman"/>
                <w:sz w:val="24"/>
                <w:szCs w:val="24"/>
                <w:lang w:eastAsia="en-GB"/>
              </w:rPr>
              <w:lastRenderedPageBreak/>
              <w:t>radius</w:t>
            </w:r>
          </w:p>
        </w:tc>
        <w:tc>
          <w:tcPr>
            <w:tcW w:w="0" w:type="auto"/>
            <w:hideMark/>
          </w:tcPr>
          <w:p w14:paraId="58C5E595"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lastRenderedPageBreak/>
              <w:t xml:space="preserve">Orchestration-aware scheduling and isolation </w:t>
            </w:r>
            <w:r w:rsidRPr="00C93EFA">
              <w:rPr>
                <w:rFonts w:ascii="Times New Roman" w:eastAsia="Times New Roman" w:hAnsi="Times New Roman" w:cs="Times New Roman"/>
                <w:sz w:val="24"/>
                <w:szCs w:val="24"/>
                <w:lang w:eastAsia="en-GB"/>
              </w:rPr>
              <w:lastRenderedPageBreak/>
              <w:t>policy</w:t>
            </w:r>
          </w:p>
        </w:tc>
      </w:tr>
      <w:tr w:rsidR="00C93EFA" w:rsidRPr="00C93EFA" w14:paraId="2863E5B2" w14:textId="77777777" w:rsidTr="0091620F">
        <w:tc>
          <w:tcPr>
            <w:tcW w:w="0" w:type="auto"/>
            <w:hideMark/>
          </w:tcPr>
          <w:p w14:paraId="5C40B1EA"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lastRenderedPageBreak/>
              <w:t>Edge/resource-constrained risk</w:t>
            </w:r>
          </w:p>
        </w:tc>
        <w:tc>
          <w:tcPr>
            <w:tcW w:w="0" w:type="auto"/>
            <w:hideMark/>
          </w:tcPr>
          <w:p w14:paraId="38F64124"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Reduced applicability of computationally expensive controls</w:t>
            </w:r>
          </w:p>
        </w:tc>
        <w:tc>
          <w:tcPr>
            <w:tcW w:w="0" w:type="auto"/>
            <w:hideMark/>
          </w:tcPr>
          <w:p w14:paraId="5A2DC177" w14:textId="77777777" w:rsidR="00C93EFA" w:rsidRPr="00C93EFA" w:rsidRDefault="00C93EFA" w:rsidP="00C93EFA">
            <w:pPr>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Lightweight, context-adapted mitigation tooling</w:t>
            </w:r>
          </w:p>
        </w:tc>
      </w:tr>
    </w:tbl>
    <w:p w14:paraId="1B6FB3FC"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9346DF">
        <w:rPr>
          <w:rFonts w:ascii="Times New Roman" w:eastAsia="Times New Roman" w:hAnsi="Times New Roman" w:cs="Times New Roman"/>
          <w:i/>
          <w:iCs/>
          <w:sz w:val="24"/>
          <w:szCs w:val="24"/>
          <w:lang w:val="es-US" w:eastAsia="en-GB"/>
        </w:rPr>
        <w:t>Sources</w:t>
      </w:r>
      <w:proofErr w:type="spellEnd"/>
      <w:r w:rsidRPr="009346DF">
        <w:rPr>
          <w:rFonts w:ascii="Times New Roman" w:eastAsia="Times New Roman" w:hAnsi="Times New Roman" w:cs="Times New Roman"/>
          <w:i/>
          <w:iCs/>
          <w:sz w:val="24"/>
          <w:szCs w:val="24"/>
          <w:lang w:val="es-US" w:eastAsia="en-GB"/>
        </w:rPr>
        <w:t xml:space="preserve">: </w:t>
      </w:r>
      <w:proofErr w:type="spellStart"/>
      <w:r w:rsidRPr="009346DF">
        <w:rPr>
          <w:rFonts w:ascii="Times New Roman" w:eastAsia="Times New Roman" w:hAnsi="Times New Roman" w:cs="Times New Roman"/>
          <w:i/>
          <w:iCs/>
          <w:sz w:val="24"/>
          <w:szCs w:val="24"/>
          <w:lang w:val="es-US" w:eastAsia="en-GB"/>
        </w:rPr>
        <w:t>Jarkas</w:t>
      </w:r>
      <w:proofErr w:type="spellEnd"/>
      <w:r w:rsidRPr="009346DF">
        <w:rPr>
          <w:rFonts w:ascii="Times New Roman" w:eastAsia="Times New Roman" w:hAnsi="Times New Roman" w:cs="Times New Roman"/>
          <w:i/>
          <w:iCs/>
          <w:sz w:val="24"/>
          <w:szCs w:val="24"/>
          <w:lang w:val="es-US" w:eastAsia="en-GB"/>
        </w:rPr>
        <w:t xml:space="preserve"> et al. (2025); Malhotra et al. (2024); </w:t>
      </w:r>
      <w:proofErr w:type="spellStart"/>
      <w:r w:rsidRPr="009346DF">
        <w:rPr>
          <w:rFonts w:ascii="Times New Roman" w:eastAsia="Times New Roman" w:hAnsi="Times New Roman" w:cs="Times New Roman"/>
          <w:i/>
          <w:iCs/>
          <w:sz w:val="24"/>
          <w:szCs w:val="24"/>
          <w:lang w:val="es-US" w:eastAsia="en-GB"/>
        </w:rPr>
        <w:t>Casalicchio</w:t>
      </w:r>
      <w:proofErr w:type="spellEnd"/>
      <w:r w:rsidRPr="009346DF">
        <w:rPr>
          <w:rFonts w:ascii="Times New Roman" w:eastAsia="Times New Roman" w:hAnsi="Times New Roman" w:cs="Times New Roman"/>
          <w:i/>
          <w:iCs/>
          <w:sz w:val="24"/>
          <w:szCs w:val="24"/>
          <w:lang w:val="es-US" w:eastAsia="en-GB"/>
        </w:rPr>
        <w:t xml:space="preserve"> and Iannucci (2020); Rosa et al. </w:t>
      </w:r>
      <w:r w:rsidRPr="00C93EFA">
        <w:rPr>
          <w:rFonts w:ascii="Times New Roman" w:eastAsia="Times New Roman" w:hAnsi="Times New Roman" w:cs="Times New Roman"/>
          <w:i/>
          <w:iCs/>
          <w:sz w:val="24"/>
          <w:szCs w:val="24"/>
          <w:lang w:eastAsia="en-GB"/>
        </w:rPr>
        <w:t>(2023); Pearce et al. (2013).</w:t>
      </w:r>
    </w:p>
    <w:p w14:paraId="2758879E"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The progression down the table also hints at an implicit hierarchy of maturity in current practice: mitigation is furthest advanced at the build stage, where automated scanning has become close to routine, and least advanced at the edge, where the computational cost of more comprehensive defence is often judged too high to bear.</w:t>
      </w:r>
    </w:p>
    <w:p w14:paraId="0A576D4D"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8. Critical Synthesis: Docker's Broader Impact on Software Engineering Practice</w:t>
      </w:r>
    </w:p>
    <w:p w14:paraId="5708DF97"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8.1 Economic and Organisational Implications</w:t>
      </w:r>
    </w:p>
    <w:p w14:paraId="0A767BAD"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Taken as a whole, the literature surveyed in this review supports the view that Docker's main contribution to software engineering practice has been less a single technical breakthrough than a standardising and coordinating effect. By offering a sufficiently simple and sufficiently portable packaging format, Docker lowered the threshold at which organisations of varying scale and technical sophistication could adopt practices — continuous integration, independently deployable services, infrastructure as code — previously associated chiefly with the largest and most well-resourced technology firms. The case-study and survey literature on DevOps adoption consistently treats the availability of mature, standardised tooling as a precondition for organisational change, even as the same literature insists tooling alone is not enough without accompanying cultural and process change (</w:t>
      </w:r>
      <w:proofErr w:type="spellStart"/>
      <w:r w:rsidRPr="00C93EFA">
        <w:rPr>
          <w:rFonts w:ascii="Times New Roman" w:eastAsia="Times New Roman" w:hAnsi="Times New Roman" w:cs="Times New Roman"/>
          <w:sz w:val="24"/>
          <w:szCs w:val="24"/>
          <w:lang w:eastAsia="en-GB"/>
        </w:rPr>
        <w:t>Lwakatare</w:t>
      </w:r>
      <w:proofErr w:type="spellEnd"/>
      <w:r w:rsidRPr="00C93EFA">
        <w:rPr>
          <w:rFonts w:ascii="Times New Roman" w:eastAsia="Times New Roman" w:hAnsi="Times New Roman" w:cs="Times New Roman"/>
          <w:sz w:val="24"/>
          <w:szCs w:val="24"/>
          <w:lang w:eastAsia="en-GB"/>
        </w:rPr>
        <w:t xml:space="preserve"> et al., 2019; Luz et al., 2019). Read alongside the DevOps capability-mapping literature, which finds cultural and measurement capabilities consistently under-represented relative to technical automation capabilities (Amaro et al., 2025), this suggests that the economic value Docker has delivered to the software industry has been realised unevenly: organisations that paired containerization with genuine organisational investment appear, on the qualitative evidence available, to have captured the benefits considerably more reliably than those that treated containerization as a purely technical substitution for prior deployment mechanisms.</w:t>
      </w:r>
    </w:p>
    <w:p w14:paraId="7E734AD3"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8.2 Contested Claims and Gaps in the Evidence Base</w:t>
      </w:r>
    </w:p>
    <w:p w14:paraId="280A7C96"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Several claims that circulate widely in practitioner discourse hold up only partially once set against the empirical literature reviewed here. The claim that containers are unambiguously faster and more efficient than virtual machines is well supported for compute-bound workloads but considerably more conditional for storage- and network-intensive ones, where reported overheads persist and vary by runtime and storage driver (</w:t>
      </w:r>
      <w:proofErr w:type="spellStart"/>
      <w:r w:rsidRPr="00C93EFA">
        <w:rPr>
          <w:rFonts w:ascii="Times New Roman" w:eastAsia="Times New Roman" w:hAnsi="Times New Roman" w:cs="Times New Roman"/>
          <w:sz w:val="24"/>
          <w:szCs w:val="24"/>
          <w:lang w:eastAsia="en-GB"/>
        </w:rPr>
        <w:t>Kozhirbayev</w:t>
      </w:r>
      <w:proofErr w:type="spellEnd"/>
      <w:r w:rsidRPr="00C93EFA">
        <w:rPr>
          <w:rFonts w:ascii="Times New Roman" w:eastAsia="Times New Roman" w:hAnsi="Times New Roman" w:cs="Times New Roman"/>
          <w:sz w:val="24"/>
          <w:szCs w:val="24"/>
          <w:lang w:eastAsia="en-GB"/>
        </w:rPr>
        <w:t xml:space="preserve"> &amp; Sinnott, 2017; </w:t>
      </w:r>
      <w:proofErr w:type="spellStart"/>
      <w:r w:rsidRPr="00C93EFA">
        <w:rPr>
          <w:rFonts w:ascii="Times New Roman" w:eastAsia="Times New Roman" w:hAnsi="Times New Roman" w:cs="Times New Roman"/>
          <w:sz w:val="24"/>
          <w:szCs w:val="24"/>
          <w:lang w:eastAsia="en-GB"/>
        </w:rPr>
        <w:t>Aqasizade</w:t>
      </w:r>
      <w:proofErr w:type="spellEnd"/>
      <w:r w:rsidRPr="00C93EFA">
        <w:rPr>
          <w:rFonts w:ascii="Times New Roman" w:eastAsia="Times New Roman" w:hAnsi="Times New Roman" w:cs="Times New Roman"/>
          <w:sz w:val="24"/>
          <w:szCs w:val="24"/>
          <w:lang w:eastAsia="en-GB"/>
        </w:rPr>
        <w:t xml:space="preserve"> et al., 2025). The claim that microservices architecture reliably speeds up delivery and improves scalability is backed by a substantial body of practitioner-reported gains, but the same literature documents an almost equally substantial body of reported pains, particularly around data consistency, operational complexity and underestimated migration overhead, with experienced practitioners reporting that they routinely depart from generic published guidance once they have enough operational maturity (Soldani et al., 2018; Wang et al., 2021). The claim that DevOps practices straightforwardly translate into better organisational performance is supported with the greatest confidence at the level of pipeline-</w:t>
      </w:r>
      <w:r w:rsidRPr="00C93EFA">
        <w:rPr>
          <w:rFonts w:ascii="Times New Roman" w:eastAsia="Times New Roman" w:hAnsi="Times New Roman" w:cs="Times New Roman"/>
          <w:sz w:val="24"/>
          <w:szCs w:val="24"/>
          <w:lang w:eastAsia="en-GB"/>
        </w:rPr>
        <w:lastRenderedPageBreak/>
        <w:t xml:space="preserve">specific metrics, such as deployment frequency, but with considerably less confidence at the level of broader organisational outcomes, where the evidence remains predominantly qualitative, drawn from a limited number of well-documented case organisations, and not always disentangled from the influence of other change initiatives happening at the same time (Jabbari et al., 2018; Azad &amp; </w:t>
      </w:r>
      <w:proofErr w:type="spellStart"/>
      <w:r w:rsidRPr="00C93EFA">
        <w:rPr>
          <w:rFonts w:ascii="Times New Roman" w:eastAsia="Times New Roman" w:hAnsi="Times New Roman" w:cs="Times New Roman"/>
          <w:sz w:val="24"/>
          <w:szCs w:val="24"/>
          <w:lang w:eastAsia="en-GB"/>
        </w:rPr>
        <w:t>Hyrynsalmi</w:t>
      </w:r>
      <w:proofErr w:type="spellEnd"/>
      <w:r w:rsidRPr="00C93EFA">
        <w:rPr>
          <w:rFonts w:ascii="Times New Roman" w:eastAsia="Times New Roman" w:hAnsi="Times New Roman" w:cs="Times New Roman"/>
          <w:sz w:val="24"/>
          <w:szCs w:val="24"/>
          <w:lang w:eastAsia="en-GB"/>
        </w:rPr>
        <w:t>, 2023).</w:t>
      </w:r>
    </w:p>
    <w:p w14:paraId="355A4AC1"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A further and more structural gap concerns the time horizon of the available evidence. Most of the empirical studies reviewed here are cross-sectional, capturing organisational practice or technical performance at a single point in time rather than tracking change over an extended period, which limits the field's capacity to distinguish durable transformation from passing enthusiasm. Much of the practitioner-survey literature, while methodologically careful within its own scope, also draws on convenience samples of organisations willing to take part in research — a limitation acknowledged explicitly in several of the studies that inform this review's account of DevOps and microservices adoption most directly (</w:t>
      </w:r>
      <w:proofErr w:type="spellStart"/>
      <w:r w:rsidRPr="00C93EFA">
        <w:rPr>
          <w:rFonts w:ascii="Times New Roman" w:eastAsia="Times New Roman" w:hAnsi="Times New Roman" w:cs="Times New Roman"/>
          <w:sz w:val="24"/>
          <w:szCs w:val="24"/>
          <w:lang w:eastAsia="en-GB"/>
        </w:rPr>
        <w:t>Lwakatare</w:t>
      </w:r>
      <w:proofErr w:type="spellEnd"/>
      <w:r w:rsidRPr="00C93EFA">
        <w:rPr>
          <w:rFonts w:ascii="Times New Roman" w:eastAsia="Times New Roman" w:hAnsi="Times New Roman" w:cs="Times New Roman"/>
          <w:sz w:val="24"/>
          <w:szCs w:val="24"/>
          <w:lang w:eastAsia="en-GB"/>
        </w:rPr>
        <w:t xml:space="preserve"> et al., 2019; Waseem et al., 2021).</w:t>
      </w:r>
    </w:p>
    <w:p w14:paraId="63F293CB" w14:textId="77777777" w:rsidR="00C93EFA" w:rsidRPr="00C93EFA" w:rsidRDefault="00C93EFA" w:rsidP="00C93EF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93EFA">
        <w:rPr>
          <w:rFonts w:ascii="Times New Roman" w:eastAsia="Times New Roman" w:hAnsi="Times New Roman" w:cs="Times New Roman"/>
          <w:b/>
          <w:bCs/>
          <w:sz w:val="24"/>
          <w:szCs w:val="24"/>
          <w:lang w:eastAsia="en-GB"/>
        </w:rPr>
        <w:t>8.3 Emerging Directions: Serverless Containers, Edge-Native Operations, and AI-Assisted DevOps</w:t>
      </w:r>
    </w:p>
    <w:p w14:paraId="6C1CD019"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Three directions seem, on the basis of the literature reviewed, likely to shape the next phase of research in this field. The first is the continued convergence of container and serverless paradigms, in which the operational simplicity serverless platforms offer developers is increasingly delivered through container-based execution sandboxes hidden beneath an abstraction layer that conceals explicit container management; the systematic reviews of serverless computing surveyed in Section 4.3 indicate that this convergence is already well under way but that its security, latency and testing implications remain only partly understood (Hassan et al., 2021; Wen et al., 2023). The second is the extension of container orchestration into genuinely resource-constrained edge and Internet of Things contexts, where the evidence base, as noted in Sections 4.3 and 7.3, currently lags well behind the maturity achieved in centralised cloud deployments, and where validation on authentic rather than simulated edge hardware remains comparatively scarce (Čilić et al., 2023; Cassel et al., 2022). The third is the application of artificial-intelligence-assisted techniques to DevOps and orchestration tasks — predictive scheduling, automated anomaly detection, AI-supported quality engineering across the delivery life cycle — an area several recent reviews describe as nascent but expanding rapidly, and one that intersects directly with the scheduling and security taxonomies discussed in Sections 4.2 and 7.1 (</w:t>
      </w:r>
      <w:proofErr w:type="spellStart"/>
      <w:r w:rsidRPr="00C93EFA">
        <w:rPr>
          <w:rFonts w:ascii="Times New Roman" w:eastAsia="Times New Roman" w:hAnsi="Times New Roman" w:cs="Times New Roman"/>
          <w:sz w:val="24"/>
          <w:szCs w:val="24"/>
          <w:lang w:eastAsia="en-GB"/>
        </w:rPr>
        <w:t>Alnafessah</w:t>
      </w:r>
      <w:proofErr w:type="spellEnd"/>
      <w:r w:rsidRPr="00C93EFA">
        <w:rPr>
          <w:rFonts w:ascii="Times New Roman" w:eastAsia="Times New Roman" w:hAnsi="Times New Roman" w:cs="Times New Roman"/>
          <w:sz w:val="24"/>
          <w:szCs w:val="24"/>
          <w:lang w:eastAsia="en-GB"/>
        </w:rPr>
        <w:t xml:space="preserve"> et al., 2021; </w:t>
      </w:r>
      <w:proofErr w:type="spellStart"/>
      <w:r w:rsidRPr="00C93EFA">
        <w:rPr>
          <w:rFonts w:ascii="Times New Roman" w:eastAsia="Times New Roman" w:hAnsi="Times New Roman" w:cs="Times New Roman"/>
          <w:sz w:val="24"/>
          <w:szCs w:val="24"/>
          <w:lang w:eastAsia="en-GB"/>
        </w:rPr>
        <w:t>Senjab</w:t>
      </w:r>
      <w:proofErr w:type="spellEnd"/>
      <w:r w:rsidRPr="00C93EFA">
        <w:rPr>
          <w:rFonts w:ascii="Times New Roman" w:eastAsia="Times New Roman" w:hAnsi="Times New Roman" w:cs="Times New Roman"/>
          <w:sz w:val="24"/>
          <w:szCs w:val="24"/>
          <w:lang w:eastAsia="en-GB"/>
        </w:rPr>
        <w:t xml:space="preserve"> et al., 2023). Across all three directions, the literature reviewed here suggests that empirical rigour — longitudinal study designs in particular, and validation beyond simulated or convenience-sampled settings — will need to keep pace with the rate of technological change if the research record is to give practitioners reliably generalisable guidance rather than a continually refreshed inventory of point-in-time case evidence.</w:t>
      </w:r>
    </w:p>
    <w:p w14:paraId="28684ADE"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9. Conclusions</w:t>
      </w:r>
    </w:p>
    <w:p w14:paraId="440CDCD2" w14:textId="77777777" w:rsidR="00C93EFA" w:rsidRP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This review has traced the path of software containerization from its conceptual origins in operating-system-level virtualization through to its current position as the substrate underpinning much of contemporary cloud-native software delivery. Docker's distinctive contribution was to standardise the container image as a portable, versioned and broadly shareable artefact, a move that lowered the practical barrier to adopting distributed, automation-intensive delivery models across organisations of widely varying scale and </w:t>
      </w:r>
      <w:r w:rsidRPr="00C93EFA">
        <w:rPr>
          <w:rFonts w:ascii="Times New Roman" w:eastAsia="Times New Roman" w:hAnsi="Times New Roman" w:cs="Times New Roman"/>
          <w:sz w:val="24"/>
          <w:szCs w:val="24"/>
          <w:lang w:eastAsia="en-GB"/>
        </w:rPr>
        <w:lastRenderedPageBreak/>
        <w:t xml:space="preserve">technical sophistication. The literature reviewed here indicates that containers deliver consistent and well-evidenced advantages in provisioning speed and resource density relative to hypervisor-based virtual machines, while their advantages in storage and network performance remain more conditional and workload-dependent than is often assumed in practitioner discourse. Container orchestration, exemplified by Kubernetes, has matured into a substantial and increasingly specialised research field in its own right, though this maturity is markedly more pronounced in centralised cloud deployments than in edge, Internet of Things or serverless contexts, where the empirical evidence base remains comparatively thin. The relationship between containerization and DevOps practice is best described as mutually enabling rather than strictly causal: containers provide a convenient packaging unit for automated delivery pipelines, but the organisational and cultural transformation DevOps proponents associate with durable performance improvement depends on factors considerably broader than tooling alone — a conclusion that recurs across the case-study, survey and systematic-review literature examined throughout this article. Microservices architecture, similarly, offers genuine and well-documented gains in independent </w:t>
      </w:r>
      <w:proofErr w:type="spellStart"/>
      <w:r w:rsidRPr="00C93EFA">
        <w:rPr>
          <w:rFonts w:ascii="Times New Roman" w:eastAsia="Times New Roman" w:hAnsi="Times New Roman" w:cs="Times New Roman"/>
          <w:sz w:val="24"/>
          <w:szCs w:val="24"/>
          <w:lang w:eastAsia="en-GB"/>
        </w:rPr>
        <w:t>deployability</w:t>
      </w:r>
      <w:proofErr w:type="spellEnd"/>
      <w:r w:rsidRPr="00C93EFA">
        <w:rPr>
          <w:rFonts w:ascii="Times New Roman" w:eastAsia="Times New Roman" w:hAnsi="Times New Roman" w:cs="Times New Roman"/>
          <w:sz w:val="24"/>
          <w:szCs w:val="24"/>
          <w:lang w:eastAsia="en-GB"/>
        </w:rPr>
        <w:t xml:space="preserve"> and team autonomy, balanced against persistent and incompletely resolved challenges in data consistency, cross-service testing and operational overhead, with experienced practitioners reporting that they routinely depart from generic published guidance as their own operational maturity grows. Security and governance </w:t>
      </w:r>
      <w:proofErr w:type="gramStart"/>
      <w:r w:rsidRPr="00C93EFA">
        <w:rPr>
          <w:rFonts w:ascii="Times New Roman" w:eastAsia="Times New Roman" w:hAnsi="Times New Roman" w:cs="Times New Roman"/>
          <w:sz w:val="24"/>
          <w:szCs w:val="24"/>
          <w:lang w:eastAsia="en-GB"/>
        </w:rPr>
        <w:t>concerns</w:t>
      </w:r>
      <w:proofErr w:type="gramEnd"/>
      <w:r w:rsidRPr="00C93EFA">
        <w:rPr>
          <w:rFonts w:ascii="Times New Roman" w:eastAsia="Times New Roman" w:hAnsi="Times New Roman" w:cs="Times New Roman"/>
          <w:sz w:val="24"/>
          <w:szCs w:val="24"/>
          <w:lang w:eastAsia="en-GB"/>
        </w:rPr>
        <w:t xml:space="preserve"> specific to the shared-kernel architecture of containers form an active and expanding research area, with recent taxonomic work cataloguing a substantial and varied attack surface that existing mitigation practice addresses only partially and unevenly across deployment contexts. Taken together, the evidence supports the conclusion that Docker's significance for software engineering lies primarily in its role as a coordinating and standardising technology that made previously specialist practices more broadly accessible, rather than in any single, unconditionally superior technical property, and that the research community's task going forward is to close the gap between the pace of technological change in this space and the slower, harder-won accumulation of rigorous, longitudinal and context-diverse empirical evidence.</w:t>
      </w:r>
    </w:p>
    <w:p w14:paraId="3C804AA4"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10. Limitations</w:t>
      </w:r>
    </w:p>
    <w:p w14:paraId="20BC5411" w14:textId="77777777" w:rsidR="00C93EFA" w:rsidRDefault="00C93EFA" w:rsidP="00C93EFA">
      <w:pPr>
        <w:spacing w:before="100" w:beforeAutospacing="1" w:after="100" w:afterAutospacing="1" w:line="240" w:lineRule="auto"/>
        <w:rPr>
          <w:rFonts w:ascii="Times New Roman" w:eastAsia="Times New Roman" w:hAnsi="Times New Roman" w:cs="Times New Roman"/>
          <w:sz w:val="24"/>
          <w:szCs w:val="24"/>
          <w:lang w:eastAsia="en-GB"/>
        </w:rPr>
      </w:pPr>
      <w:r w:rsidRPr="00C93EFA">
        <w:rPr>
          <w:rFonts w:ascii="Times New Roman" w:eastAsia="Times New Roman" w:hAnsi="Times New Roman" w:cs="Times New Roman"/>
          <w:sz w:val="24"/>
          <w:szCs w:val="24"/>
          <w:lang w:eastAsia="en-GB"/>
        </w:rPr>
        <w:t xml:space="preserve">This review is subject to several limitations that should temper the confidence placed in its conclusions. The narrative methodology adopted, while well suited to synthesising a heterogeneous and rapidly evolving literature, does not offer the exhaustive, protocol-driven coverage a formal systematic review would provide, and it is possible that relevant studies meeting the stated inclusion criteria were not identified, or were identified but not retained for close reading. The exclusion of conference proceedings, which make up a substantial share of published software engineering research and are especially prominent in fast-moving sub-areas such as container security and orchestration scheduling, means this review may understate the very latest technical developments in those areas, since in computer science conference publication often precedes journal publication by a considerable interval. Restricting the search to English-language sources may have introduced a degree of geographic and institutional bias, given that container and DevOps research is conducted across a globally distributed research community that publishes in multiple languages. The heavy reliance on secondary synthesis — drawing extensively on existing systematic reviews, mapping studies and surveys rather than on independent re-analysis of primary data — means this review inherits whatever limitations and biases are present in those underlying secondary sources, including their own sampling choices and the particular framing each survey's authors brought to their synthesis. Finally, this is a field that continues to move quickly, and developments in container runtimes, orchestration platforms and DevOps tooling that </w:t>
      </w:r>
      <w:r w:rsidRPr="00C93EFA">
        <w:rPr>
          <w:rFonts w:ascii="Times New Roman" w:eastAsia="Times New Roman" w:hAnsi="Times New Roman" w:cs="Times New Roman"/>
          <w:sz w:val="24"/>
          <w:szCs w:val="24"/>
          <w:lang w:eastAsia="en-GB"/>
        </w:rPr>
        <w:lastRenderedPageBreak/>
        <w:t>postdate the literature search cut-off applied here are not reflected in the analysis, a constraint inherent to any review of a fast-moving technical domain.</w:t>
      </w:r>
    </w:p>
    <w:p w14:paraId="46E4CBB2" w14:textId="77777777" w:rsidR="009A2105" w:rsidRPr="000839CE" w:rsidRDefault="009A2105" w:rsidP="009A2105">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5267426E" w14:textId="77777777" w:rsidR="009A2105" w:rsidRPr="000839CE" w:rsidRDefault="009A2105" w:rsidP="009A2105">
      <w:pPr>
        <w:spacing w:after="0" w:line="240" w:lineRule="auto"/>
        <w:rPr>
          <w:rFonts w:ascii="Times New Roman" w:hAnsi="Times New Roman" w:cs="Times New Roman"/>
        </w:rPr>
      </w:pPr>
    </w:p>
    <w:p w14:paraId="5E6C5CD6" w14:textId="77777777" w:rsidR="009A2105" w:rsidRPr="000839CE" w:rsidRDefault="009A2105" w:rsidP="009A2105">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B138511" w14:textId="77777777" w:rsidR="009A2105" w:rsidRPr="00C93EFA" w:rsidRDefault="009A2105" w:rsidP="00C93EFA">
      <w:pPr>
        <w:spacing w:before="100" w:beforeAutospacing="1" w:after="100" w:afterAutospacing="1" w:line="240" w:lineRule="auto"/>
        <w:rPr>
          <w:rFonts w:ascii="Times New Roman" w:eastAsia="Times New Roman" w:hAnsi="Times New Roman" w:cs="Times New Roman"/>
          <w:sz w:val="24"/>
          <w:szCs w:val="24"/>
          <w:lang w:eastAsia="en-GB"/>
        </w:rPr>
      </w:pPr>
    </w:p>
    <w:p w14:paraId="73F1C586" w14:textId="77777777" w:rsidR="00C93EFA" w:rsidRPr="00C93EFA" w:rsidRDefault="00C93EFA" w:rsidP="00C93EF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93EFA">
        <w:rPr>
          <w:rFonts w:ascii="Times New Roman" w:eastAsia="Times New Roman" w:hAnsi="Times New Roman" w:cs="Times New Roman"/>
          <w:b/>
          <w:bCs/>
          <w:sz w:val="27"/>
          <w:szCs w:val="27"/>
          <w:lang w:eastAsia="en-GB"/>
        </w:rPr>
        <w:t>References</w:t>
      </w:r>
    </w:p>
    <w:p w14:paraId="54CC7E50"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1F2388">
        <w:rPr>
          <w:rFonts w:ascii="Times New Roman" w:eastAsia="Times New Roman" w:hAnsi="Times New Roman" w:cs="Times New Roman"/>
          <w:sz w:val="24"/>
          <w:szCs w:val="24"/>
          <w:lang w:val="en-US"/>
        </w:rPr>
        <w:t>Alamoush</w:t>
      </w:r>
      <w:proofErr w:type="spellEnd"/>
      <w:r w:rsidRPr="001F2388">
        <w:rPr>
          <w:rFonts w:ascii="Times New Roman" w:eastAsia="Times New Roman" w:hAnsi="Times New Roman" w:cs="Times New Roman"/>
          <w:sz w:val="24"/>
          <w:szCs w:val="24"/>
          <w:lang w:val="en-US"/>
        </w:rPr>
        <w:t xml:space="preserve">, A., &amp; Eichelberger, H. (2024). </w:t>
      </w:r>
      <w:proofErr w:type="gramStart"/>
      <w:r w:rsidRPr="001F2388">
        <w:rPr>
          <w:rFonts w:ascii="Times New Roman" w:eastAsia="Times New Roman" w:hAnsi="Times New Roman" w:cs="Times New Roman"/>
          <w:sz w:val="24"/>
          <w:szCs w:val="24"/>
          <w:lang w:val="en-US"/>
        </w:rPr>
        <w:t>Open source</w:t>
      </w:r>
      <w:proofErr w:type="gramEnd"/>
      <w:r w:rsidRPr="001F2388">
        <w:rPr>
          <w:rFonts w:ascii="Times New Roman" w:eastAsia="Times New Roman" w:hAnsi="Times New Roman" w:cs="Times New Roman"/>
          <w:sz w:val="24"/>
          <w:szCs w:val="24"/>
          <w:lang w:val="en-US"/>
        </w:rPr>
        <w:t xml:space="preserve"> container orchestration for Industry 4.0: Requirements and systematic feature analysis. </w:t>
      </w:r>
      <w:r w:rsidRPr="001F2388">
        <w:rPr>
          <w:rFonts w:ascii="Times New Roman" w:eastAsia="Times New Roman" w:hAnsi="Times New Roman" w:cs="Times New Roman"/>
          <w:i/>
          <w:iCs/>
          <w:sz w:val="24"/>
          <w:szCs w:val="24"/>
          <w:lang w:val="en-US"/>
        </w:rPr>
        <w:t>International Journal on Software Tools for Technology Transfer, 26</w:t>
      </w:r>
      <w:r w:rsidRPr="001F2388">
        <w:rPr>
          <w:rFonts w:ascii="Times New Roman" w:eastAsia="Times New Roman" w:hAnsi="Times New Roman" w:cs="Times New Roman"/>
          <w:sz w:val="24"/>
          <w:szCs w:val="24"/>
          <w:lang w:val="en-US"/>
        </w:rPr>
        <w:t xml:space="preserve">, 527–550. </w:t>
      </w:r>
      <w:hyperlink r:id="rId7" w:history="1">
        <w:r w:rsidRPr="001F2388">
          <w:rPr>
            <w:rFonts w:ascii="Times New Roman" w:eastAsia="Times New Roman" w:hAnsi="Times New Roman" w:cs="Times New Roman"/>
            <w:color w:val="0000FF"/>
            <w:sz w:val="24"/>
            <w:szCs w:val="24"/>
            <w:u w:val="single"/>
            <w:lang w:val="en-US"/>
          </w:rPr>
          <w:t>https://doi.org/10.1007/s10009-024-00767-w</w:t>
        </w:r>
      </w:hyperlink>
    </w:p>
    <w:p w14:paraId="4416A54B"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1F2388">
        <w:rPr>
          <w:rFonts w:ascii="Times New Roman" w:eastAsia="Times New Roman" w:hAnsi="Times New Roman" w:cs="Times New Roman"/>
          <w:sz w:val="24"/>
          <w:szCs w:val="24"/>
          <w:lang w:val="en-US"/>
        </w:rPr>
        <w:t>Alnafessah</w:t>
      </w:r>
      <w:proofErr w:type="spellEnd"/>
      <w:r w:rsidRPr="001F2388">
        <w:rPr>
          <w:rFonts w:ascii="Times New Roman" w:eastAsia="Times New Roman" w:hAnsi="Times New Roman" w:cs="Times New Roman"/>
          <w:sz w:val="24"/>
          <w:szCs w:val="24"/>
          <w:lang w:val="en-US"/>
        </w:rPr>
        <w:t xml:space="preserve">, A., </w:t>
      </w:r>
      <w:proofErr w:type="spellStart"/>
      <w:r w:rsidRPr="001F2388">
        <w:rPr>
          <w:rFonts w:ascii="Times New Roman" w:eastAsia="Times New Roman" w:hAnsi="Times New Roman" w:cs="Times New Roman"/>
          <w:sz w:val="24"/>
          <w:szCs w:val="24"/>
          <w:lang w:val="en-US"/>
        </w:rPr>
        <w:t>Gias</w:t>
      </w:r>
      <w:proofErr w:type="spellEnd"/>
      <w:r w:rsidRPr="001F2388">
        <w:rPr>
          <w:rFonts w:ascii="Times New Roman" w:eastAsia="Times New Roman" w:hAnsi="Times New Roman" w:cs="Times New Roman"/>
          <w:sz w:val="24"/>
          <w:szCs w:val="24"/>
          <w:lang w:val="en-US"/>
        </w:rPr>
        <w:t xml:space="preserve">, A. U., Wang, R., Zhu, L., Casale, G., &amp; </w:t>
      </w:r>
      <w:proofErr w:type="spellStart"/>
      <w:r w:rsidRPr="001F2388">
        <w:rPr>
          <w:rFonts w:ascii="Times New Roman" w:eastAsia="Times New Roman" w:hAnsi="Times New Roman" w:cs="Times New Roman"/>
          <w:sz w:val="24"/>
          <w:szCs w:val="24"/>
          <w:lang w:val="en-US"/>
        </w:rPr>
        <w:t>Filieri</w:t>
      </w:r>
      <w:proofErr w:type="spellEnd"/>
      <w:r w:rsidRPr="001F2388">
        <w:rPr>
          <w:rFonts w:ascii="Times New Roman" w:eastAsia="Times New Roman" w:hAnsi="Times New Roman" w:cs="Times New Roman"/>
          <w:sz w:val="24"/>
          <w:szCs w:val="24"/>
          <w:lang w:val="en-US"/>
        </w:rPr>
        <w:t xml:space="preserve">, A. (2021). Quality-aware DevOps research: Where do we stand? </w:t>
      </w:r>
      <w:r w:rsidRPr="001F2388">
        <w:rPr>
          <w:rFonts w:ascii="Times New Roman" w:eastAsia="Times New Roman" w:hAnsi="Times New Roman" w:cs="Times New Roman"/>
          <w:i/>
          <w:iCs/>
          <w:sz w:val="24"/>
          <w:szCs w:val="24"/>
          <w:lang w:val="en-US"/>
        </w:rPr>
        <w:t>IEEE Access, 9</w:t>
      </w:r>
      <w:r w:rsidRPr="001F2388">
        <w:rPr>
          <w:rFonts w:ascii="Times New Roman" w:eastAsia="Times New Roman" w:hAnsi="Times New Roman" w:cs="Times New Roman"/>
          <w:sz w:val="24"/>
          <w:szCs w:val="24"/>
          <w:lang w:val="en-US"/>
        </w:rPr>
        <w:t xml:space="preserve">, 44476–44489. </w:t>
      </w:r>
      <w:hyperlink r:id="rId8" w:history="1">
        <w:r w:rsidRPr="001F2388">
          <w:rPr>
            <w:rFonts w:ascii="Times New Roman" w:eastAsia="Times New Roman" w:hAnsi="Times New Roman" w:cs="Times New Roman"/>
            <w:color w:val="0000FF"/>
            <w:sz w:val="24"/>
            <w:szCs w:val="24"/>
            <w:u w:val="single"/>
            <w:lang w:val="en-US"/>
          </w:rPr>
          <w:t>https://doi.org/10.1109/ACCESS.2021.3064867</w:t>
        </w:r>
      </w:hyperlink>
    </w:p>
    <w:p w14:paraId="33D00D1B"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Amaro, R., Pereira, R. F., &amp; Mira da Silva, M. (2025). Mapping DevOps capabilities to the software life cycle: A systematic literature review. </w:t>
      </w:r>
      <w:r w:rsidRPr="001F2388">
        <w:rPr>
          <w:rFonts w:ascii="Times New Roman" w:eastAsia="Times New Roman" w:hAnsi="Times New Roman" w:cs="Times New Roman"/>
          <w:i/>
          <w:iCs/>
          <w:sz w:val="24"/>
          <w:szCs w:val="24"/>
          <w:lang w:val="en-US"/>
        </w:rPr>
        <w:t>Information and Software Technology, 177</w:t>
      </w:r>
      <w:r w:rsidRPr="001F2388">
        <w:rPr>
          <w:rFonts w:ascii="Times New Roman" w:eastAsia="Times New Roman" w:hAnsi="Times New Roman" w:cs="Times New Roman"/>
          <w:sz w:val="24"/>
          <w:szCs w:val="24"/>
          <w:lang w:val="en-US"/>
        </w:rPr>
        <w:t xml:space="preserve">, Article 107583. </w:t>
      </w:r>
      <w:hyperlink r:id="rId9" w:history="1">
        <w:r w:rsidRPr="001F2388">
          <w:rPr>
            <w:rFonts w:ascii="Times New Roman" w:eastAsia="Times New Roman" w:hAnsi="Times New Roman" w:cs="Times New Roman"/>
            <w:color w:val="0000FF"/>
            <w:sz w:val="24"/>
            <w:szCs w:val="24"/>
            <w:u w:val="single"/>
            <w:lang w:val="en-US"/>
          </w:rPr>
          <w:t>https://doi.org/10.1016/j.infsof.2024.107583</w:t>
        </w:r>
      </w:hyperlink>
    </w:p>
    <w:p w14:paraId="4F939D00"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1F2388">
        <w:rPr>
          <w:rFonts w:ascii="Times New Roman" w:eastAsia="Times New Roman" w:hAnsi="Times New Roman" w:cs="Times New Roman"/>
          <w:sz w:val="24"/>
          <w:szCs w:val="24"/>
          <w:lang w:val="en-US"/>
        </w:rPr>
        <w:t>Aqasizade</w:t>
      </w:r>
      <w:proofErr w:type="spellEnd"/>
      <w:r w:rsidRPr="001F2388">
        <w:rPr>
          <w:rFonts w:ascii="Times New Roman" w:eastAsia="Times New Roman" w:hAnsi="Times New Roman" w:cs="Times New Roman"/>
          <w:sz w:val="24"/>
          <w:szCs w:val="24"/>
          <w:lang w:val="en-US"/>
        </w:rPr>
        <w:t xml:space="preserve">, H., </w:t>
      </w:r>
      <w:proofErr w:type="spellStart"/>
      <w:r w:rsidRPr="001F2388">
        <w:rPr>
          <w:rFonts w:ascii="Times New Roman" w:eastAsia="Times New Roman" w:hAnsi="Times New Roman" w:cs="Times New Roman"/>
          <w:sz w:val="24"/>
          <w:szCs w:val="24"/>
          <w:lang w:val="en-US"/>
        </w:rPr>
        <w:t>Ataie</w:t>
      </w:r>
      <w:proofErr w:type="spellEnd"/>
      <w:r w:rsidRPr="001F2388">
        <w:rPr>
          <w:rFonts w:ascii="Times New Roman" w:eastAsia="Times New Roman" w:hAnsi="Times New Roman" w:cs="Times New Roman"/>
          <w:sz w:val="24"/>
          <w:szCs w:val="24"/>
          <w:lang w:val="en-US"/>
        </w:rPr>
        <w:t xml:space="preserve">, E., &amp; Bastam, M. (2025). Experimental assessment of containers running on top of virtual machines. </w:t>
      </w:r>
      <w:r w:rsidRPr="001F2388">
        <w:rPr>
          <w:rFonts w:ascii="Times New Roman" w:eastAsia="Times New Roman" w:hAnsi="Times New Roman" w:cs="Times New Roman"/>
          <w:i/>
          <w:iCs/>
          <w:sz w:val="24"/>
          <w:szCs w:val="24"/>
          <w:lang w:val="en-US"/>
        </w:rPr>
        <w:t>IET Networks, 14</w:t>
      </w:r>
      <w:r w:rsidRPr="001F2388">
        <w:rPr>
          <w:rFonts w:ascii="Times New Roman" w:eastAsia="Times New Roman" w:hAnsi="Times New Roman" w:cs="Times New Roman"/>
          <w:sz w:val="24"/>
          <w:szCs w:val="24"/>
          <w:lang w:val="en-US"/>
        </w:rPr>
        <w:t xml:space="preserve">(1), Article e12138. </w:t>
      </w:r>
      <w:hyperlink r:id="rId10" w:history="1">
        <w:r w:rsidRPr="001F2388">
          <w:rPr>
            <w:rFonts w:ascii="Times New Roman" w:eastAsia="Times New Roman" w:hAnsi="Times New Roman" w:cs="Times New Roman"/>
            <w:color w:val="0000FF"/>
            <w:sz w:val="24"/>
            <w:szCs w:val="24"/>
            <w:u w:val="single"/>
            <w:lang w:val="en-US"/>
          </w:rPr>
          <w:t>https://doi.org/10.1049/ntw2.12138</w:t>
        </w:r>
      </w:hyperlink>
    </w:p>
    <w:p w14:paraId="6CFADAD2"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Auer, F., Lenarduzzi, V., Felderer, M., &amp; Taibi, D. (2021). From monolithic systems to microservices: An assessment framework. </w:t>
      </w:r>
      <w:r w:rsidRPr="001F2388">
        <w:rPr>
          <w:rFonts w:ascii="Times New Roman" w:eastAsia="Times New Roman" w:hAnsi="Times New Roman" w:cs="Times New Roman"/>
          <w:i/>
          <w:iCs/>
          <w:sz w:val="24"/>
          <w:szCs w:val="24"/>
          <w:lang w:val="en-US"/>
        </w:rPr>
        <w:t>Information and Software Technology, 137</w:t>
      </w:r>
      <w:r w:rsidRPr="001F2388">
        <w:rPr>
          <w:rFonts w:ascii="Times New Roman" w:eastAsia="Times New Roman" w:hAnsi="Times New Roman" w:cs="Times New Roman"/>
          <w:sz w:val="24"/>
          <w:szCs w:val="24"/>
          <w:lang w:val="en-US"/>
        </w:rPr>
        <w:t xml:space="preserve">, Article 106600. </w:t>
      </w:r>
      <w:hyperlink r:id="rId11" w:history="1">
        <w:r w:rsidRPr="001F2388">
          <w:rPr>
            <w:rFonts w:ascii="Times New Roman" w:eastAsia="Times New Roman" w:hAnsi="Times New Roman" w:cs="Times New Roman"/>
            <w:color w:val="0000FF"/>
            <w:sz w:val="24"/>
            <w:szCs w:val="24"/>
            <w:u w:val="single"/>
            <w:lang w:val="en-US"/>
          </w:rPr>
          <w:t>https://doi.org/10.1016/j.infsof.2021.106600</w:t>
        </w:r>
      </w:hyperlink>
    </w:p>
    <w:p w14:paraId="6EA9919D"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Azad, N., &amp; </w:t>
      </w:r>
      <w:proofErr w:type="spellStart"/>
      <w:r w:rsidRPr="001F2388">
        <w:rPr>
          <w:rFonts w:ascii="Times New Roman" w:eastAsia="Times New Roman" w:hAnsi="Times New Roman" w:cs="Times New Roman"/>
          <w:sz w:val="24"/>
          <w:szCs w:val="24"/>
          <w:lang w:val="en-US"/>
        </w:rPr>
        <w:t>Hyrynsalmi</w:t>
      </w:r>
      <w:proofErr w:type="spellEnd"/>
      <w:r w:rsidRPr="001F2388">
        <w:rPr>
          <w:rFonts w:ascii="Times New Roman" w:eastAsia="Times New Roman" w:hAnsi="Times New Roman" w:cs="Times New Roman"/>
          <w:sz w:val="24"/>
          <w:szCs w:val="24"/>
          <w:lang w:val="en-US"/>
        </w:rPr>
        <w:t xml:space="preserve">, S. (2023). DevOps critical success factors: A systematic literature review. </w:t>
      </w:r>
      <w:r w:rsidRPr="001F2388">
        <w:rPr>
          <w:rFonts w:ascii="Times New Roman" w:eastAsia="Times New Roman" w:hAnsi="Times New Roman" w:cs="Times New Roman"/>
          <w:i/>
          <w:iCs/>
          <w:sz w:val="24"/>
          <w:szCs w:val="24"/>
          <w:lang w:val="en-US"/>
        </w:rPr>
        <w:t>Information and Software Technology, 157</w:t>
      </w:r>
      <w:r w:rsidRPr="001F2388">
        <w:rPr>
          <w:rFonts w:ascii="Times New Roman" w:eastAsia="Times New Roman" w:hAnsi="Times New Roman" w:cs="Times New Roman"/>
          <w:sz w:val="24"/>
          <w:szCs w:val="24"/>
          <w:lang w:val="en-US"/>
        </w:rPr>
        <w:t xml:space="preserve">, Article 107150. </w:t>
      </w:r>
      <w:hyperlink r:id="rId12" w:history="1">
        <w:r w:rsidRPr="001F2388">
          <w:rPr>
            <w:rFonts w:ascii="Times New Roman" w:eastAsia="Times New Roman" w:hAnsi="Times New Roman" w:cs="Times New Roman"/>
            <w:color w:val="0000FF"/>
            <w:sz w:val="24"/>
            <w:szCs w:val="24"/>
            <w:u w:val="single"/>
            <w:lang w:val="en-US"/>
          </w:rPr>
          <w:t>https://doi.org/10.1016/j.infsof.2023.107150</w:t>
        </w:r>
      </w:hyperlink>
    </w:p>
    <w:p w14:paraId="7A442074"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1F2388">
        <w:rPr>
          <w:rFonts w:ascii="Times New Roman" w:eastAsia="Times New Roman" w:hAnsi="Times New Roman" w:cs="Times New Roman"/>
          <w:sz w:val="24"/>
          <w:szCs w:val="24"/>
          <w:lang w:val="en-US"/>
        </w:rPr>
        <w:t>Balalaie</w:t>
      </w:r>
      <w:proofErr w:type="spellEnd"/>
      <w:r w:rsidRPr="001F2388">
        <w:rPr>
          <w:rFonts w:ascii="Times New Roman" w:eastAsia="Times New Roman" w:hAnsi="Times New Roman" w:cs="Times New Roman"/>
          <w:sz w:val="24"/>
          <w:szCs w:val="24"/>
          <w:lang w:val="en-US"/>
        </w:rPr>
        <w:t xml:space="preserve">, A., </w:t>
      </w:r>
      <w:proofErr w:type="spellStart"/>
      <w:r w:rsidRPr="001F2388">
        <w:rPr>
          <w:rFonts w:ascii="Times New Roman" w:eastAsia="Times New Roman" w:hAnsi="Times New Roman" w:cs="Times New Roman"/>
          <w:sz w:val="24"/>
          <w:szCs w:val="24"/>
          <w:lang w:val="en-US"/>
        </w:rPr>
        <w:t>Heydarnoori</w:t>
      </w:r>
      <w:proofErr w:type="spellEnd"/>
      <w:r w:rsidRPr="001F2388">
        <w:rPr>
          <w:rFonts w:ascii="Times New Roman" w:eastAsia="Times New Roman" w:hAnsi="Times New Roman" w:cs="Times New Roman"/>
          <w:sz w:val="24"/>
          <w:szCs w:val="24"/>
          <w:lang w:val="en-US"/>
        </w:rPr>
        <w:t xml:space="preserve">, A., Jamshidi, P., Tamburri, D. A., &amp; Lynn, T. (2018). Microservices migration patterns. </w:t>
      </w:r>
      <w:r w:rsidRPr="001F2388">
        <w:rPr>
          <w:rFonts w:ascii="Times New Roman" w:eastAsia="Times New Roman" w:hAnsi="Times New Roman" w:cs="Times New Roman"/>
          <w:i/>
          <w:iCs/>
          <w:sz w:val="24"/>
          <w:szCs w:val="24"/>
          <w:lang w:val="en-US"/>
        </w:rPr>
        <w:t>Software: Practice and Experience, 48</w:t>
      </w:r>
      <w:r w:rsidRPr="001F2388">
        <w:rPr>
          <w:rFonts w:ascii="Times New Roman" w:eastAsia="Times New Roman" w:hAnsi="Times New Roman" w:cs="Times New Roman"/>
          <w:sz w:val="24"/>
          <w:szCs w:val="24"/>
          <w:lang w:val="en-US"/>
        </w:rPr>
        <w:t xml:space="preserve">(11), 2019–2042. </w:t>
      </w:r>
      <w:hyperlink r:id="rId13" w:history="1">
        <w:r w:rsidRPr="001F2388">
          <w:rPr>
            <w:rFonts w:ascii="Times New Roman" w:eastAsia="Times New Roman" w:hAnsi="Times New Roman" w:cs="Times New Roman"/>
            <w:color w:val="0000FF"/>
            <w:sz w:val="24"/>
            <w:szCs w:val="24"/>
            <w:u w:val="single"/>
            <w:lang w:val="en-US"/>
          </w:rPr>
          <w:t>https://doi.org/10.1002/spe.2608</w:t>
        </w:r>
      </w:hyperlink>
    </w:p>
    <w:p w14:paraId="229DFC0D"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Bentaleb, O., </w:t>
      </w:r>
      <w:proofErr w:type="spellStart"/>
      <w:r w:rsidRPr="001F2388">
        <w:rPr>
          <w:rFonts w:ascii="Times New Roman" w:eastAsia="Times New Roman" w:hAnsi="Times New Roman" w:cs="Times New Roman"/>
          <w:sz w:val="24"/>
          <w:szCs w:val="24"/>
          <w:lang w:val="en-US"/>
        </w:rPr>
        <w:t>Belloum</w:t>
      </w:r>
      <w:proofErr w:type="spellEnd"/>
      <w:r w:rsidRPr="001F2388">
        <w:rPr>
          <w:rFonts w:ascii="Times New Roman" w:eastAsia="Times New Roman" w:hAnsi="Times New Roman" w:cs="Times New Roman"/>
          <w:sz w:val="24"/>
          <w:szCs w:val="24"/>
          <w:lang w:val="en-US"/>
        </w:rPr>
        <w:t>, A. S. Z., Sebaa, A., &amp; El-</w:t>
      </w:r>
      <w:proofErr w:type="spellStart"/>
      <w:r w:rsidRPr="001F2388">
        <w:rPr>
          <w:rFonts w:ascii="Times New Roman" w:eastAsia="Times New Roman" w:hAnsi="Times New Roman" w:cs="Times New Roman"/>
          <w:sz w:val="24"/>
          <w:szCs w:val="24"/>
          <w:lang w:val="en-US"/>
        </w:rPr>
        <w:t>Maouhab</w:t>
      </w:r>
      <w:proofErr w:type="spellEnd"/>
      <w:r w:rsidRPr="001F2388">
        <w:rPr>
          <w:rFonts w:ascii="Times New Roman" w:eastAsia="Times New Roman" w:hAnsi="Times New Roman" w:cs="Times New Roman"/>
          <w:sz w:val="24"/>
          <w:szCs w:val="24"/>
          <w:lang w:val="en-US"/>
        </w:rPr>
        <w:t xml:space="preserve">, A. (2022). Containerization technologies: Taxonomies, applications and challenges. </w:t>
      </w:r>
      <w:r w:rsidRPr="001F2388">
        <w:rPr>
          <w:rFonts w:ascii="Times New Roman" w:eastAsia="Times New Roman" w:hAnsi="Times New Roman" w:cs="Times New Roman"/>
          <w:i/>
          <w:iCs/>
          <w:sz w:val="24"/>
          <w:szCs w:val="24"/>
          <w:lang w:val="en-US"/>
        </w:rPr>
        <w:t>The Journal of Supercomputing, 78</w:t>
      </w:r>
      <w:r w:rsidRPr="001F2388">
        <w:rPr>
          <w:rFonts w:ascii="Times New Roman" w:eastAsia="Times New Roman" w:hAnsi="Times New Roman" w:cs="Times New Roman"/>
          <w:sz w:val="24"/>
          <w:szCs w:val="24"/>
          <w:lang w:val="en-US"/>
        </w:rPr>
        <w:t xml:space="preserve">(1), 1144–1181. </w:t>
      </w:r>
      <w:hyperlink r:id="rId14" w:history="1">
        <w:r w:rsidRPr="001F2388">
          <w:rPr>
            <w:rFonts w:ascii="Times New Roman" w:eastAsia="Times New Roman" w:hAnsi="Times New Roman" w:cs="Times New Roman"/>
            <w:color w:val="0000FF"/>
            <w:sz w:val="24"/>
            <w:szCs w:val="24"/>
            <w:u w:val="single"/>
            <w:lang w:val="en-US"/>
          </w:rPr>
          <w:t>https://doi.org/10.1007/s11227-021-03914-1</w:t>
        </w:r>
      </w:hyperlink>
    </w:p>
    <w:p w14:paraId="21DB4695"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lastRenderedPageBreak/>
        <w:t xml:space="preserve">Bhardwaj, A., &amp; Rama Krishna, C. (2021). Virtualization in cloud computing: Moving from hypervisor to containerization—A survey. </w:t>
      </w:r>
      <w:r w:rsidRPr="001F2388">
        <w:rPr>
          <w:rFonts w:ascii="Times New Roman" w:eastAsia="Times New Roman" w:hAnsi="Times New Roman" w:cs="Times New Roman"/>
          <w:i/>
          <w:iCs/>
          <w:sz w:val="24"/>
          <w:szCs w:val="24"/>
          <w:lang w:val="en-US"/>
        </w:rPr>
        <w:t>Arabian Journal for Science and Engineering, 46</w:t>
      </w:r>
      <w:r w:rsidRPr="001F2388">
        <w:rPr>
          <w:rFonts w:ascii="Times New Roman" w:eastAsia="Times New Roman" w:hAnsi="Times New Roman" w:cs="Times New Roman"/>
          <w:sz w:val="24"/>
          <w:szCs w:val="24"/>
          <w:lang w:val="en-US"/>
        </w:rPr>
        <w:t xml:space="preserve">(9), 8585–8601. </w:t>
      </w:r>
      <w:hyperlink r:id="rId15" w:history="1">
        <w:r w:rsidRPr="001F2388">
          <w:rPr>
            <w:rFonts w:ascii="Times New Roman" w:eastAsia="Times New Roman" w:hAnsi="Times New Roman" w:cs="Times New Roman"/>
            <w:color w:val="0000FF"/>
            <w:sz w:val="24"/>
            <w:szCs w:val="24"/>
            <w:u w:val="single"/>
            <w:lang w:val="en-US"/>
          </w:rPr>
          <w:t>https://doi.org/10.1007/s13369-021-05553-3</w:t>
        </w:r>
      </w:hyperlink>
    </w:p>
    <w:p w14:paraId="742F7D05"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Carrión, C. (2022a). Kubernetes as a standard container orchestrator: A bibliometric analysis. </w:t>
      </w:r>
      <w:r w:rsidRPr="001F2388">
        <w:rPr>
          <w:rFonts w:ascii="Times New Roman" w:eastAsia="Times New Roman" w:hAnsi="Times New Roman" w:cs="Times New Roman"/>
          <w:i/>
          <w:iCs/>
          <w:sz w:val="24"/>
          <w:szCs w:val="24"/>
          <w:lang w:val="en-US"/>
        </w:rPr>
        <w:t>Journal of Grid Computing, 20</w:t>
      </w:r>
      <w:r w:rsidRPr="001F2388">
        <w:rPr>
          <w:rFonts w:ascii="Times New Roman" w:eastAsia="Times New Roman" w:hAnsi="Times New Roman" w:cs="Times New Roman"/>
          <w:sz w:val="24"/>
          <w:szCs w:val="24"/>
          <w:lang w:val="en-US"/>
        </w:rPr>
        <w:t xml:space="preserve">, Article 42. </w:t>
      </w:r>
      <w:hyperlink r:id="rId16" w:history="1">
        <w:r w:rsidRPr="001F2388">
          <w:rPr>
            <w:rFonts w:ascii="Times New Roman" w:eastAsia="Times New Roman" w:hAnsi="Times New Roman" w:cs="Times New Roman"/>
            <w:color w:val="0000FF"/>
            <w:sz w:val="24"/>
            <w:szCs w:val="24"/>
            <w:u w:val="single"/>
            <w:lang w:val="en-US"/>
          </w:rPr>
          <w:t>https://doi.org/10.1007/s10723-022-09629-8</w:t>
        </w:r>
      </w:hyperlink>
    </w:p>
    <w:p w14:paraId="5CDC202D"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Carrión, C. (2022b). Kubernetes scheduling: Taxonomy, ongoing issues and challenges. </w:t>
      </w:r>
      <w:r w:rsidRPr="001F2388">
        <w:rPr>
          <w:rFonts w:ascii="Times New Roman" w:eastAsia="Times New Roman" w:hAnsi="Times New Roman" w:cs="Times New Roman"/>
          <w:i/>
          <w:iCs/>
          <w:sz w:val="24"/>
          <w:szCs w:val="24"/>
          <w:lang w:val="en-US"/>
        </w:rPr>
        <w:t>ACM Computing Surveys, 55</w:t>
      </w:r>
      <w:r w:rsidRPr="001F2388">
        <w:rPr>
          <w:rFonts w:ascii="Times New Roman" w:eastAsia="Times New Roman" w:hAnsi="Times New Roman" w:cs="Times New Roman"/>
          <w:sz w:val="24"/>
          <w:szCs w:val="24"/>
          <w:lang w:val="en-US"/>
        </w:rPr>
        <w:t xml:space="preserve">(7), Article 138, 1–37. </w:t>
      </w:r>
      <w:hyperlink r:id="rId17" w:history="1">
        <w:r w:rsidRPr="001F2388">
          <w:rPr>
            <w:rFonts w:ascii="Times New Roman" w:eastAsia="Times New Roman" w:hAnsi="Times New Roman" w:cs="Times New Roman"/>
            <w:color w:val="0000FF"/>
            <w:sz w:val="24"/>
            <w:szCs w:val="24"/>
            <w:u w:val="single"/>
            <w:lang w:val="en-US"/>
          </w:rPr>
          <w:t>https://doi.org/10.1145/3539606</w:t>
        </w:r>
      </w:hyperlink>
    </w:p>
    <w:p w14:paraId="03CB45D4"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1F2388">
        <w:rPr>
          <w:rFonts w:ascii="Times New Roman" w:eastAsia="Times New Roman" w:hAnsi="Times New Roman" w:cs="Times New Roman"/>
          <w:sz w:val="24"/>
          <w:szCs w:val="24"/>
          <w:lang w:val="en-US"/>
        </w:rPr>
        <w:t>Casalicchio</w:t>
      </w:r>
      <w:proofErr w:type="spellEnd"/>
      <w:r w:rsidRPr="001F2388">
        <w:rPr>
          <w:rFonts w:ascii="Times New Roman" w:eastAsia="Times New Roman" w:hAnsi="Times New Roman" w:cs="Times New Roman"/>
          <w:sz w:val="24"/>
          <w:szCs w:val="24"/>
          <w:lang w:val="en-US"/>
        </w:rPr>
        <w:t xml:space="preserve">, E., &amp; Iannucci, S. (2020). The state-of-the-art in container technologies: Application, orchestration and security. </w:t>
      </w:r>
      <w:r w:rsidRPr="001F2388">
        <w:rPr>
          <w:rFonts w:ascii="Times New Roman" w:eastAsia="Times New Roman" w:hAnsi="Times New Roman" w:cs="Times New Roman"/>
          <w:i/>
          <w:iCs/>
          <w:sz w:val="24"/>
          <w:szCs w:val="24"/>
          <w:lang w:val="en-US"/>
        </w:rPr>
        <w:t>Concurrency and Computation: Practice and Experience, 32</w:t>
      </w:r>
      <w:r w:rsidRPr="001F2388">
        <w:rPr>
          <w:rFonts w:ascii="Times New Roman" w:eastAsia="Times New Roman" w:hAnsi="Times New Roman" w:cs="Times New Roman"/>
          <w:sz w:val="24"/>
          <w:szCs w:val="24"/>
          <w:lang w:val="en-US"/>
        </w:rPr>
        <w:t xml:space="preserve">(17), Article e5668. </w:t>
      </w:r>
      <w:hyperlink r:id="rId18" w:history="1">
        <w:r w:rsidRPr="001F2388">
          <w:rPr>
            <w:rFonts w:ascii="Times New Roman" w:eastAsia="Times New Roman" w:hAnsi="Times New Roman" w:cs="Times New Roman"/>
            <w:color w:val="0000FF"/>
            <w:sz w:val="24"/>
            <w:szCs w:val="24"/>
            <w:u w:val="single"/>
            <w:lang w:val="en-US"/>
          </w:rPr>
          <w:t>https://doi.org/10.1002/cpe.5668</w:t>
        </w:r>
      </w:hyperlink>
    </w:p>
    <w:p w14:paraId="28428393"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Cassel, G. A. S., Rodrigues, V. F., da Rosa Righi, R., Bez, M. R., Nepomuceno, A. C., &amp; da Costa, C. A. (2022). Serverless computing for Internet of Things: A systematic literature review. </w:t>
      </w:r>
      <w:r w:rsidRPr="001F2388">
        <w:rPr>
          <w:rFonts w:ascii="Times New Roman" w:eastAsia="Times New Roman" w:hAnsi="Times New Roman" w:cs="Times New Roman"/>
          <w:i/>
          <w:iCs/>
          <w:sz w:val="24"/>
          <w:szCs w:val="24"/>
          <w:lang w:val="en-US"/>
        </w:rPr>
        <w:t>Future Generation Computer Systems, 128</w:t>
      </w:r>
      <w:r w:rsidRPr="001F2388">
        <w:rPr>
          <w:rFonts w:ascii="Times New Roman" w:eastAsia="Times New Roman" w:hAnsi="Times New Roman" w:cs="Times New Roman"/>
          <w:sz w:val="24"/>
          <w:szCs w:val="24"/>
          <w:lang w:val="en-US"/>
        </w:rPr>
        <w:t xml:space="preserve">, 299–316. </w:t>
      </w:r>
      <w:hyperlink r:id="rId19" w:history="1">
        <w:r w:rsidRPr="001F2388">
          <w:rPr>
            <w:rFonts w:ascii="Times New Roman" w:eastAsia="Times New Roman" w:hAnsi="Times New Roman" w:cs="Times New Roman"/>
            <w:color w:val="0000FF"/>
            <w:sz w:val="24"/>
            <w:szCs w:val="24"/>
            <w:u w:val="single"/>
            <w:lang w:val="en-US"/>
          </w:rPr>
          <w:t>https://doi.org/10.1016/j.future.2021.10.020</w:t>
        </w:r>
      </w:hyperlink>
    </w:p>
    <w:p w14:paraId="1ABE62AA"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Čilić, I., </w:t>
      </w:r>
      <w:proofErr w:type="spellStart"/>
      <w:r w:rsidRPr="001F2388">
        <w:rPr>
          <w:rFonts w:ascii="Times New Roman" w:eastAsia="Times New Roman" w:hAnsi="Times New Roman" w:cs="Times New Roman"/>
          <w:sz w:val="24"/>
          <w:szCs w:val="24"/>
          <w:lang w:val="en-US"/>
        </w:rPr>
        <w:t>Krivić</w:t>
      </w:r>
      <w:proofErr w:type="spellEnd"/>
      <w:r w:rsidRPr="001F2388">
        <w:rPr>
          <w:rFonts w:ascii="Times New Roman" w:eastAsia="Times New Roman" w:hAnsi="Times New Roman" w:cs="Times New Roman"/>
          <w:sz w:val="24"/>
          <w:szCs w:val="24"/>
          <w:lang w:val="en-US"/>
        </w:rPr>
        <w:t xml:space="preserve">, P., Podnar Žarko, I., &amp; </w:t>
      </w:r>
      <w:proofErr w:type="spellStart"/>
      <w:r w:rsidRPr="001F2388">
        <w:rPr>
          <w:rFonts w:ascii="Times New Roman" w:eastAsia="Times New Roman" w:hAnsi="Times New Roman" w:cs="Times New Roman"/>
          <w:sz w:val="24"/>
          <w:szCs w:val="24"/>
          <w:lang w:val="en-US"/>
        </w:rPr>
        <w:t>Kušek</w:t>
      </w:r>
      <w:proofErr w:type="spellEnd"/>
      <w:r w:rsidRPr="001F2388">
        <w:rPr>
          <w:rFonts w:ascii="Times New Roman" w:eastAsia="Times New Roman" w:hAnsi="Times New Roman" w:cs="Times New Roman"/>
          <w:sz w:val="24"/>
          <w:szCs w:val="24"/>
          <w:lang w:val="en-US"/>
        </w:rPr>
        <w:t xml:space="preserve">, M. (2023). Performance evaluation of container orchestration tools in edge computing environments. </w:t>
      </w:r>
      <w:r w:rsidRPr="001F2388">
        <w:rPr>
          <w:rFonts w:ascii="Times New Roman" w:eastAsia="Times New Roman" w:hAnsi="Times New Roman" w:cs="Times New Roman"/>
          <w:i/>
          <w:iCs/>
          <w:sz w:val="24"/>
          <w:szCs w:val="24"/>
          <w:lang w:val="en-US"/>
        </w:rPr>
        <w:t>Sensors, 23</w:t>
      </w:r>
      <w:r w:rsidRPr="001F2388">
        <w:rPr>
          <w:rFonts w:ascii="Times New Roman" w:eastAsia="Times New Roman" w:hAnsi="Times New Roman" w:cs="Times New Roman"/>
          <w:sz w:val="24"/>
          <w:szCs w:val="24"/>
          <w:lang w:val="en-US"/>
        </w:rPr>
        <w:t xml:space="preserve">(8), Article 4008. </w:t>
      </w:r>
      <w:hyperlink r:id="rId20" w:history="1">
        <w:r w:rsidRPr="001F2388">
          <w:rPr>
            <w:rFonts w:ascii="Times New Roman" w:eastAsia="Times New Roman" w:hAnsi="Times New Roman" w:cs="Times New Roman"/>
            <w:color w:val="0000FF"/>
            <w:sz w:val="24"/>
            <w:szCs w:val="24"/>
            <w:u w:val="single"/>
            <w:lang w:val="en-US"/>
          </w:rPr>
          <w:t>https://doi.org/10.3390/s23084008</w:t>
        </w:r>
      </w:hyperlink>
    </w:p>
    <w:p w14:paraId="14DBD972"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Di Francesco, P., Lago, P., &amp; Malavolta, I. (2019). Architecting with microservices: A systematic mapping study. </w:t>
      </w:r>
      <w:r w:rsidRPr="001F2388">
        <w:rPr>
          <w:rFonts w:ascii="Times New Roman" w:eastAsia="Times New Roman" w:hAnsi="Times New Roman" w:cs="Times New Roman"/>
          <w:i/>
          <w:iCs/>
          <w:sz w:val="24"/>
          <w:szCs w:val="24"/>
          <w:lang w:val="en-US"/>
        </w:rPr>
        <w:t>Journal of Systems and Software, 150</w:t>
      </w:r>
      <w:r w:rsidRPr="001F2388">
        <w:rPr>
          <w:rFonts w:ascii="Times New Roman" w:eastAsia="Times New Roman" w:hAnsi="Times New Roman" w:cs="Times New Roman"/>
          <w:sz w:val="24"/>
          <w:szCs w:val="24"/>
          <w:lang w:val="en-US"/>
        </w:rPr>
        <w:t xml:space="preserve">, 77–97. </w:t>
      </w:r>
      <w:hyperlink r:id="rId21" w:history="1">
        <w:r w:rsidRPr="001F2388">
          <w:rPr>
            <w:rFonts w:ascii="Times New Roman" w:eastAsia="Times New Roman" w:hAnsi="Times New Roman" w:cs="Times New Roman"/>
            <w:color w:val="0000FF"/>
            <w:sz w:val="24"/>
            <w:szCs w:val="24"/>
            <w:u w:val="single"/>
            <w:lang w:val="en-US"/>
          </w:rPr>
          <w:t>https://doi.org/10.1016/j.jss.2019.01.001</w:t>
        </w:r>
      </w:hyperlink>
    </w:p>
    <w:p w14:paraId="51319B0B"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Grant, M. J., &amp; Booth, A. (2009). A typology of reviews: An analysis of 14 review types and associated methodologies. </w:t>
      </w:r>
      <w:r w:rsidRPr="001F2388">
        <w:rPr>
          <w:rFonts w:ascii="Times New Roman" w:eastAsia="Times New Roman" w:hAnsi="Times New Roman" w:cs="Times New Roman"/>
          <w:i/>
          <w:iCs/>
          <w:sz w:val="24"/>
          <w:szCs w:val="24"/>
          <w:lang w:val="en-US"/>
        </w:rPr>
        <w:t>Health Information &amp; Libraries Journal, 26</w:t>
      </w:r>
      <w:r w:rsidRPr="001F2388">
        <w:rPr>
          <w:rFonts w:ascii="Times New Roman" w:eastAsia="Times New Roman" w:hAnsi="Times New Roman" w:cs="Times New Roman"/>
          <w:sz w:val="24"/>
          <w:szCs w:val="24"/>
          <w:lang w:val="en-US"/>
        </w:rPr>
        <w:t xml:space="preserve">(2), 91–108. </w:t>
      </w:r>
      <w:hyperlink r:id="rId22" w:history="1">
        <w:r w:rsidRPr="001F2388">
          <w:rPr>
            <w:rFonts w:ascii="Times New Roman" w:eastAsia="Times New Roman" w:hAnsi="Times New Roman" w:cs="Times New Roman"/>
            <w:color w:val="0000FF"/>
            <w:sz w:val="24"/>
            <w:szCs w:val="24"/>
            <w:u w:val="single"/>
            <w:lang w:val="en-US"/>
          </w:rPr>
          <w:t>https://doi.org/10.1111/j.1471-1842.2009.00848.x</w:t>
        </w:r>
      </w:hyperlink>
    </w:p>
    <w:p w14:paraId="7715CA69"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nl-BE"/>
        </w:rPr>
      </w:pPr>
      <w:r w:rsidRPr="001F2388">
        <w:rPr>
          <w:rFonts w:ascii="Times New Roman" w:eastAsia="Times New Roman" w:hAnsi="Times New Roman" w:cs="Times New Roman"/>
          <w:sz w:val="24"/>
          <w:szCs w:val="24"/>
          <w:lang w:val="en-US"/>
        </w:rPr>
        <w:t xml:space="preserve">Hassan, H. B., Barakat, S. A., &amp; Sarhan, Q. I. (2021). Survey on serverless computing. </w:t>
      </w:r>
      <w:r w:rsidRPr="001F2388">
        <w:rPr>
          <w:rFonts w:ascii="Times New Roman" w:eastAsia="Times New Roman" w:hAnsi="Times New Roman" w:cs="Times New Roman"/>
          <w:i/>
          <w:iCs/>
          <w:sz w:val="24"/>
          <w:szCs w:val="24"/>
          <w:lang w:val="en-US"/>
        </w:rPr>
        <w:t>Journal of Cloud Computing, 10</w:t>
      </w:r>
      <w:r w:rsidRPr="001F2388">
        <w:rPr>
          <w:rFonts w:ascii="Times New Roman" w:eastAsia="Times New Roman" w:hAnsi="Times New Roman" w:cs="Times New Roman"/>
          <w:sz w:val="24"/>
          <w:szCs w:val="24"/>
          <w:lang w:val="en-US"/>
        </w:rPr>
        <w:t xml:space="preserve">(1), Article 39. </w:t>
      </w:r>
      <w:hyperlink r:id="rId23" w:history="1">
        <w:r w:rsidRPr="001F2388">
          <w:rPr>
            <w:rFonts w:ascii="Times New Roman" w:eastAsia="Times New Roman" w:hAnsi="Times New Roman" w:cs="Times New Roman"/>
            <w:color w:val="0000FF"/>
            <w:sz w:val="24"/>
            <w:szCs w:val="24"/>
            <w:u w:val="single"/>
            <w:lang w:val="nl-BE"/>
          </w:rPr>
          <w:t>https://doi.org/10.1186/s13677-021-00253-7</w:t>
        </w:r>
      </w:hyperlink>
    </w:p>
    <w:p w14:paraId="1A03210C"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nl-BE"/>
        </w:rPr>
        <w:t xml:space="preserve">Jabbari, R., bin Ali, N., Petersen, K., &amp; Tanveer, B. (2018). </w:t>
      </w:r>
      <w:r w:rsidRPr="001F2388">
        <w:rPr>
          <w:rFonts w:ascii="Times New Roman" w:eastAsia="Times New Roman" w:hAnsi="Times New Roman" w:cs="Times New Roman"/>
          <w:sz w:val="24"/>
          <w:szCs w:val="24"/>
          <w:lang w:val="en-US"/>
        </w:rPr>
        <w:t xml:space="preserve">Towards a benefits dependency network for DevOps based on a systematic literature review. </w:t>
      </w:r>
      <w:r w:rsidRPr="001F2388">
        <w:rPr>
          <w:rFonts w:ascii="Times New Roman" w:eastAsia="Times New Roman" w:hAnsi="Times New Roman" w:cs="Times New Roman"/>
          <w:i/>
          <w:iCs/>
          <w:sz w:val="24"/>
          <w:szCs w:val="24"/>
          <w:lang w:val="en-US"/>
        </w:rPr>
        <w:t>Journal of Software: Evolution and Process, 30</w:t>
      </w:r>
      <w:r w:rsidRPr="001F2388">
        <w:rPr>
          <w:rFonts w:ascii="Times New Roman" w:eastAsia="Times New Roman" w:hAnsi="Times New Roman" w:cs="Times New Roman"/>
          <w:sz w:val="24"/>
          <w:szCs w:val="24"/>
          <w:lang w:val="en-US"/>
        </w:rPr>
        <w:t xml:space="preserve">(11), Article e1957. </w:t>
      </w:r>
      <w:hyperlink r:id="rId24" w:history="1">
        <w:r w:rsidRPr="001F2388">
          <w:rPr>
            <w:rFonts w:ascii="Times New Roman" w:eastAsia="Times New Roman" w:hAnsi="Times New Roman" w:cs="Times New Roman"/>
            <w:color w:val="0000FF"/>
            <w:sz w:val="24"/>
            <w:szCs w:val="24"/>
            <w:u w:val="single"/>
            <w:lang w:val="en-US"/>
          </w:rPr>
          <w:t>https://doi.org/10.1002/smr.1957</w:t>
        </w:r>
      </w:hyperlink>
    </w:p>
    <w:p w14:paraId="0517896D"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Jarkas, O., Ko, R. K. L., Dong, N., &amp; Mahmud, R. (2025). A container security survey: Exploits, attacks, and defenses. </w:t>
      </w:r>
      <w:r w:rsidRPr="001F2388">
        <w:rPr>
          <w:rFonts w:ascii="Times New Roman" w:eastAsia="Times New Roman" w:hAnsi="Times New Roman" w:cs="Times New Roman"/>
          <w:i/>
          <w:iCs/>
          <w:sz w:val="24"/>
          <w:szCs w:val="24"/>
          <w:lang w:val="en-US"/>
        </w:rPr>
        <w:t>ACM Computing Surveys, 57</w:t>
      </w:r>
      <w:r w:rsidRPr="001F2388">
        <w:rPr>
          <w:rFonts w:ascii="Times New Roman" w:eastAsia="Times New Roman" w:hAnsi="Times New Roman" w:cs="Times New Roman"/>
          <w:sz w:val="24"/>
          <w:szCs w:val="24"/>
          <w:lang w:val="en-US"/>
        </w:rPr>
        <w:t xml:space="preserve">(7), Article 170, 1–36. </w:t>
      </w:r>
      <w:hyperlink r:id="rId25" w:history="1">
        <w:r w:rsidRPr="001F2388">
          <w:rPr>
            <w:rFonts w:ascii="Times New Roman" w:eastAsia="Times New Roman" w:hAnsi="Times New Roman" w:cs="Times New Roman"/>
            <w:color w:val="0000FF"/>
            <w:sz w:val="24"/>
            <w:szCs w:val="24"/>
            <w:u w:val="single"/>
            <w:lang w:val="en-US"/>
          </w:rPr>
          <w:t>https://doi.org/10.1145/3715001</w:t>
        </w:r>
      </w:hyperlink>
    </w:p>
    <w:p w14:paraId="72FFD9AF"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1F2388">
        <w:rPr>
          <w:rFonts w:ascii="Times New Roman" w:eastAsia="Times New Roman" w:hAnsi="Times New Roman" w:cs="Times New Roman"/>
          <w:sz w:val="24"/>
          <w:szCs w:val="24"/>
          <w:lang w:val="en-US"/>
        </w:rPr>
        <w:t>Kozhirbayev</w:t>
      </w:r>
      <w:proofErr w:type="spellEnd"/>
      <w:r w:rsidRPr="001F2388">
        <w:rPr>
          <w:rFonts w:ascii="Times New Roman" w:eastAsia="Times New Roman" w:hAnsi="Times New Roman" w:cs="Times New Roman"/>
          <w:sz w:val="24"/>
          <w:szCs w:val="24"/>
          <w:lang w:val="en-US"/>
        </w:rPr>
        <w:t xml:space="preserve">, Z., &amp; Sinnott, R. O. (2017). A performance comparison of container-based technologies for the cloud. </w:t>
      </w:r>
      <w:r w:rsidRPr="001F2388">
        <w:rPr>
          <w:rFonts w:ascii="Times New Roman" w:eastAsia="Times New Roman" w:hAnsi="Times New Roman" w:cs="Times New Roman"/>
          <w:i/>
          <w:iCs/>
          <w:sz w:val="24"/>
          <w:szCs w:val="24"/>
          <w:lang w:val="en-US"/>
        </w:rPr>
        <w:t>Future Generation Computer Systems, 68</w:t>
      </w:r>
      <w:r w:rsidRPr="001F2388">
        <w:rPr>
          <w:rFonts w:ascii="Times New Roman" w:eastAsia="Times New Roman" w:hAnsi="Times New Roman" w:cs="Times New Roman"/>
          <w:sz w:val="24"/>
          <w:szCs w:val="24"/>
          <w:lang w:val="en-US"/>
        </w:rPr>
        <w:t xml:space="preserve">, 175–182. </w:t>
      </w:r>
      <w:hyperlink r:id="rId26" w:history="1">
        <w:r w:rsidRPr="001F2388">
          <w:rPr>
            <w:rFonts w:ascii="Times New Roman" w:eastAsia="Times New Roman" w:hAnsi="Times New Roman" w:cs="Times New Roman"/>
            <w:color w:val="0000FF"/>
            <w:sz w:val="24"/>
            <w:szCs w:val="24"/>
            <w:u w:val="single"/>
            <w:lang w:val="en-US"/>
          </w:rPr>
          <w:t>https://doi.org/10.1016/j.future.2016.08.025</w:t>
        </w:r>
      </w:hyperlink>
    </w:p>
    <w:p w14:paraId="5C4F0C87"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Kumar, A., Nadeem, M., &amp; Shameem, M. (2025). A systematic literature review for investigating DevOps metrics to implement in software development organizations. </w:t>
      </w:r>
      <w:r w:rsidRPr="001F2388">
        <w:rPr>
          <w:rFonts w:ascii="Times New Roman" w:eastAsia="Times New Roman" w:hAnsi="Times New Roman" w:cs="Times New Roman"/>
          <w:i/>
          <w:iCs/>
          <w:sz w:val="24"/>
          <w:szCs w:val="24"/>
          <w:lang w:val="en-US"/>
        </w:rPr>
        <w:lastRenderedPageBreak/>
        <w:t>Journal of Software: Evolution and Process, 37</w:t>
      </w:r>
      <w:r w:rsidRPr="001F2388">
        <w:rPr>
          <w:rFonts w:ascii="Times New Roman" w:eastAsia="Times New Roman" w:hAnsi="Times New Roman" w:cs="Times New Roman"/>
          <w:sz w:val="24"/>
          <w:szCs w:val="24"/>
          <w:lang w:val="en-US"/>
        </w:rPr>
        <w:t xml:space="preserve">(1), Article e2733. </w:t>
      </w:r>
      <w:hyperlink r:id="rId27" w:history="1">
        <w:r w:rsidRPr="001F2388">
          <w:rPr>
            <w:rFonts w:ascii="Times New Roman" w:eastAsia="Times New Roman" w:hAnsi="Times New Roman" w:cs="Times New Roman"/>
            <w:color w:val="0000FF"/>
            <w:sz w:val="24"/>
            <w:szCs w:val="24"/>
            <w:u w:val="single"/>
            <w:lang w:val="en-US"/>
          </w:rPr>
          <w:t>https://doi.org/10.1002/smr.2733</w:t>
        </w:r>
      </w:hyperlink>
    </w:p>
    <w:p w14:paraId="5FA07DEB"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nl-BE"/>
        </w:rPr>
        <w:t xml:space="preserve">Leite, L., Rocha, C., Kon, F., Milojicic, D., &amp; Meirelles, P. (2019). </w:t>
      </w:r>
      <w:r w:rsidRPr="001F2388">
        <w:rPr>
          <w:rFonts w:ascii="Times New Roman" w:eastAsia="Times New Roman" w:hAnsi="Times New Roman" w:cs="Times New Roman"/>
          <w:sz w:val="24"/>
          <w:szCs w:val="24"/>
          <w:lang w:val="en-US"/>
        </w:rPr>
        <w:t xml:space="preserve">A survey of DevOps concepts and challenges. </w:t>
      </w:r>
      <w:r w:rsidRPr="001F2388">
        <w:rPr>
          <w:rFonts w:ascii="Times New Roman" w:eastAsia="Times New Roman" w:hAnsi="Times New Roman" w:cs="Times New Roman"/>
          <w:i/>
          <w:iCs/>
          <w:sz w:val="24"/>
          <w:szCs w:val="24"/>
          <w:lang w:val="en-US"/>
        </w:rPr>
        <w:t>ACM Computing Surveys, 52</w:t>
      </w:r>
      <w:r w:rsidRPr="001F2388">
        <w:rPr>
          <w:rFonts w:ascii="Times New Roman" w:eastAsia="Times New Roman" w:hAnsi="Times New Roman" w:cs="Times New Roman"/>
          <w:sz w:val="24"/>
          <w:szCs w:val="24"/>
          <w:lang w:val="en-US"/>
        </w:rPr>
        <w:t xml:space="preserve">(6), Article 127, 1–35. </w:t>
      </w:r>
      <w:hyperlink r:id="rId28" w:history="1">
        <w:r w:rsidRPr="001F2388">
          <w:rPr>
            <w:rFonts w:ascii="Times New Roman" w:eastAsia="Times New Roman" w:hAnsi="Times New Roman" w:cs="Times New Roman"/>
            <w:color w:val="0000FF"/>
            <w:sz w:val="24"/>
            <w:szCs w:val="24"/>
            <w:u w:val="single"/>
            <w:lang w:val="en-US"/>
          </w:rPr>
          <w:t>https://doi.org/10.1145/3359981</w:t>
        </w:r>
      </w:hyperlink>
    </w:p>
    <w:p w14:paraId="2B0B8946"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Luz, W. P., Pinto, G., &amp; Bonifácio, R. (2019). Adopting DevOps in the real world: A theory, a model, and a case study. </w:t>
      </w:r>
      <w:r w:rsidRPr="001F2388">
        <w:rPr>
          <w:rFonts w:ascii="Times New Roman" w:eastAsia="Times New Roman" w:hAnsi="Times New Roman" w:cs="Times New Roman"/>
          <w:i/>
          <w:iCs/>
          <w:sz w:val="24"/>
          <w:szCs w:val="24"/>
          <w:lang w:val="en-US"/>
        </w:rPr>
        <w:t>Journal of Systems and Software, 157</w:t>
      </w:r>
      <w:r w:rsidRPr="001F2388">
        <w:rPr>
          <w:rFonts w:ascii="Times New Roman" w:eastAsia="Times New Roman" w:hAnsi="Times New Roman" w:cs="Times New Roman"/>
          <w:sz w:val="24"/>
          <w:szCs w:val="24"/>
          <w:lang w:val="en-US"/>
        </w:rPr>
        <w:t xml:space="preserve">, Article 110384. </w:t>
      </w:r>
      <w:hyperlink r:id="rId29" w:history="1">
        <w:r w:rsidRPr="001F2388">
          <w:rPr>
            <w:rFonts w:ascii="Times New Roman" w:eastAsia="Times New Roman" w:hAnsi="Times New Roman" w:cs="Times New Roman"/>
            <w:color w:val="0000FF"/>
            <w:sz w:val="24"/>
            <w:szCs w:val="24"/>
            <w:u w:val="single"/>
            <w:lang w:val="en-US"/>
          </w:rPr>
          <w:t>https://doi.org/10.1016/j.jss.2019.07.083</w:t>
        </w:r>
      </w:hyperlink>
    </w:p>
    <w:p w14:paraId="749E014B"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nl-BE"/>
        </w:rPr>
        <w:t xml:space="preserve">Lwakatare, L. E., Kilamo, T., Karvonen, T., Sauvola, T., Heikkilä, V., Itkonen, J., Kuvaja, P., Mikkonen, T., Oivo, M., &amp; Lassenius, C. (2019). </w:t>
      </w:r>
      <w:r w:rsidRPr="001F2388">
        <w:rPr>
          <w:rFonts w:ascii="Times New Roman" w:eastAsia="Times New Roman" w:hAnsi="Times New Roman" w:cs="Times New Roman"/>
          <w:sz w:val="24"/>
          <w:szCs w:val="24"/>
          <w:lang w:val="en-US"/>
        </w:rPr>
        <w:t xml:space="preserve">DevOps in practice: A multiple case study of five companies. </w:t>
      </w:r>
      <w:r w:rsidRPr="001F2388">
        <w:rPr>
          <w:rFonts w:ascii="Times New Roman" w:eastAsia="Times New Roman" w:hAnsi="Times New Roman" w:cs="Times New Roman"/>
          <w:i/>
          <w:iCs/>
          <w:sz w:val="24"/>
          <w:szCs w:val="24"/>
          <w:lang w:val="en-US"/>
        </w:rPr>
        <w:t>Information and Software Technology, 114</w:t>
      </w:r>
      <w:r w:rsidRPr="001F2388">
        <w:rPr>
          <w:rFonts w:ascii="Times New Roman" w:eastAsia="Times New Roman" w:hAnsi="Times New Roman" w:cs="Times New Roman"/>
          <w:sz w:val="24"/>
          <w:szCs w:val="24"/>
          <w:lang w:val="en-US"/>
        </w:rPr>
        <w:t xml:space="preserve">, 217–230. </w:t>
      </w:r>
      <w:hyperlink r:id="rId30" w:history="1">
        <w:r w:rsidRPr="001F2388">
          <w:rPr>
            <w:rFonts w:ascii="Times New Roman" w:eastAsia="Times New Roman" w:hAnsi="Times New Roman" w:cs="Times New Roman"/>
            <w:color w:val="0000FF"/>
            <w:sz w:val="24"/>
            <w:szCs w:val="24"/>
            <w:u w:val="single"/>
            <w:lang w:val="en-US"/>
          </w:rPr>
          <w:t>https://doi.org/10.1016/j.infsof.2019.06.010</w:t>
        </w:r>
      </w:hyperlink>
    </w:p>
    <w:p w14:paraId="6CA4834B"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Malhotra, R., Bansal, A., &amp; </w:t>
      </w:r>
      <w:proofErr w:type="spellStart"/>
      <w:r w:rsidRPr="001F2388">
        <w:rPr>
          <w:rFonts w:ascii="Times New Roman" w:eastAsia="Times New Roman" w:hAnsi="Times New Roman" w:cs="Times New Roman"/>
          <w:sz w:val="24"/>
          <w:szCs w:val="24"/>
          <w:lang w:val="en-US"/>
        </w:rPr>
        <w:t>Kessentini</w:t>
      </w:r>
      <w:proofErr w:type="spellEnd"/>
      <w:r w:rsidRPr="001F2388">
        <w:rPr>
          <w:rFonts w:ascii="Times New Roman" w:eastAsia="Times New Roman" w:hAnsi="Times New Roman" w:cs="Times New Roman"/>
          <w:sz w:val="24"/>
          <w:szCs w:val="24"/>
          <w:lang w:val="en-US"/>
        </w:rPr>
        <w:t xml:space="preserve">, M. (2024). A systematic literature review on maintenance of software containers. </w:t>
      </w:r>
      <w:r w:rsidRPr="001F2388">
        <w:rPr>
          <w:rFonts w:ascii="Times New Roman" w:eastAsia="Times New Roman" w:hAnsi="Times New Roman" w:cs="Times New Roman"/>
          <w:i/>
          <w:iCs/>
          <w:sz w:val="24"/>
          <w:szCs w:val="24"/>
          <w:lang w:val="en-US"/>
        </w:rPr>
        <w:t>ACM Computing Surveys, 56</w:t>
      </w:r>
      <w:r w:rsidRPr="001F2388">
        <w:rPr>
          <w:rFonts w:ascii="Times New Roman" w:eastAsia="Times New Roman" w:hAnsi="Times New Roman" w:cs="Times New Roman"/>
          <w:sz w:val="24"/>
          <w:szCs w:val="24"/>
          <w:lang w:val="en-US"/>
        </w:rPr>
        <w:t xml:space="preserve">(8), Article 193, 1–38. </w:t>
      </w:r>
      <w:hyperlink r:id="rId31" w:history="1">
        <w:r w:rsidRPr="001F2388">
          <w:rPr>
            <w:rFonts w:ascii="Times New Roman" w:eastAsia="Times New Roman" w:hAnsi="Times New Roman" w:cs="Times New Roman"/>
            <w:color w:val="0000FF"/>
            <w:sz w:val="24"/>
            <w:szCs w:val="24"/>
            <w:u w:val="single"/>
            <w:lang w:val="en-US"/>
          </w:rPr>
          <w:t>https://doi.org/10.1145/3645092</w:t>
        </w:r>
      </w:hyperlink>
    </w:p>
    <w:p w14:paraId="7E4DC78F"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Mishra, A., &amp; </w:t>
      </w:r>
      <w:proofErr w:type="spellStart"/>
      <w:r w:rsidRPr="001F2388">
        <w:rPr>
          <w:rFonts w:ascii="Times New Roman" w:eastAsia="Times New Roman" w:hAnsi="Times New Roman" w:cs="Times New Roman"/>
          <w:sz w:val="24"/>
          <w:szCs w:val="24"/>
          <w:lang w:val="en-US"/>
        </w:rPr>
        <w:t>Otaiwi</w:t>
      </w:r>
      <w:proofErr w:type="spellEnd"/>
      <w:r w:rsidRPr="001F2388">
        <w:rPr>
          <w:rFonts w:ascii="Times New Roman" w:eastAsia="Times New Roman" w:hAnsi="Times New Roman" w:cs="Times New Roman"/>
          <w:sz w:val="24"/>
          <w:szCs w:val="24"/>
          <w:lang w:val="en-US"/>
        </w:rPr>
        <w:t xml:space="preserve">, Z. (2020). DevOps and software quality: A systematic mapping. </w:t>
      </w:r>
      <w:r w:rsidRPr="001F2388">
        <w:rPr>
          <w:rFonts w:ascii="Times New Roman" w:eastAsia="Times New Roman" w:hAnsi="Times New Roman" w:cs="Times New Roman"/>
          <w:i/>
          <w:iCs/>
          <w:sz w:val="24"/>
          <w:szCs w:val="24"/>
          <w:lang w:val="en-US"/>
        </w:rPr>
        <w:t>Computer Science Review, 38</w:t>
      </w:r>
      <w:r w:rsidRPr="001F2388">
        <w:rPr>
          <w:rFonts w:ascii="Times New Roman" w:eastAsia="Times New Roman" w:hAnsi="Times New Roman" w:cs="Times New Roman"/>
          <w:sz w:val="24"/>
          <w:szCs w:val="24"/>
          <w:lang w:val="en-US"/>
        </w:rPr>
        <w:t xml:space="preserve">, Article 100308. </w:t>
      </w:r>
      <w:hyperlink r:id="rId32" w:history="1">
        <w:r w:rsidRPr="001F2388">
          <w:rPr>
            <w:rFonts w:ascii="Times New Roman" w:eastAsia="Times New Roman" w:hAnsi="Times New Roman" w:cs="Times New Roman"/>
            <w:color w:val="0000FF"/>
            <w:sz w:val="24"/>
            <w:szCs w:val="24"/>
            <w:u w:val="single"/>
            <w:lang w:val="en-US"/>
          </w:rPr>
          <w:t>https://doi.org/10.1016/j.cosrev.2020.100308</w:t>
        </w:r>
      </w:hyperlink>
    </w:p>
    <w:p w14:paraId="08EDA7C6"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Muzumdar, P., Bhosale, A., </w:t>
      </w:r>
      <w:proofErr w:type="spellStart"/>
      <w:r w:rsidRPr="001F2388">
        <w:rPr>
          <w:rFonts w:ascii="Times New Roman" w:eastAsia="Times New Roman" w:hAnsi="Times New Roman" w:cs="Times New Roman"/>
          <w:sz w:val="24"/>
          <w:szCs w:val="24"/>
          <w:lang w:val="en-US"/>
        </w:rPr>
        <w:t>Basyal</w:t>
      </w:r>
      <w:proofErr w:type="spellEnd"/>
      <w:r w:rsidRPr="001F2388">
        <w:rPr>
          <w:rFonts w:ascii="Times New Roman" w:eastAsia="Times New Roman" w:hAnsi="Times New Roman" w:cs="Times New Roman"/>
          <w:sz w:val="24"/>
          <w:szCs w:val="24"/>
          <w:lang w:val="en-US"/>
        </w:rPr>
        <w:t xml:space="preserve">, G. P., &amp; Kurian, G. (2024). Navigating the Docker ecosystem: A comprehensive taxonomy and survey. </w:t>
      </w:r>
      <w:r w:rsidRPr="001F2388">
        <w:rPr>
          <w:rFonts w:ascii="Times New Roman" w:eastAsia="Times New Roman" w:hAnsi="Times New Roman" w:cs="Times New Roman"/>
          <w:i/>
          <w:iCs/>
          <w:sz w:val="24"/>
          <w:szCs w:val="24"/>
          <w:lang w:val="en-US"/>
        </w:rPr>
        <w:t>Asian Journal of Research in Computer Science, 17</w:t>
      </w:r>
      <w:r w:rsidRPr="001F2388">
        <w:rPr>
          <w:rFonts w:ascii="Times New Roman" w:eastAsia="Times New Roman" w:hAnsi="Times New Roman" w:cs="Times New Roman"/>
          <w:sz w:val="24"/>
          <w:szCs w:val="24"/>
          <w:lang w:val="en-US"/>
        </w:rPr>
        <w:t xml:space="preserve">(1), 42–61. </w:t>
      </w:r>
      <w:hyperlink r:id="rId33" w:history="1">
        <w:r w:rsidRPr="001F2388">
          <w:rPr>
            <w:rFonts w:ascii="Times New Roman" w:eastAsia="Times New Roman" w:hAnsi="Times New Roman" w:cs="Times New Roman"/>
            <w:color w:val="0000FF"/>
            <w:sz w:val="24"/>
            <w:szCs w:val="24"/>
            <w:u w:val="single"/>
            <w:lang w:val="en-US"/>
          </w:rPr>
          <w:t>https://doi.org/10.9734/ajrcos/2024/v17i1411</w:t>
        </w:r>
      </w:hyperlink>
    </w:p>
    <w:p w14:paraId="2049FCEC"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Pahl, C., </w:t>
      </w:r>
      <w:proofErr w:type="spellStart"/>
      <w:r w:rsidRPr="001F2388">
        <w:rPr>
          <w:rFonts w:ascii="Times New Roman" w:eastAsia="Times New Roman" w:hAnsi="Times New Roman" w:cs="Times New Roman"/>
          <w:sz w:val="24"/>
          <w:szCs w:val="24"/>
          <w:lang w:val="en-US"/>
        </w:rPr>
        <w:t>Brogi</w:t>
      </w:r>
      <w:proofErr w:type="spellEnd"/>
      <w:r w:rsidRPr="001F2388">
        <w:rPr>
          <w:rFonts w:ascii="Times New Roman" w:eastAsia="Times New Roman" w:hAnsi="Times New Roman" w:cs="Times New Roman"/>
          <w:sz w:val="24"/>
          <w:szCs w:val="24"/>
          <w:lang w:val="en-US"/>
        </w:rPr>
        <w:t xml:space="preserve">, A., Soldani, J., &amp; Jamshidi, P. (2019). Cloud container technologies: A state-of-the-art review. </w:t>
      </w:r>
      <w:r w:rsidRPr="001F2388">
        <w:rPr>
          <w:rFonts w:ascii="Times New Roman" w:eastAsia="Times New Roman" w:hAnsi="Times New Roman" w:cs="Times New Roman"/>
          <w:i/>
          <w:iCs/>
          <w:sz w:val="24"/>
          <w:szCs w:val="24"/>
          <w:lang w:val="en-US"/>
        </w:rPr>
        <w:t>IEEE Transactions on Cloud Computing, 7</w:t>
      </w:r>
      <w:r w:rsidRPr="001F2388">
        <w:rPr>
          <w:rFonts w:ascii="Times New Roman" w:eastAsia="Times New Roman" w:hAnsi="Times New Roman" w:cs="Times New Roman"/>
          <w:sz w:val="24"/>
          <w:szCs w:val="24"/>
          <w:lang w:val="en-US"/>
        </w:rPr>
        <w:t xml:space="preserve">(3), 677–692. </w:t>
      </w:r>
      <w:hyperlink r:id="rId34" w:history="1">
        <w:r w:rsidRPr="001F2388">
          <w:rPr>
            <w:rFonts w:ascii="Times New Roman" w:eastAsia="Times New Roman" w:hAnsi="Times New Roman" w:cs="Times New Roman"/>
            <w:color w:val="0000FF"/>
            <w:sz w:val="24"/>
            <w:szCs w:val="24"/>
            <w:u w:val="single"/>
            <w:lang w:val="en-US"/>
          </w:rPr>
          <w:t>https://doi.org/10.1109/TCC.2017.2702586</w:t>
        </w:r>
      </w:hyperlink>
    </w:p>
    <w:p w14:paraId="5178A0BB"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Pearce, M., </w:t>
      </w:r>
      <w:proofErr w:type="spellStart"/>
      <w:r w:rsidRPr="001F2388">
        <w:rPr>
          <w:rFonts w:ascii="Times New Roman" w:eastAsia="Times New Roman" w:hAnsi="Times New Roman" w:cs="Times New Roman"/>
          <w:sz w:val="24"/>
          <w:szCs w:val="24"/>
          <w:lang w:val="en-US"/>
        </w:rPr>
        <w:t>Zeadally</w:t>
      </w:r>
      <w:proofErr w:type="spellEnd"/>
      <w:r w:rsidRPr="001F2388">
        <w:rPr>
          <w:rFonts w:ascii="Times New Roman" w:eastAsia="Times New Roman" w:hAnsi="Times New Roman" w:cs="Times New Roman"/>
          <w:sz w:val="24"/>
          <w:szCs w:val="24"/>
          <w:lang w:val="en-US"/>
        </w:rPr>
        <w:t xml:space="preserve">, S., &amp; Hunt, R. (2013). Virtualization: Issues, security threats, and solutions. </w:t>
      </w:r>
      <w:r w:rsidRPr="001F2388">
        <w:rPr>
          <w:rFonts w:ascii="Times New Roman" w:eastAsia="Times New Roman" w:hAnsi="Times New Roman" w:cs="Times New Roman"/>
          <w:i/>
          <w:iCs/>
          <w:sz w:val="24"/>
          <w:szCs w:val="24"/>
          <w:lang w:val="en-US"/>
        </w:rPr>
        <w:t>ACM Computing Surveys, 45</w:t>
      </w:r>
      <w:r w:rsidRPr="001F2388">
        <w:rPr>
          <w:rFonts w:ascii="Times New Roman" w:eastAsia="Times New Roman" w:hAnsi="Times New Roman" w:cs="Times New Roman"/>
          <w:sz w:val="24"/>
          <w:szCs w:val="24"/>
          <w:lang w:val="en-US"/>
        </w:rPr>
        <w:t xml:space="preserve">(2), Article 17, 1–39. </w:t>
      </w:r>
      <w:hyperlink r:id="rId35" w:history="1">
        <w:r w:rsidRPr="001F2388">
          <w:rPr>
            <w:rFonts w:ascii="Times New Roman" w:eastAsia="Times New Roman" w:hAnsi="Times New Roman" w:cs="Times New Roman"/>
            <w:color w:val="0000FF"/>
            <w:sz w:val="24"/>
            <w:szCs w:val="24"/>
            <w:u w:val="single"/>
            <w:lang w:val="en-US"/>
          </w:rPr>
          <w:t>https://doi.org/10.1145/2431211.2431216</w:t>
        </w:r>
      </w:hyperlink>
    </w:p>
    <w:p w14:paraId="1BBB0C37"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Rajab, R., &amp; </w:t>
      </w:r>
      <w:proofErr w:type="spellStart"/>
      <w:r w:rsidRPr="001F2388">
        <w:rPr>
          <w:rFonts w:ascii="Times New Roman" w:eastAsia="Times New Roman" w:hAnsi="Times New Roman" w:cs="Times New Roman"/>
          <w:sz w:val="24"/>
          <w:szCs w:val="24"/>
          <w:lang w:val="en-US"/>
        </w:rPr>
        <w:t>Alnoukari</w:t>
      </w:r>
      <w:proofErr w:type="spellEnd"/>
      <w:r w:rsidRPr="001F2388">
        <w:rPr>
          <w:rFonts w:ascii="Times New Roman" w:eastAsia="Times New Roman" w:hAnsi="Times New Roman" w:cs="Times New Roman"/>
          <w:sz w:val="24"/>
          <w:szCs w:val="24"/>
          <w:lang w:val="en-US"/>
        </w:rPr>
        <w:t xml:space="preserve">, M. (2025). DevOps integration with capability model maturity integration: A systematic mapping review. </w:t>
      </w:r>
      <w:r w:rsidRPr="001F2388">
        <w:rPr>
          <w:rFonts w:ascii="Times New Roman" w:eastAsia="Times New Roman" w:hAnsi="Times New Roman" w:cs="Times New Roman"/>
          <w:i/>
          <w:iCs/>
          <w:sz w:val="24"/>
          <w:szCs w:val="24"/>
          <w:lang w:val="en-US"/>
        </w:rPr>
        <w:t>IEEE Access, 13</w:t>
      </w:r>
      <w:r w:rsidRPr="001F2388">
        <w:rPr>
          <w:rFonts w:ascii="Times New Roman" w:eastAsia="Times New Roman" w:hAnsi="Times New Roman" w:cs="Times New Roman"/>
          <w:sz w:val="24"/>
          <w:szCs w:val="24"/>
          <w:lang w:val="en-US"/>
        </w:rPr>
        <w:t xml:space="preserve">, 31829–31841. </w:t>
      </w:r>
      <w:hyperlink r:id="rId36" w:history="1">
        <w:r w:rsidRPr="001F2388">
          <w:rPr>
            <w:rFonts w:ascii="Times New Roman" w:eastAsia="Times New Roman" w:hAnsi="Times New Roman" w:cs="Times New Roman"/>
            <w:color w:val="0000FF"/>
            <w:sz w:val="24"/>
            <w:szCs w:val="24"/>
            <w:u w:val="single"/>
            <w:lang w:val="en-US"/>
          </w:rPr>
          <w:t>https://doi.org/10.1109/ACCESS.2025.3542630</w:t>
        </w:r>
      </w:hyperlink>
    </w:p>
    <w:p w14:paraId="71D04B21"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Reis, D., Piedade, B., Correia, F. F., Dias, J. P., &amp; Aguiar, A. (2022). Developing Docker and Docker-Compose specifications: A developers’ survey. </w:t>
      </w:r>
      <w:r w:rsidRPr="001F2388">
        <w:rPr>
          <w:rFonts w:ascii="Times New Roman" w:eastAsia="Times New Roman" w:hAnsi="Times New Roman" w:cs="Times New Roman"/>
          <w:i/>
          <w:iCs/>
          <w:sz w:val="24"/>
          <w:szCs w:val="24"/>
          <w:lang w:val="en-US"/>
        </w:rPr>
        <w:t>IEEE Access, 10</w:t>
      </w:r>
      <w:r w:rsidRPr="001F2388">
        <w:rPr>
          <w:rFonts w:ascii="Times New Roman" w:eastAsia="Times New Roman" w:hAnsi="Times New Roman" w:cs="Times New Roman"/>
          <w:sz w:val="24"/>
          <w:szCs w:val="24"/>
          <w:lang w:val="en-US"/>
        </w:rPr>
        <w:t xml:space="preserve">, 2318–2329. </w:t>
      </w:r>
      <w:hyperlink r:id="rId37" w:history="1">
        <w:r w:rsidRPr="001F2388">
          <w:rPr>
            <w:rFonts w:ascii="Times New Roman" w:eastAsia="Times New Roman" w:hAnsi="Times New Roman" w:cs="Times New Roman"/>
            <w:color w:val="0000FF"/>
            <w:sz w:val="24"/>
            <w:szCs w:val="24"/>
            <w:u w:val="single"/>
            <w:lang w:val="en-US"/>
          </w:rPr>
          <w:t>https://doi.org/10.1109/ACCESS.2021.3137671</w:t>
        </w:r>
      </w:hyperlink>
    </w:p>
    <w:p w14:paraId="5EDF372F"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Rosa, G., Scalabrino, S., Bavota, G., &amp; Oliveto, R. (2023). What quality aspects influence the adoption of Docker images? </w:t>
      </w:r>
      <w:r w:rsidRPr="001F2388">
        <w:rPr>
          <w:rFonts w:ascii="Times New Roman" w:eastAsia="Times New Roman" w:hAnsi="Times New Roman" w:cs="Times New Roman"/>
          <w:i/>
          <w:iCs/>
          <w:sz w:val="24"/>
          <w:szCs w:val="24"/>
          <w:lang w:val="en-US"/>
        </w:rPr>
        <w:t>ACM Transactions on Software Engineering and Methodology, 32</w:t>
      </w:r>
      <w:r w:rsidRPr="001F2388">
        <w:rPr>
          <w:rFonts w:ascii="Times New Roman" w:eastAsia="Times New Roman" w:hAnsi="Times New Roman" w:cs="Times New Roman"/>
          <w:sz w:val="24"/>
          <w:szCs w:val="24"/>
          <w:lang w:val="en-US"/>
        </w:rPr>
        <w:t xml:space="preserve">(6), Article 142, 1–30. </w:t>
      </w:r>
      <w:hyperlink r:id="rId38" w:history="1">
        <w:r w:rsidRPr="001F2388">
          <w:rPr>
            <w:rFonts w:ascii="Times New Roman" w:eastAsia="Times New Roman" w:hAnsi="Times New Roman" w:cs="Times New Roman"/>
            <w:color w:val="0000FF"/>
            <w:sz w:val="24"/>
            <w:szCs w:val="24"/>
            <w:u w:val="single"/>
            <w:lang w:val="en-US"/>
          </w:rPr>
          <w:t>https://doi.org/10.1145/3603111</w:t>
        </w:r>
      </w:hyperlink>
    </w:p>
    <w:p w14:paraId="3454EC34"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1F2388">
        <w:rPr>
          <w:rFonts w:ascii="Times New Roman" w:eastAsia="Times New Roman" w:hAnsi="Times New Roman" w:cs="Times New Roman"/>
          <w:sz w:val="24"/>
          <w:szCs w:val="24"/>
          <w:lang w:val="en-US"/>
        </w:rPr>
        <w:lastRenderedPageBreak/>
        <w:t>Senjab</w:t>
      </w:r>
      <w:proofErr w:type="spellEnd"/>
      <w:r w:rsidRPr="001F2388">
        <w:rPr>
          <w:rFonts w:ascii="Times New Roman" w:eastAsia="Times New Roman" w:hAnsi="Times New Roman" w:cs="Times New Roman"/>
          <w:sz w:val="24"/>
          <w:szCs w:val="24"/>
          <w:lang w:val="en-US"/>
        </w:rPr>
        <w:t xml:space="preserve">, K., Abbas, S., Ahmed, N., &amp; Khan, A. U. R. (2023). A survey of Kubernetes scheduling algorithms. </w:t>
      </w:r>
      <w:r w:rsidRPr="001F2388">
        <w:rPr>
          <w:rFonts w:ascii="Times New Roman" w:eastAsia="Times New Roman" w:hAnsi="Times New Roman" w:cs="Times New Roman"/>
          <w:i/>
          <w:iCs/>
          <w:sz w:val="24"/>
          <w:szCs w:val="24"/>
          <w:lang w:val="en-US"/>
        </w:rPr>
        <w:t>Journal of Cloud Computing, 12</w:t>
      </w:r>
      <w:r w:rsidRPr="001F2388">
        <w:rPr>
          <w:rFonts w:ascii="Times New Roman" w:eastAsia="Times New Roman" w:hAnsi="Times New Roman" w:cs="Times New Roman"/>
          <w:sz w:val="24"/>
          <w:szCs w:val="24"/>
          <w:lang w:val="en-US"/>
        </w:rPr>
        <w:t xml:space="preserve">, Article 87. </w:t>
      </w:r>
      <w:hyperlink r:id="rId39" w:history="1">
        <w:r w:rsidRPr="001F2388">
          <w:rPr>
            <w:rFonts w:ascii="Times New Roman" w:eastAsia="Times New Roman" w:hAnsi="Times New Roman" w:cs="Times New Roman"/>
            <w:color w:val="0000FF"/>
            <w:sz w:val="24"/>
            <w:szCs w:val="24"/>
            <w:u w:val="single"/>
            <w:lang w:val="en-US"/>
          </w:rPr>
          <w:t>https://doi.org/10.1186/s13677-023-00471-1</w:t>
        </w:r>
      </w:hyperlink>
    </w:p>
    <w:p w14:paraId="38F65079"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1F2388">
        <w:rPr>
          <w:rFonts w:ascii="Times New Roman" w:eastAsia="Times New Roman" w:hAnsi="Times New Roman" w:cs="Times New Roman"/>
          <w:sz w:val="24"/>
          <w:szCs w:val="24"/>
          <w:lang w:val="en-US"/>
        </w:rPr>
        <w:t>Shirinbab</w:t>
      </w:r>
      <w:proofErr w:type="spellEnd"/>
      <w:r w:rsidRPr="001F2388">
        <w:rPr>
          <w:rFonts w:ascii="Times New Roman" w:eastAsia="Times New Roman" w:hAnsi="Times New Roman" w:cs="Times New Roman"/>
          <w:sz w:val="24"/>
          <w:szCs w:val="24"/>
          <w:lang w:val="en-US"/>
        </w:rPr>
        <w:t xml:space="preserve">, S., Lundberg, L., &amp; </w:t>
      </w:r>
      <w:proofErr w:type="spellStart"/>
      <w:r w:rsidRPr="001F2388">
        <w:rPr>
          <w:rFonts w:ascii="Times New Roman" w:eastAsia="Times New Roman" w:hAnsi="Times New Roman" w:cs="Times New Roman"/>
          <w:sz w:val="24"/>
          <w:szCs w:val="24"/>
          <w:lang w:val="en-US"/>
        </w:rPr>
        <w:t>Casalicchio</w:t>
      </w:r>
      <w:proofErr w:type="spellEnd"/>
      <w:r w:rsidRPr="001F2388">
        <w:rPr>
          <w:rFonts w:ascii="Times New Roman" w:eastAsia="Times New Roman" w:hAnsi="Times New Roman" w:cs="Times New Roman"/>
          <w:sz w:val="24"/>
          <w:szCs w:val="24"/>
          <w:lang w:val="en-US"/>
        </w:rPr>
        <w:t xml:space="preserve">, E. (2020). Performance evaluation of containers and virtual machines when running Cassandra workload concurrently. </w:t>
      </w:r>
      <w:r w:rsidRPr="001F2388">
        <w:rPr>
          <w:rFonts w:ascii="Times New Roman" w:eastAsia="Times New Roman" w:hAnsi="Times New Roman" w:cs="Times New Roman"/>
          <w:i/>
          <w:iCs/>
          <w:sz w:val="24"/>
          <w:szCs w:val="24"/>
          <w:lang w:val="en-US"/>
        </w:rPr>
        <w:t>Concurrency and Computation: Practice and Experience, 32</w:t>
      </w:r>
      <w:r w:rsidRPr="001F2388">
        <w:rPr>
          <w:rFonts w:ascii="Times New Roman" w:eastAsia="Times New Roman" w:hAnsi="Times New Roman" w:cs="Times New Roman"/>
          <w:sz w:val="24"/>
          <w:szCs w:val="24"/>
          <w:lang w:val="en-US"/>
        </w:rPr>
        <w:t xml:space="preserve">(17), Article e5693. </w:t>
      </w:r>
      <w:hyperlink r:id="rId40" w:history="1">
        <w:r w:rsidRPr="001F2388">
          <w:rPr>
            <w:rFonts w:ascii="Times New Roman" w:eastAsia="Times New Roman" w:hAnsi="Times New Roman" w:cs="Times New Roman"/>
            <w:color w:val="0000FF"/>
            <w:sz w:val="24"/>
            <w:szCs w:val="24"/>
            <w:u w:val="single"/>
            <w:lang w:val="en-US"/>
          </w:rPr>
          <w:t>https://doi.org/10.1002/cpe.5693</w:t>
        </w:r>
      </w:hyperlink>
    </w:p>
    <w:p w14:paraId="5C79F3AB"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Singh, A. J., &amp; Singh, A. P. (2024). Evolution of information technology: A comprehensive review. </w:t>
      </w:r>
      <w:r w:rsidRPr="001F2388">
        <w:rPr>
          <w:rFonts w:ascii="Times New Roman" w:eastAsia="Times New Roman" w:hAnsi="Times New Roman" w:cs="Times New Roman"/>
          <w:i/>
          <w:iCs/>
          <w:sz w:val="24"/>
          <w:szCs w:val="24"/>
          <w:lang w:val="en-US"/>
        </w:rPr>
        <w:t>Asian Journal of Current Research, 9</w:t>
      </w:r>
      <w:r w:rsidRPr="001F2388">
        <w:rPr>
          <w:rFonts w:ascii="Times New Roman" w:eastAsia="Times New Roman" w:hAnsi="Times New Roman" w:cs="Times New Roman"/>
          <w:sz w:val="24"/>
          <w:szCs w:val="24"/>
          <w:lang w:val="en-US"/>
        </w:rPr>
        <w:t xml:space="preserve">(4), 78–90. </w:t>
      </w:r>
      <w:hyperlink r:id="rId41" w:history="1">
        <w:r w:rsidRPr="001F2388">
          <w:rPr>
            <w:rFonts w:ascii="Times New Roman" w:eastAsia="Times New Roman" w:hAnsi="Times New Roman" w:cs="Times New Roman"/>
            <w:color w:val="0000FF"/>
            <w:sz w:val="24"/>
            <w:szCs w:val="24"/>
            <w:u w:val="single"/>
            <w:lang w:val="en-US"/>
          </w:rPr>
          <w:t>https://doi.org/10.56557/ajocr/2024/v9i48892</w:t>
        </w:r>
      </w:hyperlink>
    </w:p>
    <w:p w14:paraId="4D85CC6C"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Soldani, J., Tamburri, D. A., &amp; van den Heuvel, W.-J. (2018). The pains and gains of microservices: A systematic grey literature review. </w:t>
      </w:r>
      <w:r w:rsidRPr="001F2388">
        <w:rPr>
          <w:rFonts w:ascii="Times New Roman" w:eastAsia="Times New Roman" w:hAnsi="Times New Roman" w:cs="Times New Roman"/>
          <w:i/>
          <w:iCs/>
          <w:sz w:val="24"/>
          <w:szCs w:val="24"/>
          <w:lang w:val="en-US"/>
        </w:rPr>
        <w:t>Journal of Systems and Software, 146</w:t>
      </w:r>
      <w:r w:rsidRPr="001F2388">
        <w:rPr>
          <w:rFonts w:ascii="Times New Roman" w:eastAsia="Times New Roman" w:hAnsi="Times New Roman" w:cs="Times New Roman"/>
          <w:sz w:val="24"/>
          <w:szCs w:val="24"/>
          <w:lang w:val="en-US"/>
        </w:rPr>
        <w:t xml:space="preserve">, 215–232. </w:t>
      </w:r>
      <w:hyperlink r:id="rId42" w:history="1">
        <w:r w:rsidRPr="001F2388">
          <w:rPr>
            <w:rFonts w:ascii="Times New Roman" w:eastAsia="Times New Roman" w:hAnsi="Times New Roman" w:cs="Times New Roman"/>
            <w:color w:val="0000FF"/>
            <w:sz w:val="24"/>
            <w:szCs w:val="24"/>
            <w:u w:val="single"/>
            <w:lang w:val="en-US"/>
          </w:rPr>
          <w:t>https://doi.org/10.1016/j.jss.2018.09.082</w:t>
        </w:r>
      </w:hyperlink>
    </w:p>
    <w:p w14:paraId="21003B41"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Söylemez, M., </w:t>
      </w:r>
      <w:proofErr w:type="spellStart"/>
      <w:r w:rsidRPr="001F2388">
        <w:rPr>
          <w:rFonts w:ascii="Times New Roman" w:eastAsia="Times New Roman" w:hAnsi="Times New Roman" w:cs="Times New Roman"/>
          <w:sz w:val="24"/>
          <w:szCs w:val="24"/>
          <w:lang w:val="en-US"/>
        </w:rPr>
        <w:t>Tekinerdogan</w:t>
      </w:r>
      <w:proofErr w:type="spellEnd"/>
      <w:r w:rsidRPr="001F2388">
        <w:rPr>
          <w:rFonts w:ascii="Times New Roman" w:eastAsia="Times New Roman" w:hAnsi="Times New Roman" w:cs="Times New Roman"/>
          <w:sz w:val="24"/>
          <w:szCs w:val="24"/>
          <w:lang w:val="en-US"/>
        </w:rPr>
        <w:t xml:space="preserve">, B., &amp; </w:t>
      </w:r>
      <w:proofErr w:type="spellStart"/>
      <w:r w:rsidRPr="001F2388">
        <w:rPr>
          <w:rFonts w:ascii="Times New Roman" w:eastAsia="Times New Roman" w:hAnsi="Times New Roman" w:cs="Times New Roman"/>
          <w:sz w:val="24"/>
          <w:szCs w:val="24"/>
          <w:lang w:val="en-US"/>
        </w:rPr>
        <w:t>Kolukısa</w:t>
      </w:r>
      <w:proofErr w:type="spellEnd"/>
      <w:r w:rsidRPr="001F2388">
        <w:rPr>
          <w:rFonts w:ascii="Times New Roman" w:eastAsia="Times New Roman" w:hAnsi="Times New Roman" w:cs="Times New Roman"/>
          <w:sz w:val="24"/>
          <w:szCs w:val="24"/>
          <w:lang w:val="en-US"/>
        </w:rPr>
        <w:t xml:space="preserve"> Tarhan, A. (2022). Challenges and solution directions of microservice architectures: A systematic literature review. </w:t>
      </w:r>
      <w:r w:rsidRPr="001F2388">
        <w:rPr>
          <w:rFonts w:ascii="Times New Roman" w:eastAsia="Times New Roman" w:hAnsi="Times New Roman" w:cs="Times New Roman"/>
          <w:i/>
          <w:iCs/>
          <w:sz w:val="24"/>
          <w:szCs w:val="24"/>
          <w:lang w:val="en-US"/>
        </w:rPr>
        <w:t>Applied Sciences, 12</w:t>
      </w:r>
      <w:r w:rsidRPr="001F2388">
        <w:rPr>
          <w:rFonts w:ascii="Times New Roman" w:eastAsia="Times New Roman" w:hAnsi="Times New Roman" w:cs="Times New Roman"/>
          <w:sz w:val="24"/>
          <w:szCs w:val="24"/>
          <w:lang w:val="en-US"/>
        </w:rPr>
        <w:t xml:space="preserve">(11), Article 5507. </w:t>
      </w:r>
      <w:hyperlink r:id="rId43" w:history="1">
        <w:r w:rsidRPr="001F2388">
          <w:rPr>
            <w:rFonts w:ascii="Times New Roman" w:eastAsia="Times New Roman" w:hAnsi="Times New Roman" w:cs="Times New Roman"/>
            <w:color w:val="0000FF"/>
            <w:sz w:val="24"/>
            <w:szCs w:val="24"/>
            <w:u w:val="single"/>
            <w:lang w:val="en-US"/>
          </w:rPr>
          <w:t>https://doi.org/10.3390/app12115507</w:t>
        </w:r>
      </w:hyperlink>
    </w:p>
    <w:p w14:paraId="20EDF54C"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Wang, Y., Kadiyala, H., &amp; Rubin, J. (2021). Promises and challenges of microservices: An exploratory study. </w:t>
      </w:r>
      <w:r w:rsidRPr="001F2388">
        <w:rPr>
          <w:rFonts w:ascii="Times New Roman" w:eastAsia="Times New Roman" w:hAnsi="Times New Roman" w:cs="Times New Roman"/>
          <w:i/>
          <w:iCs/>
          <w:sz w:val="24"/>
          <w:szCs w:val="24"/>
          <w:lang w:val="en-US"/>
        </w:rPr>
        <w:t>Empirical Software Engineering, 26</w:t>
      </w:r>
      <w:r w:rsidRPr="001F2388">
        <w:rPr>
          <w:rFonts w:ascii="Times New Roman" w:eastAsia="Times New Roman" w:hAnsi="Times New Roman" w:cs="Times New Roman"/>
          <w:sz w:val="24"/>
          <w:szCs w:val="24"/>
          <w:lang w:val="en-US"/>
        </w:rPr>
        <w:t xml:space="preserve">(4), Article 63. </w:t>
      </w:r>
      <w:hyperlink r:id="rId44" w:history="1">
        <w:r w:rsidRPr="001F2388">
          <w:rPr>
            <w:rFonts w:ascii="Times New Roman" w:eastAsia="Times New Roman" w:hAnsi="Times New Roman" w:cs="Times New Roman"/>
            <w:color w:val="0000FF"/>
            <w:sz w:val="24"/>
            <w:szCs w:val="24"/>
            <w:u w:val="single"/>
            <w:lang w:val="en-US"/>
          </w:rPr>
          <w:t>https://doi.org/10.1007/s10664-020-09910-y</w:t>
        </w:r>
      </w:hyperlink>
    </w:p>
    <w:p w14:paraId="63E81F6D"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Waseem, M., Ahmad, A., Liang, P., Akbar, M. A., Khan, A. A., Ahmad, I., Setälä, M., &amp; Mikkonen, T. (2025). Containerization in multi-cloud environment: Roles, strategies, challenges, and solutions for effective implementation. </w:t>
      </w:r>
      <w:r w:rsidRPr="001F2388">
        <w:rPr>
          <w:rFonts w:ascii="Times New Roman" w:eastAsia="Times New Roman" w:hAnsi="Times New Roman" w:cs="Times New Roman"/>
          <w:i/>
          <w:iCs/>
          <w:sz w:val="24"/>
          <w:szCs w:val="24"/>
          <w:lang w:val="en-US"/>
        </w:rPr>
        <w:t>Journal of Systems and Software, 230</w:t>
      </w:r>
      <w:r w:rsidRPr="001F2388">
        <w:rPr>
          <w:rFonts w:ascii="Times New Roman" w:eastAsia="Times New Roman" w:hAnsi="Times New Roman" w:cs="Times New Roman"/>
          <w:sz w:val="24"/>
          <w:szCs w:val="24"/>
          <w:lang w:val="en-US"/>
        </w:rPr>
        <w:t xml:space="preserve">, Article 112558. </w:t>
      </w:r>
      <w:hyperlink r:id="rId45" w:history="1">
        <w:r w:rsidRPr="001F2388">
          <w:rPr>
            <w:rFonts w:ascii="Times New Roman" w:eastAsia="Times New Roman" w:hAnsi="Times New Roman" w:cs="Times New Roman"/>
            <w:color w:val="0000FF"/>
            <w:sz w:val="24"/>
            <w:szCs w:val="24"/>
            <w:u w:val="single"/>
            <w:lang w:val="en-US"/>
          </w:rPr>
          <w:t>https://doi.org/10.1016/j.jss.2025.112558</w:t>
        </w:r>
      </w:hyperlink>
    </w:p>
    <w:p w14:paraId="5B0A88FD"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Waseem, M., Liang, P., Shahin, M., Di Salle, A., &amp; Márquez, G. (2021). Design, monitoring, and testing of microservices systems: The practitioners’ perspective. </w:t>
      </w:r>
      <w:r w:rsidRPr="001F2388">
        <w:rPr>
          <w:rFonts w:ascii="Times New Roman" w:eastAsia="Times New Roman" w:hAnsi="Times New Roman" w:cs="Times New Roman"/>
          <w:i/>
          <w:iCs/>
          <w:sz w:val="24"/>
          <w:szCs w:val="24"/>
          <w:lang w:val="en-US"/>
        </w:rPr>
        <w:t>Journal of Systems and Software, 182</w:t>
      </w:r>
      <w:r w:rsidRPr="001F2388">
        <w:rPr>
          <w:rFonts w:ascii="Times New Roman" w:eastAsia="Times New Roman" w:hAnsi="Times New Roman" w:cs="Times New Roman"/>
          <w:sz w:val="24"/>
          <w:szCs w:val="24"/>
          <w:lang w:val="en-US"/>
        </w:rPr>
        <w:t xml:space="preserve">, Article 111061. </w:t>
      </w:r>
      <w:hyperlink r:id="rId46" w:history="1">
        <w:r w:rsidRPr="001F2388">
          <w:rPr>
            <w:rFonts w:ascii="Times New Roman" w:eastAsia="Times New Roman" w:hAnsi="Times New Roman" w:cs="Times New Roman"/>
            <w:color w:val="0000FF"/>
            <w:sz w:val="24"/>
            <w:szCs w:val="24"/>
            <w:u w:val="single"/>
            <w:lang w:val="en-US"/>
          </w:rPr>
          <w:t>https://doi.org/10.1016/j.jss.2021.111061</w:t>
        </w:r>
      </w:hyperlink>
    </w:p>
    <w:p w14:paraId="3E363D6F"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nl-BE"/>
        </w:rPr>
        <w:t xml:space="preserve">Wen, J., Chen, Z., Jin, X., &amp; Liu, X. (2023). </w:t>
      </w:r>
      <w:r w:rsidRPr="001F2388">
        <w:rPr>
          <w:rFonts w:ascii="Times New Roman" w:eastAsia="Times New Roman" w:hAnsi="Times New Roman" w:cs="Times New Roman"/>
          <w:sz w:val="24"/>
          <w:szCs w:val="24"/>
          <w:lang w:val="en-US"/>
        </w:rPr>
        <w:t xml:space="preserve">Rise of the planet of serverless computing: A systematic review. </w:t>
      </w:r>
      <w:r w:rsidRPr="001F2388">
        <w:rPr>
          <w:rFonts w:ascii="Times New Roman" w:eastAsia="Times New Roman" w:hAnsi="Times New Roman" w:cs="Times New Roman"/>
          <w:i/>
          <w:iCs/>
          <w:sz w:val="24"/>
          <w:szCs w:val="24"/>
          <w:lang w:val="en-US"/>
        </w:rPr>
        <w:t>ACM Transactions on Software Engineering and Methodology, 32</w:t>
      </w:r>
      <w:r w:rsidRPr="001F2388">
        <w:rPr>
          <w:rFonts w:ascii="Times New Roman" w:eastAsia="Times New Roman" w:hAnsi="Times New Roman" w:cs="Times New Roman"/>
          <w:sz w:val="24"/>
          <w:szCs w:val="24"/>
          <w:lang w:val="en-US"/>
        </w:rPr>
        <w:t xml:space="preserve">(5), Article 131, 1–61. </w:t>
      </w:r>
      <w:hyperlink r:id="rId47" w:history="1">
        <w:r w:rsidRPr="001F2388">
          <w:rPr>
            <w:rFonts w:ascii="Times New Roman" w:eastAsia="Times New Roman" w:hAnsi="Times New Roman" w:cs="Times New Roman"/>
            <w:color w:val="0000FF"/>
            <w:sz w:val="24"/>
            <w:szCs w:val="24"/>
            <w:u w:val="single"/>
            <w:lang w:val="en-US"/>
          </w:rPr>
          <w:t>https://doi.org/10.1145/3579643</w:t>
        </w:r>
      </w:hyperlink>
    </w:p>
    <w:p w14:paraId="41DF97E7" w14:textId="77777777" w:rsidR="001F2388" w:rsidRPr="001F2388" w:rsidRDefault="001F2388" w:rsidP="001F2388">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1F2388">
        <w:rPr>
          <w:rFonts w:ascii="Times New Roman" w:eastAsia="Times New Roman" w:hAnsi="Times New Roman" w:cs="Times New Roman"/>
          <w:sz w:val="24"/>
          <w:szCs w:val="24"/>
          <w:lang w:val="en-US"/>
        </w:rPr>
        <w:t xml:space="preserve">Zampetti, F., Tamburri, D. A., Panichella, S., Panichella, A., Canfora, G., &amp; Di Penta, M. (2023). Continuous integration and delivery practices for cyber-physical systems: An interview-based study. </w:t>
      </w:r>
      <w:r w:rsidRPr="001F2388">
        <w:rPr>
          <w:rFonts w:ascii="Times New Roman" w:eastAsia="Times New Roman" w:hAnsi="Times New Roman" w:cs="Times New Roman"/>
          <w:i/>
          <w:iCs/>
          <w:sz w:val="24"/>
          <w:szCs w:val="24"/>
          <w:lang w:val="en-US"/>
        </w:rPr>
        <w:t>ACM Transactions on Software Engineering and Methodology, 32</w:t>
      </w:r>
      <w:r w:rsidRPr="001F2388">
        <w:rPr>
          <w:rFonts w:ascii="Times New Roman" w:eastAsia="Times New Roman" w:hAnsi="Times New Roman" w:cs="Times New Roman"/>
          <w:sz w:val="24"/>
          <w:szCs w:val="24"/>
          <w:lang w:val="en-US"/>
        </w:rPr>
        <w:t xml:space="preserve">(3), Article 73, 1–44. </w:t>
      </w:r>
      <w:hyperlink r:id="rId48" w:history="1">
        <w:r w:rsidRPr="001F2388">
          <w:rPr>
            <w:rFonts w:ascii="Times New Roman" w:eastAsia="Times New Roman" w:hAnsi="Times New Roman" w:cs="Times New Roman"/>
            <w:color w:val="0000FF"/>
            <w:sz w:val="24"/>
            <w:szCs w:val="24"/>
            <w:u w:val="single"/>
            <w:lang w:val="en-US"/>
          </w:rPr>
          <w:t>https://doi.org/10.1145/3571854</w:t>
        </w:r>
      </w:hyperlink>
    </w:p>
    <w:p w14:paraId="4F8735B5" w14:textId="59F2DB1B" w:rsidR="004841B3" w:rsidRPr="001F2388" w:rsidRDefault="004841B3" w:rsidP="001F2388">
      <w:pPr>
        <w:rPr>
          <w:rFonts w:ascii="Times New Roman" w:eastAsia="Times New Roman" w:hAnsi="Times New Roman" w:cs="Times New Roman"/>
          <w:sz w:val="24"/>
          <w:szCs w:val="24"/>
          <w:lang w:val="en-US" w:eastAsia="en-GB"/>
        </w:rPr>
      </w:pPr>
    </w:p>
    <w:sectPr w:rsidR="004841B3" w:rsidRPr="001F2388" w:rsidSect="004841B3">
      <w:headerReference w:type="even" r:id="rId49"/>
      <w:headerReference w:type="default" r:id="rId50"/>
      <w:footerReference w:type="even" r:id="rId51"/>
      <w:footerReference w:type="default" r:id="rId52"/>
      <w:headerReference w:type="first" r:id="rId53"/>
      <w:footerReference w:type="first" r:id="rId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6AA4A" w14:textId="77777777" w:rsidR="00B15907" w:rsidRDefault="00B15907" w:rsidP="0091620F">
      <w:pPr>
        <w:spacing w:after="0" w:line="240" w:lineRule="auto"/>
      </w:pPr>
      <w:r>
        <w:separator/>
      </w:r>
    </w:p>
  </w:endnote>
  <w:endnote w:type="continuationSeparator" w:id="0">
    <w:p w14:paraId="756F760E" w14:textId="77777777" w:rsidR="00B15907" w:rsidRDefault="00B15907" w:rsidP="00916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A26BE" w14:textId="77777777" w:rsidR="00151062" w:rsidRDefault="001510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1CD1C" w14:textId="77777777" w:rsidR="00151062" w:rsidRDefault="001510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56D8B" w14:textId="77777777" w:rsidR="00151062" w:rsidRDefault="00151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13C29" w14:textId="77777777" w:rsidR="00B15907" w:rsidRDefault="00B15907" w:rsidP="0091620F">
      <w:pPr>
        <w:spacing w:after="0" w:line="240" w:lineRule="auto"/>
      </w:pPr>
      <w:r>
        <w:separator/>
      </w:r>
    </w:p>
  </w:footnote>
  <w:footnote w:type="continuationSeparator" w:id="0">
    <w:p w14:paraId="7D563772" w14:textId="77777777" w:rsidR="00B15907" w:rsidRDefault="00B15907" w:rsidP="00916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F48E7" w14:textId="5AE3AB16" w:rsidR="00151062" w:rsidRDefault="00000000">
    <w:pPr>
      <w:pStyle w:val="Header"/>
    </w:pPr>
    <w:r>
      <w:rPr>
        <w:noProof/>
      </w:rPr>
      <w:pict w14:anchorId="2F0E83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69701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BA338" w14:textId="290BDDDB" w:rsidR="00151062" w:rsidRDefault="00000000">
    <w:pPr>
      <w:pStyle w:val="Header"/>
    </w:pPr>
    <w:r>
      <w:rPr>
        <w:noProof/>
      </w:rPr>
      <w:pict w14:anchorId="027A4D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69701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6C60" w14:textId="20F8893D" w:rsidR="00151062" w:rsidRDefault="00000000">
    <w:pPr>
      <w:pStyle w:val="Header"/>
    </w:pPr>
    <w:r>
      <w:rPr>
        <w:noProof/>
      </w:rPr>
      <w:pict w14:anchorId="7DB4ED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69701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A1833"/>
    <w:multiLevelType w:val="multilevel"/>
    <w:tmpl w:val="30C8B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231BC2"/>
    <w:multiLevelType w:val="hybridMultilevel"/>
    <w:tmpl w:val="19F67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1740532">
    <w:abstractNumId w:val="1"/>
  </w:num>
  <w:num w:numId="2" w16cid:durableId="2114470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OzNDEwNDQxtDQH0ko6SsGpxcWZ+XkgBYa1AFrBw+wsAAAA"/>
  </w:docVars>
  <w:rsids>
    <w:rsidRoot w:val="00C93EFA"/>
    <w:rsid w:val="00151062"/>
    <w:rsid w:val="001574BA"/>
    <w:rsid w:val="001D69DE"/>
    <w:rsid w:val="001F2388"/>
    <w:rsid w:val="004841B3"/>
    <w:rsid w:val="005B5348"/>
    <w:rsid w:val="00602D2C"/>
    <w:rsid w:val="0091620F"/>
    <w:rsid w:val="009346DF"/>
    <w:rsid w:val="009A2105"/>
    <w:rsid w:val="00B15907"/>
    <w:rsid w:val="00BE2CEA"/>
    <w:rsid w:val="00C80BF1"/>
    <w:rsid w:val="00C84EA2"/>
    <w:rsid w:val="00C93EFA"/>
    <w:rsid w:val="00CE36F6"/>
    <w:rsid w:val="00D26B68"/>
    <w:rsid w:val="00D40FB3"/>
    <w:rsid w:val="00E14E0B"/>
    <w:rsid w:val="00EA47D4"/>
    <w:rsid w:val="00FD12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4079D"/>
  <w15:docId w15:val="{95D48DF8-5BC3-4CF7-A3E0-488EEA12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C93EF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C93EF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C93EFA"/>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93EF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C93EFA"/>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C93EFA"/>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C93E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93EFA"/>
    <w:rPr>
      <w:b/>
      <w:bCs/>
    </w:rPr>
  </w:style>
  <w:style w:type="character" w:styleId="Emphasis">
    <w:name w:val="Emphasis"/>
    <w:basedOn w:val="DefaultParagraphFont"/>
    <w:uiPriority w:val="20"/>
    <w:qFormat/>
    <w:rsid w:val="00C93EFA"/>
    <w:rPr>
      <w:i/>
      <w:iCs/>
    </w:rPr>
  </w:style>
  <w:style w:type="character" w:styleId="Hyperlink">
    <w:name w:val="Hyperlink"/>
    <w:basedOn w:val="DefaultParagraphFont"/>
    <w:uiPriority w:val="99"/>
    <w:semiHidden/>
    <w:unhideWhenUsed/>
    <w:rsid w:val="00C93EFA"/>
    <w:rPr>
      <w:color w:val="0000FF"/>
      <w:u w:val="single"/>
    </w:rPr>
  </w:style>
  <w:style w:type="paragraph" w:styleId="ListParagraph">
    <w:name w:val="List Paragraph"/>
    <w:basedOn w:val="Normal"/>
    <w:uiPriority w:val="34"/>
    <w:qFormat/>
    <w:rsid w:val="00EA47D4"/>
    <w:pPr>
      <w:ind w:left="720"/>
      <w:contextualSpacing/>
    </w:pPr>
  </w:style>
  <w:style w:type="paragraph" w:styleId="NormalWeb">
    <w:name w:val="Normal (Web)"/>
    <w:basedOn w:val="Normal"/>
    <w:uiPriority w:val="99"/>
    <w:semiHidden/>
    <w:unhideWhenUsed/>
    <w:rsid w:val="00EA47D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EA47D4"/>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EA47D4"/>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EA47D4"/>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EA47D4"/>
    <w:rPr>
      <w:rFonts w:ascii="Arial" w:eastAsia="Times New Roman" w:hAnsi="Arial" w:cs="Arial"/>
      <w:vanish/>
      <w:sz w:val="16"/>
      <w:szCs w:val="16"/>
      <w:lang w:eastAsia="en-GB"/>
    </w:rPr>
  </w:style>
  <w:style w:type="table" w:styleId="TableGrid">
    <w:name w:val="Table Grid"/>
    <w:basedOn w:val="TableNormal"/>
    <w:uiPriority w:val="59"/>
    <w:rsid w:val="00EA4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62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20F"/>
  </w:style>
  <w:style w:type="paragraph" w:styleId="Footer">
    <w:name w:val="footer"/>
    <w:basedOn w:val="Normal"/>
    <w:link w:val="FooterChar"/>
    <w:uiPriority w:val="99"/>
    <w:unhideWhenUsed/>
    <w:rsid w:val="009162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33937">
      <w:bodyDiv w:val="1"/>
      <w:marLeft w:val="0"/>
      <w:marRight w:val="0"/>
      <w:marTop w:val="0"/>
      <w:marBottom w:val="0"/>
      <w:divBdr>
        <w:top w:val="none" w:sz="0" w:space="0" w:color="auto"/>
        <w:left w:val="none" w:sz="0" w:space="0" w:color="auto"/>
        <w:bottom w:val="none" w:sz="0" w:space="0" w:color="auto"/>
        <w:right w:val="none" w:sz="0" w:space="0" w:color="auto"/>
      </w:divBdr>
      <w:divsChild>
        <w:div w:id="1347320764">
          <w:marLeft w:val="0"/>
          <w:marRight w:val="0"/>
          <w:marTop w:val="0"/>
          <w:marBottom w:val="0"/>
          <w:divBdr>
            <w:top w:val="none" w:sz="0" w:space="0" w:color="auto"/>
            <w:left w:val="none" w:sz="0" w:space="0" w:color="auto"/>
            <w:bottom w:val="none" w:sz="0" w:space="0" w:color="auto"/>
            <w:right w:val="none" w:sz="0" w:space="0" w:color="auto"/>
          </w:divBdr>
        </w:div>
        <w:div w:id="317341463">
          <w:marLeft w:val="0"/>
          <w:marRight w:val="0"/>
          <w:marTop w:val="0"/>
          <w:marBottom w:val="0"/>
          <w:divBdr>
            <w:top w:val="none" w:sz="0" w:space="0" w:color="auto"/>
            <w:left w:val="none" w:sz="0" w:space="0" w:color="auto"/>
            <w:bottom w:val="none" w:sz="0" w:space="0" w:color="auto"/>
            <w:right w:val="none" w:sz="0" w:space="0" w:color="auto"/>
          </w:divBdr>
        </w:div>
        <w:div w:id="1887794941">
          <w:marLeft w:val="0"/>
          <w:marRight w:val="0"/>
          <w:marTop w:val="0"/>
          <w:marBottom w:val="0"/>
          <w:divBdr>
            <w:top w:val="none" w:sz="0" w:space="0" w:color="auto"/>
            <w:left w:val="none" w:sz="0" w:space="0" w:color="auto"/>
            <w:bottom w:val="none" w:sz="0" w:space="0" w:color="auto"/>
            <w:right w:val="none" w:sz="0" w:space="0" w:color="auto"/>
          </w:divBdr>
        </w:div>
        <w:div w:id="99421065">
          <w:marLeft w:val="0"/>
          <w:marRight w:val="0"/>
          <w:marTop w:val="0"/>
          <w:marBottom w:val="0"/>
          <w:divBdr>
            <w:top w:val="none" w:sz="0" w:space="0" w:color="auto"/>
            <w:left w:val="none" w:sz="0" w:space="0" w:color="auto"/>
            <w:bottom w:val="none" w:sz="0" w:space="0" w:color="auto"/>
            <w:right w:val="none" w:sz="0" w:space="0" w:color="auto"/>
          </w:divBdr>
        </w:div>
        <w:div w:id="404568288">
          <w:marLeft w:val="0"/>
          <w:marRight w:val="0"/>
          <w:marTop w:val="0"/>
          <w:marBottom w:val="0"/>
          <w:divBdr>
            <w:top w:val="none" w:sz="0" w:space="0" w:color="auto"/>
            <w:left w:val="none" w:sz="0" w:space="0" w:color="auto"/>
            <w:bottom w:val="none" w:sz="0" w:space="0" w:color="auto"/>
            <w:right w:val="none" w:sz="0" w:space="0" w:color="auto"/>
          </w:divBdr>
        </w:div>
      </w:divsChild>
    </w:div>
    <w:div w:id="655383601">
      <w:bodyDiv w:val="1"/>
      <w:marLeft w:val="0"/>
      <w:marRight w:val="0"/>
      <w:marTop w:val="0"/>
      <w:marBottom w:val="0"/>
      <w:divBdr>
        <w:top w:val="none" w:sz="0" w:space="0" w:color="auto"/>
        <w:left w:val="none" w:sz="0" w:space="0" w:color="auto"/>
        <w:bottom w:val="none" w:sz="0" w:space="0" w:color="auto"/>
        <w:right w:val="none" w:sz="0" w:space="0" w:color="auto"/>
      </w:divBdr>
      <w:divsChild>
        <w:div w:id="844055948">
          <w:marLeft w:val="0"/>
          <w:marRight w:val="0"/>
          <w:marTop w:val="0"/>
          <w:marBottom w:val="0"/>
          <w:divBdr>
            <w:top w:val="none" w:sz="0" w:space="0" w:color="auto"/>
            <w:left w:val="none" w:sz="0" w:space="0" w:color="auto"/>
            <w:bottom w:val="none" w:sz="0" w:space="0" w:color="auto"/>
            <w:right w:val="none" w:sz="0" w:space="0" w:color="auto"/>
          </w:divBdr>
          <w:divsChild>
            <w:div w:id="1519731444">
              <w:marLeft w:val="0"/>
              <w:marRight w:val="0"/>
              <w:marTop w:val="0"/>
              <w:marBottom w:val="0"/>
              <w:divBdr>
                <w:top w:val="none" w:sz="0" w:space="0" w:color="auto"/>
                <w:left w:val="none" w:sz="0" w:space="0" w:color="auto"/>
                <w:bottom w:val="none" w:sz="0" w:space="0" w:color="auto"/>
                <w:right w:val="none" w:sz="0" w:space="0" w:color="auto"/>
              </w:divBdr>
              <w:divsChild>
                <w:div w:id="1750076115">
                  <w:marLeft w:val="0"/>
                  <w:marRight w:val="0"/>
                  <w:marTop w:val="0"/>
                  <w:marBottom w:val="0"/>
                  <w:divBdr>
                    <w:top w:val="none" w:sz="0" w:space="0" w:color="auto"/>
                    <w:left w:val="none" w:sz="0" w:space="0" w:color="auto"/>
                    <w:bottom w:val="none" w:sz="0" w:space="0" w:color="auto"/>
                    <w:right w:val="none" w:sz="0" w:space="0" w:color="auto"/>
                  </w:divBdr>
                  <w:divsChild>
                    <w:div w:id="1991211359">
                      <w:marLeft w:val="0"/>
                      <w:marRight w:val="0"/>
                      <w:marTop w:val="0"/>
                      <w:marBottom w:val="0"/>
                      <w:divBdr>
                        <w:top w:val="none" w:sz="0" w:space="0" w:color="auto"/>
                        <w:left w:val="none" w:sz="0" w:space="0" w:color="auto"/>
                        <w:bottom w:val="none" w:sz="0" w:space="0" w:color="auto"/>
                        <w:right w:val="none" w:sz="0" w:space="0" w:color="auto"/>
                      </w:divBdr>
                      <w:divsChild>
                        <w:div w:id="1307778887">
                          <w:marLeft w:val="0"/>
                          <w:marRight w:val="0"/>
                          <w:marTop w:val="0"/>
                          <w:marBottom w:val="0"/>
                          <w:divBdr>
                            <w:top w:val="none" w:sz="0" w:space="0" w:color="auto"/>
                            <w:left w:val="none" w:sz="0" w:space="0" w:color="auto"/>
                            <w:bottom w:val="none" w:sz="0" w:space="0" w:color="auto"/>
                            <w:right w:val="none" w:sz="0" w:space="0" w:color="auto"/>
                          </w:divBdr>
                          <w:divsChild>
                            <w:div w:id="699432841">
                              <w:marLeft w:val="0"/>
                              <w:marRight w:val="0"/>
                              <w:marTop w:val="0"/>
                              <w:marBottom w:val="0"/>
                              <w:divBdr>
                                <w:top w:val="none" w:sz="0" w:space="0" w:color="auto"/>
                                <w:left w:val="none" w:sz="0" w:space="0" w:color="auto"/>
                                <w:bottom w:val="none" w:sz="0" w:space="0" w:color="auto"/>
                                <w:right w:val="none" w:sz="0" w:space="0" w:color="auto"/>
                              </w:divBdr>
                              <w:divsChild>
                                <w:div w:id="952711516">
                                  <w:marLeft w:val="0"/>
                                  <w:marRight w:val="0"/>
                                  <w:marTop w:val="0"/>
                                  <w:marBottom w:val="0"/>
                                  <w:divBdr>
                                    <w:top w:val="none" w:sz="0" w:space="0" w:color="auto"/>
                                    <w:left w:val="none" w:sz="0" w:space="0" w:color="auto"/>
                                    <w:bottom w:val="none" w:sz="0" w:space="0" w:color="auto"/>
                                    <w:right w:val="none" w:sz="0" w:space="0" w:color="auto"/>
                                  </w:divBdr>
                                  <w:divsChild>
                                    <w:div w:id="548567760">
                                      <w:marLeft w:val="0"/>
                                      <w:marRight w:val="0"/>
                                      <w:marTop w:val="0"/>
                                      <w:marBottom w:val="0"/>
                                      <w:divBdr>
                                        <w:top w:val="none" w:sz="0" w:space="0" w:color="auto"/>
                                        <w:left w:val="none" w:sz="0" w:space="0" w:color="auto"/>
                                        <w:bottom w:val="none" w:sz="0" w:space="0" w:color="auto"/>
                                        <w:right w:val="none" w:sz="0" w:space="0" w:color="auto"/>
                                      </w:divBdr>
                                      <w:divsChild>
                                        <w:div w:id="792942118">
                                          <w:marLeft w:val="0"/>
                                          <w:marRight w:val="0"/>
                                          <w:marTop w:val="0"/>
                                          <w:marBottom w:val="0"/>
                                          <w:divBdr>
                                            <w:top w:val="none" w:sz="0" w:space="0" w:color="auto"/>
                                            <w:left w:val="none" w:sz="0" w:space="0" w:color="auto"/>
                                            <w:bottom w:val="none" w:sz="0" w:space="0" w:color="auto"/>
                                            <w:right w:val="none" w:sz="0" w:space="0" w:color="auto"/>
                                          </w:divBdr>
                                          <w:divsChild>
                                            <w:div w:id="17069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2874715">
          <w:marLeft w:val="0"/>
          <w:marRight w:val="0"/>
          <w:marTop w:val="0"/>
          <w:marBottom w:val="0"/>
          <w:divBdr>
            <w:top w:val="none" w:sz="0" w:space="0" w:color="auto"/>
            <w:left w:val="none" w:sz="0" w:space="0" w:color="auto"/>
            <w:bottom w:val="none" w:sz="0" w:space="0" w:color="auto"/>
            <w:right w:val="none" w:sz="0" w:space="0" w:color="auto"/>
          </w:divBdr>
          <w:divsChild>
            <w:div w:id="1451048174">
              <w:marLeft w:val="0"/>
              <w:marRight w:val="0"/>
              <w:marTop w:val="0"/>
              <w:marBottom w:val="0"/>
              <w:divBdr>
                <w:top w:val="none" w:sz="0" w:space="0" w:color="auto"/>
                <w:left w:val="none" w:sz="0" w:space="0" w:color="auto"/>
                <w:bottom w:val="none" w:sz="0" w:space="0" w:color="auto"/>
                <w:right w:val="none" w:sz="0" w:space="0" w:color="auto"/>
              </w:divBdr>
              <w:divsChild>
                <w:div w:id="1486315582">
                  <w:marLeft w:val="0"/>
                  <w:marRight w:val="0"/>
                  <w:marTop w:val="0"/>
                  <w:marBottom w:val="0"/>
                  <w:divBdr>
                    <w:top w:val="none" w:sz="0" w:space="0" w:color="auto"/>
                    <w:left w:val="none" w:sz="0" w:space="0" w:color="auto"/>
                    <w:bottom w:val="none" w:sz="0" w:space="0" w:color="auto"/>
                    <w:right w:val="none" w:sz="0" w:space="0" w:color="auto"/>
                  </w:divBdr>
                  <w:divsChild>
                    <w:div w:id="838154973">
                      <w:marLeft w:val="0"/>
                      <w:marRight w:val="0"/>
                      <w:marTop w:val="0"/>
                      <w:marBottom w:val="0"/>
                      <w:divBdr>
                        <w:top w:val="none" w:sz="0" w:space="0" w:color="auto"/>
                        <w:left w:val="none" w:sz="0" w:space="0" w:color="auto"/>
                        <w:bottom w:val="none" w:sz="0" w:space="0" w:color="auto"/>
                        <w:right w:val="none" w:sz="0" w:space="0" w:color="auto"/>
                      </w:divBdr>
                      <w:divsChild>
                        <w:div w:id="1276867567">
                          <w:marLeft w:val="0"/>
                          <w:marRight w:val="0"/>
                          <w:marTop w:val="0"/>
                          <w:marBottom w:val="0"/>
                          <w:divBdr>
                            <w:top w:val="none" w:sz="0" w:space="0" w:color="auto"/>
                            <w:left w:val="none" w:sz="0" w:space="0" w:color="auto"/>
                            <w:bottom w:val="none" w:sz="0" w:space="0" w:color="auto"/>
                            <w:right w:val="none" w:sz="0" w:space="0" w:color="auto"/>
                          </w:divBdr>
                          <w:divsChild>
                            <w:div w:id="670256482">
                              <w:marLeft w:val="0"/>
                              <w:marRight w:val="0"/>
                              <w:marTop w:val="0"/>
                              <w:marBottom w:val="0"/>
                              <w:divBdr>
                                <w:top w:val="none" w:sz="0" w:space="0" w:color="auto"/>
                                <w:left w:val="none" w:sz="0" w:space="0" w:color="auto"/>
                                <w:bottom w:val="none" w:sz="0" w:space="0" w:color="auto"/>
                                <w:right w:val="none" w:sz="0" w:space="0" w:color="auto"/>
                              </w:divBdr>
                              <w:divsChild>
                                <w:div w:id="908226876">
                                  <w:marLeft w:val="0"/>
                                  <w:marRight w:val="0"/>
                                  <w:marTop w:val="0"/>
                                  <w:marBottom w:val="0"/>
                                  <w:divBdr>
                                    <w:top w:val="none" w:sz="0" w:space="0" w:color="auto"/>
                                    <w:left w:val="none" w:sz="0" w:space="0" w:color="auto"/>
                                    <w:bottom w:val="none" w:sz="0" w:space="0" w:color="auto"/>
                                    <w:right w:val="none" w:sz="0" w:space="0" w:color="auto"/>
                                  </w:divBdr>
                                  <w:divsChild>
                                    <w:div w:id="1216426829">
                                      <w:marLeft w:val="0"/>
                                      <w:marRight w:val="0"/>
                                      <w:marTop w:val="0"/>
                                      <w:marBottom w:val="0"/>
                                      <w:divBdr>
                                        <w:top w:val="none" w:sz="0" w:space="0" w:color="auto"/>
                                        <w:left w:val="none" w:sz="0" w:space="0" w:color="auto"/>
                                        <w:bottom w:val="none" w:sz="0" w:space="0" w:color="auto"/>
                                        <w:right w:val="none" w:sz="0" w:space="0" w:color="auto"/>
                                      </w:divBdr>
                                      <w:divsChild>
                                        <w:div w:id="979699190">
                                          <w:marLeft w:val="0"/>
                                          <w:marRight w:val="0"/>
                                          <w:marTop w:val="0"/>
                                          <w:marBottom w:val="0"/>
                                          <w:divBdr>
                                            <w:top w:val="none" w:sz="0" w:space="0" w:color="auto"/>
                                            <w:left w:val="none" w:sz="0" w:space="0" w:color="auto"/>
                                            <w:bottom w:val="none" w:sz="0" w:space="0" w:color="auto"/>
                                            <w:right w:val="none" w:sz="0" w:space="0" w:color="auto"/>
                                          </w:divBdr>
                                          <w:divsChild>
                                            <w:div w:id="2122264758">
                                              <w:marLeft w:val="0"/>
                                              <w:marRight w:val="0"/>
                                              <w:marTop w:val="0"/>
                                              <w:marBottom w:val="0"/>
                                              <w:divBdr>
                                                <w:top w:val="none" w:sz="0" w:space="0" w:color="auto"/>
                                                <w:left w:val="none" w:sz="0" w:space="0" w:color="auto"/>
                                                <w:bottom w:val="none" w:sz="0" w:space="0" w:color="auto"/>
                                                <w:right w:val="none" w:sz="0" w:space="0" w:color="auto"/>
                                              </w:divBdr>
                                              <w:divsChild>
                                                <w:div w:id="1485392521">
                                                  <w:marLeft w:val="0"/>
                                                  <w:marRight w:val="0"/>
                                                  <w:marTop w:val="0"/>
                                                  <w:marBottom w:val="0"/>
                                                  <w:divBdr>
                                                    <w:top w:val="none" w:sz="0" w:space="0" w:color="auto"/>
                                                    <w:left w:val="none" w:sz="0" w:space="0" w:color="auto"/>
                                                    <w:bottom w:val="none" w:sz="0" w:space="0" w:color="auto"/>
                                                    <w:right w:val="none" w:sz="0" w:space="0" w:color="auto"/>
                                                  </w:divBdr>
                                                  <w:divsChild>
                                                    <w:div w:id="90540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6376500">
      <w:bodyDiv w:val="1"/>
      <w:marLeft w:val="0"/>
      <w:marRight w:val="0"/>
      <w:marTop w:val="0"/>
      <w:marBottom w:val="0"/>
      <w:divBdr>
        <w:top w:val="none" w:sz="0" w:space="0" w:color="auto"/>
        <w:left w:val="none" w:sz="0" w:space="0" w:color="auto"/>
        <w:bottom w:val="none" w:sz="0" w:space="0" w:color="auto"/>
        <w:right w:val="none" w:sz="0" w:space="0" w:color="auto"/>
      </w:divBdr>
      <w:divsChild>
        <w:div w:id="1375040192">
          <w:marLeft w:val="0"/>
          <w:marRight w:val="0"/>
          <w:marTop w:val="0"/>
          <w:marBottom w:val="0"/>
          <w:divBdr>
            <w:top w:val="none" w:sz="0" w:space="0" w:color="auto"/>
            <w:left w:val="none" w:sz="0" w:space="0" w:color="auto"/>
            <w:bottom w:val="none" w:sz="0" w:space="0" w:color="auto"/>
            <w:right w:val="none" w:sz="0" w:space="0" w:color="auto"/>
          </w:divBdr>
          <w:divsChild>
            <w:div w:id="1992832303">
              <w:marLeft w:val="0"/>
              <w:marRight w:val="0"/>
              <w:marTop w:val="0"/>
              <w:marBottom w:val="0"/>
              <w:divBdr>
                <w:top w:val="none" w:sz="0" w:space="0" w:color="auto"/>
                <w:left w:val="none" w:sz="0" w:space="0" w:color="auto"/>
                <w:bottom w:val="none" w:sz="0" w:space="0" w:color="auto"/>
                <w:right w:val="none" w:sz="0" w:space="0" w:color="auto"/>
              </w:divBdr>
              <w:divsChild>
                <w:div w:id="2036492869">
                  <w:marLeft w:val="0"/>
                  <w:marRight w:val="0"/>
                  <w:marTop w:val="0"/>
                  <w:marBottom w:val="0"/>
                  <w:divBdr>
                    <w:top w:val="none" w:sz="0" w:space="0" w:color="auto"/>
                    <w:left w:val="none" w:sz="0" w:space="0" w:color="auto"/>
                    <w:bottom w:val="none" w:sz="0" w:space="0" w:color="auto"/>
                    <w:right w:val="none" w:sz="0" w:space="0" w:color="auto"/>
                  </w:divBdr>
                  <w:divsChild>
                    <w:div w:id="1954095880">
                      <w:marLeft w:val="0"/>
                      <w:marRight w:val="0"/>
                      <w:marTop w:val="0"/>
                      <w:marBottom w:val="0"/>
                      <w:divBdr>
                        <w:top w:val="none" w:sz="0" w:space="0" w:color="auto"/>
                        <w:left w:val="none" w:sz="0" w:space="0" w:color="auto"/>
                        <w:bottom w:val="none" w:sz="0" w:space="0" w:color="auto"/>
                        <w:right w:val="none" w:sz="0" w:space="0" w:color="auto"/>
                      </w:divBdr>
                      <w:divsChild>
                        <w:div w:id="1423331183">
                          <w:marLeft w:val="0"/>
                          <w:marRight w:val="0"/>
                          <w:marTop w:val="0"/>
                          <w:marBottom w:val="0"/>
                          <w:divBdr>
                            <w:top w:val="none" w:sz="0" w:space="0" w:color="auto"/>
                            <w:left w:val="none" w:sz="0" w:space="0" w:color="auto"/>
                            <w:bottom w:val="none" w:sz="0" w:space="0" w:color="auto"/>
                            <w:right w:val="none" w:sz="0" w:space="0" w:color="auto"/>
                          </w:divBdr>
                          <w:divsChild>
                            <w:div w:id="1445690325">
                              <w:marLeft w:val="0"/>
                              <w:marRight w:val="0"/>
                              <w:marTop w:val="0"/>
                              <w:marBottom w:val="0"/>
                              <w:divBdr>
                                <w:top w:val="none" w:sz="0" w:space="0" w:color="auto"/>
                                <w:left w:val="none" w:sz="0" w:space="0" w:color="auto"/>
                                <w:bottom w:val="none" w:sz="0" w:space="0" w:color="auto"/>
                                <w:right w:val="none" w:sz="0" w:space="0" w:color="auto"/>
                              </w:divBdr>
                              <w:divsChild>
                                <w:div w:id="1460487385">
                                  <w:marLeft w:val="0"/>
                                  <w:marRight w:val="0"/>
                                  <w:marTop w:val="0"/>
                                  <w:marBottom w:val="0"/>
                                  <w:divBdr>
                                    <w:top w:val="none" w:sz="0" w:space="0" w:color="auto"/>
                                    <w:left w:val="none" w:sz="0" w:space="0" w:color="auto"/>
                                    <w:bottom w:val="none" w:sz="0" w:space="0" w:color="auto"/>
                                    <w:right w:val="none" w:sz="0" w:space="0" w:color="auto"/>
                                  </w:divBdr>
                                  <w:divsChild>
                                    <w:div w:id="2572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2/spe.2608" TargetMode="External"/><Relationship Id="rId18" Type="http://schemas.openxmlformats.org/officeDocument/2006/relationships/hyperlink" Target="https://doi.org/10.1002/cpe.5668" TargetMode="External"/><Relationship Id="rId26" Type="http://schemas.openxmlformats.org/officeDocument/2006/relationships/hyperlink" Target="https://doi.org/10.1016/j.future.2016.08.025" TargetMode="External"/><Relationship Id="rId39" Type="http://schemas.openxmlformats.org/officeDocument/2006/relationships/hyperlink" Target="https://doi.org/10.1186/s13677-023-00471-1" TargetMode="External"/><Relationship Id="rId21" Type="http://schemas.openxmlformats.org/officeDocument/2006/relationships/hyperlink" Target="https://doi.org/10.1016/j.jss.2019.01.001" TargetMode="External"/><Relationship Id="rId34" Type="http://schemas.openxmlformats.org/officeDocument/2006/relationships/hyperlink" Target="https://doi.org/10.1109/TCC.2017.2702586" TargetMode="External"/><Relationship Id="rId42" Type="http://schemas.openxmlformats.org/officeDocument/2006/relationships/hyperlink" Target="https://doi.org/10.1016/j.jss.2018.09.082" TargetMode="External"/><Relationship Id="rId47" Type="http://schemas.openxmlformats.org/officeDocument/2006/relationships/hyperlink" Target="https://doi.org/10.1145/3579643"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hyperlink" Target="https://doi.org/10.1007/s10009-024-00767-w" TargetMode="External"/><Relationship Id="rId2" Type="http://schemas.openxmlformats.org/officeDocument/2006/relationships/styles" Target="styles.xml"/><Relationship Id="rId16" Type="http://schemas.openxmlformats.org/officeDocument/2006/relationships/hyperlink" Target="https://doi.org/10.1007/s10723-022-09629-8" TargetMode="External"/><Relationship Id="rId29" Type="http://schemas.openxmlformats.org/officeDocument/2006/relationships/hyperlink" Target="https://doi.org/10.1016/j.jss.2019.07.083" TargetMode="External"/><Relationship Id="rId11" Type="http://schemas.openxmlformats.org/officeDocument/2006/relationships/hyperlink" Target="https://doi.org/10.1016/j.infsof.2021.106600" TargetMode="External"/><Relationship Id="rId24" Type="http://schemas.openxmlformats.org/officeDocument/2006/relationships/hyperlink" Target="https://doi.org/10.1002/smr.1957" TargetMode="External"/><Relationship Id="rId32" Type="http://schemas.openxmlformats.org/officeDocument/2006/relationships/hyperlink" Target="https://doi.org/10.1016/j.cosrev.2020.100308" TargetMode="External"/><Relationship Id="rId37" Type="http://schemas.openxmlformats.org/officeDocument/2006/relationships/hyperlink" Target="https://doi.org/10.1109/ACCESS.2021.3137671" TargetMode="External"/><Relationship Id="rId40" Type="http://schemas.openxmlformats.org/officeDocument/2006/relationships/hyperlink" Target="https://doi.org/10.1002/cpe.5693" TargetMode="External"/><Relationship Id="rId45" Type="http://schemas.openxmlformats.org/officeDocument/2006/relationships/hyperlink" Target="https://doi.org/10.1016/j.jss.2025.112558" TargetMode="External"/><Relationship Id="rId53"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yperlink" Target="https://doi.org/10.1049/ntw2.12138" TargetMode="External"/><Relationship Id="rId19" Type="http://schemas.openxmlformats.org/officeDocument/2006/relationships/hyperlink" Target="https://doi.org/10.1016/j.future.2021.10.020" TargetMode="External"/><Relationship Id="rId31" Type="http://schemas.openxmlformats.org/officeDocument/2006/relationships/hyperlink" Target="https://doi.org/10.1145/3645092" TargetMode="External"/><Relationship Id="rId44" Type="http://schemas.openxmlformats.org/officeDocument/2006/relationships/hyperlink" Target="https://doi.org/10.1007/s10664-020-09910-y"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016/j.infsof.2024.107583" TargetMode="External"/><Relationship Id="rId14" Type="http://schemas.openxmlformats.org/officeDocument/2006/relationships/hyperlink" Target="https://doi.org/10.1007/s11227-021-03914-1" TargetMode="External"/><Relationship Id="rId22" Type="http://schemas.openxmlformats.org/officeDocument/2006/relationships/hyperlink" Target="https://doi.org/10.1111/j.1471-1842.2009.00848.x" TargetMode="External"/><Relationship Id="rId27" Type="http://schemas.openxmlformats.org/officeDocument/2006/relationships/hyperlink" Target="https://doi.org/10.1002/smr.2733" TargetMode="External"/><Relationship Id="rId30" Type="http://schemas.openxmlformats.org/officeDocument/2006/relationships/hyperlink" Target="https://doi.org/10.1016/j.infsof.2019.06.010" TargetMode="External"/><Relationship Id="rId35" Type="http://schemas.openxmlformats.org/officeDocument/2006/relationships/hyperlink" Target="https://doi.org/10.1145/2431211.2431216" TargetMode="External"/><Relationship Id="rId43" Type="http://schemas.openxmlformats.org/officeDocument/2006/relationships/hyperlink" Target="https://doi.org/10.3390/app12115507" TargetMode="External"/><Relationship Id="rId48" Type="http://schemas.openxmlformats.org/officeDocument/2006/relationships/hyperlink" Target="https://doi.org/10.1145/3571854" TargetMode="External"/><Relationship Id="rId56" Type="http://schemas.openxmlformats.org/officeDocument/2006/relationships/theme" Target="theme/theme1.xml"/><Relationship Id="rId8" Type="http://schemas.openxmlformats.org/officeDocument/2006/relationships/hyperlink" Target="https://doi.org/10.1109/ACCESS.2021.3064867" TargetMode="External"/><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doi.org/10.1016/j.infsof.2023.107150" TargetMode="External"/><Relationship Id="rId17" Type="http://schemas.openxmlformats.org/officeDocument/2006/relationships/hyperlink" Target="https://doi.org/10.1145/3539606" TargetMode="External"/><Relationship Id="rId25" Type="http://schemas.openxmlformats.org/officeDocument/2006/relationships/hyperlink" Target="https://doi.org/10.1145/3715001" TargetMode="External"/><Relationship Id="rId33" Type="http://schemas.openxmlformats.org/officeDocument/2006/relationships/hyperlink" Target="https://doi.org/10.9734/ajrcos/2024/v17i1411" TargetMode="External"/><Relationship Id="rId38" Type="http://schemas.openxmlformats.org/officeDocument/2006/relationships/hyperlink" Target="https://doi.org/10.1145/3603111" TargetMode="External"/><Relationship Id="rId46" Type="http://schemas.openxmlformats.org/officeDocument/2006/relationships/hyperlink" Target="https://doi.org/10.1016/j.jss.2021.111061" TargetMode="External"/><Relationship Id="rId20" Type="http://schemas.openxmlformats.org/officeDocument/2006/relationships/hyperlink" Target="https://doi.org/10.3390/s23084008" TargetMode="External"/><Relationship Id="rId41" Type="http://schemas.openxmlformats.org/officeDocument/2006/relationships/hyperlink" Target="https://doi.org/10.56557/ajocr/2024/v9i48892" TargetMode="External"/><Relationship Id="rId54"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07/s13369-021-05553-3" TargetMode="External"/><Relationship Id="rId23" Type="http://schemas.openxmlformats.org/officeDocument/2006/relationships/hyperlink" Target="https://doi.org/10.1186/s13677-021-00253-7" TargetMode="External"/><Relationship Id="rId28" Type="http://schemas.openxmlformats.org/officeDocument/2006/relationships/hyperlink" Target="https://doi.org/10.1145/3359981" TargetMode="External"/><Relationship Id="rId36" Type="http://schemas.openxmlformats.org/officeDocument/2006/relationships/hyperlink" Target="https://doi.org/10.1109/ACCESS.2025.3542630" TargetMode="External"/><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23</Pages>
  <Words>12189</Words>
  <Characters>69482</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Editor-90</cp:lastModifiedBy>
  <cp:revision>11</cp:revision>
  <dcterms:created xsi:type="dcterms:W3CDTF">2026-06-21T11:35:00Z</dcterms:created>
  <dcterms:modified xsi:type="dcterms:W3CDTF">2026-06-25T11:45:00Z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5ce0292c-daec-4631-8977-aab57814cee9</vt:lpwstr>
  </property>
</Properties>
</file>