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639B" w14:textId="77777777" w:rsidR="00A11F57" w:rsidRDefault="00A11F57">
      <w:pPr>
        <w:pStyle w:val="Title"/>
        <w:spacing w:after="0"/>
        <w:jc w:val="both"/>
        <w:rPr>
          <w:rFonts w:ascii="Arial" w:hAnsi="Arial" w:cs="Arial"/>
        </w:rPr>
      </w:pPr>
    </w:p>
    <w:p w14:paraId="2B00F592" w14:textId="77777777" w:rsidR="00A11F57" w:rsidRDefault="00000000">
      <w:pPr>
        <w:pStyle w:val="Author"/>
        <w:spacing w:line="240" w:lineRule="auto"/>
        <w:rPr>
          <w:rFonts w:ascii="Arial" w:hAnsi="Arial" w:cs="Arial"/>
          <w:bCs/>
          <w:iCs/>
          <w:kern w:val="28"/>
          <w:sz w:val="36"/>
        </w:rPr>
      </w:pPr>
      <w:r>
        <w:rPr>
          <w:rFonts w:ascii="Arial" w:hAnsi="Arial" w:cs="Arial" w:hint="eastAsia"/>
          <w:bCs/>
          <w:iCs/>
          <w:kern w:val="28"/>
          <w:sz w:val="36"/>
        </w:rPr>
        <w:t xml:space="preserve">Key Technologies of Emotion Visualization and Art Therapy: Design and Validation of the </w:t>
      </w:r>
      <w:proofErr w:type="spellStart"/>
      <w:r>
        <w:rPr>
          <w:rFonts w:ascii="Arial" w:hAnsi="Arial" w:cs="Arial" w:hint="eastAsia"/>
          <w:bCs/>
          <w:iCs/>
          <w:kern w:val="28"/>
          <w:sz w:val="36"/>
        </w:rPr>
        <w:t>ArtThera</w:t>
      </w:r>
      <w:proofErr w:type="spellEnd"/>
      <w:r>
        <w:rPr>
          <w:rFonts w:ascii="Arial" w:hAnsi="Arial" w:cs="Arial" w:hint="eastAsia"/>
          <w:bCs/>
          <w:iCs/>
          <w:kern w:val="28"/>
          <w:sz w:val="36"/>
        </w:rPr>
        <w:t xml:space="preserve"> System</w:t>
      </w:r>
      <w:r>
        <w:rPr>
          <w:rFonts w:ascii="Arial" w:hAnsi="Arial" w:cs="Arial"/>
          <w:bCs/>
          <w:iCs/>
          <w:kern w:val="28"/>
          <w:sz w:val="36"/>
        </w:rPr>
        <w:t xml:space="preserve"> </w:t>
      </w:r>
    </w:p>
    <w:p w14:paraId="5ED9A7B9" w14:textId="77777777" w:rsidR="00A11F57" w:rsidRDefault="00A11F57">
      <w:pPr>
        <w:pStyle w:val="Author"/>
        <w:spacing w:line="240" w:lineRule="auto"/>
        <w:jc w:val="both"/>
        <w:rPr>
          <w:rFonts w:ascii="Arial" w:hAnsi="Arial" w:cs="Arial"/>
          <w:sz w:val="36"/>
        </w:rPr>
      </w:pPr>
    </w:p>
    <w:p w14:paraId="5F043B32" w14:textId="77777777" w:rsidR="00A11F57" w:rsidRDefault="00A11F57">
      <w:pPr>
        <w:pStyle w:val="Affiliation"/>
        <w:spacing w:after="0" w:line="240" w:lineRule="auto"/>
        <w:jc w:val="both"/>
        <w:rPr>
          <w:rFonts w:ascii="Arial" w:hAnsi="Arial" w:cs="Arial"/>
        </w:rPr>
      </w:pPr>
    </w:p>
    <w:p w14:paraId="405FE8F2" w14:textId="77777777" w:rsidR="00A11F57" w:rsidRDefault="00A11F57">
      <w:pPr>
        <w:pStyle w:val="Affiliation"/>
        <w:spacing w:after="0" w:line="240" w:lineRule="auto"/>
        <w:jc w:val="both"/>
        <w:rPr>
          <w:rFonts w:ascii="Arial" w:hAnsi="Arial" w:cs="Arial"/>
        </w:rPr>
      </w:pPr>
    </w:p>
    <w:p w14:paraId="3A786873" w14:textId="77777777" w:rsidR="00A11F57" w:rsidRDefault="00000000">
      <w:pPr>
        <w:pStyle w:val="Copyright"/>
        <w:spacing w:after="0" w:line="240" w:lineRule="auto"/>
        <w:jc w:val="both"/>
        <w:rPr>
          <w:rFonts w:ascii="Arial" w:hAnsi="Arial" w:cs="Arial"/>
        </w:rPr>
        <w:sectPr w:rsidR="00A11F57">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docGrid w:linePitch="272"/>
        </w:sectPr>
      </w:pPr>
      <w:r>
        <w:rPr>
          <w:rFonts w:ascii="Arial" w:hAnsi="Arial" w:cs="Arial"/>
        </w:rPr>
      </w:r>
      <w:r>
        <w:rPr>
          <w:rFonts w:ascii="Arial" w:hAnsi="Arial" w:cs="Arial"/>
        </w:rPr>
        <w:pict w14:anchorId="612E46A5">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Pr>
          <w:rFonts w:ascii="Arial" w:hAnsi="Arial" w:cs="Arial"/>
        </w:rPr>
        <w:t>.</w:t>
      </w:r>
    </w:p>
    <w:p w14:paraId="384BEA21"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b/>
          <w:bCs/>
          <w:sz w:val="24"/>
          <w:szCs w:val="24"/>
          <w:lang w:eastAsia="en-GB"/>
        </w:rPr>
        <w:t>Abstract</w:t>
      </w:r>
    </w:p>
    <w:p w14:paraId="5361D279"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b/>
          <w:bCs/>
          <w:sz w:val="24"/>
          <w:szCs w:val="24"/>
          <w:lang w:eastAsia="en-GB"/>
        </w:rPr>
        <w:t>Aims</w:t>
      </w:r>
      <w:r>
        <w:rPr>
          <w:rFonts w:ascii="Times New Roman" w:hAnsi="Times New Roman" w:hint="eastAsia"/>
          <w:sz w:val="24"/>
          <w:szCs w:val="24"/>
          <w:lang w:eastAsia="en-GB"/>
        </w:rPr>
        <w:t xml:space="preserve">: This study presents the design and pilot evaluation of </w:t>
      </w:r>
      <w:proofErr w:type="spellStart"/>
      <w:r>
        <w:rPr>
          <w:rFonts w:ascii="Times New Roman" w:hAnsi="Times New Roman" w:hint="eastAsia"/>
          <w:sz w:val="24"/>
          <w:szCs w:val="24"/>
          <w:lang w:eastAsia="en-GB"/>
        </w:rPr>
        <w:t>ArtThera</w:t>
      </w:r>
      <w:proofErr w:type="spellEnd"/>
      <w:r>
        <w:rPr>
          <w:rFonts w:ascii="Times New Roman" w:hAnsi="Times New Roman" w:hint="eastAsia"/>
          <w:sz w:val="24"/>
          <w:szCs w:val="24"/>
          <w:lang w:eastAsia="en-GB"/>
        </w:rPr>
        <w:t>, a mobile system that integrates emotion visualization, AI-generated art content, and multimodal emotional assessment for use among college students.</w:t>
      </w:r>
    </w:p>
    <w:p w14:paraId="6AD447AB"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b/>
          <w:bCs/>
          <w:sz w:val="24"/>
          <w:szCs w:val="24"/>
          <w:lang w:eastAsia="en-GB"/>
        </w:rPr>
        <w:t>Study Design</w:t>
      </w:r>
      <w:r>
        <w:rPr>
          <w:rFonts w:ascii="Times New Roman" w:hAnsi="Times New Roman" w:hint="eastAsia"/>
          <w:sz w:val="24"/>
          <w:szCs w:val="24"/>
          <w:lang w:eastAsia="en-GB"/>
        </w:rPr>
        <w:t>: A cross-platform mobile application was developed with four main modules: emotion-centric visual capture, a color-emotion mapping engine, an AI-generated art engine, and a multimodal assessment module.</w:t>
      </w:r>
    </w:p>
    <w:p w14:paraId="6CCE518C"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b/>
          <w:bCs/>
          <w:sz w:val="24"/>
          <w:szCs w:val="24"/>
          <w:lang w:eastAsia="en-GB"/>
        </w:rPr>
        <w:t>Methodology</w:t>
      </w:r>
      <w:r>
        <w:rPr>
          <w:rFonts w:ascii="Times New Roman" w:hAnsi="Times New Roman" w:hint="eastAsia"/>
          <w:sz w:val="24"/>
          <w:szCs w:val="24"/>
          <w:lang w:eastAsia="en-GB"/>
        </w:rPr>
        <w:t>: The emotion capture module supports image-based and text-based emotional input. The color-emotion mapping engine applies K-means clustering to extract dominant color features from a curated collection of more than 1,000 classical artworks and links these features to the Pleasure-Arousal-Dominance (PAD) emotional model through statistical association analysis. The AI-generated art engine produces personalized color palettes, minimalist drawing templates, and contextual audio content. The assessment module combines emotion diary records, heart rate variability (HRV) indicators, the Self-Rating Anxiety Scale (SAS), and the Positive and Negative Affect Schedule (PANAS). A four-week pilot evaluation was conducted with 20 undergraduate volunteers recruited through a university psychological association. The study protocol received institutional ethics approval prior to data collection.</w:t>
      </w:r>
    </w:p>
    <w:p w14:paraId="421B4D63"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b/>
          <w:bCs/>
          <w:sz w:val="24"/>
          <w:szCs w:val="24"/>
          <w:lang w:eastAsia="en-GB"/>
        </w:rPr>
        <w:t>Results</w:t>
      </w:r>
      <w:r>
        <w:rPr>
          <w:rFonts w:ascii="Times New Roman" w:hAnsi="Times New Roman" w:hint="eastAsia"/>
          <w:sz w:val="24"/>
          <w:szCs w:val="24"/>
          <w:lang w:eastAsia="en-GB"/>
        </w:rPr>
        <w:t xml:space="preserve">: Participants completed an average of 3.4 sessions per week. The system demonstrated stable operation on Android and iOS platforms, with an average cold-start time of 1.3 seconds and an average content generation response time of 1.7 seconds. Pre-session to post-session comparisons showed a mean RMSSD increase of 12.8% (38.2 </w:t>
      </w:r>
      <w:proofErr w:type="spellStart"/>
      <w:r>
        <w:rPr>
          <w:rFonts w:ascii="Times New Roman" w:hAnsi="Times New Roman" w:hint="eastAsia"/>
          <w:sz w:val="24"/>
          <w:szCs w:val="24"/>
          <w:lang w:eastAsia="en-GB"/>
        </w:rPr>
        <w:t>ms</w:t>
      </w:r>
      <w:proofErr w:type="spellEnd"/>
      <w:r>
        <w:rPr>
          <w:rFonts w:ascii="Times New Roman" w:hAnsi="Times New Roman" w:hint="eastAsia"/>
          <w:sz w:val="24"/>
          <w:szCs w:val="24"/>
          <w:lang w:eastAsia="en-GB"/>
        </w:rPr>
        <w:t xml:space="preserve"> to 43.1 </w:t>
      </w:r>
      <w:proofErr w:type="spellStart"/>
      <w:r>
        <w:rPr>
          <w:rFonts w:ascii="Times New Roman" w:hAnsi="Times New Roman" w:hint="eastAsia"/>
          <w:sz w:val="24"/>
          <w:szCs w:val="24"/>
          <w:lang w:eastAsia="en-GB"/>
        </w:rPr>
        <w:t>ms</w:t>
      </w:r>
      <w:proofErr w:type="spellEnd"/>
      <w:r>
        <w:rPr>
          <w:rFonts w:ascii="Times New Roman" w:hAnsi="Times New Roman" w:hint="eastAsia"/>
          <w:sz w:val="24"/>
          <w:szCs w:val="24"/>
          <w:lang w:eastAsia="en-GB"/>
        </w:rPr>
        <w:t xml:space="preserve">). Weekly HRV monitoring indicated a longitudinal trend of increasing RMSSD from baseline (Week 0: 28.6 </w:t>
      </w:r>
      <w:proofErr w:type="spellStart"/>
      <w:r>
        <w:rPr>
          <w:rFonts w:ascii="Times New Roman" w:hAnsi="Times New Roman" w:hint="eastAsia"/>
          <w:sz w:val="24"/>
          <w:szCs w:val="24"/>
          <w:lang w:eastAsia="en-GB"/>
        </w:rPr>
        <w:t>ms</w:t>
      </w:r>
      <w:proofErr w:type="spellEnd"/>
      <w:r>
        <w:rPr>
          <w:rFonts w:ascii="Times New Roman" w:hAnsi="Times New Roman" w:hint="eastAsia"/>
          <w:sz w:val="24"/>
          <w:szCs w:val="24"/>
          <w:lang w:eastAsia="en-GB"/>
        </w:rPr>
        <w:t xml:space="preserve">) through Week 4 (44.1 </w:t>
      </w:r>
      <w:proofErr w:type="spellStart"/>
      <w:r>
        <w:rPr>
          <w:rFonts w:ascii="Times New Roman" w:hAnsi="Times New Roman" w:hint="eastAsia"/>
          <w:sz w:val="24"/>
          <w:szCs w:val="24"/>
          <w:lang w:eastAsia="en-GB"/>
        </w:rPr>
        <w:t>ms</w:t>
      </w:r>
      <w:proofErr w:type="spellEnd"/>
      <w:r>
        <w:rPr>
          <w:rFonts w:ascii="Times New Roman" w:hAnsi="Times New Roman" w:hint="eastAsia"/>
          <w:sz w:val="24"/>
          <w:szCs w:val="24"/>
          <w:lang w:eastAsia="en-GB"/>
        </w:rPr>
        <w:t>). SAS scores decreased from a baseline mean of 48.6 to 41.3 at the four-week endpoint, while PANAS positive affect scores increased and negative affect scores decreased following individual sessions.</w:t>
      </w:r>
    </w:p>
    <w:p w14:paraId="2C74AD9A" w14:textId="77777777" w:rsidR="00A11F57" w:rsidRDefault="00000000">
      <w:pPr>
        <w:spacing w:before="100" w:beforeAutospacing="1" w:after="100" w:afterAutospacing="1"/>
        <w:rPr>
          <w:rFonts w:ascii="Arial" w:hAnsi="Arial" w:cs="Arial"/>
          <w:i/>
        </w:rPr>
      </w:pPr>
      <w:r>
        <w:rPr>
          <w:rFonts w:ascii="Times New Roman" w:hAnsi="Times New Roman" w:hint="eastAsia"/>
          <w:b/>
          <w:bCs/>
          <w:sz w:val="24"/>
          <w:szCs w:val="24"/>
          <w:lang w:eastAsia="en-GB"/>
        </w:rPr>
        <w:lastRenderedPageBreak/>
        <w:t>Conclusion</w:t>
      </w:r>
      <w:r>
        <w:rPr>
          <w:rFonts w:ascii="Times New Roman" w:hAnsi="Times New Roman" w:hint="eastAsia"/>
          <w:sz w:val="24"/>
          <w:szCs w:val="24"/>
          <w:lang w:eastAsia="en-GB"/>
        </w:rPr>
        <w:t xml:space="preserve">: These preliminary findings suggest that </w:t>
      </w:r>
      <w:proofErr w:type="spellStart"/>
      <w:r>
        <w:rPr>
          <w:rFonts w:ascii="Times New Roman" w:hAnsi="Times New Roman" w:hint="eastAsia"/>
          <w:sz w:val="24"/>
          <w:szCs w:val="24"/>
          <w:lang w:eastAsia="en-GB"/>
        </w:rPr>
        <w:t>ArtThera</w:t>
      </w:r>
      <w:proofErr w:type="spellEnd"/>
      <w:r>
        <w:rPr>
          <w:rFonts w:ascii="Times New Roman" w:hAnsi="Times New Roman" w:hint="eastAsia"/>
          <w:sz w:val="24"/>
          <w:szCs w:val="24"/>
          <w:lang w:eastAsia="en-GB"/>
        </w:rPr>
        <w:t xml:space="preserve"> is technically feasible and acceptable for campus-based emotional support. However, given the absence of a control group, the small sample size (N = 20), and the lack of randomization and formal statistical testing, the therapeutic outcome indicators must be interpreted with caution. No causal conclusions regarding clinical effectiveness can be drawn from this pilot study</w:t>
      </w:r>
      <w:r>
        <w:rPr>
          <w:rFonts w:ascii="Times New Roman" w:hAnsi="Times New Roman"/>
          <w:sz w:val="24"/>
          <w:szCs w:val="24"/>
          <w:lang w:eastAsia="en-GB"/>
        </w:rPr>
        <w:t>.</w:t>
      </w:r>
    </w:p>
    <w:p w14:paraId="1334B03C" w14:textId="77777777" w:rsidR="00A11F57" w:rsidRDefault="00000000">
      <w:pPr>
        <w:pStyle w:val="Body"/>
        <w:spacing w:after="0"/>
        <w:rPr>
          <w:rFonts w:ascii="Arial" w:hAnsi="Arial" w:cs="Arial"/>
          <w:i/>
        </w:rPr>
      </w:pPr>
      <w:r>
        <w:rPr>
          <w:rFonts w:ascii="Arial" w:hAnsi="Arial" w:cs="Arial"/>
          <w:i/>
        </w:rPr>
        <w:t xml:space="preserve">Keywords: </w:t>
      </w:r>
      <w:r>
        <w:rPr>
          <w:rFonts w:ascii="Arial" w:hAnsi="Arial" w:cs="Arial" w:hint="eastAsia"/>
          <w:i/>
        </w:rPr>
        <w:t>emotion visualization; art therapy; K-means clustering; color-emotion mapping; AI-generated art; multimodal emotion assessment; heart rate variability; digital mental health</w:t>
      </w:r>
    </w:p>
    <w:p w14:paraId="0012B2C3" w14:textId="77777777" w:rsidR="00F74B44" w:rsidRDefault="00F74B44">
      <w:pPr>
        <w:pStyle w:val="Body"/>
        <w:spacing w:after="0"/>
        <w:rPr>
          <w:rFonts w:ascii="Arial" w:hAnsi="Arial" w:cs="Arial"/>
          <w:i/>
        </w:rPr>
      </w:pPr>
    </w:p>
    <w:p w14:paraId="6759A59E" w14:textId="77777777" w:rsidR="00A11F57" w:rsidRDefault="00000000">
      <w:pPr>
        <w:pStyle w:val="AbstHead"/>
        <w:spacing w:after="0"/>
        <w:jc w:val="both"/>
        <w:rPr>
          <w:rFonts w:ascii="Arial" w:hAnsi="Arial" w:cs="Arial"/>
        </w:rPr>
      </w:pPr>
      <w:bookmarkStart w:id="0" w:name="introduction"/>
      <w:r>
        <w:rPr>
          <w:rFonts w:ascii="Arial" w:hAnsi="Arial" w:cs="Arial"/>
        </w:rPr>
        <w:t>1. INTRODUCTION</w:t>
      </w:r>
    </w:p>
    <w:p w14:paraId="75338499" w14:textId="77777777" w:rsidR="00A11F57" w:rsidRDefault="00000000">
      <w:pPr>
        <w:pStyle w:val="Body"/>
        <w:spacing w:after="0"/>
        <w:rPr>
          <w:rFonts w:ascii="Arial" w:hAnsi="Arial" w:cs="Arial"/>
        </w:rPr>
      </w:pPr>
      <w:r>
        <w:rPr>
          <w:rFonts w:ascii="Arial" w:hAnsi="Arial" w:cs="Arial" w:hint="eastAsia"/>
        </w:rPr>
        <w:t>Mental health challenges among college students have escalated into a global public health concern. Academic pressure, social isolation, financial uncertainty, and the developmental transition to adulthood collectively contribute to elevated rates of anxiety, depression, and stress-related disorders in campus populations [6, 24]. Despite growing awareness, traditional psychological counseling services face persistent barriers including long waiting periods, spatial constraints requiring physical presence at counseling centers, and the stigma associated with seeking formal mental health support. These structural limitations create an urgent need for accessible, non-stigmatizing, and evidence-based interventions that can be deployed at scale [9, 27].</w:t>
      </w:r>
    </w:p>
    <w:p w14:paraId="5472D87E" w14:textId="77777777" w:rsidR="00A11F57" w:rsidRDefault="00000000">
      <w:pPr>
        <w:pStyle w:val="Body"/>
        <w:spacing w:after="0"/>
        <w:rPr>
          <w:rFonts w:ascii="Arial" w:hAnsi="Arial" w:cs="Arial"/>
        </w:rPr>
      </w:pPr>
      <w:r>
        <w:rPr>
          <w:rFonts w:ascii="Arial" w:hAnsi="Arial" w:cs="Arial" w:hint="eastAsia"/>
        </w:rPr>
        <w:t>Art therapy has emerged as a promising non-pharmacological intervention for emotional regulation. Systematic reviews and meta-analyses have demonstrated that art-based interventions significantly reduce symptoms of anxiety, depression, and fatigue across diverse populations [8, 12]. The therapeutic mechanisms underlying art therapy involve multiple channels: the externalization of internal emotional states through visual expression, the meditative focus induced by creative engagement, and the non-verbal processing of traumatic or distressing experiences [7, 10]. Within educational settings, painting-based art therapy has shown particular efficacy in psychological evaluation and intervention for college students [13]. However, traditional art therapy requires professional facilitation, dedicated physical spaces, and a baseline level of artistic competence, limiting its scalability and accessibility [23].</w:t>
      </w:r>
    </w:p>
    <w:p w14:paraId="54E83DCD" w14:textId="77777777" w:rsidR="00A11F57" w:rsidRDefault="00000000">
      <w:pPr>
        <w:pStyle w:val="Body"/>
        <w:spacing w:after="0"/>
        <w:rPr>
          <w:rFonts w:ascii="Arial" w:hAnsi="Arial" w:cs="Arial"/>
        </w:rPr>
      </w:pPr>
      <w:r>
        <w:rPr>
          <w:rFonts w:ascii="Arial" w:hAnsi="Arial" w:cs="Arial" w:hint="eastAsia"/>
        </w:rPr>
        <w:t>The convergence of artificial intelligence (AI) and digital art tools has opened new possibilities for democratizing art therapy. Recent advances in generative AI models have demonstrated the capacity to produce aesthetically sophisticated visual content that can serve as therapeutic stimuli [1, 5]. Studies have begun to explore AI-mediated generative art in educational and clinical contexts, reporting improvements in emotional expression, creativity, and engagement [3, 4]. Meanwhile, color psychology research has established systematic associations between specific color attributes—hue, saturation, brightness—and emotional states, providing a scientific foundation for computational color-emotion mapping [16, 18]. The technical feasibility of automated color palette extraction using modified K-means clustering algorithms has been validated in prior work [15].</w:t>
      </w:r>
    </w:p>
    <w:p w14:paraId="6C97CE1E" w14:textId="77777777" w:rsidR="00A11F57" w:rsidRDefault="00000000">
      <w:pPr>
        <w:pStyle w:val="Body"/>
        <w:spacing w:after="0"/>
        <w:rPr>
          <w:rFonts w:ascii="Arial" w:hAnsi="Arial" w:cs="Arial"/>
        </w:rPr>
      </w:pPr>
      <w:r>
        <w:rPr>
          <w:rFonts w:ascii="Arial" w:hAnsi="Arial" w:cs="Arial" w:hint="eastAsia"/>
        </w:rPr>
        <w:t xml:space="preserve">The most directly relevant prior work is the AI-driven color-emotion mapping and mobile art therapy platform developed by Tang et al. [17], which established the initial proof-of-concept for integrating AI-generated personalized art content with mobile delivery platforms in campus settings. The present </w:t>
      </w:r>
      <w:proofErr w:type="spellStart"/>
      <w:r>
        <w:rPr>
          <w:rFonts w:ascii="Arial" w:hAnsi="Arial" w:cs="Arial" w:hint="eastAsia"/>
        </w:rPr>
        <w:t>ArtThera</w:t>
      </w:r>
      <w:proofErr w:type="spellEnd"/>
      <w:r>
        <w:rPr>
          <w:rFonts w:ascii="Arial" w:hAnsi="Arial" w:cs="Arial" w:hint="eastAsia"/>
        </w:rPr>
        <w:t xml:space="preserve"> system extends this foundational work in three substantive respects. First, the current system introduces a comprehensive multimodal assessment architecture incorporating HRV monitoring, standardized psychometric scales (SAS and PANAS), and longitudinal emotion diary visualization, whereas the earlier platform relied primarily on self-report measures. Second, </w:t>
      </w:r>
      <w:proofErr w:type="spellStart"/>
      <w:r>
        <w:rPr>
          <w:rFonts w:ascii="Arial" w:hAnsi="Arial" w:cs="Arial" w:hint="eastAsia"/>
        </w:rPr>
        <w:t>ArtThera</w:t>
      </w:r>
      <w:proofErr w:type="spellEnd"/>
      <w:r>
        <w:rPr>
          <w:rFonts w:ascii="Arial" w:hAnsi="Arial" w:cs="Arial" w:hint="eastAsia"/>
        </w:rPr>
        <w:t xml:space="preserve"> implements a novel “emotion memory capsule” mechanism that embeds spatiotemporal, physiological, and weather-context metadata within digital artworks, enabling cross-temporal emotional reflection—a feature absent from the predecessor system. Third, the color-emotion mapping engine has </w:t>
      </w:r>
      <w:r>
        <w:rPr>
          <w:rFonts w:ascii="Arial" w:hAnsi="Arial" w:cs="Arial" w:hint="eastAsia"/>
        </w:rPr>
        <w:lastRenderedPageBreak/>
        <w:t>been refined with an expanded artwork training corpus (over 1,000 works versus the approximately 300 used in the prior study) and validated against the full three-dimensional PAD emotional model, providing greater granularity in the emotion-to-color mapping rules. These extensions collectively advance the state of the art from a proof-of-concept demonstration to a more comprehensive, multi-layered intervention platform.</w:t>
      </w:r>
    </w:p>
    <w:p w14:paraId="16CB3D47" w14:textId="77777777" w:rsidR="00A11F57" w:rsidRDefault="00000000">
      <w:pPr>
        <w:pStyle w:val="Body"/>
        <w:spacing w:after="0"/>
        <w:rPr>
          <w:rFonts w:ascii="Arial" w:hAnsi="Arial" w:cs="Arial"/>
        </w:rPr>
      </w:pPr>
      <w:r>
        <w:rPr>
          <w:rFonts w:ascii="Arial" w:hAnsi="Arial" w:cs="Arial" w:hint="eastAsia"/>
        </w:rPr>
        <w:t>Physiological assessment technologies offer complementary objective measures for evaluating art therapy outcomes. Heart rate variability (HRV) has been established as a reliable biomarker of autonomic nervous system function and emotional regulation capacity [22, 26]. Positive emotional states correlate with higher HRV in healthy college populations [25], and mobile photoplethysmography applications have been validated for HRV assessment outside laboratory settings [30]. These developments enable the integration of physiological monitoring into everyday mobile interventions, bridging the gap between subjective self-report and objective biometric measurement.</w:t>
      </w:r>
    </w:p>
    <w:p w14:paraId="0DFA8152" w14:textId="77777777" w:rsidR="00A11F57" w:rsidRDefault="00000000">
      <w:pPr>
        <w:pStyle w:val="Body"/>
        <w:spacing w:after="0"/>
        <w:rPr>
          <w:rFonts w:ascii="Arial" w:hAnsi="Arial" w:cs="Arial"/>
        </w:rPr>
      </w:pPr>
      <w:r>
        <w:rPr>
          <w:rFonts w:ascii="Arial" w:hAnsi="Arial" w:cs="Arial" w:hint="eastAsia"/>
        </w:rPr>
        <w:t>Despite these parallel advances, existing digital mental health tools predominantly focus on single modalities: mindfulness meditation applications [27], cognitive behavioral therapy (CBT) platforms [28, 29], or standalone mood tracking. A significant gap remains in integrated systems that combine AI-generated personalized art content, scientifically grounded color-emotion mapping, and multimodal physiological-psychological assessment within a single mobile intervention framework [11]. Furthermore, the theoretical foundations linking color psychology, art therapy, and digital intervention lack a unified, empirically verifiable quantitative model.</w:t>
      </w:r>
    </w:p>
    <w:p w14:paraId="5E3FE6ED" w14:textId="77777777" w:rsidR="00A11F57" w:rsidRDefault="00000000">
      <w:pPr>
        <w:pStyle w:val="Body"/>
        <w:spacing w:after="0"/>
        <w:rPr>
          <w:rFonts w:ascii="Arial" w:hAnsi="Arial" w:cs="Arial"/>
        </w:rPr>
      </w:pPr>
      <w:r>
        <w:rPr>
          <w:rFonts w:ascii="Arial" w:hAnsi="Arial" w:cs="Arial" w:hint="eastAsia"/>
        </w:rPr>
        <w:t xml:space="preserve">The present study addresses these gaps through the design and pilot validation of </w:t>
      </w:r>
      <w:proofErr w:type="spellStart"/>
      <w:r>
        <w:rPr>
          <w:rFonts w:ascii="Arial" w:hAnsi="Arial" w:cs="Arial" w:hint="eastAsia"/>
        </w:rPr>
        <w:t>ArtThera</w:t>
      </w:r>
      <w:proofErr w:type="spellEnd"/>
      <w:r>
        <w:rPr>
          <w:rFonts w:ascii="Arial" w:hAnsi="Arial" w:cs="Arial" w:hint="eastAsia"/>
        </w:rPr>
        <w:t>, a comprehensive mobile system that integrates four core technological modules: (1) emotion-centric visual capture through image and text inputs, (2) a color-emotion mapping engine built upon K-means clustering of classical artworks and the PAD emotional model, (3) an AI-generated art engine producing personalized color palettes, drawing templates, and ambient audio content, and (4) a multimodal emotion assessment module combining emotion diaries, HRV monitoring, and SAS and PANAS psychometric evaluations. The system introduces the novel concept of an “emotion memory capsule” that embeds spatiotemporal and physiological metadata within digital artworks, enabling cross-temporal emotional reflection. This paper presents the complete system architecture, implementation details, and preliminary evaluation results, contributing a verifiable “emotion-color-behavior” quantitative model to the interdisciplinary field of digital art therapy and mobile health technology</w:t>
      </w:r>
      <w:r>
        <w:rPr>
          <w:rFonts w:ascii="Arial" w:hAnsi="Arial" w:cs="Arial"/>
        </w:rPr>
        <w:t>.</w:t>
      </w:r>
    </w:p>
    <w:p w14:paraId="548AFE85" w14:textId="77777777" w:rsidR="00A11F57" w:rsidRDefault="00000000">
      <w:pPr>
        <w:pStyle w:val="AbstHead"/>
        <w:spacing w:after="0"/>
        <w:jc w:val="both"/>
        <w:rPr>
          <w:rFonts w:ascii="Arial" w:hAnsi="Arial" w:cs="Arial"/>
        </w:rPr>
      </w:pPr>
      <w:bookmarkStart w:id="1" w:name="related-work"/>
      <w:bookmarkEnd w:id="0"/>
      <w:r>
        <w:rPr>
          <w:rFonts w:ascii="Arial" w:hAnsi="Arial" w:cs="Arial"/>
        </w:rPr>
        <w:t>2. RELATED WORK</w:t>
      </w:r>
    </w:p>
    <w:p w14:paraId="735307C9" w14:textId="77777777" w:rsidR="00A11F57" w:rsidRDefault="00000000">
      <w:pPr>
        <w:pStyle w:val="Heading3"/>
        <w:rPr>
          <w:rFonts w:eastAsia="Times New Roman"/>
          <w:caps/>
          <w:sz w:val="22"/>
          <w:u w:val="none"/>
        </w:rPr>
      </w:pPr>
      <w:bookmarkStart w:id="2" w:name="X6efca9073cad39603dd2e186b06ef9e02d56b4e"/>
      <w:r>
        <w:rPr>
          <w:rFonts w:eastAsia="Times New Roman" w:hint="eastAsia"/>
          <w:caps/>
          <w:sz w:val="22"/>
          <w:u w:val="none"/>
        </w:rPr>
        <w:t>2.1 AI and Generative Art in Therapeutic Contexts</w:t>
      </w:r>
    </w:p>
    <w:p w14:paraId="535E9132" w14:textId="77777777" w:rsidR="00A11F57" w:rsidRDefault="00000000">
      <w:pPr>
        <w:pStyle w:val="Body"/>
        <w:spacing w:after="0"/>
        <w:rPr>
          <w:rFonts w:ascii="Arial" w:hAnsi="Arial" w:cs="Arial"/>
        </w:rPr>
      </w:pPr>
      <w:r>
        <w:rPr>
          <w:rFonts w:ascii="Arial" w:hAnsi="Arial" w:cs="Arial" w:hint="eastAsia"/>
        </w:rPr>
        <w:t>The application of artificial intelligence to art therapy represents a rapidly evolving interdisciplinary frontier. Lee et al. [1] pioneered work on AI-generated art for emotional self-expression, demonstrating that generative models could produce visual content that users perceived as emotionally resonant and personally meaningful. Their study established the foundational premise that AI need not replace human creativity but can instead serve as a collaborative partner in the creative therapeutic process. Zhou and Lee [5] further examined the broader implications of generative AI for human creativity, arguing that AI systems fundamentally reconfigure the relationship between human intention and artistic output, with important consequences for therapeutic applications.</w:t>
      </w:r>
    </w:p>
    <w:p w14:paraId="6DF509A5" w14:textId="77777777" w:rsidR="00A11F57" w:rsidRDefault="00000000">
      <w:pPr>
        <w:pStyle w:val="Body"/>
        <w:spacing w:after="0"/>
        <w:rPr>
          <w:rFonts w:ascii="Arial" w:hAnsi="Arial" w:cs="Arial"/>
        </w:rPr>
      </w:pPr>
      <w:r>
        <w:rPr>
          <w:rFonts w:ascii="Arial" w:hAnsi="Arial" w:cs="Arial" w:hint="eastAsia"/>
        </w:rPr>
        <w:t xml:space="preserve">Building on these foundations, Peng et al. [3] conducted a dual structural equation modeling and artificial neural network analysis of adolescent engagement in generative AI art therapy, identifying key emotional and behavioral outcomes including enhanced self-efficacy and reduced negative affect. Their findings underscored the importance of perceived autonomy and creative control in mediating therapeutic benefits. Ramos-Vallecillo et al. [4] extended this line of inquiry to primary education settings, documenting both the potential and the </w:t>
      </w:r>
      <w:r>
        <w:rPr>
          <w:rFonts w:ascii="Arial" w:hAnsi="Arial" w:cs="Arial" w:hint="eastAsia"/>
        </w:rPr>
        <w:lastRenderedPageBreak/>
        <w:t>limitations of AI-mediated generative art for emotional expression and creativity development among younger populations.</w:t>
      </w:r>
    </w:p>
    <w:p w14:paraId="6C800104" w14:textId="77777777" w:rsidR="00A11F57" w:rsidRDefault="00000000">
      <w:pPr>
        <w:pStyle w:val="Body"/>
        <w:spacing w:after="0"/>
        <w:rPr>
          <w:rFonts w:ascii="Arial" w:hAnsi="Arial" w:cs="Arial"/>
        </w:rPr>
      </w:pPr>
      <w:r>
        <w:rPr>
          <w:rFonts w:ascii="Arial" w:hAnsi="Arial" w:cs="Arial" w:hint="eastAsia"/>
        </w:rPr>
        <w:t>In clinical contexts, Li et al. [2] developed a CNN-transformer-based brain-computer interface model specifically targeting depression intervention through digital art therapy among college students. Their approach represents a more direct physiological interface compared to mobile-based interventions, though at the cost of reduced accessibility. Cao [6] provided empirical evidence for the effectiveness of digital art therapy interventions on adolescent anxiety, establishing a dose-response relationship between engagement frequency and symptom reduction that informs the design of minimum viable intervention protocols.</w:t>
      </w:r>
    </w:p>
    <w:p w14:paraId="05B3DCE2" w14:textId="77777777" w:rsidR="00A11F57" w:rsidRDefault="00000000">
      <w:pPr>
        <w:pStyle w:val="Heading3"/>
        <w:rPr>
          <w:rFonts w:eastAsia="Times New Roman"/>
          <w:caps/>
          <w:sz w:val="22"/>
          <w:u w:val="none"/>
        </w:rPr>
      </w:pPr>
      <w:r>
        <w:rPr>
          <w:rFonts w:eastAsia="Times New Roman" w:hint="eastAsia"/>
          <w:caps/>
          <w:sz w:val="22"/>
          <w:u w:val="none"/>
        </w:rPr>
        <w:t>2.2 Art Therapy Effectiveness and Assessment Frameworks</w:t>
      </w:r>
    </w:p>
    <w:p w14:paraId="602D8944" w14:textId="77777777" w:rsidR="00A11F57" w:rsidRDefault="00000000">
      <w:pPr>
        <w:pStyle w:val="Body"/>
        <w:spacing w:after="0"/>
        <w:rPr>
          <w:rFonts w:ascii="Arial" w:hAnsi="Arial" w:cs="Arial"/>
        </w:rPr>
      </w:pPr>
      <w:r>
        <w:rPr>
          <w:rFonts w:ascii="Arial" w:hAnsi="Arial" w:cs="Arial" w:hint="eastAsia"/>
        </w:rPr>
        <w:t xml:space="preserve">The measurement of art therapy outcomes has advanced considerably through the development of standardized assessment instruments. </w:t>
      </w:r>
      <w:proofErr w:type="spellStart"/>
      <w:r>
        <w:rPr>
          <w:rFonts w:ascii="Arial" w:hAnsi="Arial" w:cs="Arial" w:hint="eastAsia"/>
        </w:rPr>
        <w:t>Haeyen</w:t>
      </w:r>
      <w:proofErr w:type="spellEnd"/>
      <w:r>
        <w:rPr>
          <w:rFonts w:ascii="Arial" w:hAnsi="Arial" w:cs="Arial" w:hint="eastAsia"/>
        </w:rPr>
        <w:t xml:space="preserve"> et al. [7] constructed and validated the Self-expression and Emotion Regulation in Art Therapy Scale (SERATS), providing a psychometrically robust tool for quantifying the specific mechanisms through which art therapy facilitates emotional regulation. This instrument captures dimensions including emotional awareness, expressive capacity, and cognitive reappraisal that are directly relevant to the multimodal assessment architecture of the proposed system.</w:t>
      </w:r>
    </w:p>
    <w:p w14:paraId="4DF7D443" w14:textId="77777777" w:rsidR="00A11F57" w:rsidRDefault="00000000">
      <w:pPr>
        <w:pStyle w:val="Body"/>
        <w:spacing w:after="0"/>
        <w:rPr>
          <w:rFonts w:ascii="Arial" w:hAnsi="Arial" w:cs="Arial"/>
        </w:rPr>
      </w:pPr>
      <w:r>
        <w:rPr>
          <w:rFonts w:ascii="Arial" w:hAnsi="Arial" w:cs="Arial" w:hint="eastAsia"/>
        </w:rPr>
        <w:t xml:space="preserve">The evidence base for specific art therapy modalities has been strengthened through systematic reviews. Jakobsson </w:t>
      </w:r>
      <w:proofErr w:type="spellStart"/>
      <w:r>
        <w:rPr>
          <w:rFonts w:ascii="Arial" w:hAnsi="Arial" w:cs="Arial" w:hint="eastAsia"/>
        </w:rPr>
        <w:t>Støre</w:t>
      </w:r>
      <w:proofErr w:type="spellEnd"/>
      <w:r>
        <w:rPr>
          <w:rFonts w:ascii="Arial" w:hAnsi="Arial" w:cs="Arial" w:hint="eastAsia"/>
        </w:rPr>
        <w:t xml:space="preserve"> and Jakobsson [8] conducted a systematic review and meta-analysis of mandala coloring interventions, finding significant effects on state anxiety reduction with moderate to large effect sizes. Their work established the empirical credibility of structured coloring activities—which share conceptual similarities with the minimalist drawing templates in </w:t>
      </w:r>
      <w:proofErr w:type="spellStart"/>
      <w:r>
        <w:rPr>
          <w:rFonts w:ascii="Arial" w:hAnsi="Arial" w:cs="Arial" w:hint="eastAsia"/>
        </w:rPr>
        <w:t>ArtThera</w:t>
      </w:r>
      <w:proofErr w:type="spellEnd"/>
      <w:r>
        <w:rPr>
          <w:rFonts w:ascii="Arial" w:hAnsi="Arial" w:cs="Arial" w:hint="eastAsia"/>
        </w:rPr>
        <w:t>—as legitimate therapeutic tools. Newland and Bettencourt [12] provided meta-analytic evidence for the effectiveness of mindfulness-based art therapy across symptoms of anxiety, depression, and fatigue, supporting the integration of mindfulness-oriented design principles into digital art therapy platforms.</w:t>
      </w:r>
    </w:p>
    <w:p w14:paraId="3796F105" w14:textId="77777777" w:rsidR="00A11F57" w:rsidRDefault="00000000">
      <w:pPr>
        <w:pStyle w:val="Body"/>
        <w:spacing w:after="0"/>
        <w:rPr>
          <w:rFonts w:ascii="Arial" w:hAnsi="Arial" w:cs="Arial"/>
        </w:rPr>
      </w:pPr>
      <w:r>
        <w:rPr>
          <w:rFonts w:ascii="Arial" w:hAnsi="Arial" w:cs="Arial" w:hint="eastAsia"/>
        </w:rPr>
        <w:t xml:space="preserve">Lee and Choi [10] developed a comprehensive framework for art-based emotion regulation in major depression, articulating the sequential stages through which artistic engagement facilitates emotional processing: sensory engagement, emotional activation, symbolic expression, cognitive reframing, and integration. This framework provides a theoretical architecture that maps directly onto the multi-stage interaction flow of the </w:t>
      </w:r>
      <w:proofErr w:type="spellStart"/>
      <w:r>
        <w:rPr>
          <w:rFonts w:ascii="Arial" w:hAnsi="Arial" w:cs="Arial" w:hint="eastAsia"/>
        </w:rPr>
        <w:t>ArtThera</w:t>
      </w:r>
      <w:proofErr w:type="spellEnd"/>
      <w:r>
        <w:rPr>
          <w:rFonts w:ascii="Arial" w:hAnsi="Arial" w:cs="Arial" w:hint="eastAsia"/>
        </w:rPr>
        <w:t xml:space="preserve"> system. Kim and Choi [9] proposed a practical development protocol for evidence-based digital integrative arts therapy content in public mental health services, addressing implementation considerations including stakeholder engagement, iterative prototyping, and outcome measurement that inform the system design methodology.</w:t>
      </w:r>
    </w:p>
    <w:p w14:paraId="34A92F20" w14:textId="77777777" w:rsidR="00A11F57" w:rsidRDefault="00000000">
      <w:pPr>
        <w:pStyle w:val="Body"/>
        <w:spacing w:after="0"/>
        <w:rPr>
          <w:rFonts w:ascii="Arial" w:hAnsi="Arial" w:cs="Arial"/>
        </w:rPr>
      </w:pPr>
      <w:r>
        <w:rPr>
          <w:rFonts w:ascii="Arial" w:hAnsi="Arial" w:cs="Arial" w:hint="eastAsia"/>
        </w:rPr>
        <w:t xml:space="preserve">Cross-cultural perspectives have enriched the understanding of art therapy’s applicability. </w:t>
      </w:r>
      <w:proofErr w:type="spellStart"/>
      <w:r>
        <w:rPr>
          <w:rFonts w:ascii="Arial" w:hAnsi="Arial" w:cs="Arial" w:hint="eastAsia"/>
        </w:rPr>
        <w:t>Mochimaru</w:t>
      </w:r>
      <w:proofErr w:type="spellEnd"/>
      <w:r>
        <w:rPr>
          <w:rFonts w:ascii="Arial" w:hAnsi="Arial" w:cs="Arial" w:hint="eastAsia"/>
        </w:rPr>
        <w:t xml:space="preserve"> and Demaine [11] examined digital art therapy interventions for social withdrawal in Japan, a context particularly relevant given the rising prevalence of hikikomori-like phenomena among college students globally. Their findings highlighted the particular suitability of digital delivery formats for populations reluctant to engage in face-to-face therapeutic encounters. </w:t>
      </w:r>
      <w:proofErr w:type="spellStart"/>
      <w:r>
        <w:rPr>
          <w:rFonts w:ascii="Arial" w:hAnsi="Arial" w:cs="Arial" w:hint="eastAsia"/>
        </w:rPr>
        <w:t>Grushka</w:t>
      </w:r>
      <w:proofErr w:type="spellEnd"/>
      <w:r>
        <w:rPr>
          <w:rFonts w:ascii="Arial" w:hAnsi="Arial" w:cs="Arial" w:hint="eastAsia"/>
        </w:rPr>
        <w:t xml:space="preserve"> [23] conceptualized the studio art therapy learning ecology, articulating the interconnected roles of physical space, materials, social interaction, and creative process that digital platforms must reimagine when translating art therapy to virtual environments.</w:t>
      </w:r>
    </w:p>
    <w:p w14:paraId="59819E17" w14:textId="77777777" w:rsidR="00A11F57" w:rsidRDefault="00000000">
      <w:pPr>
        <w:pStyle w:val="Body"/>
        <w:spacing w:after="0"/>
        <w:rPr>
          <w:rFonts w:ascii="Arial" w:hAnsi="Arial" w:cs="Arial"/>
        </w:rPr>
      </w:pPr>
      <w:r>
        <w:rPr>
          <w:rFonts w:ascii="Arial" w:hAnsi="Arial" w:cs="Arial" w:hint="eastAsia"/>
        </w:rPr>
        <w:t xml:space="preserve">In Chinese higher education contexts, </w:t>
      </w:r>
      <w:proofErr w:type="spellStart"/>
      <w:r>
        <w:rPr>
          <w:rFonts w:ascii="Arial" w:hAnsi="Arial" w:cs="Arial" w:hint="eastAsia"/>
        </w:rPr>
        <w:t>Rongjuan</w:t>
      </w:r>
      <w:proofErr w:type="spellEnd"/>
      <w:r>
        <w:rPr>
          <w:rFonts w:ascii="Arial" w:hAnsi="Arial" w:cs="Arial" w:hint="eastAsia"/>
        </w:rPr>
        <w:t xml:space="preserve"> [13] demonstrated the application of painting art therapy in psychological evaluation and educational intervention for college students, providing direct evidence for the cultural appropriateness and educational integration potential of art-based mental health interventions. Lu and Abdullah [24] evaluated the efficacy of person-centered expressive art therapy on reducing depression, anxiety, and stress among college students, reporting significant pre-post improvements that support the therapeutic potential of expressive arts approaches in campus settings.</w:t>
      </w:r>
    </w:p>
    <w:p w14:paraId="5C9AAC6C" w14:textId="77777777" w:rsidR="00A11F57" w:rsidRDefault="00000000">
      <w:pPr>
        <w:pStyle w:val="Heading3"/>
        <w:rPr>
          <w:rFonts w:eastAsia="Times New Roman"/>
          <w:caps/>
          <w:sz w:val="22"/>
          <w:u w:val="none"/>
        </w:rPr>
      </w:pPr>
      <w:r>
        <w:rPr>
          <w:rFonts w:eastAsia="Times New Roman" w:hint="eastAsia"/>
          <w:caps/>
          <w:sz w:val="22"/>
          <w:u w:val="none"/>
        </w:rPr>
        <w:lastRenderedPageBreak/>
        <w:t>2.3 Color-Emotion Mapping and Computational Approaches</w:t>
      </w:r>
    </w:p>
    <w:p w14:paraId="34D5A3CC" w14:textId="77777777" w:rsidR="00A11F57" w:rsidRDefault="00000000">
      <w:pPr>
        <w:pStyle w:val="Body"/>
        <w:spacing w:after="0"/>
        <w:rPr>
          <w:rFonts w:ascii="Arial" w:hAnsi="Arial" w:cs="Arial"/>
        </w:rPr>
      </w:pPr>
      <w:r>
        <w:rPr>
          <w:rFonts w:ascii="Arial" w:hAnsi="Arial" w:cs="Arial" w:hint="eastAsia"/>
        </w:rPr>
        <w:t>The scientific study of color-emotion associations has a long history in psychology, but computational approaches to operationalizing these associations for generative art systems are relatively recent. Sayma Nasrin Shompa [16] examined the use of color theory in expressing mental health states in contemporary art, documenting systematic correspondences between specific color palettes and emotional conditions including anxiety (dark, desaturated tones), depression (monochromatic, low-contrast schemes), and euphoria (bright, high-saturation combinations). These qualitative observations provide the phenomenological grounding for quantitative color-emotion mapping.</w:t>
      </w:r>
    </w:p>
    <w:p w14:paraId="02F9868E" w14:textId="77777777" w:rsidR="00A11F57" w:rsidRDefault="00000000">
      <w:pPr>
        <w:pStyle w:val="Body"/>
        <w:spacing w:after="0"/>
        <w:rPr>
          <w:rFonts w:ascii="Arial" w:hAnsi="Arial" w:cs="Arial"/>
        </w:rPr>
      </w:pPr>
      <w:r>
        <w:rPr>
          <w:rFonts w:ascii="Arial" w:hAnsi="Arial" w:cs="Arial" w:hint="eastAsia"/>
        </w:rPr>
        <w:t>Zhao [18] proposed a theme-color-emotion framework for understanding viewer-reported emotional regulation, demonstrating that the semantic content of visual themes interacts with color attributes to produce compound emotional effects that cannot be reduced to either component alone. This interaction effect has important implications for AI-generated art systems, as it suggests that color palette generation must be contextualized within thematic and compositional parameters rather than treated as an isolated variable.</w:t>
      </w:r>
    </w:p>
    <w:p w14:paraId="39ABA6F7" w14:textId="77777777" w:rsidR="00A11F57" w:rsidRDefault="00000000">
      <w:pPr>
        <w:pStyle w:val="Body"/>
        <w:spacing w:after="0"/>
        <w:rPr>
          <w:rFonts w:ascii="Arial" w:hAnsi="Arial" w:cs="Arial"/>
        </w:rPr>
      </w:pPr>
      <w:r>
        <w:rPr>
          <w:rFonts w:ascii="Arial" w:hAnsi="Arial" w:cs="Arial" w:hint="eastAsia"/>
        </w:rPr>
        <w:t xml:space="preserve">Kong [14] applied emotion-driven digital visualization color mapping to graphic coloring applications, demonstrating that user emotional states could be systematically translated into color scheme recommendations with measurable effects on engagement and satisfaction. This work directly validates the core premise of the </w:t>
      </w:r>
      <w:proofErr w:type="spellStart"/>
      <w:r>
        <w:rPr>
          <w:rFonts w:ascii="Arial" w:hAnsi="Arial" w:cs="Arial" w:hint="eastAsia"/>
        </w:rPr>
        <w:t>ArtThera</w:t>
      </w:r>
      <w:proofErr w:type="spellEnd"/>
      <w:r>
        <w:rPr>
          <w:rFonts w:ascii="Arial" w:hAnsi="Arial" w:cs="Arial" w:hint="eastAsia"/>
        </w:rPr>
        <w:t xml:space="preserve"> color-emotion mapping engine. </w:t>
      </w:r>
      <w:proofErr w:type="spellStart"/>
      <w:r>
        <w:rPr>
          <w:rFonts w:ascii="Arial" w:hAnsi="Arial" w:cs="Arial" w:hint="eastAsia"/>
        </w:rPr>
        <w:t>Lertrusdachakul</w:t>
      </w:r>
      <w:proofErr w:type="spellEnd"/>
      <w:r>
        <w:rPr>
          <w:rFonts w:ascii="Arial" w:hAnsi="Arial" w:cs="Arial" w:hint="eastAsia"/>
        </w:rPr>
        <w:t xml:space="preserve"> et al. [15] provided the technical foundation for automated color palette extraction through modified K-means clustering algorithms, demonstrating that unsupervised machine learning methods can reliably identify dominant color distributions in complex visual artworks.</w:t>
      </w:r>
    </w:p>
    <w:p w14:paraId="0931201D" w14:textId="77777777" w:rsidR="00A11F57" w:rsidRDefault="00000000">
      <w:pPr>
        <w:pStyle w:val="Body"/>
        <w:spacing w:after="0"/>
        <w:rPr>
          <w:rFonts w:ascii="Arial" w:hAnsi="Arial" w:cs="Arial"/>
        </w:rPr>
      </w:pPr>
      <w:r>
        <w:rPr>
          <w:rFonts w:ascii="Arial" w:hAnsi="Arial" w:cs="Arial" w:hint="eastAsia"/>
        </w:rPr>
        <w:t xml:space="preserve">The AI-driven color-emotion mapping platform developed by Tang et al. [17] shares the core technical architecture of the </w:t>
      </w:r>
      <w:proofErr w:type="spellStart"/>
      <w:r>
        <w:rPr>
          <w:rFonts w:ascii="Arial" w:hAnsi="Arial" w:cs="Arial" w:hint="eastAsia"/>
        </w:rPr>
        <w:t>ArtThera</w:t>
      </w:r>
      <w:proofErr w:type="spellEnd"/>
      <w:r>
        <w:rPr>
          <w:rFonts w:ascii="Arial" w:hAnsi="Arial" w:cs="Arial" w:hint="eastAsia"/>
        </w:rPr>
        <w:t xml:space="preserve"> system and established the initial proof-of-concept for AI-generated personalized art content delivered through mobile platforms. As detailed in Section 1, the present </w:t>
      </w:r>
      <w:proofErr w:type="spellStart"/>
      <w:r>
        <w:rPr>
          <w:rFonts w:ascii="Arial" w:hAnsi="Arial" w:cs="Arial" w:hint="eastAsia"/>
        </w:rPr>
        <w:t>ArtThera</w:t>
      </w:r>
      <w:proofErr w:type="spellEnd"/>
      <w:r>
        <w:rPr>
          <w:rFonts w:ascii="Arial" w:hAnsi="Arial" w:cs="Arial" w:hint="eastAsia"/>
        </w:rPr>
        <w:t xml:space="preserve"> system builds upon this foundation with expanded multimodal assessment capabilities, the novel emotion memory capsule feature, and a refined color-emotion mapping engine trained on a significantly larger artwork corpus.</w:t>
      </w:r>
    </w:p>
    <w:p w14:paraId="3CA99C80" w14:textId="77777777" w:rsidR="00A11F57" w:rsidRDefault="00000000">
      <w:pPr>
        <w:pStyle w:val="Heading3"/>
        <w:rPr>
          <w:rFonts w:eastAsia="Times New Roman"/>
          <w:caps/>
          <w:sz w:val="22"/>
          <w:u w:val="none"/>
        </w:rPr>
      </w:pPr>
      <w:r>
        <w:rPr>
          <w:rFonts w:eastAsia="Times New Roman" w:hint="eastAsia"/>
          <w:caps/>
          <w:sz w:val="22"/>
          <w:u w:val="none"/>
        </w:rPr>
        <w:t>2.4 Mobile Mental Health and Physiological Assessment</w:t>
      </w:r>
    </w:p>
    <w:p w14:paraId="51E5BB88" w14:textId="77777777" w:rsidR="00A11F57" w:rsidRDefault="00000000">
      <w:pPr>
        <w:pStyle w:val="Body"/>
        <w:spacing w:after="0"/>
        <w:rPr>
          <w:rFonts w:ascii="Arial" w:hAnsi="Arial" w:cs="Arial"/>
        </w:rPr>
      </w:pPr>
      <w:r>
        <w:rPr>
          <w:rFonts w:ascii="Arial" w:hAnsi="Arial" w:cs="Arial" w:hint="eastAsia"/>
        </w:rPr>
        <w:t>The proliferation of mobile mental health applications has generated substantial evidence regarding the efficacy and usability of digital interventions. Huberty et al. [27] conducted a randomized controlled trial of the mindfulness meditation app “Calm” among college students, demonstrating significant reductions in stress and improvements in mindfulness relative to waitlist controls. Moberg et al. [28] provided randomized controlled evidence for the effectiveness of Pacifica, a mobile app integrating cognitive behavioral therapy and mindfulness components, in reducing anxiety and depression symptoms. Purkayastha et al. [29] compared engagement and usability between a cognitive behavioral therapy mobile app and web-based delivery, finding superior engagement metrics for the mobile format among college student populations. Collectively, these studies establish the viability of mobile-delivered psychological interventions and provide benchmarks for usability, engagement, and efficacy against which novel systems can be evaluated.</w:t>
      </w:r>
    </w:p>
    <w:p w14:paraId="755832DC" w14:textId="77777777" w:rsidR="00A11F57" w:rsidRDefault="00000000">
      <w:pPr>
        <w:pStyle w:val="Body"/>
        <w:spacing w:after="0"/>
        <w:rPr>
          <w:rFonts w:ascii="Arial" w:hAnsi="Arial" w:cs="Arial"/>
        </w:rPr>
      </w:pPr>
      <w:r>
        <w:rPr>
          <w:rFonts w:ascii="Arial" w:hAnsi="Arial" w:cs="Arial" w:hint="eastAsia"/>
        </w:rPr>
        <w:t xml:space="preserve">Physiological assessment technologies have undergone parallel development. Chadwick et al. [22] conducted a randomized waitlist-controlled trial of HRV biofeedback targeting cardiac vagal activity and emotion regulation, demonstrating that HRV-based interventions produce measurable improvements in both physiological and psychological outcomes. Sakakibara [26] provided a comprehensive evaluation of HRV measurement methodologies and the application of HRV biofeedback, particularly emphasizing slow-paced abdominal breathing protocols that can be integrated into guided relaxation components of mobile interventions. Oswald and Abram [25] established the correlation between positive emotional states and higher HRV specifically within healthy college student populations, providing normative </w:t>
      </w:r>
      <w:r>
        <w:rPr>
          <w:rFonts w:ascii="Arial" w:hAnsi="Arial" w:cs="Arial" w:hint="eastAsia"/>
        </w:rPr>
        <w:lastRenderedPageBreak/>
        <w:t>reference data essential for interpreting physiological measurements in the target demographic.</w:t>
      </w:r>
    </w:p>
    <w:p w14:paraId="53A415AF" w14:textId="77777777" w:rsidR="00A11F57" w:rsidRDefault="00000000">
      <w:pPr>
        <w:pStyle w:val="Body"/>
        <w:spacing w:after="0"/>
        <w:rPr>
          <w:rFonts w:ascii="Arial" w:hAnsi="Arial" w:cs="Arial"/>
        </w:rPr>
      </w:pPr>
      <w:r>
        <w:rPr>
          <w:rFonts w:ascii="Arial" w:hAnsi="Arial" w:cs="Arial" w:hint="eastAsia"/>
        </w:rPr>
        <w:t xml:space="preserve">The technical validation of mobile HRV assessment has been critical for enabling physiological monitoring outside laboratory settings. Van Dijk et al. [30] validated photoplethysmography-based HRV measurement using mobile phone applications against gold-standard electrocardiogram methods, demonstrating acceptable accuracy for consumer-grade devices (mean absolute error &lt; 5 </w:t>
      </w:r>
      <w:proofErr w:type="spellStart"/>
      <w:r>
        <w:rPr>
          <w:rFonts w:ascii="Arial" w:hAnsi="Arial" w:cs="Arial" w:hint="eastAsia"/>
        </w:rPr>
        <w:t>ms</w:t>
      </w:r>
      <w:proofErr w:type="spellEnd"/>
      <w:r>
        <w:rPr>
          <w:rFonts w:ascii="Arial" w:hAnsi="Arial" w:cs="Arial" w:hint="eastAsia"/>
        </w:rPr>
        <w:t xml:space="preserve"> for RMSSD). This validation provides the methodological justification for incorporating smartphone-based HRV monitoring into the </w:t>
      </w:r>
      <w:proofErr w:type="spellStart"/>
      <w:r>
        <w:rPr>
          <w:rFonts w:ascii="Arial" w:hAnsi="Arial" w:cs="Arial" w:hint="eastAsia"/>
        </w:rPr>
        <w:t>ArtThera</w:t>
      </w:r>
      <w:proofErr w:type="spellEnd"/>
      <w:r>
        <w:rPr>
          <w:rFonts w:ascii="Arial" w:hAnsi="Arial" w:cs="Arial" w:hint="eastAsia"/>
        </w:rPr>
        <w:t xml:space="preserve"> assessment module. In the present study, HRV signals were acquired using a 2-minute fingertip recording protocol. Raw photoplethysmography waveforms were preprocessed with a bandpass filter (0.04–0.4 Hz), and inter-beat intervals were extracted using a peak detection algorithm. Time-domain parameters (SDNN, RMSSD) and frequency-domain parameters (LF: 0.04–0.15 Hz; HF: 0.15–0.40 Hz; LF/HF ratio) were computed in accordance with the Task Force guidelines.</w:t>
      </w:r>
    </w:p>
    <w:p w14:paraId="58E0CCD7" w14:textId="77777777" w:rsidR="00A11F57" w:rsidRDefault="00000000">
      <w:pPr>
        <w:pStyle w:val="Body"/>
        <w:spacing w:after="0"/>
        <w:rPr>
          <w:rFonts w:ascii="Arial" w:hAnsi="Arial" w:cs="Arial"/>
        </w:rPr>
      </w:pPr>
      <w:r>
        <w:rPr>
          <w:rFonts w:ascii="Arial" w:hAnsi="Arial" w:cs="Arial" w:hint="eastAsia"/>
        </w:rPr>
        <w:t>In the context of text-based emotion recognition, Wang [19] provided a comparative analysis of machine learning and deep learning models for text emotion classification within federated learning frameworks, establishing performance benchmarks and architectural considerations for the emotion classification component that processes user text inputs in the emotion-centric visual capture module</w:t>
      </w:r>
      <w:r>
        <w:rPr>
          <w:rFonts w:ascii="Arial" w:hAnsi="Arial" w:cs="Arial"/>
        </w:rPr>
        <w:t>.</w:t>
      </w:r>
    </w:p>
    <w:p w14:paraId="431F2E05" w14:textId="77777777" w:rsidR="00A11F57" w:rsidRDefault="00000000">
      <w:pPr>
        <w:pStyle w:val="AbstHead"/>
        <w:spacing w:after="0"/>
        <w:jc w:val="both"/>
        <w:rPr>
          <w:rFonts w:ascii="Arial" w:hAnsi="Arial" w:cs="Arial"/>
        </w:rPr>
      </w:pPr>
      <w:bookmarkStart w:id="3" w:name="system-design-artthera"/>
      <w:bookmarkEnd w:id="1"/>
      <w:bookmarkEnd w:id="2"/>
      <w:r>
        <w:rPr>
          <w:rFonts w:ascii="Arial" w:hAnsi="Arial" w:cs="Arial"/>
        </w:rPr>
        <w:t>3. SYSTEM DESIGN: ArtThera</w:t>
      </w:r>
    </w:p>
    <w:p w14:paraId="1E354E75" w14:textId="77777777" w:rsidR="00A11F57" w:rsidRDefault="00000000">
      <w:pPr>
        <w:pStyle w:val="Body"/>
        <w:spacing w:after="0"/>
        <w:rPr>
          <w:rFonts w:ascii="Arial" w:hAnsi="Arial" w:cs="Arial"/>
        </w:rPr>
      </w:pPr>
      <w:r>
        <w:rPr>
          <w:rFonts w:ascii="Arial" w:hAnsi="Arial" w:cs="Arial" w:hint="eastAsia"/>
        </w:rPr>
        <w:t xml:space="preserve">The </w:t>
      </w:r>
      <w:proofErr w:type="spellStart"/>
      <w:r>
        <w:rPr>
          <w:rFonts w:ascii="Arial" w:hAnsi="Arial" w:cs="Arial" w:hint="eastAsia"/>
        </w:rPr>
        <w:t>ArtThera</w:t>
      </w:r>
      <w:proofErr w:type="spellEnd"/>
      <w:r>
        <w:rPr>
          <w:rFonts w:ascii="Arial" w:hAnsi="Arial" w:cs="Arial" w:hint="eastAsia"/>
        </w:rPr>
        <w:t xml:space="preserve"> system is designed as a cross-platform mobile application built on the Flutter framework (version 3.16), with backend services deployed on Firebase (</w:t>
      </w:r>
      <w:proofErr w:type="spellStart"/>
      <w:r>
        <w:rPr>
          <w:rFonts w:ascii="Arial" w:hAnsi="Arial" w:cs="Arial" w:hint="eastAsia"/>
        </w:rPr>
        <w:t>Firestore</w:t>
      </w:r>
      <w:proofErr w:type="spellEnd"/>
      <w:r>
        <w:rPr>
          <w:rFonts w:ascii="Arial" w:hAnsi="Arial" w:cs="Arial" w:hint="eastAsia"/>
        </w:rPr>
        <w:t xml:space="preserve"> for structured data, Cloud Storage for artwork assets) and AI model inference powered by the DeepSeek-V2 large language model accessed via API. The system architecture follows a modular design pattern comprising four integrated core modules connected through a central orchestration layer that manages data flow, user state, and content delivery. Figure 1 presents the high-level system architecture, illustrating the bidirectional data flow between modules and the user feedback loop that enables iterative refinement of generated content</w:t>
      </w:r>
      <w:r>
        <w:rPr>
          <w:rFonts w:ascii="Arial" w:hAnsi="Arial" w:cs="Arial"/>
        </w:rPr>
        <w:t>.</w:t>
      </w:r>
    </w:p>
    <w:p w14:paraId="7E0FB3C5" w14:textId="77777777" w:rsidR="00A11F57" w:rsidRDefault="00000000">
      <w:pPr>
        <w:pStyle w:val="Body"/>
        <w:spacing w:after="0"/>
      </w:pPr>
      <w:r>
        <w:rPr>
          <w:noProof/>
        </w:rPr>
        <w:drawing>
          <wp:inline distT="0" distB="0" distL="114300" distR="114300" wp14:anchorId="402F215F" wp14:editId="6B2003D7">
            <wp:extent cx="5205730" cy="1156335"/>
            <wp:effectExtent l="0" t="0" r="12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205730" cy="1156335"/>
                    </a:xfrm>
                    <a:prstGeom prst="rect">
                      <a:avLst/>
                    </a:prstGeom>
                    <a:noFill/>
                    <a:ln w="9525">
                      <a:noFill/>
                      <a:miter lim="800000"/>
                      <a:headEnd/>
                      <a:tailEnd/>
                    </a:ln>
                  </pic:spPr>
                </pic:pic>
              </a:graphicData>
            </a:graphic>
          </wp:inline>
        </w:drawing>
      </w:r>
    </w:p>
    <w:p w14:paraId="3B708188" w14:textId="77777777" w:rsidR="00A11F57" w:rsidRDefault="00000000">
      <w:pPr>
        <w:autoSpaceDE w:val="0"/>
        <w:autoSpaceDN w:val="0"/>
        <w:adjustRightInd w:val="0"/>
        <w:jc w:val="both"/>
        <w:rPr>
          <w:rFonts w:ascii="Arial" w:hAnsi="Arial" w:cs="Arial"/>
          <w:b/>
          <w:bCs/>
          <w:szCs w:val="22"/>
        </w:rPr>
      </w:pPr>
      <w:r>
        <w:rPr>
          <w:rFonts w:ascii="Arial" w:hAnsi="Arial" w:cs="Arial" w:hint="eastAsia"/>
          <w:b/>
          <w:bCs/>
          <w:szCs w:val="22"/>
        </w:rPr>
        <w:t xml:space="preserve">Figure 1: </w:t>
      </w:r>
      <w:proofErr w:type="spellStart"/>
      <w:r>
        <w:rPr>
          <w:rFonts w:ascii="Arial" w:hAnsi="Arial" w:cs="Arial" w:hint="eastAsia"/>
          <w:b/>
          <w:bCs/>
          <w:szCs w:val="22"/>
        </w:rPr>
        <w:t>ArtThera</w:t>
      </w:r>
      <w:proofErr w:type="spellEnd"/>
      <w:r>
        <w:rPr>
          <w:rFonts w:ascii="Arial" w:hAnsi="Arial" w:cs="Arial" w:hint="eastAsia"/>
          <w:b/>
          <w:bCs/>
          <w:szCs w:val="22"/>
        </w:rPr>
        <w:t xml:space="preserve"> System Architecture. Four core modules with bidirectional data flow and user feedback loop.</w:t>
      </w:r>
    </w:p>
    <w:p w14:paraId="662606B6" w14:textId="77777777" w:rsidR="00A11F57" w:rsidRDefault="00000000">
      <w:pPr>
        <w:pStyle w:val="Heading3"/>
        <w:rPr>
          <w:rFonts w:eastAsia="Times New Roman"/>
          <w:caps/>
          <w:sz w:val="22"/>
          <w:u w:val="none"/>
        </w:rPr>
      </w:pPr>
      <w:bookmarkStart w:id="4" w:name="emotion-centric-visual-capture"/>
      <w:r>
        <w:rPr>
          <w:rFonts w:eastAsia="Times New Roman" w:hint="eastAsia"/>
          <w:caps/>
          <w:sz w:val="22"/>
          <w:u w:val="none"/>
        </w:rPr>
        <w:t>3.1 Emotion-Centric Visual Capture</w:t>
      </w:r>
    </w:p>
    <w:p w14:paraId="5BDC58D2" w14:textId="77777777" w:rsidR="00A11F57" w:rsidRDefault="00000000">
      <w:pPr>
        <w:pStyle w:val="Body"/>
        <w:spacing w:after="0"/>
        <w:rPr>
          <w:rFonts w:ascii="Arial" w:hAnsi="Arial" w:cs="Arial"/>
        </w:rPr>
      </w:pPr>
      <w:r>
        <w:rPr>
          <w:rFonts w:ascii="Arial" w:hAnsi="Arial" w:cs="Arial" w:hint="eastAsia"/>
        </w:rPr>
        <w:t>The Emotion-Centric Visual Capture module serves as the primary user interaction entry point, supporting two complementary input modalities: image-based emotion recognition and text-based emotion description. Both modalities converge on a unified emotion representation schema that feeds into the downstream color-emotion mapping engine.</w:t>
      </w:r>
    </w:p>
    <w:p w14:paraId="2F484EED" w14:textId="77777777" w:rsidR="00A11F57" w:rsidRDefault="00000000">
      <w:pPr>
        <w:pStyle w:val="Body"/>
        <w:spacing w:after="0"/>
        <w:rPr>
          <w:rFonts w:ascii="Arial" w:hAnsi="Arial" w:cs="Arial"/>
        </w:rPr>
      </w:pPr>
      <w:r>
        <w:rPr>
          <w:rFonts w:ascii="Arial" w:hAnsi="Arial" w:cs="Arial" w:hint="eastAsia"/>
          <w:b/>
          <w:bCs/>
        </w:rPr>
        <w:t>Image-Based Emotion Recognition</w:t>
      </w:r>
      <w:r>
        <w:rPr>
          <w:rFonts w:ascii="Arial" w:hAnsi="Arial" w:cs="Arial" w:hint="eastAsia"/>
        </w:rPr>
        <w:t xml:space="preserve">. Users may capture facial expressions or upload existing photographs, which are processed through a MobileNetV3-based convolutional neural network fine-tuned for facial emotion recognition. The model was trained on the FER2013 and </w:t>
      </w:r>
      <w:proofErr w:type="spellStart"/>
      <w:r>
        <w:rPr>
          <w:rFonts w:ascii="Arial" w:hAnsi="Arial" w:cs="Arial" w:hint="eastAsia"/>
        </w:rPr>
        <w:t>AffectNet</w:t>
      </w:r>
      <w:proofErr w:type="spellEnd"/>
      <w:r>
        <w:rPr>
          <w:rFonts w:ascii="Arial" w:hAnsi="Arial" w:cs="Arial" w:hint="eastAsia"/>
        </w:rPr>
        <w:t xml:space="preserve"> datasets, achieving a test accuracy of 71.3% on the seven-class emotion classification task (happiness, sadness, anger, fear, surprise, disgust, neutral) after quantization to INT8 for mobile deployment. The system extracts facial action units using a </w:t>
      </w:r>
      <w:proofErr w:type="spellStart"/>
      <w:r>
        <w:rPr>
          <w:rFonts w:ascii="Arial" w:hAnsi="Arial" w:cs="Arial" w:hint="eastAsia"/>
        </w:rPr>
        <w:t>MediaPipe</w:t>
      </w:r>
      <w:proofErr w:type="spellEnd"/>
      <w:r>
        <w:rPr>
          <w:rFonts w:ascii="Arial" w:hAnsi="Arial" w:cs="Arial" w:hint="eastAsia"/>
        </w:rPr>
        <w:t xml:space="preserve">-based face mesh detector and maps them to the six basic emotion categories plus neutral state, with continuous valence-arousal coordinate outputs derived from the PAD </w:t>
      </w:r>
      <w:r>
        <w:rPr>
          <w:rFonts w:ascii="Arial" w:hAnsi="Arial" w:cs="Arial" w:hint="eastAsia"/>
        </w:rPr>
        <w:lastRenderedPageBreak/>
        <w:t>emotional model. Model inference is performed on-device using TensorFlow Lite, maintaining sub-second inference times (average 0.4 seconds) on consumer devices.</w:t>
      </w:r>
    </w:p>
    <w:p w14:paraId="04089D63" w14:textId="77777777" w:rsidR="00A11F57" w:rsidRDefault="00000000">
      <w:pPr>
        <w:pStyle w:val="Body"/>
        <w:spacing w:after="0"/>
        <w:rPr>
          <w:rFonts w:ascii="Arial" w:hAnsi="Arial" w:cs="Arial"/>
        </w:rPr>
      </w:pPr>
      <w:r>
        <w:rPr>
          <w:rFonts w:ascii="Arial" w:hAnsi="Arial" w:cs="Arial" w:hint="eastAsia"/>
          <w:b/>
          <w:bCs/>
        </w:rPr>
        <w:t>Text-Based Emotion Input</w:t>
      </w:r>
      <w:r>
        <w:rPr>
          <w:rFonts w:ascii="Arial" w:hAnsi="Arial" w:cs="Arial" w:hint="eastAsia"/>
        </w:rPr>
        <w:t xml:space="preserve">. Alternatively, users may describe their current emotional state through free-text input. The system employs a fine-tuned </w:t>
      </w:r>
      <w:proofErr w:type="spellStart"/>
      <w:r>
        <w:rPr>
          <w:rFonts w:ascii="Arial" w:hAnsi="Arial" w:cs="Arial" w:hint="eastAsia"/>
        </w:rPr>
        <w:t>DistilBERT</w:t>
      </w:r>
      <w:proofErr w:type="spellEnd"/>
      <w:r>
        <w:rPr>
          <w:rFonts w:ascii="Arial" w:hAnsi="Arial" w:cs="Arial" w:hint="eastAsia"/>
        </w:rPr>
        <w:t>-based natural language processing classifier to extract emotion labels, intensity scores, and contextual modifiers from the text [19]. The classification architecture draws on comparative evidence from machine learning and deep learning approaches to emotion classification, utilizing an ensemble of transformer-based and traditional models (</w:t>
      </w:r>
      <w:proofErr w:type="spellStart"/>
      <w:r>
        <w:rPr>
          <w:rFonts w:ascii="Arial" w:hAnsi="Arial" w:cs="Arial" w:hint="eastAsia"/>
        </w:rPr>
        <w:t>DistilBERT</w:t>
      </w:r>
      <w:proofErr w:type="spellEnd"/>
      <w:r>
        <w:rPr>
          <w:rFonts w:ascii="Arial" w:hAnsi="Arial" w:cs="Arial" w:hint="eastAsia"/>
        </w:rPr>
        <w:t xml:space="preserve"> + </w:t>
      </w:r>
      <w:proofErr w:type="spellStart"/>
      <w:r>
        <w:rPr>
          <w:rFonts w:ascii="Arial" w:hAnsi="Arial" w:cs="Arial" w:hint="eastAsia"/>
        </w:rPr>
        <w:t>XGBoost</w:t>
      </w:r>
      <w:proofErr w:type="spellEnd"/>
      <w:r>
        <w:rPr>
          <w:rFonts w:ascii="Arial" w:hAnsi="Arial" w:cs="Arial" w:hint="eastAsia"/>
        </w:rPr>
        <w:t xml:space="preserve">) to balance accuracy (F1 = 0.79 on </w:t>
      </w:r>
      <w:proofErr w:type="spellStart"/>
      <w:r>
        <w:rPr>
          <w:rFonts w:ascii="Arial" w:hAnsi="Arial" w:cs="Arial" w:hint="eastAsia"/>
        </w:rPr>
        <w:t>GoEmotions</w:t>
      </w:r>
      <w:proofErr w:type="spellEnd"/>
      <w:r>
        <w:rPr>
          <w:rFonts w:ascii="Arial" w:hAnsi="Arial" w:cs="Arial" w:hint="eastAsia"/>
        </w:rPr>
        <w:t xml:space="preserve"> benchmark) with computational efficiency. Users who prefer not to type may select from a visual emotion wheel interface that presents 24 nuanced emotion states organized by valence and arousal dimensions. This design was informed by the circumplex model of affect and validated through iterative usability testing.</w:t>
      </w:r>
    </w:p>
    <w:p w14:paraId="598A96C9" w14:textId="77777777" w:rsidR="00A11F57" w:rsidRDefault="00000000">
      <w:pPr>
        <w:pStyle w:val="Body"/>
        <w:spacing w:after="0"/>
        <w:rPr>
          <w:rFonts w:ascii="Arial" w:hAnsi="Arial" w:cs="Arial"/>
        </w:rPr>
      </w:pPr>
      <w:r>
        <w:rPr>
          <w:rFonts w:ascii="Arial" w:hAnsi="Arial" w:cs="Arial" w:hint="eastAsia"/>
        </w:rPr>
        <w:t>The dual-modality design accommodates varying user preferences and situational constraints: image-based capture provides immediacy and bypasses verbal articulation barriers, while text-based input allows nuanced emotional description and is less affected by environmental lighting conditions</w:t>
      </w:r>
      <w:r>
        <w:rPr>
          <w:rFonts w:ascii="Arial" w:hAnsi="Arial" w:cs="Arial"/>
        </w:rPr>
        <w:t>.</w:t>
      </w:r>
    </w:p>
    <w:p w14:paraId="34C78339" w14:textId="77777777" w:rsidR="00A11F57" w:rsidRDefault="00000000">
      <w:pPr>
        <w:pStyle w:val="Heading3"/>
        <w:rPr>
          <w:rFonts w:eastAsia="Times New Roman"/>
          <w:caps/>
          <w:sz w:val="22"/>
          <w:u w:val="none"/>
        </w:rPr>
      </w:pPr>
      <w:bookmarkStart w:id="5" w:name="color-emotion-mapping-engine"/>
      <w:bookmarkEnd w:id="4"/>
      <w:r>
        <w:rPr>
          <w:rFonts w:eastAsia="Times New Roman"/>
          <w:caps/>
          <w:sz w:val="22"/>
          <w:u w:val="none"/>
        </w:rPr>
        <w:t>3.2 Color-Emotion Mapping Engine</w:t>
      </w:r>
    </w:p>
    <w:p w14:paraId="6501F241" w14:textId="77777777" w:rsidR="00A11F57" w:rsidRDefault="00000000">
      <w:pPr>
        <w:pStyle w:val="Body"/>
        <w:spacing w:after="0"/>
        <w:rPr>
          <w:rFonts w:ascii="Arial" w:hAnsi="Arial" w:cs="Arial"/>
          <w:lang w:eastAsia="zh-CN"/>
        </w:rPr>
      </w:pPr>
      <w:r>
        <w:rPr>
          <w:rFonts w:ascii="Arial" w:hAnsi="Arial" w:cs="Arial" w:hint="eastAsia"/>
        </w:rPr>
        <w:t xml:space="preserve">The Color-Emotion Mapping Engine constitutes the theoretical and computational core of the </w:t>
      </w:r>
      <w:proofErr w:type="spellStart"/>
      <w:r>
        <w:rPr>
          <w:rFonts w:ascii="Arial" w:hAnsi="Arial" w:cs="Arial" w:hint="eastAsia"/>
        </w:rPr>
        <w:t>ArtThera</w:t>
      </w:r>
      <w:proofErr w:type="spellEnd"/>
      <w:r>
        <w:rPr>
          <w:rFonts w:ascii="Arial" w:hAnsi="Arial" w:cs="Arial" w:hint="eastAsia"/>
        </w:rPr>
        <w:t xml:space="preserve"> system, translating abstract emotional states into concrete visual color parameters through a multi-stage pipeline grounded in both color psychology and machine learning. Figure 2 illustrates the complete mapping pipeline from input through clustering to emotion label output, as described below</w:t>
      </w:r>
      <w:r>
        <w:rPr>
          <w:rFonts w:ascii="Arial" w:hAnsi="Arial" w:cs="Arial" w:hint="eastAsia"/>
          <w:lang w:eastAsia="zh-CN"/>
        </w:rPr>
        <w:t>。</w:t>
      </w:r>
    </w:p>
    <w:p w14:paraId="16B78B92" w14:textId="77777777" w:rsidR="00A11F57" w:rsidRDefault="00000000">
      <w:pPr>
        <w:pStyle w:val="BodyText"/>
      </w:pPr>
      <w:r>
        <w:rPr>
          <w:noProof/>
        </w:rPr>
        <w:drawing>
          <wp:inline distT="0" distB="0" distL="114300" distR="114300" wp14:anchorId="46403023" wp14:editId="2783913F">
            <wp:extent cx="5209540" cy="1090295"/>
            <wp:effectExtent l="0" t="0" r="1016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5209540" cy="1090295"/>
                    </a:xfrm>
                    <a:prstGeom prst="rect">
                      <a:avLst/>
                    </a:prstGeom>
                    <a:noFill/>
                    <a:ln w="9525">
                      <a:noFill/>
                      <a:miter lim="800000"/>
                      <a:headEnd/>
                      <a:tailEnd/>
                    </a:ln>
                  </pic:spPr>
                </pic:pic>
              </a:graphicData>
            </a:graphic>
          </wp:inline>
        </w:drawing>
      </w:r>
    </w:p>
    <w:p w14:paraId="1A721F5B" w14:textId="77777777" w:rsidR="00A11F57" w:rsidRDefault="00000000">
      <w:pPr>
        <w:autoSpaceDE w:val="0"/>
        <w:autoSpaceDN w:val="0"/>
        <w:adjustRightInd w:val="0"/>
        <w:jc w:val="both"/>
        <w:rPr>
          <w:rFonts w:ascii="Arial" w:hAnsi="Arial" w:cs="Arial"/>
          <w:b/>
          <w:bCs/>
          <w:szCs w:val="22"/>
        </w:rPr>
      </w:pPr>
      <w:r>
        <w:rPr>
          <w:rFonts w:ascii="Arial" w:hAnsi="Arial" w:cs="Arial" w:hint="eastAsia"/>
          <w:b/>
          <w:bCs/>
          <w:szCs w:val="22"/>
        </w:rPr>
        <w:t>Figure 2: Color-Emotion Mapping Pipeline. Four-stage process from image/text input through K-means clustering to PAD emotion label output.</w:t>
      </w:r>
    </w:p>
    <w:p w14:paraId="2729AC31" w14:textId="77777777" w:rsidR="00A11F57" w:rsidRDefault="00000000">
      <w:pPr>
        <w:pStyle w:val="Body"/>
        <w:spacing w:after="0"/>
        <w:rPr>
          <w:rFonts w:ascii="Arial" w:hAnsi="Arial" w:cs="Arial"/>
        </w:rPr>
      </w:pPr>
      <w:r>
        <w:rPr>
          <w:rFonts w:ascii="Arial" w:hAnsi="Arial" w:cs="Arial" w:hint="eastAsia"/>
          <w:b/>
          <w:bCs/>
        </w:rPr>
        <w:t>Artwork Dataset Construction.</w:t>
      </w:r>
      <w:r>
        <w:rPr>
          <w:rFonts w:ascii="Arial" w:hAnsi="Arial" w:cs="Arial" w:hint="eastAsia"/>
        </w:rPr>
        <w:t xml:space="preserve"> The engine is built upon a curated dataset of 1,184 classical artworks sourced from open art databases including </w:t>
      </w:r>
      <w:proofErr w:type="spellStart"/>
      <w:r>
        <w:rPr>
          <w:rFonts w:ascii="Arial" w:hAnsi="Arial" w:cs="Arial" w:hint="eastAsia"/>
        </w:rPr>
        <w:t>WikiArt</w:t>
      </w:r>
      <w:proofErr w:type="spellEnd"/>
      <w:r>
        <w:rPr>
          <w:rFonts w:ascii="Arial" w:hAnsi="Arial" w:cs="Arial" w:hint="eastAsia"/>
        </w:rPr>
        <w:t xml:space="preserve"> and the COSMOS dataset, each annotated with emotion labels derived from a structured annotation protocol. Emotion annotations were collected through a crowdsourced survey in which 15 trained annotators (graduate students in art history and psychology) independently rated each artwork on the three PAD dimensions (Pleasure, Arousal, Dominance) using 9-point Likert scales. Inter-rater reliability was assessed using intraclass correlation coefficients (ICC); artworks with ICC &lt; 0.6 were excluded or re-annotated. The final dataset achieved a mean ICC of 0.78 across all three PAD dimensions. The dataset spans multiple artistic periods and movements (Renaissance, Baroque, Impressionism, Post-Impressionism, Abstract Expressionism, Contemporary) to ensure diversity in color usage patterns and emotional associations across cultural and historical contexts.</w:t>
      </w:r>
    </w:p>
    <w:p w14:paraId="04BFAE3E" w14:textId="77777777" w:rsidR="00A11F57" w:rsidRDefault="00000000">
      <w:pPr>
        <w:pStyle w:val="Body"/>
        <w:spacing w:after="0"/>
        <w:rPr>
          <w:rFonts w:ascii="Arial" w:hAnsi="Arial" w:cs="Arial"/>
        </w:rPr>
      </w:pPr>
      <w:r>
        <w:rPr>
          <w:rFonts w:ascii="Arial" w:hAnsi="Arial" w:cs="Arial" w:hint="eastAsia"/>
          <w:b/>
          <w:bCs/>
        </w:rPr>
        <w:t>K-Means Color Clustering.</w:t>
      </w:r>
      <w:r>
        <w:rPr>
          <w:rFonts w:ascii="Arial" w:hAnsi="Arial" w:cs="Arial" w:hint="eastAsia"/>
        </w:rPr>
        <w:t xml:space="preserve"> For each artwork in the dataset, the system applies a modified K-means clustering algorithm to extract dominant color palettes [15]. The clustering process operates in the CIELAB color space—selected for its perceptual uniformity—extracting K = 6 representative colors per artwork (optimal K determined through elbow method analysis of within-cluster sum of squares). Each extracted color is characterized by its CIELAB coordinates (L*, a*, b*), which map directly to perceptual dimensions: L* represents lightness (luminance), a* represents the green-red axis (negative toward green, positive toward red), and b* represents the blue-yellow axis (negative toward blue, positive toward yellow). These </w:t>
      </w:r>
      <w:r>
        <w:rPr>
          <w:rFonts w:ascii="Arial" w:hAnsi="Arial" w:cs="Arial" w:hint="eastAsia"/>
        </w:rPr>
        <w:lastRenderedPageBreak/>
        <w:t>dimensions correspond to the psychological color attributes of brightness, saturation, and hue that have been systematically linked to emotional responses [16]. The modified algorithm incorporates a spatial weighting factor that accounts for the perceptual salience of centrally positioned color regions, improving clustering relevance for compositionally complex artworks.</w:t>
      </w:r>
    </w:p>
    <w:p w14:paraId="488C3D37" w14:textId="77777777" w:rsidR="00A11F57" w:rsidRDefault="00000000">
      <w:pPr>
        <w:pStyle w:val="Body"/>
        <w:spacing w:after="0"/>
        <w:rPr>
          <w:rFonts w:ascii="Arial" w:hAnsi="Arial" w:cs="Arial"/>
        </w:rPr>
      </w:pPr>
      <w:r>
        <w:rPr>
          <w:rFonts w:ascii="Arial" w:hAnsi="Arial" w:cs="Arial" w:hint="eastAsia"/>
          <w:b/>
          <w:bCs/>
        </w:rPr>
        <w:t>PAD Model Integration.</w:t>
      </w:r>
      <w:r>
        <w:rPr>
          <w:rFonts w:ascii="Arial" w:hAnsi="Arial" w:cs="Arial" w:hint="eastAsia"/>
        </w:rPr>
        <w:t xml:space="preserve"> The extracted color distributions are cross-referenced with emotion annotations using the PAD three-dimensional emotional model. Through statistical analysis of the annotated dataset, the system derives color-emotion association rules mapping specific color attribute ranges to PAD coordinate regions. Each training artwork contributes a 9-feature vector (six colors × three CIELAB attributes reduced to six cluster centroids, plus hue diversity, saturation variance, and brightness contrast) that is regressed against its three PAD annotation scores. A multivariate regression model (R² = 0.64 for Pleasure, 0.58 for Arousal, 0.51 for Dominance on held-out validation data) was constructed to enable bidirectional mapping: given an emotion state, the model predicts the most probable CIELAB attribute ranges. For example, low-arousal negative emotions (sadness, melancholy) correlate with low-saturation, low-brightness palettes dominated by cool hues (blue-green regions); high-arousal positive emotions (excitement, joy) correlate with high-saturation, high-brightness palettes featuring warm hues (red-yellow regions) and strong contrast ratios [18]. Low-arousal positive emotions (calm, serenity) associate with medium-brightness, low-to-medium saturation palettes exemplified by Morandi color schemes.</w:t>
      </w:r>
    </w:p>
    <w:p w14:paraId="471545C4" w14:textId="77777777" w:rsidR="00A11F57" w:rsidRDefault="00000000">
      <w:pPr>
        <w:pStyle w:val="Body"/>
        <w:spacing w:after="0"/>
        <w:rPr>
          <w:rFonts w:ascii="Arial" w:hAnsi="Arial" w:cs="Arial"/>
        </w:rPr>
      </w:pPr>
      <w:r>
        <w:rPr>
          <w:rFonts w:ascii="Arial" w:hAnsi="Arial" w:cs="Arial" w:hint="eastAsia"/>
          <w:b/>
          <w:bCs/>
        </w:rPr>
        <w:t>Rule Base Construction</w:t>
      </w:r>
      <w:r>
        <w:rPr>
          <w:rFonts w:ascii="Arial" w:hAnsi="Arial" w:cs="Arial" w:hint="eastAsia"/>
        </w:rPr>
        <w:t>. The association rules are formalized into a structured “emotion-color feature rule base” organized as a lookup table indexed by PAD coordinate regions. Each entry specifies recommended ranges for hue angle (0°–360°), saturation (0%–100%), brightness (0%–100%), and contrast ratio, along with confidence scores derived from the frequency and consistency of the association in the training dataset. The rule base is designed to be extensible, allowing continuous refinement as additional annotated artworks are incorporated into the training corpus. This architecture aligns with the theme-color-emotion framework proposed by Zhao [18], while extending it with quantitative, computationally actionable parameters suitable for real-time generative applications [17]. The mapping engine also draws on the emotion-driven color mapping techniques validated by Kong [14] for graphic coloring applications</w:t>
      </w:r>
      <w:r>
        <w:rPr>
          <w:rFonts w:ascii="Arial" w:hAnsi="Arial" w:cs="Arial"/>
        </w:rPr>
        <w:t>.</w:t>
      </w:r>
    </w:p>
    <w:p w14:paraId="1622416E" w14:textId="77777777" w:rsidR="00A11F57" w:rsidRDefault="00000000">
      <w:pPr>
        <w:pStyle w:val="Heading3"/>
        <w:rPr>
          <w:rFonts w:eastAsia="Times New Roman"/>
          <w:caps/>
          <w:sz w:val="22"/>
          <w:u w:val="none"/>
        </w:rPr>
      </w:pPr>
      <w:bookmarkStart w:id="6" w:name="ai-generated-art-engine"/>
      <w:bookmarkEnd w:id="5"/>
      <w:r>
        <w:rPr>
          <w:rFonts w:eastAsia="Times New Roman"/>
          <w:caps/>
          <w:sz w:val="22"/>
          <w:u w:val="none"/>
        </w:rPr>
        <w:t>3.3 AI-Generated Art Engine</w:t>
      </w:r>
    </w:p>
    <w:p w14:paraId="3B34C88B" w14:textId="77777777" w:rsidR="00A11F57" w:rsidRDefault="00000000">
      <w:pPr>
        <w:pStyle w:val="Body"/>
        <w:spacing w:after="0"/>
        <w:rPr>
          <w:rFonts w:ascii="Arial" w:hAnsi="Arial" w:cs="Arial"/>
        </w:rPr>
      </w:pPr>
      <w:r>
        <w:rPr>
          <w:rFonts w:ascii="Arial" w:hAnsi="Arial" w:cs="Arial" w:hint="eastAsia"/>
        </w:rPr>
        <w:t xml:space="preserve">The AI-Generated Art Engine transforms the color parameters output by the mapping engine into </w:t>
      </w:r>
      <w:proofErr w:type="gramStart"/>
      <w:r>
        <w:rPr>
          <w:rFonts w:ascii="Arial" w:hAnsi="Arial" w:cs="Arial" w:hint="eastAsia"/>
        </w:rPr>
        <w:t>concrete,</w:t>
      </w:r>
      <w:proofErr w:type="gramEnd"/>
      <w:r>
        <w:rPr>
          <w:rFonts w:ascii="Arial" w:hAnsi="Arial" w:cs="Arial" w:hint="eastAsia"/>
        </w:rPr>
        <w:t xml:space="preserve"> multimodal therapeutic content delivered to the user. This module comprises three integrated generation pipelines coordinated through a unified content assembly layer.</w:t>
      </w:r>
    </w:p>
    <w:p w14:paraId="72FE3D15" w14:textId="77777777" w:rsidR="00A11F57" w:rsidRDefault="00000000">
      <w:pPr>
        <w:pStyle w:val="Body"/>
        <w:spacing w:after="0"/>
        <w:rPr>
          <w:rFonts w:ascii="Arial" w:hAnsi="Arial" w:cs="Arial"/>
        </w:rPr>
      </w:pPr>
      <w:r>
        <w:rPr>
          <w:rFonts w:ascii="Arial" w:hAnsi="Arial" w:cs="Arial" w:hint="eastAsia"/>
          <w:b/>
          <w:bCs/>
        </w:rPr>
        <w:t>Personalized Color Palette Generation.</w:t>
      </w:r>
      <w:r>
        <w:rPr>
          <w:rFonts w:ascii="Arial" w:hAnsi="Arial" w:cs="Arial" w:hint="eastAsia"/>
        </w:rPr>
        <w:t xml:space="preserve"> Upon receiving the target color parameter ranges from the mapping engine, the system invokes the DeepSeek-V2 generative model to produce a customized color palette. The model prompt is structured with explicit constraints derived from the emotion-color rule base, specifying hue ranges, saturation levels, contrast requirements, and harmony rules (complementary, analogous, or triadic schemes). The generated palette typically includes 5–8 colors with hexadecimal codes and natural language descriptions of the emotional intention behind each color combination. The DeepSeek API was accessed with a temperature parameter of 0.7 and a maximum token limit of 512 to balance creativity with consistency. This approach extends beyond traditional static color schemes by enabling dynamic, context-sensitive palette generation that adapts to the specific nuances of individual user emotional states [5, 17].</w:t>
      </w:r>
    </w:p>
    <w:p w14:paraId="1E7A3E80" w14:textId="77777777" w:rsidR="00A11F57" w:rsidRDefault="00000000">
      <w:pPr>
        <w:pStyle w:val="Body"/>
        <w:spacing w:after="0"/>
        <w:rPr>
          <w:rFonts w:ascii="Arial" w:hAnsi="Arial" w:cs="Arial"/>
        </w:rPr>
      </w:pPr>
      <w:r>
        <w:rPr>
          <w:rFonts w:ascii="Arial" w:hAnsi="Arial" w:cs="Arial" w:hint="eastAsia"/>
          <w:b/>
          <w:bCs/>
        </w:rPr>
        <w:t>Minimalist Drawing Template Generation.</w:t>
      </w:r>
      <w:r>
        <w:rPr>
          <w:rFonts w:ascii="Arial" w:hAnsi="Arial" w:cs="Arial" w:hint="eastAsia"/>
        </w:rPr>
        <w:t xml:space="preserve"> Drawing upon the generated color palette, the system produces a minimalist line-art drawing template tailored to the user’s emotional context. The template generation process considers three parameters: emotional theme (e.g., nature motifs for calm states, geometric patterns for focused states, organic flowing forms for expressive states), complexity level (adjustable based on user preference and estimated emotional energy), and color application zones (regions mapped to specific </w:t>
      </w:r>
      <w:r>
        <w:rPr>
          <w:rFonts w:ascii="Arial" w:hAnsi="Arial" w:cs="Arial" w:hint="eastAsia"/>
        </w:rPr>
        <w:lastRenderedPageBreak/>
        <w:t>palette colors). The minimalist design philosophy deliberately lowers the artistic skill barrier, enabling users without formal art training to engage in creative expression [4]. Templates are generated using SVG-based procedural graphics with user-configurable stroke weights and detail levels. This approach operationalizes the accessibility principle articulated in art therapy literature, where the therapeutic mechanism lies in the process of engagement rather than the aesthetic quality of the output [10, 13].</w:t>
      </w:r>
    </w:p>
    <w:p w14:paraId="52BC6F51" w14:textId="77777777" w:rsidR="00A11F57" w:rsidRDefault="00000000">
      <w:pPr>
        <w:pStyle w:val="Body"/>
        <w:spacing w:after="0"/>
        <w:rPr>
          <w:rFonts w:ascii="Arial" w:hAnsi="Arial" w:cs="Arial"/>
        </w:rPr>
      </w:pPr>
      <w:r>
        <w:rPr>
          <w:rFonts w:ascii="Arial" w:hAnsi="Arial" w:cs="Arial" w:hint="eastAsia"/>
          <w:b/>
          <w:bCs/>
        </w:rPr>
        <w:t>Contextual Ambient Audio Generation.</w:t>
      </w:r>
      <w:r>
        <w:rPr>
          <w:rFonts w:ascii="Arial" w:hAnsi="Arial" w:cs="Arial" w:hint="eastAsia"/>
        </w:rPr>
        <w:t xml:space="preserve"> To enhance immersive engagement, the system generates or selects contextual ambient soundscapes matched to both the emotional state and the visual content theme. Sound categories include natural environments (rainfall, ocean waves, forest ambience), urban textures (café background, library quiet), and abstract soundscapes (pink noise, binaural beats). The audio content is processed through </w:t>
      </w:r>
      <w:proofErr w:type="spellStart"/>
      <w:r>
        <w:rPr>
          <w:rFonts w:ascii="Arial" w:hAnsi="Arial" w:cs="Arial" w:hint="eastAsia"/>
        </w:rPr>
        <w:t>FFmpeg</w:t>
      </w:r>
      <w:proofErr w:type="spellEnd"/>
      <w:r>
        <w:rPr>
          <w:rFonts w:ascii="Arial" w:hAnsi="Arial" w:cs="Arial" w:hint="eastAsia"/>
        </w:rPr>
        <w:t xml:space="preserve"> (version 6.0) for seamless looping and cross-fading between tracks, with loudness normalization to -16 LUFS (Loudness Units relative to Full Scale) using the EBU R128 standard to ensure consistent listening comfort. The integration of auditory elements with visual art creation draws on multisensory therapeutic principles documented in mindfulness-based art therapy research [12].</w:t>
      </w:r>
    </w:p>
    <w:p w14:paraId="220766D2" w14:textId="77777777" w:rsidR="00A11F57" w:rsidRDefault="00000000">
      <w:pPr>
        <w:pStyle w:val="Body"/>
        <w:spacing w:after="0"/>
        <w:rPr>
          <w:rFonts w:ascii="Arial" w:hAnsi="Arial" w:cs="Arial"/>
        </w:rPr>
      </w:pPr>
      <w:r>
        <w:rPr>
          <w:rFonts w:ascii="Arial" w:hAnsi="Arial" w:cs="Arial" w:hint="eastAsia"/>
          <w:b/>
          <w:bCs/>
        </w:rPr>
        <w:t>Emotion Memory Capsule.</w:t>
      </w:r>
      <w:r>
        <w:rPr>
          <w:rFonts w:ascii="Arial" w:hAnsi="Arial" w:cs="Arial" w:hint="eastAsia"/>
        </w:rPr>
        <w:t xml:space="preserve"> A distinguishing feature of the </w:t>
      </w:r>
      <w:proofErr w:type="spellStart"/>
      <w:r>
        <w:rPr>
          <w:rFonts w:ascii="Arial" w:hAnsi="Arial" w:cs="Arial" w:hint="eastAsia"/>
        </w:rPr>
        <w:t>ArtThera</w:t>
      </w:r>
      <w:proofErr w:type="spellEnd"/>
      <w:r>
        <w:rPr>
          <w:rFonts w:ascii="Arial" w:hAnsi="Arial" w:cs="Arial" w:hint="eastAsia"/>
        </w:rPr>
        <w:t xml:space="preserve"> system is the “emotion memory capsule” concept, as depicted in the upper-right component of the system architecture diagram (Figure 1). Upon completion of a creative session, the system automatically embeds contextual metadata—including timestamp, geolocation coordinates, local weather conditions (retrieved via </w:t>
      </w:r>
      <w:proofErr w:type="spellStart"/>
      <w:r>
        <w:rPr>
          <w:rFonts w:ascii="Arial" w:hAnsi="Arial" w:cs="Arial" w:hint="eastAsia"/>
        </w:rPr>
        <w:t>OpenWeatherMap</w:t>
      </w:r>
      <w:proofErr w:type="spellEnd"/>
      <w:r>
        <w:rPr>
          <w:rFonts w:ascii="Arial" w:hAnsi="Arial" w:cs="Arial" w:hint="eastAsia"/>
        </w:rPr>
        <w:t xml:space="preserve"> API), heart rate data (when available through wearable integration), and the original emotion input—into the generated artwork file as EXIF and custom XMP metadata fields. The completed artwork is rendered at high resolution (2048 × 2048 pixels) and stored in the user’s personal emotion diary gallery.</w:t>
      </w:r>
    </w:p>
    <w:p w14:paraId="11004B73" w14:textId="77777777" w:rsidR="00A11F57" w:rsidRDefault="00000000">
      <w:pPr>
        <w:pStyle w:val="Body"/>
        <w:spacing w:after="0"/>
        <w:rPr>
          <w:rFonts w:ascii="Arial" w:hAnsi="Arial" w:cs="Arial"/>
        </w:rPr>
      </w:pPr>
      <w:r>
        <w:rPr>
          <w:rFonts w:ascii="Arial" w:hAnsi="Arial" w:cs="Arial" w:hint="eastAsia"/>
        </w:rPr>
        <w:t xml:space="preserve">Recognizing the sensitivity of the data embedded in the emotion memory capsule, the system implements a multi-layered privacy and data governance framework. All metadata embedding is opt-in: users are explicitly informed during the onboarding process about which data categories will be collected (geolocation, weather, HRV, emotion input) and must provide granular consent for each category before the feature is activated. Users may retroactively disable specific metadata fields or delete individual memory capsules at any time through the privacy settings panel. All capsule data is encrypted at rest using AES-256 and in transit using TLS 1.3. Geolocation data is stored at city-level resolution only (not precise coordinates), and HRV data is pseudonymized and stored separately from identifiable user profiles. The emotion diary gallery is accessible only through biometric authentication (fingerprint or face recognition) on the user’s device. This privacy architecture was designed in accordance with the principles of data minimization and purpose limitation as articulated in international data protection frameworks. The memory capsule enables retrospective browsing of emotional trajectories, facilitating self-reflection and providing visual documentation for counseling sessions, while ensuring that users retain full control over their personal emotional data. This feature operationalizes the cross-temporal emotional resonance concept that distinguishes </w:t>
      </w:r>
      <w:proofErr w:type="spellStart"/>
      <w:r>
        <w:rPr>
          <w:rFonts w:ascii="Arial" w:hAnsi="Arial" w:cs="Arial" w:hint="eastAsia"/>
        </w:rPr>
        <w:t>ArtThera</w:t>
      </w:r>
      <w:proofErr w:type="spellEnd"/>
      <w:r>
        <w:rPr>
          <w:rFonts w:ascii="Arial" w:hAnsi="Arial" w:cs="Arial" w:hint="eastAsia"/>
        </w:rPr>
        <w:t xml:space="preserve"> from conventional mood tracking applications [17]</w:t>
      </w:r>
      <w:r>
        <w:rPr>
          <w:rFonts w:ascii="Arial" w:hAnsi="Arial" w:cs="Arial"/>
        </w:rPr>
        <w:t>.</w:t>
      </w:r>
    </w:p>
    <w:p w14:paraId="535B475A" w14:textId="77777777" w:rsidR="00A11F57" w:rsidRDefault="00000000">
      <w:pPr>
        <w:pStyle w:val="Heading3"/>
        <w:rPr>
          <w:rFonts w:eastAsia="Times New Roman"/>
          <w:caps/>
          <w:sz w:val="22"/>
          <w:u w:val="none"/>
        </w:rPr>
      </w:pPr>
      <w:bookmarkStart w:id="7" w:name="multimodal-emotion-assessment"/>
      <w:bookmarkEnd w:id="6"/>
      <w:r>
        <w:rPr>
          <w:rFonts w:eastAsia="Times New Roman"/>
          <w:caps/>
          <w:sz w:val="22"/>
          <w:u w:val="none"/>
        </w:rPr>
        <w:t>3.4 Multimodal Emotion Assessment</w:t>
      </w:r>
    </w:p>
    <w:p w14:paraId="6FCD39F5" w14:textId="77777777" w:rsidR="00A11F57" w:rsidRDefault="00000000">
      <w:pPr>
        <w:pStyle w:val="BodyText"/>
        <w:rPr>
          <w:rFonts w:eastAsia="Times New Roman"/>
        </w:rPr>
      </w:pPr>
      <w:r>
        <w:rPr>
          <w:rFonts w:eastAsia="Times New Roman" w:hint="eastAsia"/>
        </w:rPr>
        <w:t>The Multimodal Emotion Assessment module provides systematic evaluation of the therapeutic intervention’s effectiveness through three complementary measurement dimensions: subjective self-report, physiological monitoring, and psychometric scale assessment. Figure 3 presents the deployment timeline of these three modalities across the four-week intervention period, as outlined below.</w:t>
      </w:r>
    </w:p>
    <w:p w14:paraId="2F356C48" w14:textId="77777777" w:rsidR="00A11F57" w:rsidRDefault="00000000">
      <w:pPr>
        <w:pStyle w:val="BodyText"/>
      </w:pPr>
      <w:r>
        <w:rPr>
          <w:noProof/>
        </w:rPr>
        <w:lastRenderedPageBreak/>
        <w:drawing>
          <wp:inline distT="0" distB="0" distL="114300" distR="114300" wp14:anchorId="7D67F241" wp14:editId="17C595B0">
            <wp:extent cx="5207000" cy="1270635"/>
            <wp:effectExtent l="0" t="0" r="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5207000" cy="1270635"/>
                    </a:xfrm>
                    <a:prstGeom prst="rect">
                      <a:avLst/>
                    </a:prstGeom>
                    <a:noFill/>
                    <a:ln w="9525">
                      <a:noFill/>
                      <a:miter lim="800000"/>
                      <a:headEnd/>
                      <a:tailEnd/>
                    </a:ln>
                  </pic:spPr>
                </pic:pic>
              </a:graphicData>
            </a:graphic>
          </wp:inline>
        </w:drawing>
      </w:r>
    </w:p>
    <w:p w14:paraId="2F87DECC" w14:textId="77777777" w:rsidR="00A11F57" w:rsidRDefault="00000000">
      <w:pPr>
        <w:autoSpaceDE w:val="0"/>
        <w:autoSpaceDN w:val="0"/>
        <w:adjustRightInd w:val="0"/>
        <w:jc w:val="both"/>
        <w:rPr>
          <w:rFonts w:ascii="Arial" w:hAnsi="Arial" w:cs="Arial"/>
          <w:b/>
          <w:bCs/>
          <w:szCs w:val="22"/>
        </w:rPr>
      </w:pPr>
      <w:r>
        <w:rPr>
          <w:rFonts w:ascii="Arial" w:hAnsi="Arial" w:cs="Arial" w:hint="eastAsia"/>
          <w:b/>
          <w:bCs/>
          <w:szCs w:val="22"/>
        </w:rPr>
        <w:t>Figure 3: Multimodal Assessment Framework. Three assessment modalities—emotion diary (daily), HRV monitoring (weekly), and SAS psychometric scale (pre/post)—deployed along a 4-week timeline.</w:t>
      </w:r>
    </w:p>
    <w:p w14:paraId="0A7B0D62" w14:textId="77777777" w:rsidR="00A11F57" w:rsidRDefault="00000000">
      <w:pPr>
        <w:pStyle w:val="Body"/>
        <w:spacing w:after="0"/>
        <w:rPr>
          <w:rFonts w:ascii="Arial" w:hAnsi="Arial" w:cs="Arial"/>
        </w:rPr>
      </w:pPr>
      <w:r>
        <w:rPr>
          <w:rFonts w:ascii="Arial" w:hAnsi="Arial" w:cs="Arial" w:hint="eastAsia"/>
          <w:b/>
          <w:bCs/>
        </w:rPr>
        <w:t>Emotion Diary.</w:t>
      </w:r>
      <w:r>
        <w:rPr>
          <w:rFonts w:ascii="Arial" w:hAnsi="Arial" w:cs="Arial" w:hint="eastAsia"/>
        </w:rPr>
        <w:t xml:space="preserve"> The emotion diary serves as the longitudinal self-report component, recording each creative session with structured metadata: pre-session and post-session emotion states (selected from the 24-emotion wheel), session duration, engagement metrics (template completion rate, color usage statistics), and free-form reflection notes. The diary interface presents emotion trajectories as interactive visualizations including line charts of valence and arousal over time, calendar heatmaps of emotional states, and color-palette evolution timelines. This visualization transforms abstract emotional data into intuitive visual representations that facilitate both self-understanding and clinical communication [7].</w:t>
      </w:r>
    </w:p>
    <w:p w14:paraId="2DBD10D7" w14:textId="77777777" w:rsidR="00A11F57" w:rsidRDefault="00000000">
      <w:pPr>
        <w:pStyle w:val="Body"/>
        <w:spacing w:after="0"/>
        <w:rPr>
          <w:rFonts w:ascii="Arial" w:hAnsi="Arial" w:cs="Arial"/>
        </w:rPr>
      </w:pPr>
      <w:r>
        <w:rPr>
          <w:rFonts w:ascii="Arial" w:hAnsi="Arial" w:cs="Arial" w:hint="eastAsia"/>
          <w:b/>
          <w:bCs/>
        </w:rPr>
        <w:t>Heart Rate Variability Monitoring.</w:t>
      </w:r>
      <w:r>
        <w:rPr>
          <w:rFonts w:ascii="Arial" w:hAnsi="Arial" w:cs="Arial" w:hint="eastAsia"/>
        </w:rPr>
        <w:t xml:space="preserve"> The system integrates HRV measurement through smartphone camera-based photoplethysmography, leveraging the methodological validation provided by van Dijk et al. [30]. HRV monitoring is conducted at two temporal scales with distinct analytical purposes. At the session level, users complete a 2-minute HRV measurement immediately before and after each creative activity, during which the camera captures fingertip blood volume pulse signals. The system computes time-domain HRV parameters including SDNN (standard deviation of NN intervals) and RMSSD (root mean square of successive differences), along with frequency-domain measures (LF power, HF power, LF/HF ratio). These pre-post session comparisons capture acute physiological responses to the creative intervention. At the weekly level, a dedicated 5-minute resting HRV measurement is scheduled at the same time each week, establishing a longitudinal baseline trend that is independent of any single session’s immediate effects. This dual-scale measurement design is explicitly reflected in Figure 3, where the weekly HRV monitoring shows a progressive increase from a baseline (Week 0) RMSSD of 28.6 </w:t>
      </w:r>
      <w:proofErr w:type="spellStart"/>
      <w:r>
        <w:rPr>
          <w:rFonts w:ascii="Arial" w:hAnsi="Arial" w:cs="Arial" w:hint="eastAsia"/>
        </w:rPr>
        <w:t>ms</w:t>
      </w:r>
      <w:proofErr w:type="spellEnd"/>
      <w:r>
        <w:rPr>
          <w:rFonts w:ascii="Arial" w:hAnsi="Arial" w:cs="Arial" w:hint="eastAsia"/>
        </w:rPr>
        <w:t xml:space="preserve"> to Week 4 RMSSD of 44.1 </w:t>
      </w:r>
      <w:proofErr w:type="spellStart"/>
      <w:r>
        <w:rPr>
          <w:rFonts w:ascii="Arial" w:hAnsi="Arial" w:cs="Arial" w:hint="eastAsia"/>
        </w:rPr>
        <w:t>ms</w:t>
      </w:r>
      <w:proofErr w:type="spellEnd"/>
      <w:r>
        <w:rPr>
          <w:rFonts w:ascii="Arial" w:hAnsi="Arial" w:cs="Arial" w:hint="eastAsia"/>
        </w:rPr>
        <w:t xml:space="preserve">, representing the cumulative physiological trend across the intervention period. In contrast, Section 4.3 reports the aggregated session-level pre-post RMSSD change (38.2 </w:t>
      </w:r>
      <w:proofErr w:type="spellStart"/>
      <w:r>
        <w:rPr>
          <w:rFonts w:ascii="Arial" w:hAnsi="Arial" w:cs="Arial" w:hint="eastAsia"/>
        </w:rPr>
        <w:t>ms</w:t>
      </w:r>
      <w:proofErr w:type="spellEnd"/>
      <w:r>
        <w:rPr>
          <w:rFonts w:ascii="Arial" w:hAnsi="Arial" w:cs="Arial" w:hint="eastAsia"/>
        </w:rPr>
        <w:t xml:space="preserve"> to 43.1 </w:t>
      </w:r>
      <w:proofErr w:type="spellStart"/>
      <w:r>
        <w:rPr>
          <w:rFonts w:ascii="Arial" w:hAnsi="Arial" w:cs="Arial" w:hint="eastAsia"/>
        </w:rPr>
        <w:t>ms</w:t>
      </w:r>
      <w:proofErr w:type="spellEnd"/>
      <w:r>
        <w:rPr>
          <w:rFonts w:ascii="Arial" w:hAnsi="Arial" w:cs="Arial" w:hint="eastAsia"/>
        </w:rPr>
        <w:t>), which captures the average acute within-session response. The two measurement scales are complementary rather than contradictory: the weekly trend reflects sustained autonomic adaptation over time, while the pre-post difference reflects immediate session-induced shifts. RMSSD specifically reflects parasympathetic (vagal) activity associated with emotional regulation capacity [22, 26]. Baseline normative values for the college student population are referenced from Oswald and Abram [25].</w:t>
      </w:r>
    </w:p>
    <w:p w14:paraId="493BD056" w14:textId="77777777" w:rsidR="00A11F57" w:rsidRDefault="00000000">
      <w:pPr>
        <w:pStyle w:val="Body"/>
        <w:spacing w:after="0"/>
        <w:rPr>
          <w:rFonts w:ascii="Arial" w:hAnsi="Arial" w:cs="Arial"/>
        </w:rPr>
      </w:pPr>
      <w:r>
        <w:rPr>
          <w:rFonts w:ascii="Arial" w:hAnsi="Arial" w:cs="Arial" w:hint="eastAsia"/>
          <w:b/>
          <w:bCs/>
        </w:rPr>
        <w:t>Psychometric Scale Assessment.</w:t>
      </w:r>
      <w:r>
        <w:rPr>
          <w:rFonts w:ascii="Arial" w:hAnsi="Arial" w:cs="Arial" w:hint="eastAsia"/>
        </w:rPr>
        <w:t xml:space="preserve"> The Self-Rating Anxiety Scale (SAS) is administered at initial registration and at the end of the four-week intervention period, providing pre-post quantification of anxiety symptom severity with established reliability and validity in Chinese populations (Cronbach’s α = 0.83 in the present sample). The Positive and Negative Affect Schedule (PANAS) is administered immediately before and after each creative session for session-level mood assessment, capturing acute emotional changes attributable to individual creative sessions. This multi-timescale assessment architecture—session-level (PANAS, session-level HRV), weekly (longitudinal HRV trend), and intervention-level (SAS, emotion diary)—provides a comprehensive evaluation framework that captures both immediate therapeutic effects and sustained emotional regulation improvements, consistent with the multidimensional outcome measurement approach recommended by Kim and Choi [9]</w:t>
      </w:r>
      <w:r>
        <w:rPr>
          <w:rFonts w:ascii="Arial" w:hAnsi="Arial" w:cs="Arial"/>
        </w:rPr>
        <w:t>.</w:t>
      </w:r>
    </w:p>
    <w:p w14:paraId="16B450FB" w14:textId="77777777" w:rsidR="00A11F57" w:rsidRDefault="00000000">
      <w:pPr>
        <w:pStyle w:val="AbstHead"/>
        <w:spacing w:after="0"/>
        <w:jc w:val="both"/>
        <w:rPr>
          <w:rFonts w:ascii="Arial" w:hAnsi="Arial" w:cs="Arial"/>
        </w:rPr>
      </w:pPr>
      <w:bookmarkStart w:id="8" w:name="pilot-evaluation"/>
      <w:bookmarkEnd w:id="3"/>
      <w:bookmarkEnd w:id="7"/>
      <w:r>
        <w:rPr>
          <w:rFonts w:ascii="Arial" w:hAnsi="Arial" w:cs="Arial"/>
        </w:rPr>
        <w:lastRenderedPageBreak/>
        <w:t>4. PILOT EVALUATION</w:t>
      </w:r>
    </w:p>
    <w:p w14:paraId="1E936994" w14:textId="77777777" w:rsidR="00A11F57" w:rsidRDefault="00000000">
      <w:pPr>
        <w:pStyle w:val="Body"/>
        <w:spacing w:after="0"/>
        <w:rPr>
          <w:rFonts w:ascii="Arial" w:hAnsi="Arial" w:cs="Arial"/>
        </w:rPr>
      </w:pPr>
      <w:r>
        <w:rPr>
          <w:rFonts w:ascii="Arial" w:hAnsi="Arial" w:cs="Arial" w:hint="eastAsia"/>
        </w:rPr>
        <w:t xml:space="preserve">A pilot evaluation was conducted to assess the technical performance, user acceptance, and preliminary physiological and psychometric indicators of the </w:t>
      </w:r>
      <w:proofErr w:type="spellStart"/>
      <w:r>
        <w:rPr>
          <w:rFonts w:ascii="Arial" w:hAnsi="Arial" w:cs="Arial" w:hint="eastAsia"/>
        </w:rPr>
        <w:t>ArtThera</w:t>
      </w:r>
      <w:proofErr w:type="spellEnd"/>
      <w:r>
        <w:rPr>
          <w:rFonts w:ascii="Arial" w:hAnsi="Arial" w:cs="Arial" w:hint="eastAsia"/>
        </w:rPr>
        <w:t xml:space="preserve"> system in a campus setting</w:t>
      </w:r>
      <w:r>
        <w:rPr>
          <w:rFonts w:ascii="Arial" w:hAnsi="Arial" w:cs="Arial"/>
        </w:rPr>
        <w:t>.</w:t>
      </w:r>
    </w:p>
    <w:p w14:paraId="184615AE" w14:textId="77777777" w:rsidR="00A11F57" w:rsidRDefault="00000000">
      <w:pPr>
        <w:pStyle w:val="Heading3"/>
        <w:rPr>
          <w:rFonts w:eastAsia="Times New Roman"/>
          <w:caps/>
          <w:sz w:val="22"/>
          <w:u w:val="none"/>
        </w:rPr>
      </w:pPr>
      <w:bookmarkStart w:id="9" w:name="user-feedback-and-engagement"/>
      <w:r>
        <w:rPr>
          <w:rFonts w:eastAsia="Times New Roman" w:hint="eastAsia"/>
          <w:caps/>
          <w:sz w:val="22"/>
          <w:u w:val="none"/>
        </w:rPr>
        <w:t>4.1 Ethical Approval and Participants</w:t>
      </w:r>
    </w:p>
    <w:p w14:paraId="53BA6F8E" w14:textId="77777777" w:rsidR="00A11F57" w:rsidRDefault="00000000">
      <w:pPr>
        <w:pStyle w:val="Body"/>
        <w:spacing w:after="0"/>
        <w:rPr>
          <w:rFonts w:ascii="Arial" w:hAnsi="Arial" w:cs="Arial"/>
        </w:rPr>
      </w:pPr>
      <w:r>
        <w:rPr>
          <w:rFonts w:ascii="Arial" w:hAnsi="Arial" w:cs="Arial" w:hint="eastAsia"/>
        </w:rPr>
        <w:t>This study was reviewed and approved by the Institutional Review Board of the University Psychological Research Ethics Committee (Approval No. PSY-2025-038) prior to participant recruitment and data collection. All procedures were conducted in accordance with the ethical standards of the institutional research committee and with the 1964 Helsinki Declaration and its later amendments.</w:t>
      </w:r>
    </w:p>
    <w:p w14:paraId="32566F08" w14:textId="77777777" w:rsidR="00A11F57" w:rsidRDefault="00000000">
      <w:pPr>
        <w:pStyle w:val="Body"/>
        <w:spacing w:after="0"/>
        <w:rPr>
          <w:rFonts w:ascii="Arial" w:hAnsi="Arial" w:cs="Arial"/>
        </w:rPr>
      </w:pPr>
      <w:r>
        <w:rPr>
          <w:rFonts w:ascii="Arial" w:hAnsi="Arial" w:cs="Arial" w:hint="eastAsia"/>
        </w:rPr>
        <w:t xml:space="preserve">Twenty undergraduate student volunteers (14 female, 6 </w:t>
      </w:r>
      <w:proofErr w:type="gramStart"/>
      <w:r>
        <w:rPr>
          <w:rFonts w:ascii="Arial" w:hAnsi="Arial" w:cs="Arial" w:hint="eastAsia"/>
        </w:rPr>
        <w:t>male</w:t>
      </w:r>
      <w:proofErr w:type="gramEnd"/>
      <w:r>
        <w:rPr>
          <w:rFonts w:ascii="Arial" w:hAnsi="Arial" w:cs="Arial" w:hint="eastAsia"/>
        </w:rPr>
        <w:t xml:space="preserve">; age range 18–22 years, M = 19.6, SD = 1.3) were recruited through the university psychological association. All participants provided written informed consent after receiving a detailed explanation of the study procedures, data collection practices, privacy protections, and their right to withdraw at any time without penalty. Participants completed baseline SAS and PANAS assessments during the initial registration session. Participants were instructed to use the </w:t>
      </w:r>
      <w:proofErr w:type="spellStart"/>
      <w:r>
        <w:rPr>
          <w:rFonts w:ascii="Arial" w:hAnsi="Arial" w:cs="Arial" w:hint="eastAsia"/>
        </w:rPr>
        <w:t>ArtThera</w:t>
      </w:r>
      <w:proofErr w:type="spellEnd"/>
      <w:r>
        <w:rPr>
          <w:rFonts w:ascii="Arial" w:hAnsi="Arial" w:cs="Arial" w:hint="eastAsia"/>
        </w:rPr>
        <w:t xml:space="preserve"> application for a minimum of three creative sessions per week over a four-week period, with each session comprising emotion input, AI content generation, creative engagement with the drawing template, and post-session HRV measurement and PANAS rating.</w:t>
      </w:r>
    </w:p>
    <w:p w14:paraId="38EE5495" w14:textId="77777777" w:rsidR="00A11F57" w:rsidRDefault="00000000">
      <w:pPr>
        <w:pStyle w:val="Heading3"/>
        <w:rPr>
          <w:rFonts w:eastAsia="Times New Roman"/>
          <w:caps/>
          <w:sz w:val="22"/>
          <w:u w:val="none"/>
        </w:rPr>
      </w:pPr>
      <w:r>
        <w:rPr>
          <w:rFonts w:eastAsia="Times New Roman" w:hint="eastAsia"/>
          <w:caps/>
          <w:sz w:val="22"/>
          <w:u w:val="none"/>
        </w:rPr>
        <w:t>4.2 Technical Performance</w:t>
      </w:r>
    </w:p>
    <w:p w14:paraId="2A2FA754" w14:textId="77777777" w:rsidR="00A11F57" w:rsidRDefault="00000000">
      <w:pPr>
        <w:pStyle w:val="Body"/>
        <w:spacing w:after="0"/>
        <w:rPr>
          <w:rFonts w:ascii="Arial" w:hAnsi="Arial" w:cs="Arial"/>
        </w:rPr>
      </w:pPr>
      <w:r>
        <w:rPr>
          <w:rFonts w:ascii="Arial" w:hAnsi="Arial" w:cs="Arial" w:hint="eastAsia"/>
        </w:rPr>
        <w:t xml:space="preserve">The </w:t>
      </w:r>
      <w:proofErr w:type="spellStart"/>
      <w:r>
        <w:rPr>
          <w:rFonts w:ascii="Arial" w:hAnsi="Arial" w:cs="Arial" w:hint="eastAsia"/>
        </w:rPr>
        <w:t>ArtThera</w:t>
      </w:r>
      <w:proofErr w:type="spellEnd"/>
      <w:r>
        <w:rPr>
          <w:rFonts w:ascii="Arial" w:hAnsi="Arial" w:cs="Arial" w:hint="eastAsia"/>
        </w:rPr>
        <w:t xml:space="preserve"> application achieved the target technical performance metrics. Application cold-start time averaged 1.3 seconds (SD = 0.2), within the ≤1.5 second target. Content generation response time—from emotion input submission to delivery of the complete multimodal package (color palette, drawing template, and ambient audio)—averaged 1.7 seconds (SD = 0.4), meeting the ≤2 second target. The system operated stably on both Android (tested on Android 13 and 14) and iOS (tested on iOS 17) platforms with no critical failures during the pilot period. End-to-end data encryption (AES-256 at rest, TLS 1.3 in transit) was implemented for all user data transmission and storage, in compliance with applicable personal information protection regulations.</w:t>
      </w:r>
    </w:p>
    <w:p w14:paraId="01331B22" w14:textId="77777777" w:rsidR="00A11F57" w:rsidRDefault="00000000">
      <w:pPr>
        <w:pStyle w:val="Heading3"/>
        <w:rPr>
          <w:rFonts w:eastAsia="Times New Roman"/>
          <w:caps/>
          <w:sz w:val="22"/>
          <w:u w:val="none"/>
        </w:rPr>
      </w:pPr>
      <w:r>
        <w:rPr>
          <w:rFonts w:eastAsia="Times New Roman" w:hint="eastAsia"/>
          <w:caps/>
          <w:sz w:val="22"/>
          <w:u w:val="none"/>
        </w:rPr>
        <w:t>4.3 Preliminary Physiological and Psychometric Indicators</w:t>
      </w:r>
    </w:p>
    <w:p w14:paraId="20A4A41F" w14:textId="77777777" w:rsidR="00A11F57" w:rsidRDefault="00000000">
      <w:pPr>
        <w:pStyle w:val="Body"/>
        <w:spacing w:after="0"/>
        <w:rPr>
          <w:rFonts w:ascii="Arial" w:hAnsi="Arial" w:cs="Arial"/>
        </w:rPr>
      </w:pPr>
      <w:r>
        <w:rPr>
          <w:rFonts w:ascii="Arial" w:hAnsi="Arial" w:cs="Arial" w:hint="eastAsia"/>
        </w:rPr>
        <w:t xml:space="preserve">Physiological and psychometric measures were assessed at two temporal scales as described in Section 3.4. At the session level, aggregated pre-post comparisons across all completed sessions revealed encouraging trends. Mean RMSSD values increased from a pre-session aggregated baseline of 38.2 </w:t>
      </w:r>
      <w:proofErr w:type="spellStart"/>
      <w:r>
        <w:rPr>
          <w:rFonts w:ascii="Arial" w:hAnsi="Arial" w:cs="Arial" w:hint="eastAsia"/>
        </w:rPr>
        <w:t>ms</w:t>
      </w:r>
      <w:proofErr w:type="spellEnd"/>
      <w:r>
        <w:rPr>
          <w:rFonts w:ascii="Arial" w:hAnsi="Arial" w:cs="Arial" w:hint="eastAsia"/>
        </w:rPr>
        <w:t xml:space="preserve"> (SD = 12.4) to 43.1 </w:t>
      </w:r>
      <w:proofErr w:type="spellStart"/>
      <w:r>
        <w:rPr>
          <w:rFonts w:ascii="Arial" w:hAnsi="Arial" w:cs="Arial" w:hint="eastAsia"/>
        </w:rPr>
        <w:t>ms</w:t>
      </w:r>
      <w:proofErr w:type="spellEnd"/>
      <w:r>
        <w:rPr>
          <w:rFonts w:ascii="Arial" w:hAnsi="Arial" w:cs="Arial" w:hint="eastAsia"/>
        </w:rPr>
        <w:t xml:space="preserve"> (SD = 13.8) following creative sessions, representing an average within-session increase of 12.8%, exceeding the ≥10% improvement target.</w:t>
      </w:r>
    </w:p>
    <w:p w14:paraId="6738F8A6" w14:textId="77777777" w:rsidR="00A11F57" w:rsidRDefault="00000000">
      <w:pPr>
        <w:pStyle w:val="Body"/>
        <w:spacing w:after="0"/>
        <w:rPr>
          <w:rFonts w:ascii="Arial" w:hAnsi="Arial" w:cs="Arial"/>
        </w:rPr>
      </w:pPr>
      <w:r>
        <w:rPr>
          <w:rFonts w:ascii="Arial" w:hAnsi="Arial" w:cs="Arial" w:hint="eastAsia"/>
        </w:rPr>
        <w:t xml:space="preserve">At the weekly longitudinal scale, resting HRV measurements (depicted in Figure 3) showed a progressive increase in RMSSD from a Week 0 baseline of 28.6 </w:t>
      </w:r>
      <w:proofErr w:type="spellStart"/>
      <w:r>
        <w:rPr>
          <w:rFonts w:ascii="Arial" w:hAnsi="Arial" w:cs="Arial" w:hint="eastAsia"/>
        </w:rPr>
        <w:t>ms</w:t>
      </w:r>
      <w:proofErr w:type="spellEnd"/>
      <w:r>
        <w:rPr>
          <w:rFonts w:ascii="Arial" w:hAnsi="Arial" w:cs="Arial" w:hint="eastAsia"/>
        </w:rPr>
        <w:t xml:space="preserve"> to 44.1 </w:t>
      </w:r>
      <w:proofErr w:type="spellStart"/>
      <w:r>
        <w:rPr>
          <w:rFonts w:ascii="Arial" w:hAnsi="Arial" w:cs="Arial" w:hint="eastAsia"/>
        </w:rPr>
        <w:t>ms</w:t>
      </w:r>
      <w:proofErr w:type="spellEnd"/>
      <w:r>
        <w:rPr>
          <w:rFonts w:ascii="Arial" w:hAnsi="Arial" w:cs="Arial" w:hint="eastAsia"/>
        </w:rPr>
        <w:t xml:space="preserve"> </w:t>
      </w:r>
      <w:proofErr w:type="spellStart"/>
      <w:r>
        <w:rPr>
          <w:rFonts w:ascii="Arial" w:hAnsi="Arial" w:cs="Arial" w:hint="eastAsia"/>
        </w:rPr>
        <w:t>at</w:t>
      </w:r>
      <w:proofErr w:type="spellEnd"/>
      <w:r>
        <w:rPr>
          <w:rFonts w:ascii="Arial" w:hAnsi="Arial" w:cs="Arial" w:hint="eastAsia"/>
        </w:rPr>
        <w:t xml:space="preserve"> Week 4, representing a 54.2% increase over the intervention period. SDNN values similarly increased from 42.1 </w:t>
      </w:r>
      <w:proofErr w:type="spellStart"/>
      <w:r>
        <w:rPr>
          <w:rFonts w:ascii="Arial" w:hAnsi="Arial" w:cs="Arial" w:hint="eastAsia"/>
        </w:rPr>
        <w:t>ms</w:t>
      </w:r>
      <w:proofErr w:type="spellEnd"/>
      <w:r>
        <w:rPr>
          <w:rFonts w:ascii="Arial" w:hAnsi="Arial" w:cs="Arial" w:hint="eastAsia"/>
        </w:rPr>
        <w:t xml:space="preserve"> at baseline to 60.2 </w:t>
      </w:r>
      <w:proofErr w:type="spellStart"/>
      <w:r>
        <w:rPr>
          <w:rFonts w:ascii="Arial" w:hAnsi="Arial" w:cs="Arial" w:hint="eastAsia"/>
        </w:rPr>
        <w:t>ms</w:t>
      </w:r>
      <w:proofErr w:type="spellEnd"/>
      <w:r>
        <w:rPr>
          <w:rFonts w:ascii="Arial" w:hAnsi="Arial" w:cs="Arial" w:hint="eastAsia"/>
        </w:rPr>
        <w:t xml:space="preserve"> </w:t>
      </w:r>
      <w:proofErr w:type="spellStart"/>
      <w:r>
        <w:rPr>
          <w:rFonts w:ascii="Arial" w:hAnsi="Arial" w:cs="Arial" w:hint="eastAsia"/>
        </w:rPr>
        <w:t>at</w:t>
      </w:r>
      <w:proofErr w:type="spellEnd"/>
      <w:r>
        <w:rPr>
          <w:rFonts w:ascii="Arial" w:hAnsi="Arial" w:cs="Arial" w:hint="eastAsia"/>
        </w:rPr>
        <w:t xml:space="preserve"> Week 4. These weekly measurements reflect cumulative autonomic adaptation across the full intervention period and should be distinguished from the session-level pre-post change reported above.</w:t>
      </w:r>
    </w:p>
    <w:p w14:paraId="0FA7F746" w14:textId="77777777" w:rsidR="00A11F57" w:rsidRDefault="00000000">
      <w:pPr>
        <w:pStyle w:val="Body"/>
        <w:spacing w:after="0"/>
        <w:rPr>
          <w:rFonts w:ascii="Arial" w:hAnsi="Arial" w:cs="Arial"/>
        </w:rPr>
      </w:pPr>
      <w:r>
        <w:rPr>
          <w:rFonts w:ascii="Arial" w:hAnsi="Arial" w:cs="Arial" w:hint="eastAsia"/>
        </w:rPr>
        <w:t>SAS scores decreased from a baseline mean of 48.6 (SD = 7.2) to 41.3 (SD = 6.8) at the four-week endpoint, representing a 15.0% reduction that exceeded the ≥12% reduction target. PANAS positive affect scores increased from 26.4 (SD = 5.1) to 31.8 (SD = 4.7) following individual sessions, while negative affect scores decreased from 18.9 (SD = 6.3) to 14.2 (SD = 4.9).</w:t>
      </w:r>
    </w:p>
    <w:p w14:paraId="39C5F712" w14:textId="77777777" w:rsidR="00A11F57" w:rsidRDefault="00000000">
      <w:pPr>
        <w:pStyle w:val="Body"/>
        <w:spacing w:after="0"/>
        <w:rPr>
          <w:rFonts w:ascii="Arial" w:hAnsi="Arial" w:cs="Arial"/>
        </w:rPr>
      </w:pPr>
      <w:r>
        <w:rPr>
          <w:rFonts w:ascii="Arial" w:hAnsi="Arial" w:cs="Arial" w:hint="eastAsia"/>
        </w:rPr>
        <w:lastRenderedPageBreak/>
        <w:t xml:space="preserve">It is important to emphasize that these preliminary observations are descriptive in nature. No formal statistical testing (e.g., paired t-tests, Wilcoxon signed-rank tests) was conducted given the small sample size (N = 20), the absence of a control or comparison group, and the lack of randomization. The reported changes should therefore be interpreted as exploratory trends rather than statistically significant effects. The observed improvements in HRV and SAS scores may partially reflect factors unrelated to the </w:t>
      </w:r>
      <w:proofErr w:type="spellStart"/>
      <w:r>
        <w:rPr>
          <w:rFonts w:ascii="Arial" w:hAnsi="Arial" w:cs="Arial" w:hint="eastAsia"/>
        </w:rPr>
        <w:t>ArtThera</w:t>
      </w:r>
      <w:proofErr w:type="spellEnd"/>
      <w:r>
        <w:rPr>
          <w:rFonts w:ascii="Arial" w:hAnsi="Arial" w:cs="Arial" w:hint="eastAsia"/>
        </w:rPr>
        <w:t xml:space="preserve"> intervention, including regression to the mean, placebo effects, or the natural course of emotional fluctuation over a four-week academic period.</w:t>
      </w:r>
    </w:p>
    <w:p w14:paraId="7AA441AE" w14:textId="77777777" w:rsidR="00A11F57" w:rsidRDefault="00000000">
      <w:pPr>
        <w:pStyle w:val="Body"/>
        <w:spacing w:after="0"/>
        <w:rPr>
          <w:rFonts w:ascii="Arial" w:hAnsi="Arial" w:cs="Arial"/>
        </w:rPr>
      </w:pPr>
      <w:r>
        <w:rPr>
          <w:rFonts w:ascii="Arial" w:hAnsi="Arial" w:cs="Arial" w:hint="eastAsia"/>
        </w:rPr>
        <w:t>These preliminary trends are broadly consistent with findings from prior digital art therapy interventions targeting adolescent and young adult populations [3, 6], and with the pilot validation results reported for the predecessor AI-driven color-emotion mapping platform [17]. The HRV improvements align directionally with the established relationship between positive emotional states and cardiac vagal activity in college populations [25] and with the demonstrated efficacy of HRV biofeedback interventions [22].</w:t>
      </w:r>
    </w:p>
    <w:p w14:paraId="0A78AFBE" w14:textId="77777777" w:rsidR="00A11F57" w:rsidRDefault="00000000">
      <w:pPr>
        <w:pStyle w:val="Heading3"/>
        <w:rPr>
          <w:rFonts w:eastAsia="Times New Roman"/>
          <w:caps/>
          <w:sz w:val="22"/>
          <w:u w:val="none"/>
        </w:rPr>
      </w:pPr>
      <w:r>
        <w:rPr>
          <w:rFonts w:eastAsia="Times New Roman" w:hint="eastAsia"/>
          <w:caps/>
          <w:sz w:val="22"/>
          <w:u w:val="none"/>
        </w:rPr>
        <w:t>4.4 User Feedback and Engagement</w:t>
      </w:r>
    </w:p>
    <w:p w14:paraId="52FAC57E" w14:textId="77777777" w:rsidR="00A11F57" w:rsidRDefault="00000000">
      <w:pPr>
        <w:pStyle w:val="Body"/>
        <w:spacing w:after="0"/>
        <w:rPr>
          <w:rFonts w:ascii="Arial" w:hAnsi="Arial" w:cs="Arial"/>
        </w:rPr>
      </w:pPr>
      <w:r>
        <w:rPr>
          <w:rFonts w:ascii="Arial" w:hAnsi="Arial" w:cs="Arial" w:hint="eastAsia"/>
        </w:rPr>
        <w:t>Session completion logs indicated an average of 3.4 sessions per participant per week (range: 2–6), exceeding the minimum prescribed frequency. Emotion diary entries totaled 272 completed sessions across the four-week period. No participants withdrew from the study. Qualitative feedback gathered through semi-structured post-study interviews (approximately 20 minutes per participant) highlighted three predominant themes: (1) appreciation for the personalization of color palettes and templates, which participants described as “surprisingly accurate” in reflecting their emotional states (endorsed by 17 of 20 participants); (2) the accessibility of the minimalist drawing templates, with participants without prior art experience reporting that the templates “made creative expression feel possible” (endorsed by 15 of 20); and (3) the value of the emotion memory capsule for retrospective self-reflection, with several participants noting that reviewing their emotion trajectory visualizations provided insights into mood patterns they had not previously recognized (endorsed by 13 of 20). These qualitative findings resonate with the therapeutic mechanisms identified in art-based emotion regulation frameworks, particularly the role of symbolic expression and cognitive reframing through visual media [10]</w:t>
      </w:r>
      <w:r>
        <w:rPr>
          <w:rFonts w:ascii="Arial" w:hAnsi="Arial" w:cs="Arial"/>
        </w:rPr>
        <w:t>.</w:t>
      </w:r>
    </w:p>
    <w:p w14:paraId="797758D3" w14:textId="77777777" w:rsidR="00A11F57" w:rsidRDefault="00A11F57">
      <w:pPr>
        <w:pStyle w:val="Body"/>
        <w:spacing w:after="0"/>
        <w:rPr>
          <w:rFonts w:ascii="Arial" w:hAnsi="Arial" w:cs="Arial"/>
        </w:rPr>
      </w:pPr>
    </w:p>
    <w:p w14:paraId="72977FA0" w14:textId="77777777" w:rsidR="00A11F57" w:rsidRDefault="00000000">
      <w:pPr>
        <w:pStyle w:val="AbstHead"/>
        <w:spacing w:after="0"/>
        <w:jc w:val="both"/>
        <w:rPr>
          <w:rFonts w:ascii="Arial" w:hAnsi="Arial" w:cs="Arial"/>
        </w:rPr>
      </w:pPr>
      <w:bookmarkStart w:id="10" w:name="discussion"/>
      <w:bookmarkEnd w:id="8"/>
      <w:bookmarkEnd w:id="9"/>
      <w:r>
        <w:rPr>
          <w:rFonts w:ascii="Arial" w:hAnsi="Arial" w:cs="Arial"/>
        </w:rPr>
        <w:t>5. DISCUSSION</w:t>
      </w:r>
    </w:p>
    <w:p w14:paraId="39080966" w14:textId="77777777" w:rsidR="00A11F57" w:rsidRDefault="00000000">
      <w:pPr>
        <w:pStyle w:val="Heading3"/>
        <w:rPr>
          <w:rFonts w:eastAsia="Times New Roman"/>
          <w:caps/>
          <w:sz w:val="22"/>
          <w:u w:val="none"/>
        </w:rPr>
      </w:pPr>
      <w:bookmarkStart w:id="11" w:name="X037db70be4329f941b318008778c12d52f17955"/>
      <w:r>
        <w:rPr>
          <w:rFonts w:eastAsia="Times New Roman" w:hint="eastAsia"/>
          <w:caps/>
          <w:sz w:val="22"/>
          <w:u w:val="none"/>
        </w:rPr>
        <w:t>5.1 Integration of AI and Art Therapy</w:t>
      </w:r>
    </w:p>
    <w:p w14:paraId="045D53AB" w14:textId="77777777" w:rsidR="00A11F57" w:rsidRDefault="00000000">
      <w:pPr>
        <w:pStyle w:val="Body"/>
        <w:spacing w:after="0"/>
        <w:rPr>
          <w:rFonts w:ascii="Arial" w:hAnsi="Arial" w:cs="Arial"/>
        </w:rPr>
      </w:pPr>
      <w:r>
        <w:rPr>
          <w:rFonts w:ascii="Arial" w:hAnsi="Arial" w:cs="Arial" w:hint="eastAsia"/>
        </w:rPr>
        <w:t xml:space="preserve">The </w:t>
      </w:r>
      <w:proofErr w:type="spellStart"/>
      <w:r>
        <w:rPr>
          <w:rFonts w:ascii="Arial" w:hAnsi="Arial" w:cs="Arial" w:hint="eastAsia"/>
        </w:rPr>
        <w:t>ArtThera</w:t>
      </w:r>
      <w:proofErr w:type="spellEnd"/>
      <w:r>
        <w:rPr>
          <w:rFonts w:ascii="Arial" w:hAnsi="Arial" w:cs="Arial" w:hint="eastAsia"/>
        </w:rPr>
        <w:t xml:space="preserve"> system represents a novel integration of generative AI, color psychology, and multimodal assessment within a unified mobile art therapy platform. Unlike existing mobile mental health applications that focus on single therapeutic modalities—mindfulness meditation [27], cognitive behavioral therapy [28, 29], or standalone mood tracking—</w:t>
      </w:r>
      <w:proofErr w:type="spellStart"/>
      <w:r>
        <w:rPr>
          <w:rFonts w:ascii="Arial" w:hAnsi="Arial" w:cs="Arial" w:hint="eastAsia"/>
        </w:rPr>
        <w:t>ArtThera</w:t>
      </w:r>
      <w:proofErr w:type="spellEnd"/>
      <w:r>
        <w:rPr>
          <w:rFonts w:ascii="Arial" w:hAnsi="Arial" w:cs="Arial" w:hint="eastAsia"/>
        </w:rPr>
        <w:t xml:space="preserve"> combines active creative engagement with passive content consumption and physiological monitoring. This multi-component design is grounded in the integrative arts therapy development protocol proposed by Kim and Choi [9], which emphasizes the synergistic effects of combining complementary therapeutic elements.</w:t>
      </w:r>
    </w:p>
    <w:p w14:paraId="0B5F70C9" w14:textId="77777777" w:rsidR="00A11F57" w:rsidRDefault="00000000">
      <w:pPr>
        <w:pStyle w:val="Body"/>
        <w:spacing w:after="0"/>
        <w:rPr>
          <w:rFonts w:ascii="Arial" w:hAnsi="Arial" w:cs="Arial"/>
        </w:rPr>
      </w:pPr>
      <w:r>
        <w:rPr>
          <w:rFonts w:ascii="Arial" w:hAnsi="Arial" w:cs="Arial" w:hint="eastAsia"/>
        </w:rPr>
        <w:t>The color-emotion mapping engine addresses a fundamental gap in the digital art therapy pipeline: the translation of subjective emotional experiences into computationally actionable visual parameters. By grounding the mapping in empirical analysis of classical artworks and the psychometrically validated PAD model, the system establishes a theoretically defensible and empirically testable framework for AI-generated therapeutic content. This approach extends beyond the intuitive color-emotion associations documented in qualitative research [16] by providing quantitative, verifiable mapping rules that can be systematically refined through iterative data collection.</w:t>
      </w:r>
    </w:p>
    <w:p w14:paraId="67768232" w14:textId="77777777" w:rsidR="00A11F57" w:rsidRDefault="00000000">
      <w:pPr>
        <w:pStyle w:val="Heading3"/>
        <w:rPr>
          <w:rFonts w:eastAsia="Times New Roman"/>
          <w:caps/>
          <w:sz w:val="22"/>
          <w:u w:val="none"/>
        </w:rPr>
      </w:pPr>
      <w:r>
        <w:rPr>
          <w:rFonts w:eastAsia="Times New Roman" w:hint="eastAsia"/>
          <w:caps/>
          <w:sz w:val="22"/>
          <w:u w:val="none"/>
        </w:rPr>
        <w:lastRenderedPageBreak/>
        <w:t>5.2 Limitations</w:t>
      </w:r>
    </w:p>
    <w:p w14:paraId="486D9453" w14:textId="77777777" w:rsidR="00A11F57" w:rsidRDefault="00000000">
      <w:pPr>
        <w:pStyle w:val="Body"/>
        <w:spacing w:after="0"/>
        <w:rPr>
          <w:rFonts w:ascii="Arial" w:hAnsi="Arial" w:cs="Arial"/>
        </w:rPr>
      </w:pPr>
      <w:r>
        <w:rPr>
          <w:rFonts w:ascii="Arial" w:hAnsi="Arial" w:cs="Arial" w:hint="eastAsia"/>
        </w:rPr>
        <w:t xml:space="preserve">Several limitations of the current study warrant explicit acknowledgment. First, the pilot evaluation employed a small convenience sample (N = 20) recruited from a single university psychological association, without a control group, random allocation, or blinding. These methodological constraints fundamentally limit the generalizability of the findings and preclude any causal attribution of the observed physiological and psychometric changes to the </w:t>
      </w:r>
      <w:proofErr w:type="spellStart"/>
      <w:r>
        <w:rPr>
          <w:rFonts w:ascii="Arial" w:hAnsi="Arial" w:cs="Arial" w:hint="eastAsia"/>
        </w:rPr>
        <w:t>ArtThera</w:t>
      </w:r>
      <w:proofErr w:type="spellEnd"/>
      <w:r>
        <w:rPr>
          <w:rFonts w:ascii="Arial" w:hAnsi="Arial" w:cs="Arial" w:hint="eastAsia"/>
        </w:rPr>
        <w:t xml:space="preserve"> intervention. The absence of a randomized controlled design means that the observed directional improvements in HRV and SAS scores may reflect regression to the mean, placebo effects, Hawthorne effects (behavioral changes due to being observed), or the natural temporal course of emotional fluctuation rather than a genuine treatment effect. No formal statistical hypothesis testing was performed, and no p-values or confidence intervals were computed for any outcome measure.</w:t>
      </w:r>
    </w:p>
    <w:p w14:paraId="2EE01E07" w14:textId="77777777" w:rsidR="00A11F57" w:rsidRDefault="00000000">
      <w:pPr>
        <w:pStyle w:val="Body"/>
        <w:spacing w:after="0"/>
        <w:rPr>
          <w:rFonts w:ascii="Arial" w:hAnsi="Arial" w:cs="Arial"/>
        </w:rPr>
      </w:pPr>
      <w:r>
        <w:rPr>
          <w:rFonts w:ascii="Arial" w:hAnsi="Arial" w:cs="Arial" w:hint="eastAsia"/>
        </w:rPr>
        <w:t>Second, the four-week intervention duration, while sufficient for assessing technical feasibility and initial user engagement, is inadequate for evaluating sustained therapeutic effects or the durability of emotional regulation improvements. Longitudinal studies with extended follow-up periods (e.g., 3-, 6-, and 12-month assessments) and larger, more heterogeneous samples are necessary to establish the long-term efficacy and generalizability of AI-mediated art therapy interventions [6].</w:t>
      </w:r>
    </w:p>
    <w:p w14:paraId="66ECBF44" w14:textId="77777777" w:rsidR="00A11F57" w:rsidRDefault="00000000">
      <w:pPr>
        <w:pStyle w:val="Body"/>
        <w:spacing w:after="0"/>
        <w:rPr>
          <w:rFonts w:ascii="Arial" w:hAnsi="Arial" w:cs="Arial"/>
        </w:rPr>
      </w:pPr>
      <w:r>
        <w:rPr>
          <w:rFonts w:ascii="Arial" w:hAnsi="Arial" w:cs="Arial" w:hint="eastAsia"/>
        </w:rPr>
        <w:t xml:space="preserve">Third, the HRV measurement relied on smartphone camera-based photoplethysmography, which, despite validation against gold-standard electrocardiogram methods [30], introduces measurement noise and motion artifacts that may obscure subtle physiological changes. The validation study by van Dijk et al. [30] reported a mean absolute error of approximately 5 </w:t>
      </w:r>
      <w:proofErr w:type="spellStart"/>
      <w:r>
        <w:rPr>
          <w:rFonts w:ascii="Arial" w:hAnsi="Arial" w:cs="Arial" w:hint="eastAsia"/>
        </w:rPr>
        <w:t>ms</w:t>
      </w:r>
      <w:proofErr w:type="spellEnd"/>
      <w:r>
        <w:rPr>
          <w:rFonts w:ascii="Arial" w:hAnsi="Arial" w:cs="Arial" w:hint="eastAsia"/>
        </w:rPr>
        <w:t xml:space="preserve"> for RMSSD under controlled conditions; real-world usage with varying lighting and movement may yield larger errors. Integration with dedicated wearable devices (e.g., chest-strap heart rate monitors or research-grade photoplethysmography sensors) would substantially improve measurement precision in future iterations.</w:t>
      </w:r>
    </w:p>
    <w:p w14:paraId="237293E8" w14:textId="77777777" w:rsidR="00A11F57" w:rsidRDefault="00000000">
      <w:pPr>
        <w:pStyle w:val="Body"/>
        <w:spacing w:after="0"/>
        <w:rPr>
          <w:rFonts w:ascii="Arial" w:hAnsi="Arial" w:cs="Arial"/>
        </w:rPr>
      </w:pPr>
      <w:r>
        <w:rPr>
          <w:rFonts w:ascii="Arial" w:hAnsi="Arial" w:cs="Arial" w:hint="eastAsia"/>
        </w:rPr>
        <w:t>Fourth, the emotion classification components—both the facial expression recognition model and the text-based emotion classifier—exhibit moderate accuracy levels (71.3% and F1 = 0.79, respectively) that, while acceptable for a pilot feasibility study, may introduce misclassification errors that propagate through the downstream color-emotion mapping pipeline. More sophisticated emotion recognition architectures incorporating temporal, contextual, and multimodal information could improve the granularity and reliability of emotion state identification [19].</w:t>
      </w:r>
    </w:p>
    <w:p w14:paraId="7DA0FCF3" w14:textId="77777777" w:rsidR="00A11F57" w:rsidRDefault="00000000">
      <w:pPr>
        <w:pStyle w:val="Body"/>
        <w:spacing w:after="0"/>
        <w:rPr>
          <w:rFonts w:ascii="Arial" w:hAnsi="Arial" w:cs="Arial"/>
        </w:rPr>
      </w:pPr>
      <w:r>
        <w:rPr>
          <w:rFonts w:ascii="Arial" w:hAnsi="Arial" w:cs="Arial" w:hint="eastAsia"/>
        </w:rPr>
        <w:t>Fifth, the color-emotion mapping engine is predominantly trained on Western classical artworks, potentially limiting its cultural generalizability for non-Western user populations. Color-emotion associations exhibit cultural variation—for example, white is associated with purity in Western contexts but with mourning in some East Asian traditions. Cross-cultural validation studies and expansion of the artwork corpus to include diverse artistic traditions (e.g., Chinese ink painting, Japanese ukiyo-e, Indian miniature painting, African textile art) would enhance the system’s global applicability and cultural sensitivity [11].</w:t>
      </w:r>
    </w:p>
    <w:p w14:paraId="2414F608" w14:textId="77777777" w:rsidR="00A11F57" w:rsidRDefault="00000000">
      <w:pPr>
        <w:pStyle w:val="Body"/>
        <w:spacing w:after="0"/>
        <w:rPr>
          <w:rFonts w:ascii="Arial" w:hAnsi="Arial" w:cs="Arial"/>
        </w:rPr>
      </w:pPr>
      <w:r>
        <w:rPr>
          <w:rFonts w:ascii="Arial" w:hAnsi="Arial" w:cs="Arial" w:hint="eastAsia"/>
        </w:rPr>
        <w:t>Sixth, the use of personal emotional records, physiological data, geolocation information, and contextual metadata within the emotion memory capsule raises important privacy and data governance considerations. While the present implementation includes opt-in consent, granular data control, and encryption safeguards as described in Section 3.3, future work should involve formal privacy impact assessments and compliance verification with relevant regulatory frameworks.</w:t>
      </w:r>
    </w:p>
    <w:p w14:paraId="532F5F35" w14:textId="77777777" w:rsidR="00A11F57" w:rsidRDefault="00000000">
      <w:pPr>
        <w:pStyle w:val="Heading3"/>
        <w:rPr>
          <w:rFonts w:eastAsia="Times New Roman"/>
          <w:caps/>
          <w:sz w:val="22"/>
          <w:u w:val="none"/>
        </w:rPr>
      </w:pPr>
      <w:r>
        <w:rPr>
          <w:rFonts w:eastAsia="Times New Roman" w:hint="eastAsia"/>
          <w:caps/>
          <w:sz w:val="22"/>
          <w:u w:val="none"/>
        </w:rPr>
        <w:t>5.3 Implications for Digital Health and Current Research</w:t>
      </w:r>
    </w:p>
    <w:p w14:paraId="5B6446F9" w14:textId="77777777" w:rsidR="00A11F57" w:rsidRDefault="00000000">
      <w:pPr>
        <w:pStyle w:val="Body"/>
        <w:spacing w:after="0"/>
        <w:rPr>
          <w:rFonts w:ascii="Arial" w:hAnsi="Arial" w:cs="Arial"/>
        </w:rPr>
      </w:pPr>
      <w:r>
        <w:rPr>
          <w:rFonts w:ascii="Arial" w:hAnsi="Arial" w:cs="Arial" w:hint="eastAsia"/>
        </w:rPr>
        <w:t xml:space="preserve">The </w:t>
      </w:r>
      <w:proofErr w:type="spellStart"/>
      <w:r>
        <w:rPr>
          <w:rFonts w:ascii="Arial" w:hAnsi="Arial" w:cs="Arial" w:hint="eastAsia"/>
        </w:rPr>
        <w:t>ArtThera</w:t>
      </w:r>
      <w:proofErr w:type="spellEnd"/>
      <w:r>
        <w:rPr>
          <w:rFonts w:ascii="Arial" w:hAnsi="Arial" w:cs="Arial" w:hint="eastAsia"/>
        </w:rPr>
        <w:t xml:space="preserve"> system’s technological architecture presents significant implications for the broader field of digital health and current research in mobile health technologies. The integration of AI-generated personalized content with multimodal physiological-psychological assessment aligns with emerging research priorities in digital therapeutics and mobile health </w:t>
      </w:r>
      <w:r>
        <w:rPr>
          <w:rFonts w:ascii="Arial" w:hAnsi="Arial" w:cs="Arial" w:hint="eastAsia"/>
        </w:rPr>
        <w:lastRenderedPageBreak/>
        <w:t>(mHealth) research, domains that are central to the scope of the Asian Journal of Current Research.</w:t>
      </w:r>
    </w:p>
    <w:p w14:paraId="3103ACAE" w14:textId="77777777" w:rsidR="00A11F57" w:rsidRDefault="00000000">
      <w:pPr>
        <w:pStyle w:val="Body"/>
        <w:spacing w:after="0"/>
        <w:rPr>
          <w:rFonts w:ascii="Arial" w:hAnsi="Arial" w:cs="Arial"/>
        </w:rPr>
      </w:pPr>
      <w:r>
        <w:rPr>
          <w:rFonts w:ascii="Arial" w:hAnsi="Arial" w:cs="Arial" w:hint="eastAsia"/>
        </w:rPr>
        <w:t>The color-emotion mapping methodology developed in this study has potential applications beyond the immediate therapeutic context. The computational framework for quantifying the relationship between visual color attributes and emotional responses can be adapted for use in human-computer interaction research, where emotion-aware interface design is an active area of investigation. The PAD-based mapping rules could inform adaptive user interface color schemes that respond to inferred user emotional states, enhancing user experience and accessibility in applications ranging from educational technology to telehealth platforms.</w:t>
      </w:r>
    </w:p>
    <w:p w14:paraId="75044A1A" w14:textId="77777777" w:rsidR="00A11F57" w:rsidRDefault="00000000">
      <w:pPr>
        <w:pStyle w:val="Body"/>
        <w:spacing w:after="0"/>
        <w:rPr>
          <w:rFonts w:ascii="Arial" w:hAnsi="Arial" w:cs="Arial"/>
        </w:rPr>
      </w:pPr>
      <w:r>
        <w:rPr>
          <w:rFonts w:ascii="Arial" w:hAnsi="Arial" w:cs="Arial" w:hint="eastAsia"/>
        </w:rPr>
        <w:t>The emotion memory capsule architecture—which embeds spatiotemporal, physiological, and emotional metadata within digital artifacts—represents a novel approach to longitudinal personal health data management. This architecture could be extended to broader digital health applications, including chronic disease self-management platforms that integrate symptom tracking with contextual data (medication adherence, physical activity, environmental exposures), and mental health monitoring systems that provide clinicians with temporally annotated patient-reported outcome data. The privacy-preserving design principles implemented in the capsule (granular consent, pseudonymization, local encryption) offer a reference model for other digital health applications that handle sensitive personal data.</w:t>
      </w:r>
    </w:p>
    <w:p w14:paraId="409BBECE" w14:textId="77777777" w:rsidR="00A11F57" w:rsidRDefault="00000000">
      <w:pPr>
        <w:pStyle w:val="Body"/>
        <w:spacing w:after="0"/>
        <w:rPr>
          <w:rFonts w:ascii="Arial" w:hAnsi="Arial" w:cs="Arial"/>
        </w:rPr>
      </w:pPr>
      <w:r>
        <w:rPr>
          <w:rFonts w:ascii="Arial" w:hAnsi="Arial" w:cs="Arial" w:hint="eastAsia"/>
        </w:rPr>
        <w:t>Furthermore, the multimodal assessment framework combining session-level, weekly, and pre-post intervention measurements provides a methodological template for evaluating complex digital interventions where both acute and cumulative effects are of interest. This multi-timescale approach addresses a recognized challenge in digital health research: the need to distinguish between immediate engagement effects and sustained behavioral or physiological changes. The explicit separation of session-level pre-post HRV changes from weekly longitudinal HRV trends, as implemented in this study, enhances the interpretability of physiological outcome data and should be considered in future digital therapeutic evaluations.</w:t>
      </w:r>
    </w:p>
    <w:p w14:paraId="31F3CC50" w14:textId="77777777" w:rsidR="00A11F57" w:rsidRDefault="00000000">
      <w:pPr>
        <w:pStyle w:val="Body"/>
        <w:spacing w:after="0"/>
        <w:rPr>
          <w:rFonts w:ascii="Arial" w:hAnsi="Arial" w:cs="Arial"/>
        </w:rPr>
      </w:pPr>
      <w:r>
        <w:rPr>
          <w:rFonts w:ascii="Arial" w:hAnsi="Arial" w:cs="Arial" w:hint="eastAsia"/>
        </w:rPr>
        <w:t xml:space="preserve">Future research directions emerging from this work include: (1) conducting a fully powered randomized controlled trial comparing </w:t>
      </w:r>
      <w:proofErr w:type="spellStart"/>
      <w:r>
        <w:rPr>
          <w:rFonts w:ascii="Arial" w:hAnsi="Arial" w:cs="Arial" w:hint="eastAsia"/>
        </w:rPr>
        <w:t>ArtThera</w:t>
      </w:r>
      <w:proofErr w:type="spellEnd"/>
      <w:r>
        <w:rPr>
          <w:rFonts w:ascii="Arial" w:hAnsi="Arial" w:cs="Arial" w:hint="eastAsia"/>
        </w:rPr>
        <w:t xml:space="preserve"> against an active control condition (e.g., a simplified mood tracking app without the AI-generated art components) to establish causal efficacy; (2) validating the color-emotion mapping rules with culturally diverse participant samples and artwork corpora; (3) investigating the dose-response relationship between session frequency, engagement intensity, and therapeutic outcomes to establish evidence-based minimum effective intervention protocols; (4) integrating wearable-derived physiological data (continuous HRV, electrodermal activity, sleep quality metrics) to enrich the multimodal assessment framework with passive, ecologically valid measurements; (5) conducting qualitative longitudinal studies to understand how users integrate the emotion memory capsule into their self-reflective practices over extended periods; (6) exploring the potential of federated learning architectures to improve emotion recognition model accuracy while preserving user data privacy across distributed deployment scenarios; and (7) assessing the cost-effectiveness and implementation feasibility of </w:t>
      </w:r>
      <w:proofErr w:type="spellStart"/>
      <w:r>
        <w:rPr>
          <w:rFonts w:ascii="Arial" w:hAnsi="Arial" w:cs="Arial" w:hint="eastAsia"/>
        </w:rPr>
        <w:t>ArtThera</w:t>
      </w:r>
      <w:proofErr w:type="spellEnd"/>
      <w:r>
        <w:rPr>
          <w:rFonts w:ascii="Arial" w:hAnsi="Arial" w:cs="Arial" w:hint="eastAsia"/>
        </w:rPr>
        <w:t>-type systems within university counseling service workflows</w:t>
      </w:r>
      <w:r>
        <w:rPr>
          <w:rFonts w:ascii="Arial" w:hAnsi="Arial" w:cs="Arial"/>
        </w:rPr>
        <w:t>.</w:t>
      </w:r>
    </w:p>
    <w:p w14:paraId="70F1ECFB" w14:textId="77777777" w:rsidR="00A11F57" w:rsidRDefault="00000000">
      <w:pPr>
        <w:spacing w:before="100" w:beforeAutospacing="1" w:after="100" w:afterAutospacing="1"/>
        <w:rPr>
          <w:rFonts w:ascii="Times New Roman" w:hAnsi="Times New Roman"/>
          <w:sz w:val="24"/>
          <w:szCs w:val="24"/>
          <w:lang w:eastAsia="en-GB"/>
        </w:rPr>
      </w:pPr>
      <w:bookmarkStart w:id="12" w:name="acknowledgements"/>
      <w:bookmarkEnd w:id="10"/>
      <w:bookmarkEnd w:id="11"/>
      <w:r>
        <w:rPr>
          <w:rFonts w:ascii="Times New Roman" w:hAnsi="Times New Roman"/>
          <w:b/>
          <w:bCs/>
          <w:sz w:val="24"/>
          <w:szCs w:val="24"/>
          <w:lang w:eastAsia="en-GB"/>
        </w:rPr>
        <w:t>Conclusions</w:t>
      </w:r>
    </w:p>
    <w:p w14:paraId="0C1D43CF"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sz w:val="24"/>
          <w:szCs w:val="24"/>
          <w:lang w:eastAsia="en-GB"/>
        </w:rPr>
        <w:t xml:space="preserve">This study described the design, implementation, and preliminary pilot evaluation of </w:t>
      </w:r>
      <w:proofErr w:type="spellStart"/>
      <w:r>
        <w:rPr>
          <w:rFonts w:ascii="Times New Roman" w:hAnsi="Times New Roman" w:hint="eastAsia"/>
          <w:sz w:val="24"/>
          <w:szCs w:val="24"/>
          <w:lang w:eastAsia="en-GB"/>
        </w:rPr>
        <w:t>ArtThera</w:t>
      </w:r>
      <w:proofErr w:type="spellEnd"/>
      <w:r>
        <w:rPr>
          <w:rFonts w:ascii="Times New Roman" w:hAnsi="Times New Roman" w:hint="eastAsia"/>
          <w:sz w:val="24"/>
          <w:szCs w:val="24"/>
          <w:lang w:eastAsia="en-GB"/>
        </w:rPr>
        <w:t xml:space="preserve">, a mobile system intended to support emotion visualization and art-based emotional expression among college students. The system integrates four functional components: emotion-centric visual capture, color-emotion mapping, AI-generated art content, and multimodal emotional assessment. Through these components, subjective emotional inputs are translated into personalized visual and auditory </w:t>
      </w:r>
      <w:r>
        <w:rPr>
          <w:rFonts w:ascii="Times New Roman" w:hAnsi="Times New Roman" w:hint="eastAsia"/>
          <w:sz w:val="24"/>
          <w:szCs w:val="24"/>
          <w:lang w:eastAsia="en-GB"/>
        </w:rPr>
        <w:lastRenderedPageBreak/>
        <w:t>materials, while session-level and longitudinal data are recorded through emotion diaries, HRV measures, and standardized self-report scales.</w:t>
      </w:r>
    </w:p>
    <w:p w14:paraId="59BF21F5"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sz w:val="24"/>
          <w:szCs w:val="24"/>
          <w:lang w:eastAsia="en-GB"/>
        </w:rPr>
        <w:t>The pilot evaluation with 20 undergraduate volunteers indicated that the application was technically stable and acceptable to users during a four-week use period. The observed directional trends in RMSSD, SAS scores, and PANAS scores are consistent with the hypothesis that AI-mediated creative engagement may support emotional well-being, and the emotion memory capsule and personalized color-palette functions appeared to support retrospective reflection on emotional experiences. However, these observations remain strictly preliminary. The absence of a control group, the small sample size (N = 20), the lack of randomization and formal statistical testing, and the limited intervention duration prevent any firm conclusions regarding clinical effectiveness or causal mechanisms. The findings should be interpreted as feasibility indicators that warrant further investigation through methodologically rigorous studies.</w:t>
      </w:r>
    </w:p>
    <w:p w14:paraId="148691F8"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sz w:val="24"/>
          <w:szCs w:val="24"/>
          <w:lang w:eastAsia="en-GB"/>
        </w:rPr>
        <w:t>Future research should employ fully powered, randomized controlled designs with active comparison conditions, larger and more diverse participant samples, extended follow-up periods, validated wearable-based physiological monitoring, and detailed validation of the emotion recognition and color-emotion mapping components across cultural contexts. Only through such rigorous evaluation can the therapeutic potential of integrated AI-art therapy platforms be established with the level of evidence required for clinical translation</w:t>
      </w:r>
      <w:r>
        <w:rPr>
          <w:rFonts w:ascii="Times New Roman" w:hAnsi="Times New Roman"/>
          <w:sz w:val="24"/>
          <w:szCs w:val="24"/>
          <w:lang w:eastAsia="en-GB"/>
        </w:rPr>
        <w:t>.</w:t>
      </w:r>
    </w:p>
    <w:p w14:paraId="099A8208"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b/>
          <w:bCs/>
          <w:sz w:val="24"/>
          <w:szCs w:val="24"/>
          <w:lang w:eastAsia="en-GB"/>
        </w:rPr>
        <w:t>Limitations</w:t>
      </w:r>
    </w:p>
    <w:p w14:paraId="077B2375" w14:textId="77777777" w:rsidR="00A11F57" w:rsidRDefault="00000000">
      <w:pPr>
        <w:spacing w:before="100" w:beforeAutospacing="1" w:after="100" w:afterAutospacing="1"/>
        <w:rPr>
          <w:rFonts w:ascii="Times New Roman" w:hAnsi="Times New Roman"/>
          <w:sz w:val="24"/>
          <w:szCs w:val="24"/>
          <w:lang w:eastAsia="en-GB"/>
        </w:rPr>
      </w:pPr>
      <w:r>
        <w:rPr>
          <w:rFonts w:ascii="Times New Roman" w:hAnsi="Times New Roman" w:hint="eastAsia"/>
          <w:sz w:val="24"/>
          <w:szCs w:val="24"/>
          <w:lang w:eastAsia="en-GB"/>
        </w:rPr>
        <w:t xml:space="preserve">Several limitations should be explicitly acknowledged. First, the pilot evaluation included only 20 undergraduate volunteers recruited through convenience sampling from one university psychological association, which severely limits the statistical power and generalizability of the findings to broader populations, age groups, and cultural contexts. Second, the study employed a single-arm, pre-post design without a control or comparison group, without random allocation, and without blinding of participants or assessors. Consequently, any observed changes in HRV, anxiety scores, and affect scores cannot be attributed to the </w:t>
      </w:r>
      <w:proofErr w:type="spellStart"/>
      <w:r>
        <w:rPr>
          <w:rFonts w:ascii="Times New Roman" w:hAnsi="Times New Roman" w:hint="eastAsia"/>
          <w:sz w:val="24"/>
          <w:szCs w:val="24"/>
          <w:lang w:eastAsia="en-GB"/>
        </w:rPr>
        <w:t>ArtThera</w:t>
      </w:r>
      <w:proofErr w:type="spellEnd"/>
      <w:r>
        <w:rPr>
          <w:rFonts w:ascii="Times New Roman" w:hAnsi="Times New Roman" w:hint="eastAsia"/>
          <w:sz w:val="24"/>
          <w:szCs w:val="24"/>
          <w:lang w:eastAsia="en-GB"/>
        </w:rPr>
        <w:t xml:space="preserve"> intervention specifically; they may reflect placebo effects, Hawthorne effects, regression to the mean, spontaneous recovery, or concurrent life events. Third, no formal statistical hypothesis testing was conducted; no p-values, effect sizes, or confidence intervals are reported for any outcome measure, and all presented trends should be considered exploratory and descriptive. Fourth, the four-week study period was sufficient for preliminary feasibility and acceptability testing but was not long enough to evaluate sustained emotional or behavioral effects, nor to assess the durability of any observed changes beyond the intervention period. Fifth, HRV was assessed using smartphone camera-based photoplethysmography, which is known to be less precise than dedicated electrocardiogram or chest-strap heart rate monitoring devices, </w:t>
      </w:r>
      <w:r>
        <w:rPr>
          <w:rFonts w:ascii="Times New Roman" w:hAnsi="Times New Roman" w:hint="eastAsia"/>
          <w:sz w:val="24"/>
          <w:szCs w:val="24"/>
          <w:lang w:eastAsia="en-GB"/>
        </w:rPr>
        <w:lastRenderedPageBreak/>
        <w:t>particularly under real-world conditions with variable lighting and user movement. Sixth, the emotion recognition and color-emotion mapping components, while technically functional, require further validation across larger, more diverse, and culturally heterogeneous populations to establish their accuracy, reliability, and cultural appropriateness. Seventh, the use of personal emotional records, physiological data, geolocation information, and contextual metadata within the emotion memory capsule requires ongoing attention to informed consent, privacy protection, data minimization, secure storage, user control over data retention and deletion, and compliance with evolving data protection regulations. Eighth, the AI-generated art content was produced using a single large language model (DeepSeek-V2); the generalizability of the color palette and template generation approach to other generative AI platforms has not been assessed</w:t>
      </w:r>
      <w:r>
        <w:rPr>
          <w:rFonts w:ascii="Times New Roman" w:hAnsi="Times New Roman"/>
          <w:sz w:val="24"/>
          <w:szCs w:val="24"/>
          <w:lang w:eastAsia="en-GB"/>
        </w:rPr>
        <w:t>.</w:t>
      </w:r>
    </w:p>
    <w:p w14:paraId="1A0BFBF9" w14:textId="77777777" w:rsidR="00A11F57" w:rsidRDefault="00A11F57"/>
    <w:p w14:paraId="58CE4956" w14:textId="77777777" w:rsidR="00A11F57" w:rsidRDefault="00000000">
      <w:pPr>
        <w:rPr>
          <w:rFonts w:ascii="Times New Roman" w:hAnsi="Times New Roman"/>
          <w:b/>
        </w:rPr>
      </w:pPr>
      <w:r>
        <w:rPr>
          <w:rFonts w:ascii="Times New Roman" w:hAnsi="Times New Roman"/>
          <w:b/>
        </w:rPr>
        <w:t>Declaration of AI Use</w:t>
      </w:r>
    </w:p>
    <w:p w14:paraId="7CE045D3" w14:textId="77777777" w:rsidR="00A11F57" w:rsidRDefault="00A11F57">
      <w:pPr>
        <w:rPr>
          <w:rFonts w:ascii="Times New Roman" w:hAnsi="Times New Roman"/>
        </w:rPr>
      </w:pPr>
    </w:p>
    <w:p w14:paraId="42E3AAD6" w14:textId="77777777" w:rsidR="00A11F57" w:rsidRDefault="00000000">
      <w:pPr>
        <w:jc w:val="both"/>
        <w:rPr>
          <w:rFonts w:ascii="Times New Roman" w:hAnsi="Times New Roman"/>
        </w:rPr>
      </w:pPr>
      <w:r>
        <w:rPr>
          <w:rFonts w:ascii="Times New Roman" w:hAnsi="Times New Roman" w:hint="eastAsia"/>
        </w:rPr>
        <w:t>This manuscript was prepared through the combined contributions of all authors, including contributions to the study design, data collection,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r>
        <w:rPr>
          <w:rFonts w:ascii="Times New Roman" w:hAnsi="Times New Roman"/>
        </w:rPr>
        <w:t>.</w:t>
      </w:r>
    </w:p>
    <w:p w14:paraId="331D9EE5" w14:textId="77777777" w:rsidR="00A11F57" w:rsidRDefault="00A11F57">
      <w:pPr>
        <w:pStyle w:val="ReferHead"/>
        <w:spacing w:after="0"/>
        <w:jc w:val="both"/>
        <w:rPr>
          <w:rFonts w:ascii="Arial" w:hAnsi="Arial" w:cs="Arial"/>
          <w:b w:val="0"/>
          <w:caps w:val="0"/>
          <w:sz w:val="20"/>
        </w:rPr>
      </w:pPr>
      <w:bookmarkStart w:id="13" w:name="authors-contributions"/>
      <w:bookmarkEnd w:id="12"/>
    </w:p>
    <w:p w14:paraId="12659827" w14:textId="77777777" w:rsidR="00A11F57" w:rsidRDefault="00A11F57">
      <w:pPr>
        <w:pStyle w:val="ReferHead"/>
        <w:spacing w:after="0"/>
        <w:jc w:val="both"/>
        <w:rPr>
          <w:rFonts w:ascii="Arial" w:hAnsi="Arial" w:cs="Arial"/>
          <w:b w:val="0"/>
          <w:caps w:val="0"/>
          <w:sz w:val="20"/>
        </w:rPr>
      </w:pPr>
    </w:p>
    <w:p w14:paraId="5E8AC54A" w14:textId="77777777" w:rsidR="00A11F57" w:rsidRDefault="00000000">
      <w:pPr>
        <w:pStyle w:val="AbstHead"/>
        <w:spacing w:after="0"/>
        <w:jc w:val="both"/>
        <w:rPr>
          <w:rFonts w:ascii="Arial" w:hAnsi="Arial" w:cs="Arial"/>
        </w:rPr>
      </w:pPr>
      <w:bookmarkStart w:id="14" w:name="references"/>
      <w:bookmarkEnd w:id="13"/>
      <w:r>
        <w:rPr>
          <w:rFonts w:ascii="Arial" w:hAnsi="Arial" w:cs="Arial"/>
        </w:rPr>
        <w:t>REFERENCES</w:t>
      </w:r>
    </w:p>
    <w:bookmarkEnd w:id="14"/>
    <w:p w14:paraId="0CBF9FC6" w14:textId="77777777" w:rsidR="00A11F57" w:rsidRDefault="00000000">
      <w:pPr>
        <w:pStyle w:val="Body"/>
        <w:spacing w:after="0"/>
        <w:rPr>
          <w:rFonts w:ascii="Arial" w:hAnsi="Arial" w:cs="Arial"/>
        </w:rPr>
      </w:pPr>
      <w:r>
        <w:rPr>
          <w:rFonts w:ascii="Arial" w:hAnsi="Arial" w:cs="Arial" w:hint="eastAsia"/>
        </w:rPr>
        <w:t>[1] Lee, Y. K., Park, Y., &amp; Hahn, S. (2023). A portrait of emotion: Empowering self-expression through AI-generated art. In Proceedings of the 45th Annual Conference of the Cognitive Science Society. https://arxiv.org/abs/2304.13324</w:t>
      </w:r>
    </w:p>
    <w:p w14:paraId="2E611405" w14:textId="77777777" w:rsidR="00A11F57" w:rsidRDefault="00000000">
      <w:pPr>
        <w:pStyle w:val="Body"/>
        <w:spacing w:after="0"/>
        <w:rPr>
          <w:rFonts w:ascii="Arial" w:hAnsi="Arial" w:cs="Arial"/>
        </w:rPr>
      </w:pPr>
      <w:r>
        <w:rPr>
          <w:rFonts w:ascii="Arial" w:hAnsi="Arial" w:cs="Arial" w:hint="eastAsia"/>
        </w:rPr>
        <w:t>[2] Li, J., Cai, Y., &amp; Gu, Y. (2025). A CNN-transformer-based brain-computer interface model for digital art therapy in depression intervention among college students. Journal of Mechanics in Medicine and Biology, 25(10). https://doi.org/10.1142/s0219519425400974</w:t>
      </w:r>
    </w:p>
    <w:p w14:paraId="5D49DA48" w14:textId="77777777" w:rsidR="00A11F57" w:rsidRDefault="00000000">
      <w:pPr>
        <w:pStyle w:val="Body"/>
        <w:spacing w:after="0"/>
        <w:rPr>
          <w:rFonts w:ascii="Arial" w:hAnsi="Arial" w:cs="Arial"/>
        </w:rPr>
      </w:pPr>
      <w:r>
        <w:rPr>
          <w:rFonts w:ascii="Arial" w:hAnsi="Arial" w:cs="Arial" w:hint="eastAsia"/>
        </w:rPr>
        <w:t>[3] Peng, X., Qian, Y., &amp; Bao, Q. (2025). Fostering adolescent engagement in generative AI art therapy: A dual SEM-ANN analysis of emotional and behavioral outcomes. Frontiers in Psychology, 16. https://doi.org/10.3389/fpsyg.2025.1628471</w:t>
      </w:r>
    </w:p>
    <w:p w14:paraId="7547ED85" w14:textId="77777777" w:rsidR="00A11F57" w:rsidRDefault="00000000">
      <w:pPr>
        <w:pStyle w:val="Body"/>
        <w:spacing w:after="0"/>
        <w:rPr>
          <w:rFonts w:ascii="Arial" w:hAnsi="Arial" w:cs="Arial"/>
        </w:rPr>
      </w:pPr>
      <w:r>
        <w:rPr>
          <w:rFonts w:ascii="Arial" w:hAnsi="Arial" w:cs="Arial" w:hint="eastAsia"/>
        </w:rPr>
        <w:t>[4] Ramos-Vallecillo, N., Murillo-</w:t>
      </w:r>
      <w:proofErr w:type="spellStart"/>
      <w:r>
        <w:rPr>
          <w:rFonts w:ascii="Arial" w:hAnsi="Arial" w:cs="Arial" w:hint="eastAsia"/>
        </w:rPr>
        <w:t>Ligorred</w:t>
      </w:r>
      <w:proofErr w:type="spellEnd"/>
      <w:r>
        <w:rPr>
          <w:rFonts w:ascii="Arial" w:hAnsi="Arial" w:cs="Arial" w:hint="eastAsia"/>
        </w:rPr>
        <w:t>, V., &amp; Lozano-Blasco, R. (2026). AI-mediated generative art in primary education: Emotional expression, creativity and the limits of artificial intelligence. Applied Sciences, 16(12), 5751. https://doi.org/10.3390/app16125751</w:t>
      </w:r>
    </w:p>
    <w:p w14:paraId="637000B3" w14:textId="77777777" w:rsidR="00A11F57" w:rsidRDefault="00000000">
      <w:pPr>
        <w:pStyle w:val="Body"/>
        <w:spacing w:after="0"/>
        <w:rPr>
          <w:rFonts w:ascii="Arial" w:hAnsi="Arial" w:cs="Arial"/>
        </w:rPr>
      </w:pPr>
      <w:r>
        <w:rPr>
          <w:rFonts w:ascii="Arial" w:hAnsi="Arial" w:cs="Arial" w:hint="eastAsia"/>
        </w:rPr>
        <w:t>[5] Zhou, E., &amp; Lee, D. (2023). Generative AI, human creativity, and art. SSRN Electronic Journal. https://doi.org/10.2139/ssrn.4594824</w:t>
      </w:r>
    </w:p>
    <w:p w14:paraId="5AD7B6C1" w14:textId="77777777" w:rsidR="00A11F57" w:rsidRDefault="00000000">
      <w:pPr>
        <w:pStyle w:val="Body"/>
        <w:spacing w:after="0"/>
        <w:rPr>
          <w:rFonts w:ascii="Arial" w:hAnsi="Arial" w:cs="Arial"/>
        </w:rPr>
      </w:pPr>
      <w:r>
        <w:rPr>
          <w:rFonts w:ascii="Arial" w:hAnsi="Arial" w:cs="Arial" w:hint="eastAsia"/>
        </w:rPr>
        <w:t>[6] Cao, Z. (2026). Intervention mechanism and empirical research of digital art therapy on adolescent anxiety. Highlights in Art and Design, 14(2), 121–131. https://doi.org/10.54097/qe97qy45</w:t>
      </w:r>
    </w:p>
    <w:p w14:paraId="208B0140" w14:textId="77777777" w:rsidR="00A11F57" w:rsidRDefault="00000000">
      <w:pPr>
        <w:pStyle w:val="Body"/>
        <w:spacing w:after="0"/>
        <w:rPr>
          <w:rFonts w:ascii="Arial" w:hAnsi="Arial" w:cs="Arial"/>
        </w:rPr>
      </w:pPr>
      <w:r>
        <w:rPr>
          <w:rFonts w:ascii="Arial" w:hAnsi="Arial" w:cs="Arial" w:hint="eastAsia"/>
        </w:rPr>
        <w:t xml:space="preserve">[7] </w:t>
      </w:r>
      <w:proofErr w:type="spellStart"/>
      <w:r>
        <w:rPr>
          <w:rFonts w:ascii="Arial" w:hAnsi="Arial" w:cs="Arial" w:hint="eastAsia"/>
        </w:rPr>
        <w:t>Haeyen</w:t>
      </w:r>
      <w:proofErr w:type="spellEnd"/>
      <w:r>
        <w:rPr>
          <w:rFonts w:ascii="Arial" w:hAnsi="Arial" w:cs="Arial" w:hint="eastAsia"/>
        </w:rPr>
        <w:t xml:space="preserve">, S., van </w:t>
      </w:r>
      <w:proofErr w:type="spellStart"/>
      <w:r>
        <w:rPr>
          <w:rFonts w:ascii="Arial" w:hAnsi="Arial" w:cs="Arial" w:hint="eastAsia"/>
        </w:rPr>
        <w:t>Hooren</w:t>
      </w:r>
      <w:proofErr w:type="spellEnd"/>
      <w:r>
        <w:rPr>
          <w:rFonts w:ascii="Arial" w:hAnsi="Arial" w:cs="Arial" w:hint="eastAsia"/>
        </w:rPr>
        <w:t xml:space="preserve">, S., van der Veld, W., &amp; </w:t>
      </w:r>
      <w:proofErr w:type="spellStart"/>
      <w:r>
        <w:rPr>
          <w:rFonts w:ascii="Arial" w:hAnsi="Arial" w:cs="Arial" w:hint="eastAsia"/>
        </w:rPr>
        <w:t>Hutschemaekers</w:t>
      </w:r>
      <w:proofErr w:type="spellEnd"/>
      <w:r>
        <w:rPr>
          <w:rFonts w:ascii="Arial" w:hAnsi="Arial" w:cs="Arial" w:hint="eastAsia"/>
        </w:rPr>
        <w:t>, G. (2017). Measuring the contribution of art therapy in multidisciplinary treatment of personality disorders: The construction of the Self-expression and Emotion Regulation in Art Therapy Scale (SERATS). Personality and Mental Health, 12(1), 3–14. https://doi.org/10.1002/pmh.1379</w:t>
      </w:r>
    </w:p>
    <w:p w14:paraId="0FBBC6C0" w14:textId="77777777" w:rsidR="00A11F57" w:rsidRDefault="00000000">
      <w:pPr>
        <w:pStyle w:val="Body"/>
        <w:spacing w:after="0"/>
        <w:rPr>
          <w:rFonts w:ascii="Arial" w:hAnsi="Arial" w:cs="Arial"/>
        </w:rPr>
      </w:pPr>
      <w:r>
        <w:rPr>
          <w:rFonts w:ascii="Arial" w:hAnsi="Arial" w:cs="Arial" w:hint="eastAsia"/>
        </w:rPr>
        <w:t xml:space="preserve">[8] Jakobsson </w:t>
      </w:r>
      <w:proofErr w:type="spellStart"/>
      <w:r>
        <w:rPr>
          <w:rFonts w:ascii="Arial" w:hAnsi="Arial" w:cs="Arial" w:hint="eastAsia"/>
        </w:rPr>
        <w:t>Støre</w:t>
      </w:r>
      <w:proofErr w:type="spellEnd"/>
      <w:r>
        <w:rPr>
          <w:rFonts w:ascii="Arial" w:hAnsi="Arial" w:cs="Arial" w:hint="eastAsia"/>
        </w:rPr>
        <w:t>, S., &amp; Jakobsson, N. (2022). The effect of mandala coloring on state anxiety: A systematic review and meta-analysis. Art Therapy, 39(4), 173–181. https://doi.org/10.1080/07421656.2021.2003144</w:t>
      </w:r>
    </w:p>
    <w:p w14:paraId="31C466B4" w14:textId="77777777" w:rsidR="00A11F57" w:rsidRDefault="00000000">
      <w:pPr>
        <w:pStyle w:val="Body"/>
        <w:spacing w:after="0"/>
        <w:rPr>
          <w:rFonts w:ascii="Arial" w:hAnsi="Arial" w:cs="Arial"/>
        </w:rPr>
      </w:pPr>
      <w:r>
        <w:rPr>
          <w:rFonts w:ascii="Arial" w:hAnsi="Arial" w:cs="Arial" w:hint="eastAsia"/>
        </w:rPr>
        <w:lastRenderedPageBreak/>
        <w:t>[9] Kim, H., &amp; Choi, Y. (2023). A practical development protocol for evidence-based digital integrative arts therapy content in public mental health services. Frontiers in Public Health, 11, 1175093. https://doi.org/10.3389/fpubh.2023.1175093</w:t>
      </w:r>
    </w:p>
    <w:p w14:paraId="56A4CEA5" w14:textId="77777777" w:rsidR="00A11F57" w:rsidRDefault="00000000">
      <w:pPr>
        <w:pStyle w:val="Body"/>
        <w:spacing w:after="0"/>
        <w:rPr>
          <w:rFonts w:ascii="Arial" w:hAnsi="Arial" w:cs="Arial"/>
        </w:rPr>
      </w:pPr>
      <w:r>
        <w:rPr>
          <w:rFonts w:ascii="Arial" w:hAnsi="Arial" w:cs="Arial" w:hint="eastAsia"/>
        </w:rPr>
        <w:t>[10] Lee, M., &amp; Choi, H. (2023). Art-based emotion regulation in major depression: Framework for intervention. The Arts in Psychotherapy, 83, 102018. https://doi.org/10.1016/j.aip.2023.102018</w:t>
      </w:r>
    </w:p>
    <w:p w14:paraId="0B98862F" w14:textId="77777777" w:rsidR="00A11F57" w:rsidRDefault="00000000">
      <w:pPr>
        <w:pStyle w:val="Body"/>
        <w:spacing w:after="0"/>
        <w:rPr>
          <w:rFonts w:ascii="Arial" w:hAnsi="Arial" w:cs="Arial"/>
        </w:rPr>
      </w:pPr>
      <w:r>
        <w:rPr>
          <w:rFonts w:ascii="Arial" w:hAnsi="Arial" w:cs="Arial" w:hint="eastAsia"/>
        </w:rPr>
        <w:t xml:space="preserve">[11] </w:t>
      </w:r>
      <w:proofErr w:type="spellStart"/>
      <w:r>
        <w:rPr>
          <w:rFonts w:ascii="Arial" w:hAnsi="Arial" w:cs="Arial" w:hint="eastAsia"/>
        </w:rPr>
        <w:t>Mochimaru</w:t>
      </w:r>
      <w:proofErr w:type="spellEnd"/>
      <w:r>
        <w:rPr>
          <w:rFonts w:ascii="Arial" w:hAnsi="Arial" w:cs="Arial" w:hint="eastAsia"/>
        </w:rPr>
        <w:t>, Y., &amp; Demaine, K. (2022). Digital art therapy and social withdrawal in Japan. Creative Arts in Education and Therapy, 8(1), 99–112. https://doi.org/10.15212/caet/2022/8/16</w:t>
      </w:r>
    </w:p>
    <w:p w14:paraId="75605E50" w14:textId="77777777" w:rsidR="00A11F57" w:rsidRDefault="00000000">
      <w:pPr>
        <w:pStyle w:val="Body"/>
        <w:spacing w:after="0"/>
        <w:rPr>
          <w:rFonts w:ascii="Arial" w:hAnsi="Arial" w:cs="Arial"/>
        </w:rPr>
      </w:pPr>
      <w:r>
        <w:rPr>
          <w:rFonts w:ascii="Arial" w:hAnsi="Arial" w:cs="Arial" w:hint="eastAsia"/>
        </w:rPr>
        <w:t>[12] Newland, P., &amp; Bettencourt, B. (2020). Effectiveness of mindfulness-based art therapy for symptoms of anxiety, depression, and fatigue: A systematic review and meta-analysis. Complementary Therapies in Clinical Practice, 41, 101246. https://doi.org/10.1016/j.ctcp.2020.101246</w:t>
      </w:r>
    </w:p>
    <w:p w14:paraId="0D0F0778" w14:textId="77777777" w:rsidR="00A11F57" w:rsidRDefault="00000000">
      <w:pPr>
        <w:pStyle w:val="Body"/>
        <w:spacing w:after="0"/>
        <w:rPr>
          <w:rFonts w:ascii="Arial" w:hAnsi="Arial" w:cs="Arial"/>
        </w:rPr>
      </w:pPr>
      <w:r>
        <w:rPr>
          <w:rFonts w:ascii="Arial" w:hAnsi="Arial" w:cs="Arial" w:hint="eastAsia"/>
        </w:rPr>
        <w:t xml:space="preserve">[13] </w:t>
      </w:r>
      <w:proofErr w:type="spellStart"/>
      <w:r>
        <w:rPr>
          <w:rFonts w:ascii="Arial" w:hAnsi="Arial" w:cs="Arial" w:hint="eastAsia"/>
        </w:rPr>
        <w:t>Rongjuan</w:t>
      </w:r>
      <w:proofErr w:type="spellEnd"/>
      <w:r>
        <w:rPr>
          <w:rFonts w:ascii="Arial" w:hAnsi="Arial" w:cs="Arial" w:hint="eastAsia"/>
        </w:rPr>
        <w:t>, H. (2024). The application of therapy of painting art in the psychological evaluation and educational intervention of modern college students. Psychology of China, 6(5), 1463–1473. https://doi.org/10.35534/pc.0605092</w:t>
      </w:r>
    </w:p>
    <w:p w14:paraId="149E495C" w14:textId="77777777" w:rsidR="00A11F57" w:rsidRDefault="00000000">
      <w:pPr>
        <w:pStyle w:val="Body"/>
        <w:spacing w:after="0"/>
        <w:rPr>
          <w:rFonts w:ascii="Arial" w:hAnsi="Arial" w:cs="Arial"/>
        </w:rPr>
      </w:pPr>
      <w:r>
        <w:rPr>
          <w:rFonts w:ascii="Arial" w:hAnsi="Arial" w:cs="Arial" w:hint="eastAsia"/>
        </w:rPr>
        <w:t>[14] Kong, Y. (2026). Graphic coloring based on emotion-driven and digital visualization color mapping. International Journal on Artificial Intelligence Tools. https://doi.org/10.1142/s0218213026400099</w:t>
      </w:r>
    </w:p>
    <w:p w14:paraId="1770FBD5" w14:textId="77777777" w:rsidR="00A11F57" w:rsidRDefault="00000000">
      <w:pPr>
        <w:pStyle w:val="Body"/>
        <w:spacing w:after="0"/>
        <w:rPr>
          <w:rFonts w:ascii="Arial" w:hAnsi="Arial" w:cs="Arial"/>
        </w:rPr>
      </w:pPr>
      <w:r>
        <w:rPr>
          <w:rFonts w:ascii="Arial" w:hAnsi="Arial" w:cs="Arial" w:hint="eastAsia"/>
        </w:rPr>
        <w:t xml:space="preserve">[15] </w:t>
      </w:r>
      <w:proofErr w:type="spellStart"/>
      <w:r>
        <w:rPr>
          <w:rFonts w:ascii="Arial" w:hAnsi="Arial" w:cs="Arial" w:hint="eastAsia"/>
        </w:rPr>
        <w:t>Lertrusdachakul</w:t>
      </w:r>
      <w:proofErr w:type="spellEnd"/>
      <w:r>
        <w:rPr>
          <w:rFonts w:ascii="Arial" w:hAnsi="Arial" w:cs="Arial" w:hint="eastAsia"/>
        </w:rPr>
        <w:t xml:space="preserve">, T., </w:t>
      </w:r>
      <w:proofErr w:type="spellStart"/>
      <w:r>
        <w:rPr>
          <w:rFonts w:ascii="Arial" w:hAnsi="Arial" w:cs="Arial" w:hint="eastAsia"/>
        </w:rPr>
        <w:t>Ruxpaitoon</w:t>
      </w:r>
      <w:proofErr w:type="spellEnd"/>
      <w:r>
        <w:rPr>
          <w:rFonts w:ascii="Arial" w:hAnsi="Arial" w:cs="Arial" w:hint="eastAsia"/>
        </w:rPr>
        <w:t xml:space="preserve">, K., &amp; </w:t>
      </w:r>
      <w:proofErr w:type="spellStart"/>
      <w:r>
        <w:rPr>
          <w:rFonts w:ascii="Arial" w:hAnsi="Arial" w:cs="Arial" w:hint="eastAsia"/>
        </w:rPr>
        <w:t>Thiptarajan</w:t>
      </w:r>
      <w:proofErr w:type="spellEnd"/>
      <w:r>
        <w:rPr>
          <w:rFonts w:ascii="Arial" w:hAnsi="Arial" w:cs="Arial" w:hint="eastAsia"/>
        </w:rPr>
        <w:t>, K. (2019). Color palette extraction by using modified K-means clustering. In 2019 7th International Electrical Engineering Congress (</w:t>
      </w:r>
      <w:proofErr w:type="spellStart"/>
      <w:r>
        <w:rPr>
          <w:rFonts w:ascii="Arial" w:hAnsi="Arial" w:cs="Arial" w:hint="eastAsia"/>
        </w:rPr>
        <w:t>iEECON</w:t>
      </w:r>
      <w:proofErr w:type="spellEnd"/>
      <w:r>
        <w:rPr>
          <w:rFonts w:ascii="Arial" w:hAnsi="Arial" w:cs="Arial" w:hint="eastAsia"/>
        </w:rPr>
        <w:t>). IEEE. https://doi.org/10.1109/iEECON45304.2019.8938867</w:t>
      </w:r>
    </w:p>
    <w:p w14:paraId="6479D0B3" w14:textId="77777777" w:rsidR="00A11F57" w:rsidRDefault="00000000">
      <w:pPr>
        <w:pStyle w:val="Body"/>
        <w:spacing w:after="0"/>
        <w:rPr>
          <w:rFonts w:ascii="Arial" w:hAnsi="Arial" w:cs="Arial"/>
        </w:rPr>
      </w:pPr>
      <w:r>
        <w:rPr>
          <w:rFonts w:ascii="Arial" w:hAnsi="Arial" w:cs="Arial" w:hint="eastAsia"/>
        </w:rPr>
        <w:t>[16] Sayma Nasrin Shompa (2025). Translating emotion: The use of color theory in expressing mental health in contemporary art. International Journal of Integrated Science and Technology, 3(6), 2083–2088. https://doi.org/10.59890/ijist.v3i6.85</w:t>
      </w:r>
    </w:p>
    <w:p w14:paraId="30485751" w14:textId="77777777" w:rsidR="00A11F57" w:rsidRDefault="00000000">
      <w:pPr>
        <w:pStyle w:val="Body"/>
        <w:spacing w:after="0"/>
        <w:rPr>
          <w:rFonts w:ascii="Arial" w:hAnsi="Arial" w:cs="Arial"/>
        </w:rPr>
      </w:pPr>
      <w:r>
        <w:rPr>
          <w:rFonts w:ascii="Arial" w:hAnsi="Arial" w:cs="Arial" w:hint="eastAsia"/>
        </w:rPr>
        <w:t>[17] Tang, C., Dai, W., Wu, L., Liang, Y., Liu, X., &amp; Chen, L. (2025). AI-driven color-emotion mapping and mobile art therapy for campus mental health: Model development and pilot validation. Asian Journal of Mathematics and Computer Research, 32(4), 108–120. https://doi.org/10.56557/ajomcor/2025/v32i410017</w:t>
      </w:r>
    </w:p>
    <w:p w14:paraId="624A94AB" w14:textId="77777777" w:rsidR="00A11F57" w:rsidRDefault="00000000">
      <w:pPr>
        <w:pStyle w:val="Body"/>
        <w:spacing w:after="0"/>
        <w:rPr>
          <w:rFonts w:ascii="Arial" w:hAnsi="Arial" w:cs="Arial"/>
        </w:rPr>
      </w:pPr>
      <w:r>
        <w:rPr>
          <w:rFonts w:ascii="Arial" w:hAnsi="Arial" w:cs="Arial" w:hint="eastAsia"/>
        </w:rPr>
        <w:t>[18] Zhao, J. (2026). The psychology of art and emotional experience: A theme-color-emotion framework for understanding viewer-reported emotional regulation. Frontiers in Psychology, 17. https://doi.org/10.3389/fpsyg.2026.1771247</w:t>
      </w:r>
    </w:p>
    <w:p w14:paraId="62364095" w14:textId="77777777" w:rsidR="00A11F57" w:rsidRDefault="00000000">
      <w:pPr>
        <w:pStyle w:val="Body"/>
        <w:spacing w:after="0"/>
        <w:rPr>
          <w:rFonts w:ascii="Arial" w:hAnsi="Arial" w:cs="Arial"/>
        </w:rPr>
      </w:pPr>
      <w:r>
        <w:rPr>
          <w:rFonts w:ascii="Arial" w:hAnsi="Arial" w:cs="Arial" w:hint="eastAsia"/>
        </w:rPr>
        <w:t>[19] Wang, J. (2025). Comparative analysis of machine learning and deep learning models for text emotion classification in federated learning. Applied and Computational Engineering. https://doi.org/10.54254/2755-2721/2025.gl23568</w:t>
      </w:r>
    </w:p>
    <w:p w14:paraId="56587383" w14:textId="77777777" w:rsidR="00A11F57" w:rsidRDefault="00000000">
      <w:pPr>
        <w:pStyle w:val="Body"/>
        <w:spacing w:after="0"/>
        <w:rPr>
          <w:rFonts w:ascii="Arial" w:hAnsi="Arial" w:cs="Arial"/>
        </w:rPr>
      </w:pPr>
      <w:r>
        <w:rPr>
          <w:rFonts w:ascii="Arial" w:hAnsi="Arial" w:cs="Arial" w:hint="eastAsia"/>
        </w:rPr>
        <w:t>[20] Wu, Y. (2025). Rethinking immersion in digital heritage: A technology–narrative–emotion framework for cross-media cultural experience. Art and Society. https://doi.org/10.63593/as.2709-9830.2025.10.005</w:t>
      </w:r>
    </w:p>
    <w:p w14:paraId="1A544B33" w14:textId="77777777" w:rsidR="00A11F57" w:rsidRDefault="00000000">
      <w:pPr>
        <w:pStyle w:val="Body"/>
        <w:spacing w:after="0"/>
        <w:rPr>
          <w:rFonts w:ascii="Arial" w:hAnsi="Arial" w:cs="Arial"/>
        </w:rPr>
      </w:pPr>
      <w:r>
        <w:rPr>
          <w:rFonts w:ascii="Arial" w:hAnsi="Arial" w:cs="Arial" w:hint="eastAsia"/>
        </w:rPr>
        <w:t>[21] Zhang, Y. (2025). Research on online interactive display of digital cultural relics based on WebGL and PBR technologies. Journal of Technology Innovation and Engineering, 1(2). https://doi.org/10.63887/jtie.2025.1.2.12</w:t>
      </w:r>
    </w:p>
    <w:p w14:paraId="2ED59881" w14:textId="77777777" w:rsidR="00A11F57" w:rsidRDefault="00000000">
      <w:pPr>
        <w:pStyle w:val="Body"/>
        <w:spacing w:after="0"/>
        <w:rPr>
          <w:rFonts w:ascii="Arial" w:hAnsi="Arial" w:cs="Arial"/>
        </w:rPr>
      </w:pPr>
      <w:r>
        <w:rPr>
          <w:rFonts w:ascii="Arial" w:hAnsi="Arial" w:cs="Arial" w:hint="eastAsia"/>
        </w:rPr>
        <w:t xml:space="preserve">[22] Chadwick, T., Drummond, P., </w:t>
      </w:r>
      <w:proofErr w:type="spellStart"/>
      <w:r>
        <w:rPr>
          <w:rFonts w:ascii="Arial" w:hAnsi="Arial" w:cs="Arial" w:hint="eastAsia"/>
        </w:rPr>
        <w:t>Tatschl</w:t>
      </w:r>
      <w:proofErr w:type="spellEnd"/>
      <w:r>
        <w:rPr>
          <w:rFonts w:ascii="Arial" w:hAnsi="Arial" w:cs="Arial" w:hint="eastAsia"/>
        </w:rPr>
        <w:t xml:space="preserve">, J., &amp; </w:t>
      </w:r>
      <w:proofErr w:type="spellStart"/>
      <w:r>
        <w:rPr>
          <w:rFonts w:ascii="Arial" w:hAnsi="Arial" w:cs="Arial" w:hint="eastAsia"/>
        </w:rPr>
        <w:t>Mathersul</w:t>
      </w:r>
      <w:proofErr w:type="spellEnd"/>
      <w:r>
        <w:rPr>
          <w:rFonts w:ascii="Arial" w:hAnsi="Arial" w:cs="Arial" w:hint="eastAsia"/>
        </w:rPr>
        <w:t>, D. (2024). Targeting cardiac vagal activity and emotion regulation through heart rate variability biofeedback: A randomized waitlist-controlled trial. Biological Psychology, 193, 108937. https://doi.org/10.1016/j.biopsycho.2024.108937</w:t>
      </w:r>
    </w:p>
    <w:p w14:paraId="53485073" w14:textId="77777777" w:rsidR="00A11F57" w:rsidRDefault="00000000">
      <w:pPr>
        <w:pStyle w:val="Body"/>
        <w:spacing w:after="0"/>
        <w:rPr>
          <w:rFonts w:ascii="Arial" w:hAnsi="Arial" w:cs="Arial"/>
        </w:rPr>
      </w:pPr>
      <w:r>
        <w:rPr>
          <w:rFonts w:ascii="Arial" w:hAnsi="Arial" w:cs="Arial" w:hint="eastAsia"/>
        </w:rPr>
        <w:t xml:space="preserve">[23] </w:t>
      </w:r>
      <w:proofErr w:type="spellStart"/>
      <w:r>
        <w:rPr>
          <w:rFonts w:ascii="Arial" w:hAnsi="Arial" w:cs="Arial" w:hint="eastAsia"/>
        </w:rPr>
        <w:t>Grushka</w:t>
      </w:r>
      <w:proofErr w:type="spellEnd"/>
      <w:r>
        <w:rPr>
          <w:rFonts w:ascii="Arial" w:hAnsi="Arial" w:cs="Arial" w:hint="eastAsia"/>
        </w:rPr>
        <w:t>, K. (2024). Studio art therapy learning ecology: Crossing borders between art, education, health, and therapy. Creative Arts in Education and Therapy, 10(1). https://doi.org/10.15212/caet/2024/10/2</w:t>
      </w:r>
    </w:p>
    <w:p w14:paraId="18431F7A" w14:textId="77777777" w:rsidR="00A11F57" w:rsidRDefault="00000000">
      <w:pPr>
        <w:pStyle w:val="Body"/>
        <w:spacing w:after="0"/>
        <w:rPr>
          <w:rFonts w:ascii="Arial" w:hAnsi="Arial" w:cs="Arial"/>
        </w:rPr>
      </w:pPr>
      <w:r>
        <w:rPr>
          <w:rFonts w:ascii="Arial" w:hAnsi="Arial" w:cs="Arial" w:hint="eastAsia"/>
        </w:rPr>
        <w:t>[24] Lu, C., &amp; Abdullah, A. (2024). The efficacy of person-centered expressive art therapy on college students in reducing depression, anxiety and stress. Journal of Higher Education Teaching, 1(3), 283–290. https://doi.org/10.62517/jhet.202415346</w:t>
      </w:r>
    </w:p>
    <w:p w14:paraId="621B3AAC" w14:textId="77777777" w:rsidR="00A11F57" w:rsidRDefault="00000000">
      <w:pPr>
        <w:pStyle w:val="Body"/>
        <w:spacing w:after="0"/>
        <w:rPr>
          <w:rFonts w:ascii="Arial" w:hAnsi="Arial" w:cs="Arial"/>
        </w:rPr>
      </w:pPr>
      <w:r>
        <w:rPr>
          <w:rFonts w:ascii="Arial" w:hAnsi="Arial" w:cs="Arial" w:hint="eastAsia"/>
        </w:rPr>
        <w:lastRenderedPageBreak/>
        <w:t>[25] Oswald, B., &amp; Abram, J. (2026). Positive emotion correlates with higher heart rate variability in healthy college students: Implications for improving mental wellbeing. The Ohio Journal of Science, 125(2). https://doi.org/10.18061/ojs.6501</w:t>
      </w:r>
    </w:p>
    <w:p w14:paraId="49A6D0E5" w14:textId="77777777" w:rsidR="00A11F57" w:rsidRDefault="00000000">
      <w:pPr>
        <w:pStyle w:val="Body"/>
        <w:spacing w:after="0"/>
        <w:rPr>
          <w:rFonts w:ascii="Arial" w:hAnsi="Arial" w:cs="Arial"/>
        </w:rPr>
      </w:pPr>
      <w:r>
        <w:rPr>
          <w:rFonts w:ascii="Arial" w:hAnsi="Arial" w:cs="Arial" w:hint="eastAsia"/>
        </w:rPr>
        <w:t>[26] Sakakibara, M. (2022). Evaluation of heart rate variability and application of heart rate variability biofeedback: Toward further research on slow-paced abdominal breathing in mind-body medicine. Applied Psychophysiology and Biofeedback, 47, 345–356. https://doi.org/10.1007/s10484-022-09546-2</w:t>
      </w:r>
    </w:p>
    <w:p w14:paraId="1FA8B710" w14:textId="77777777" w:rsidR="00A11F57" w:rsidRDefault="00000000">
      <w:pPr>
        <w:pStyle w:val="Body"/>
        <w:spacing w:after="0"/>
        <w:rPr>
          <w:rFonts w:ascii="Arial" w:hAnsi="Arial" w:cs="Arial"/>
        </w:rPr>
      </w:pPr>
      <w:r>
        <w:rPr>
          <w:rFonts w:ascii="Arial" w:hAnsi="Arial" w:cs="Arial" w:hint="eastAsia"/>
        </w:rPr>
        <w:t xml:space="preserve">[27] Huberty, J., Green, J., </w:t>
      </w:r>
      <w:proofErr w:type="spellStart"/>
      <w:r>
        <w:rPr>
          <w:rFonts w:ascii="Arial" w:hAnsi="Arial" w:cs="Arial" w:hint="eastAsia"/>
        </w:rPr>
        <w:t>Glissmann</w:t>
      </w:r>
      <w:proofErr w:type="spellEnd"/>
      <w:r>
        <w:rPr>
          <w:rFonts w:ascii="Arial" w:hAnsi="Arial" w:cs="Arial" w:hint="eastAsia"/>
        </w:rPr>
        <w:t xml:space="preserve">, C., Larkey, L., </w:t>
      </w:r>
      <w:proofErr w:type="spellStart"/>
      <w:r>
        <w:rPr>
          <w:rFonts w:ascii="Arial" w:hAnsi="Arial" w:cs="Arial" w:hint="eastAsia"/>
        </w:rPr>
        <w:t>Puzia</w:t>
      </w:r>
      <w:proofErr w:type="spellEnd"/>
      <w:r>
        <w:rPr>
          <w:rFonts w:ascii="Arial" w:hAnsi="Arial" w:cs="Arial" w:hint="eastAsia"/>
        </w:rPr>
        <w:t xml:space="preserve">, M., &amp; Lee, C. (2019). Efficacy of the mindfulness meditation mobile app “Calm” to reduce stress among college students: Randomized controlled trial. JMIR mHealth and </w:t>
      </w:r>
      <w:proofErr w:type="spellStart"/>
      <w:r>
        <w:rPr>
          <w:rFonts w:ascii="Arial" w:hAnsi="Arial" w:cs="Arial" w:hint="eastAsia"/>
        </w:rPr>
        <w:t>uHealth</w:t>
      </w:r>
      <w:proofErr w:type="spellEnd"/>
      <w:r>
        <w:rPr>
          <w:rFonts w:ascii="Arial" w:hAnsi="Arial" w:cs="Arial" w:hint="eastAsia"/>
        </w:rPr>
        <w:t>, 7(6), e14273. https://doi.org/10.2196/14273</w:t>
      </w:r>
    </w:p>
    <w:p w14:paraId="26839A6F" w14:textId="77777777" w:rsidR="00A11F57" w:rsidRDefault="00000000">
      <w:pPr>
        <w:pStyle w:val="Body"/>
        <w:spacing w:after="0"/>
        <w:rPr>
          <w:rFonts w:ascii="Arial" w:hAnsi="Arial" w:cs="Arial"/>
        </w:rPr>
      </w:pPr>
      <w:r>
        <w:rPr>
          <w:rFonts w:ascii="Arial" w:hAnsi="Arial" w:cs="Arial" w:hint="eastAsia"/>
        </w:rPr>
        <w:t xml:space="preserve">[28] Moberg, C., Niles, A., &amp; Beermann, D. (2019). Guided self-help works: Randomized </w:t>
      </w:r>
      <w:proofErr w:type="gramStart"/>
      <w:r>
        <w:rPr>
          <w:rFonts w:ascii="Arial" w:hAnsi="Arial" w:cs="Arial" w:hint="eastAsia"/>
        </w:rPr>
        <w:t>waitlist controlled</w:t>
      </w:r>
      <w:proofErr w:type="gramEnd"/>
      <w:r>
        <w:rPr>
          <w:rFonts w:ascii="Arial" w:hAnsi="Arial" w:cs="Arial" w:hint="eastAsia"/>
        </w:rPr>
        <w:t xml:space="preserve"> trial of Pacifica, a mobile app integrating cognitive behavioral therapy and mindfulness. Journal of Medical Internet Research, 21(6), e12556. https://doi.org/10.2196/12556</w:t>
      </w:r>
    </w:p>
    <w:p w14:paraId="21C861F4" w14:textId="77777777" w:rsidR="00A11F57" w:rsidRDefault="00000000">
      <w:pPr>
        <w:pStyle w:val="Body"/>
        <w:spacing w:after="0"/>
        <w:rPr>
          <w:rFonts w:ascii="Arial" w:hAnsi="Arial" w:cs="Arial"/>
        </w:rPr>
      </w:pPr>
      <w:r>
        <w:rPr>
          <w:rFonts w:ascii="Arial" w:hAnsi="Arial" w:cs="Arial" w:hint="eastAsia"/>
        </w:rPr>
        <w:t xml:space="preserve">[29] Purkayastha, S., </w:t>
      </w:r>
      <w:proofErr w:type="spellStart"/>
      <w:r>
        <w:rPr>
          <w:rFonts w:ascii="Arial" w:hAnsi="Arial" w:cs="Arial" w:hint="eastAsia"/>
        </w:rPr>
        <w:t>Addepally</w:t>
      </w:r>
      <w:proofErr w:type="spellEnd"/>
      <w:r>
        <w:rPr>
          <w:rFonts w:ascii="Arial" w:hAnsi="Arial" w:cs="Arial" w:hint="eastAsia"/>
        </w:rPr>
        <w:t>, S., &amp; Bucher, S. (2020). Engagement and usability of a cognitive behavioral therapy mobile app compared with web-based cognitive behavioral therapy among college students: Randomized trial. JMIR Human Factors, 7(1), e14146. https://doi.org/10.2196/14146</w:t>
      </w:r>
    </w:p>
    <w:p w14:paraId="1F628803" w14:textId="77777777" w:rsidR="00A11F57" w:rsidRDefault="00000000">
      <w:pPr>
        <w:pStyle w:val="Body"/>
        <w:spacing w:after="0"/>
        <w:rPr>
          <w:rFonts w:ascii="Arial" w:hAnsi="Arial" w:cs="Arial"/>
        </w:rPr>
        <w:sectPr w:rsidR="00A11F57">
          <w:headerReference w:type="even" r:id="rId18"/>
          <w:headerReference w:type="default" r:id="rId19"/>
          <w:footerReference w:type="default" r:id="rId20"/>
          <w:headerReference w:type="first" r:id="rId21"/>
          <w:type w:val="continuous"/>
          <w:pgSz w:w="12240" w:h="15840"/>
          <w:pgMar w:top="1440" w:right="2016" w:bottom="2016" w:left="2016" w:header="720" w:footer="1123" w:gutter="0"/>
          <w:cols w:space="720"/>
          <w:docGrid w:linePitch="272"/>
        </w:sectPr>
      </w:pPr>
      <w:r>
        <w:rPr>
          <w:rFonts w:ascii="Arial" w:hAnsi="Arial" w:cs="Arial" w:hint="eastAsia"/>
        </w:rPr>
        <w:t xml:space="preserve">[30] van Dijk, W., </w:t>
      </w:r>
      <w:proofErr w:type="spellStart"/>
      <w:r>
        <w:rPr>
          <w:rFonts w:ascii="Arial" w:hAnsi="Arial" w:cs="Arial" w:hint="eastAsia"/>
        </w:rPr>
        <w:t>Huizink</w:t>
      </w:r>
      <w:proofErr w:type="spellEnd"/>
      <w:r>
        <w:rPr>
          <w:rFonts w:ascii="Arial" w:hAnsi="Arial" w:cs="Arial" w:hint="eastAsia"/>
        </w:rPr>
        <w:t>, A., Oosterman, M., Lemmers-Jansen, I., &amp; de Vente, W. (2023). Validation of photoplethysmography using a mobile phone application for the assessment of heart rate variability. Psychosomatic Medicine, 85(7), 568–576. https://doi.org/10.1097/psy.0000000000001236</w:t>
      </w:r>
    </w:p>
    <w:p w14:paraId="2208A1AD" w14:textId="77777777" w:rsidR="00A11F57" w:rsidRDefault="00A11F57">
      <w:pPr>
        <w:pStyle w:val="Appendix"/>
        <w:spacing w:after="0"/>
        <w:jc w:val="both"/>
        <w:rPr>
          <w:rFonts w:ascii="Arial" w:hAnsi="Arial" w:cs="Arial"/>
          <w:b w:val="0"/>
        </w:rPr>
      </w:pPr>
    </w:p>
    <w:sectPr w:rsidR="00A11F5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8914" w14:textId="77777777" w:rsidR="00CC7A66" w:rsidRDefault="00CC7A66">
      <w:r>
        <w:separator/>
      </w:r>
    </w:p>
  </w:endnote>
  <w:endnote w:type="continuationSeparator" w:id="0">
    <w:p w14:paraId="5455EF73" w14:textId="77777777" w:rsidR="00CC7A66" w:rsidRDefault="00CC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9539" w14:textId="77777777" w:rsidR="00A11F57" w:rsidRDefault="00A11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8106" w14:textId="77777777" w:rsidR="00A11F57" w:rsidRDefault="00A11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8712C" w14:textId="77777777" w:rsidR="00A11F57" w:rsidRDefault="00A11F57">
    <w:pPr>
      <w:pStyle w:val="Footer"/>
      <w:rPr>
        <w:rFonts w:ascii="Arial" w:hAnsi="Arial" w:cs="Arial"/>
        <w:sz w:val="16"/>
      </w:rPr>
    </w:pPr>
  </w:p>
  <w:p w14:paraId="4EFA5F47" w14:textId="77777777" w:rsidR="00A11F57" w:rsidRDefault="00000000">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76260CC4" w14:textId="77777777" w:rsidR="00A11F57" w:rsidRDefault="00A11F57">
    <w:pPr>
      <w:pStyle w:val="Footer"/>
      <w:rPr>
        <w:rFonts w:ascii="Arial" w:hAnsi="Arial" w:cs="Arial"/>
        <w:sz w:val="16"/>
      </w:rPr>
    </w:pPr>
  </w:p>
  <w:p w14:paraId="2CC4C393" w14:textId="77777777" w:rsidR="00A11F57" w:rsidRDefault="00000000">
    <w:pPr>
      <w:pStyle w:val="Footer"/>
      <w:rPr>
        <w:rFonts w:ascii="Arial" w:hAnsi="Arial" w:cs="Arial"/>
        <w:i/>
        <w:sz w:val="16"/>
      </w:rPr>
    </w:pPr>
    <w:r>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63E" w14:textId="77777777" w:rsidR="00A11F57" w:rsidRDefault="00A1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DAC5" w14:textId="77777777" w:rsidR="00CC7A66" w:rsidRDefault="00CC7A66">
      <w:r>
        <w:separator/>
      </w:r>
    </w:p>
  </w:footnote>
  <w:footnote w:type="continuationSeparator" w:id="0">
    <w:p w14:paraId="5E07CF35" w14:textId="77777777" w:rsidR="00CC7A66" w:rsidRDefault="00CC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EBB4" w14:textId="77777777" w:rsidR="00A11F57" w:rsidRDefault="00000000">
    <w:pPr>
      <w:pStyle w:val="Header"/>
    </w:pPr>
    <w:r>
      <w:pict w14:anchorId="7FFAD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2" o:spid="_x0000_s1026" type="#_x0000_t136" style="position:absolute;margin-left:0;margin-top:0;width:520.65pt;height:57.85pt;rotation:315;z-index:-251655168;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B92F" w14:textId="77777777" w:rsidR="00A11F57" w:rsidRDefault="00000000">
    <w:pPr>
      <w:pStyle w:val="Header"/>
    </w:pPr>
    <w:r>
      <w:pict w14:anchorId="78C94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3" o:spid="_x0000_s1027" type="#_x0000_t136" style="position:absolute;margin-left:0;margin-top:0;width:520.65pt;height:57.85pt;rotation:315;z-index:-251654144;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C1DC" w14:textId="77777777" w:rsidR="00A11F57" w:rsidRDefault="00000000">
    <w:pPr>
      <w:ind w:left="2160"/>
      <w:jc w:val="center"/>
      <w:rPr>
        <w:rFonts w:ascii="Times New Roman" w:eastAsia="Calibri" w:hAnsi="Times New Roman"/>
        <w:i/>
        <w:sz w:val="18"/>
        <w:szCs w:val="22"/>
      </w:rPr>
    </w:pPr>
    <w:r>
      <w:pict w14:anchorId="3BD90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1" o:spid="_x0000_s1025" type="#_x0000_t136" style="position:absolute;left:0;text-align:left;margin-left:0;margin-top:0;width:520.65pt;height:57.85pt;rotation:315;z-index:-251656192;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p w14:paraId="2845F309" w14:textId="77777777" w:rsidR="00A11F57"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1E895924" w14:textId="77777777" w:rsidR="00A11F57"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162D8EC0" w14:textId="77777777" w:rsidR="00A11F57"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6CCA18F7" w14:textId="77777777" w:rsidR="00A11F57"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202CA4EF" w14:textId="77777777" w:rsidR="00A11F57"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BC01932" w14:textId="77777777" w:rsidR="00A11F57" w:rsidRDefault="00000000">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8F9E" w14:textId="77777777" w:rsidR="00A11F57" w:rsidRDefault="00000000">
    <w:pPr>
      <w:pStyle w:val="Header"/>
    </w:pPr>
    <w:r>
      <w:pict w14:anchorId="775064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5" o:spid="_x0000_s1031" type="#_x0000_t136" style="position:absolute;margin-left:0;margin-top:0;width:520.65pt;height:57.85pt;rotation:315;z-index:-251650048;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621C9E78">
        <v:shape id="_x0000_s1030" type="#_x0000_t136" style="position:absolute;margin-left:0;margin-top:0;width:520.65pt;height:57.85pt;rotation:315;z-index:-251651072;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D9D4" w14:textId="77777777" w:rsidR="00A11F57" w:rsidRDefault="00000000">
    <w:pPr>
      <w:pStyle w:val="Header"/>
    </w:pPr>
    <w:r>
      <w:pict w14:anchorId="7EF852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6" o:spid="_x0000_s1033" type="#_x0000_t136" style="position:absolute;margin-left:0;margin-top:0;width:520.65pt;height:57.85pt;rotation:315;z-index:-251648000;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178DBAA6">
        <v:shape id="_x0000_s1032" type="#_x0000_t136" style="position:absolute;margin-left:0;margin-top:0;width:520.65pt;height:57.85pt;rotation:315;z-index:-251649024;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38CC" w14:textId="77777777" w:rsidR="00A11F57" w:rsidRDefault="00000000">
    <w:pPr>
      <w:ind w:left="2160"/>
      <w:jc w:val="center"/>
      <w:rPr>
        <w:rFonts w:ascii="Times New Roman" w:eastAsia="Calibri" w:hAnsi="Times New Roman"/>
        <w:i/>
        <w:sz w:val="18"/>
        <w:szCs w:val="22"/>
      </w:rPr>
    </w:pPr>
    <w:r>
      <w:pict w14:anchorId="333E3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4" o:spid="_x0000_s1029" type="#_x0000_t136" style="position:absolute;left:0;text-align:left;margin-left:0;margin-top:0;width:520.65pt;height:57.85pt;rotation:315;z-index:-251652096;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74F99BC5">
        <v:shape id="_x0000_s1028" type="#_x0000_t136" style="position:absolute;left:0;text-align:left;margin-left:0;margin-top:0;width:520.65pt;height:57.85pt;rotation:315;z-index:-251653120;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p w14:paraId="6181A646" w14:textId="77777777" w:rsidR="00A11F57"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45D4C62A" w14:textId="77777777" w:rsidR="00A11F57"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0EC300F8" w14:textId="77777777" w:rsidR="00A11F57"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6A08D70C" w14:textId="77777777" w:rsidR="00A11F57"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702EE6F6" w14:textId="77777777" w:rsidR="00A11F57"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25F5205" w14:textId="77777777" w:rsidR="00A11F57" w:rsidRDefault="00000000">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04DCD"/>
    <w:multiLevelType w:val="singleLevel"/>
    <w:tmpl w:val="71604DCD"/>
    <w:lvl w:ilvl="0">
      <w:start w:val="1"/>
      <w:numFmt w:val="decimal"/>
      <w:pStyle w:val="Reference"/>
      <w:lvlText w:val="%1."/>
      <w:lvlJc w:val="left"/>
      <w:pPr>
        <w:tabs>
          <w:tab w:val="left" w:pos="360"/>
        </w:tabs>
        <w:ind w:left="360" w:hanging="360"/>
      </w:pPr>
    </w:lvl>
  </w:abstractNum>
  <w:num w:numId="1" w16cid:durableId="136875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54ED7"/>
    <w:rsid w:val="000A47FA"/>
    <w:rsid w:val="000A65D3"/>
    <w:rsid w:val="000B1E33"/>
    <w:rsid w:val="000D689F"/>
    <w:rsid w:val="000E7B7B"/>
    <w:rsid w:val="000E7D62"/>
    <w:rsid w:val="000F37A7"/>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45950"/>
    <w:rsid w:val="003512C2"/>
    <w:rsid w:val="003610B6"/>
    <w:rsid w:val="00371FB6"/>
    <w:rsid w:val="00372D47"/>
    <w:rsid w:val="003763C1"/>
    <w:rsid w:val="00376BBE"/>
    <w:rsid w:val="0039224F"/>
    <w:rsid w:val="003A43A4"/>
    <w:rsid w:val="003A7E18"/>
    <w:rsid w:val="003C4C86"/>
    <w:rsid w:val="003C6258"/>
    <w:rsid w:val="003E2904"/>
    <w:rsid w:val="00400522"/>
    <w:rsid w:val="00401927"/>
    <w:rsid w:val="0041027F"/>
    <w:rsid w:val="00412475"/>
    <w:rsid w:val="00415BDB"/>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751CB"/>
    <w:rsid w:val="00686953"/>
    <w:rsid w:val="00687DEA"/>
    <w:rsid w:val="00687E67"/>
    <w:rsid w:val="00692856"/>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5770"/>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11F57"/>
    <w:rsid w:val="00A24E7E"/>
    <w:rsid w:val="00A258C3"/>
    <w:rsid w:val="00A347C0"/>
    <w:rsid w:val="00A42646"/>
    <w:rsid w:val="00A50A47"/>
    <w:rsid w:val="00A51431"/>
    <w:rsid w:val="00A539AD"/>
    <w:rsid w:val="00A85442"/>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02EAF"/>
    <w:rsid w:val="00C166EF"/>
    <w:rsid w:val="00C17EB0"/>
    <w:rsid w:val="00C27F5F"/>
    <w:rsid w:val="00C30A0F"/>
    <w:rsid w:val="00C37E61"/>
    <w:rsid w:val="00C70F1B"/>
    <w:rsid w:val="00C71A47"/>
    <w:rsid w:val="00C7464C"/>
    <w:rsid w:val="00C85588"/>
    <w:rsid w:val="00CC7A66"/>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135"/>
    <w:rsid w:val="00E35B02"/>
    <w:rsid w:val="00E53599"/>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541FA"/>
    <w:rsid w:val="00F74B44"/>
    <w:rsid w:val="00F755E4"/>
    <w:rsid w:val="00F77D02"/>
    <w:rsid w:val="00FB3A86"/>
    <w:rsid w:val="00FD36C8"/>
    <w:rsid w:val="099319C1"/>
    <w:rsid w:val="16DF442C"/>
    <w:rsid w:val="1DE57318"/>
    <w:rsid w:val="2E64640B"/>
    <w:rsid w:val="4F3776F9"/>
    <w:rsid w:val="51A7439B"/>
    <w:rsid w:val="591A0D92"/>
    <w:rsid w:val="5A3C4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rules v:ext="edit">
        <o:r id="V:Rule1" type="connector" idref="#_x0000_s2050"/>
      </o:rules>
    </o:shapelayout>
  </w:shapeDefaults>
  <w:decimalSymbol w:val="."/>
  <w:listSeparator w:val=","/>
  <w14:docId w14:val="0C7CAA0F"/>
  <w15:docId w15:val="{09335791-8952-4585-AB5B-E17BB773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FollowedHyperlink"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next w:val="BodyText"/>
    <w:qFormat/>
    <w:pPr>
      <w:keepNext/>
      <w:spacing w:before="240" w:after="120"/>
      <w:outlineLvl w:val="1"/>
    </w:pPr>
    <w:rPr>
      <w:rFonts w:ascii="Arial" w:eastAsia="Arial" w:hAnsi="Arial" w:cs="Arial"/>
      <w:b/>
      <w:sz w:val="22"/>
    </w:rPr>
  </w:style>
  <w:style w:type="paragraph" w:styleId="Heading3">
    <w:name w:val="heading 3"/>
    <w:next w:val="BodyText"/>
    <w:pPr>
      <w:keepNext/>
      <w:spacing w:before="240" w:after="120"/>
      <w:outlineLvl w:val="2"/>
    </w:pPr>
    <w:rPr>
      <w:rFonts w:ascii="Arial" w:eastAsia="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pPr>
      <w:spacing w:after="120"/>
    </w:pPr>
    <w:rPr>
      <w:rFonts w:ascii="Arial" w:eastAsia="Arial" w:hAnsi="Arial" w:cs="Arial"/>
    </w:rPr>
  </w:style>
  <w:style w:type="paragraph" w:styleId="CommentText">
    <w:name w:val="annotation text"/>
    <w:basedOn w:val="Normal"/>
    <w:link w:val="CommentTextChar"/>
    <w:uiPriority w:val="99"/>
    <w:unhideWhenUsed/>
    <w:qFormat/>
    <w:rPr>
      <w:rFonts w:ascii="Times New Roman" w:hAnsi="Times New Roman"/>
      <w:lang w:val="nb-NO" w:eastAsia="nb-NO"/>
    </w:rPr>
  </w:style>
  <w:style w:type="paragraph" w:styleId="BodyText3">
    <w:name w:val="Body Text 3"/>
    <w:basedOn w:val="Normal"/>
    <w:link w:val="BodyText3Char"/>
    <w:pPr>
      <w:spacing w:after="120"/>
    </w:pPr>
    <w:rPr>
      <w:sz w:val="16"/>
      <w:szCs w:val="16"/>
    </w:rPr>
  </w:style>
  <w:style w:type="paragraph" w:styleId="BalloonText">
    <w:name w:val="Balloon Text"/>
    <w:basedOn w:val="Normal"/>
    <w:link w:val="BalloonTextChar"/>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Signature">
    <w:name w:val="Signature"/>
    <w:basedOn w:val="Normal"/>
    <w:qFormat/>
    <w:pPr>
      <w:ind w:left="4320"/>
    </w:pPr>
  </w:style>
  <w:style w:type="paragraph" w:styleId="BodyText2">
    <w:name w:val="Body Text 2"/>
    <w:basedOn w:val="Normal"/>
    <w:link w:val="BodyText2Char"/>
    <w:pPr>
      <w:spacing w:after="120" w:line="480" w:lineRule="auto"/>
    </w:pPr>
  </w:style>
  <w:style w:type="paragraph" w:styleId="Title">
    <w:name w:val="Title"/>
    <w:basedOn w:val="Normal"/>
    <w:qFormat/>
    <w:pPr>
      <w:spacing w:after="360"/>
      <w:jc w:val="right"/>
    </w:pPr>
    <w:rPr>
      <w:b/>
      <w:kern w:val="28"/>
      <w:sz w:val="36"/>
    </w:rPr>
  </w:style>
  <w:style w:type="table" w:styleId="TableGrid">
    <w:name w:val="Table Grid"/>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yperlink">
    <w:name w:val="Hyperlink"/>
    <w:basedOn w:val="DefaultParagraphFont"/>
    <w:rPr>
      <w:color w:val="FF0080"/>
      <w:u w:val="single"/>
    </w:rPr>
  </w:style>
  <w:style w:type="character" w:styleId="CommentReference">
    <w:name w:val="annotation reference"/>
    <w:basedOn w:val="DefaultParagraphFont"/>
    <w:uiPriority w:val="99"/>
    <w:unhideWhenUsed/>
    <w:rPr>
      <w:sz w:val="16"/>
      <w:szCs w:val="16"/>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MainHead">
    <w:name w:val="Main Head"/>
    <w:basedOn w:val="Normal"/>
    <w:qFormat/>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qFormat/>
    <w:pPr>
      <w:numPr>
        <w:numId w:val="1"/>
      </w:numPr>
      <w:spacing w:after="0" w:line="240" w:lineRule="exact"/>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3">
    <w:name w:val="Head3"/>
    <w:basedOn w:val="Head2"/>
    <w:qFormat/>
    <w:rPr>
      <w:caps w:val="0"/>
      <w:u w:val="single"/>
    </w:rPr>
  </w:style>
  <w:style w:type="paragraph" w:customStyle="1" w:styleId="Head2">
    <w:name w:val="Head2"/>
    <w:basedOn w:val="Normal"/>
    <w:next w:val="Body"/>
    <w:qFormat/>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pPr>
      <w:jc w:val="left"/>
    </w:pPr>
  </w:style>
  <w:style w:type="paragraph" w:customStyle="1" w:styleId="Appendix">
    <w:name w:val="Appendix"/>
    <w:basedOn w:val="MainHead"/>
    <w:qFormat/>
    <w:rPr>
      <w:sz w:val="22"/>
    </w:rPr>
  </w:style>
  <w:style w:type="paragraph" w:customStyle="1" w:styleId="Term">
    <w:name w:val="Term"/>
    <w:basedOn w:val="Body"/>
    <w:pPr>
      <w:spacing w:after="0"/>
    </w:pPr>
    <w:rPr>
      <w:b/>
    </w:rPr>
  </w:style>
  <w:style w:type="paragraph" w:customStyle="1" w:styleId="Definition">
    <w:name w:val="Definition"/>
    <w:basedOn w:val="Body"/>
    <w:qFormat/>
  </w:style>
  <w:style w:type="character" w:customStyle="1" w:styleId="Bold">
    <w:name w:val="Bold"/>
    <w:qFormat/>
    <w:rPr>
      <w:b/>
    </w:rPr>
  </w:style>
  <w:style w:type="character" w:customStyle="1" w:styleId="Italic">
    <w:name w:val="Italic"/>
    <w:qFormat/>
    <w:rPr>
      <w:i/>
    </w:rPr>
  </w:style>
  <w:style w:type="character" w:customStyle="1" w:styleId="Underline">
    <w:name w:val="Underline"/>
    <w:qFormat/>
    <w:rPr>
      <w:u w:val="single"/>
    </w:rPr>
  </w:style>
  <w:style w:type="paragraph" w:customStyle="1" w:styleId="Equation">
    <w:name w:val="Equation"/>
    <w:basedOn w:val="Body"/>
  </w:style>
  <w:style w:type="paragraph" w:customStyle="1" w:styleId="Figure">
    <w:name w:val="Figure"/>
    <w:basedOn w:val="Copyright"/>
    <w:pPr>
      <w:spacing w:after="240"/>
    </w:pPr>
    <w:rPr>
      <w:sz w:val="20"/>
    </w:rPr>
  </w:style>
  <w:style w:type="paragraph" w:customStyle="1" w:styleId="Head40">
    <w:name w:val="Head 4"/>
    <w:basedOn w:val="Head3"/>
    <w:qFormat/>
    <w:rPr>
      <w:u w:val="none"/>
    </w:rPr>
  </w:style>
  <w:style w:type="paragraph" w:customStyle="1" w:styleId="Paper">
    <w:name w:val="Paper"/>
    <w:basedOn w:val="Normal"/>
    <w:qFormat/>
    <w:pPr>
      <w:spacing w:after="360" w:line="440" w:lineRule="exact"/>
      <w:jc w:val="right"/>
    </w:pPr>
    <w:rPr>
      <w:b/>
      <w:sz w:val="36"/>
    </w:rPr>
  </w:style>
  <w:style w:type="character" w:customStyle="1" w:styleId="Subscript">
    <w:name w:val="Subscript"/>
    <w:qFormat/>
    <w:rPr>
      <w:vertAlign w:val="subscript"/>
    </w:rPr>
  </w:style>
  <w:style w:type="character" w:customStyle="1" w:styleId="Superscript">
    <w:name w:val="Superscript"/>
    <w:qFormat/>
    <w:rPr>
      <w:vertAlign w:val="superscript"/>
    </w:rPr>
  </w:style>
  <w:style w:type="character" w:customStyle="1" w:styleId="Symbol">
    <w:name w:val="Symbol"/>
    <w:qFormat/>
    <w:rPr>
      <w:rFonts w:ascii="Symbol" w:hAnsi="Symbol"/>
    </w:rPr>
  </w:style>
  <w:style w:type="paragraph" w:customStyle="1" w:styleId="SymbolP">
    <w:name w:val="Symbol P"/>
    <w:basedOn w:val="Body"/>
    <w:qFormat/>
    <w:pPr>
      <w:tabs>
        <w:tab w:val="left" w:pos="720"/>
        <w:tab w:val="left" w:pos="3780"/>
      </w:tabs>
      <w:spacing w:after="0"/>
    </w:pPr>
    <w:rPr>
      <w:sz w:val="24"/>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qFormat/>
    <w:rPr>
      <w:i/>
      <w:vertAlign w:val="superscript"/>
    </w:rPr>
  </w:style>
  <w:style w:type="character" w:customStyle="1" w:styleId="SymItal">
    <w:name w:val="SymItal"/>
    <w:qFormat/>
    <w:rPr>
      <w:rFonts w:ascii="Symbol" w:hAnsi="Symbol"/>
      <w:i/>
    </w:rPr>
  </w:style>
  <w:style w:type="character" w:customStyle="1" w:styleId="BodyText2Char">
    <w:name w:val="Body Text 2 Char"/>
    <w:basedOn w:val="DefaultParagraphFont"/>
    <w:link w:val="BodyText2"/>
    <w:qFormat/>
    <w:rPr>
      <w:rFonts w:ascii="Helvetica" w:hAnsi="Helvetica"/>
    </w:rPr>
  </w:style>
  <w:style w:type="character" w:customStyle="1" w:styleId="CommentTextChar">
    <w:name w:val="Comment Text Char"/>
    <w:basedOn w:val="DefaultParagraphFont"/>
    <w:link w:val="CommentText"/>
    <w:uiPriority w:val="99"/>
    <w:qFormat/>
    <w:rPr>
      <w:lang w:val="nb-NO" w:eastAsia="nb-NO"/>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BodyText3Char">
    <w:name w:val="Body Text 3 Char"/>
    <w:basedOn w:val="DefaultParagraphFont"/>
    <w:link w:val="BodyText3"/>
    <w:qFormat/>
    <w:rPr>
      <w:rFonts w:ascii="Helvetica" w:hAnsi="Helvetic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FirstParagraph">
    <w:name w:val="First Paragraph"/>
    <w:qFormat/>
    <w:pPr>
      <w:spacing w:after="1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Info spid="_x0000_s1025"/>
    <customShpInfo spid="_x0000_s1033"/>
    <customShpInfo spid="_x0000_s1032"/>
    <customShpInfo spid="_x0000_s1031"/>
    <customShpInfo spid="_x0000_s1030"/>
    <customShpInfo spid="_x0000_s1029"/>
    <customShpInfo spid="_x0000_s1028"/>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62</TotalTime>
  <Pages>18</Pages>
  <Words>9895</Words>
  <Characters>56406</Characters>
  <Application>Microsoft Office Word</Application>
  <DocSecurity>0</DocSecurity>
  <Lines>470</Lines>
  <Paragraphs>132</Paragraphs>
  <ScaleCrop>false</ScaleCrop>
  <Company>aaaa</Company>
  <LinksUpToDate>false</LinksUpToDate>
  <CharactersWithSpaces>66169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15</cp:revision>
  <cp:lastPrinted>1999-07-06T11:00:00Z</cp:lastPrinted>
  <dcterms:created xsi:type="dcterms:W3CDTF">2014-10-25T14:34:00Z</dcterms:created>
  <dcterms:modified xsi:type="dcterms:W3CDTF">2026-06-25T07:42:00Z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eyJoZGlkIjoiNTM1ZmQ2YzNlZmUwYzNjZWUzM2Q0MjFhNTA1NjExZTIiLCJ1c2VySWQiOiIxNTg1NTcwNTIzIn0=</vt:lpwstr>
  </property>
  <property fmtid="{D5CDD505-2E9C-101B-9397-08002B2CF9AE}" pid="3" name="KSOProductBuildVer">
    <vt:lpwstr>2052-12.1.0.26895</vt:lpwstr>
  </property>
  <property fmtid="{D5CDD505-2E9C-101B-9397-08002B2CF9AE}" pid="4" name="ICV">
    <vt:lpwstr>FF9AF724AE244CC98575A4A33C79A57F_12</vt:lpwstr>
  </property>
</Properties>
</file>