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91605" w14:textId="77777777" w:rsidR="002E4C7E" w:rsidRPr="002E4C7E" w:rsidRDefault="002E4C7E" w:rsidP="00F24A2A">
      <w:pPr>
        <w:spacing w:before="100" w:beforeAutospacing="1" w:after="100" w:afterAutospacing="1" w:line="240" w:lineRule="auto"/>
        <w:jc w:val="both"/>
        <w:rPr>
          <w:rFonts w:ascii="Times New Roman" w:eastAsia="Times New Roman" w:hAnsi="Times New Roman" w:cs="Times New Roman"/>
          <w:b/>
          <w:bCs/>
          <w:i/>
          <w:iCs/>
          <w:kern w:val="0"/>
          <w:sz w:val="28"/>
          <w:szCs w:val="28"/>
          <w:u w:val="single"/>
          <w:lang w:val="en-US" w:eastAsia="en-IN"/>
          <w14:ligatures w14:val="none"/>
        </w:rPr>
      </w:pPr>
      <w:r w:rsidRPr="002E4C7E">
        <w:rPr>
          <w:rFonts w:ascii="Times New Roman" w:eastAsia="Times New Roman" w:hAnsi="Times New Roman" w:cs="Times New Roman"/>
          <w:b/>
          <w:bCs/>
          <w:i/>
          <w:iCs/>
          <w:kern w:val="0"/>
          <w:sz w:val="28"/>
          <w:szCs w:val="28"/>
          <w:u w:val="single"/>
          <w:lang w:val="en-US" w:eastAsia="en-IN"/>
          <w14:ligatures w14:val="none"/>
        </w:rPr>
        <w:t>Review Article</w:t>
      </w:r>
    </w:p>
    <w:p w14:paraId="54EEB51B" w14:textId="77777777" w:rsidR="00326748" w:rsidRDefault="00326748" w:rsidP="00F24A2A">
      <w:pPr>
        <w:spacing w:before="100" w:beforeAutospacing="1" w:after="100" w:afterAutospacing="1" w:line="240" w:lineRule="auto"/>
        <w:jc w:val="both"/>
        <w:rPr>
          <w:rFonts w:ascii="Times New Roman" w:eastAsia="Times New Roman" w:hAnsi="Times New Roman" w:cs="Times New Roman"/>
          <w:b/>
          <w:bCs/>
          <w:kern w:val="0"/>
          <w:sz w:val="28"/>
          <w:szCs w:val="28"/>
          <w:lang w:eastAsia="en-IN"/>
          <w14:ligatures w14:val="none"/>
        </w:rPr>
      </w:pPr>
      <w:r w:rsidRPr="000B2AE0">
        <w:rPr>
          <w:rFonts w:ascii="Times New Roman" w:eastAsia="Times New Roman" w:hAnsi="Times New Roman" w:cs="Times New Roman"/>
          <w:b/>
          <w:bCs/>
          <w:kern w:val="0"/>
          <w:sz w:val="28"/>
          <w:szCs w:val="28"/>
          <w:lang w:eastAsia="en-IN"/>
          <w14:ligatures w14:val="none"/>
        </w:rPr>
        <w:t>Commercialisation of Traditional Agriculture in Mountain Areas: Implications for Sustainability, Livelihood, and Agroecological Resilience</w:t>
      </w:r>
    </w:p>
    <w:p w14:paraId="64A69DE1" w14:textId="77777777" w:rsidR="008057A0" w:rsidRPr="000B2AE0" w:rsidRDefault="008057A0" w:rsidP="00F24A2A">
      <w:pPr>
        <w:spacing w:before="100" w:beforeAutospacing="1" w:after="100" w:afterAutospacing="1" w:line="240" w:lineRule="auto"/>
        <w:jc w:val="both"/>
        <w:rPr>
          <w:rFonts w:ascii="Times New Roman" w:eastAsia="Times New Roman" w:hAnsi="Times New Roman" w:cs="Times New Roman"/>
          <w:b/>
          <w:bCs/>
          <w:kern w:val="0"/>
          <w:sz w:val="28"/>
          <w:szCs w:val="28"/>
          <w:lang w:eastAsia="en-IN"/>
          <w14:ligatures w14:val="none"/>
        </w:rPr>
      </w:pPr>
    </w:p>
    <w:p w14:paraId="6703AF1B"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Abstract</w:t>
      </w:r>
    </w:p>
    <w:p w14:paraId="13618E01"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Mountain areas support approximately 13% of the world's population and harbour extraordinary agrobiodiversity, with traditional farming systems that have evolved over millennia in response to steep terrain, variable climate, and fragile soils. Across the Hindu Kush-Himalayas, the Andes, the European Alps, and montane regions of sub-Saharan Africa, growing market integration and deliberate commercialisation policies are restructuring these farming systems in ways that simultaneously generate short-term livelihood gains and erode the ecological and cultural foundations upon which long-term agricultural resilience depends. This article offers a critical review of the literature on the commercialisation of traditional mountain agriculture, examining its implications for ecological sustainability, rural livelihoods, and agroecological resilience. Drawing on peer-reviewed research and authoritative institutional assessments published predominantly between 2015 and 2026, the review traces the principal drivers of commercialisation, assesses sustainability trade-offs including agrobiodiversity loss, soil degradation, and heightened climate vulnerability, and evaluates livelihood outcomes with particular attention to food security, income diversification, and gender equity. The review further analyses the threats to agroecological resilience embedded in the transition towards market-oriented agriculture and identifies evidence-based pathways for achieving more equitable and sustainable outcomes. The analysis reveals that commercialisation trajectories remain deeply contested: they can open routes to improved household incomes while simultaneously diminishing the adaptive capacity that makes mountain farming systems distinctive and irreplaceable. The article concludes by articulating policy principles for governing the commercialisation transition in ways that preserve both ecological integrity and the cultural knowledge systems embedded in traditional mountain agriculture.</w:t>
      </w:r>
    </w:p>
    <w:p w14:paraId="2091851F"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Keywords:</w:t>
      </w:r>
      <w:r w:rsidRPr="00326748">
        <w:rPr>
          <w:rFonts w:ascii="Times New Roman" w:eastAsia="Times New Roman" w:hAnsi="Times New Roman" w:cs="Times New Roman"/>
          <w:kern w:val="0"/>
          <w:sz w:val="24"/>
          <w:szCs w:val="24"/>
          <w:lang w:eastAsia="en-IN"/>
          <w14:ligatures w14:val="none"/>
        </w:rPr>
        <w:t xml:space="preserve"> mountain agriculture; commercialisation; agroecological resilience; agrobiodiversity; traditional farming systems; sustainability; rural livelihoods; food security</w:t>
      </w:r>
    </w:p>
    <w:p w14:paraId="09ACB80D" w14:textId="77777777" w:rsidR="00326748" w:rsidRPr="00326748" w:rsidRDefault="00326748" w:rsidP="00F24A2A">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en-IN"/>
          <w14:ligatures w14:val="none"/>
        </w:rPr>
      </w:pPr>
      <w:r w:rsidRPr="00326748">
        <w:rPr>
          <w:rFonts w:ascii="Times New Roman" w:eastAsia="Times New Roman" w:hAnsi="Times New Roman" w:cs="Times New Roman"/>
          <w:b/>
          <w:bCs/>
          <w:kern w:val="0"/>
          <w:sz w:val="27"/>
          <w:szCs w:val="27"/>
          <w:lang w:eastAsia="en-IN"/>
          <w14:ligatures w14:val="none"/>
        </w:rPr>
        <w:t>1. Introduction</w:t>
      </w:r>
    </w:p>
    <w:p w14:paraId="421D90A2" w14:textId="77777777" w:rsidR="00326748" w:rsidRPr="00326748" w:rsidRDefault="00326748" w:rsidP="00F24A2A">
      <w:pPr>
        <w:spacing w:before="100" w:beforeAutospacing="1" w:after="100" w:afterAutospacing="1" w:line="240" w:lineRule="auto"/>
        <w:jc w:val="both"/>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1.1 Background and Context</w:t>
      </w:r>
    </w:p>
    <w:p w14:paraId="03425C64"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Mountain ecosystems cover roughly 27% of the Earth's terrestrial surface and are home to diverse communities whose agricultural practices represent some of the most sophisticated and site-specific adaptations in human history (Körner et al., 2017). From the terraced fields of the Himalayas to the diverse polycultures of the Andean altiplano, traditional mountain farming systems have not merely persisted under challenging conditions; they have actively shaped landscapes, conserved biodiversity, and sustained human populations over centuries of ecological constraint. These systems are characterised by their integration of crops, livestock, forests, and water management within multi-functional landscapes, and they </w:t>
      </w:r>
      <w:r w:rsidRPr="00326748">
        <w:rPr>
          <w:rFonts w:ascii="Times New Roman" w:eastAsia="Times New Roman" w:hAnsi="Times New Roman" w:cs="Times New Roman"/>
          <w:kern w:val="0"/>
          <w:sz w:val="24"/>
          <w:szCs w:val="24"/>
          <w:lang w:eastAsia="en-IN"/>
          <w14:ligatures w14:val="none"/>
        </w:rPr>
        <w:lastRenderedPageBreak/>
        <w:t>depend critically on place-based ecological knowledge accumulated across generations (Berkes et al., 2000; Zimmerer, 2010).</w:t>
      </w:r>
    </w:p>
    <w:p w14:paraId="23DF0B06"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Over recent decades, however, these farming systems have been subjected to intensifying pressure to commercialise—to shift from largely subsistence-oriented or locally traded food production towards specialised, market-integrated commodity production. This transition has been driven by a complex convergence of forces, including infrastructure development, government agricultural modernisation policies, the expansion of supermarket supply chains into rural and remote markets, demographic change, and increasing connectivity through digital and transport networks (Barrett, 2008; Lambin &amp; </w:t>
      </w:r>
      <w:proofErr w:type="spellStart"/>
      <w:r w:rsidRPr="00326748">
        <w:rPr>
          <w:rFonts w:ascii="Times New Roman" w:eastAsia="Times New Roman" w:hAnsi="Times New Roman" w:cs="Times New Roman"/>
          <w:kern w:val="0"/>
          <w:sz w:val="24"/>
          <w:szCs w:val="24"/>
          <w:lang w:eastAsia="en-IN"/>
          <w14:ligatures w14:val="none"/>
        </w:rPr>
        <w:t>Meyfroidt</w:t>
      </w:r>
      <w:proofErr w:type="spellEnd"/>
      <w:r w:rsidRPr="00326748">
        <w:rPr>
          <w:rFonts w:ascii="Times New Roman" w:eastAsia="Times New Roman" w:hAnsi="Times New Roman" w:cs="Times New Roman"/>
          <w:kern w:val="0"/>
          <w:sz w:val="24"/>
          <w:szCs w:val="24"/>
          <w:lang w:eastAsia="en-IN"/>
          <w14:ligatures w14:val="none"/>
        </w:rPr>
        <w:t>, 2011). The pace and depth of this transition vary considerably across regions and mountain contexts, but its implications for the ecological foundations, livelihood trajectories, and adaptive capacities of mountain communities are increasingly well-documented in the academic literature.</w:t>
      </w:r>
    </w:p>
    <w:p w14:paraId="3EB69C7B"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The tension at the core of mountain agricultural commercialisation is not simply economic. It involves fundamental questions about the governance of biodiversity, the distribution of risks and benefits within rural societies, the resilience of agri-food systems under climate stress, and the legitimacy of different knowledge systems in shaping land-use decisions. Mountain areas are recognised as particularly sensitive to climate change, with warming rates in many high-altitude zones exceeding the global average (Immerzeel et al., 2020; IPCC, 2022), and this context lends additional urgency to questions about whether commercialisation reinforces or undermines the adaptive capacity of farming communities. The significance of mountain water systems for downstream populations—Immerzeel et al. (2020) demonstrated </w:t>
      </w:r>
      <w:proofErr w:type="gramStart"/>
      <w:r w:rsidRPr="00326748">
        <w:rPr>
          <w:rFonts w:ascii="Times New Roman" w:eastAsia="Times New Roman" w:hAnsi="Times New Roman" w:cs="Times New Roman"/>
          <w:kern w:val="0"/>
          <w:sz w:val="24"/>
          <w:szCs w:val="24"/>
          <w:lang w:eastAsia="en-IN"/>
          <w14:ligatures w14:val="none"/>
        </w:rPr>
        <w:t xml:space="preserve">that </w:t>
      </w:r>
      <w:r w:rsidR="0005537E" w:rsidRPr="0005537E">
        <w:rPr>
          <w:rFonts w:ascii="Times New Roman" w:eastAsia="Times New Roman" w:hAnsi="Times New Roman" w:cs="Times New Roman"/>
          <w:kern w:val="0"/>
          <w:sz w:val="24"/>
          <w:szCs w:val="24"/>
          <w:lang w:eastAsia="en-IN"/>
          <w14:ligatures w14:val="none"/>
        </w:rPr>
        <w:t xml:space="preserve"> more</w:t>
      </w:r>
      <w:proofErr w:type="gramEnd"/>
      <w:r w:rsidR="0005537E" w:rsidRPr="0005537E">
        <w:rPr>
          <w:rFonts w:ascii="Times New Roman" w:eastAsia="Times New Roman" w:hAnsi="Times New Roman" w:cs="Times New Roman"/>
          <w:kern w:val="0"/>
          <w:sz w:val="24"/>
          <w:szCs w:val="24"/>
          <w:lang w:eastAsia="en-IN"/>
          <w14:ligatures w14:val="none"/>
        </w:rPr>
        <w:t xml:space="preserve"> than 1.9 billion people living in or immediately downstream of mountains are highly dependent on mountain water towers</w:t>
      </w:r>
      <w:r w:rsidRPr="00326748">
        <w:rPr>
          <w:rFonts w:ascii="Times New Roman" w:eastAsia="Times New Roman" w:hAnsi="Times New Roman" w:cs="Times New Roman"/>
          <w:kern w:val="0"/>
          <w:sz w:val="24"/>
          <w:szCs w:val="24"/>
          <w:lang w:eastAsia="en-IN"/>
          <w14:ligatures w14:val="none"/>
        </w:rPr>
        <w:t>—means that the sustainability consequences of land use transitions in mountain farming are not confined to mountain communities alone but have cascading implications for food and water security at regional and global scales.</w:t>
      </w:r>
    </w:p>
    <w:p w14:paraId="7E9DE71B" w14:textId="77777777" w:rsidR="00326748" w:rsidRPr="00326748" w:rsidRDefault="00326748" w:rsidP="00F24A2A">
      <w:pPr>
        <w:spacing w:before="100" w:beforeAutospacing="1" w:after="100" w:afterAutospacing="1" w:line="240" w:lineRule="auto"/>
        <w:jc w:val="both"/>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1.2 Key Conceptual Definitions</w:t>
      </w:r>
    </w:p>
    <w:p w14:paraId="0AB80181"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For the purposes of this review, commercialisation of agriculture refers to the process by which farming households increase their engagement in market transactions, both by purchasing farm inputs and by selling a growing proportion of their output (Barrett, 2008). This encompasses a spectrum from partial market participation among predominantly subsistence households to full commodity specialisation and value chain integration. Traditional agriculture is understood here as the constellation of farming practices, seed-keeping systems, crop-livestock integration strategies, and land management techniques that have evolved over extended periods within specific mountain </w:t>
      </w:r>
      <w:proofErr w:type="spellStart"/>
      <w:r w:rsidRPr="00326748">
        <w:rPr>
          <w:rFonts w:ascii="Times New Roman" w:eastAsia="Times New Roman" w:hAnsi="Times New Roman" w:cs="Times New Roman"/>
          <w:kern w:val="0"/>
          <w:sz w:val="24"/>
          <w:szCs w:val="24"/>
          <w:lang w:eastAsia="en-IN"/>
          <w14:ligatures w14:val="none"/>
        </w:rPr>
        <w:t>agro</w:t>
      </w:r>
      <w:proofErr w:type="spellEnd"/>
      <w:r w:rsidRPr="00326748">
        <w:rPr>
          <w:rFonts w:ascii="Times New Roman" w:eastAsia="Times New Roman" w:hAnsi="Times New Roman" w:cs="Times New Roman"/>
          <w:kern w:val="0"/>
          <w:sz w:val="24"/>
          <w:szCs w:val="24"/>
          <w:lang w:eastAsia="en-IN"/>
          <w14:ligatures w14:val="none"/>
        </w:rPr>
        <w:t>-ecological zones, and which are transmitted largely through informal knowledge systems and community governance structures (Berkes et al., 2000).</w:t>
      </w:r>
    </w:p>
    <w:p w14:paraId="3A647DCB" w14:textId="414A8776" w:rsidR="00DE49C8" w:rsidRPr="005422E6" w:rsidRDefault="00326748" w:rsidP="005422E6">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Agroecological resilience refers to the capacity of an agricultural system to withstand shocks and stresses, adapt to changing conditions, and transform into more desirable states, while continuing to provide food, livelihood, and ecological services (Folke et al., 2010; Walker et al., 2004). This concept integrates ecological resilience theory with social and institutional dimensions, recognising that the adaptive capacity of farming systems is inseparable from the social networks, knowledge systems, and governance arrangements that support them (Altieri et al., 2015). Sustainability, as employed in this review, encompasses the three classical dimensions—ecological, economic, and social—but the analysis emphasises their interdependence and the specific ways in which commercialisation can generate trade-offs </w:t>
      </w:r>
      <w:r w:rsidRPr="00326748">
        <w:rPr>
          <w:rFonts w:ascii="Times New Roman" w:eastAsia="Times New Roman" w:hAnsi="Times New Roman" w:cs="Times New Roman"/>
          <w:kern w:val="0"/>
          <w:sz w:val="24"/>
          <w:szCs w:val="24"/>
          <w:lang w:eastAsia="en-IN"/>
          <w14:ligatures w14:val="none"/>
        </w:rPr>
        <w:lastRenderedPageBreak/>
        <w:t>between these dimensions within mountain contexts.</w:t>
      </w:r>
      <w:r w:rsidR="005422E6">
        <w:rPr>
          <w:rFonts w:ascii="Times New Roman" w:eastAsia="Times New Roman" w:hAnsi="Times New Roman" w:cs="Times New Roman"/>
          <w:kern w:val="0"/>
          <w:sz w:val="24"/>
          <w:szCs w:val="24"/>
          <w:lang w:eastAsia="en-IN"/>
          <w14:ligatures w14:val="none"/>
        </w:rPr>
        <w:t xml:space="preserve"> </w:t>
      </w:r>
      <w:r w:rsidR="00000000" w:rsidRPr="005422E6">
        <w:rPr>
          <w:bCs/>
          <w:highlight w:val="yellow"/>
        </w:rPr>
        <w:t>Recent empirical work has strengthened individual strands of this evidence base, including mountain food value chains, elevation-sensitive agroforestry systems, Himalayan forestry resources, and smallholder sustainable land-management adoption. However, these strands remain insufficiently integrated in relation to the specific question addressed here: how commercialisation of traditional mountain agriculture can be governed without weakening the biodiversity, soil-conservation practices, traditional knowledge, and livelihood buffers on which agroecological resilience depends (Belliggiano et al., 2024; Gebremariam, 2026; Jamil et al., 2025; Shah Khan et al., 2025).</w:t>
      </w:r>
    </w:p>
    <w:p w14:paraId="3C3AACF0" w14:textId="3E74F0D8" w:rsidR="00326748" w:rsidRPr="00326748" w:rsidRDefault="00326748" w:rsidP="00E059D5">
      <w:pPr>
        <w:tabs>
          <w:tab w:val="left" w:pos="3757"/>
        </w:tabs>
        <w:spacing w:before="100" w:beforeAutospacing="1" w:after="100" w:afterAutospacing="1" w:line="240" w:lineRule="auto"/>
        <w:jc w:val="both"/>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1.3 Scope and Objectives</w:t>
      </w:r>
      <w:r w:rsidR="00E059D5">
        <w:rPr>
          <w:rFonts w:ascii="Times New Roman" w:eastAsia="Times New Roman" w:hAnsi="Times New Roman" w:cs="Times New Roman"/>
          <w:b/>
          <w:bCs/>
          <w:kern w:val="0"/>
          <w:sz w:val="24"/>
          <w:szCs w:val="24"/>
          <w:lang w:eastAsia="en-IN"/>
          <w14:ligatures w14:val="none"/>
        </w:rPr>
        <w:tab/>
      </w:r>
    </w:p>
    <w:p w14:paraId="32094503"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This review focuses on the commercialisation of traditional agriculture in mountain areas across multiple world regions, with particular attention to empirical evidence from the Hindu Kush-Himalayan region, the Andes, the European Alps, and montane zones of sub-Saharan Africa. The review addresses three interrelated objectives. First, it maps the drivers and dynamics of agricultural commercialisation in mountain areas, identifying the key forces shaping the pace and character of the transition. Second, it critically evaluates the sustainability and livelihood implications of this transition, considering both the opportunities and the risks embedded in market integration. Third, it assesses the implications for agroecological resilience and identifies pathways and policy frameworks that could support a more sustainable and equitable form of commercialisation. The review does not attempt a formal meta-analysis of quantitative outcomes but instead synthesises conceptual and empirical insights across diverse mountain contexts in order to identify common patterns, critical uncertainties, and areas where the evidence base remains incomplete.</w:t>
      </w:r>
    </w:p>
    <w:p w14:paraId="28A9450E" w14:textId="77777777" w:rsidR="00326748" w:rsidRPr="00326748" w:rsidRDefault="00326748" w:rsidP="00F24A2A">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en-IN"/>
          <w14:ligatures w14:val="none"/>
        </w:rPr>
      </w:pPr>
      <w:r w:rsidRPr="00326748">
        <w:rPr>
          <w:rFonts w:ascii="Times New Roman" w:eastAsia="Times New Roman" w:hAnsi="Times New Roman" w:cs="Times New Roman"/>
          <w:b/>
          <w:bCs/>
          <w:kern w:val="0"/>
          <w:sz w:val="27"/>
          <w:szCs w:val="27"/>
          <w:lang w:eastAsia="en-IN"/>
          <w14:ligatures w14:val="none"/>
        </w:rPr>
        <w:t>2. Methods for Literature Selection</w:t>
      </w:r>
    </w:p>
    <w:p w14:paraId="00CAF013"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The literature for this review was identified through a </w:t>
      </w:r>
      <w:r w:rsidR="00534086" w:rsidRPr="00534086">
        <w:rPr>
          <w:rFonts w:ascii="Times New Roman" w:eastAsia="Times New Roman" w:hAnsi="Times New Roman" w:cs="Times New Roman"/>
          <w:kern w:val="0"/>
          <w:sz w:val="24"/>
          <w:szCs w:val="24"/>
          <w:lang w:eastAsia="en-IN"/>
          <w14:ligatures w14:val="none"/>
        </w:rPr>
        <w:t>structured narrative search</w:t>
      </w:r>
      <w:r w:rsidR="00534086">
        <w:rPr>
          <w:rFonts w:ascii="Times New Roman" w:eastAsia="Times New Roman" w:hAnsi="Times New Roman" w:cs="Times New Roman"/>
          <w:kern w:val="0"/>
          <w:sz w:val="24"/>
          <w:szCs w:val="24"/>
          <w:lang w:eastAsia="en-IN"/>
          <w14:ligatures w14:val="none"/>
        </w:rPr>
        <w:t xml:space="preserve"> </w:t>
      </w:r>
      <w:r w:rsidRPr="00326748">
        <w:rPr>
          <w:rFonts w:ascii="Times New Roman" w:eastAsia="Times New Roman" w:hAnsi="Times New Roman" w:cs="Times New Roman"/>
          <w:kern w:val="0"/>
          <w:sz w:val="24"/>
          <w:szCs w:val="24"/>
          <w:lang w:eastAsia="en-IN"/>
          <w14:ligatures w14:val="none"/>
        </w:rPr>
        <w:t>of multiple academic databases, including Web of Science, Scopus, Google Scholar, and PubMed. In addition, given the specific geographical, disciplinary, and institutional character of mountain agriculture research, five field-specific databases and repositories were consulted: the CAB Abstracts database, which provides comprehensive coverage of agricultural and environmental science literature; the AGRIS database maintained by the Food and Agriculture Organization of the United Nations for global agricultural literature; the GEOBASE database covering geographical and environmental sciences; the Environmental Sciences and Pollution Management database maintained by EBSCO; and the Mountain Research Initiative database, which aggregates research outputs specific to mountain ecosystems and human-environment interactions. Institutional repositories maintained by the International Centre for Integrated Mountain Development (ICIMOD), the FAO, the Intergovernmental Panel on Climate Change (IPCC), and the United Nations Environment Programme (UNEP) were also consulted for authoritative reports meeting institutional criteria.</w:t>
      </w:r>
    </w:p>
    <w:p w14:paraId="0468AF0B"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The primary literature search covered the period from January 2015 to 29 May 2026. The year 2015 was selected as the start date because it marked the adoption of the United Nations Sustainable Development Goals, which significantly restructured both the research agenda and the policy discourse surrounding mountain agriculture, traditional knowledge systems, and sustainable rural development. This framing also coincides with a measurable intensification of empirical research on smallholder market integration, agrobiodiversity loss, and climate adaptation in mountain areas following the publication of landmark assessments </w:t>
      </w:r>
      <w:r w:rsidRPr="00326748">
        <w:rPr>
          <w:rFonts w:ascii="Times New Roman" w:eastAsia="Times New Roman" w:hAnsi="Times New Roman" w:cs="Times New Roman"/>
          <w:kern w:val="0"/>
          <w:sz w:val="24"/>
          <w:szCs w:val="24"/>
          <w:lang w:eastAsia="en-IN"/>
          <w14:ligatures w14:val="none"/>
        </w:rPr>
        <w:lastRenderedPageBreak/>
        <w:t>on food systems sustainability and planetary boundaries. Classic and foundational references published before 2015 were retained where they represented seminal conceptual contributions to agroecological resilience theory, smallholder market participation, and traditional ecological knowledge; these are clearly supplementary to, rather than substitutes for, the core recent literature.</w:t>
      </w:r>
    </w:p>
    <w:p w14:paraId="3F0FFDEF"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Search strings were constructed using combinations of the following terms and their synonyms, applied across title, abstract, and keyword fields: ("mountain agriculture" OR "highland farming" OR "alpine agriculture") AND ("commercialisation" OR "market integration" OR "value chain"); ("traditional farming systems" OR "indigenous agriculture" OR "smallholder farming") AND ("mountain" OR "highland" OR "hill") AND ("sustainability" OR "resilience" OR "livelihood"); ("agrobiodiversity" OR "crop diversity" OR "traditional varieties") AND ("mountain" OR "Himalaya" OR "Andes" OR "Alps"); ("agroecology" OR "agroecological resilience") AND ("mountain" OR "highland") AND ("climate change" OR "adaptation"); and ("food security" OR "nutritional outcomes") AND ("mountain farming" OR "commercialisation" OR "market integration"). Boolean operators were employed throughout and searches were refined iteratively to balance specificity with comprehensiveness.</w:t>
      </w:r>
    </w:p>
    <w:p w14:paraId="638D7CFE"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Inclusion criteria required sources to be published in peer-reviewed academic journals or to constitute authoritative institutional reports from recognised bodies such as the FAO, IPCC, ICIMOD, World Bank, or equivalent. Studies were included if they addressed at least one of the three focal themes—sustainability, livelihood, or agroecological resilience—in relation to mountain or highland farming contexts. Articles published in English were prioritised; however, English-language summaries of non-English studies were considered where their empirical content was directly relevant. Books, conference papers, grey literature, trade publications, pre-prints, and non-peer-reviewed sources were excluded.</w:t>
      </w:r>
    </w:p>
    <w:p w14:paraId="4600FB95"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A narrative rather than systematic quantitative review approach was adopted for this study. This decision reflects the interdisciplinary and geographically diverse character of the evidence base, which spans agroecology, rural sociology, development economics, and earth system science. A formal systematic review or meta-analysis would require comparable outcome measures across studies, which is not achievable given the heterogeneity of methodological approaches, geographical contexts, and conceptual frameworks employed in the available literature. The narrative review approach is well suited to synthesising theoretical and empirical insights across diverse disciplinary traditions and is widely recognised as an appropriate methodology for conceptually complex, interdisciplinary research fields (Snyder, 2019). Duplicate records were removed during initial screening, after which abstracts were assessed for relevance against the inclusion criteria. Full-text review was applied to all papers passing abstract screening. The final body of literature reviewed includes the most current and methodologically rigorous studies available, supplemented by foundational classic contributions.</w:t>
      </w:r>
    </w:p>
    <w:p w14:paraId="2EC05EC5" w14:textId="77777777" w:rsidR="00326748" w:rsidRPr="00326748" w:rsidRDefault="00326748" w:rsidP="00F24A2A">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en-IN"/>
          <w14:ligatures w14:val="none"/>
        </w:rPr>
      </w:pPr>
      <w:r w:rsidRPr="00326748">
        <w:rPr>
          <w:rFonts w:ascii="Times New Roman" w:eastAsia="Times New Roman" w:hAnsi="Times New Roman" w:cs="Times New Roman"/>
          <w:b/>
          <w:bCs/>
          <w:kern w:val="0"/>
          <w:sz w:val="27"/>
          <w:szCs w:val="27"/>
          <w:lang w:eastAsia="en-IN"/>
          <w14:ligatures w14:val="none"/>
        </w:rPr>
        <w:t>3. Mountain Agriculture: Characteristics, Significance, and Traditional Foundations</w:t>
      </w:r>
    </w:p>
    <w:p w14:paraId="250064AA" w14:textId="77777777" w:rsidR="00326748" w:rsidRPr="00326748" w:rsidRDefault="00326748" w:rsidP="00F24A2A">
      <w:pPr>
        <w:spacing w:before="100" w:beforeAutospacing="1" w:after="100" w:afterAutospacing="1" w:line="240" w:lineRule="auto"/>
        <w:jc w:val="both"/>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3.1 Global Distribution and Ecological Significance of Mountain Farming Systems</w:t>
      </w:r>
    </w:p>
    <w:p w14:paraId="1B2290F9"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Mountains cover approximately 27% of the Earth's terrestrial surface and are home to roughly 13% of the global human population (Körner et al., 2017). </w:t>
      </w:r>
      <w:r w:rsidR="006F268D" w:rsidRPr="006F268D">
        <w:rPr>
          <w:rFonts w:ascii="Times New Roman" w:eastAsia="Times New Roman" w:hAnsi="Times New Roman" w:cs="Times New Roman"/>
          <w:kern w:val="0"/>
          <w:sz w:val="24"/>
          <w:szCs w:val="24"/>
          <w:lang w:eastAsia="en-IN"/>
          <w14:ligatures w14:val="none"/>
        </w:rPr>
        <w:t xml:space="preserve">Recent geospatial </w:t>
      </w:r>
      <w:r w:rsidR="006F268D" w:rsidRPr="006F268D">
        <w:rPr>
          <w:rFonts w:ascii="Times New Roman" w:eastAsia="Times New Roman" w:hAnsi="Times New Roman" w:cs="Times New Roman"/>
          <w:kern w:val="0"/>
          <w:sz w:val="24"/>
          <w:szCs w:val="24"/>
          <w:lang w:eastAsia="en-IN"/>
          <w14:ligatures w14:val="none"/>
        </w:rPr>
        <w:lastRenderedPageBreak/>
        <w:t xml:space="preserve">standardisation further strengthens this framing: the Global Mountain Biodiversity Assessment inventory delineates 8,616 mountain </w:t>
      </w:r>
      <w:r w:rsidR="0005537E" w:rsidRPr="0005537E">
        <w:rPr>
          <w:rFonts w:ascii="Times New Roman" w:eastAsia="Times New Roman" w:hAnsi="Times New Roman" w:cs="Times New Roman"/>
          <w:kern w:val="0"/>
          <w:sz w:val="24"/>
          <w:szCs w:val="24"/>
          <w:lang w:eastAsia="en-IN"/>
          <w14:ligatures w14:val="none"/>
        </w:rPr>
        <w:t xml:space="preserve">massifs </w:t>
      </w:r>
      <w:r w:rsidR="006F268D" w:rsidRPr="006F268D">
        <w:rPr>
          <w:rFonts w:ascii="Times New Roman" w:eastAsia="Times New Roman" w:hAnsi="Times New Roman" w:cs="Times New Roman"/>
          <w:kern w:val="0"/>
          <w:sz w:val="24"/>
          <w:szCs w:val="24"/>
          <w:lang w:eastAsia="en-IN"/>
          <w14:ligatures w14:val="none"/>
        </w:rPr>
        <w:t>and provides a transparent basis for comparing mountain social–ecological systems across scales (</w:t>
      </w:r>
      <w:proofErr w:type="spellStart"/>
      <w:r w:rsidR="006F268D" w:rsidRPr="006F268D">
        <w:rPr>
          <w:rFonts w:ascii="Times New Roman" w:eastAsia="Times New Roman" w:hAnsi="Times New Roman" w:cs="Times New Roman"/>
          <w:kern w:val="0"/>
          <w:sz w:val="24"/>
          <w:szCs w:val="24"/>
          <w:lang w:eastAsia="en-IN"/>
          <w14:ligatures w14:val="none"/>
        </w:rPr>
        <w:t>Snethlage</w:t>
      </w:r>
      <w:proofErr w:type="spellEnd"/>
      <w:r w:rsidR="006F268D" w:rsidRPr="006F268D">
        <w:rPr>
          <w:rFonts w:ascii="Times New Roman" w:eastAsia="Times New Roman" w:hAnsi="Times New Roman" w:cs="Times New Roman"/>
          <w:kern w:val="0"/>
          <w:sz w:val="24"/>
          <w:szCs w:val="24"/>
          <w:lang w:eastAsia="en-IN"/>
          <w14:ligatures w14:val="none"/>
        </w:rPr>
        <w:t xml:space="preserve"> et al., 2022).</w:t>
      </w:r>
      <w:r w:rsidR="006F268D">
        <w:rPr>
          <w:rFonts w:ascii="Times New Roman" w:eastAsia="Times New Roman" w:hAnsi="Times New Roman" w:cs="Times New Roman"/>
          <w:kern w:val="0"/>
          <w:sz w:val="24"/>
          <w:szCs w:val="24"/>
          <w:lang w:eastAsia="en-IN"/>
          <w14:ligatures w14:val="none"/>
        </w:rPr>
        <w:t xml:space="preserve"> </w:t>
      </w:r>
      <w:r w:rsidR="004D298C" w:rsidRPr="004D298C">
        <w:rPr>
          <w:rFonts w:ascii="Times New Roman" w:eastAsia="Times New Roman" w:hAnsi="Times New Roman" w:cs="Times New Roman"/>
          <w:kern w:val="0"/>
          <w:sz w:val="24"/>
          <w:szCs w:val="24"/>
          <w:lang w:eastAsia="en-IN"/>
          <w14:ligatures w14:val="none"/>
        </w:rPr>
        <w:t>Their</w:t>
      </w:r>
      <w:r w:rsidR="004D298C">
        <w:rPr>
          <w:rFonts w:ascii="Times New Roman" w:eastAsia="Times New Roman" w:hAnsi="Times New Roman" w:cs="Times New Roman"/>
          <w:kern w:val="0"/>
          <w:sz w:val="24"/>
          <w:szCs w:val="24"/>
          <w:lang w:eastAsia="en-IN"/>
          <w14:ligatures w14:val="none"/>
        </w:rPr>
        <w:t xml:space="preserve"> </w:t>
      </w:r>
      <w:r w:rsidR="006F268D" w:rsidRPr="006F268D">
        <w:rPr>
          <w:rFonts w:ascii="Times New Roman" w:eastAsia="Times New Roman" w:hAnsi="Times New Roman" w:cs="Times New Roman"/>
          <w:kern w:val="0"/>
          <w:sz w:val="24"/>
          <w:szCs w:val="24"/>
          <w:lang w:eastAsia="en-IN"/>
          <w14:ligatures w14:val="none"/>
        </w:rPr>
        <w:t>significance</w:t>
      </w:r>
      <w:r w:rsidR="006F268D">
        <w:rPr>
          <w:rFonts w:ascii="Times New Roman" w:eastAsia="Times New Roman" w:hAnsi="Times New Roman" w:cs="Times New Roman"/>
          <w:kern w:val="0"/>
          <w:sz w:val="24"/>
          <w:szCs w:val="24"/>
          <w:lang w:eastAsia="en-IN"/>
          <w14:ligatures w14:val="none"/>
        </w:rPr>
        <w:t xml:space="preserve"> </w:t>
      </w:r>
      <w:r w:rsidRPr="00326748">
        <w:rPr>
          <w:rFonts w:ascii="Times New Roman" w:eastAsia="Times New Roman" w:hAnsi="Times New Roman" w:cs="Times New Roman"/>
          <w:kern w:val="0"/>
          <w:sz w:val="24"/>
          <w:szCs w:val="24"/>
          <w:lang w:eastAsia="en-IN"/>
          <w14:ligatures w14:val="none"/>
        </w:rPr>
        <w:t>extends far beyond their demographic share, however: mountain ecosystems supply freshwater to approximately half of humanity through the rivers they feed, harbour extraordinary levels of endemic biodiversity, and serve as refugia for wild crop relatives and domesticated plant varieties of global agricultural importance (Immerzeel et al., 2020; Wester et al., 2019). The Hindu Kush-Himalayan (HKH) region alone—spanning eight countries from Afghanistan to Myanmar—encompasses highly diverse agricultural systems that sustain approximately 240 million mountain inhabitants while providing downstream ecosystem services to populations numbering in the billions (Wester et al., 2019</w:t>
      </w:r>
      <w:r w:rsidR="004D298C" w:rsidRPr="004D298C">
        <w:rPr>
          <w:rFonts w:ascii="Times New Roman" w:eastAsia="Times New Roman" w:hAnsi="Times New Roman" w:cs="Times New Roman"/>
          <w:kern w:val="0"/>
          <w:sz w:val="24"/>
          <w:szCs w:val="24"/>
          <w:lang w:eastAsia="en-IN"/>
          <w14:ligatures w14:val="none"/>
        </w:rPr>
        <w:t>)</w:t>
      </w:r>
      <w:r w:rsidRPr="00326748">
        <w:rPr>
          <w:rFonts w:ascii="Times New Roman" w:eastAsia="Times New Roman" w:hAnsi="Times New Roman" w:cs="Times New Roman"/>
          <w:kern w:val="0"/>
          <w:sz w:val="24"/>
          <w:szCs w:val="24"/>
          <w:lang w:eastAsia="en-IN"/>
          <w14:ligatures w14:val="none"/>
        </w:rPr>
        <w:t>.</w:t>
      </w:r>
    </w:p>
    <w:p w14:paraId="18205150"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Despite their ecological and social significance, mountain farming systems are poorly represented in global agricultural statistics and policy frameworks, which have historically been dominated by lowland, high-input agriculture. Lowder et al. (2016) estimated that more than 84% of the world's farms are smallholdings of less than two hectares, and the overwhelming majority of mountain farms fall within this category, operating under severe constraints of terrain, climate variability, market distance, and infrastructure deficit. The fragmented and micro-scale character of mountain agricultural landscapes has, paradoxically, supported extraordinary levels of crop diversity and landscape heterogeneity, which represent a critical heritage for global food system resilience (Zimmerer, 2010; Garibaldi et al., 2017). This heritage is not merely historical in character; it constitutes a living, dynamic reservoir of biological and cultural adaptation that retains immediate practical relevance for food system sustainability under contemporary climate change.</w:t>
      </w:r>
    </w:p>
    <w:p w14:paraId="2ADC2E06" w14:textId="77777777" w:rsidR="00326748" w:rsidRPr="00326748" w:rsidRDefault="00326748" w:rsidP="00F24A2A">
      <w:pPr>
        <w:spacing w:before="100" w:beforeAutospacing="1" w:after="100" w:afterAutospacing="1" w:line="240" w:lineRule="auto"/>
        <w:jc w:val="both"/>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3.2 Traditional Farming Practices and Agroecological Foundations</w:t>
      </w:r>
    </w:p>
    <w:p w14:paraId="5BDE6C5A"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Traditional mountain farming systems are fundamentally agroecological in their logic. They rely on the manipulation of ecological processes—nutrient cycling, biological pest control, soil conservation, water regulation—rather than on external chemical inputs, and they are adapted to the specific micro-ecological conditions that vary sharply with altitude, aspect, and slope position (Altieri et al., 2015). The terraced field systems of the Himalayas represent centuries of accumulated engineering knowledge that simultaneously manages water, prevents erosion, and creates diverse microclimatic conditions for varied crop assemblages. In the Andes, the </w:t>
      </w:r>
      <w:proofErr w:type="spellStart"/>
      <w:r w:rsidRPr="00326748">
        <w:rPr>
          <w:rFonts w:ascii="Times New Roman" w:eastAsia="Times New Roman" w:hAnsi="Times New Roman" w:cs="Times New Roman"/>
          <w:kern w:val="0"/>
          <w:sz w:val="24"/>
          <w:szCs w:val="24"/>
          <w:lang w:eastAsia="en-IN"/>
          <w14:ligatures w14:val="none"/>
        </w:rPr>
        <w:t>camellones</w:t>
      </w:r>
      <w:proofErr w:type="spellEnd"/>
      <w:r w:rsidRPr="00326748">
        <w:rPr>
          <w:rFonts w:ascii="Times New Roman" w:eastAsia="Times New Roman" w:hAnsi="Times New Roman" w:cs="Times New Roman"/>
          <w:kern w:val="0"/>
          <w:sz w:val="24"/>
          <w:szCs w:val="24"/>
          <w:lang w:eastAsia="en-IN"/>
          <w14:ligatures w14:val="none"/>
        </w:rPr>
        <w:t xml:space="preserve"> (raised field systems) of the altiplano and the vertically integrated crop-livestock systems spanning different ecological floors reflect similar principles of place-based ecological management (Zimmerer, 2010). Jodha (2000) argued that the persistence of these systems over centuries in conditions that would defeat modern high-input agriculture is itself evidence of their ecological intelligence—an intelligence that tends to become visible only when the systems collapse.</w:t>
      </w:r>
    </w:p>
    <w:p w14:paraId="7EEFA02B"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Multi-cropping and intercropping practices within these systems are not merely expressions of traditional habit; they embody sophisticated ecological reasoning. The mixing of multiple varieties of the same crop, or of different crops, within a single field creates heterogeneity that buffers against climate variability, reduces pest pressure, and maintains soil fertility through complementary rooting depths and nutrient dynamics (Lin, 2011; Altieri et al., 2015). In the HKH region, studies document the simultaneous cultivation of dozens of </w:t>
      </w:r>
      <w:proofErr w:type="gramStart"/>
      <w:r w:rsidRPr="00326748">
        <w:rPr>
          <w:rFonts w:ascii="Times New Roman" w:eastAsia="Times New Roman" w:hAnsi="Times New Roman" w:cs="Times New Roman"/>
          <w:kern w:val="0"/>
          <w:sz w:val="24"/>
          <w:szCs w:val="24"/>
          <w:lang w:eastAsia="en-IN"/>
          <w14:ligatures w14:val="none"/>
        </w:rPr>
        <w:t>rice</w:t>
      </w:r>
      <w:proofErr w:type="gramEnd"/>
      <w:r w:rsidRPr="00326748">
        <w:rPr>
          <w:rFonts w:ascii="Times New Roman" w:eastAsia="Times New Roman" w:hAnsi="Times New Roman" w:cs="Times New Roman"/>
          <w:kern w:val="0"/>
          <w:sz w:val="24"/>
          <w:szCs w:val="24"/>
          <w:lang w:eastAsia="en-IN"/>
          <w14:ligatures w14:val="none"/>
        </w:rPr>
        <w:t xml:space="preserve"> or maize landraces within single villages, each valued for specific culinary, cultural, or agronomic properties and representing a reserve of genetic diversity for future adaptation (Wester et al., 2019; Adhikari et al., 2017). This diversity is not incidentally maintained but is actively </w:t>
      </w:r>
      <w:r w:rsidRPr="00326748">
        <w:rPr>
          <w:rFonts w:ascii="Times New Roman" w:eastAsia="Times New Roman" w:hAnsi="Times New Roman" w:cs="Times New Roman"/>
          <w:kern w:val="0"/>
          <w:sz w:val="24"/>
          <w:szCs w:val="24"/>
          <w:lang w:eastAsia="en-IN"/>
          <w14:ligatures w14:val="none"/>
        </w:rPr>
        <w:lastRenderedPageBreak/>
        <w:t>managed through seed selection, exchange, and in some cases ritual practices that integrate ecological knowledge with cultural identity and community solidarity.</w:t>
      </w:r>
      <w:r w:rsidR="00F83CBF">
        <w:rPr>
          <w:rFonts w:ascii="Times New Roman" w:eastAsia="Times New Roman" w:hAnsi="Times New Roman" w:cs="Times New Roman"/>
          <w:kern w:val="0"/>
          <w:sz w:val="24"/>
          <w:szCs w:val="24"/>
          <w:lang w:eastAsia="en-IN"/>
          <w14:ligatures w14:val="none"/>
        </w:rPr>
        <w:t xml:space="preserve"> </w:t>
      </w:r>
      <w:r w:rsidR="00F83CBF" w:rsidRPr="00F83CBF">
        <w:rPr>
          <w:rFonts w:ascii="Times New Roman" w:eastAsia="Times New Roman" w:hAnsi="Times New Roman" w:cs="Times New Roman"/>
          <w:kern w:val="0"/>
          <w:sz w:val="24"/>
          <w:szCs w:val="24"/>
          <w:lang w:eastAsia="en-IN"/>
          <w14:ligatures w14:val="none"/>
        </w:rPr>
        <w:t xml:space="preserve">Evidence from Northeast Indian jhum landscapes adds an Eastern Himalayan example: where fallow periods remain adequate, shifting-cultivation mosaics can support </w:t>
      </w:r>
      <w:proofErr w:type="spellStart"/>
      <w:r w:rsidR="00F83CBF" w:rsidRPr="00F83CBF">
        <w:rPr>
          <w:rFonts w:ascii="Times New Roman" w:eastAsia="Times New Roman" w:hAnsi="Times New Roman" w:cs="Times New Roman"/>
          <w:kern w:val="0"/>
          <w:sz w:val="24"/>
          <w:szCs w:val="24"/>
          <w:lang w:eastAsia="en-IN"/>
          <w14:ligatures w14:val="none"/>
        </w:rPr>
        <w:t>agro</w:t>
      </w:r>
      <w:proofErr w:type="spellEnd"/>
      <w:r w:rsidR="00F83CBF" w:rsidRPr="00F83CBF">
        <w:rPr>
          <w:rFonts w:ascii="Times New Roman" w:eastAsia="Times New Roman" w:hAnsi="Times New Roman" w:cs="Times New Roman"/>
          <w:kern w:val="0"/>
          <w:sz w:val="24"/>
          <w:szCs w:val="24"/>
          <w:lang w:eastAsia="en-IN"/>
          <w14:ligatures w14:val="none"/>
        </w:rPr>
        <w:t>-biodiversity, carbon storage, food security, and livelihood resilience, whereas shortened fallows and land pressure are associated with soil loss and biodiversity decline (</w:t>
      </w:r>
      <w:proofErr w:type="spellStart"/>
      <w:r w:rsidR="00F83CBF" w:rsidRPr="00F83CBF">
        <w:rPr>
          <w:rFonts w:ascii="Times New Roman" w:eastAsia="Times New Roman" w:hAnsi="Times New Roman" w:cs="Times New Roman"/>
          <w:kern w:val="0"/>
          <w:sz w:val="24"/>
          <w:szCs w:val="24"/>
          <w:lang w:eastAsia="en-IN"/>
          <w14:ligatures w14:val="none"/>
        </w:rPr>
        <w:t>Lungleng</w:t>
      </w:r>
      <w:proofErr w:type="spellEnd"/>
      <w:r w:rsidR="00F83CBF" w:rsidRPr="00F83CBF">
        <w:rPr>
          <w:rFonts w:ascii="Times New Roman" w:eastAsia="Times New Roman" w:hAnsi="Times New Roman" w:cs="Times New Roman"/>
          <w:kern w:val="0"/>
          <w:sz w:val="24"/>
          <w:szCs w:val="24"/>
          <w:lang w:eastAsia="en-IN"/>
          <w14:ligatures w14:val="none"/>
        </w:rPr>
        <w:t xml:space="preserve"> &amp; </w:t>
      </w:r>
      <w:proofErr w:type="spellStart"/>
      <w:r w:rsidR="00F83CBF" w:rsidRPr="00F83CBF">
        <w:rPr>
          <w:rFonts w:ascii="Times New Roman" w:eastAsia="Times New Roman" w:hAnsi="Times New Roman" w:cs="Times New Roman"/>
          <w:kern w:val="0"/>
          <w:sz w:val="24"/>
          <w:szCs w:val="24"/>
          <w:lang w:eastAsia="en-IN"/>
          <w14:ligatures w14:val="none"/>
        </w:rPr>
        <w:t>Shimrah</w:t>
      </w:r>
      <w:proofErr w:type="spellEnd"/>
      <w:r w:rsidR="00F83CBF" w:rsidRPr="00F83CBF">
        <w:rPr>
          <w:rFonts w:ascii="Times New Roman" w:eastAsia="Times New Roman" w:hAnsi="Times New Roman" w:cs="Times New Roman"/>
          <w:kern w:val="0"/>
          <w:sz w:val="24"/>
          <w:szCs w:val="24"/>
          <w:lang w:eastAsia="en-IN"/>
          <w14:ligatures w14:val="none"/>
        </w:rPr>
        <w:t>, 2026).</w:t>
      </w:r>
    </w:p>
    <w:p w14:paraId="49E08BE7" w14:textId="77777777" w:rsidR="00326748" w:rsidRPr="00326748" w:rsidRDefault="00326748" w:rsidP="00F24A2A">
      <w:pPr>
        <w:spacing w:before="100" w:beforeAutospacing="1" w:after="100" w:afterAutospacing="1" w:line="240" w:lineRule="auto"/>
        <w:jc w:val="both"/>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3.3 Agrobiodiversity and Traditional Ecological Knowledge in Mountain Contexts</w:t>
      </w:r>
    </w:p>
    <w:p w14:paraId="4664078A"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The agrobiodiversity maintained in mountain farming systems constitutes one of humanity's most important biological resources. Mountain regions serve as primary centres of crop origin and diversification, and the landraces conserved in farmers' fields represent evolutionary reservoirs of adaptive traits—drought tolerance, pest resistance, nutritional quality—that are irreplaceable by any </w:t>
      </w:r>
      <w:proofErr w:type="gramStart"/>
      <w:r w:rsidRPr="00326748">
        <w:rPr>
          <w:rFonts w:ascii="Times New Roman" w:eastAsia="Times New Roman" w:hAnsi="Times New Roman" w:cs="Times New Roman"/>
          <w:kern w:val="0"/>
          <w:sz w:val="24"/>
          <w:szCs w:val="24"/>
          <w:lang w:eastAsia="en-IN"/>
          <w14:ligatures w14:val="none"/>
        </w:rPr>
        <w:t>ex situ</w:t>
      </w:r>
      <w:proofErr w:type="gramEnd"/>
      <w:r w:rsidRPr="00326748">
        <w:rPr>
          <w:rFonts w:ascii="Times New Roman" w:eastAsia="Times New Roman" w:hAnsi="Times New Roman" w:cs="Times New Roman"/>
          <w:kern w:val="0"/>
          <w:sz w:val="24"/>
          <w:szCs w:val="24"/>
          <w:lang w:eastAsia="en-IN"/>
          <w14:ligatures w14:val="none"/>
        </w:rPr>
        <w:t xml:space="preserve"> conservation strategy alone (Zimmerer, 2010; Garibaldi et al., 2017). </w:t>
      </w:r>
      <w:r w:rsidR="00A122BB" w:rsidRPr="00A122BB">
        <w:rPr>
          <w:rFonts w:ascii="Times New Roman" w:eastAsia="Times New Roman" w:hAnsi="Times New Roman" w:cs="Times New Roman"/>
          <w:kern w:val="0"/>
          <w:sz w:val="24"/>
          <w:szCs w:val="24"/>
          <w:lang w:eastAsia="en-IN"/>
          <w14:ligatures w14:val="none"/>
        </w:rPr>
        <w:t xml:space="preserve">Empirical characterisation of 29 traditional crop landraces from the northwest Indian Himalayas similarly shows substantial </w:t>
      </w:r>
      <w:proofErr w:type="spellStart"/>
      <w:r w:rsidR="00A122BB" w:rsidRPr="00A122BB">
        <w:rPr>
          <w:rFonts w:ascii="Times New Roman" w:eastAsia="Times New Roman" w:hAnsi="Times New Roman" w:cs="Times New Roman"/>
          <w:kern w:val="0"/>
          <w:sz w:val="24"/>
          <w:szCs w:val="24"/>
          <w:lang w:eastAsia="en-IN"/>
          <w14:ligatures w14:val="none"/>
        </w:rPr>
        <w:t>agro</w:t>
      </w:r>
      <w:proofErr w:type="spellEnd"/>
      <w:r w:rsidR="00A122BB" w:rsidRPr="00A122BB">
        <w:rPr>
          <w:rFonts w:ascii="Times New Roman" w:eastAsia="Times New Roman" w:hAnsi="Times New Roman" w:cs="Times New Roman"/>
          <w:kern w:val="0"/>
          <w:sz w:val="24"/>
          <w:szCs w:val="24"/>
          <w:lang w:eastAsia="en-IN"/>
          <w14:ligatures w14:val="none"/>
        </w:rPr>
        <w:t>-morphological and nutritional variation, reinforcing the argument that in situ landrace conservation can support both future crop improvement and nutritional security (Malhotra et al., 2022)</w:t>
      </w:r>
      <w:r w:rsidR="006F268D">
        <w:rPr>
          <w:rFonts w:ascii="Times New Roman" w:eastAsia="Times New Roman" w:hAnsi="Times New Roman" w:cs="Times New Roman"/>
          <w:kern w:val="0"/>
          <w:sz w:val="24"/>
          <w:szCs w:val="24"/>
          <w:lang w:eastAsia="en-IN"/>
          <w14:ligatures w14:val="none"/>
        </w:rPr>
        <w:t>.</w:t>
      </w:r>
      <w:r w:rsidR="00A122BB">
        <w:rPr>
          <w:rFonts w:ascii="Times New Roman" w:eastAsia="Times New Roman" w:hAnsi="Times New Roman" w:cs="Times New Roman"/>
          <w:kern w:val="0"/>
          <w:sz w:val="24"/>
          <w:szCs w:val="24"/>
          <w:lang w:eastAsia="en-IN"/>
          <w14:ligatures w14:val="none"/>
        </w:rPr>
        <w:t xml:space="preserve"> </w:t>
      </w:r>
      <w:r w:rsidRPr="00326748">
        <w:rPr>
          <w:rFonts w:ascii="Times New Roman" w:eastAsia="Times New Roman" w:hAnsi="Times New Roman" w:cs="Times New Roman"/>
          <w:kern w:val="0"/>
          <w:sz w:val="24"/>
          <w:szCs w:val="24"/>
          <w:lang w:eastAsia="en-IN"/>
          <w14:ligatures w14:val="none"/>
        </w:rPr>
        <w:t>The connection between this agrobiodiversity and local ecological knowledge systems is intimate and bidirectional: farmers maintain diversity because they understand its value through lived experience, and their knowledge systems are in turn shaped and validated by the ecological responses of diverse crop assemblages over time.</w:t>
      </w:r>
    </w:p>
    <w:p w14:paraId="0682252F"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Traditional ecological knowledge (TEK) in mountain farming encompasses not only knowledge of specific plant varieties but also understanding of soil types and their management, timing of agricultural operations in relation to local climate indicators, integrated water management, and the functional integration of forests and common lands into the farming system (Berkes et al., 2000). This knowledge is characteristically distributed across communities, is gender-differentiated, and is transmitted through informal learning, shared practice, and community institutions that give it social legitimacy. Its loss is therefore not merely a cultural event but an ecological one, reducing the community's capacity to manage agricultural systems adaptively and to respond to novel climatic or market pressures. Berkes et al. (2000) described this dynamic in terms of the rediscovery of traditional ecological knowledge as adaptive management—a recognition that what formal science sometimes frames as innovation has often been practised by indigenous and traditional communities for generations.</w:t>
      </w:r>
    </w:p>
    <w:p w14:paraId="49D92CB4"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Research on organic and biodiversity-friendly farming has further demonstrated the wider ecological benefits of the low-external-input, high-diversity management practices characteristic of traditional mountain agriculture. Bengtsson et al. (2005) found in a comprehensive meta-analysis that organic and traditional farming approaches consistently support higher species richness than conventional farming, with effects particularly pronounced for plant diversity—a finding directly relevant to the agrobiodiversity conservation functions of mountain farming systems.</w:t>
      </w:r>
    </w:p>
    <w:p w14:paraId="2B94CACF"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Table 1 summarises the principal characteristics and agroecological features of traditional farming systems in four major mountain regions. The distinctions across regions are instructive, but common patterns are equally evident: high crop diversity, integration of livestock and crop production, reliance on traditional ecological knowledge, and a degree of </w:t>
      </w:r>
      <w:r w:rsidRPr="00326748">
        <w:rPr>
          <w:rFonts w:ascii="Times New Roman" w:eastAsia="Times New Roman" w:hAnsi="Times New Roman" w:cs="Times New Roman"/>
          <w:kern w:val="0"/>
          <w:sz w:val="24"/>
          <w:szCs w:val="24"/>
          <w:lang w:eastAsia="en-IN"/>
          <w14:ligatures w14:val="none"/>
        </w:rPr>
        <w:lastRenderedPageBreak/>
        <w:t>historical market isolation that has insulated these systems from external shocks while also limiting income opportunities for resident communities.</w:t>
      </w:r>
    </w:p>
    <w:p w14:paraId="063543BD" w14:textId="77777777" w:rsidR="00326748" w:rsidRDefault="00326748"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447469A6" w14:textId="77777777" w:rsidR="00A122BB"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4105E3CA" w14:textId="77777777" w:rsidR="00A122BB"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1A009819" w14:textId="77777777" w:rsidR="00A122BB"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23D7B726" w14:textId="77777777" w:rsidR="00A122BB"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2599EBE5" w14:textId="77777777" w:rsidR="00A122BB"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1CFB87C9" w14:textId="77777777" w:rsidR="00A122BB"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7894EA74" w14:textId="77777777" w:rsidR="00A122BB"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03F36C70" w14:textId="77777777" w:rsidR="00A122BB"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2C93C7C0" w14:textId="77777777" w:rsidR="00A122BB"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3C62DA08" w14:textId="77777777" w:rsidR="00A122BB"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3753311C" w14:textId="77777777" w:rsidR="00A122BB" w:rsidRPr="00326748"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0D8FCE99"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Table 1: Key Characteristics and Agroecological Features of Traditional Farming Systems in Major Mountain Regions</w:t>
      </w:r>
    </w:p>
    <w:tbl>
      <w:tblPr>
        <w:tblStyle w:val="TableGrid"/>
        <w:tblW w:w="0" w:type="auto"/>
        <w:tblLook w:val="04A0" w:firstRow="1" w:lastRow="0" w:firstColumn="1" w:lastColumn="0" w:noHBand="0" w:noVBand="1"/>
      </w:tblPr>
      <w:tblGrid>
        <w:gridCol w:w="1719"/>
        <w:gridCol w:w="1756"/>
        <w:gridCol w:w="1832"/>
        <w:gridCol w:w="1772"/>
        <w:gridCol w:w="2163"/>
      </w:tblGrid>
      <w:tr w:rsidR="00A122BB" w14:paraId="2D7C5412" w14:textId="77777777" w:rsidTr="00C83150">
        <w:tc>
          <w:tcPr>
            <w:tcW w:w="1719" w:type="dxa"/>
            <w:vAlign w:val="center"/>
          </w:tcPr>
          <w:p w14:paraId="60F58BBC" w14:textId="77777777" w:rsidR="00A122BB" w:rsidRDefault="00A122BB" w:rsidP="00F24A2A">
            <w:pPr>
              <w:jc w:val="both"/>
            </w:pPr>
            <w:r w:rsidRPr="00326748">
              <w:rPr>
                <w:rFonts w:ascii="Times New Roman" w:eastAsia="Times New Roman" w:hAnsi="Times New Roman" w:cs="Times New Roman"/>
                <w:b/>
                <w:bCs/>
                <w:kern w:val="0"/>
                <w:sz w:val="24"/>
                <w:szCs w:val="24"/>
                <w:lang w:eastAsia="en-IN"/>
                <w14:ligatures w14:val="none"/>
              </w:rPr>
              <w:t>Region</w:t>
            </w:r>
          </w:p>
        </w:tc>
        <w:tc>
          <w:tcPr>
            <w:tcW w:w="1756" w:type="dxa"/>
            <w:vAlign w:val="center"/>
          </w:tcPr>
          <w:p w14:paraId="46FEA86D" w14:textId="77777777" w:rsidR="00A122BB" w:rsidRDefault="00A122BB" w:rsidP="00F24A2A">
            <w:pPr>
              <w:jc w:val="both"/>
            </w:pPr>
            <w:r w:rsidRPr="00326748">
              <w:rPr>
                <w:rFonts w:ascii="Times New Roman" w:eastAsia="Times New Roman" w:hAnsi="Times New Roman" w:cs="Times New Roman"/>
                <w:b/>
                <w:bCs/>
                <w:kern w:val="0"/>
                <w:sz w:val="24"/>
                <w:szCs w:val="24"/>
                <w:lang w:eastAsia="en-IN"/>
                <w14:ligatures w14:val="none"/>
              </w:rPr>
              <w:t>Key Crops and Livestock</w:t>
            </w:r>
          </w:p>
        </w:tc>
        <w:tc>
          <w:tcPr>
            <w:tcW w:w="1832" w:type="dxa"/>
            <w:vAlign w:val="center"/>
          </w:tcPr>
          <w:p w14:paraId="3290447A" w14:textId="77777777" w:rsidR="00A122BB" w:rsidRDefault="00A122BB" w:rsidP="00F24A2A">
            <w:pPr>
              <w:jc w:val="both"/>
            </w:pPr>
            <w:r w:rsidRPr="00326748">
              <w:rPr>
                <w:rFonts w:ascii="Times New Roman" w:eastAsia="Times New Roman" w:hAnsi="Times New Roman" w:cs="Times New Roman"/>
                <w:b/>
                <w:bCs/>
                <w:kern w:val="0"/>
                <w:sz w:val="24"/>
                <w:szCs w:val="24"/>
                <w:lang w:eastAsia="en-IN"/>
                <w14:ligatures w14:val="none"/>
              </w:rPr>
              <w:t>Agroecological Features</w:t>
            </w:r>
          </w:p>
        </w:tc>
        <w:tc>
          <w:tcPr>
            <w:tcW w:w="1772" w:type="dxa"/>
            <w:vAlign w:val="center"/>
          </w:tcPr>
          <w:p w14:paraId="639FBEDB" w14:textId="77777777" w:rsidR="00A122BB" w:rsidRDefault="00A122BB" w:rsidP="00F24A2A">
            <w:pPr>
              <w:jc w:val="both"/>
            </w:pPr>
            <w:r w:rsidRPr="00326748">
              <w:rPr>
                <w:rFonts w:ascii="Times New Roman" w:eastAsia="Times New Roman" w:hAnsi="Times New Roman" w:cs="Times New Roman"/>
                <w:b/>
                <w:bCs/>
                <w:kern w:val="0"/>
                <w:sz w:val="24"/>
                <w:szCs w:val="24"/>
                <w:lang w:eastAsia="en-IN"/>
                <w14:ligatures w14:val="none"/>
              </w:rPr>
              <w:t>Primary Livelihood Strategy</w:t>
            </w:r>
          </w:p>
        </w:tc>
        <w:tc>
          <w:tcPr>
            <w:tcW w:w="2163" w:type="dxa"/>
            <w:vAlign w:val="center"/>
          </w:tcPr>
          <w:p w14:paraId="0269BCCA" w14:textId="77777777" w:rsidR="00A122BB" w:rsidRDefault="00A122BB" w:rsidP="00F24A2A">
            <w:pPr>
              <w:jc w:val="both"/>
            </w:pPr>
            <w:r w:rsidRPr="00326748">
              <w:rPr>
                <w:rFonts w:ascii="Times New Roman" w:eastAsia="Times New Roman" w:hAnsi="Times New Roman" w:cs="Times New Roman"/>
                <w:b/>
                <w:bCs/>
                <w:kern w:val="0"/>
                <w:sz w:val="24"/>
                <w:szCs w:val="24"/>
                <w:lang w:eastAsia="en-IN"/>
                <w14:ligatures w14:val="none"/>
              </w:rPr>
              <w:t>State of Commercialisation</w:t>
            </w:r>
          </w:p>
        </w:tc>
      </w:tr>
      <w:tr w:rsidR="00A122BB" w14:paraId="378B3E72" w14:textId="77777777" w:rsidTr="00C83150">
        <w:tc>
          <w:tcPr>
            <w:tcW w:w="1719" w:type="dxa"/>
            <w:vAlign w:val="center"/>
          </w:tcPr>
          <w:p w14:paraId="15B20359"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Hindu Kush-Himalayas</w:t>
            </w:r>
          </w:p>
        </w:tc>
        <w:tc>
          <w:tcPr>
            <w:tcW w:w="1756" w:type="dxa"/>
            <w:vAlign w:val="center"/>
          </w:tcPr>
          <w:p w14:paraId="6937186A"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Rice, wheat, maize, millet, buckwheat, legumes; cattle, yak</w:t>
            </w:r>
          </w:p>
        </w:tc>
        <w:tc>
          <w:tcPr>
            <w:tcW w:w="1832" w:type="dxa"/>
            <w:vAlign w:val="center"/>
          </w:tcPr>
          <w:p w14:paraId="01B0855C"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Terrace farming, crop-livestock integration, altitude-based zonation</w:t>
            </w:r>
          </w:p>
        </w:tc>
        <w:tc>
          <w:tcPr>
            <w:tcW w:w="1772" w:type="dxa"/>
            <w:vAlign w:val="center"/>
          </w:tcPr>
          <w:p w14:paraId="6BF8CEA5"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Subsistence with limited market participation</w:t>
            </w:r>
          </w:p>
        </w:tc>
        <w:tc>
          <w:tcPr>
            <w:tcW w:w="2163" w:type="dxa"/>
            <w:vAlign w:val="center"/>
          </w:tcPr>
          <w:p w14:paraId="431C80F0"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Rapidly increasing; cash crops include apple, cardamom, saffron</w:t>
            </w:r>
          </w:p>
        </w:tc>
      </w:tr>
      <w:tr w:rsidR="00A122BB" w14:paraId="3E18CBD4" w14:textId="77777777" w:rsidTr="00C83150">
        <w:tc>
          <w:tcPr>
            <w:tcW w:w="1719" w:type="dxa"/>
            <w:vAlign w:val="center"/>
          </w:tcPr>
          <w:p w14:paraId="73E76B49"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Andean Highlands (South America)</w:t>
            </w:r>
          </w:p>
        </w:tc>
        <w:tc>
          <w:tcPr>
            <w:tcW w:w="1756" w:type="dxa"/>
            <w:vAlign w:val="center"/>
          </w:tcPr>
          <w:p w14:paraId="100BC17D"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Potato, quinoa, maize, beans, diverse Andean root crops; llama, alpaca</w:t>
            </w:r>
          </w:p>
        </w:tc>
        <w:tc>
          <w:tcPr>
            <w:tcW w:w="1832" w:type="dxa"/>
            <w:vAlign w:val="center"/>
          </w:tcPr>
          <w:p w14:paraId="2E0A9687"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Raised field systems, vertical ecology (</w:t>
            </w:r>
            <w:proofErr w:type="spellStart"/>
            <w:r w:rsidRPr="00326748">
              <w:rPr>
                <w:rFonts w:ascii="Times New Roman" w:eastAsia="Times New Roman" w:hAnsi="Times New Roman" w:cs="Times New Roman"/>
                <w:kern w:val="0"/>
                <w:sz w:val="24"/>
                <w:szCs w:val="24"/>
                <w:lang w:eastAsia="en-IN"/>
                <w14:ligatures w14:val="none"/>
              </w:rPr>
              <w:t>pisos</w:t>
            </w:r>
            <w:proofErr w:type="spellEnd"/>
            <w:r w:rsidRPr="00326748">
              <w:rPr>
                <w:rFonts w:ascii="Times New Roman" w:eastAsia="Times New Roman" w:hAnsi="Times New Roman" w:cs="Times New Roman"/>
                <w:kern w:val="0"/>
                <w:sz w:val="24"/>
                <w:szCs w:val="24"/>
                <w:lang w:eastAsia="en-IN"/>
                <w14:ligatures w14:val="none"/>
              </w:rPr>
              <w:t xml:space="preserve"> </w:t>
            </w:r>
            <w:proofErr w:type="spellStart"/>
            <w:r w:rsidRPr="00326748">
              <w:rPr>
                <w:rFonts w:ascii="Times New Roman" w:eastAsia="Times New Roman" w:hAnsi="Times New Roman" w:cs="Times New Roman"/>
                <w:kern w:val="0"/>
                <w:sz w:val="24"/>
                <w:szCs w:val="24"/>
                <w:lang w:eastAsia="en-IN"/>
                <w14:ligatures w14:val="none"/>
              </w:rPr>
              <w:t>ecológicos</w:t>
            </w:r>
            <w:proofErr w:type="spellEnd"/>
            <w:r w:rsidRPr="00326748">
              <w:rPr>
                <w:rFonts w:ascii="Times New Roman" w:eastAsia="Times New Roman" w:hAnsi="Times New Roman" w:cs="Times New Roman"/>
                <w:kern w:val="0"/>
                <w:sz w:val="24"/>
                <w:szCs w:val="24"/>
                <w:lang w:eastAsia="en-IN"/>
                <w14:ligatures w14:val="none"/>
              </w:rPr>
              <w:t>), diverse landraces</w:t>
            </w:r>
          </w:p>
        </w:tc>
        <w:tc>
          <w:tcPr>
            <w:tcW w:w="1772" w:type="dxa"/>
            <w:vAlign w:val="center"/>
          </w:tcPr>
          <w:p w14:paraId="673D82C5"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Subsistence and communal, growing export orientation</w:t>
            </w:r>
          </w:p>
        </w:tc>
        <w:tc>
          <w:tcPr>
            <w:tcW w:w="2163" w:type="dxa"/>
            <w:vAlign w:val="center"/>
          </w:tcPr>
          <w:p w14:paraId="3DCEB594"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Growing export market for quinoa and heritage potato varieties</w:t>
            </w:r>
          </w:p>
        </w:tc>
      </w:tr>
      <w:tr w:rsidR="00A122BB" w14:paraId="483FD606" w14:textId="77777777" w:rsidTr="00C83150">
        <w:tc>
          <w:tcPr>
            <w:tcW w:w="1719" w:type="dxa"/>
            <w:vAlign w:val="center"/>
          </w:tcPr>
          <w:p w14:paraId="58504E6B"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European Alps</w:t>
            </w:r>
          </w:p>
        </w:tc>
        <w:tc>
          <w:tcPr>
            <w:tcW w:w="1756" w:type="dxa"/>
            <w:vAlign w:val="center"/>
          </w:tcPr>
          <w:p w14:paraId="1BDD46E0"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Cereals, potatoes, fruit, forage crops; dairy cattle</w:t>
            </w:r>
          </w:p>
        </w:tc>
        <w:tc>
          <w:tcPr>
            <w:tcW w:w="1832" w:type="dxa"/>
            <w:vAlign w:val="center"/>
          </w:tcPr>
          <w:p w14:paraId="12F4B759"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Alpine transhumance, hay meadow systems, diverse grasslands</w:t>
            </w:r>
          </w:p>
        </w:tc>
        <w:tc>
          <w:tcPr>
            <w:tcW w:w="1772" w:type="dxa"/>
            <w:vAlign w:val="center"/>
          </w:tcPr>
          <w:p w14:paraId="512A9F1B"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 xml:space="preserve">Declining subsistence, shifting to </w:t>
            </w:r>
            <w:proofErr w:type="spellStart"/>
            <w:r w:rsidRPr="00326748">
              <w:rPr>
                <w:rFonts w:ascii="Times New Roman" w:eastAsia="Times New Roman" w:hAnsi="Times New Roman" w:cs="Times New Roman"/>
                <w:kern w:val="0"/>
                <w:sz w:val="24"/>
                <w:szCs w:val="24"/>
                <w:lang w:eastAsia="en-IN"/>
                <w14:ligatures w14:val="none"/>
              </w:rPr>
              <w:t>agro</w:t>
            </w:r>
            <w:proofErr w:type="spellEnd"/>
            <w:r w:rsidRPr="00326748">
              <w:rPr>
                <w:rFonts w:ascii="Times New Roman" w:eastAsia="Times New Roman" w:hAnsi="Times New Roman" w:cs="Times New Roman"/>
                <w:kern w:val="0"/>
                <w:sz w:val="24"/>
                <w:szCs w:val="24"/>
                <w:lang w:eastAsia="en-IN"/>
                <w14:ligatures w14:val="none"/>
              </w:rPr>
              <w:t>-tourism</w:t>
            </w:r>
          </w:p>
        </w:tc>
        <w:tc>
          <w:tcPr>
            <w:tcW w:w="2163" w:type="dxa"/>
            <w:vAlign w:val="center"/>
          </w:tcPr>
          <w:p w14:paraId="6B26BD7A"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Highly commercialised; traditional systems residually maintained</w:t>
            </w:r>
          </w:p>
        </w:tc>
      </w:tr>
      <w:tr w:rsidR="00A122BB" w14:paraId="6C736F89" w14:textId="77777777" w:rsidTr="00C83150">
        <w:tc>
          <w:tcPr>
            <w:tcW w:w="1719" w:type="dxa"/>
            <w:vAlign w:val="center"/>
          </w:tcPr>
          <w:p w14:paraId="540282D0"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Montane Sub-Saharan Africa</w:t>
            </w:r>
          </w:p>
        </w:tc>
        <w:tc>
          <w:tcPr>
            <w:tcW w:w="1756" w:type="dxa"/>
            <w:vAlign w:val="center"/>
          </w:tcPr>
          <w:p w14:paraId="7F614F35"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 xml:space="preserve">Sorghum, millet, teff, yam, banana, </w:t>
            </w:r>
            <w:proofErr w:type="spellStart"/>
            <w:r w:rsidRPr="00326748">
              <w:rPr>
                <w:rFonts w:ascii="Times New Roman" w:eastAsia="Times New Roman" w:hAnsi="Times New Roman" w:cs="Times New Roman"/>
                <w:kern w:val="0"/>
                <w:sz w:val="24"/>
                <w:szCs w:val="24"/>
                <w:lang w:eastAsia="en-IN"/>
                <w14:ligatures w14:val="none"/>
              </w:rPr>
              <w:t>enset</w:t>
            </w:r>
            <w:proofErr w:type="spellEnd"/>
            <w:r w:rsidRPr="00326748">
              <w:rPr>
                <w:rFonts w:ascii="Times New Roman" w:eastAsia="Times New Roman" w:hAnsi="Times New Roman" w:cs="Times New Roman"/>
                <w:kern w:val="0"/>
                <w:sz w:val="24"/>
                <w:szCs w:val="24"/>
                <w:lang w:eastAsia="en-IN"/>
                <w14:ligatures w14:val="none"/>
              </w:rPr>
              <w:t>; small ruminants</w:t>
            </w:r>
          </w:p>
        </w:tc>
        <w:tc>
          <w:tcPr>
            <w:tcW w:w="1832" w:type="dxa"/>
            <w:vAlign w:val="center"/>
          </w:tcPr>
          <w:p w14:paraId="5328A8CD"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 xml:space="preserve">Intercropping, </w:t>
            </w:r>
            <w:proofErr w:type="spellStart"/>
            <w:r w:rsidRPr="00326748">
              <w:rPr>
                <w:rFonts w:ascii="Times New Roman" w:eastAsia="Times New Roman" w:hAnsi="Times New Roman" w:cs="Times New Roman"/>
                <w:kern w:val="0"/>
                <w:sz w:val="24"/>
                <w:szCs w:val="24"/>
                <w:lang w:eastAsia="en-IN"/>
                <w14:ligatures w14:val="none"/>
              </w:rPr>
              <w:t>homegardens</w:t>
            </w:r>
            <w:proofErr w:type="spellEnd"/>
            <w:r w:rsidRPr="00326748">
              <w:rPr>
                <w:rFonts w:ascii="Times New Roman" w:eastAsia="Times New Roman" w:hAnsi="Times New Roman" w:cs="Times New Roman"/>
                <w:kern w:val="0"/>
                <w:sz w:val="24"/>
                <w:szCs w:val="24"/>
                <w:lang w:eastAsia="en-IN"/>
                <w14:ligatures w14:val="none"/>
              </w:rPr>
              <w:t>, communal water management</w:t>
            </w:r>
          </w:p>
        </w:tc>
        <w:tc>
          <w:tcPr>
            <w:tcW w:w="1772" w:type="dxa"/>
            <w:vAlign w:val="center"/>
          </w:tcPr>
          <w:p w14:paraId="59E0A6C0"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Subsistence, supplemented by market sales</w:t>
            </w:r>
          </w:p>
        </w:tc>
        <w:tc>
          <w:tcPr>
            <w:tcW w:w="2163" w:type="dxa"/>
            <w:vAlign w:val="center"/>
          </w:tcPr>
          <w:p w14:paraId="1A69EB45"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Uneven; significant variation by country, altitude, and crop</w:t>
            </w:r>
          </w:p>
        </w:tc>
      </w:tr>
    </w:tbl>
    <w:p w14:paraId="238AC0D3"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i/>
          <w:iCs/>
          <w:kern w:val="0"/>
          <w:sz w:val="24"/>
          <w:szCs w:val="24"/>
          <w:lang w:eastAsia="en-IN"/>
          <w14:ligatures w14:val="none"/>
        </w:rPr>
        <w:t>Sources: Körner et al. (2017); Wester et al. (2019); Zimmerer (2010); Rasul &amp; Hussain (2015); Adhikari et al. (2017); Schirpke et al. (2017)</w:t>
      </w:r>
    </w:p>
    <w:p w14:paraId="1D14216A"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The review of traditional farming characteristics reveals that despite significant regional variation in crop assemblages and livelihood strategies, mountain farming systems share a fundamentally agroecological character that is closely tied to place-specific ecological and </w:t>
      </w:r>
      <w:r w:rsidRPr="00326748">
        <w:rPr>
          <w:rFonts w:ascii="Times New Roman" w:eastAsia="Times New Roman" w:hAnsi="Times New Roman" w:cs="Times New Roman"/>
          <w:kern w:val="0"/>
          <w:sz w:val="24"/>
          <w:szCs w:val="24"/>
          <w:lang w:eastAsia="en-IN"/>
          <w14:ligatures w14:val="none"/>
        </w:rPr>
        <w:lastRenderedPageBreak/>
        <w:t>cultural knowledge. This character is precisely what is most vulnerable to disruption under commercialisation pressures—a theme developed in detail in subsequent sections.</w:t>
      </w:r>
    </w:p>
    <w:p w14:paraId="2852B348" w14:textId="77777777" w:rsidR="00326748" w:rsidRPr="00326748" w:rsidRDefault="00326748" w:rsidP="00F24A2A">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en-IN"/>
          <w14:ligatures w14:val="none"/>
        </w:rPr>
      </w:pPr>
      <w:r w:rsidRPr="00326748">
        <w:rPr>
          <w:rFonts w:ascii="Times New Roman" w:eastAsia="Times New Roman" w:hAnsi="Times New Roman" w:cs="Times New Roman"/>
          <w:b/>
          <w:bCs/>
          <w:kern w:val="0"/>
          <w:sz w:val="27"/>
          <w:szCs w:val="27"/>
          <w:lang w:eastAsia="en-IN"/>
          <w14:ligatures w14:val="none"/>
        </w:rPr>
        <w:t>4. Drivers and Dynamics of Agricultural Commercialisation in Mountain Areas</w:t>
      </w:r>
    </w:p>
    <w:p w14:paraId="07B4877C" w14:textId="77777777" w:rsidR="00326748" w:rsidRPr="00326748" w:rsidRDefault="00326748" w:rsidP="00F24A2A">
      <w:pPr>
        <w:spacing w:before="100" w:beforeAutospacing="1" w:after="100" w:afterAutospacing="1" w:line="240" w:lineRule="auto"/>
        <w:jc w:val="both"/>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4.1 Economic and Market Integration Drivers</w:t>
      </w:r>
    </w:p>
    <w:p w14:paraId="33BE479C"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The commercialisation of mountain agriculture is rarely a simple, linear transition driven by a single force. Rather, it emerges from the interaction of multiple economic, policy, and technological drivers operating at different spatial and temporal scales. At the household level, the primary economic driver is the aspiration to generate cash income sufficient to cover the costs of goods and services—education, healthcare, and manufactured goods—that are not produced within the farm system (Barrett, 2008). As infrastructure improvements reduce the transaction costs of market participation, previously isolated mountain communities gain both access to input markets and the ability to reach commodity markets, making specialisation increasingly viable and, from a short-term income perspective, attractive for risk-tolerant households.</w:t>
      </w:r>
    </w:p>
    <w:p w14:paraId="25CE01EB"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At the regional and global scale, the expansion of commodity value chains for high-value mountain products has created significant pull factors for commercialisation. The global quinoa boom of the 2000s and 2010s drew Andean highland farmers into international commodity markets with considerable speed; the rapid expansion of cardamom and ginger cultivation in the HKH region reflects similar dynamics (Wester et al., 2019; Rasul &amp; Hussain, 2015). In both cases, the initial price signals that incentivised adoption led to rapid crop specialisation and reductions in cropping system diversity, even as they generated income gains for early adopters. </w:t>
      </w:r>
      <w:r w:rsidR="00A122BB" w:rsidRPr="00A122BB">
        <w:rPr>
          <w:rFonts w:ascii="Times New Roman" w:eastAsia="Times New Roman" w:hAnsi="Times New Roman" w:cs="Times New Roman"/>
          <w:kern w:val="0"/>
          <w:sz w:val="24"/>
          <w:szCs w:val="24"/>
          <w:lang w:eastAsia="en-IN"/>
          <w14:ligatures w14:val="none"/>
        </w:rPr>
        <w:t>A qualitative study of cardamom commercialisation in eastern Nepal adds that farmers assessed the transition not only through income but also through locally defined reductions in hardship, showing why market incentives can be socially compelling even when they generate longer-term ecological and economic risks (Matthys et al., 2021).</w:t>
      </w:r>
      <w:r w:rsidR="00A122BB">
        <w:rPr>
          <w:rFonts w:ascii="Times New Roman" w:eastAsia="Times New Roman" w:hAnsi="Times New Roman" w:cs="Times New Roman"/>
          <w:kern w:val="0"/>
          <w:sz w:val="24"/>
          <w:szCs w:val="24"/>
          <w:lang w:eastAsia="en-IN"/>
          <w14:ligatures w14:val="none"/>
        </w:rPr>
        <w:t xml:space="preserve"> </w:t>
      </w:r>
      <w:r w:rsidRPr="00326748">
        <w:rPr>
          <w:rFonts w:ascii="Times New Roman" w:eastAsia="Times New Roman" w:hAnsi="Times New Roman" w:cs="Times New Roman"/>
          <w:kern w:val="0"/>
          <w:sz w:val="24"/>
          <w:szCs w:val="24"/>
          <w:lang w:eastAsia="en-IN"/>
          <w14:ligatures w14:val="none"/>
        </w:rPr>
        <w:t>The dynamics of commodity price volatility that became visible in the quinoa case as global supply expanded illustrate the risks embedded in deep market integration for farming communities that lack the institutional buffering mechanisms—commodity price insurance, diversified market channels, storage infrastructure—available to farmers in more institutionally developed agricultural economies (Carletto et al., 2017).</w:t>
      </w:r>
    </w:p>
    <w:p w14:paraId="6B2C4A78"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The relationship between market integration and smallholder welfare is not simply additive. Households that can successfully participate in markets are typically those with better endowment of productive assets, better connections to market intermediaries, and better access to the information necessary to navigate price risks (Fischer &amp; Qaim, 2012; Barrett, 2008). Households at the margins of market viability—often the poorest and most ecologically vulnerable—may encounter the costs of market integration (input expenditure, price volatility exposure, opportunity costs of subsistence crop displacement) without fully realising its benefits. This distributional asymmetry is well-documented in the smallholder agriculture literature and is particularly acute in mountain contexts where terrain-related transaction costs are high and social safety nets are limited.</w:t>
      </w:r>
    </w:p>
    <w:p w14:paraId="1D31BCFB" w14:textId="77777777" w:rsidR="00326748" w:rsidRPr="00326748" w:rsidRDefault="00326748" w:rsidP="00F24A2A">
      <w:pPr>
        <w:spacing w:before="100" w:beforeAutospacing="1" w:after="100" w:afterAutospacing="1" w:line="240" w:lineRule="auto"/>
        <w:jc w:val="both"/>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4.2 Policy, Institutional, and Technological Drivers</w:t>
      </w:r>
    </w:p>
    <w:p w14:paraId="182BA581"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lastRenderedPageBreak/>
        <w:t>Policy environments in many mountain countries have actively encouraged commercialisation as a development strategy, framing it as a route to poverty alleviation and agricultural modernisation. Government extension services have historically promoted improved seed varieties and fertiliser use, while agricultural credit systems have been designed to finance intensification rather than to support diverse traditional systems. The Green Revolution's limited penetration into most mountain areas reflected genuine constraints of its model—high-yielding varieties developed for lowland, irrigated conditions—but its successors, including hybrid seed programmes and the promotion of high-value horticulture, have found greater traction in mountain contexts where road networks and irrigation infrastructure have improved (Garnett et al., 2013; Lowder et al., 2016). Jodha (2000) observed that this policy orientation often overlooks the inherent logic of mountain farming systems, whose ecological integrity is treated as an inefficiency to be corrected rather than as an adaptive achievement to be built upon.</w:t>
      </w:r>
    </w:p>
    <w:p w14:paraId="5D7901CE"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Institutional innovations, including the development of producer cooperatives, geographical indication (GI) systems, and fair-trade certification schemes, have in some cases provided more structured pathways to market integration that attempt to preserve the quality attributes and producer bargaining power associated with traditional production systems (Fischer &amp; Qaim, 2012). The success of such schemes in mountain contexts has been mixed, however. Collective action organisations can improve smallholder access to markets, credit, and technical information, but they require favourable governance conditions and sustained external support to function effectively—conditions not consistently present in remote mountain areas with low population density and weak institutional infrastructure (Fischer &amp; Qaim, 2012).</w:t>
      </w:r>
    </w:p>
    <w:p w14:paraId="064721AB" w14:textId="77777777" w:rsidR="00326748" w:rsidRPr="00326748" w:rsidRDefault="00326748" w:rsidP="00F24A2A">
      <w:pPr>
        <w:spacing w:before="100" w:beforeAutospacing="1" w:after="100" w:afterAutospacing="1" w:line="240" w:lineRule="auto"/>
        <w:jc w:val="both"/>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4.3 Globalisation, Land Use Change, and Value Chain Integration</w:t>
      </w:r>
    </w:p>
    <w:p w14:paraId="71E34AD3"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The broader dynamics of global land use change provide an important contextual backdrop for understanding mountain agriculture commercialisation. Lambin and </w:t>
      </w:r>
      <w:proofErr w:type="spellStart"/>
      <w:r w:rsidRPr="00326748">
        <w:rPr>
          <w:rFonts w:ascii="Times New Roman" w:eastAsia="Times New Roman" w:hAnsi="Times New Roman" w:cs="Times New Roman"/>
          <w:kern w:val="0"/>
          <w:sz w:val="24"/>
          <w:szCs w:val="24"/>
          <w:lang w:eastAsia="en-IN"/>
          <w14:ligatures w14:val="none"/>
        </w:rPr>
        <w:t>Meyfroidt</w:t>
      </w:r>
      <w:proofErr w:type="spellEnd"/>
      <w:r w:rsidRPr="00326748">
        <w:rPr>
          <w:rFonts w:ascii="Times New Roman" w:eastAsia="Times New Roman" w:hAnsi="Times New Roman" w:cs="Times New Roman"/>
          <w:kern w:val="0"/>
          <w:sz w:val="24"/>
          <w:szCs w:val="24"/>
          <w:lang w:eastAsia="en-IN"/>
          <w14:ligatures w14:val="none"/>
        </w:rPr>
        <w:t xml:space="preserve"> (2011) documented how globalisation creates indirect land use pressures in distant regions by shifting production across landscapes in response to global demand signals, a mechanism they described as the "global land rush" effect. Mountain farming communities are not isolated from these dynamics: the expansion of export horticulture in montane East Africa, the conversion of traditionally managed pasture and forest landscapes in the Alps to intensive monocultures or, paradoxically, to complete agricultural abandonment, and the spread of commercial orchards into mixed farming landscapes in the Himalayas all reflect the deepening integration of mountain farmers into global agri-food systems (Lambin &amp; </w:t>
      </w:r>
      <w:proofErr w:type="spellStart"/>
      <w:r w:rsidRPr="00326748">
        <w:rPr>
          <w:rFonts w:ascii="Times New Roman" w:eastAsia="Times New Roman" w:hAnsi="Times New Roman" w:cs="Times New Roman"/>
          <w:kern w:val="0"/>
          <w:sz w:val="24"/>
          <w:szCs w:val="24"/>
          <w:lang w:eastAsia="en-IN"/>
          <w14:ligatures w14:val="none"/>
        </w:rPr>
        <w:t>Meyfroidt</w:t>
      </w:r>
      <w:proofErr w:type="spellEnd"/>
      <w:r w:rsidRPr="00326748">
        <w:rPr>
          <w:rFonts w:ascii="Times New Roman" w:eastAsia="Times New Roman" w:hAnsi="Times New Roman" w:cs="Times New Roman"/>
          <w:kern w:val="0"/>
          <w:sz w:val="24"/>
          <w:szCs w:val="24"/>
          <w:lang w:eastAsia="en-IN"/>
          <w14:ligatures w14:val="none"/>
        </w:rPr>
        <w:t>, 2011; Schirpke et al., 2017).</w:t>
      </w:r>
    </w:p>
    <w:p w14:paraId="37BA7936"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Verburg et al. (2015), in a comprehensive synthesis of land system science, emphasised that land use transitions of this kind are not merely local or regional phenomena but are embedded within Earth system dynamics that link agricultural land management to biodiversity change, hydrological cycles, and climate regulation at the planetary scale. For mountain areas, this systemic perspective is particularly relevant because the ecosystem services delivered by mountain farming landscapes—water regulation, biodiversity maintenance, carbon sequestration, cultural landscape heritage—are not confined to mountain communities but are shared with far larger downstream populations. The market integration of mountain farmers is thus embedded within a broader political ecology of uneven benefit distribution, in which the costs of ecological transition are borne locally while the benefits of cheap food and global commodity consumption are distributed globally.</w:t>
      </w:r>
    </w:p>
    <w:p w14:paraId="07C8F080"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lastRenderedPageBreak/>
        <w:t>Table 2 presents a typology of the principal drivers of commercialisation in mountain agriculture, distinguishing demand-side pull factors from supply-side push factors and the institutional enabling conditions that mediate between them. This typology illustrates that commercialisation is never simply an outcome of free market forces but is instead shaped by the interaction of deliberate policy choices, infrastructure investment, and the ecological conditions that determine which crops and production systems can achieve commercial viability in specific mountain contexts.</w:t>
      </w:r>
    </w:p>
    <w:p w14:paraId="42BF16D9" w14:textId="77777777" w:rsidR="00326748" w:rsidRDefault="00326748"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37DC4D16" w14:textId="77777777" w:rsidR="00BF64D0" w:rsidRDefault="00BF64D0"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19861F0F" w14:textId="77777777" w:rsidR="00BF64D0" w:rsidRDefault="00BF64D0"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496242AA" w14:textId="77777777" w:rsidR="00BF64D0" w:rsidRDefault="00BF64D0"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59A440C8" w14:textId="77777777" w:rsidR="00BF64D0" w:rsidRDefault="00BF64D0"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0D562E5F" w14:textId="77777777" w:rsidR="00BF64D0" w:rsidRPr="00326748" w:rsidRDefault="00BF64D0"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3E3DB3B3"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Table 2: Primary Drivers and Mechanisms of Commercialisation in Mountain Agriculture</w:t>
      </w:r>
    </w:p>
    <w:tbl>
      <w:tblPr>
        <w:tblStyle w:val="TableGrid"/>
        <w:tblW w:w="0" w:type="auto"/>
        <w:tblLook w:val="04A0" w:firstRow="1" w:lastRow="0" w:firstColumn="1" w:lastColumn="0" w:noHBand="0" w:noVBand="1"/>
      </w:tblPr>
      <w:tblGrid>
        <w:gridCol w:w="1719"/>
        <w:gridCol w:w="3351"/>
        <w:gridCol w:w="1310"/>
        <w:gridCol w:w="2659"/>
      </w:tblGrid>
      <w:tr w:rsidR="00A122BB" w14:paraId="1264401C" w14:textId="77777777" w:rsidTr="00C83150">
        <w:tc>
          <w:tcPr>
            <w:tcW w:w="1719" w:type="dxa"/>
            <w:vAlign w:val="center"/>
          </w:tcPr>
          <w:p w14:paraId="6023B4EA" w14:textId="77777777" w:rsidR="00A122BB" w:rsidRDefault="00A122BB" w:rsidP="00F24A2A">
            <w:pPr>
              <w:jc w:val="both"/>
            </w:pPr>
            <w:r w:rsidRPr="00326748">
              <w:rPr>
                <w:rFonts w:ascii="Times New Roman" w:eastAsia="Times New Roman" w:hAnsi="Times New Roman" w:cs="Times New Roman"/>
                <w:b/>
                <w:bCs/>
                <w:kern w:val="0"/>
                <w:sz w:val="24"/>
                <w:szCs w:val="24"/>
                <w:lang w:eastAsia="en-IN"/>
                <w14:ligatures w14:val="none"/>
              </w:rPr>
              <w:t>Driver Category</w:t>
            </w:r>
          </w:p>
        </w:tc>
        <w:tc>
          <w:tcPr>
            <w:tcW w:w="3351" w:type="dxa"/>
            <w:vAlign w:val="center"/>
          </w:tcPr>
          <w:p w14:paraId="54E05B82" w14:textId="77777777" w:rsidR="00A122BB" w:rsidRDefault="00A122BB" w:rsidP="00F24A2A">
            <w:pPr>
              <w:jc w:val="both"/>
            </w:pPr>
            <w:r w:rsidRPr="00326748">
              <w:rPr>
                <w:rFonts w:ascii="Times New Roman" w:eastAsia="Times New Roman" w:hAnsi="Times New Roman" w:cs="Times New Roman"/>
                <w:b/>
                <w:bCs/>
                <w:kern w:val="0"/>
                <w:sz w:val="24"/>
                <w:szCs w:val="24"/>
                <w:lang w:eastAsia="en-IN"/>
                <w14:ligatures w14:val="none"/>
              </w:rPr>
              <w:t>Specific Drivers</w:t>
            </w:r>
          </w:p>
        </w:tc>
        <w:tc>
          <w:tcPr>
            <w:tcW w:w="1310" w:type="dxa"/>
            <w:vAlign w:val="center"/>
          </w:tcPr>
          <w:p w14:paraId="3E2376A6" w14:textId="77777777" w:rsidR="00A122BB" w:rsidRDefault="00A122BB" w:rsidP="00F24A2A">
            <w:pPr>
              <w:jc w:val="both"/>
            </w:pPr>
            <w:r w:rsidRPr="00326748">
              <w:rPr>
                <w:rFonts w:ascii="Times New Roman" w:eastAsia="Times New Roman" w:hAnsi="Times New Roman" w:cs="Times New Roman"/>
                <w:b/>
                <w:bCs/>
                <w:kern w:val="0"/>
                <w:sz w:val="24"/>
                <w:szCs w:val="24"/>
                <w:lang w:eastAsia="en-IN"/>
                <w14:ligatures w14:val="none"/>
              </w:rPr>
              <w:t>Scale of Operation</w:t>
            </w:r>
          </w:p>
        </w:tc>
        <w:tc>
          <w:tcPr>
            <w:tcW w:w="2659" w:type="dxa"/>
            <w:vAlign w:val="center"/>
          </w:tcPr>
          <w:p w14:paraId="718B91C6" w14:textId="77777777" w:rsidR="00A122BB" w:rsidRDefault="00A122BB" w:rsidP="00F24A2A">
            <w:pPr>
              <w:jc w:val="both"/>
            </w:pPr>
            <w:r w:rsidRPr="00326748">
              <w:rPr>
                <w:rFonts w:ascii="Times New Roman" w:eastAsia="Times New Roman" w:hAnsi="Times New Roman" w:cs="Times New Roman"/>
                <w:b/>
                <w:bCs/>
                <w:kern w:val="0"/>
                <w:sz w:val="24"/>
                <w:szCs w:val="24"/>
                <w:lang w:eastAsia="en-IN"/>
                <w14:ligatures w14:val="none"/>
              </w:rPr>
              <w:t>Typical Outcomes</w:t>
            </w:r>
          </w:p>
        </w:tc>
      </w:tr>
      <w:tr w:rsidR="00A122BB" w14:paraId="5E08FE19" w14:textId="77777777" w:rsidTr="00C83150">
        <w:tc>
          <w:tcPr>
            <w:tcW w:w="1719" w:type="dxa"/>
            <w:vAlign w:val="center"/>
          </w:tcPr>
          <w:p w14:paraId="2AFC2A4B"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Market demand</w:t>
            </w:r>
          </w:p>
        </w:tc>
        <w:tc>
          <w:tcPr>
            <w:tcW w:w="3351" w:type="dxa"/>
            <w:vAlign w:val="center"/>
          </w:tcPr>
          <w:p w14:paraId="26EF5AF6"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Global commodity prices; supermarket supply chain expansion; niche and heritage market growth</w:t>
            </w:r>
          </w:p>
        </w:tc>
        <w:tc>
          <w:tcPr>
            <w:tcW w:w="1310" w:type="dxa"/>
            <w:vAlign w:val="center"/>
          </w:tcPr>
          <w:p w14:paraId="47814F6E"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Global to regional</w:t>
            </w:r>
          </w:p>
        </w:tc>
        <w:tc>
          <w:tcPr>
            <w:tcW w:w="2659" w:type="dxa"/>
            <w:vAlign w:val="center"/>
          </w:tcPr>
          <w:p w14:paraId="46D1146A"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Crop specialisation; income gains for early adopters; price volatility exposure</w:t>
            </w:r>
          </w:p>
        </w:tc>
      </w:tr>
      <w:tr w:rsidR="00A122BB" w14:paraId="6174CC34" w14:textId="77777777" w:rsidTr="00C83150">
        <w:tc>
          <w:tcPr>
            <w:tcW w:w="1719" w:type="dxa"/>
            <w:vAlign w:val="center"/>
          </w:tcPr>
          <w:p w14:paraId="1A08EBE3"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Infrastructure</w:t>
            </w:r>
          </w:p>
        </w:tc>
        <w:tc>
          <w:tcPr>
            <w:tcW w:w="3351" w:type="dxa"/>
            <w:vAlign w:val="center"/>
          </w:tcPr>
          <w:p w14:paraId="634E1F08"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Road construction; electrification; cold chain development; mobile telephony and digital markets</w:t>
            </w:r>
          </w:p>
        </w:tc>
        <w:tc>
          <w:tcPr>
            <w:tcW w:w="1310" w:type="dxa"/>
            <w:vAlign w:val="center"/>
          </w:tcPr>
          <w:p w14:paraId="47095F41"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National to local</w:t>
            </w:r>
          </w:p>
        </w:tc>
        <w:tc>
          <w:tcPr>
            <w:tcW w:w="2659" w:type="dxa"/>
            <w:vAlign w:val="center"/>
          </w:tcPr>
          <w:p w14:paraId="4D98294A"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Reduced transaction costs; expanded market access; facilitation of out-migration</w:t>
            </w:r>
          </w:p>
        </w:tc>
      </w:tr>
      <w:tr w:rsidR="00A122BB" w14:paraId="357F5C07" w14:textId="77777777" w:rsidTr="00C83150">
        <w:tc>
          <w:tcPr>
            <w:tcW w:w="1719" w:type="dxa"/>
            <w:vAlign w:val="center"/>
          </w:tcPr>
          <w:p w14:paraId="58CADC4D"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Policy and institutional</w:t>
            </w:r>
          </w:p>
        </w:tc>
        <w:tc>
          <w:tcPr>
            <w:tcW w:w="3351" w:type="dxa"/>
            <w:vAlign w:val="center"/>
          </w:tcPr>
          <w:p w14:paraId="79726803"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Extension services promoting improved varieties; input subsidy programmes; collective action support; GI schemes</w:t>
            </w:r>
          </w:p>
        </w:tc>
        <w:tc>
          <w:tcPr>
            <w:tcW w:w="1310" w:type="dxa"/>
            <w:vAlign w:val="center"/>
          </w:tcPr>
          <w:p w14:paraId="350D2677"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National</w:t>
            </w:r>
          </w:p>
        </w:tc>
        <w:tc>
          <w:tcPr>
            <w:tcW w:w="2659" w:type="dxa"/>
            <w:vAlign w:val="center"/>
          </w:tcPr>
          <w:p w14:paraId="548961F2"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Shifts in crop portfolio; technology adoption; variable equity outcomes</w:t>
            </w:r>
          </w:p>
        </w:tc>
      </w:tr>
      <w:tr w:rsidR="00A122BB" w14:paraId="466DFB05" w14:textId="77777777" w:rsidTr="00C83150">
        <w:tc>
          <w:tcPr>
            <w:tcW w:w="1719" w:type="dxa"/>
            <w:vAlign w:val="center"/>
          </w:tcPr>
          <w:p w14:paraId="71FA4D95"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Technology</w:t>
            </w:r>
          </w:p>
        </w:tc>
        <w:tc>
          <w:tcPr>
            <w:tcW w:w="3351" w:type="dxa"/>
            <w:vAlign w:val="center"/>
          </w:tcPr>
          <w:p w14:paraId="2A7F538D"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Improved seed varieties; irrigation technology; mechanisation; digital market information systems</w:t>
            </w:r>
          </w:p>
        </w:tc>
        <w:tc>
          <w:tcPr>
            <w:tcW w:w="1310" w:type="dxa"/>
            <w:vAlign w:val="center"/>
          </w:tcPr>
          <w:p w14:paraId="71B51CF7"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Farm to regional</w:t>
            </w:r>
          </w:p>
        </w:tc>
        <w:tc>
          <w:tcPr>
            <w:tcW w:w="2659" w:type="dxa"/>
            <w:vAlign w:val="center"/>
          </w:tcPr>
          <w:p w14:paraId="4C251A47"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Productivity gains; input dependency; displacement of traditional varieties</w:t>
            </w:r>
          </w:p>
        </w:tc>
      </w:tr>
      <w:tr w:rsidR="00A122BB" w14:paraId="4BF17FC3" w14:textId="77777777" w:rsidTr="00C83150">
        <w:tc>
          <w:tcPr>
            <w:tcW w:w="1719" w:type="dxa"/>
            <w:vAlign w:val="center"/>
          </w:tcPr>
          <w:p w14:paraId="0443D7DF"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Social and demographic</w:t>
            </w:r>
          </w:p>
        </w:tc>
        <w:tc>
          <w:tcPr>
            <w:tcW w:w="3351" w:type="dxa"/>
            <w:vAlign w:val="center"/>
          </w:tcPr>
          <w:p w14:paraId="39BD2C73"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Rural-urban migration; rising income aspirations; ageing farm populations; remittance economies</w:t>
            </w:r>
          </w:p>
        </w:tc>
        <w:tc>
          <w:tcPr>
            <w:tcW w:w="1310" w:type="dxa"/>
            <w:vAlign w:val="center"/>
          </w:tcPr>
          <w:p w14:paraId="295F1896"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Household to community</w:t>
            </w:r>
          </w:p>
        </w:tc>
        <w:tc>
          <w:tcPr>
            <w:tcW w:w="2659" w:type="dxa"/>
            <w:vAlign w:val="center"/>
          </w:tcPr>
          <w:p w14:paraId="403F000B"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Labour reallocation; feminisation of farm management; land use intensification</w:t>
            </w:r>
          </w:p>
        </w:tc>
      </w:tr>
    </w:tbl>
    <w:p w14:paraId="0ABF268C" w14:textId="77777777" w:rsidR="00326748" w:rsidRPr="00326748" w:rsidRDefault="00326748" w:rsidP="00F24A2A">
      <w:pPr>
        <w:spacing w:after="0"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i/>
          <w:iCs/>
          <w:kern w:val="0"/>
          <w:sz w:val="24"/>
          <w:szCs w:val="24"/>
          <w:lang w:eastAsia="en-IN"/>
          <w14:ligatures w14:val="none"/>
        </w:rPr>
        <w:t xml:space="preserve">Sources: Barrett (2008); Fischer &amp; Qaim (2012); Lambin &amp; </w:t>
      </w:r>
      <w:proofErr w:type="spellStart"/>
      <w:r w:rsidRPr="00326748">
        <w:rPr>
          <w:rFonts w:ascii="Times New Roman" w:eastAsia="Times New Roman" w:hAnsi="Times New Roman" w:cs="Times New Roman"/>
          <w:i/>
          <w:iCs/>
          <w:kern w:val="0"/>
          <w:sz w:val="24"/>
          <w:szCs w:val="24"/>
          <w:lang w:eastAsia="en-IN"/>
          <w14:ligatures w14:val="none"/>
        </w:rPr>
        <w:t>Meyfroidt</w:t>
      </w:r>
      <w:proofErr w:type="spellEnd"/>
      <w:r w:rsidRPr="00326748">
        <w:rPr>
          <w:rFonts w:ascii="Times New Roman" w:eastAsia="Times New Roman" w:hAnsi="Times New Roman" w:cs="Times New Roman"/>
          <w:i/>
          <w:iCs/>
          <w:kern w:val="0"/>
          <w:sz w:val="24"/>
          <w:szCs w:val="24"/>
          <w:lang w:eastAsia="en-IN"/>
          <w14:ligatures w14:val="none"/>
        </w:rPr>
        <w:t xml:space="preserve"> (2011); Lowder et al. (2016); Wester et al. (2019); Verburg et al. (2015)</w:t>
      </w:r>
    </w:p>
    <w:p w14:paraId="62368001"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The typology in Table 2 underscores that commercialisation of mountain agriculture is not a single, uniform process but rather a heterogeneous set of transitions whose character and implications vary substantially depending on the mix of drivers present, the governance capacity of local institutions, and the ecological characteristics of the farming landscape. This heterogeneity complicates the formulation of universal policy prescriptions and underlines the importance of context-specific, multi-scalar analysis.</w:t>
      </w:r>
    </w:p>
    <w:p w14:paraId="5FD99A93" w14:textId="77777777" w:rsidR="00326748" w:rsidRPr="00326748" w:rsidRDefault="00326748" w:rsidP="00F24A2A">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en-IN"/>
          <w14:ligatures w14:val="none"/>
        </w:rPr>
      </w:pPr>
      <w:r w:rsidRPr="00326748">
        <w:rPr>
          <w:rFonts w:ascii="Times New Roman" w:eastAsia="Times New Roman" w:hAnsi="Times New Roman" w:cs="Times New Roman"/>
          <w:b/>
          <w:bCs/>
          <w:kern w:val="0"/>
          <w:sz w:val="27"/>
          <w:szCs w:val="27"/>
          <w:lang w:eastAsia="en-IN"/>
          <w14:ligatures w14:val="none"/>
        </w:rPr>
        <w:lastRenderedPageBreak/>
        <w:t>5. Sustainability Implications of Commercialisation</w:t>
      </w:r>
    </w:p>
    <w:p w14:paraId="3A0BEF0A" w14:textId="77777777" w:rsidR="00326748" w:rsidRPr="00326748" w:rsidRDefault="00326748" w:rsidP="00F24A2A">
      <w:pPr>
        <w:spacing w:before="100" w:beforeAutospacing="1" w:after="100" w:afterAutospacing="1" w:line="240" w:lineRule="auto"/>
        <w:jc w:val="both"/>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5.1 Agrobiodiversity Loss and Genetic Erosion</w:t>
      </w:r>
    </w:p>
    <w:p w14:paraId="76DE3336"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The most extensively documented sustainability consequence of agricultural commercialisation in mountain areas is the loss of agrobiodiversity. As households shift from diversified subsistence production to specialised market-oriented crops, the incentive to maintain diverse collections of traditional varieties diminishes, and the informal seed systems that sustain this diversity begin to erode (Zimmerer, 2010; Garibaldi et al., 2017). Evidence from the HKH region documents significant reductions in the number of rice and wheat landraces grown by households participating in value chain programmes, with diversity loss being particularly acute in areas with good road access where high-yielding commercial varieties are readily available through extension systems (Adhikari et al., 2017; Wester et al., 2019). In the Andean highlands, the global quinoa boom—while bringing unprecedented income to many communities—was also accompanied by a reduction in the diversity of cultivated quinoa varieties and the marginalisation of other traditional Andean crops in households that had fully committed to market production (Zimmerer, 2010).</w:t>
      </w:r>
    </w:p>
    <w:p w14:paraId="455FA3FD"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The implications of this genetic erosion extend far beyond cultural heritage. Traditional varieties represent reservoirs of adaptive genetic material—alleles conferring tolerance to drought, flooding, disease, and pests—that may be of critical value as climate change alters growing conditions in ways that are only partially predictable (Garibaldi et al., 2017; Berkes et al., 2000). In situ conservation of this diversity, embedded in farmers' fields and maintained by farmers' knowledge and management decisions, is widely recognised as complementary and irreplaceable relative to ex situ conservation in gene banks, because it allows adaptive evolution to continue in interaction with local environmental conditions (Garibaldi et al., 2017; Bengtsson et al., 2005). The loss of in situ diversity therefore diminishes the long-term adaptive options available not only to mountain farming communities but to global food systems as a whole. </w:t>
      </w:r>
      <w:proofErr w:type="spellStart"/>
      <w:r w:rsidRPr="00326748">
        <w:rPr>
          <w:rFonts w:ascii="Times New Roman" w:eastAsia="Times New Roman" w:hAnsi="Times New Roman" w:cs="Times New Roman"/>
          <w:kern w:val="0"/>
          <w:sz w:val="24"/>
          <w:szCs w:val="24"/>
          <w:lang w:eastAsia="en-IN"/>
          <w14:ligatures w14:val="none"/>
        </w:rPr>
        <w:t>Rockström</w:t>
      </w:r>
      <w:proofErr w:type="spellEnd"/>
      <w:r w:rsidRPr="00326748">
        <w:rPr>
          <w:rFonts w:ascii="Times New Roman" w:eastAsia="Times New Roman" w:hAnsi="Times New Roman" w:cs="Times New Roman"/>
          <w:kern w:val="0"/>
          <w:sz w:val="24"/>
          <w:szCs w:val="24"/>
          <w:lang w:eastAsia="en-IN"/>
          <w14:ligatures w14:val="none"/>
        </w:rPr>
        <w:t xml:space="preserve"> et al. (2009) identified biosphere integrity—encompassing genetic and functional diversity—as one of the planetary boundaries most urgently threatened by current land use trajectories, and mountain agrobiodiversity loss is a concrete expression of this threat.</w:t>
      </w:r>
    </w:p>
    <w:p w14:paraId="0123070B" w14:textId="77777777" w:rsidR="00326748" w:rsidRPr="00326748" w:rsidRDefault="00326748" w:rsidP="00F24A2A">
      <w:pPr>
        <w:spacing w:before="100" w:beforeAutospacing="1" w:after="100" w:afterAutospacing="1" w:line="240" w:lineRule="auto"/>
        <w:jc w:val="both"/>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5.2 Soil Health, Water Resources, and Ecosystem Services</w:t>
      </w:r>
    </w:p>
    <w:p w14:paraId="37D1D437"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Commercialisation frequently drives agricultural intensification, understood here as the increase of inputs—chemical fertilisers, pesticides, water—per unit of land. In mountain contexts, intensification carries heightened risks relative to lowland systems because of the combination of steep slopes, shallow soils, limited organic matter inputs under conventional management, and the critical water regulation functions performed by mountain farming landscapes (Wester et al., 2019). The displacement of traditional soil conservation practices—terracing maintenance, organic matter recycling through composting and manuring, intercropping with nitrogen-fixing legumes—by monocultural commodity production has been associated with increased erosion rates, soil compaction, and fertility decline in documented case studies from the Himalayas and montane Africa (Thapa &amp; Paudel, 2002; Rasul &amp; Hussain, 2015). Thapa and Paudel (2002) demonstrated through comparative watershed analysis in Nepal that farmland degradation was significantly more severe in watersheds without coordinated external intervention to support traditional soil conservation practices, highlighting the institutional as well as technical dimensions of land degradation in mountain areas.</w:t>
      </w:r>
      <w:r w:rsidR="004D298C">
        <w:rPr>
          <w:rFonts w:ascii="Times New Roman" w:eastAsia="Times New Roman" w:hAnsi="Times New Roman" w:cs="Times New Roman"/>
          <w:kern w:val="0"/>
          <w:sz w:val="24"/>
          <w:szCs w:val="24"/>
          <w:lang w:eastAsia="en-IN"/>
          <w14:ligatures w14:val="none"/>
        </w:rPr>
        <w:t xml:space="preserve"> </w:t>
      </w:r>
      <w:r w:rsidR="004D298C" w:rsidRPr="004D298C">
        <w:rPr>
          <w:rFonts w:ascii="Times New Roman" w:eastAsia="Times New Roman" w:hAnsi="Times New Roman" w:cs="Times New Roman"/>
          <w:kern w:val="0"/>
          <w:sz w:val="24"/>
          <w:szCs w:val="24"/>
          <w:lang w:eastAsia="en-IN"/>
          <w14:ligatures w14:val="none"/>
        </w:rPr>
        <w:t xml:space="preserve">Recent evidence from the Sidama region of Ethiopia similarly </w:t>
      </w:r>
      <w:r w:rsidR="004D298C" w:rsidRPr="004D298C">
        <w:rPr>
          <w:rFonts w:ascii="Times New Roman" w:eastAsia="Times New Roman" w:hAnsi="Times New Roman" w:cs="Times New Roman"/>
          <w:kern w:val="0"/>
          <w:sz w:val="24"/>
          <w:szCs w:val="24"/>
          <w:lang w:eastAsia="en-IN"/>
          <w14:ligatures w14:val="none"/>
        </w:rPr>
        <w:lastRenderedPageBreak/>
        <w:t>shows that soil and water conservation practices—including agroforestry, crop rotation, mulching, and physical conservation measures—can improve soil fertility, enhance water availability, reduce erosion and flooding, and contribute to rural livelihood improvement, reinforcing the importance of institutional and technical support for conservation-based land management in fragile upland farming systems (Adugna, 2026).</w:t>
      </w:r>
    </w:p>
    <w:p w14:paraId="07C703B3"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Mountain ecosystems perform critical hydrological functions, including the regulation of stream flow, the maintenance of groundwater recharge, and the filtering of water that sustains downstream agricultural and urban systems (Immerzeel et al., 2020). Agricultural intensification that increases surface runoff, reduces soil infiltration capacity, or shifts land use from perennial cover crops to annual monocultures can measurably alter these functions. In the European Alps, the replacement of traditionally managed hay meadows by intensively managed permanent pastures or high-value horticultural production has been shown to reduce the diversity of plant communities and alter soil water regulation properties (Schirpke et al., 2017). </w:t>
      </w:r>
      <w:r w:rsidR="00A122BB" w:rsidRPr="00A122BB">
        <w:rPr>
          <w:rFonts w:ascii="Times New Roman" w:eastAsia="Times New Roman" w:hAnsi="Times New Roman" w:cs="Times New Roman"/>
          <w:kern w:val="0"/>
          <w:sz w:val="24"/>
          <w:szCs w:val="24"/>
          <w:lang w:eastAsia="en-IN"/>
          <w14:ligatures w14:val="none"/>
        </w:rPr>
        <w:t>Recent modelling in the Austrian alpine Eisenwurzen region further demonstrates that agroforestry can raise carbon sequestration but may reduce biomass harvest, underscoring that sustainable mountain land use requires explicit assessment of trade-offs among provisioning, regulating, and cultural ecosystem services (Bertsch-Hoermann et al., 2021).</w:t>
      </w:r>
      <w:r w:rsidR="00A122BB">
        <w:rPr>
          <w:rFonts w:ascii="Times New Roman" w:eastAsia="Times New Roman" w:hAnsi="Times New Roman" w:cs="Times New Roman"/>
          <w:kern w:val="0"/>
          <w:sz w:val="24"/>
          <w:szCs w:val="24"/>
          <w:lang w:eastAsia="en-IN"/>
          <w14:ligatures w14:val="none"/>
        </w:rPr>
        <w:t xml:space="preserve"> </w:t>
      </w:r>
      <w:r w:rsidRPr="00326748">
        <w:rPr>
          <w:rFonts w:ascii="Times New Roman" w:eastAsia="Times New Roman" w:hAnsi="Times New Roman" w:cs="Times New Roman"/>
          <w:kern w:val="0"/>
          <w:sz w:val="24"/>
          <w:szCs w:val="24"/>
          <w:lang w:eastAsia="en-IN"/>
          <w14:ligatures w14:val="none"/>
        </w:rPr>
        <w:t>Schirpke et al. (2017) projected future land-use and climate trajectories for Alpine grassland ecosystems and found that intensification consistently reduced the provision of regulating ecosystem services—water purification, erosion control, carbon sequestration—even under scenarios where productivity gains were realised. These ecosystem service trade-offs are typically not captured in market prices or reflected in policy frameworks, creating a systematic undervaluation of the ecological functions embedded in traditional mountain farming landscapes (Verburg et al., 2015).</w:t>
      </w:r>
    </w:p>
    <w:p w14:paraId="78E58E11" w14:textId="77777777" w:rsidR="00326748" w:rsidRPr="00326748" w:rsidRDefault="00326748" w:rsidP="00F24A2A">
      <w:pPr>
        <w:spacing w:before="100" w:beforeAutospacing="1" w:after="100" w:afterAutospacing="1" w:line="240" w:lineRule="auto"/>
        <w:jc w:val="both"/>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5.3 Climate Change Vulnerability and Sustainability Challenges</w:t>
      </w:r>
    </w:p>
    <w:p w14:paraId="19880A2E"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The intersection of commercialisation and climate change vulnerability creates particularly acute sustainability challenges for mountain farming systems. Mountain areas are among the environments most sensitive to climate change: glacial retreat, alterations in precipitation patterns and timing, increased frequency of extreme weather events, and upward migration of thermal zones are all reshaping the </w:t>
      </w:r>
      <w:proofErr w:type="spellStart"/>
      <w:r w:rsidRPr="00326748">
        <w:rPr>
          <w:rFonts w:ascii="Times New Roman" w:eastAsia="Times New Roman" w:hAnsi="Times New Roman" w:cs="Times New Roman"/>
          <w:kern w:val="0"/>
          <w:sz w:val="24"/>
          <w:szCs w:val="24"/>
          <w:lang w:eastAsia="en-IN"/>
          <w14:ligatures w14:val="none"/>
        </w:rPr>
        <w:t>agro</w:t>
      </w:r>
      <w:proofErr w:type="spellEnd"/>
      <w:r w:rsidRPr="00326748">
        <w:rPr>
          <w:rFonts w:ascii="Times New Roman" w:eastAsia="Times New Roman" w:hAnsi="Times New Roman" w:cs="Times New Roman"/>
          <w:kern w:val="0"/>
          <w:sz w:val="24"/>
          <w:szCs w:val="24"/>
          <w:lang w:eastAsia="en-IN"/>
          <w14:ligatures w14:val="none"/>
        </w:rPr>
        <w:t xml:space="preserve">-ecological conditions within which mountain farmers operate (IPCC, 2019; IPCC, 2022). </w:t>
      </w:r>
      <w:r w:rsidR="00A122BB" w:rsidRPr="00A122BB">
        <w:rPr>
          <w:rFonts w:ascii="Times New Roman" w:eastAsia="Times New Roman" w:hAnsi="Times New Roman" w:cs="Times New Roman"/>
          <w:kern w:val="0"/>
          <w:sz w:val="24"/>
          <w:szCs w:val="24"/>
          <w:lang w:eastAsia="en-IN"/>
          <w14:ligatures w14:val="none"/>
        </w:rPr>
        <w:t>A recent Himalayan synthesis likewise warns that rapid warming in the Hindu Kush-Himalayan region threatens biodiversity, ecosystem functioning, and ecosystem services, and it proposes resilience-oriented monitoring and management as a practical response (Kattel, 2022).</w:t>
      </w:r>
      <w:r w:rsidR="00A122BB">
        <w:rPr>
          <w:rFonts w:ascii="Times New Roman" w:eastAsia="Times New Roman" w:hAnsi="Times New Roman" w:cs="Times New Roman"/>
          <w:kern w:val="0"/>
          <w:sz w:val="24"/>
          <w:szCs w:val="24"/>
          <w:lang w:eastAsia="en-IN"/>
          <w14:ligatures w14:val="none"/>
        </w:rPr>
        <w:t xml:space="preserve"> </w:t>
      </w:r>
      <w:r w:rsidRPr="00326748">
        <w:rPr>
          <w:rFonts w:ascii="Times New Roman" w:eastAsia="Times New Roman" w:hAnsi="Times New Roman" w:cs="Times New Roman"/>
          <w:kern w:val="0"/>
          <w:sz w:val="24"/>
          <w:szCs w:val="24"/>
          <w:lang w:eastAsia="en-IN"/>
          <w14:ligatures w14:val="none"/>
        </w:rPr>
        <w:t>The IPCC (2022) Sixth Assessment Report confirmed with high confidence that climate risks for mountain ecosystems are severe, with cascading impacts on water availability, biodiversity, and agricultural productivity that will affect both mountain and lowland populations.</w:t>
      </w:r>
    </w:p>
    <w:p w14:paraId="12FB3EAF"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Specialised commercial farming systems are generally less resilient to climate variability than diversified traditional systems, primarily because they rely on fewer crop species, are more dependent on external inputs whose supply chains can be disrupted by climatic or economic shocks, and lack the built-in redundancy of diverse cropping systems that allows partial failure to be absorbed without systemic collapse (Lin, 2011; Altieri et al., 2015). The promotion of improved varieties adapted to current temperature and precipitation regimes, while useful in stable climatic conditions, represents a potential vulnerability if rapid climate change renders those conditions obsolete within the productive lifespan of the variety adoption. Willett et al. (2019), in the landmark EAT–Lancet Commission report, argued that </w:t>
      </w:r>
      <w:r w:rsidRPr="00326748">
        <w:rPr>
          <w:rFonts w:ascii="Times New Roman" w:eastAsia="Times New Roman" w:hAnsi="Times New Roman" w:cs="Times New Roman"/>
          <w:kern w:val="0"/>
          <w:sz w:val="24"/>
          <w:szCs w:val="24"/>
          <w:lang w:eastAsia="en-IN"/>
          <w14:ligatures w14:val="none"/>
        </w:rPr>
        <w:lastRenderedPageBreak/>
        <w:t>food systems globally need to move towards diversification and reduced environmental impact simultaneously—a trajectory directly at odds with the specialisation pathway commonly promoted under commercialisation frameworks in mountain areas. The IPCC Special Report on Climate Change and Land (2019) similarly concluded that the maintenance of diverse agricultural systems is one of the most robust adaptation strategies available to smallholder farmers facing uncertain climate futures.</w:t>
      </w:r>
    </w:p>
    <w:p w14:paraId="4BA08D59"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Table 3 provides a structured overview of the key sustainability dimensions affected by commercialisation in mountain areas, with an assessment of the strength of the evidence base and the regions for which the most direct evidence is available.</w:t>
      </w:r>
    </w:p>
    <w:p w14:paraId="695B7E00" w14:textId="77777777" w:rsidR="00326748" w:rsidRDefault="00326748"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75FDAAB3" w14:textId="77777777" w:rsidR="00A122BB"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1F8A9A07" w14:textId="77777777" w:rsidR="00A122BB"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2343C1E8" w14:textId="77777777" w:rsidR="00A122BB"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7972A011" w14:textId="77777777" w:rsidR="00A122BB"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3D73B49F" w14:textId="77777777" w:rsidR="00A122BB"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1AE508C3" w14:textId="77777777" w:rsidR="00A122BB" w:rsidRPr="00326748"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5F8DE1E0"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Table 3: Sustainability Dimensions of Agricultural Commercialisation in Mountain Areas</w:t>
      </w:r>
    </w:p>
    <w:tbl>
      <w:tblPr>
        <w:tblStyle w:val="TableGrid"/>
        <w:tblW w:w="0" w:type="auto"/>
        <w:tblLook w:val="04A0" w:firstRow="1" w:lastRow="0" w:firstColumn="1" w:lastColumn="0" w:noHBand="0" w:noVBand="1"/>
      </w:tblPr>
      <w:tblGrid>
        <w:gridCol w:w="1856"/>
        <w:gridCol w:w="4001"/>
        <w:gridCol w:w="1309"/>
        <w:gridCol w:w="2076"/>
      </w:tblGrid>
      <w:tr w:rsidR="00A122BB" w14:paraId="0BF04E10" w14:textId="77777777" w:rsidTr="00C83150">
        <w:tc>
          <w:tcPr>
            <w:tcW w:w="1856" w:type="dxa"/>
            <w:vAlign w:val="center"/>
          </w:tcPr>
          <w:p w14:paraId="611F41B0" w14:textId="77777777" w:rsidR="00A122BB" w:rsidRDefault="00A122BB" w:rsidP="00F24A2A">
            <w:pPr>
              <w:jc w:val="both"/>
            </w:pPr>
            <w:r w:rsidRPr="00326748">
              <w:rPr>
                <w:rFonts w:ascii="Times New Roman" w:eastAsia="Times New Roman" w:hAnsi="Times New Roman" w:cs="Times New Roman"/>
                <w:b/>
                <w:bCs/>
                <w:kern w:val="0"/>
                <w:sz w:val="24"/>
                <w:szCs w:val="24"/>
                <w:lang w:eastAsia="en-IN"/>
                <w14:ligatures w14:val="none"/>
              </w:rPr>
              <w:t>Sustainability Dimension</w:t>
            </w:r>
          </w:p>
        </w:tc>
        <w:tc>
          <w:tcPr>
            <w:tcW w:w="4064" w:type="dxa"/>
            <w:vAlign w:val="center"/>
          </w:tcPr>
          <w:p w14:paraId="0727EBAF" w14:textId="77777777" w:rsidR="00A122BB" w:rsidRDefault="00A122BB" w:rsidP="00F24A2A">
            <w:pPr>
              <w:jc w:val="both"/>
            </w:pPr>
            <w:r w:rsidRPr="00326748">
              <w:rPr>
                <w:rFonts w:ascii="Times New Roman" w:eastAsia="Times New Roman" w:hAnsi="Times New Roman" w:cs="Times New Roman"/>
                <w:b/>
                <w:bCs/>
                <w:kern w:val="0"/>
                <w:sz w:val="24"/>
                <w:szCs w:val="24"/>
                <w:lang w:eastAsia="en-IN"/>
                <w14:ligatures w14:val="none"/>
              </w:rPr>
              <w:t>Nature of Impact</w:t>
            </w:r>
          </w:p>
        </w:tc>
        <w:tc>
          <w:tcPr>
            <w:tcW w:w="597" w:type="dxa"/>
            <w:vAlign w:val="center"/>
          </w:tcPr>
          <w:p w14:paraId="21895DE3" w14:textId="77777777" w:rsidR="00A122BB" w:rsidRDefault="00A122BB" w:rsidP="00F24A2A">
            <w:pPr>
              <w:jc w:val="both"/>
            </w:pPr>
            <w:r w:rsidRPr="00326748">
              <w:rPr>
                <w:rFonts w:ascii="Times New Roman" w:eastAsia="Times New Roman" w:hAnsi="Times New Roman" w:cs="Times New Roman"/>
                <w:b/>
                <w:bCs/>
                <w:kern w:val="0"/>
                <w:sz w:val="24"/>
                <w:szCs w:val="24"/>
                <w:lang w:eastAsia="en-IN"/>
                <w14:ligatures w14:val="none"/>
              </w:rPr>
              <w:t>Strength of Evidence</w:t>
            </w:r>
          </w:p>
        </w:tc>
        <w:tc>
          <w:tcPr>
            <w:tcW w:w="2096" w:type="dxa"/>
            <w:vAlign w:val="center"/>
          </w:tcPr>
          <w:p w14:paraId="2DE3819E" w14:textId="77777777" w:rsidR="00A122BB" w:rsidRDefault="00A122BB" w:rsidP="00F24A2A">
            <w:pPr>
              <w:jc w:val="both"/>
            </w:pPr>
            <w:r w:rsidRPr="00326748">
              <w:rPr>
                <w:rFonts w:ascii="Times New Roman" w:eastAsia="Times New Roman" w:hAnsi="Times New Roman" w:cs="Times New Roman"/>
                <w:b/>
                <w:bCs/>
                <w:kern w:val="0"/>
                <w:sz w:val="24"/>
                <w:szCs w:val="24"/>
                <w:lang w:eastAsia="en-IN"/>
                <w14:ligatures w14:val="none"/>
              </w:rPr>
              <w:t>Primary Regional Evidence</w:t>
            </w:r>
          </w:p>
        </w:tc>
      </w:tr>
      <w:tr w:rsidR="00A122BB" w14:paraId="5CBE312B" w14:textId="77777777" w:rsidTr="00C83150">
        <w:tc>
          <w:tcPr>
            <w:tcW w:w="1856" w:type="dxa"/>
            <w:vAlign w:val="center"/>
          </w:tcPr>
          <w:p w14:paraId="1CEF701D"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Agrobiodiversity</w:t>
            </w:r>
          </w:p>
        </w:tc>
        <w:tc>
          <w:tcPr>
            <w:tcW w:w="4064" w:type="dxa"/>
            <w:vAlign w:val="center"/>
          </w:tcPr>
          <w:p w14:paraId="28ACDA22"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Reduction in traditional variety cultivation; genetic erosion; informal seed system decline</w:t>
            </w:r>
          </w:p>
        </w:tc>
        <w:tc>
          <w:tcPr>
            <w:tcW w:w="597" w:type="dxa"/>
            <w:vAlign w:val="center"/>
          </w:tcPr>
          <w:p w14:paraId="0A391CC7"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Strong</w:t>
            </w:r>
          </w:p>
        </w:tc>
        <w:tc>
          <w:tcPr>
            <w:tcW w:w="2096" w:type="dxa"/>
            <w:vAlign w:val="center"/>
          </w:tcPr>
          <w:p w14:paraId="4C11AA47"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HKH, Andes</w:t>
            </w:r>
          </w:p>
        </w:tc>
      </w:tr>
      <w:tr w:rsidR="00A122BB" w14:paraId="3D3B650A" w14:textId="77777777" w:rsidTr="00C83150">
        <w:tc>
          <w:tcPr>
            <w:tcW w:w="1856" w:type="dxa"/>
            <w:vAlign w:val="center"/>
          </w:tcPr>
          <w:p w14:paraId="0771347D"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Soil health</w:t>
            </w:r>
          </w:p>
        </w:tc>
        <w:tc>
          <w:tcPr>
            <w:tcW w:w="4064" w:type="dxa"/>
            <w:vAlign w:val="center"/>
          </w:tcPr>
          <w:p w14:paraId="1CF7482C"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Erosion rate increase; organic matter decline; fertility loss under monoculture intensification</w:t>
            </w:r>
          </w:p>
        </w:tc>
        <w:tc>
          <w:tcPr>
            <w:tcW w:w="597" w:type="dxa"/>
            <w:vAlign w:val="center"/>
          </w:tcPr>
          <w:p w14:paraId="559892A1"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Moderate–Strong</w:t>
            </w:r>
          </w:p>
        </w:tc>
        <w:tc>
          <w:tcPr>
            <w:tcW w:w="2096" w:type="dxa"/>
            <w:vAlign w:val="center"/>
          </w:tcPr>
          <w:p w14:paraId="593E11BD"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Himalayas, Montane Africa</w:t>
            </w:r>
          </w:p>
        </w:tc>
      </w:tr>
      <w:tr w:rsidR="00A122BB" w14:paraId="058C101A" w14:textId="77777777" w:rsidTr="00C83150">
        <w:tc>
          <w:tcPr>
            <w:tcW w:w="1856" w:type="dxa"/>
            <w:vAlign w:val="center"/>
          </w:tcPr>
          <w:p w14:paraId="2AA00142"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Water regulation</w:t>
            </w:r>
          </w:p>
        </w:tc>
        <w:tc>
          <w:tcPr>
            <w:tcW w:w="4064" w:type="dxa"/>
            <w:vAlign w:val="center"/>
          </w:tcPr>
          <w:p w14:paraId="575D0589"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Reduced infiltration capacity; altered stream flows; downstream hydrological impacts</w:t>
            </w:r>
          </w:p>
        </w:tc>
        <w:tc>
          <w:tcPr>
            <w:tcW w:w="597" w:type="dxa"/>
            <w:vAlign w:val="center"/>
          </w:tcPr>
          <w:p w14:paraId="26AA3A54"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Moderate</w:t>
            </w:r>
          </w:p>
        </w:tc>
        <w:tc>
          <w:tcPr>
            <w:tcW w:w="2096" w:type="dxa"/>
            <w:vAlign w:val="center"/>
          </w:tcPr>
          <w:p w14:paraId="6B8C6F05"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Alps, HKH</w:t>
            </w:r>
          </w:p>
        </w:tc>
      </w:tr>
      <w:tr w:rsidR="00A122BB" w14:paraId="08D30B49" w14:textId="77777777" w:rsidTr="00C83150">
        <w:tc>
          <w:tcPr>
            <w:tcW w:w="1856" w:type="dxa"/>
            <w:vAlign w:val="center"/>
          </w:tcPr>
          <w:p w14:paraId="69525D88"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Ecosystem services</w:t>
            </w:r>
          </w:p>
        </w:tc>
        <w:tc>
          <w:tcPr>
            <w:tcW w:w="4064" w:type="dxa"/>
            <w:vAlign w:val="center"/>
          </w:tcPr>
          <w:p w14:paraId="17DB0B11"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Trade-offs between agricultural productivity and biodiversity, water regulation, and carbon storage</w:t>
            </w:r>
          </w:p>
        </w:tc>
        <w:tc>
          <w:tcPr>
            <w:tcW w:w="597" w:type="dxa"/>
            <w:vAlign w:val="center"/>
          </w:tcPr>
          <w:p w14:paraId="49444ACA"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Moderate</w:t>
            </w:r>
          </w:p>
        </w:tc>
        <w:tc>
          <w:tcPr>
            <w:tcW w:w="2096" w:type="dxa"/>
            <w:vAlign w:val="center"/>
          </w:tcPr>
          <w:p w14:paraId="5BF60963"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Alps, Andes, HKH</w:t>
            </w:r>
          </w:p>
        </w:tc>
      </w:tr>
      <w:tr w:rsidR="00A122BB" w14:paraId="7E4A47A5" w14:textId="77777777" w:rsidTr="00C83150">
        <w:tc>
          <w:tcPr>
            <w:tcW w:w="1856" w:type="dxa"/>
            <w:vAlign w:val="center"/>
          </w:tcPr>
          <w:p w14:paraId="2364ADB6"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Climate resilience</w:t>
            </w:r>
          </w:p>
        </w:tc>
        <w:tc>
          <w:tcPr>
            <w:tcW w:w="4064" w:type="dxa"/>
            <w:vAlign w:val="center"/>
          </w:tcPr>
          <w:p w14:paraId="6868EFD0"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Increased vulnerability through specialisation, input dependency, and loss of diversity buffers</w:t>
            </w:r>
          </w:p>
        </w:tc>
        <w:tc>
          <w:tcPr>
            <w:tcW w:w="597" w:type="dxa"/>
            <w:vAlign w:val="center"/>
          </w:tcPr>
          <w:p w14:paraId="1CC4F075"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Strong (theoretical and growing empirical)</w:t>
            </w:r>
          </w:p>
        </w:tc>
        <w:tc>
          <w:tcPr>
            <w:tcW w:w="2096" w:type="dxa"/>
            <w:vAlign w:val="center"/>
          </w:tcPr>
          <w:p w14:paraId="4A496F93"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Global mountain regions</w:t>
            </w:r>
          </w:p>
        </w:tc>
      </w:tr>
      <w:tr w:rsidR="00A122BB" w14:paraId="4CC3F7B2" w14:textId="77777777" w:rsidTr="00C83150">
        <w:tc>
          <w:tcPr>
            <w:tcW w:w="1856" w:type="dxa"/>
            <w:vAlign w:val="center"/>
          </w:tcPr>
          <w:p w14:paraId="02AB7EB4"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Carbon sequestration</w:t>
            </w:r>
          </w:p>
        </w:tc>
        <w:tc>
          <w:tcPr>
            <w:tcW w:w="4064" w:type="dxa"/>
            <w:vAlign w:val="center"/>
          </w:tcPr>
          <w:p w14:paraId="08287950"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Potential decline from land use change, abandonment, and intensification under market pressure</w:t>
            </w:r>
          </w:p>
        </w:tc>
        <w:tc>
          <w:tcPr>
            <w:tcW w:w="597" w:type="dxa"/>
            <w:vAlign w:val="center"/>
          </w:tcPr>
          <w:p w14:paraId="13C2B534"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Moderate</w:t>
            </w:r>
          </w:p>
        </w:tc>
        <w:tc>
          <w:tcPr>
            <w:tcW w:w="2096" w:type="dxa"/>
            <w:vAlign w:val="center"/>
          </w:tcPr>
          <w:p w14:paraId="2FAE4CC5"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Alps, Andes</w:t>
            </w:r>
          </w:p>
        </w:tc>
      </w:tr>
    </w:tbl>
    <w:p w14:paraId="15024CDC" w14:textId="77777777" w:rsidR="00326748" w:rsidRPr="00326748" w:rsidRDefault="00326748" w:rsidP="00F24A2A">
      <w:pPr>
        <w:spacing w:after="0"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i/>
          <w:iCs/>
          <w:kern w:val="0"/>
          <w:sz w:val="24"/>
          <w:szCs w:val="24"/>
          <w:lang w:eastAsia="en-IN"/>
          <w14:ligatures w14:val="none"/>
        </w:rPr>
        <w:t xml:space="preserve">Sources: </w:t>
      </w:r>
      <w:r w:rsidR="004D298C" w:rsidRPr="004D298C">
        <w:rPr>
          <w:rFonts w:ascii="Times New Roman" w:eastAsia="Times New Roman" w:hAnsi="Times New Roman" w:cs="Times New Roman"/>
          <w:i/>
          <w:iCs/>
          <w:kern w:val="0"/>
          <w:sz w:val="24"/>
          <w:szCs w:val="24"/>
          <w:lang w:eastAsia="en-IN"/>
          <w14:ligatures w14:val="none"/>
        </w:rPr>
        <w:t>Adugna (2026)</w:t>
      </w:r>
      <w:r w:rsidR="004D298C">
        <w:rPr>
          <w:rFonts w:ascii="Times New Roman" w:eastAsia="Times New Roman" w:hAnsi="Times New Roman" w:cs="Times New Roman"/>
          <w:i/>
          <w:iCs/>
          <w:kern w:val="0"/>
          <w:sz w:val="24"/>
          <w:szCs w:val="24"/>
          <w:lang w:eastAsia="en-IN"/>
          <w14:ligatures w14:val="none"/>
        </w:rPr>
        <w:t xml:space="preserve">; </w:t>
      </w:r>
      <w:r w:rsidRPr="00326748">
        <w:rPr>
          <w:rFonts w:ascii="Times New Roman" w:eastAsia="Times New Roman" w:hAnsi="Times New Roman" w:cs="Times New Roman"/>
          <w:i/>
          <w:iCs/>
          <w:kern w:val="0"/>
          <w:sz w:val="24"/>
          <w:szCs w:val="24"/>
          <w:lang w:eastAsia="en-IN"/>
          <w14:ligatures w14:val="none"/>
        </w:rPr>
        <w:t xml:space="preserve">Zimmerer (2010); Garibaldi et al. (2017); Rasul &amp; Hussain (2015); Thapa &amp; Paudel (2002); Immerzeel et al. (2020); IPCC (2019); Schirpke et al. (2017); Lin (2011); </w:t>
      </w:r>
      <w:proofErr w:type="spellStart"/>
      <w:r w:rsidRPr="00326748">
        <w:rPr>
          <w:rFonts w:ascii="Times New Roman" w:eastAsia="Times New Roman" w:hAnsi="Times New Roman" w:cs="Times New Roman"/>
          <w:i/>
          <w:iCs/>
          <w:kern w:val="0"/>
          <w:sz w:val="24"/>
          <w:szCs w:val="24"/>
          <w:lang w:eastAsia="en-IN"/>
          <w14:ligatures w14:val="none"/>
        </w:rPr>
        <w:t>Rockström</w:t>
      </w:r>
      <w:proofErr w:type="spellEnd"/>
      <w:r w:rsidRPr="00326748">
        <w:rPr>
          <w:rFonts w:ascii="Times New Roman" w:eastAsia="Times New Roman" w:hAnsi="Times New Roman" w:cs="Times New Roman"/>
          <w:i/>
          <w:iCs/>
          <w:kern w:val="0"/>
          <w:sz w:val="24"/>
          <w:szCs w:val="24"/>
          <w:lang w:eastAsia="en-IN"/>
          <w14:ligatures w14:val="none"/>
        </w:rPr>
        <w:t xml:space="preserve"> et al. (2009)</w:t>
      </w:r>
      <w:r w:rsidR="006F268D">
        <w:rPr>
          <w:rFonts w:ascii="Times New Roman" w:eastAsia="Times New Roman" w:hAnsi="Times New Roman" w:cs="Times New Roman"/>
          <w:i/>
          <w:iCs/>
          <w:kern w:val="0"/>
          <w:sz w:val="24"/>
          <w:szCs w:val="24"/>
          <w:lang w:eastAsia="en-IN"/>
          <w14:ligatures w14:val="none"/>
        </w:rPr>
        <w:t xml:space="preserve">; </w:t>
      </w:r>
      <w:r w:rsidR="006F268D" w:rsidRPr="006F268D">
        <w:rPr>
          <w:rFonts w:ascii="Times New Roman" w:eastAsia="Times New Roman" w:hAnsi="Times New Roman" w:cs="Times New Roman"/>
          <w:i/>
          <w:iCs/>
          <w:kern w:val="0"/>
          <w:sz w:val="24"/>
          <w:szCs w:val="24"/>
          <w:lang w:eastAsia="en-IN"/>
          <w14:ligatures w14:val="none"/>
        </w:rPr>
        <w:t>Bertsch-Hoermann et al. (2021) and Kattel (2022)</w:t>
      </w:r>
    </w:p>
    <w:p w14:paraId="144B3FFC"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lastRenderedPageBreak/>
        <w:t>The evidence reviewed in this section indicates that the sustainability implications of commercialisation are predominantly negative in the short-to-medium term when commercialisation proceeds without adequate attention to ecological safeguards. The review also identifies examples where market integration has been coupled with governance innovations—payments for ecosystem services, certification schemes for sustainable production, and incentives for traditional variety maintenance—that have partially mitigated biodiversity and ecosystem service losses. These remain exceptional cases, however, and the dominant trajectory of mountain agricultural commercialisation continues to trade long-term ecological sustainability for short-term market gains.</w:t>
      </w:r>
    </w:p>
    <w:p w14:paraId="25E25288" w14:textId="77777777" w:rsidR="00326748" w:rsidRPr="00326748" w:rsidRDefault="00326748" w:rsidP="00F24A2A">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en-IN"/>
          <w14:ligatures w14:val="none"/>
        </w:rPr>
      </w:pPr>
      <w:r w:rsidRPr="00326748">
        <w:rPr>
          <w:rFonts w:ascii="Times New Roman" w:eastAsia="Times New Roman" w:hAnsi="Times New Roman" w:cs="Times New Roman"/>
          <w:b/>
          <w:bCs/>
          <w:kern w:val="0"/>
          <w:sz w:val="27"/>
          <w:szCs w:val="27"/>
          <w:lang w:eastAsia="en-IN"/>
          <w14:ligatures w14:val="none"/>
        </w:rPr>
        <w:t>6. Livelihood Implications</w:t>
      </w:r>
    </w:p>
    <w:p w14:paraId="7684F6C8" w14:textId="77777777" w:rsidR="00326748" w:rsidRPr="00326748" w:rsidRDefault="00326748" w:rsidP="00F24A2A">
      <w:pPr>
        <w:spacing w:before="100" w:beforeAutospacing="1" w:after="100" w:afterAutospacing="1" w:line="240" w:lineRule="auto"/>
        <w:jc w:val="both"/>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6.1 Income Diversification and Rural Transformation</w:t>
      </w:r>
    </w:p>
    <w:p w14:paraId="65FC4C84"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The relationship between agricultural commercialisation and rural livelihoods in mountain areas is genuinely ambivalent, and this ambivalence is reflected throughout the empirical literature. For many households, engagement with markets has provided income sufficient to invest in education, health, and productive assets that were previously unattainable under subsistence systems. Barrett (2008) documented that market participation is consistently associated with higher household incomes among smallholder farmers, a finding broadly consistent with evidence from mountain contexts. In the HKH region, the commercial cultivation of high-value crops—apples in Himachal Pradesh, cardamom in Sikkim and Nepal, saffron in Kashmir—has generated significant income gains for participating households, enabling some families to break out of subsistence poverty traps and invest in improved housing, education, and non-farm enterprise (Rasul &amp; Hussain, 2015; Wester et al., 2019).</w:t>
      </w:r>
      <w:r w:rsidR="00F83CBF">
        <w:rPr>
          <w:rFonts w:ascii="Times New Roman" w:eastAsia="Times New Roman" w:hAnsi="Times New Roman" w:cs="Times New Roman"/>
          <w:kern w:val="0"/>
          <w:sz w:val="24"/>
          <w:szCs w:val="24"/>
          <w:lang w:eastAsia="en-IN"/>
          <w14:ligatures w14:val="none"/>
        </w:rPr>
        <w:t xml:space="preserve"> </w:t>
      </w:r>
      <w:r w:rsidR="00F83CBF" w:rsidRPr="00F83CBF">
        <w:rPr>
          <w:rFonts w:ascii="Times New Roman" w:eastAsia="Times New Roman" w:hAnsi="Times New Roman" w:cs="Times New Roman"/>
          <w:kern w:val="0"/>
          <w:sz w:val="24"/>
          <w:szCs w:val="24"/>
          <w:lang w:eastAsia="en-IN"/>
          <w14:ligatures w14:val="none"/>
        </w:rPr>
        <w:t>Recent evidence from forest-adjacent villages in the Western Himalayas similarly indicates that agriculture remains central to household livelihood portfolios, but families combining farming with salaried employment, livestock ownership, and agroforestry report higher incomes, making diversification an important risk-buffering strategy in fragile rain-fed Himalayan systems (Rana et al., 2026).</w:t>
      </w:r>
    </w:p>
    <w:p w14:paraId="1B105985"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However, the distribution of these gains is highly uneven and often reproduces existing social inequalities. Households with better access to markets, better endowment of productive assets, and better connections to extension services and credit are consistently better positioned to benefit from commercialisation (Fischer &amp; Qaim, 2012). In many mountain contexts, improvements in road infrastructure that enable market access also facilitate rural-urban migration, drawing the most economically active and educated members of communities towards urban labour markets. This dynamic creates a paradox in which commercialisation simultaneously creates opportunities and accelerates the demographic decline of farming communities (Tiwari &amp; Joshi, 2015; Wester et al., 2019). The ageing of mountain farm populations across the Himalayas and parts of the Andes, combined with the labour demands of commercialised agriculture, is creating new vulnerabilities for the remaining farming population, including increased reliance on seasonal labour, reduced capacity to maintain labour-intensive traditional practices such as terrace repair, and a gradual erosion of the intergenerational knowledge transmission processes that sustain traditional farming cultures.</w:t>
      </w:r>
    </w:p>
    <w:p w14:paraId="5D46F691"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Tiwari and Joshi (2015) analysed the dynamics of climate change and rural out-migration in the Himalayan context and found that these two drivers are mutually reinforcing: climate-induced crop failures and productivity decline push households towards off-farm income, </w:t>
      </w:r>
      <w:r w:rsidRPr="00326748">
        <w:rPr>
          <w:rFonts w:ascii="Times New Roman" w:eastAsia="Times New Roman" w:hAnsi="Times New Roman" w:cs="Times New Roman"/>
          <w:kern w:val="0"/>
          <w:sz w:val="24"/>
          <w:szCs w:val="24"/>
          <w:lang w:eastAsia="en-IN"/>
          <w14:ligatures w14:val="none"/>
        </w:rPr>
        <w:lastRenderedPageBreak/>
        <w:t>while the absence of young adults from farming communities reduces the adaptive capacity of the agricultural system to respond to climate stress. This feedback dynamic is likely to intensify as both commercialisation and climate pressures deepen.</w:t>
      </w:r>
    </w:p>
    <w:p w14:paraId="066DFBCF" w14:textId="77777777" w:rsidR="00326748" w:rsidRPr="00326748" w:rsidRDefault="00326748" w:rsidP="00F24A2A">
      <w:pPr>
        <w:spacing w:before="100" w:beforeAutospacing="1" w:after="100" w:afterAutospacing="1" w:line="240" w:lineRule="auto"/>
        <w:jc w:val="both"/>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6.2 Food Security and Nutritional Outcomes</w:t>
      </w:r>
    </w:p>
    <w:p w14:paraId="4461F397"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The relationship between commercialisation and food security is one of the most debated questions in the rural development literature, and the mountain context adds additional complexity. In principle, commercialisation can improve food security by increasing household incomes that can be used to purchase food; it can also undermine food security when market integration leads to the displacement of diverse food crops by export commodities and when market price volatility disrupts access to purchased food (Carletto et al., 2017; </w:t>
      </w:r>
      <w:proofErr w:type="spellStart"/>
      <w:r w:rsidRPr="00326748">
        <w:rPr>
          <w:rFonts w:ascii="Times New Roman" w:eastAsia="Times New Roman" w:hAnsi="Times New Roman" w:cs="Times New Roman"/>
          <w:kern w:val="0"/>
          <w:sz w:val="24"/>
          <w:szCs w:val="24"/>
          <w:lang w:eastAsia="en-IN"/>
          <w14:ligatures w14:val="none"/>
        </w:rPr>
        <w:t>Sibhatu</w:t>
      </w:r>
      <w:proofErr w:type="spellEnd"/>
      <w:r w:rsidRPr="00326748">
        <w:rPr>
          <w:rFonts w:ascii="Times New Roman" w:eastAsia="Times New Roman" w:hAnsi="Times New Roman" w:cs="Times New Roman"/>
          <w:kern w:val="0"/>
          <w:sz w:val="24"/>
          <w:szCs w:val="24"/>
          <w:lang w:eastAsia="en-IN"/>
          <w14:ligatures w14:val="none"/>
        </w:rPr>
        <w:t xml:space="preserve"> et al., 2015). The empirical evidence suggests that both outcomes are possible, and that the net effect depends critically on the degree to which income gains from commercialisation compensate for the diversity losses in the farm system, and on the reliability of local food markets.</w:t>
      </w:r>
    </w:p>
    <w:p w14:paraId="7CCAB4F4"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proofErr w:type="spellStart"/>
      <w:r w:rsidRPr="00326748">
        <w:rPr>
          <w:rFonts w:ascii="Times New Roman" w:eastAsia="Times New Roman" w:hAnsi="Times New Roman" w:cs="Times New Roman"/>
          <w:kern w:val="0"/>
          <w:sz w:val="24"/>
          <w:szCs w:val="24"/>
          <w:lang w:eastAsia="en-IN"/>
          <w14:ligatures w14:val="none"/>
        </w:rPr>
        <w:t>Sibhatu</w:t>
      </w:r>
      <w:proofErr w:type="spellEnd"/>
      <w:r w:rsidRPr="00326748">
        <w:rPr>
          <w:rFonts w:ascii="Times New Roman" w:eastAsia="Times New Roman" w:hAnsi="Times New Roman" w:cs="Times New Roman"/>
          <w:kern w:val="0"/>
          <w:sz w:val="24"/>
          <w:szCs w:val="24"/>
          <w:lang w:eastAsia="en-IN"/>
          <w14:ligatures w14:val="none"/>
        </w:rPr>
        <w:t xml:space="preserve"> et al. (2015), in a comprehensive analysis of smallholder household data from Ethiopia, Indonesia, and Bolivia—three countries with significant mountain farming populations—found that farm production diversity is positively associated with dietary diversity, and that this association is strongest among households with lower levels of market integration. This finding suggests that the substitution of diverse subsistence production for specialised commercial production carries a meaningful nutritional risk, particularly for households whose incomes from commercialisation remain too low or too volatile to reliably purchase diverse foods from markets. In mountain areas where market access is seasonal, roads are disrupted by extreme weather, and agricultural incomes are inherently variable, the risk that commercialisation leads to nutritional decline is particularly acute (Willett et al., 2019; FAO et al., 2023). The FAO et al. (2023) State of Food Security and Nutrition report estimated that food insecurity remains severely elevated in many mountain-dependent economies, and that the transition from diverse subsistence production to commodity dependence is a contributing factor in the persistence of nutritional deficiencies among rural populations in Asia and Africa.</w:t>
      </w:r>
    </w:p>
    <w:p w14:paraId="078CF153" w14:textId="77777777" w:rsidR="00326748" w:rsidRPr="00326748" w:rsidRDefault="00326748" w:rsidP="00F24A2A">
      <w:pPr>
        <w:spacing w:before="100" w:beforeAutospacing="1" w:after="100" w:afterAutospacing="1" w:line="240" w:lineRule="auto"/>
        <w:jc w:val="both"/>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6.3 Gender Dimensions and Social Equity</w:t>
      </w:r>
    </w:p>
    <w:p w14:paraId="4512BA38"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Gender dynamics add a critical dimension of complexity to the livelihood implications of mountain agriculture commercialisation. Women are the primary managers of food crop production and seed systems in many mountain farming communities; they hold a disproportionate share of the traditional ecological knowledge associated with crop diversity and are primarily responsible for household food security management (Doss et al., 2018; FAO, 2011). When commercialisation shifts agricultural attention and investment towards market-oriented crops—which are typically managed primarily by men—women's roles in agriculture can be simultaneously intensified in terms of labour demands and marginalised in terms of decision-making authority and control over income.</w:t>
      </w:r>
      <w:r w:rsidR="00A122BB">
        <w:rPr>
          <w:rFonts w:ascii="Times New Roman" w:eastAsia="Times New Roman" w:hAnsi="Times New Roman" w:cs="Times New Roman"/>
          <w:kern w:val="0"/>
          <w:sz w:val="24"/>
          <w:szCs w:val="24"/>
          <w:lang w:eastAsia="en-IN"/>
          <w14:ligatures w14:val="none"/>
        </w:rPr>
        <w:t xml:space="preserve"> </w:t>
      </w:r>
      <w:r w:rsidR="00A122BB" w:rsidRPr="00A122BB">
        <w:rPr>
          <w:rFonts w:ascii="Times New Roman" w:eastAsia="Times New Roman" w:hAnsi="Times New Roman" w:cs="Times New Roman"/>
          <w:kern w:val="0"/>
          <w:sz w:val="24"/>
          <w:szCs w:val="24"/>
          <w:lang w:eastAsia="en-IN"/>
          <w14:ligatures w14:val="none"/>
        </w:rPr>
        <w:t>Recent comparative evidence from high-value agriculture in Nepal, Laos, and Rwanda shows that income and mobility gains from cash crops can remain precarious, although collective organisation may create durable capability gains for women in specific contexts (Matthys et al., 2024).</w:t>
      </w:r>
    </w:p>
    <w:p w14:paraId="7A7ED19A"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Evidence from sub-Saharan African highland contexts indicates that the cash income generated by commercial crops is more likely to be controlled by male household heads, </w:t>
      </w:r>
      <w:r w:rsidRPr="00326748">
        <w:rPr>
          <w:rFonts w:ascii="Times New Roman" w:eastAsia="Times New Roman" w:hAnsi="Times New Roman" w:cs="Times New Roman"/>
          <w:kern w:val="0"/>
          <w:sz w:val="24"/>
          <w:szCs w:val="24"/>
          <w:lang w:eastAsia="en-IN"/>
          <w14:ligatures w14:val="none"/>
        </w:rPr>
        <w:lastRenderedPageBreak/>
        <w:t>while women bear the costs of increased labour demands and the nutritional consequences of reduced food crop diversity (Doss et al., 2018; FAO, 2011). Doss et al. (2018) identified four persistent myths about women in agriculture—including the assumption that gender equality is automatically improved by market participation—and argued that meaningful improvement in women's agricultural outcomes requires explicit institutional intervention rather than reliance on trickle-down market benefits. In the Himalayan context, the feminisation of agriculture associated with male out-migration creates a different but equally precarious dynamic: women become de facto farm managers under conditions of labour scarcity, reduced social support, and resource constraint, without necessarily gaining formal decision-making authority over land, credit, or income (Wester et al., 2019; Tiwari &amp; Joshi, 2015). Across both contexts, the equity implications of commercialisation cannot be adequately assessed without explicit attention to gender-differentiated access to the resources, knowledge, and institutions that shape agricultural outcomes.</w:t>
      </w:r>
    </w:p>
    <w:p w14:paraId="6E3C0A49" w14:textId="77777777" w:rsidR="00326748" w:rsidRPr="00326748" w:rsidRDefault="00326748" w:rsidP="00F24A2A">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en-IN"/>
          <w14:ligatures w14:val="none"/>
        </w:rPr>
      </w:pPr>
      <w:r w:rsidRPr="00326748">
        <w:rPr>
          <w:rFonts w:ascii="Times New Roman" w:eastAsia="Times New Roman" w:hAnsi="Times New Roman" w:cs="Times New Roman"/>
          <w:b/>
          <w:bCs/>
          <w:kern w:val="0"/>
          <w:sz w:val="27"/>
          <w:szCs w:val="27"/>
          <w:lang w:eastAsia="en-IN"/>
          <w14:ligatures w14:val="none"/>
        </w:rPr>
        <w:t>7. Agroecological Resilience: Erosion and Pathways for Renewal</w:t>
      </w:r>
    </w:p>
    <w:p w14:paraId="106390C7" w14:textId="77777777" w:rsidR="00326748" w:rsidRPr="00326748" w:rsidRDefault="00326748" w:rsidP="00F24A2A">
      <w:pPr>
        <w:spacing w:before="100" w:beforeAutospacing="1" w:after="100" w:afterAutospacing="1" w:line="240" w:lineRule="auto"/>
        <w:jc w:val="both"/>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7.1 Resilience Frameworks in Mountain Agricultural Contexts</w:t>
      </w:r>
    </w:p>
    <w:p w14:paraId="56B5D851"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The concept of resilience provides a particularly productive analytical lens for examining mountain agricultural systems under commercialisation pressure. In the social-ecological systems tradition developed by Holling and subsequent scholars, resilience refers to the capacity of a system to absorb disturbance and reorganise while undergoing change so as to retain essentially the same function, structure, and identity (Walker et al., 2004; Folke, 2006). For agricultural systems, this framework highlights the importance of diversity, modularity, and adaptive capacity as structural properties that determine the system's ability to cope with novel stresses—whether climatic, economic, or biological (Biggs et al., 2012; Folke et al., 2010). Reyers et al. (2018) extended this framing by emphasising the role of social-ecological feedbacks in navigating transformations under the increasingly non-linear dynamics of the Anthropocene, a perspective that is directly relevant to mountain farming systems experiencing simultaneous climate, market, and demographic pressures.</w:t>
      </w:r>
    </w:p>
    <w:p w14:paraId="193873D8"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Mountain farming systems have historically exhibited high agroecological resilience by these criteria. Their diversity of crops, varieties, and management practices across altitude gradients creates redundancy and functional complementarity that buffers against individual crop failures. Their reliance on internal nutrient cycling and biological processes rather than external inputs reduces vulnerability to supply chain disruption. Their embeddedness in community governance institutions—water user associations, common property management regimes, communal seed systems—provides the collective action capacity necessary for maintaining shared resources that support the entire agricultural system (Berkes et al., 2000; Altieri et al., 2015). Commercialisation, as understood in this review, represents a set of transitions that can erode each of these resilience properties, often rapidly and in ways that are difficult to reverse once the institutional and ecological foundations of traditional management have been weakened.</w:t>
      </w:r>
    </w:p>
    <w:p w14:paraId="25C0E5D6" w14:textId="77777777" w:rsidR="00326748" w:rsidRPr="00326748" w:rsidRDefault="00326748" w:rsidP="00F24A2A">
      <w:pPr>
        <w:spacing w:before="100" w:beforeAutospacing="1" w:after="100" w:afterAutospacing="1" w:line="240" w:lineRule="auto"/>
        <w:jc w:val="both"/>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7.2 Threats to Agroecological Resilience from Commercialisation</w:t>
      </w:r>
    </w:p>
    <w:p w14:paraId="743DF757"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The threats to agroecological resilience from commercialisation operate through multiple interconnected pathways that are more clearly understood when examined in relation to the structural properties identified above. First, crop specialisation reduces the diversity and redundancy of the farming system, concentrating productive effort on a small number of </w:t>
      </w:r>
      <w:r w:rsidRPr="00326748">
        <w:rPr>
          <w:rFonts w:ascii="Times New Roman" w:eastAsia="Times New Roman" w:hAnsi="Times New Roman" w:cs="Times New Roman"/>
          <w:kern w:val="0"/>
          <w:sz w:val="24"/>
          <w:szCs w:val="24"/>
          <w:lang w:eastAsia="en-IN"/>
          <w14:ligatures w14:val="none"/>
        </w:rPr>
        <w:lastRenderedPageBreak/>
        <w:t>high-value crops optimised for current market preferences and climatic conditions but potentially ill-suited to future conditions (Lin, 2011; Altieri et al., 2015). The adoption of hybrid and improved varieties that offer higher yields under favourable conditions but are less well-suited to the stress conditions that characterise mountain environments—late frosts, hailstorms, irregular rainfall—is a concrete expression of this resilience reduction (Wester et al., 2019).</w:t>
      </w:r>
    </w:p>
    <w:p w14:paraId="0846B214"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Second, the adoption of purchased inputs creates dependency relationships with external supply chains that introduce new vulnerabilities into previously internally buffered systems. A disruption in fertiliser supply, a sharp price increase for agrichemicals, or a failure in market access during a period of crop failure can have devastating consequences for a specialised, input-dependent system in a way that would be far less severe for a diversified system capable of falling back on traditional practices (Garnett et al., 2013). Third, the erosion of traditional ecological knowledge—perhaps the least visible but potentially the most consequential threat—progressively reduces the community's capacity to interpret ecological signals, adapt management practices to novel conditions, and maintain the informal governance systems through which collective agricultural management is organised (Berkes et al., 2000; Adhikari et al., 2017). As younger generations orient towards market and urban opportunities, and as traditional practices lose social prestige relative to modern agricultural methods, this knowledge erodes at a pace that formal extension systems are poorly equipped to replace.</w:t>
      </w:r>
    </w:p>
    <w:p w14:paraId="1B2A6B48"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Fourth, the weakening of community institutions—common property management systems, communal seed banks, water user associations, and ceremonial practices associated with agricultural calendars—removes the governance infrastructure through which resilience is enacted collectively at scales beyond the individual household. Biggs et al. (2012) emphasised that the institutional capacity to manage shared resources and coordinate adaptive responses is a foundational component of ecosystem service resilience, and its erosion under commercialisation pressures represents a systemic weakening of the collective adaptive capacity of mountain farming communities that may not be immediately visible in household-level income data.</w:t>
      </w:r>
    </w:p>
    <w:p w14:paraId="45625D9B" w14:textId="77777777" w:rsidR="00326748" w:rsidRPr="00326748" w:rsidRDefault="00326748" w:rsidP="00F24A2A">
      <w:pPr>
        <w:spacing w:before="100" w:beforeAutospacing="1" w:after="100" w:afterAutospacing="1" w:line="240" w:lineRule="auto"/>
        <w:jc w:val="both"/>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7.3 Pathways Towards Agroecological Transition</w:t>
      </w:r>
    </w:p>
    <w:p w14:paraId="69ADE2D7"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Despite the predominantly negative implications for resilience documented in the preceding analysis, the literature also identifies pathways through which market integration and agroecological principles can be constructively combined. Agroecological approaches to farming system design offer a framework for intensification that maintains or enhances ecological complexity—through diversification, biological pest control, and integrated soil fertility management—while also improving productivity and market engagement (Wezel et al., 2009; Kerr et al., 2021). </w:t>
      </w:r>
      <w:r w:rsidR="00A122BB" w:rsidRPr="00A122BB">
        <w:rPr>
          <w:rFonts w:ascii="Times New Roman" w:eastAsia="Times New Roman" w:hAnsi="Times New Roman" w:cs="Times New Roman"/>
          <w:kern w:val="0"/>
          <w:sz w:val="24"/>
          <w:szCs w:val="24"/>
          <w:lang w:eastAsia="en-IN"/>
          <w14:ligatures w14:val="none"/>
        </w:rPr>
        <w:t>Evidence from central India shows that farms farther along an agroecological transition pathway displayed stronger social, natural, and physical capital and improved dietary diversity, suggesting that resilience gains may arise through multiple livelihood-capital channels rather than through yield effects alone (Thapa et al., 2026).</w:t>
      </w:r>
      <w:r w:rsidR="00A122BB">
        <w:rPr>
          <w:rFonts w:ascii="Times New Roman" w:eastAsia="Times New Roman" w:hAnsi="Times New Roman" w:cs="Times New Roman"/>
          <w:kern w:val="0"/>
          <w:sz w:val="24"/>
          <w:szCs w:val="24"/>
          <w:lang w:eastAsia="en-IN"/>
          <w14:ligatures w14:val="none"/>
        </w:rPr>
        <w:t xml:space="preserve"> </w:t>
      </w:r>
      <w:r w:rsidRPr="00326748">
        <w:rPr>
          <w:rFonts w:ascii="Times New Roman" w:eastAsia="Times New Roman" w:hAnsi="Times New Roman" w:cs="Times New Roman"/>
          <w:kern w:val="0"/>
          <w:sz w:val="24"/>
          <w:szCs w:val="24"/>
          <w:lang w:eastAsia="en-IN"/>
          <w14:ligatures w14:val="none"/>
        </w:rPr>
        <w:t>Kerr et al. (2021) reviewed evidence from multiple contexts and found that agroecological approaches consistently improve dietary diversity and nutritional outcomes relative to conventional intensification, with particular benefits for women and children. This body of evidence is directly relevant to the mountain context, where nutritional insecurity and gender inequity in food system outcomes are well-documented concerns.</w:t>
      </w:r>
    </w:p>
    <w:p w14:paraId="4EE442A6"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lastRenderedPageBreak/>
        <w:t>The concept of agroecological transition—moving from degraded or simplified systems towards more ecologically functional ones—requires attention not only to technical practices but also to the governance, market, and knowledge systems that either support or impede the transition (Wezel et al., 2009; Pretty et al., 2018). Pretty et al. (2018) assessed global evidence on agricultural system redesign for sustainable intensification and concluded that ecological approaches to productivity enhancement consistently outperform conventional intensification in marginal and resource-constrained environments—a conclusion with direct application to mountain farming areas. In mountain contexts specifically, the fostering of institutional environments that reward the maintenance of ecosystem services, support community-level agrobiodiversity conservation, and provide adequate economic returns to diverse production systems represents the most promising pathway towards a commercialisation model that does not require the sacrifice of ecological complexity for market competitiveness (Garibaldi et al., 2017; Biggs et al., 2012).</w:t>
      </w:r>
    </w:p>
    <w:p w14:paraId="25DDAD67"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Table 4 summarises the key dimensions of agroecological resilience in mountain farming systems and the specific threats posed to each dimension by commercialisation, together with potential mitigation approaches.</w:t>
      </w:r>
    </w:p>
    <w:p w14:paraId="44520CC1" w14:textId="77777777" w:rsidR="00326748" w:rsidRDefault="00326748"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1AC014C4" w14:textId="77777777" w:rsidR="00A122BB"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55E97613" w14:textId="77777777" w:rsidR="00A122BB"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78638CB1" w14:textId="77777777" w:rsidR="00A122BB"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1E1961AE" w14:textId="77777777" w:rsidR="00A122BB" w:rsidRPr="00326748"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4EC521F5"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Table 4: Dimensions of Agroecological Resilience in Mountain Farming Systems: Threats and Mitigations</w:t>
      </w:r>
    </w:p>
    <w:tbl>
      <w:tblPr>
        <w:tblStyle w:val="TableGrid"/>
        <w:tblW w:w="9464" w:type="dxa"/>
        <w:tblLook w:val="04A0" w:firstRow="1" w:lastRow="0" w:firstColumn="1" w:lastColumn="0" w:noHBand="0" w:noVBand="1"/>
      </w:tblPr>
      <w:tblGrid>
        <w:gridCol w:w="1526"/>
        <w:gridCol w:w="2551"/>
        <w:gridCol w:w="2694"/>
        <w:gridCol w:w="2693"/>
      </w:tblGrid>
      <w:tr w:rsidR="00A122BB" w14:paraId="59BD9F09" w14:textId="77777777" w:rsidTr="00C83150">
        <w:tc>
          <w:tcPr>
            <w:tcW w:w="1526" w:type="dxa"/>
            <w:vAlign w:val="center"/>
          </w:tcPr>
          <w:p w14:paraId="7BB4945C" w14:textId="77777777" w:rsidR="00A122BB" w:rsidRDefault="00A122BB" w:rsidP="00F24A2A">
            <w:pPr>
              <w:jc w:val="both"/>
            </w:pPr>
            <w:r w:rsidRPr="00326748">
              <w:rPr>
                <w:rFonts w:ascii="Times New Roman" w:eastAsia="Times New Roman" w:hAnsi="Times New Roman" w:cs="Times New Roman"/>
                <w:b/>
                <w:bCs/>
                <w:kern w:val="0"/>
                <w:sz w:val="24"/>
                <w:szCs w:val="24"/>
                <w:lang w:eastAsia="en-IN"/>
                <w14:ligatures w14:val="none"/>
              </w:rPr>
              <w:t>Resilience Dimension</w:t>
            </w:r>
          </w:p>
        </w:tc>
        <w:tc>
          <w:tcPr>
            <w:tcW w:w="2551" w:type="dxa"/>
            <w:vAlign w:val="center"/>
          </w:tcPr>
          <w:p w14:paraId="59AC7DE3" w14:textId="77777777" w:rsidR="00A122BB" w:rsidRDefault="00A122BB" w:rsidP="00F24A2A">
            <w:pPr>
              <w:jc w:val="both"/>
            </w:pPr>
            <w:r w:rsidRPr="00326748">
              <w:rPr>
                <w:rFonts w:ascii="Times New Roman" w:eastAsia="Times New Roman" w:hAnsi="Times New Roman" w:cs="Times New Roman"/>
                <w:b/>
                <w:bCs/>
                <w:kern w:val="0"/>
                <w:sz w:val="24"/>
                <w:szCs w:val="24"/>
                <w:lang w:eastAsia="en-IN"/>
                <w14:ligatures w14:val="none"/>
              </w:rPr>
              <w:t>Basis in Traditional Mountain Systems</w:t>
            </w:r>
          </w:p>
        </w:tc>
        <w:tc>
          <w:tcPr>
            <w:tcW w:w="2694" w:type="dxa"/>
            <w:vAlign w:val="center"/>
          </w:tcPr>
          <w:p w14:paraId="49666008" w14:textId="77777777" w:rsidR="00A122BB" w:rsidRDefault="00A122BB" w:rsidP="00F24A2A">
            <w:pPr>
              <w:jc w:val="both"/>
            </w:pPr>
            <w:r w:rsidRPr="00326748">
              <w:rPr>
                <w:rFonts w:ascii="Times New Roman" w:eastAsia="Times New Roman" w:hAnsi="Times New Roman" w:cs="Times New Roman"/>
                <w:b/>
                <w:bCs/>
                <w:kern w:val="0"/>
                <w:sz w:val="24"/>
                <w:szCs w:val="24"/>
                <w:lang w:eastAsia="en-IN"/>
                <w14:ligatures w14:val="none"/>
              </w:rPr>
              <w:t>Threat from Commercialisation</w:t>
            </w:r>
          </w:p>
        </w:tc>
        <w:tc>
          <w:tcPr>
            <w:tcW w:w="2693" w:type="dxa"/>
            <w:vAlign w:val="center"/>
          </w:tcPr>
          <w:p w14:paraId="777EE254" w14:textId="77777777" w:rsidR="00A122BB" w:rsidRDefault="00A122BB" w:rsidP="00F24A2A">
            <w:pPr>
              <w:jc w:val="both"/>
            </w:pPr>
            <w:r w:rsidRPr="00326748">
              <w:rPr>
                <w:rFonts w:ascii="Times New Roman" w:eastAsia="Times New Roman" w:hAnsi="Times New Roman" w:cs="Times New Roman"/>
                <w:b/>
                <w:bCs/>
                <w:kern w:val="0"/>
                <w:sz w:val="24"/>
                <w:szCs w:val="24"/>
                <w:lang w:eastAsia="en-IN"/>
                <w14:ligatures w14:val="none"/>
              </w:rPr>
              <w:t>Potential Mitigation Pathway</w:t>
            </w:r>
          </w:p>
        </w:tc>
      </w:tr>
      <w:tr w:rsidR="00A122BB" w14:paraId="5D2AD8CC" w14:textId="77777777" w:rsidTr="00C83150">
        <w:tc>
          <w:tcPr>
            <w:tcW w:w="1526" w:type="dxa"/>
            <w:vAlign w:val="center"/>
          </w:tcPr>
          <w:p w14:paraId="5A8AF31C"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Diversity</w:t>
            </w:r>
          </w:p>
        </w:tc>
        <w:tc>
          <w:tcPr>
            <w:tcW w:w="2551" w:type="dxa"/>
            <w:vAlign w:val="center"/>
          </w:tcPr>
          <w:p w14:paraId="1F9D6705"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Multi-crop, multi-variety systems across altitude gradients</w:t>
            </w:r>
          </w:p>
        </w:tc>
        <w:tc>
          <w:tcPr>
            <w:tcW w:w="2694" w:type="dxa"/>
            <w:vAlign w:val="center"/>
          </w:tcPr>
          <w:p w14:paraId="7485E93B"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Crop specialisation; variety replacement by commercial cultivars</w:t>
            </w:r>
          </w:p>
        </w:tc>
        <w:tc>
          <w:tcPr>
            <w:tcW w:w="2693" w:type="dxa"/>
            <w:vAlign w:val="center"/>
          </w:tcPr>
          <w:p w14:paraId="50516209"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On-farm diversity incentives; community seed banks</w:t>
            </w:r>
          </w:p>
        </w:tc>
      </w:tr>
      <w:tr w:rsidR="00A122BB" w14:paraId="2FF52D68" w14:textId="77777777" w:rsidTr="00C83150">
        <w:tc>
          <w:tcPr>
            <w:tcW w:w="1526" w:type="dxa"/>
            <w:vAlign w:val="center"/>
          </w:tcPr>
          <w:p w14:paraId="4FCBE8AB"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Redundancy</w:t>
            </w:r>
          </w:p>
        </w:tc>
        <w:tc>
          <w:tcPr>
            <w:tcW w:w="2551" w:type="dxa"/>
            <w:vAlign w:val="center"/>
          </w:tcPr>
          <w:p w14:paraId="5CA9CACD"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Multiple crops with overlapping ecological functions</w:t>
            </w:r>
          </w:p>
        </w:tc>
        <w:tc>
          <w:tcPr>
            <w:tcW w:w="2694" w:type="dxa"/>
            <w:vAlign w:val="center"/>
          </w:tcPr>
          <w:p w14:paraId="78D5FCC7"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Functional consolidation towards fewer species and varieties</w:t>
            </w:r>
          </w:p>
        </w:tc>
        <w:tc>
          <w:tcPr>
            <w:tcW w:w="2693" w:type="dxa"/>
            <w:vAlign w:val="center"/>
          </w:tcPr>
          <w:p w14:paraId="444F441F"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Intercropping promotion; landrace conservation payments</w:t>
            </w:r>
          </w:p>
        </w:tc>
      </w:tr>
      <w:tr w:rsidR="00A122BB" w14:paraId="1A79E914" w14:textId="77777777" w:rsidTr="00C83150">
        <w:tc>
          <w:tcPr>
            <w:tcW w:w="1526" w:type="dxa"/>
            <w:vAlign w:val="center"/>
          </w:tcPr>
          <w:p w14:paraId="6BDBC7F2"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Adaptability</w:t>
            </w:r>
          </w:p>
        </w:tc>
        <w:tc>
          <w:tcPr>
            <w:tcW w:w="2551" w:type="dxa"/>
            <w:vAlign w:val="center"/>
          </w:tcPr>
          <w:p w14:paraId="69926E98"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Traditional ecological knowledge and adaptive management practices</w:t>
            </w:r>
          </w:p>
        </w:tc>
        <w:tc>
          <w:tcPr>
            <w:tcW w:w="2694" w:type="dxa"/>
            <w:vAlign w:val="center"/>
          </w:tcPr>
          <w:p w14:paraId="31A9BBC6"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TEK erosion; knowledge discontinuity across generations</w:t>
            </w:r>
          </w:p>
        </w:tc>
        <w:tc>
          <w:tcPr>
            <w:tcW w:w="2693" w:type="dxa"/>
            <w:vAlign w:val="center"/>
          </w:tcPr>
          <w:p w14:paraId="57956CC0"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Participatory research; intergenerational knowledge transfer support</w:t>
            </w:r>
          </w:p>
        </w:tc>
      </w:tr>
      <w:tr w:rsidR="00A122BB" w14:paraId="5CF82F08" w14:textId="77777777" w:rsidTr="00C83150">
        <w:tc>
          <w:tcPr>
            <w:tcW w:w="1526" w:type="dxa"/>
            <w:vAlign w:val="center"/>
          </w:tcPr>
          <w:p w14:paraId="51EF6A3F"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Connectivity</w:t>
            </w:r>
          </w:p>
        </w:tc>
        <w:tc>
          <w:tcPr>
            <w:tcW w:w="2551" w:type="dxa"/>
            <w:vAlign w:val="center"/>
          </w:tcPr>
          <w:p w14:paraId="68CBE5C0"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Community seed exchange networks; common property institutions</w:t>
            </w:r>
          </w:p>
        </w:tc>
        <w:tc>
          <w:tcPr>
            <w:tcW w:w="2694" w:type="dxa"/>
            <w:vAlign w:val="center"/>
          </w:tcPr>
          <w:p w14:paraId="7139E20B"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Weakening of communal governance and collective action</w:t>
            </w:r>
          </w:p>
        </w:tc>
        <w:tc>
          <w:tcPr>
            <w:tcW w:w="2693" w:type="dxa"/>
            <w:vAlign w:val="center"/>
          </w:tcPr>
          <w:p w14:paraId="54A1C465"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Strengthening farmer organisations; legal recognition of TEK</w:t>
            </w:r>
          </w:p>
        </w:tc>
      </w:tr>
      <w:tr w:rsidR="00A122BB" w14:paraId="0F3788C9" w14:textId="77777777" w:rsidTr="00C83150">
        <w:tc>
          <w:tcPr>
            <w:tcW w:w="1526" w:type="dxa"/>
            <w:vAlign w:val="center"/>
          </w:tcPr>
          <w:p w14:paraId="383125AA"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Modularity</w:t>
            </w:r>
          </w:p>
        </w:tc>
        <w:tc>
          <w:tcPr>
            <w:tcW w:w="2551" w:type="dxa"/>
            <w:vAlign w:val="center"/>
          </w:tcPr>
          <w:p w14:paraId="507EC9D7"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Spatially distributed, heterogeneous landscape management</w:t>
            </w:r>
          </w:p>
        </w:tc>
        <w:tc>
          <w:tcPr>
            <w:tcW w:w="2694" w:type="dxa"/>
            <w:vAlign w:val="center"/>
          </w:tcPr>
          <w:p w14:paraId="2B122A34"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Homogenisation of landscape through specialised land use</w:t>
            </w:r>
          </w:p>
        </w:tc>
        <w:tc>
          <w:tcPr>
            <w:tcW w:w="2693" w:type="dxa"/>
            <w:vAlign w:val="center"/>
          </w:tcPr>
          <w:p w14:paraId="72E9D259"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Spatial planning for landscape diversity; </w:t>
            </w:r>
            <w:proofErr w:type="spellStart"/>
            <w:r w:rsidRPr="00326748">
              <w:rPr>
                <w:rFonts w:ascii="Times New Roman" w:eastAsia="Times New Roman" w:hAnsi="Times New Roman" w:cs="Times New Roman"/>
                <w:kern w:val="0"/>
                <w:sz w:val="24"/>
                <w:szCs w:val="24"/>
                <w:lang w:eastAsia="en-IN"/>
                <w14:ligatures w14:val="none"/>
              </w:rPr>
              <w:t>agri</w:t>
            </w:r>
            <w:proofErr w:type="spellEnd"/>
            <w:r w:rsidRPr="00326748">
              <w:rPr>
                <w:rFonts w:ascii="Times New Roman" w:eastAsia="Times New Roman" w:hAnsi="Times New Roman" w:cs="Times New Roman"/>
                <w:kern w:val="0"/>
                <w:sz w:val="24"/>
                <w:szCs w:val="24"/>
                <w:lang w:eastAsia="en-IN"/>
                <w14:ligatures w14:val="none"/>
              </w:rPr>
              <w:t>-environment schemes</w:t>
            </w:r>
          </w:p>
        </w:tc>
      </w:tr>
      <w:tr w:rsidR="00A122BB" w14:paraId="1A7F053C" w14:textId="77777777" w:rsidTr="00C83150">
        <w:tc>
          <w:tcPr>
            <w:tcW w:w="1526" w:type="dxa"/>
            <w:vAlign w:val="center"/>
          </w:tcPr>
          <w:p w14:paraId="60874296"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Resource efficiency</w:t>
            </w:r>
          </w:p>
        </w:tc>
        <w:tc>
          <w:tcPr>
            <w:tcW w:w="2551" w:type="dxa"/>
            <w:vAlign w:val="center"/>
          </w:tcPr>
          <w:p w14:paraId="40125DD7"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Closed nutrient cycles; biological fertility management</w:t>
            </w:r>
          </w:p>
        </w:tc>
        <w:tc>
          <w:tcPr>
            <w:tcW w:w="2694" w:type="dxa"/>
            <w:vAlign w:val="center"/>
          </w:tcPr>
          <w:p w14:paraId="1BA6E9C8"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Input dependency through intensification pathways</w:t>
            </w:r>
          </w:p>
        </w:tc>
        <w:tc>
          <w:tcPr>
            <w:tcW w:w="2693" w:type="dxa"/>
            <w:vAlign w:val="center"/>
          </w:tcPr>
          <w:p w14:paraId="6D636DFA"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Agroecological intensification; organic and ecological certification</w:t>
            </w:r>
          </w:p>
        </w:tc>
      </w:tr>
    </w:tbl>
    <w:p w14:paraId="15F89A8D" w14:textId="77777777" w:rsidR="00326748" w:rsidRPr="00326748" w:rsidRDefault="00326748" w:rsidP="00F24A2A">
      <w:pPr>
        <w:spacing w:after="0"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i/>
          <w:iCs/>
          <w:kern w:val="0"/>
          <w:sz w:val="24"/>
          <w:szCs w:val="24"/>
          <w:lang w:eastAsia="en-IN"/>
          <w14:ligatures w14:val="none"/>
        </w:rPr>
        <w:lastRenderedPageBreak/>
        <w:t>Sources: Walker et al. (2004); Folke (2006); Altieri et al. (2015); Berkes et al. (2000); Biggs et al. (2012); Lin (2011); Kerr et al. (2021); Reyers et al. (2018)</w:t>
      </w:r>
      <w:r w:rsidR="006F268D">
        <w:rPr>
          <w:rFonts w:ascii="Times New Roman" w:eastAsia="Times New Roman" w:hAnsi="Times New Roman" w:cs="Times New Roman"/>
          <w:i/>
          <w:iCs/>
          <w:kern w:val="0"/>
          <w:sz w:val="24"/>
          <w:szCs w:val="24"/>
          <w:lang w:eastAsia="en-IN"/>
          <w14:ligatures w14:val="none"/>
        </w:rPr>
        <w:t xml:space="preserve">; </w:t>
      </w:r>
      <w:r w:rsidR="006F268D" w:rsidRPr="006F268D">
        <w:rPr>
          <w:rFonts w:ascii="Times New Roman" w:eastAsia="Times New Roman" w:hAnsi="Times New Roman" w:cs="Times New Roman"/>
          <w:i/>
          <w:iCs/>
          <w:kern w:val="0"/>
          <w:sz w:val="24"/>
          <w:szCs w:val="24"/>
          <w:lang w:eastAsia="en-IN"/>
          <w14:ligatures w14:val="none"/>
        </w:rPr>
        <w:t>Thapa et al. (2026)</w:t>
      </w:r>
    </w:p>
    <w:p w14:paraId="7D4DDF32"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The resilience framework employed in this section suggests that the critical question for mountain agriculture policy is not whether to commercialise but how to do so in ways that preserve and potentially enhance the structural properties upon which long-term adaptive capacity depends. This reframing moves the policy debate away from a binary choice between tradition and modernity and towards the more productive challenge of designing transition pathways that are simultaneously economically viable, ecologically sound, and institutionally anchored.</w:t>
      </w:r>
    </w:p>
    <w:p w14:paraId="2F788869" w14:textId="77777777" w:rsidR="00326748" w:rsidRPr="00326748" w:rsidRDefault="00326748" w:rsidP="00F24A2A">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en-IN"/>
          <w14:ligatures w14:val="none"/>
        </w:rPr>
      </w:pPr>
      <w:r w:rsidRPr="00326748">
        <w:rPr>
          <w:rFonts w:ascii="Times New Roman" w:eastAsia="Times New Roman" w:hAnsi="Times New Roman" w:cs="Times New Roman"/>
          <w:b/>
          <w:bCs/>
          <w:kern w:val="0"/>
          <w:sz w:val="27"/>
          <w:szCs w:val="27"/>
          <w:lang w:eastAsia="en-IN"/>
          <w14:ligatures w14:val="none"/>
        </w:rPr>
        <w:t>8. Policy Implications and Governance Frameworks for Sustainable Commercialisation</w:t>
      </w:r>
    </w:p>
    <w:p w14:paraId="3E15F8BD" w14:textId="77777777" w:rsidR="00326748" w:rsidRPr="00326748" w:rsidRDefault="00326748" w:rsidP="00F24A2A">
      <w:pPr>
        <w:spacing w:before="100" w:beforeAutospacing="1" w:after="100" w:afterAutospacing="1" w:line="240" w:lineRule="auto"/>
        <w:jc w:val="both"/>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8.1 Current Policy Landscape</w:t>
      </w:r>
    </w:p>
    <w:p w14:paraId="6BF44745"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The policy landscape governing mountain agricultural commercialisation is characterised by a persistent tension between short-term economic development objectives and long-term sustainability goals. National agricultural policies in most mountain countries remain oriented primarily towards productivity growth and market development, with sustainability and resilience objectives incorporated, if at all, as secondary considerations rather than as organising principles (</w:t>
      </w:r>
      <w:r w:rsidR="004D298C" w:rsidRPr="004D298C">
        <w:rPr>
          <w:rFonts w:ascii="Times New Roman" w:eastAsia="Times New Roman" w:hAnsi="Times New Roman" w:cs="Times New Roman"/>
          <w:kern w:val="0"/>
          <w:sz w:val="24"/>
          <w:szCs w:val="24"/>
          <w:lang w:eastAsia="en-IN"/>
          <w14:ligatures w14:val="none"/>
        </w:rPr>
        <w:t>Wester et al.</w:t>
      </w:r>
      <w:r w:rsidR="004D298C">
        <w:rPr>
          <w:rFonts w:ascii="Times New Roman" w:eastAsia="Times New Roman" w:hAnsi="Times New Roman" w:cs="Times New Roman"/>
          <w:kern w:val="0"/>
          <w:sz w:val="24"/>
          <w:szCs w:val="24"/>
          <w:lang w:eastAsia="en-IN"/>
          <w14:ligatures w14:val="none"/>
        </w:rPr>
        <w:t xml:space="preserve">, </w:t>
      </w:r>
      <w:r w:rsidR="004D298C" w:rsidRPr="004D298C">
        <w:rPr>
          <w:rFonts w:ascii="Times New Roman" w:eastAsia="Times New Roman" w:hAnsi="Times New Roman" w:cs="Times New Roman"/>
          <w:kern w:val="0"/>
          <w:sz w:val="24"/>
          <w:szCs w:val="24"/>
          <w:lang w:eastAsia="en-IN"/>
          <w14:ligatures w14:val="none"/>
        </w:rPr>
        <w:t>2019</w:t>
      </w:r>
      <w:r w:rsidRPr="00326748">
        <w:rPr>
          <w:rFonts w:ascii="Times New Roman" w:eastAsia="Times New Roman" w:hAnsi="Times New Roman" w:cs="Times New Roman"/>
          <w:kern w:val="0"/>
          <w:sz w:val="24"/>
          <w:szCs w:val="24"/>
          <w:lang w:eastAsia="en-IN"/>
          <w14:ligatures w14:val="none"/>
        </w:rPr>
        <w:t xml:space="preserve">; </w:t>
      </w:r>
      <w:r w:rsidR="004D298C" w:rsidRPr="004D298C">
        <w:rPr>
          <w:rFonts w:ascii="Times New Roman" w:eastAsia="Times New Roman" w:hAnsi="Times New Roman" w:cs="Times New Roman"/>
          <w:kern w:val="0"/>
          <w:sz w:val="24"/>
          <w:szCs w:val="24"/>
          <w:lang w:eastAsia="en-IN"/>
          <w14:ligatures w14:val="none"/>
        </w:rPr>
        <w:t>HLPE, 2019</w:t>
      </w:r>
      <w:r w:rsidRPr="00326748">
        <w:rPr>
          <w:rFonts w:ascii="Times New Roman" w:eastAsia="Times New Roman" w:hAnsi="Times New Roman" w:cs="Times New Roman"/>
          <w:kern w:val="0"/>
          <w:sz w:val="24"/>
          <w:szCs w:val="24"/>
          <w:lang w:eastAsia="en-IN"/>
          <w14:ligatures w14:val="none"/>
        </w:rPr>
        <w:t>). Subsidies for chemical inputs, support prices for specific commercial commodities, and investment in market infrastructure collectively create incentive environments that systematically favour specialisation over diversity and market production over subsistence food security. The structural bias of these policy frameworks is rarely neutral with respect to gender, wealth class, or ecological location: households that are well-positioned to exploit market opportunities gain disproportionately, while those who rely on diverse subsistence production for nutritional security are often marginalised by policy environments designed for a different kind of farmer.</w:t>
      </w:r>
    </w:p>
    <w:p w14:paraId="155F0F64"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International frameworks have increasingly acknowledged the importance of traditional farming systems and agrobiodiversity. The Convention on Biological Diversity, the International Treaty on Plant Genetic Resources for Food and Agriculture, and the Sustainable Development Goals framework—particularly SDG 2 on zero hunger, SDG 15 on life on land, and SDG 13 on climate action—all contain provisions that in principle support the conservation and sustainable use of agrobiodiversity (Wester et al., 2019; Willett et al., 2019). However, the translation of these commitments into coherent policy frameworks at the national level, where the actual governance of agricultural systems takes place, has been uneven and often superficial. The </w:t>
      </w:r>
      <w:proofErr w:type="gramStart"/>
      <w:r w:rsidRPr="00326748">
        <w:rPr>
          <w:rFonts w:ascii="Times New Roman" w:eastAsia="Times New Roman" w:hAnsi="Times New Roman" w:cs="Times New Roman"/>
          <w:kern w:val="0"/>
          <w:sz w:val="24"/>
          <w:szCs w:val="24"/>
          <w:lang w:eastAsia="en-IN"/>
          <w14:ligatures w14:val="none"/>
        </w:rPr>
        <w:t>High Level</w:t>
      </w:r>
      <w:proofErr w:type="gramEnd"/>
      <w:r w:rsidRPr="00326748">
        <w:rPr>
          <w:rFonts w:ascii="Times New Roman" w:eastAsia="Times New Roman" w:hAnsi="Times New Roman" w:cs="Times New Roman"/>
          <w:kern w:val="0"/>
          <w:sz w:val="24"/>
          <w:szCs w:val="24"/>
          <w:lang w:eastAsia="en-IN"/>
          <w14:ligatures w14:val="none"/>
        </w:rPr>
        <w:t xml:space="preserve"> Panel of Experts on Food Security and Nutrition (</w:t>
      </w:r>
      <w:r w:rsidR="004D298C">
        <w:rPr>
          <w:rFonts w:ascii="Times New Roman" w:eastAsia="Times New Roman" w:hAnsi="Times New Roman" w:cs="Times New Roman"/>
          <w:kern w:val="0"/>
          <w:sz w:val="24"/>
          <w:szCs w:val="24"/>
          <w:lang w:eastAsia="en-IN"/>
          <w14:ligatures w14:val="none"/>
        </w:rPr>
        <w:t>HLPE</w:t>
      </w:r>
      <w:r w:rsidR="0005537E" w:rsidRPr="0005537E">
        <w:rPr>
          <w:rFonts w:ascii="Times New Roman" w:eastAsia="Times New Roman" w:hAnsi="Times New Roman" w:cs="Times New Roman"/>
          <w:kern w:val="0"/>
          <w:sz w:val="24"/>
          <w:szCs w:val="24"/>
          <w:lang w:eastAsia="en-IN"/>
          <w14:ligatures w14:val="none"/>
        </w:rPr>
        <w:t>, 2019</w:t>
      </w:r>
      <w:r w:rsidRPr="00326748">
        <w:rPr>
          <w:rFonts w:ascii="Times New Roman" w:eastAsia="Times New Roman" w:hAnsi="Times New Roman" w:cs="Times New Roman"/>
          <w:kern w:val="0"/>
          <w:sz w:val="24"/>
          <w:szCs w:val="24"/>
          <w:lang w:eastAsia="en-IN"/>
          <w14:ligatures w14:val="none"/>
        </w:rPr>
        <w:t>) concluded in its comprehensive report that agroecological and other innovative approaches to sustainable agriculture have been systematically under-resourced relative to their demonstrated potential contribution to food security and sustainability—a conclusion that applies with particular force in mountain contexts, where the evidence for the value of diverse, ecologically managed systems is especially strong.</w:t>
      </w:r>
    </w:p>
    <w:p w14:paraId="7ADE2366" w14:textId="77777777" w:rsidR="00326748" w:rsidRPr="00326748" w:rsidRDefault="00326748" w:rsidP="00F24A2A">
      <w:pPr>
        <w:spacing w:before="100" w:beforeAutospacing="1" w:after="100" w:afterAutospacing="1" w:line="240" w:lineRule="auto"/>
        <w:jc w:val="both"/>
        <w:outlineLvl w:val="3"/>
        <w:rPr>
          <w:rFonts w:ascii="Times New Roman" w:eastAsia="Times New Roman" w:hAnsi="Times New Roman" w:cs="Times New Roman"/>
          <w:b/>
          <w:bCs/>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8.2 Principles and Recommendations for Sustainable Commercialisation</w:t>
      </w:r>
    </w:p>
    <w:p w14:paraId="37010979"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Drawing on the evidence reviewed in preceding sections, a set of enabling principles for sustainable mountain agricultural commercialisation can be identified. These principles are </w:t>
      </w:r>
      <w:r w:rsidRPr="00326748">
        <w:rPr>
          <w:rFonts w:ascii="Times New Roman" w:eastAsia="Times New Roman" w:hAnsi="Times New Roman" w:cs="Times New Roman"/>
          <w:kern w:val="0"/>
          <w:sz w:val="24"/>
          <w:szCs w:val="24"/>
          <w:lang w:eastAsia="en-IN"/>
          <w14:ligatures w14:val="none"/>
        </w:rPr>
        <w:lastRenderedPageBreak/>
        <w:t>not universal prescriptions but rather context-sensitive orientations that require adaptation to specific mountain regions, institutional environments, and market conditions. Their formulation is informed by the growing body of evidence that commercialisation outcomes are not predetermined by market forces but are substantially shaped by policy choices, institutional designs, and governance arrangements.</w:t>
      </w:r>
    </w:p>
    <w:p w14:paraId="3DD545E4"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First, the governance of commercialisation transitions should explicitly recognise and value the ecological services embedded in traditional mountain farming systems. Market incentives that reward the maintenance of agrobiodiversity, the conservation of soil health, and the continuation of water-regulating land management practices are essential if these functions are to compete economically with commodity production. Payment for ecosystem services (PES) schemes, while not without their own governance challenges, offer one mechanism for internalising the value of these services into farming system decisions (Verburg et al., 2015; Schirpke et al., 2017). The design of effective PES in mountain contexts requires careful attention to land tenure security, benefit distribution equity, and the long-term financing mechanisms necessary to sustain participation.</w:t>
      </w:r>
    </w:p>
    <w:p w14:paraId="39E71AFD"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Second, market development strategies should prioritise approaches that maintain diversity within the farm system, including the development of niche markets for traditional varieties, the certification of diverse and ecologically managed production systems, and the support of collective value chain organisations that enable smallholders to access markets without requiring the adoption of standardised, homogeneous production models (Fischer &amp; Qaim, 2012; Garibaldi et al., 2017). The experience of geographical indication schemes for traditional mountain products—established in the European context and increasingly explored in Asia and Africa—provides instructive evidence that quality differentiation strategies can preserve traditional practices while generating premium market returns, though their scalability to resource-constrained contexts remains a subject of ongoing evaluation.</w:t>
      </w:r>
    </w:p>
    <w:p w14:paraId="7203299C"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Third, policies should explicitly address the knowledge and gender dimensions of commercialisation transitions. Investment in participatory research that recognises the validity and value of TEK alongside formal scientific knowledge, support for community seed saving and exchange systems, and deliberate efforts to ensure that commercialisation benefits reach women and marginalised groups are essential components of equitable transitions (Doss et al., 2018; Kerr et al., 2021). </w:t>
      </w:r>
      <w:r w:rsidR="00A122BB" w:rsidRPr="00A122BB">
        <w:rPr>
          <w:rFonts w:ascii="Times New Roman" w:eastAsia="Times New Roman" w:hAnsi="Times New Roman" w:cs="Times New Roman"/>
          <w:kern w:val="0"/>
          <w:sz w:val="24"/>
          <w:szCs w:val="24"/>
          <w:lang w:eastAsia="en-IN"/>
          <w14:ligatures w14:val="none"/>
        </w:rPr>
        <w:t>A systematic review of agroecological-transition research found that participatory action research remains underused despite its importance for farmer–researcher trust, co-learning, and context-specific transition design, strengthening the case for participatory governance in mountain commercialisation pathways (Sachet et al., 2021).</w:t>
      </w:r>
      <w:r w:rsidR="00A122BB">
        <w:rPr>
          <w:rFonts w:ascii="Times New Roman" w:eastAsia="Times New Roman" w:hAnsi="Times New Roman" w:cs="Times New Roman"/>
          <w:kern w:val="0"/>
          <w:sz w:val="24"/>
          <w:szCs w:val="24"/>
          <w:lang w:eastAsia="en-IN"/>
          <w14:ligatures w14:val="none"/>
        </w:rPr>
        <w:t xml:space="preserve"> </w:t>
      </w:r>
      <w:r w:rsidRPr="00326748">
        <w:rPr>
          <w:rFonts w:ascii="Times New Roman" w:eastAsia="Times New Roman" w:hAnsi="Times New Roman" w:cs="Times New Roman"/>
          <w:kern w:val="0"/>
          <w:sz w:val="24"/>
          <w:szCs w:val="24"/>
          <w:lang w:eastAsia="en-IN"/>
          <w14:ligatures w14:val="none"/>
        </w:rPr>
        <w:t>The FAO (2021) State of Food and Agriculture report emphasised that resilience-building in agri-food systems requires investments in knowledge, institutions, and social protection that reach the most vulnerable actors—a message with direct applicability to mountain communities facing simultaneous climate and market pressures.</w:t>
      </w:r>
    </w:p>
    <w:p w14:paraId="7E602D5F"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Fourth, climate adaptation and resilience objectives must be integrated into agricultural commercialisation policy from the outset, rather than added reactively after ecological damage has been incurred. Given the acute climate vulnerability of mountain farming systems and the substantial evidence that specialisation reduces resilience, policies should create systematic incentives for maintaining the crop diversity and ecological complexity that provide insurance against climate variability (IPCC, 2019; Lin, 2011). The FAO (2014) assessment of mountain farming as family farming recognised the intrinsic connection between family-scale diverse production systems and the ecological functions that sustain </w:t>
      </w:r>
      <w:r w:rsidRPr="00326748">
        <w:rPr>
          <w:rFonts w:ascii="Times New Roman" w:eastAsia="Times New Roman" w:hAnsi="Times New Roman" w:cs="Times New Roman"/>
          <w:kern w:val="0"/>
          <w:sz w:val="24"/>
          <w:szCs w:val="24"/>
          <w:lang w:eastAsia="en-IN"/>
          <w14:ligatures w14:val="none"/>
        </w:rPr>
        <w:lastRenderedPageBreak/>
        <w:t>mountain landscapes—a connection that needs to be reflected in the design of agricultural development programmes rather than merely celebrated in policy declarations.</w:t>
      </w:r>
    </w:p>
    <w:p w14:paraId="4AB97E56"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Table 5 presents a summary of policy instruments relevant to sustainable commercialisation, categorised by instrument type and objective, drawing on the synthesis of evidence across the review.</w:t>
      </w:r>
    </w:p>
    <w:p w14:paraId="49308794" w14:textId="77777777" w:rsidR="00326748" w:rsidRDefault="00326748"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65CE068A" w14:textId="77777777" w:rsidR="00A122BB"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2BDDCACE" w14:textId="77777777" w:rsidR="00A122BB"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76B9FF2C" w14:textId="77777777" w:rsidR="00A122BB"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587F3FFB" w14:textId="77777777" w:rsidR="00A122BB"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24C669E9" w14:textId="77777777" w:rsidR="00A122BB"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6AD9CE6F" w14:textId="77777777" w:rsidR="00A122BB" w:rsidRDefault="00A122BB"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40D15A68"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b/>
          <w:bCs/>
          <w:kern w:val="0"/>
          <w:sz w:val="24"/>
          <w:szCs w:val="24"/>
          <w:lang w:eastAsia="en-IN"/>
          <w14:ligatures w14:val="none"/>
        </w:rPr>
        <w:t>Table 5: Policy Instruments for Sustainable Commercialisation of Mountain Agriculture</w:t>
      </w:r>
    </w:p>
    <w:tbl>
      <w:tblPr>
        <w:tblStyle w:val="TableGrid"/>
        <w:tblW w:w="9464" w:type="dxa"/>
        <w:tblLook w:val="04A0" w:firstRow="1" w:lastRow="0" w:firstColumn="1" w:lastColumn="0" w:noHBand="0" w:noVBand="1"/>
      </w:tblPr>
      <w:tblGrid>
        <w:gridCol w:w="1526"/>
        <w:gridCol w:w="2551"/>
        <w:gridCol w:w="2694"/>
        <w:gridCol w:w="2693"/>
      </w:tblGrid>
      <w:tr w:rsidR="00A122BB" w14:paraId="3C9974F7" w14:textId="77777777" w:rsidTr="00C83150">
        <w:tc>
          <w:tcPr>
            <w:tcW w:w="1526" w:type="dxa"/>
            <w:vAlign w:val="center"/>
          </w:tcPr>
          <w:p w14:paraId="3A8618C8" w14:textId="77777777" w:rsidR="00A122BB" w:rsidRDefault="00A122BB" w:rsidP="00F24A2A">
            <w:pPr>
              <w:jc w:val="both"/>
            </w:pPr>
            <w:r w:rsidRPr="00326748">
              <w:rPr>
                <w:rFonts w:ascii="Times New Roman" w:eastAsia="Times New Roman" w:hAnsi="Times New Roman" w:cs="Times New Roman"/>
                <w:b/>
                <w:bCs/>
                <w:kern w:val="0"/>
                <w:sz w:val="24"/>
                <w:szCs w:val="24"/>
                <w:lang w:eastAsia="en-IN"/>
                <w14:ligatures w14:val="none"/>
              </w:rPr>
              <w:t>Instrument Type</w:t>
            </w:r>
          </w:p>
        </w:tc>
        <w:tc>
          <w:tcPr>
            <w:tcW w:w="2551" w:type="dxa"/>
            <w:vAlign w:val="center"/>
          </w:tcPr>
          <w:p w14:paraId="457171B2" w14:textId="77777777" w:rsidR="00A122BB" w:rsidRDefault="00A122BB" w:rsidP="00F24A2A">
            <w:pPr>
              <w:jc w:val="both"/>
            </w:pPr>
            <w:r w:rsidRPr="00326748">
              <w:rPr>
                <w:rFonts w:ascii="Times New Roman" w:eastAsia="Times New Roman" w:hAnsi="Times New Roman" w:cs="Times New Roman"/>
                <w:b/>
                <w:bCs/>
                <w:kern w:val="0"/>
                <w:sz w:val="24"/>
                <w:szCs w:val="24"/>
                <w:lang w:eastAsia="en-IN"/>
                <w14:ligatures w14:val="none"/>
              </w:rPr>
              <w:t>Specific Instrument</w:t>
            </w:r>
          </w:p>
        </w:tc>
        <w:tc>
          <w:tcPr>
            <w:tcW w:w="2694" w:type="dxa"/>
            <w:vAlign w:val="center"/>
          </w:tcPr>
          <w:p w14:paraId="2C23869E" w14:textId="77777777" w:rsidR="00A122BB" w:rsidRDefault="00A122BB" w:rsidP="00F24A2A">
            <w:pPr>
              <w:jc w:val="both"/>
            </w:pPr>
            <w:r w:rsidRPr="00326748">
              <w:rPr>
                <w:rFonts w:ascii="Times New Roman" w:eastAsia="Times New Roman" w:hAnsi="Times New Roman" w:cs="Times New Roman"/>
                <w:b/>
                <w:bCs/>
                <w:kern w:val="0"/>
                <w:sz w:val="24"/>
                <w:szCs w:val="24"/>
                <w:lang w:eastAsia="en-IN"/>
                <w14:ligatures w14:val="none"/>
              </w:rPr>
              <w:t>Primary Objective</w:t>
            </w:r>
          </w:p>
        </w:tc>
        <w:tc>
          <w:tcPr>
            <w:tcW w:w="2693" w:type="dxa"/>
            <w:vAlign w:val="center"/>
          </w:tcPr>
          <w:p w14:paraId="69F023C7" w14:textId="77777777" w:rsidR="00A122BB" w:rsidRDefault="00A122BB" w:rsidP="00F24A2A">
            <w:pPr>
              <w:jc w:val="both"/>
            </w:pPr>
            <w:r w:rsidRPr="00326748">
              <w:rPr>
                <w:rFonts w:ascii="Times New Roman" w:eastAsia="Times New Roman" w:hAnsi="Times New Roman" w:cs="Times New Roman"/>
                <w:b/>
                <w:bCs/>
                <w:kern w:val="0"/>
                <w:sz w:val="24"/>
                <w:szCs w:val="24"/>
                <w:lang w:eastAsia="en-IN"/>
                <w14:ligatures w14:val="none"/>
              </w:rPr>
              <w:t>Key Implementation Challenges</w:t>
            </w:r>
          </w:p>
        </w:tc>
      </w:tr>
      <w:tr w:rsidR="00A122BB" w14:paraId="6E57E736" w14:textId="77777777" w:rsidTr="00C83150">
        <w:tc>
          <w:tcPr>
            <w:tcW w:w="1526" w:type="dxa"/>
            <w:vAlign w:val="center"/>
          </w:tcPr>
          <w:p w14:paraId="6629023E"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Market-based</w:t>
            </w:r>
          </w:p>
        </w:tc>
        <w:tc>
          <w:tcPr>
            <w:tcW w:w="2551" w:type="dxa"/>
            <w:vAlign w:val="center"/>
          </w:tcPr>
          <w:p w14:paraId="4E47EE8C"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GI certification; sustainability labelling; fair-trade premiums; niche market development</w:t>
            </w:r>
          </w:p>
        </w:tc>
        <w:tc>
          <w:tcPr>
            <w:tcW w:w="2694" w:type="dxa"/>
            <w:vAlign w:val="center"/>
          </w:tcPr>
          <w:p w14:paraId="38974B86"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Value traditional products; reward ecological management</w:t>
            </w:r>
          </w:p>
        </w:tc>
        <w:tc>
          <w:tcPr>
            <w:tcW w:w="2693" w:type="dxa"/>
            <w:vAlign w:val="center"/>
          </w:tcPr>
          <w:p w14:paraId="1F392547"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Market access limitations; premium price reach; administrative cost in remote areas</w:t>
            </w:r>
          </w:p>
        </w:tc>
      </w:tr>
      <w:tr w:rsidR="00A122BB" w14:paraId="6FE5092F" w14:textId="77777777" w:rsidTr="00C83150">
        <w:tc>
          <w:tcPr>
            <w:tcW w:w="1526" w:type="dxa"/>
            <w:vAlign w:val="center"/>
          </w:tcPr>
          <w:p w14:paraId="3D4DFB54"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Financial</w:t>
            </w:r>
          </w:p>
        </w:tc>
        <w:tc>
          <w:tcPr>
            <w:tcW w:w="2551" w:type="dxa"/>
            <w:vAlign w:val="center"/>
          </w:tcPr>
          <w:p w14:paraId="73AF90F7"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 xml:space="preserve">Payments for ecosystem services; </w:t>
            </w:r>
            <w:proofErr w:type="spellStart"/>
            <w:r w:rsidRPr="00326748">
              <w:rPr>
                <w:rFonts w:ascii="Times New Roman" w:eastAsia="Times New Roman" w:hAnsi="Times New Roman" w:cs="Times New Roman"/>
                <w:kern w:val="0"/>
                <w:sz w:val="24"/>
                <w:szCs w:val="24"/>
                <w:lang w:eastAsia="en-IN"/>
                <w14:ligatures w14:val="none"/>
              </w:rPr>
              <w:t>agri</w:t>
            </w:r>
            <w:proofErr w:type="spellEnd"/>
            <w:r w:rsidRPr="00326748">
              <w:rPr>
                <w:rFonts w:ascii="Times New Roman" w:eastAsia="Times New Roman" w:hAnsi="Times New Roman" w:cs="Times New Roman"/>
                <w:kern w:val="0"/>
                <w:sz w:val="24"/>
                <w:szCs w:val="24"/>
                <w:lang w:eastAsia="en-IN"/>
                <w14:ligatures w14:val="none"/>
              </w:rPr>
              <w:t>-environment schemes; green credit and insurance</w:t>
            </w:r>
          </w:p>
        </w:tc>
        <w:tc>
          <w:tcPr>
            <w:tcW w:w="2694" w:type="dxa"/>
            <w:vAlign w:val="center"/>
          </w:tcPr>
          <w:p w14:paraId="31595090"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Internalise ecosystem service values into farm decisions</w:t>
            </w:r>
          </w:p>
        </w:tc>
        <w:tc>
          <w:tcPr>
            <w:tcW w:w="2693" w:type="dxa"/>
            <w:vAlign w:val="center"/>
          </w:tcPr>
          <w:p w14:paraId="4A746F77"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Design complexity; smallholder eligibility; long-term funding continuity</w:t>
            </w:r>
          </w:p>
        </w:tc>
      </w:tr>
      <w:tr w:rsidR="00A122BB" w14:paraId="7D5F3BFB" w14:textId="77777777" w:rsidTr="00C83150">
        <w:tc>
          <w:tcPr>
            <w:tcW w:w="1526" w:type="dxa"/>
            <w:vAlign w:val="center"/>
          </w:tcPr>
          <w:p w14:paraId="409E51ED"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Institutional</w:t>
            </w:r>
          </w:p>
        </w:tc>
        <w:tc>
          <w:tcPr>
            <w:tcW w:w="2551" w:type="dxa"/>
            <w:vAlign w:val="center"/>
          </w:tcPr>
          <w:p w14:paraId="14B9C2B3"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Farmer cooperatives; community seed banks; common property governance support</w:t>
            </w:r>
          </w:p>
        </w:tc>
        <w:tc>
          <w:tcPr>
            <w:tcW w:w="2694" w:type="dxa"/>
            <w:vAlign w:val="center"/>
          </w:tcPr>
          <w:p w14:paraId="356EF916"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Collective action; shared resource management; bargaining power</w:t>
            </w:r>
          </w:p>
        </w:tc>
        <w:tc>
          <w:tcPr>
            <w:tcW w:w="2693" w:type="dxa"/>
            <w:vAlign w:val="center"/>
          </w:tcPr>
          <w:p w14:paraId="7D569356"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Governance capacity; elite capture risk; enabling legal frameworks</w:t>
            </w:r>
          </w:p>
        </w:tc>
      </w:tr>
      <w:tr w:rsidR="00A122BB" w14:paraId="7031268A" w14:textId="77777777" w:rsidTr="00C83150">
        <w:tc>
          <w:tcPr>
            <w:tcW w:w="1526" w:type="dxa"/>
            <w:vAlign w:val="center"/>
          </w:tcPr>
          <w:p w14:paraId="498D0232"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Knowledge and extension</w:t>
            </w:r>
          </w:p>
        </w:tc>
        <w:tc>
          <w:tcPr>
            <w:tcW w:w="2551" w:type="dxa"/>
            <w:vAlign w:val="center"/>
          </w:tcPr>
          <w:p w14:paraId="419A154D"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Participatory research; TEK documentation and legal protection; agroecological extension</w:t>
            </w:r>
          </w:p>
        </w:tc>
        <w:tc>
          <w:tcPr>
            <w:tcW w:w="2694" w:type="dxa"/>
            <w:vAlign w:val="center"/>
          </w:tcPr>
          <w:p w14:paraId="4F2FFC58"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Integrate formal and traditional knowledge; support adaptive management</w:t>
            </w:r>
          </w:p>
        </w:tc>
        <w:tc>
          <w:tcPr>
            <w:tcW w:w="2693" w:type="dxa"/>
            <w:vAlign w:val="center"/>
          </w:tcPr>
          <w:p w14:paraId="7EF09FD8" w14:textId="77777777" w:rsidR="00A122BB" w:rsidRDefault="00A122BB" w:rsidP="00F24A2A">
            <w:pPr>
              <w:jc w:val="both"/>
            </w:pPr>
            <w:r w:rsidRPr="00326748">
              <w:rPr>
                <w:rFonts w:ascii="Times New Roman" w:eastAsia="Times New Roman" w:hAnsi="Times New Roman" w:cs="Times New Roman"/>
                <w:kern w:val="0"/>
                <w:sz w:val="24"/>
                <w:szCs w:val="24"/>
                <w:lang w:eastAsia="en-IN"/>
                <w14:ligatures w14:val="none"/>
              </w:rPr>
              <w:t>Institutional resistance; funding continuity; measurement and evaluation</w:t>
            </w:r>
          </w:p>
        </w:tc>
      </w:tr>
      <w:tr w:rsidR="00A122BB" w14:paraId="43BDBE5C" w14:textId="77777777" w:rsidTr="00C83150">
        <w:tc>
          <w:tcPr>
            <w:tcW w:w="1526" w:type="dxa"/>
            <w:vAlign w:val="center"/>
          </w:tcPr>
          <w:p w14:paraId="28A06CC0"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Regulatory and spatial</w:t>
            </w:r>
          </w:p>
        </w:tc>
        <w:tc>
          <w:tcPr>
            <w:tcW w:w="2551" w:type="dxa"/>
            <w:vAlign w:val="center"/>
          </w:tcPr>
          <w:p w14:paraId="2D78DBE4"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Land use planning; erosion control requirements; biodiversity mainstreaming in agriculture</w:t>
            </w:r>
          </w:p>
        </w:tc>
        <w:tc>
          <w:tcPr>
            <w:tcW w:w="2694" w:type="dxa"/>
            <w:vAlign w:val="center"/>
          </w:tcPr>
          <w:p w14:paraId="10988103"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Protect ecological integrity; prevent irreversible land degradation</w:t>
            </w:r>
          </w:p>
        </w:tc>
        <w:tc>
          <w:tcPr>
            <w:tcW w:w="2693" w:type="dxa"/>
            <w:vAlign w:val="center"/>
          </w:tcPr>
          <w:p w14:paraId="459A18FF"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Enforcement capacity; political economy constraints; trade-offs with growth objectives</w:t>
            </w:r>
          </w:p>
        </w:tc>
      </w:tr>
      <w:tr w:rsidR="00A122BB" w14:paraId="0249BD75" w14:textId="77777777" w:rsidTr="00C83150">
        <w:tc>
          <w:tcPr>
            <w:tcW w:w="1526" w:type="dxa"/>
            <w:vAlign w:val="center"/>
          </w:tcPr>
          <w:p w14:paraId="613CB373"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International frameworks</w:t>
            </w:r>
          </w:p>
        </w:tc>
        <w:tc>
          <w:tcPr>
            <w:tcW w:w="2551" w:type="dxa"/>
            <w:vAlign w:val="center"/>
          </w:tcPr>
          <w:p w14:paraId="70BD2F6C"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Biodiversity treaties; SDG implementation; climate adaptation finance; CGIAR research</w:t>
            </w:r>
          </w:p>
        </w:tc>
        <w:tc>
          <w:tcPr>
            <w:tcW w:w="2694" w:type="dxa"/>
            <w:vAlign w:val="center"/>
          </w:tcPr>
          <w:p w14:paraId="24D12A9D"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Align national policy with global sustainability commitments</w:t>
            </w:r>
          </w:p>
        </w:tc>
        <w:tc>
          <w:tcPr>
            <w:tcW w:w="2693" w:type="dxa"/>
            <w:vAlign w:val="center"/>
          </w:tcPr>
          <w:p w14:paraId="075C7D90" w14:textId="77777777" w:rsidR="00A122BB" w:rsidRPr="00326748" w:rsidRDefault="00A122BB" w:rsidP="00F24A2A">
            <w:pPr>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Implementation gaps; conditionality risks; coherence between instruments</w:t>
            </w:r>
          </w:p>
        </w:tc>
      </w:tr>
    </w:tbl>
    <w:p w14:paraId="61F5D132" w14:textId="77777777" w:rsidR="00326748" w:rsidRPr="00326748" w:rsidRDefault="00326748" w:rsidP="00F24A2A">
      <w:pPr>
        <w:spacing w:after="0"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i/>
          <w:iCs/>
          <w:kern w:val="0"/>
          <w:sz w:val="24"/>
          <w:szCs w:val="24"/>
          <w:lang w:eastAsia="en-IN"/>
          <w14:ligatures w14:val="none"/>
        </w:rPr>
        <w:lastRenderedPageBreak/>
        <w:t xml:space="preserve">Sources: Fischer &amp; Qaim (2012); Verburg et al. (2015); </w:t>
      </w:r>
      <w:r w:rsidR="004D298C">
        <w:rPr>
          <w:rFonts w:ascii="Times New Roman" w:eastAsia="Times New Roman" w:hAnsi="Times New Roman" w:cs="Times New Roman"/>
          <w:i/>
          <w:iCs/>
          <w:kern w:val="0"/>
          <w:sz w:val="24"/>
          <w:szCs w:val="24"/>
          <w:lang w:eastAsia="en-IN"/>
          <w14:ligatures w14:val="none"/>
        </w:rPr>
        <w:t>HLPE</w:t>
      </w:r>
      <w:r w:rsidR="0005537E" w:rsidRPr="0005537E">
        <w:rPr>
          <w:rFonts w:ascii="Times New Roman" w:eastAsia="Times New Roman" w:hAnsi="Times New Roman" w:cs="Times New Roman"/>
          <w:i/>
          <w:iCs/>
          <w:kern w:val="0"/>
          <w:sz w:val="24"/>
          <w:szCs w:val="24"/>
          <w:lang w:eastAsia="en-IN"/>
          <w14:ligatures w14:val="none"/>
        </w:rPr>
        <w:t xml:space="preserve"> </w:t>
      </w:r>
      <w:r w:rsidR="0005537E">
        <w:rPr>
          <w:rFonts w:ascii="Times New Roman" w:eastAsia="Times New Roman" w:hAnsi="Times New Roman" w:cs="Times New Roman"/>
          <w:i/>
          <w:iCs/>
          <w:kern w:val="0"/>
          <w:sz w:val="24"/>
          <w:szCs w:val="24"/>
          <w:lang w:eastAsia="en-IN"/>
          <w14:ligatures w14:val="none"/>
        </w:rPr>
        <w:t>(</w:t>
      </w:r>
      <w:r w:rsidR="0005537E" w:rsidRPr="0005537E">
        <w:rPr>
          <w:rFonts w:ascii="Times New Roman" w:eastAsia="Times New Roman" w:hAnsi="Times New Roman" w:cs="Times New Roman"/>
          <w:i/>
          <w:iCs/>
          <w:kern w:val="0"/>
          <w:sz w:val="24"/>
          <w:szCs w:val="24"/>
          <w:lang w:eastAsia="en-IN"/>
          <w14:ligatures w14:val="none"/>
        </w:rPr>
        <w:t>2019</w:t>
      </w:r>
      <w:r w:rsidRPr="00326748">
        <w:rPr>
          <w:rFonts w:ascii="Times New Roman" w:eastAsia="Times New Roman" w:hAnsi="Times New Roman" w:cs="Times New Roman"/>
          <w:i/>
          <w:iCs/>
          <w:kern w:val="0"/>
          <w:sz w:val="24"/>
          <w:szCs w:val="24"/>
          <w:lang w:eastAsia="en-IN"/>
          <w14:ligatures w14:val="none"/>
        </w:rPr>
        <w:t>); Kerr et al. (2021); Wester et al. (2019); FAO (2021)</w:t>
      </w:r>
      <w:r w:rsidR="006F268D">
        <w:rPr>
          <w:rFonts w:ascii="Times New Roman" w:eastAsia="Times New Roman" w:hAnsi="Times New Roman" w:cs="Times New Roman"/>
          <w:i/>
          <w:iCs/>
          <w:kern w:val="0"/>
          <w:sz w:val="24"/>
          <w:szCs w:val="24"/>
          <w:lang w:eastAsia="en-IN"/>
          <w14:ligatures w14:val="none"/>
        </w:rPr>
        <w:t xml:space="preserve">; </w:t>
      </w:r>
      <w:r w:rsidR="006F268D" w:rsidRPr="006F268D">
        <w:rPr>
          <w:rFonts w:ascii="Times New Roman" w:eastAsia="Times New Roman" w:hAnsi="Times New Roman" w:cs="Times New Roman"/>
          <w:i/>
          <w:iCs/>
          <w:kern w:val="0"/>
          <w:sz w:val="24"/>
          <w:szCs w:val="24"/>
          <w:lang w:eastAsia="en-IN"/>
          <w14:ligatures w14:val="none"/>
        </w:rPr>
        <w:t>Sachet et al. (2021)</w:t>
      </w:r>
    </w:p>
    <w:p w14:paraId="2E676500" w14:textId="77777777" w:rsidR="00326748" w:rsidRPr="00326748" w:rsidRDefault="00326748" w:rsidP="00F24A2A">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en-IN"/>
          <w14:ligatures w14:val="none"/>
        </w:rPr>
      </w:pPr>
      <w:r w:rsidRPr="00326748">
        <w:rPr>
          <w:rFonts w:ascii="Times New Roman" w:eastAsia="Times New Roman" w:hAnsi="Times New Roman" w:cs="Times New Roman"/>
          <w:b/>
          <w:bCs/>
          <w:kern w:val="0"/>
          <w:sz w:val="27"/>
          <w:szCs w:val="27"/>
          <w:lang w:eastAsia="en-IN"/>
          <w14:ligatures w14:val="none"/>
        </w:rPr>
        <w:t>9. Conclusions</w:t>
      </w:r>
    </w:p>
    <w:p w14:paraId="4F9A88D1"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The commercialisation of traditional agriculture in mountain areas represents one of the most consequential and complex rural transformations of the twenty-first century. Drawing on a synthesis of peer-reviewed literature spanning sustainability science, agroecology, rural development economics, and mountain ecology, this review has demonstrated that commercialisation is a deeply ambivalent process: it generates genuine livelihood opportunities and income gains for mountain farming households while simultaneously placing under stress the ecological foundations, knowledge systems, and governance arrangements that have made these systems resilient over centuries.</w:t>
      </w:r>
    </w:p>
    <w:p w14:paraId="767F8F44"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The evidence reviewed here consistently supports the conclusion that when commercialisation proceeds without explicit attention to ecological sustainability and resilience, it tends to erode the agrobiodiversity, soil health, water regulation capacity, and traditional ecological knowledge that underpin the long-term adaptive capacity of mountain farming systems. The substitution of diverse subsistence production for specialised commercial crops has been associated with dietary diversity losses, increased climate vulnerability, and the marginalisation of women's roles in agriculture—outcomes that contradict the stated development objectives of commercialisation itself. At the same time, the magnitude, pace, and reversibility of these impacts vary considerably across regions, crop systems, and governance environments, a heterogeneity that demands differentiated analytical and policy responses.</w:t>
      </w:r>
    </w:p>
    <w:p w14:paraId="16A81FA3"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The review has also identified genuinely promising pathways towards sustainable commercialisation. Agroecological approaches that combine ecological complexity with market orientation, market instruments that reward biodiversity conservation and traditional knowledge maintenance, and institutional innovations that enhance collective action among mountain smallholders all offer evidence-based routes towards more equitable and sustainable outcomes. These pathways do not emerge automatically from market processes; they require deliberate policy choices, sustained institutional investment, and governance arrangements that explicitly value long-term sustainability over short-term market efficiency.</w:t>
      </w:r>
    </w:p>
    <w:p w14:paraId="4AD27479"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The analytical framework of agroecological resilience has proved particularly valuable for characterising what is fundamentally at stake in mountain agriculture transitions. The resilience properties of traditional mountain farming systems—diversity, redundancy, adaptability, connectivity—are not incidental features but are structural attributes that represent centuries of co-evolution between farming communities and their mountain environments. Their progressive loss through commercialisation represents not merely a cultural event but a fundamental reduction in the adaptive capacity available to communities facing the accelerating challenges of climate change, market volatility, and demographic transformation. Preserving and building upon these properties, rather than simply replacing them with market logic, is the central challenge for mountain agricultural policy in the decades ahead.</w:t>
      </w:r>
    </w:p>
    <w:p w14:paraId="06CB3202"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 xml:space="preserve">The binary framing of commercialisation versus tradition is not analytically useful and, in fact, obscures the real choices available to policy makers and farming communities. The more productive question is how the transition to market-oriented agriculture can be </w:t>
      </w:r>
      <w:r w:rsidRPr="00326748">
        <w:rPr>
          <w:rFonts w:ascii="Times New Roman" w:eastAsia="Times New Roman" w:hAnsi="Times New Roman" w:cs="Times New Roman"/>
          <w:kern w:val="0"/>
          <w:sz w:val="24"/>
          <w:szCs w:val="24"/>
          <w:lang w:eastAsia="en-IN"/>
          <w14:ligatures w14:val="none"/>
        </w:rPr>
        <w:lastRenderedPageBreak/>
        <w:t>governed in ways that preserve ecological integrity, sustain diverse livelihoods, and build rather than erode the resilience that mountain farming communities will need to navigate an uncertain future. Answering that question requires sustained interdisciplinary research, genuinely participatory policy processes, and a willingness on the part of development institutions to value the irreplaceable ecological and cultural heritage embedded in traditional mountain agriculture.</w:t>
      </w:r>
    </w:p>
    <w:p w14:paraId="3C4A275B" w14:textId="77777777" w:rsidR="00326748" w:rsidRPr="00326748" w:rsidRDefault="00326748" w:rsidP="00F24A2A">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en-IN"/>
          <w14:ligatures w14:val="none"/>
        </w:rPr>
      </w:pPr>
      <w:r w:rsidRPr="00326748">
        <w:rPr>
          <w:rFonts w:ascii="Times New Roman" w:eastAsia="Times New Roman" w:hAnsi="Times New Roman" w:cs="Times New Roman"/>
          <w:b/>
          <w:bCs/>
          <w:kern w:val="0"/>
          <w:sz w:val="27"/>
          <w:szCs w:val="27"/>
          <w:lang w:eastAsia="en-IN"/>
          <w14:ligatures w14:val="none"/>
        </w:rPr>
        <w:t>10. Limitations</w:t>
      </w:r>
    </w:p>
    <w:p w14:paraId="03D4A37B"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This review is subject to several limitations that should be acknowledged in interpreting its findings. First, the evidence base is geographically uneven: the literature on mountain agricultural commercialisation is considerably more developed for the Hindu Kush-Himalayan region, the Andes, and the European Alps than for other mountain regions, including montane sub-Saharan Africa, the mountains of Central Asia, and the highland zones of Southeast Asia. Generalisations drawn from better-studied regions may not apply uniformly across the full diversity of mountain farming contexts, and there is a risk that the patterns identified in this review reflect the geographical distribution of research investment as much as the underlying distribution of ecological and livelihood outcomes.</w:t>
      </w:r>
    </w:p>
    <w:p w14:paraId="0F905BDC"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Second, the narrative review methodology adopted here, while well suited to synthesising heterogeneous interdisciplinary evidence, does not permit the quantitative assessment of effect sizes or the statistical weighting of evidence quality that would be possible in a formal systematic review or meta-analysis. The conclusions are therefore necessarily qualitative in character and are framed with appropriate analytical caution about the strength of the underlying evidence base for specific claims.</w:t>
      </w:r>
    </w:p>
    <w:p w14:paraId="3020C6E9"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Third, the review has focused predominantly on published peer-reviewed literature and authoritative institutional reports, which inevitably underrepresent practitioner knowledge, community-based evidence, and insights from participatory action research that have not been published in accessible academic formats. This limitation is particularly consequential given the emphasis in the paper on traditional ecological knowledge, which is rarely fully captured in peer-reviewed publications and which may be better represented in grey literature sources that were excluded on methodological grounds.</w:t>
      </w:r>
    </w:p>
    <w:p w14:paraId="747BB720" w14:textId="77777777" w:rsidR="00326748" w:rsidRP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Fourth, the dynamic nature of the topic means that specific claims about current commercialisation trajectories, market conditions, and policy environments may be partially overtaken by developments occurring after the literature search cut-off date of 29 May 2026. The structural findings of the review regarding the ecological, livelihood, and resilience implications of commercialisation are expected to retain their validity, but the empirical landscape is continuously evolving, and ongoing monitoring of new literature is advisable for readers using this review as a foundation for policy or research decisions.</w:t>
      </w:r>
    </w:p>
    <w:p w14:paraId="492D48B3" w14:textId="77777777" w:rsidR="00326748" w:rsidRDefault="00326748"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r w:rsidRPr="00326748">
        <w:rPr>
          <w:rFonts w:ascii="Times New Roman" w:eastAsia="Times New Roman" w:hAnsi="Times New Roman" w:cs="Times New Roman"/>
          <w:kern w:val="0"/>
          <w:sz w:val="24"/>
          <w:szCs w:val="24"/>
          <w:lang w:eastAsia="en-IN"/>
          <w14:ligatures w14:val="none"/>
        </w:rPr>
        <w:t>Fifth, the review does not systematically address the interaction effects between commercialisation and specific climate change trajectories, which would require detailed scenario modelling beyond the scope of a narrative synthesis. The relationships between market integration, diversity loss, and climate vulnerability are identified here as theoretically grounded and empirically plausible, but their quantitative specification under different warming and precipitation scenarios remains an important gap in the current literature and a priority for future research.</w:t>
      </w:r>
    </w:p>
    <w:p w14:paraId="694AE174" w14:textId="77777777" w:rsidR="00932F60" w:rsidRDefault="00932F60"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p>
    <w:p w14:paraId="78B80497" w14:textId="77777777" w:rsidR="00932F60" w:rsidRDefault="00932F60"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p>
    <w:p w14:paraId="469512CF" w14:textId="77777777" w:rsidR="00932F60" w:rsidRDefault="00932F60"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p>
    <w:p w14:paraId="5FFF7613" w14:textId="77777777" w:rsidR="00932F60" w:rsidRPr="00326748" w:rsidRDefault="00932F60"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p>
    <w:p w14:paraId="66619FCD" w14:textId="77777777" w:rsidR="00910BC5" w:rsidRPr="00973F78" w:rsidRDefault="00910BC5" w:rsidP="00F24A2A">
      <w:pPr>
        <w:pStyle w:val="NoSpacing"/>
        <w:jc w:val="both"/>
        <w:rPr>
          <w:rFonts w:ascii="Arial" w:hAnsi="Arial" w:cs="Arial"/>
          <w:highlight w:val="yellow"/>
        </w:rPr>
      </w:pPr>
      <w:r w:rsidRPr="00973F78">
        <w:rPr>
          <w:rFonts w:ascii="Arial" w:hAnsi="Arial" w:cs="Arial"/>
          <w:highlight w:val="yellow"/>
        </w:rPr>
        <w:t>Declaration of AI Use</w:t>
      </w:r>
    </w:p>
    <w:p w14:paraId="4A3C60B3" w14:textId="77777777" w:rsidR="00910BC5" w:rsidRPr="00973F78" w:rsidRDefault="00910BC5" w:rsidP="00F24A2A">
      <w:pPr>
        <w:pStyle w:val="NoSpacing"/>
        <w:jc w:val="both"/>
        <w:rPr>
          <w:rFonts w:ascii="Arial" w:hAnsi="Arial" w:cs="Arial"/>
          <w:highlight w:val="yellow"/>
        </w:rPr>
      </w:pPr>
    </w:p>
    <w:p w14:paraId="09569C15" w14:textId="77777777" w:rsidR="00910BC5" w:rsidRPr="00973F78" w:rsidRDefault="00910BC5" w:rsidP="00F24A2A">
      <w:pPr>
        <w:pStyle w:val="NoSpacing"/>
        <w:jc w:val="both"/>
        <w:rPr>
          <w:rFonts w:ascii="Arial" w:hAnsi="Arial" w:cs="Arial"/>
        </w:rPr>
      </w:pPr>
      <w:r w:rsidRPr="00973F78">
        <w:rPr>
          <w:rFonts w:ascii="Arial" w:hAnsi="Arial" w:cs="Arial"/>
          <w:highlight w:val="yellow"/>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AAE7811" w14:textId="77777777" w:rsidR="00326748" w:rsidRPr="00326748" w:rsidRDefault="00326748" w:rsidP="00F24A2A">
      <w:pPr>
        <w:spacing w:after="0" w:line="240" w:lineRule="auto"/>
        <w:jc w:val="both"/>
        <w:rPr>
          <w:rFonts w:ascii="Times New Roman" w:eastAsia="Times New Roman" w:hAnsi="Times New Roman" w:cs="Times New Roman"/>
          <w:kern w:val="0"/>
          <w:sz w:val="24"/>
          <w:szCs w:val="24"/>
          <w:lang w:eastAsia="en-IN"/>
          <w14:ligatures w14:val="none"/>
        </w:rPr>
      </w:pPr>
    </w:p>
    <w:p w14:paraId="724104FB" w14:textId="77777777" w:rsidR="00326748" w:rsidRPr="00326748" w:rsidRDefault="00326748" w:rsidP="00F24A2A">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en-IN"/>
          <w14:ligatures w14:val="none"/>
        </w:rPr>
      </w:pPr>
      <w:bookmarkStart w:id="0" w:name="_Hlk232405476"/>
      <w:r w:rsidRPr="00326748">
        <w:rPr>
          <w:rFonts w:ascii="Times New Roman" w:eastAsia="Times New Roman" w:hAnsi="Times New Roman" w:cs="Times New Roman"/>
          <w:b/>
          <w:bCs/>
          <w:kern w:val="0"/>
          <w:sz w:val="27"/>
          <w:szCs w:val="27"/>
          <w:lang w:eastAsia="en-IN"/>
          <w14:ligatures w14:val="none"/>
        </w:rPr>
        <w:t>References</w:t>
      </w:r>
    </w:p>
    <w:p w14:paraId="43690519"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Adhikari, L., Hussain, A., &amp; Rasul, G. (2017). Tapping the Potential of Neglected and Underutilized Food Crops for Sustainable Nutrition Security in the Mountains of Pakistan and Nepal. Sustainability, 9(2), 291. </w:t>
      </w:r>
      <w:hyperlink r:id="rId8" w:history="1">
        <w:r w:rsidRPr="000807DC">
          <w:rPr>
            <w:rStyle w:val="Hyperlink"/>
            <w:rFonts w:ascii="Times New Roman" w:eastAsia="Times New Roman" w:hAnsi="Times New Roman" w:cs="Times New Roman"/>
            <w:kern w:val="0"/>
            <w:sz w:val="24"/>
            <w:szCs w:val="24"/>
            <w:lang w:eastAsia="en-IN"/>
            <w14:ligatures w14:val="none"/>
          </w:rPr>
          <w:t>https://doi.org/10.3390/su9020291</w:t>
        </w:r>
      </w:hyperlink>
      <w:r w:rsidRPr="000807DC">
        <w:rPr>
          <w:rFonts w:ascii="Times New Roman" w:eastAsia="Times New Roman" w:hAnsi="Times New Roman" w:cs="Times New Roman"/>
          <w:kern w:val="0"/>
          <w:sz w:val="24"/>
          <w:szCs w:val="24"/>
          <w:lang w:eastAsia="en-IN"/>
          <w14:ligatures w14:val="none"/>
        </w:rPr>
        <w:t xml:space="preserve"> </w:t>
      </w:r>
    </w:p>
    <w:p w14:paraId="2EF569EC"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Adugna, W. (2026). Contribution of soil and water conservation practices to livelihood improvement and land resource restoration in </w:t>
      </w:r>
      <w:proofErr w:type="spellStart"/>
      <w:r w:rsidRPr="000807DC">
        <w:rPr>
          <w:rFonts w:ascii="Times New Roman" w:eastAsia="Times New Roman" w:hAnsi="Times New Roman" w:cs="Times New Roman"/>
          <w:kern w:val="0"/>
          <w:sz w:val="24"/>
          <w:szCs w:val="24"/>
          <w:lang w:eastAsia="en-IN"/>
          <w14:ligatures w14:val="none"/>
        </w:rPr>
        <w:t>Meribo</w:t>
      </w:r>
      <w:proofErr w:type="spellEnd"/>
      <w:r w:rsidRPr="000807DC">
        <w:rPr>
          <w:rFonts w:ascii="Times New Roman" w:eastAsia="Times New Roman" w:hAnsi="Times New Roman" w:cs="Times New Roman"/>
          <w:kern w:val="0"/>
          <w:sz w:val="24"/>
          <w:szCs w:val="24"/>
          <w:lang w:eastAsia="en-IN"/>
          <w14:ligatures w14:val="none"/>
        </w:rPr>
        <w:t xml:space="preserve"> and </w:t>
      </w:r>
      <w:proofErr w:type="spellStart"/>
      <w:r w:rsidRPr="000807DC">
        <w:rPr>
          <w:rFonts w:ascii="Times New Roman" w:eastAsia="Times New Roman" w:hAnsi="Times New Roman" w:cs="Times New Roman"/>
          <w:kern w:val="0"/>
          <w:sz w:val="24"/>
          <w:szCs w:val="24"/>
          <w:lang w:eastAsia="en-IN"/>
          <w14:ligatures w14:val="none"/>
        </w:rPr>
        <w:t>Halu</w:t>
      </w:r>
      <w:proofErr w:type="spellEnd"/>
      <w:r w:rsidRPr="000807DC">
        <w:rPr>
          <w:rFonts w:ascii="Times New Roman" w:eastAsia="Times New Roman" w:hAnsi="Times New Roman" w:cs="Times New Roman"/>
          <w:kern w:val="0"/>
          <w:sz w:val="24"/>
          <w:szCs w:val="24"/>
          <w:lang w:eastAsia="en-IN"/>
          <w14:ligatures w14:val="none"/>
        </w:rPr>
        <w:t xml:space="preserve"> Sub-Watersheds, </w:t>
      </w:r>
      <w:proofErr w:type="spellStart"/>
      <w:r w:rsidRPr="000807DC">
        <w:rPr>
          <w:rFonts w:ascii="Times New Roman" w:eastAsia="Times New Roman" w:hAnsi="Times New Roman" w:cs="Times New Roman"/>
          <w:kern w:val="0"/>
          <w:sz w:val="24"/>
          <w:szCs w:val="24"/>
          <w:lang w:eastAsia="en-IN"/>
          <w14:ligatures w14:val="none"/>
        </w:rPr>
        <w:t>Wondogenet</w:t>
      </w:r>
      <w:proofErr w:type="spellEnd"/>
      <w:r w:rsidRPr="000807DC">
        <w:rPr>
          <w:rFonts w:ascii="Times New Roman" w:eastAsia="Times New Roman" w:hAnsi="Times New Roman" w:cs="Times New Roman"/>
          <w:kern w:val="0"/>
          <w:sz w:val="24"/>
          <w:szCs w:val="24"/>
          <w:lang w:eastAsia="en-IN"/>
          <w14:ligatures w14:val="none"/>
        </w:rPr>
        <w:t xml:space="preserve"> Woreda, Sidama Region, Ethiopia. Asian Journal of Research and Review in Agriculture, 8(1), 55–72. </w:t>
      </w:r>
      <w:hyperlink r:id="rId9" w:history="1">
        <w:r w:rsidRPr="000807DC">
          <w:rPr>
            <w:rStyle w:val="Hyperlink"/>
            <w:rFonts w:ascii="Times New Roman" w:eastAsia="Times New Roman" w:hAnsi="Times New Roman" w:cs="Times New Roman"/>
            <w:kern w:val="0"/>
            <w:sz w:val="24"/>
            <w:szCs w:val="24"/>
            <w:lang w:eastAsia="en-IN"/>
            <w14:ligatures w14:val="none"/>
          </w:rPr>
          <w:t>https://doi.org/10.56557/ajrra/2026/v8i1195</w:t>
        </w:r>
      </w:hyperlink>
      <w:r w:rsidRPr="000807DC">
        <w:rPr>
          <w:rFonts w:ascii="Times New Roman" w:eastAsia="Times New Roman" w:hAnsi="Times New Roman" w:cs="Times New Roman"/>
          <w:kern w:val="0"/>
          <w:sz w:val="24"/>
          <w:szCs w:val="24"/>
          <w:lang w:eastAsia="en-IN"/>
          <w14:ligatures w14:val="none"/>
        </w:rPr>
        <w:t xml:space="preserve"> </w:t>
      </w:r>
    </w:p>
    <w:p w14:paraId="17ED5469"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Altieri, M. A., Nicholls, C. I., Henao, A., &amp; Lana, M. A. (2015). Agroecology and the design of climate change-resilient farming systems. </w:t>
      </w:r>
      <w:r w:rsidRPr="000807DC">
        <w:rPr>
          <w:rFonts w:ascii="Times New Roman" w:eastAsia="Times New Roman" w:hAnsi="Times New Roman" w:cs="Times New Roman"/>
          <w:i/>
          <w:iCs/>
          <w:kern w:val="0"/>
          <w:sz w:val="24"/>
          <w:szCs w:val="24"/>
          <w:lang w:eastAsia="en-IN"/>
          <w14:ligatures w14:val="none"/>
        </w:rPr>
        <w:t>Agronomy for Sustainable Development</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35</w:t>
      </w:r>
      <w:r w:rsidRPr="000807DC">
        <w:rPr>
          <w:rFonts w:ascii="Times New Roman" w:eastAsia="Times New Roman" w:hAnsi="Times New Roman" w:cs="Times New Roman"/>
          <w:kern w:val="0"/>
          <w:sz w:val="24"/>
          <w:szCs w:val="24"/>
          <w:lang w:eastAsia="en-IN"/>
          <w14:ligatures w14:val="none"/>
        </w:rPr>
        <w:t xml:space="preserve">, 869–890. </w:t>
      </w:r>
      <w:hyperlink r:id="rId10" w:history="1">
        <w:r w:rsidRPr="000807DC">
          <w:rPr>
            <w:rFonts w:ascii="Times New Roman" w:eastAsia="Times New Roman" w:hAnsi="Times New Roman" w:cs="Times New Roman"/>
            <w:color w:val="0000FF"/>
            <w:kern w:val="0"/>
            <w:sz w:val="24"/>
            <w:szCs w:val="24"/>
            <w:u w:val="single"/>
            <w:lang w:eastAsia="en-IN"/>
            <w14:ligatures w14:val="none"/>
          </w:rPr>
          <w:t>https://doi.org/10.1007/s13593-015-0285-2</w:t>
        </w:r>
      </w:hyperlink>
    </w:p>
    <w:p w14:paraId="06CBF32D"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Barrett, C. B. (2008). Smallholder market participation: Concepts and evidence from eastern and southern Africa. </w:t>
      </w:r>
      <w:r w:rsidRPr="000807DC">
        <w:rPr>
          <w:rFonts w:ascii="Times New Roman" w:eastAsia="Times New Roman" w:hAnsi="Times New Roman" w:cs="Times New Roman"/>
          <w:i/>
          <w:iCs/>
          <w:kern w:val="0"/>
          <w:sz w:val="24"/>
          <w:szCs w:val="24"/>
          <w:lang w:eastAsia="en-IN"/>
          <w14:ligatures w14:val="none"/>
        </w:rPr>
        <w:t>Food Policy</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33</w:t>
      </w:r>
      <w:r w:rsidRPr="000807DC">
        <w:rPr>
          <w:rFonts w:ascii="Times New Roman" w:eastAsia="Times New Roman" w:hAnsi="Times New Roman" w:cs="Times New Roman"/>
          <w:kern w:val="0"/>
          <w:sz w:val="24"/>
          <w:szCs w:val="24"/>
          <w:lang w:eastAsia="en-IN"/>
          <w14:ligatures w14:val="none"/>
        </w:rPr>
        <w:t xml:space="preserve">(4), 299–317. </w:t>
      </w:r>
      <w:hyperlink r:id="rId11" w:history="1">
        <w:r w:rsidRPr="000807DC">
          <w:rPr>
            <w:rFonts w:ascii="Times New Roman" w:eastAsia="Times New Roman" w:hAnsi="Times New Roman" w:cs="Times New Roman"/>
            <w:color w:val="0000FF"/>
            <w:kern w:val="0"/>
            <w:sz w:val="24"/>
            <w:szCs w:val="24"/>
            <w:u w:val="single"/>
            <w:lang w:eastAsia="en-IN"/>
            <w14:ligatures w14:val="none"/>
          </w:rPr>
          <w:t>https://doi.org/10.1016/j.foodpol.2007.10.005</w:t>
        </w:r>
      </w:hyperlink>
    </w:p>
    <w:p w14:paraId="593CAD35"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Bengtsson, J., </w:t>
      </w:r>
      <w:proofErr w:type="spellStart"/>
      <w:r w:rsidRPr="000807DC">
        <w:rPr>
          <w:rFonts w:ascii="Times New Roman" w:eastAsia="Times New Roman" w:hAnsi="Times New Roman" w:cs="Times New Roman"/>
          <w:kern w:val="0"/>
          <w:sz w:val="24"/>
          <w:szCs w:val="24"/>
          <w:lang w:eastAsia="en-IN"/>
          <w14:ligatures w14:val="none"/>
        </w:rPr>
        <w:t>Ahnström</w:t>
      </w:r>
      <w:proofErr w:type="spellEnd"/>
      <w:r w:rsidRPr="000807DC">
        <w:rPr>
          <w:rFonts w:ascii="Times New Roman" w:eastAsia="Times New Roman" w:hAnsi="Times New Roman" w:cs="Times New Roman"/>
          <w:kern w:val="0"/>
          <w:sz w:val="24"/>
          <w:szCs w:val="24"/>
          <w:lang w:eastAsia="en-IN"/>
          <w14:ligatures w14:val="none"/>
        </w:rPr>
        <w:t xml:space="preserve">, J., &amp; Weibull, A. C. (2005). The effects of organic agriculture on biodiversity and abundance: A meta-analysis. </w:t>
      </w:r>
      <w:r w:rsidRPr="000807DC">
        <w:rPr>
          <w:rFonts w:ascii="Times New Roman" w:eastAsia="Times New Roman" w:hAnsi="Times New Roman" w:cs="Times New Roman"/>
          <w:i/>
          <w:iCs/>
          <w:kern w:val="0"/>
          <w:sz w:val="24"/>
          <w:szCs w:val="24"/>
          <w:lang w:eastAsia="en-IN"/>
          <w14:ligatures w14:val="none"/>
        </w:rPr>
        <w:t>Journal of Applied Ecology</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42</w:t>
      </w:r>
      <w:r w:rsidRPr="000807DC">
        <w:rPr>
          <w:rFonts w:ascii="Times New Roman" w:eastAsia="Times New Roman" w:hAnsi="Times New Roman" w:cs="Times New Roman"/>
          <w:kern w:val="0"/>
          <w:sz w:val="24"/>
          <w:szCs w:val="24"/>
          <w:lang w:eastAsia="en-IN"/>
          <w14:ligatures w14:val="none"/>
        </w:rPr>
        <w:t xml:space="preserve">(2), 261–269. </w:t>
      </w:r>
      <w:hyperlink r:id="rId12" w:history="1">
        <w:r w:rsidRPr="000807DC">
          <w:rPr>
            <w:rFonts w:ascii="Times New Roman" w:eastAsia="Times New Roman" w:hAnsi="Times New Roman" w:cs="Times New Roman"/>
            <w:color w:val="0000FF"/>
            <w:kern w:val="0"/>
            <w:sz w:val="24"/>
            <w:szCs w:val="24"/>
            <w:u w:val="single"/>
            <w:lang w:eastAsia="en-IN"/>
            <w14:ligatures w14:val="none"/>
          </w:rPr>
          <w:t>https://doi.org/10.1111/j.1365-2664.2005.01005.x</w:t>
        </w:r>
      </w:hyperlink>
    </w:p>
    <w:p w14:paraId="07CDBC60"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Berkes, F., Colding, J., &amp; Folke, C. (2000). Rediscovery of traditional ecological knowledge as adaptive management. </w:t>
      </w:r>
      <w:r w:rsidRPr="000807DC">
        <w:rPr>
          <w:rFonts w:ascii="Times New Roman" w:eastAsia="Times New Roman" w:hAnsi="Times New Roman" w:cs="Times New Roman"/>
          <w:i/>
          <w:iCs/>
          <w:kern w:val="0"/>
          <w:sz w:val="24"/>
          <w:szCs w:val="24"/>
          <w:lang w:eastAsia="en-IN"/>
          <w14:ligatures w14:val="none"/>
        </w:rPr>
        <w:t>Ecological Applications</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10</w:t>
      </w:r>
      <w:r w:rsidRPr="000807DC">
        <w:rPr>
          <w:rFonts w:ascii="Times New Roman" w:eastAsia="Times New Roman" w:hAnsi="Times New Roman" w:cs="Times New Roman"/>
          <w:kern w:val="0"/>
          <w:sz w:val="24"/>
          <w:szCs w:val="24"/>
          <w:lang w:eastAsia="en-IN"/>
          <w14:ligatures w14:val="none"/>
        </w:rPr>
        <w:t xml:space="preserve">(5), 1251–1262. </w:t>
      </w:r>
      <w:hyperlink r:id="rId13" w:history="1">
        <w:r w:rsidRPr="000807DC">
          <w:rPr>
            <w:rFonts w:ascii="Times New Roman" w:eastAsia="Times New Roman" w:hAnsi="Times New Roman" w:cs="Times New Roman"/>
            <w:color w:val="0000FF"/>
            <w:kern w:val="0"/>
            <w:sz w:val="24"/>
            <w:szCs w:val="24"/>
            <w:u w:val="single"/>
            <w:lang w:eastAsia="en-IN"/>
            <w14:ligatures w14:val="none"/>
          </w:rPr>
          <w:t>https://doi.org/10.1890/1051-0761(2000)010[1251:ROTEKA]2.0.CO;2</w:t>
        </w:r>
      </w:hyperlink>
    </w:p>
    <w:p w14:paraId="7AC0547C"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Bertsch-Hoermann, B., Egger, C., </w:t>
      </w:r>
      <w:proofErr w:type="spellStart"/>
      <w:r w:rsidRPr="000807DC">
        <w:rPr>
          <w:rFonts w:ascii="Times New Roman" w:eastAsia="Times New Roman" w:hAnsi="Times New Roman" w:cs="Times New Roman"/>
          <w:kern w:val="0"/>
          <w:sz w:val="24"/>
          <w:szCs w:val="24"/>
          <w:lang w:eastAsia="en-IN"/>
          <w14:ligatures w14:val="none"/>
        </w:rPr>
        <w:t>Gaube</w:t>
      </w:r>
      <w:proofErr w:type="spellEnd"/>
      <w:r w:rsidRPr="000807DC">
        <w:rPr>
          <w:rFonts w:ascii="Times New Roman" w:eastAsia="Times New Roman" w:hAnsi="Times New Roman" w:cs="Times New Roman"/>
          <w:kern w:val="0"/>
          <w:sz w:val="24"/>
          <w:szCs w:val="24"/>
          <w:lang w:eastAsia="en-IN"/>
          <w14:ligatures w14:val="none"/>
        </w:rPr>
        <w:t xml:space="preserve">, V., &amp; Gingrich, S. (2021). Agroforestry trade-offs between biomass provision and aboveground carbon sequestration in the alpine </w:t>
      </w:r>
      <w:r w:rsidRPr="000807DC">
        <w:rPr>
          <w:rFonts w:ascii="Times New Roman" w:eastAsia="Times New Roman" w:hAnsi="Times New Roman" w:cs="Times New Roman"/>
          <w:kern w:val="0"/>
          <w:sz w:val="24"/>
          <w:szCs w:val="24"/>
          <w:lang w:eastAsia="en-IN"/>
          <w14:ligatures w14:val="none"/>
        </w:rPr>
        <w:lastRenderedPageBreak/>
        <w:t xml:space="preserve">Eisenwurzen region, Austria. </w:t>
      </w:r>
      <w:r w:rsidRPr="000807DC">
        <w:rPr>
          <w:rFonts w:ascii="Times New Roman" w:eastAsia="Times New Roman" w:hAnsi="Times New Roman" w:cs="Times New Roman"/>
          <w:i/>
          <w:iCs/>
          <w:kern w:val="0"/>
          <w:sz w:val="24"/>
          <w:szCs w:val="24"/>
          <w:lang w:eastAsia="en-IN"/>
          <w14:ligatures w14:val="none"/>
        </w:rPr>
        <w:t>Regional Environmental Change, 21</w:t>
      </w:r>
      <w:r w:rsidRPr="000807DC">
        <w:rPr>
          <w:rFonts w:ascii="Times New Roman" w:eastAsia="Times New Roman" w:hAnsi="Times New Roman" w:cs="Times New Roman"/>
          <w:kern w:val="0"/>
          <w:sz w:val="24"/>
          <w:szCs w:val="24"/>
          <w:lang w:eastAsia="en-IN"/>
          <w14:ligatures w14:val="none"/>
        </w:rPr>
        <w:t xml:space="preserve">, Article 77. </w:t>
      </w:r>
      <w:hyperlink r:id="rId14" w:history="1">
        <w:r w:rsidRPr="000807DC">
          <w:rPr>
            <w:rStyle w:val="Hyperlink"/>
            <w:rFonts w:ascii="Times New Roman" w:eastAsia="Times New Roman" w:hAnsi="Times New Roman" w:cs="Times New Roman"/>
            <w:kern w:val="0"/>
            <w:sz w:val="24"/>
            <w:szCs w:val="24"/>
            <w:lang w:eastAsia="en-IN"/>
            <w14:ligatures w14:val="none"/>
          </w:rPr>
          <w:t>https://doi.org/10.1007/s10113-021-01794-y</w:t>
        </w:r>
      </w:hyperlink>
      <w:r w:rsidRPr="000807DC">
        <w:rPr>
          <w:rFonts w:ascii="Times New Roman" w:eastAsia="Times New Roman" w:hAnsi="Times New Roman" w:cs="Times New Roman"/>
          <w:kern w:val="0"/>
          <w:sz w:val="24"/>
          <w:szCs w:val="24"/>
          <w:lang w:eastAsia="en-IN"/>
          <w14:ligatures w14:val="none"/>
        </w:rPr>
        <w:t xml:space="preserve"> </w:t>
      </w:r>
    </w:p>
    <w:p w14:paraId="3F76204B" w14:textId="77777777" w:rsidR="00DE49C8" w:rsidRPr="00E059D5" w:rsidRDefault="00000000">
      <w:pPr>
        <w:spacing w:before="100" w:after="100" w:line="240" w:lineRule="auto"/>
        <w:ind w:left="360"/>
        <w:rPr>
          <w:bCs/>
        </w:rPr>
      </w:pPr>
      <w:r w:rsidRPr="00E059D5">
        <w:rPr>
          <w:bCs/>
          <w:highlight w:val="yellow"/>
        </w:rPr>
        <w:t>Belliggiano, A., Ievoli, C., Bispini, S., &amp; Conti, M. (2024). Food value chains configurations and resilience of rural mountain communities: Three dairy business models in central Apennines (Italy). Frontiers in Sustainable Food Systems, 8, Article 1436214. https://doi.org/10.3389/fsufs.2024.1436214</w:t>
      </w:r>
    </w:p>
    <w:p w14:paraId="31C1B1D7"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Biggs, R., Schlüter, M., Biggs, D., Bohensky, E. L., </w:t>
      </w:r>
      <w:proofErr w:type="spellStart"/>
      <w:r w:rsidRPr="000807DC">
        <w:rPr>
          <w:rFonts w:ascii="Times New Roman" w:eastAsia="Times New Roman" w:hAnsi="Times New Roman" w:cs="Times New Roman"/>
          <w:kern w:val="0"/>
          <w:sz w:val="24"/>
          <w:szCs w:val="24"/>
          <w:lang w:eastAsia="en-IN"/>
          <w14:ligatures w14:val="none"/>
        </w:rPr>
        <w:t>BurnSilver</w:t>
      </w:r>
      <w:proofErr w:type="spellEnd"/>
      <w:r w:rsidRPr="000807DC">
        <w:rPr>
          <w:rFonts w:ascii="Times New Roman" w:eastAsia="Times New Roman" w:hAnsi="Times New Roman" w:cs="Times New Roman"/>
          <w:kern w:val="0"/>
          <w:sz w:val="24"/>
          <w:szCs w:val="24"/>
          <w:lang w:eastAsia="en-IN"/>
          <w14:ligatures w14:val="none"/>
        </w:rPr>
        <w:t xml:space="preserve">, S., </w:t>
      </w:r>
      <w:proofErr w:type="spellStart"/>
      <w:r w:rsidRPr="000807DC">
        <w:rPr>
          <w:rFonts w:ascii="Times New Roman" w:eastAsia="Times New Roman" w:hAnsi="Times New Roman" w:cs="Times New Roman"/>
          <w:kern w:val="0"/>
          <w:sz w:val="24"/>
          <w:szCs w:val="24"/>
          <w:lang w:eastAsia="en-IN"/>
          <w14:ligatures w14:val="none"/>
        </w:rPr>
        <w:t>Cundill</w:t>
      </w:r>
      <w:proofErr w:type="spellEnd"/>
      <w:r w:rsidRPr="000807DC">
        <w:rPr>
          <w:rFonts w:ascii="Times New Roman" w:eastAsia="Times New Roman" w:hAnsi="Times New Roman" w:cs="Times New Roman"/>
          <w:kern w:val="0"/>
          <w:sz w:val="24"/>
          <w:szCs w:val="24"/>
          <w:lang w:eastAsia="en-IN"/>
          <w14:ligatures w14:val="none"/>
        </w:rPr>
        <w:t xml:space="preserve">, G., Dakos, V., Daw, T. M., Evans, L. S., Kotschy, K., Leitch, A. M., Meek, C., Quinlan, A., Raudsepp-Hearne, C., Robards, M. D., Schoon, M. L., Schultz, L., &amp; West, P. C. (2012). Toward principles for enhancing the resilience of ecosystem services. </w:t>
      </w:r>
      <w:r w:rsidRPr="000807DC">
        <w:rPr>
          <w:rFonts w:ascii="Times New Roman" w:eastAsia="Times New Roman" w:hAnsi="Times New Roman" w:cs="Times New Roman"/>
          <w:i/>
          <w:iCs/>
          <w:kern w:val="0"/>
          <w:sz w:val="24"/>
          <w:szCs w:val="24"/>
          <w:lang w:eastAsia="en-IN"/>
          <w14:ligatures w14:val="none"/>
        </w:rPr>
        <w:t>Annual Review of Environment and Resources</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37</w:t>
      </w:r>
      <w:r w:rsidRPr="000807DC">
        <w:rPr>
          <w:rFonts w:ascii="Times New Roman" w:eastAsia="Times New Roman" w:hAnsi="Times New Roman" w:cs="Times New Roman"/>
          <w:kern w:val="0"/>
          <w:sz w:val="24"/>
          <w:szCs w:val="24"/>
          <w:lang w:eastAsia="en-IN"/>
          <w14:ligatures w14:val="none"/>
        </w:rPr>
        <w:t xml:space="preserve">, 421–448. </w:t>
      </w:r>
      <w:hyperlink r:id="rId15" w:history="1">
        <w:r w:rsidRPr="000807DC">
          <w:rPr>
            <w:rFonts w:ascii="Times New Roman" w:eastAsia="Times New Roman" w:hAnsi="Times New Roman" w:cs="Times New Roman"/>
            <w:color w:val="0000FF"/>
            <w:kern w:val="0"/>
            <w:sz w:val="24"/>
            <w:szCs w:val="24"/>
            <w:u w:val="single"/>
            <w:lang w:eastAsia="en-IN"/>
            <w14:ligatures w14:val="none"/>
          </w:rPr>
          <w:t>https://doi.org/10.1146/annurev-environ-051211-123836</w:t>
        </w:r>
      </w:hyperlink>
    </w:p>
    <w:p w14:paraId="6ED061B7"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Carletto, C., Corral, P., &amp; </w:t>
      </w:r>
      <w:proofErr w:type="spellStart"/>
      <w:r w:rsidRPr="000807DC">
        <w:rPr>
          <w:rFonts w:ascii="Times New Roman" w:eastAsia="Times New Roman" w:hAnsi="Times New Roman" w:cs="Times New Roman"/>
          <w:kern w:val="0"/>
          <w:sz w:val="24"/>
          <w:szCs w:val="24"/>
          <w:lang w:eastAsia="en-IN"/>
          <w14:ligatures w14:val="none"/>
        </w:rPr>
        <w:t>Guelfi</w:t>
      </w:r>
      <w:proofErr w:type="spellEnd"/>
      <w:r w:rsidRPr="000807DC">
        <w:rPr>
          <w:rFonts w:ascii="Times New Roman" w:eastAsia="Times New Roman" w:hAnsi="Times New Roman" w:cs="Times New Roman"/>
          <w:kern w:val="0"/>
          <w:sz w:val="24"/>
          <w:szCs w:val="24"/>
          <w:lang w:eastAsia="en-IN"/>
          <w14:ligatures w14:val="none"/>
        </w:rPr>
        <w:t xml:space="preserve">, A. (2017). Agricultural commercialisation and nutrition revisited: Empirical evidence from three African countries. </w:t>
      </w:r>
      <w:r w:rsidRPr="000807DC">
        <w:rPr>
          <w:rFonts w:ascii="Times New Roman" w:eastAsia="Times New Roman" w:hAnsi="Times New Roman" w:cs="Times New Roman"/>
          <w:i/>
          <w:iCs/>
          <w:kern w:val="0"/>
          <w:sz w:val="24"/>
          <w:szCs w:val="24"/>
          <w:lang w:eastAsia="en-IN"/>
          <w14:ligatures w14:val="none"/>
        </w:rPr>
        <w:t>Food Policy</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67</w:t>
      </w:r>
      <w:r w:rsidRPr="000807DC">
        <w:rPr>
          <w:rFonts w:ascii="Times New Roman" w:eastAsia="Times New Roman" w:hAnsi="Times New Roman" w:cs="Times New Roman"/>
          <w:kern w:val="0"/>
          <w:sz w:val="24"/>
          <w:szCs w:val="24"/>
          <w:lang w:eastAsia="en-IN"/>
          <w14:ligatures w14:val="none"/>
        </w:rPr>
        <w:t xml:space="preserve">, 106–118. </w:t>
      </w:r>
      <w:hyperlink r:id="rId16" w:history="1">
        <w:r w:rsidRPr="000807DC">
          <w:rPr>
            <w:rFonts w:ascii="Times New Roman" w:eastAsia="Times New Roman" w:hAnsi="Times New Roman" w:cs="Times New Roman"/>
            <w:color w:val="0000FF"/>
            <w:kern w:val="0"/>
            <w:sz w:val="24"/>
            <w:szCs w:val="24"/>
            <w:u w:val="single"/>
            <w:lang w:eastAsia="en-IN"/>
            <w14:ligatures w14:val="none"/>
          </w:rPr>
          <w:t>https://doi.org/10.1016/j.foodpol.2016.09.020</w:t>
        </w:r>
      </w:hyperlink>
    </w:p>
    <w:p w14:paraId="4B4196CD"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Doss, C., </w:t>
      </w:r>
      <w:proofErr w:type="spellStart"/>
      <w:r w:rsidRPr="000807DC">
        <w:rPr>
          <w:rFonts w:ascii="Times New Roman" w:eastAsia="Times New Roman" w:hAnsi="Times New Roman" w:cs="Times New Roman"/>
          <w:kern w:val="0"/>
          <w:sz w:val="24"/>
          <w:szCs w:val="24"/>
          <w:lang w:eastAsia="en-IN"/>
          <w14:ligatures w14:val="none"/>
        </w:rPr>
        <w:t>Meinzen</w:t>
      </w:r>
      <w:proofErr w:type="spellEnd"/>
      <w:r w:rsidRPr="000807DC">
        <w:rPr>
          <w:rFonts w:ascii="Times New Roman" w:eastAsia="Times New Roman" w:hAnsi="Times New Roman" w:cs="Times New Roman"/>
          <w:kern w:val="0"/>
          <w:sz w:val="24"/>
          <w:szCs w:val="24"/>
          <w:lang w:eastAsia="en-IN"/>
          <w14:ligatures w14:val="none"/>
        </w:rPr>
        <w:t xml:space="preserve">-Dick, R., Quisumbing, A., &amp; Theis, S. (2018). Women in agriculture: Four myths. </w:t>
      </w:r>
      <w:r w:rsidRPr="000807DC">
        <w:rPr>
          <w:rFonts w:ascii="Times New Roman" w:eastAsia="Times New Roman" w:hAnsi="Times New Roman" w:cs="Times New Roman"/>
          <w:i/>
          <w:iCs/>
          <w:kern w:val="0"/>
          <w:sz w:val="24"/>
          <w:szCs w:val="24"/>
          <w:lang w:eastAsia="en-IN"/>
          <w14:ligatures w14:val="none"/>
        </w:rPr>
        <w:t>Global Food Security</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16</w:t>
      </w:r>
      <w:r w:rsidRPr="000807DC">
        <w:rPr>
          <w:rFonts w:ascii="Times New Roman" w:eastAsia="Times New Roman" w:hAnsi="Times New Roman" w:cs="Times New Roman"/>
          <w:kern w:val="0"/>
          <w:sz w:val="24"/>
          <w:szCs w:val="24"/>
          <w:lang w:eastAsia="en-IN"/>
          <w14:ligatures w14:val="none"/>
        </w:rPr>
        <w:t xml:space="preserve">, 69–74. </w:t>
      </w:r>
      <w:hyperlink r:id="rId17" w:history="1">
        <w:r w:rsidRPr="000807DC">
          <w:rPr>
            <w:rFonts w:ascii="Times New Roman" w:eastAsia="Times New Roman" w:hAnsi="Times New Roman" w:cs="Times New Roman"/>
            <w:color w:val="0000FF"/>
            <w:kern w:val="0"/>
            <w:sz w:val="24"/>
            <w:szCs w:val="24"/>
            <w:u w:val="single"/>
            <w:lang w:eastAsia="en-IN"/>
            <w14:ligatures w14:val="none"/>
          </w:rPr>
          <w:t>https://doi.org/10.1016/j.gfs.2017.10.001</w:t>
        </w:r>
      </w:hyperlink>
    </w:p>
    <w:p w14:paraId="2E4310EA"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FAO, IFAD, UNICEF, WFP, &amp; WHO. (2023). </w:t>
      </w:r>
      <w:r w:rsidRPr="000807DC">
        <w:rPr>
          <w:rFonts w:ascii="Times New Roman" w:eastAsia="Times New Roman" w:hAnsi="Times New Roman" w:cs="Times New Roman"/>
          <w:i/>
          <w:iCs/>
          <w:kern w:val="0"/>
          <w:sz w:val="24"/>
          <w:szCs w:val="24"/>
          <w:lang w:eastAsia="en-IN"/>
          <w14:ligatures w14:val="none"/>
        </w:rPr>
        <w:t>The State of Food Security and Nutrition in the World 2023: Urbanization, agrifood systems transformation and healthy diets across the rural–urban continuum</w:t>
      </w:r>
      <w:r w:rsidRPr="000807DC">
        <w:rPr>
          <w:rFonts w:ascii="Times New Roman" w:eastAsia="Times New Roman" w:hAnsi="Times New Roman" w:cs="Times New Roman"/>
          <w:kern w:val="0"/>
          <w:sz w:val="24"/>
          <w:szCs w:val="24"/>
          <w:lang w:eastAsia="en-IN"/>
          <w14:ligatures w14:val="none"/>
        </w:rPr>
        <w:t xml:space="preserve">. Food and Agriculture Organization of the United Nations. </w:t>
      </w:r>
      <w:hyperlink r:id="rId18" w:history="1">
        <w:r w:rsidRPr="000807DC">
          <w:rPr>
            <w:rFonts w:ascii="Times New Roman" w:eastAsia="Times New Roman" w:hAnsi="Times New Roman" w:cs="Times New Roman"/>
            <w:color w:val="0000FF"/>
            <w:kern w:val="0"/>
            <w:sz w:val="24"/>
            <w:szCs w:val="24"/>
            <w:u w:val="single"/>
            <w:lang w:eastAsia="en-IN"/>
            <w14:ligatures w14:val="none"/>
          </w:rPr>
          <w:t>https://doi.org/10.4060/cc3017en</w:t>
        </w:r>
      </w:hyperlink>
    </w:p>
    <w:p w14:paraId="5DEC9DB3"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FAO. (2011). </w:t>
      </w:r>
      <w:r w:rsidRPr="000807DC">
        <w:rPr>
          <w:rFonts w:ascii="Times New Roman" w:eastAsia="Times New Roman" w:hAnsi="Times New Roman" w:cs="Times New Roman"/>
          <w:i/>
          <w:iCs/>
          <w:kern w:val="0"/>
          <w:sz w:val="24"/>
          <w:szCs w:val="24"/>
          <w:lang w:eastAsia="en-IN"/>
          <w14:ligatures w14:val="none"/>
        </w:rPr>
        <w:t>The State of Food and Agriculture 2010–2011: Women in agriculture—Closing the gender gap for development</w:t>
      </w:r>
      <w:r w:rsidRPr="000807DC">
        <w:rPr>
          <w:rFonts w:ascii="Times New Roman" w:eastAsia="Times New Roman" w:hAnsi="Times New Roman" w:cs="Times New Roman"/>
          <w:kern w:val="0"/>
          <w:sz w:val="24"/>
          <w:szCs w:val="24"/>
          <w:lang w:eastAsia="en-IN"/>
          <w14:ligatures w14:val="none"/>
        </w:rPr>
        <w:t xml:space="preserve">. Food and Agriculture Organization of the United Nations. </w:t>
      </w:r>
      <w:hyperlink r:id="rId19" w:history="1">
        <w:r w:rsidRPr="000807DC">
          <w:rPr>
            <w:rFonts w:ascii="Times New Roman" w:eastAsia="Times New Roman" w:hAnsi="Times New Roman" w:cs="Times New Roman"/>
            <w:color w:val="0000FF"/>
            <w:kern w:val="0"/>
            <w:sz w:val="24"/>
            <w:szCs w:val="24"/>
            <w:u w:val="single"/>
            <w:lang w:eastAsia="en-IN"/>
            <w14:ligatures w14:val="none"/>
          </w:rPr>
          <w:t>https://www.fao.org/3/i2050e/i2050e.pdf</w:t>
        </w:r>
      </w:hyperlink>
    </w:p>
    <w:p w14:paraId="596ABACF"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FAO. (2014). </w:t>
      </w:r>
      <w:r w:rsidRPr="000807DC">
        <w:rPr>
          <w:rFonts w:ascii="Times New Roman" w:eastAsia="Times New Roman" w:hAnsi="Times New Roman" w:cs="Times New Roman"/>
          <w:i/>
          <w:iCs/>
          <w:kern w:val="0"/>
          <w:sz w:val="24"/>
          <w:szCs w:val="24"/>
          <w:lang w:eastAsia="en-IN"/>
          <w14:ligatures w14:val="none"/>
        </w:rPr>
        <w:t>Mountain farming is family farming: A contribution to the International Year of Family Farming</w:t>
      </w:r>
      <w:r w:rsidRPr="000807DC">
        <w:rPr>
          <w:rFonts w:ascii="Times New Roman" w:eastAsia="Times New Roman" w:hAnsi="Times New Roman" w:cs="Times New Roman"/>
          <w:kern w:val="0"/>
          <w:sz w:val="24"/>
          <w:szCs w:val="24"/>
          <w:lang w:eastAsia="en-IN"/>
          <w14:ligatures w14:val="none"/>
        </w:rPr>
        <w:t xml:space="preserve">. Food and Agriculture Organization of the United Nations. </w:t>
      </w:r>
      <w:hyperlink r:id="rId20" w:history="1">
        <w:r w:rsidRPr="000807DC">
          <w:rPr>
            <w:rFonts w:ascii="Times New Roman" w:eastAsia="Times New Roman" w:hAnsi="Times New Roman" w:cs="Times New Roman"/>
            <w:color w:val="0000FF"/>
            <w:kern w:val="0"/>
            <w:sz w:val="24"/>
            <w:szCs w:val="24"/>
            <w:u w:val="single"/>
            <w:lang w:eastAsia="en-IN"/>
            <w14:ligatures w14:val="none"/>
          </w:rPr>
          <w:t>https://www.fao.org/3/i3480e/i3480e.pdf</w:t>
        </w:r>
      </w:hyperlink>
    </w:p>
    <w:p w14:paraId="6E8D8EC8"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FAO. (2021). </w:t>
      </w:r>
      <w:r w:rsidRPr="000807DC">
        <w:rPr>
          <w:rFonts w:ascii="Times New Roman" w:eastAsia="Times New Roman" w:hAnsi="Times New Roman" w:cs="Times New Roman"/>
          <w:i/>
          <w:iCs/>
          <w:kern w:val="0"/>
          <w:sz w:val="24"/>
          <w:szCs w:val="24"/>
          <w:lang w:eastAsia="en-IN"/>
          <w14:ligatures w14:val="none"/>
        </w:rPr>
        <w:t>The State of Food and Agriculture 2021: Making agrifood systems more resilient to shocks and stresses</w:t>
      </w:r>
      <w:r w:rsidRPr="000807DC">
        <w:rPr>
          <w:rFonts w:ascii="Times New Roman" w:eastAsia="Times New Roman" w:hAnsi="Times New Roman" w:cs="Times New Roman"/>
          <w:kern w:val="0"/>
          <w:sz w:val="24"/>
          <w:szCs w:val="24"/>
          <w:lang w:eastAsia="en-IN"/>
          <w14:ligatures w14:val="none"/>
        </w:rPr>
        <w:t xml:space="preserve">. Food and Agriculture Organization of the United Nations. </w:t>
      </w:r>
      <w:hyperlink r:id="rId21" w:history="1">
        <w:r w:rsidRPr="000807DC">
          <w:rPr>
            <w:rFonts w:ascii="Times New Roman" w:eastAsia="Times New Roman" w:hAnsi="Times New Roman" w:cs="Times New Roman"/>
            <w:color w:val="0000FF"/>
            <w:kern w:val="0"/>
            <w:sz w:val="24"/>
            <w:szCs w:val="24"/>
            <w:u w:val="single"/>
            <w:lang w:eastAsia="en-IN"/>
            <w14:ligatures w14:val="none"/>
          </w:rPr>
          <w:t>https://doi.org/10.4060/cb4476en</w:t>
        </w:r>
      </w:hyperlink>
    </w:p>
    <w:p w14:paraId="47AB8AF6"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Fischer, E., &amp; Qaim, M. (2012). Linking smallholders to markets: Determinants and impacts of farmer collective action in Kenya. </w:t>
      </w:r>
      <w:r w:rsidRPr="000807DC">
        <w:rPr>
          <w:rFonts w:ascii="Times New Roman" w:eastAsia="Times New Roman" w:hAnsi="Times New Roman" w:cs="Times New Roman"/>
          <w:i/>
          <w:iCs/>
          <w:kern w:val="0"/>
          <w:sz w:val="24"/>
          <w:szCs w:val="24"/>
          <w:lang w:eastAsia="en-IN"/>
          <w14:ligatures w14:val="none"/>
        </w:rPr>
        <w:t>World Development</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40</w:t>
      </w:r>
      <w:r w:rsidRPr="000807DC">
        <w:rPr>
          <w:rFonts w:ascii="Times New Roman" w:eastAsia="Times New Roman" w:hAnsi="Times New Roman" w:cs="Times New Roman"/>
          <w:kern w:val="0"/>
          <w:sz w:val="24"/>
          <w:szCs w:val="24"/>
          <w:lang w:eastAsia="en-IN"/>
          <w14:ligatures w14:val="none"/>
        </w:rPr>
        <w:t xml:space="preserve">(6), 1255–1268. </w:t>
      </w:r>
      <w:hyperlink r:id="rId22" w:history="1">
        <w:r w:rsidRPr="000807DC">
          <w:rPr>
            <w:rFonts w:ascii="Times New Roman" w:eastAsia="Times New Roman" w:hAnsi="Times New Roman" w:cs="Times New Roman"/>
            <w:color w:val="0000FF"/>
            <w:kern w:val="0"/>
            <w:sz w:val="24"/>
            <w:szCs w:val="24"/>
            <w:u w:val="single"/>
            <w:lang w:eastAsia="en-IN"/>
            <w14:ligatures w14:val="none"/>
          </w:rPr>
          <w:t>https://doi.org/10.1016/j.worlddev.2011.11.018</w:t>
        </w:r>
      </w:hyperlink>
    </w:p>
    <w:p w14:paraId="1AFEE665"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Folke, C. (2006). Resilience: The emergence of a perspective for social–ecological systems analyses. </w:t>
      </w:r>
      <w:r w:rsidRPr="000807DC">
        <w:rPr>
          <w:rFonts w:ascii="Times New Roman" w:eastAsia="Times New Roman" w:hAnsi="Times New Roman" w:cs="Times New Roman"/>
          <w:i/>
          <w:iCs/>
          <w:kern w:val="0"/>
          <w:sz w:val="24"/>
          <w:szCs w:val="24"/>
          <w:lang w:eastAsia="en-IN"/>
          <w14:ligatures w14:val="none"/>
        </w:rPr>
        <w:t>Global Environmental Change</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16</w:t>
      </w:r>
      <w:r w:rsidRPr="000807DC">
        <w:rPr>
          <w:rFonts w:ascii="Times New Roman" w:eastAsia="Times New Roman" w:hAnsi="Times New Roman" w:cs="Times New Roman"/>
          <w:kern w:val="0"/>
          <w:sz w:val="24"/>
          <w:szCs w:val="24"/>
          <w:lang w:eastAsia="en-IN"/>
          <w14:ligatures w14:val="none"/>
        </w:rPr>
        <w:t xml:space="preserve">(3), 253–267. </w:t>
      </w:r>
      <w:hyperlink r:id="rId23" w:history="1">
        <w:r w:rsidRPr="000807DC">
          <w:rPr>
            <w:rFonts w:ascii="Times New Roman" w:eastAsia="Times New Roman" w:hAnsi="Times New Roman" w:cs="Times New Roman"/>
            <w:color w:val="0000FF"/>
            <w:kern w:val="0"/>
            <w:sz w:val="24"/>
            <w:szCs w:val="24"/>
            <w:u w:val="single"/>
            <w:lang w:eastAsia="en-IN"/>
            <w14:ligatures w14:val="none"/>
          </w:rPr>
          <w:t>https://doi.org/10.1016/j.gloenvcha.2006.04.002</w:t>
        </w:r>
      </w:hyperlink>
    </w:p>
    <w:p w14:paraId="3FD9812A"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Folke, C., Carpenter, S. R., Walker, B., Scheffer, M., Chapin, T., &amp; </w:t>
      </w:r>
      <w:proofErr w:type="spellStart"/>
      <w:r w:rsidRPr="000807DC">
        <w:rPr>
          <w:rFonts w:ascii="Times New Roman" w:eastAsia="Times New Roman" w:hAnsi="Times New Roman" w:cs="Times New Roman"/>
          <w:kern w:val="0"/>
          <w:sz w:val="24"/>
          <w:szCs w:val="24"/>
          <w:lang w:eastAsia="en-IN"/>
          <w14:ligatures w14:val="none"/>
        </w:rPr>
        <w:t>Rockström</w:t>
      </w:r>
      <w:proofErr w:type="spellEnd"/>
      <w:r w:rsidRPr="000807DC">
        <w:rPr>
          <w:rFonts w:ascii="Times New Roman" w:eastAsia="Times New Roman" w:hAnsi="Times New Roman" w:cs="Times New Roman"/>
          <w:kern w:val="0"/>
          <w:sz w:val="24"/>
          <w:szCs w:val="24"/>
          <w:lang w:eastAsia="en-IN"/>
          <w14:ligatures w14:val="none"/>
        </w:rPr>
        <w:t xml:space="preserve">, J. (2010). Resilience thinking: Integrating resilience, adaptability and transformability. </w:t>
      </w:r>
      <w:r w:rsidRPr="000807DC">
        <w:rPr>
          <w:rFonts w:ascii="Times New Roman" w:eastAsia="Times New Roman" w:hAnsi="Times New Roman" w:cs="Times New Roman"/>
          <w:i/>
          <w:iCs/>
          <w:kern w:val="0"/>
          <w:sz w:val="24"/>
          <w:szCs w:val="24"/>
          <w:lang w:eastAsia="en-IN"/>
          <w14:ligatures w14:val="none"/>
        </w:rPr>
        <w:t>Ecology and Society</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15</w:t>
      </w:r>
      <w:r w:rsidRPr="000807DC">
        <w:rPr>
          <w:rFonts w:ascii="Times New Roman" w:eastAsia="Times New Roman" w:hAnsi="Times New Roman" w:cs="Times New Roman"/>
          <w:kern w:val="0"/>
          <w:sz w:val="24"/>
          <w:szCs w:val="24"/>
          <w:lang w:eastAsia="en-IN"/>
          <w14:ligatures w14:val="none"/>
        </w:rPr>
        <w:t xml:space="preserve">(4), 20. </w:t>
      </w:r>
      <w:hyperlink r:id="rId24" w:history="1">
        <w:r w:rsidRPr="000807DC">
          <w:rPr>
            <w:rFonts w:ascii="Times New Roman" w:eastAsia="Times New Roman" w:hAnsi="Times New Roman" w:cs="Times New Roman"/>
            <w:color w:val="0000FF"/>
            <w:kern w:val="0"/>
            <w:sz w:val="24"/>
            <w:szCs w:val="24"/>
            <w:u w:val="single"/>
            <w:lang w:eastAsia="en-IN"/>
            <w14:ligatures w14:val="none"/>
          </w:rPr>
          <w:t>https://doi.org/10.5751/ES-03610-150420</w:t>
        </w:r>
      </w:hyperlink>
    </w:p>
    <w:p w14:paraId="163D053F"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lastRenderedPageBreak/>
        <w:t xml:space="preserve">Garibaldi, L. A., Gemmill-Herren, B., D'Annolfo, R., </w:t>
      </w:r>
      <w:proofErr w:type="spellStart"/>
      <w:r w:rsidRPr="000807DC">
        <w:rPr>
          <w:rFonts w:ascii="Times New Roman" w:eastAsia="Times New Roman" w:hAnsi="Times New Roman" w:cs="Times New Roman"/>
          <w:kern w:val="0"/>
          <w:sz w:val="24"/>
          <w:szCs w:val="24"/>
          <w:lang w:eastAsia="en-IN"/>
          <w14:ligatures w14:val="none"/>
        </w:rPr>
        <w:t>Graeub</w:t>
      </w:r>
      <w:proofErr w:type="spellEnd"/>
      <w:r w:rsidRPr="000807DC">
        <w:rPr>
          <w:rFonts w:ascii="Times New Roman" w:eastAsia="Times New Roman" w:hAnsi="Times New Roman" w:cs="Times New Roman"/>
          <w:kern w:val="0"/>
          <w:sz w:val="24"/>
          <w:szCs w:val="24"/>
          <w:lang w:eastAsia="en-IN"/>
          <w14:ligatures w14:val="none"/>
        </w:rPr>
        <w:t xml:space="preserve">, B. E., Cunningham, S. A., &amp; Breeze, T. D. (2017). Farming approaches for greater biodiversity, livelihoods, and food security. </w:t>
      </w:r>
      <w:r w:rsidRPr="000807DC">
        <w:rPr>
          <w:rFonts w:ascii="Times New Roman" w:eastAsia="Times New Roman" w:hAnsi="Times New Roman" w:cs="Times New Roman"/>
          <w:i/>
          <w:iCs/>
          <w:kern w:val="0"/>
          <w:sz w:val="24"/>
          <w:szCs w:val="24"/>
          <w:lang w:eastAsia="en-IN"/>
          <w14:ligatures w14:val="none"/>
        </w:rPr>
        <w:t>Trends in Ecology &amp; Evolution</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32</w:t>
      </w:r>
      <w:r w:rsidRPr="000807DC">
        <w:rPr>
          <w:rFonts w:ascii="Times New Roman" w:eastAsia="Times New Roman" w:hAnsi="Times New Roman" w:cs="Times New Roman"/>
          <w:kern w:val="0"/>
          <w:sz w:val="24"/>
          <w:szCs w:val="24"/>
          <w:lang w:eastAsia="en-IN"/>
          <w14:ligatures w14:val="none"/>
        </w:rPr>
        <w:t xml:space="preserve">(1), 68–80. </w:t>
      </w:r>
      <w:hyperlink r:id="rId25" w:history="1">
        <w:r w:rsidRPr="000807DC">
          <w:rPr>
            <w:rFonts w:ascii="Times New Roman" w:eastAsia="Times New Roman" w:hAnsi="Times New Roman" w:cs="Times New Roman"/>
            <w:color w:val="0000FF"/>
            <w:kern w:val="0"/>
            <w:sz w:val="24"/>
            <w:szCs w:val="24"/>
            <w:u w:val="single"/>
            <w:lang w:eastAsia="en-IN"/>
            <w14:ligatures w14:val="none"/>
          </w:rPr>
          <w:t>https://doi.org/10.1016/j.tree.2016.10.001</w:t>
        </w:r>
      </w:hyperlink>
    </w:p>
    <w:p w14:paraId="3DFF0553"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Garnett, T., Appleby, M. C., Balmford, A., Bateman, I. J., Benton, T. G., Bloomer, P., Burlingame, B., Dawkins, M., Dolan, L., Fraser, D., Herrero, M., Hoffmann, I., Smith, P., Thornton, P. K., Toulmin, C., Vermeulen, S. J., &amp; Godfray, H. C. J. (2013). Sustainable intensification in agriculture: Premises and policies. </w:t>
      </w:r>
      <w:r w:rsidRPr="000807DC">
        <w:rPr>
          <w:rFonts w:ascii="Times New Roman" w:eastAsia="Times New Roman" w:hAnsi="Times New Roman" w:cs="Times New Roman"/>
          <w:i/>
          <w:iCs/>
          <w:kern w:val="0"/>
          <w:sz w:val="24"/>
          <w:szCs w:val="24"/>
          <w:lang w:eastAsia="en-IN"/>
          <w14:ligatures w14:val="none"/>
        </w:rPr>
        <w:t>Science</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341</w:t>
      </w:r>
      <w:r w:rsidRPr="000807DC">
        <w:rPr>
          <w:rFonts w:ascii="Times New Roman" w:eastAsia="Times New Roman" w:hAnsi="Times New Roman" w:cs="Times New Roman"/>
          <w:kern w:val="0"/>
          <w:sz w:val="24"/>
          <w:szCs w:val="24"/>
          <w:lang w:eastAsia="en-IN"/>
          <w14:ligatures w14:val="none"/>
        </w:rPr>
        <w:t xml:space="preserve">(6141), 33–34. </w:t>
      </w:r>
      <w:hyperlink r:id="rId26" w:history="1">
        <w:r w:rsidRPr="000807DC">
          <w:rPr>
            <w:rFonts w:ascii="Times New Roman" w:eastAsia="Times New Roman" w:hAnsi="Times New Roman" w:cs="Times New Roman"/>
            <w:color w:val="0000FF"/>
            <w:kern w:val="0"/>
            <w:sz w:val="24"/>
            <w:szCs w:val="24"/>
            <w:u w:val="single"/>
            <w:lang w:eastAsia="en-IN"/>
            <w14:ligatures w14:val="none"/>
          </w:rPr>
          <w:t>https://doi.org/10.1126/science.1234485</w:t>
        </w:r>
      </w:hyperlink>
    </w:p>
    <w:p w14:paraId="7B7C06E8" w14:textId="77777777" w:rsidR="00DE49C8" w:rsidRPr="00E059D5" w:rsidRDefault="00000000">
      <w:pPr>
        <w:spacing w:before="100" w:after="100" w:line="240" w:lineRule="auto"/>
        <w:ind w:left="360"/>
        <w:rPr>
          <w:bCs/>
        </w:rPr>
      </w:pPr>
      <w:r w:rsidRPr="00E059D5">
        <w:rPr>
          <w:bCs/>
          <w:highlight w:val="yellow"/>
        </w:rPr>
        <w:t>Gebremariam, T. T. (2026). Assessment of factors influencing the adoption of sustainable land management practices at the farm level in Wondo Genet District, Sidama Regional State, Ethiopia. Asian Journal of Research and Review in Agriculture, 8(1), 19–32. https://doi.org/10.56557/ajrra/2026/v8i1192</w:t>
      </w:r>
    </w:p>
    <w:p w14:paraId="6021F69A"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HLPE. (2019). Agroecological and other innovative approaches for sustainable agriculture and food systems that enhance food security and nutrition. High Level Panel of Experts on Food Security and Nutrition, Committee on World Food Security. </w:t>
      </w:r>
      <w:hyperlink r:id="rId27" w:history="1">
        <w:r w:rsidRPr="000807DC">
          <w:rPr>
            <w:rStyle w:val="Hyperlink"/>
            <w:rFonts w:ascii="Times New Roman" w:eastAsia="Times New Roman" w:hAnsi="Times New Roman" w:cs="Times New Roman"/>
            <w:kern w:val="0"/>
            <w:sz w:val="24"/>
            <w:szCs w:val="24"/>
            <w:lang w:eastAsia="en-IN"/>
            <w14:ligatures w14:val="none"/>
          </w:rPr>
          <w:t>https://www.fao.org/cfs/cfs-hlpe/reports/report-14/en/</w:t>
        </w:r>
      </w:hyperlink>
      <w:r w:rsidRPr="000807DC">
        <w:rPr>
          <w:rFonts w:ascii="Times New Roman" w:eastAsia="Times New Roman" w:hAnsi="Times New Roman" w:cs="Times New Roman"/>
          <w:kern w:val="0"/>
          <w:sz w:val="24"/>
          <w:szCs w:val="24"/>
          <w:lang w:eastAsia="en-IN"/>
          <w14:ligatures w14:val="none"/>
        </w:rPr>
        <w:t xml:space="preserve">  </w:t>
      </w:r>
    </w:p>
    <w:p w14:paraId="11FE69C2"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Immerzeel, W. W., Lutz, A. F., Andrade, M., Bahl, A., Biemans, H., Bolch, T., Hyde, S., Kooy, M., </w:t>
      </w:r>
      <w:proofErr w:type="spellStart"/>
      <w:r w:rsidRPr="000807DC">
        <w:rPr>
          <w:rFonts w:ascii="Times New Roman" w:eastAsia="Times New Roman" w:hAnsi="Times New Roman" w:cs="Times New Roman"/>
          <w:kern w:val="0"/>
          <w:sz w:val="24"/>
          <w:szCs w:val="24"/>
          <w:lang w:eastAsia="en-IN"/>
          <w14:ligatures w14:val="none"/>
        </w:rPr>
        <w:t>Kraaijenbrink</w:t>
      </w:r>
      <w:proofErr w:type="spellEnd"/>
      <w:r w:rsidRPr="000807DC">
        <w:rPr>
          <w:rFonts w:ascii="Times New Roman" w:eastAsia="Times New Roman" w:hAnsi="Times New Roman" w:cs="Times New Roman"/>
          <w:kern w:val="0"/>
          <w:sz w:val="24"/>
          <w:szCs w:val="24"/>
          <w:lang w:eastAsia="en-IN"/>
          <w14:ligatures w14:val="none"/>
        </w:rPr>
        <w:t xml:space="preserve">, P. D. A., Shea, J. M., Shrestha, A. B., &amp; Baillie, J. E. M. (2020). Importance and vulnerability of the world's water towers. </w:t>
      </w:r>
      <w:r w:rsidRPr="000807DC">
        <w:rPr>
          <w:rFonts w:ascii="Times New Roman" w:eastAsia="Times New Roman" w:hAnsi="Times New Roman" w:cs="Times New Roman"/>
          <w:i/>
          <w:iCs/>
          <w:kern w:val="0"/>
          <w:sz w:val="24"/>
          <w:szCs w:val="24"/>
          <w:lang w:eastAsia="en-IN"/>
          <w14:ligatures w14:val="none"/>
        </w:rPr>
        <w:t>Nature</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577</w:t>
      </w:r>
      <w:r w:rsidRPr="000807DC">
        <w:rPr>
          <w:rFonts w:ascii="Times New Roman" w:eastAsia="Times New Roman" w:hAnsi="Times New Roman" w:cs="Times New Roman"/>
          <w:kern w:val="0"/>
          <w:sz w:val="24"/>
          <w:szCs w:val="24"/>
          <w:lang w:eastAsia="en-IN"/>
          <w14:ligatures w14:val="none"/>
        </w:rPr>
        <w:t xml:space="preserve">(7790), 364–369. </w:t>
      </w:r>
      <w:hyperlink r:id="rId28" w:history="1">
        <w:r w:rsidRPr="000807DC">
          <w:rPr>
            <w:rFonts w:ascii="Times New Roman" w:eastAsia="Times New Roman" w:hAnsi="Times New Roman" w:cs="Times New Roman"/>
            <w:color w:val="0000FF"/>
            <w:kern w:val="0"/>
            <w:sz w:val="24"/>
            <w:szCs w:val="24"/>
            <w:u w:val="single"/>
            <w:lang w:eastAsia="en-IN"/>
            <w14:ligatures w14:val="none"/>
          </w:rPr>
          <w:t>https://doi.org/10.1038/s41586-019-1822-y</w:t>
        </w:r>
      </w:hyperlink>
    </w:p>
    <w:p w14:paraId="682BFBF5"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IPCC. (2019). </w:t>
      </w:r>
      <w:r w:rsidRPr="000807DC">
        <w:rPr>
          <w:rFonts w:ascii="Times New Roman" w:eastAsia="Times New Roman" w:hAnsi="Times New Roman" w:cs="Times New Roman"/>
          <w:i/>
          <w:iCs/>
          <w:kern w:val="0"/>
          <w:sz w:val="24"/>
          <w:szCs w:val="24"/>
          <w:lang w:eastAsia="en-IN"/>
          <w14:ligatures w14:val="none"/>
        </w:rPr>
        <w:t>Special Report on Climate Change and Land</w:t>
      </w:r>
      <w:r w:rsidRPr="000807DC">
        <w:rPr>
          <w:rFonts w:ascii="Times New Roman" w:eastAsia="Times New Roman" w:hAnsi="Times New Roman" w:cs="Times New Roman"/>
          <w:kern w:val="0"/>
          <w:sz w:val="24"/>
          <w:szCs w:val="24"/>
          <w:lang w:eastAsia="en-IN"/>
          <w14:ligatures w14:val="none"/>
        </w:rPr>
        <w:t xml:space="preserve">. Intergovernmental Panel on Climate Change. </w:t>
      </w:r>
      <w:hyperlink r:id="rId29" w:history="1">
        <w:r w:rsidRPr="000807DC">
          <w:rPr>
            <w:rFonts w:ascii="Times New Roman" w:eastAsia="Times New Roman" w:hAnsi="Times New Roman" w:cs="Times New Roman"/>
            <w:color w:val="0000FF"/>
            <w:kern w:val="0"/>
            <w:sz w:val="24"/>
            <w:szCs w:val="24"/>
            <w:u w:val="single"/>
            <w:lang w:eastAsia="en-IN"/>
            <w14:ligatures w14:val="none"/>
          </w:rPr>
          <w:t>https://www.ipcc.ch/srccl/</w:t>
        </w:r>
      </w:hyperlink>
    </w:p>
    <w:p w14:paraId="7A6DE6F4"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IPCC. (2022). </w:t>
      </w:r>
      <w:r w:rsidRPr="000807DC">
        <w:rPr>
          <w:rFonts w:ascii="Times New Roman" w:eastAsia="Times New Roman" w:hAnsi="Times New Roman" w:cs="Times New Roman"/>
          <w:i/>
          <w:iCs/>
          <w:kern w:val="0"/>
          <w:sz w:val="24"/>
          <w:szCs w:val="24"/>
          <w:lang w:eastAsia="en-IN"/>
          <w14:ligatures w14:val="none"/>
        </w:rPr>
        <w:t>Climate Change 2022: Impacts, Adaptation and Vulnerability. Contribution of Working Group II to the Sixth Assessment Report of the Intergovernmental Panel on Climate Change</w:t>
      </w:r>
      <w:r w:rsidRPr="000807DC">
        <w:rPr>
          <w:rFonts w:ascii="Times New Roman" w:eastAsia="Times New Roman" w:hAnsi="Times New Roman" w:cs="Times New Roman"/>
          <w:kern w:val="0"/>
          <w:sz w:val="24"/>
          <w:szCs w:val="24"/>
          <w:lang w:eastAsia="en-IN"/>
          <w14:ligatures w14:val="none"/>
        </w:rPr>
        <w:t xml:space="preserve">. Cambridge University Press. </w:t>
      </w:r>
      <w:hyperlink r:id="rId30" w:history="1">
        <w:r w:rsidRPr="000807DC">
          <w:rPr>
            <w:rFonts w:ascii="Times New Roman" w:eastAsia="Times New Roman" w:hAnsi="Times New Roman" w:cs="Times New Roman"/>
            <w:color w:val="0000FF"/>
            <w:kern w:val="0"/>
            <w:sz w:val="24"/>
            <w:szCs w:val="24"/>
            <w:u w:val="single"/>
            <w:lang w:eastAsia="en-IN"/>
            <w14:ligatures w14:val="none"/>
          </w:rPr>
          <w:t>https://doi.org/10.1017/9781009325844</w:t>
        </w:r>
      </w:hyperlink>
    </w:p>
    <w:p w14:paraId="65420FA1" w14:textId="77777777" w:rsidR="00DE49C8" w:rsidRPr="00E059D5" w:rsidRDefault="00000000">
      <w:pPr>
        <w:spacing w:before="100" w:after="100" w:line="240" w:lineRule="auto"/>
        <w:ind w:left="360"/>
        <w:rPr>
          <w:bCs/>
        </w:rPr>
      </w:pPr>
      <w:r w:rsidRPr="00E059D5">
        <w:rPr>
          <w:bCs/>
          <w:highlight w:val="yellow"/>
        </w:rPr>
        <w:t>Jamil, M., Adnan, A., Irawan, H., Navia, Z. I., &amp; Suwardi, A. B. (2025). Wild spices and their ecosystem service contributions in smallholder agroforestry systems of Aceh, Indonesia. Agroforestry Systems, 99, Article 170. https://doi.org/10.1007/s10457-025-01273-x</w:t>
      </w:r>
    </w:p>
    <w:p w14:paraId="325E9065"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Jodha, N. S. (2000). Globalization and fragile mountain environments: Policy challenges and choices. </w:t>
      </w:r>
      <w:r w:rsidRPr="000807DC">
        <w:rPr>
          <w:rFonts w:ascii="Times New Roman" w:eastAsia="Times New Roman" w:hAnsi="Times New Roman" w:cs="Times New Roman"/>
          <w:i/>
          <w:iCs/>
          <w:kern w:val="0"/>
          <w:sz w:val="24"/>
          <w:szCs w:val="24"/>
          <w:lang w:eastAsia="en-IN"/>
          <w14:ligatures w14:val="none"/>
        </w:rPr>
        <w:t>Mountain Research and Development</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20</w:t>
      </w:r>
      <w:r w:rsidRPr="000807DC">
        <w:rPr>
          <w:rFonts w:ascii="Times New Roman" w:eastAsia="Times New Roman" w:hAnsi="Times New Roman" w:cs="Times New Roman"/>
          <w:kern w:val="0"/>
          <w:sz w:val="24"/>
          <w:szCs w:val="24"/>
          <w:lang w:eastAsia="en-IN"/>
          <w14:ligatures w14:val="none"/>
        </w:rPr>
        <w:t xml:space="preserve">(4), 296–299. </w:t>
      </w:r>
      <w:hyperlink r:id="rId31" w:history="1">
        <w:r w:rsidRPr="000807DC">
          <w:rPr>
            <w:rStyle w:val="Hyperlink"/>
            <w:rFonts w:ascii="Times New Roman" w:hAnsi="Times New Roman" w:cs="Times New Roman"/>
            <w:sz w:val="24"/>
            <w:szCs w:val="24"/>
          </w:rPr>
          <w:t>https://doi.org/10.1659/0276-4741(2000)020[0296:GAFME]2.0.CO;2</w:t>
        </w:r>
      </w:hyperlink>
      <w:r w:rsidRPr="000807DC">
        <w:rPr>
          <w:rFonts w:ascii="Times New Roman" w:hAnsi="Times New Roman" w:cs="Times New Roman"/>
          <w:sz w:val="24"/>
          <w:szCs w:val="24"/>
        </w:rPr>
        <w:t xml:space="preserve"> </w:t>
      </w:r>
    </w:p>
    <w:p w14:paraId="70D644A9"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Kattel, G. R. (2022). Climate warming in the Himalayas threatens biodiversity, ecosystem functioning and ecosystem services in the 21st century: Is there a better solution? </w:t>
      </w:r>
      <w:r w:rsidRPr="000807DC">
        <w:rPr>
          <w:rFonts w:ascii="Times New Roman" w:eastAsia="Times New Roman" w:hAnsi="Times New Roman" w:cs="Times New Roman"/>
          <w:i/>
          <w:iCs/>
          <w:kern w:val="0"/>
          <w:sz w:val="24"/>
          <w:szCs w:val="24"/>
          <w:lang w:eastAsia="en-IN"/>
          <w14:ligatures w14:val="none"/>
        </w:rPr>
        <w:t>Biodiversity and Conservation, 31</w:t>
      </w:r>
      <w:r w:rsidRPr="000807DC">
        <w:rPr>
          <w:rFonts w:ascii="Times New Roman" w:eastAsia="Times New Roman" w:hAnsi="Times New Roman" w:cs="Times New Roman"/>
          <w:kern w:val="0"/>
          <w:sz w:val="24"/>
          <w:szCs w:val="24"/>
          <w:lang w:eastAsia="en-IN"/>
          <w14:ligatures w14:val="none"/>
        </w:rPr>
        <w:t xml:space="preserve">, 2017–2044. </w:t>
      </w:r>
      <w:hyperlink r:id="rId32" w:history="1">
        <w:r w:rsidRPr="000807DC">
          <w:rPr>
            <w:rStyle w:val="Hyperlink"/>
            <w:rFonts w:ascii="Times New Roman" w:eastAsia="Times New Roman" w:hAnsi="Times New Roman" w:cs="Times New Roman"/>
            <w:kern w:val="0"/>
            <w:sz w:val="24"/>
            <w:szCs w:val="24"/>
            <w:lang w:eastAsia="en-IN"/>
            <w14:ligatures w14:val="none"/>
          </w:rPr>
          <w:t>https://doi.org/10.1007/s10531-022-02417-6</w:t>
        </w:r>
      </w:hyperlink>
      <w:r w:rsidRPr="000807DC">
        <w:rPr>
          <w:rFonts w:ascii="Times New Roman" w:eastAsia="Times New Roman" w:hAnsi="Times New Roman" w:cs="Times New Roman"/>
          <w:kern w:val="0"/>
          <w:sz w:val="24"/>
          <w:szCs w:val="24"/>
          <w:lang w:eastAsia="en-IN"/>
          <w14:ligatures w14:val="none"/>
        </w:rPr>
        <w:t xml:space="preserve"> </w:t>
      </w:r>
    </w:p>
    <w:p w14:paraId="6714FCA8" w14:textId="77777777" w:rsidR="00A8677B" w:rsidRDefault="00A8677B" w:rsidP="00F24A2A">
      <w:pPr>
        <w:spacing w:before="100" w:beforeAutospacing="1" w:after="100" w:afterAutospacing="1" w:line="240" w:lineRule="auto"/>
        <w:ind w:left="360"/>
        <w:jc w:val="both"/>
      </w:pPr>
      <w:r w:rsidRPr="000807DC">
        <w:rPr>
          <w:rFonts w:ascii="Times New Roman" w:eastAsia="Times New Roman" w:hAnsi="Times New Roman" w:cs="Times New Roman"/>
          <w:kern w:val="0"/>
          <w:sz w:val="24"/>
          <w:szCs w:val="24"/>
          <w:lang w:eastAsia="en-IN"/>
          <w14:ligatures w14:val="none"/>
        </w:rPr>
        <w:t xml:space="preserve">Kerr, R. B., Madsen, S., </w:t>
      </w:r>
      <w:proofErr w:type="spellStart"/>
      <w:r w:rsidRPr="000807DC">
        <w:rPr>
          <w:rFonts w:ascii="Times New Roman" w:eastAsia="Times New Roman" w:hAnsi="Times New Roman" w:cs="Times New Roman"/>
          <w:kern w:val="0"/>
          <w:sz w:val="24"/>
          <w:szCs w:val="24"/>
          <w:lang w:eastAsia="en-IN"/>
          <w14:ligatures w14:val="none"/>
        </w:rPr>
        <w:t>Stüber</w:t>
      </w:r>
      <w:proofErr w:type="spellEnd"/>
      <w:r w:rsidRPr="000807DC">
        <w:rPr>
          <w:rFonts w:ascii="Times New Roman" w:eastAsia="Times New Roman" w:hAnsi="Times New Roman" w:cs="Times New Roman"/>
          <w:kern w:val="0"/>
          <w:sz w:val="24"/>
          <w:szCs w:val="24"/>
          <w:lang w:eastAsia="en-IN"/>
          <w14:ligatures w14:val="none"/>
        </w:rPr>
        <w:t xml:space="preserve">, M., Liebert, J., Enloe, S., Borghino, N., Parros, P., </w:t>
      </w:r>
      <w:proofErr w:type="spellStart"/>
      <w:r w:rsidRPr="000807DC">
        <w:rPr>
          <w:rFonts w:ascii="Times New Roman" w:eastAsia="Times New Roman" w:hAnsi="Times New Roman" w:cs="Times New Roman"/>
          <w:kern w:val="0"/>
          <w:sz w:val="24"/>
          <w:szCs w:val="24"/>
          <w:lang w:eastAsia="en-IN"/>
          <w14:ligatures w14:val="none"/>
        </w:rPr>
        <w:t>Mutyambai</w:t>
      </w:r>
      <w:proofErr w:type="spellEnd"/>
      <w:r w:rsidRPr="000807DC">
        <w:rPr>
          <w:rFonts w:ascii="Times New Roman" w:eastAsia="Times New Roman" w:hAnsi="Times New Roman" w:cs="Times New Roman"/>
          <w:kern w:val="0"/>
          <w:sz w:val="24"/>
          <w:szCs w:val="24"/>
          <w:lang w:eastAsia="en-IN"/>
          <w14:ligatures w14:val="none"/>
        </w:rPr>
        <w:t xml:space="preserve"> M. D., </w:t>
      </w:r>
      <w:proofErr w:type="spellStart"/>
      <w:r w:rsidRPr="000807DC">
        <w:rPr>
          <w:rFonts w:ascii="Times New Roman" w:eastAsia="Times New Roman" w:hAnsi="Times New Roman" w:cs="Times New Roman"/>
          <w:kern w:val="0"/>
          <w:sz w:val="24"/>
          <w:szCs w:val="24"/>
          <w:lang w:eastAsia="en-IN"/>
          <w14:ligatures w14:val="none"/>
        </w:rPr>
        <w:t>Prudhon</w:t>
      </w:r>
      <w:proofErr w:type="spellEnd"/>
      <w:r w:rsidRPr="000807DC">
        <w:rPr>
          <w:rFonts w:ascii="Times New Roman" w:eastAsia="Times New Roman" w:hAnsi="Times New Roman" w:cs="Times New Roman"/>
          <w:kern w:val="0"/>
          <w:sz w:val="24"/>
          <w:szCs w:val="24"/>
          <w:lang w:eastAsia="en-IN"/>
          <w14:ligatures w14:val="none"/>
        </w:rPr>
        <w:t xml:space="preserve">, M., &amp; Wezel, A. (2021). Can agroecology improve food </w:t>
      </w:r>
      <w:r w:rsidRPr="000807DC">
        <w:rPr>
          <w:rFonts w:ascii="Times New Roman" w:eastAsia="Times New Roman" w:hAnsi="Times New Roman" w:cs="Times New Roman"/>
          <w:kern w:val="0"/>
          <w:sz w:val="24"/>
          <w:szCs w:val="24"/>
          <w:lang w:eastAsia="en-IN"/>
          <w14:ligatures w14:val="none"/>
        </w:rPr>
        <w:lastRenderedPageBreak/>
        <w:t xml:space="preserve">security and nutrition? A review. </w:t>
      </w:r>
      <w:r w:rsidRPr="000807DC">
        <w:rPr>
          <w:rFonts w:ascii="Times New Roman" w:eastAsia="Times New Roman" w:hAnsi="Times New Roman" w:cs="Times New Roman"/>
          <w:i/>
          <w:iCs/>
          <w:kern w:val="0"/>
          <w:sz w:val="24"/>
          <w:szCs w:val="24"/>
          <w:lang w:eastAsia="en-IN"/>
          <w14:ligatures w14:val="none"/>
        </w:rPr>
        <w:t>Global Food Security</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29</w:t>
      </w:r>
      <w:r w:rsidRPr="000807DC">
        <w:rPr>
          <w:rFonts w:ascii="Times New Roman" w:eastAsia="Times New Roman" w:hAnsi="Times New Roman" w:cs="Times New Roman"/>
          <w:kern w:val="0"/>
          <w:sz w:val="24"/>
          <w:szCs w:val="24"/>
          <w:lang w:eastAsia="en-IN"/>
          <w14:ligatures w14:val="none"/>
        </w:rPr>
        <w:t xml:space="preserve">, 100540. </w:t>
      </w:r>
      <w:hyperlink r:id="rId33" w:history="1">
        <w:r w:rsidRPr="000807DC">
          <w:rPr>
            <w:rFonts w:ascii="Times New Roman" w:eastAsia="Times New Roman" w:hAnsi="Times New Roman" w:cs="Times New Roman"/>
            <w:color w:val="0000FF"/>
            <w:kern w:val="0"/>
            <w:sz w:val="24"/>
            <w:szCs w:val="24"/>
            <w:u w:val="single"/>
            <w:lang w:eastAsia="en-IN"/>
            <w14:ligatures w14:val="none"/>
          </w:rPr>
          <w:t>https://doi.org/10.1016/j.gfs.2021.100540</w:t>
        </w:r>
      </w:hyperlink>
      <w:r>
        <w:t xml:space="preserve">  </w:t>
      </w:r>
    </w:p>
    <w:p w14:paraId="2B2D9D36"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Körner, C., Jetz, W., Paulsen, J., Payne, D., Rudmann-Maurer, K., &amp; Spehn, E. M. (2017). A global inventory of mountains for bio-geographical applications. </w:t>
      </w:r>
      <w:r w:rsidRPr="000807DC">
        <w:rPr>
          <w:rFonts w:ascii="Times New Roman" w:eastAsia="Times New Roman" w:hAnsi="Times New Roman" w:cs="Times New Roman"/>
          <w:i/>
          <w:iCs/>
          <w:kern w:val="0"/>
          <w:sz w:val="24"/>
          <w:szCs w:val="24"/>
          <w:lang w:eastAsia="en-IN"/>
          <w14:ligatures w14:val="none"/>
        </w:rPr>
        <w:t>Alpine Botany</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127</w:t>
      </w:r>
      <w:r w:rsidRPr="000807DC">
        <w:rPr>
          <w:rFonts w:ascii="Times New Roman" w:eastAsia="Times New Roman" w:hAnsi="Times New Roman" w:cs="Times New Roman"/>
          <w:kern w:val="0"/>
          <w:sz w:val="24"/>
          <w:szCs w:val="24"/>
          <w:lang w:eastAsia="en-IN"/>
          <w14:ligatures w14:val="none"/>
        </w:rPr>
        <w:t xml:space="preserve">(1), 1–15. </w:t>
      </w:r>
      <w:hyperlink r:id="rId34" w:history="1">
        <w:r w:rsidRPr="000807DC">
          <w:rPr>
            <w:rFonts w:ascii="Times New Roman" w:eastAsia="Times New Roman" w:hAnsi="Times New Roman" w:cs="Times New Roman"/>
            <w:color w:val="0000FF"/>
            <w:kern w:val="0"/>
            <w:sz w:val="24"/>
            <w:szCs w:val="24"/>
            <w:u w:val="single"/>
            <w:lang w:eastAsia="en-IN"/>
            <w14:ligatures w14:val="none"/>
          </w:rPr>
          <w:t>https://doi.org/10.1007/s00035-016-0182-6</w:t>
        </w:r>
      </w:hyperlink>
    </w:p>
    <w:p w14:paraId="0FF4F4D7"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Lambin, E. F., &amp; </w:t>
      </w:r>
      <w:proofErr w:type="spellStart"/>
      <w:r w:rsidRPr="000807DC">
        <w:rPr>
          <w:rFonts w:ascii="Times New Roman" w:eastAsia="Times New Roman" w:hAnsi="Times New Roman" w:cs="Times New Roman"/>
          <w:kern w:val="0"/>
          <w:sz w:val="24"/>
          <w:szCs w:val="24"/>
          <w:lang w:eastAsia="en-IN"/>
          <w14:ligatures w14:val="none"/>
        </w:rPr>
        <w:t>Meyfroidt</w:t>
      </w:r>
      <w:proofErr w:type="spellEnd"/>
      <w:r w:rsidRPr="000807DC">
        <w:rPr>
          <w:rFonts w:ascii="Times New Roman" w:eastAsia="Times New Roman" w:hAnsi="Times New Roman" w:cs="Times New Roman"/>
          <w:kern w:val="0"/>
          <w:sz w:val="24"/>
          <w:szCs w:val="24"/>
          <w:lang w:eastAsia="en-IN"/>
          <w14:ligatures w14:val="none"/>
        </w:rPr>
        <w:t xml:space="preserve">, P. (2011). Global land use change, economic globalization, and the looming land scarcity. Proceedings of the national academy of sciences, 108(9), 3465-3472. </w:t>
      </w:r>
      <w:hyperlink r:id="rId35" w:history="1">
        <w:r w:rsidRPr="000807DC">
          <w:rPr>
            <w:rStyle w:val="Hyperlink"/>
            <w:rFonts w:ascii="Times New Roman" w:hAnsi="Times New Roman" w:cs="Times New Roman"/>
            <w:sz w:val="24"/>
            <w:szCs w:val="24"/>
          </w:rPr>
          <w:t>https://doi.org/10.1073/pnas.1100480108</w:t>
        </w:r>
      </w:hyperlink>
      <w:r w:rsidRPr="000807DC">
        <w:rPr>
          <w:rFonts w:ascii="Times New Roman" w:hAnsi="Times New Roman" w:cs="Times New Roman"/>
          <w:sz w:val="24"/>
          <w:szCs w:val="24"/>
        </w:rPr>
        <w:t xml:space="preserve"> </w:t>
      </w:r>
    </w:p>
    <w:p w14:paraId="436195E0"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Lin, B. B. (2011). Resilience in agriculture through crop diversification: Adaptive management for environmental change. </w:t>
      </w:r>
      <w:proofErr w:type="spellStart"/>
      <w:r w:rsidRPr="000807DC">
        <w:rPr>
          <w:rFonts w:ascii="Times New Roman" w:eastAsia="Times New Roman" w:hAnsi="Times New Roman" w:cs="Times New Roman"/>
          <w:i/>
          <w:iCs/>
          <w:kern w:val="0"/>
          <w:sz w:val="24"/>
          <w:szCs w:val="24"/>
          <w:lang w:eastAsia="en-IN"/>
          <w14:ligatures w14:val="none"/>
        </w:rPr>
        <w:t>BioScience</w:t>
      </w:r>
      <w:proofErr w:type="spellEnd"/>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61</w:t>
      </w:r>
      <w:r w:rsidRPr="000807DC">
        <w:rPr>
          <w:rFonts w:ascii="Times New Roman" w:eastAsia="Times New Roman" w:hAnsi="Times New Roman" w:cs="Times New Roman"/>
          <w:kern w:val="0"/>
          <w:sz w:val="24"/>
          <w:szCs w:val="24"/>
          <w:lang w:eastAsia="en-IN"/>
          <w14:ligatures w14:val="none"/>
        </w:rPr>
        <w:t xml:space="preserve">(3), 183–193. </w:t>
      </w:r>
      <w:hyperlink r:id="rId36" w:history="1">
        <w:r w:rsidRPr="000807DC">
          <w:rPr>
            <w:rFonts w:ascii="Times New Roman" w:eastAsia="Times New Roman" w:hAnsi="Times New Roman" w:cs="Times New Roman"/>
            <w:color w:val="0000FF"/>
            <w:kern w:val="0"/>
            <w:sz w:val="24"/>
            <w:szCs w:val="24"/>
            <w:u w:val="single"/>
            <w:lang w:eastAsia="en-IN"/>
            <w14:ligatures w14:val="none"/>
          </w:rPr>
          <w:t>https://doi.org/10.1525/bio.2011.61.3.4</w:t>
        </w:r>
      </w:hyperlink>
    </w:p>
    <w:p w14:paraId="11BF8DF1"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Lowder, S. K., </w:t>
      </w:r>
      <w:proofErr w:type="spellStart"/>
      <w:r w:rsidRPr="000807DC">
        <w:rPr>
          <w:rFonts w:ascii="Times New Roman" w:eastAsia="Times New Roman" w:hAnsi="Times New Roman" w:cs="Times New Roman"/>
          <w:kern w:val="0"/>
          <w:sz w:val="24"/>
          <w:szCs w:val="24"/>
          <w:lang w:eastAsia="en-IN"/>
          <w14:ligatures w14:val="none"/>
        </w:rPr>
        <w:t>Skoet</w:t>
      </w:r>
      <w:proofErr w:type="spellEnd"/>
      <w:r w:rsidRPr="000807DC">
        <w:rPr>
          <w:rFonts w:ascii="Times New Roman" w:eastAsia="Times New Roman" w:hAnsi="Times New Roman" w:cs="Times New Roman"/>
          <w:kern w:val="0"/>
          <w:sz w:val="24"/>
          <w:szCs w:val="24"/>
          <w:lang w:eastAsia="en-IN"/>
          <w14:ligatures w14:val="none"/>
        </w:rPr>
        <w:t xml:space="preserve">, J., &amp; Raney, T. (2016). The number, size, and distribution of farms, smallholder farms, and family farms worldwide. </w:t>
      </w:r>
      <w:r w:rsidRPr="000807DC">
        <w:rPr>
          <w:rFonts w:ascii="Times New Roman" w:eastAsia="Times New Roman" w:hAnsi="Times New Roman" w:cs="Times New Roman"/>
          <w:i/>
          <w:iCs/>
          <w:kern w:val="0"/>
          <w:sz w:val="24"/>
          <w:szCs w:val="24"/>
          <w:lang w:eastAsia="en-IN"/>
          <w14:ligatures w14:val="none"/>
        </w:rPr>
        <w:t>World Development</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87</w:t>
      </w:r>
      <w:r w:rsidRPr="000807DC">
        <w:rPr>
          <w:rFonts w:ascii="Times New Roman" w:eastAsia="Times New Roman" w:hAnsi="Times New Roman" w:cs="Times New Roman"/>
          <w:kern w:val="0"/>
          <w:sz w:val="24"/>
          <w:szCs w:val="24"/>
          <w:lang w:eastAsia="en-IN"/>
          <w14:ligatures w14:val="none"/>
        </w:rPr>
        <w:t xml:space="preserve">, 16–29. </w:t>
      </w:r>
      <w:hyperlink r:id="rId37" w:history="1">
        <w:r w:rsidRPr="000807DC">
          <w:rPr>
            <w:rStyle w:val="Hyperlink"/>
            <w:rFonts w:ascii="Times New Roman" w:eastAsia="Times New Roman" w:hAnsi="Times New Roman" w:cs="Times New Roman"/>
            <w:kern w:val="0"/>
            <w:sz w:val="24"/>
            <w:szCs w:val="24"/>
            <w:lang w:eastAsia="en-IN"/>
            <w14:ligatures w14:val="none"/>
          </w:rPr>
          <w:t>https://doi.org/10.1016/j.worlddev.2015.10.041</w:t>
        </w:r>
      </w:hyperlink>
    </w:p>
    <w:p w14:paraId="7CB508AD"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proofErr w:type="spellStart"/>
      <w:r w:rsidRPr="000807DC">
        <w:rPr>
          <w:rFonts w:ascii="Times New Roman" w:eastAsia="Times New Roman" w:hAnsi="Times New Roman" w:cs="Times New Roman"/>
          <w:kern w:val="0"/>
          <w:sz w:val="24"/>
          <w:szCs w:val="24"/>
          <w:lang w:eastAsia="en-IN"/>
          <w14:ligatures w14:val="none"/>
        </w:rPr>
        <w:t>Lungleng</w:t>
      </w:r>
      <w:proofErr w:type="spellEnd"/>
      <w:r w:rsidRPr="000807DC">
        <w:rPr>
          <w:rFonts w:ascii="Times New Roman" w:eastAsia="Times New Roman" w:hAnsi="Times New Roman" w:cs="Times New Roman"/>
          <w:kern w:val="0"/>
          <w:sz w:val="24"/>
          <w:szCs w:val="24"/>
          <w:lang w:eastAsia="en-IN"/>
          <w14:ligatures w14:val="none"/>
        </w:rPr>
        <w:t xml:space="preserve">, P., &amp; </w:t>
      </w:r>
      <w:proofErr w:type="spellStart"/>
      <w:r w:rsidRPr="000807DC">
        <w:rPr>
          <w:rFonts w:ascii="Times New Roman" w:eastAsia="Times New Roman" w:hAnsi="Times New Roman" w:cs="Times New Roman"/>
          <w:kern w:val="0"/>
          <w:sz w:val="24"/>
          <w:szCs w:val="24"/>
          <w:lang w:eastAsia="en-IN"/>
          <w14:ligatures w14:val="none"/>
        </w:rPr>
        <w:t>Shimrah</w:t>
      </w:r>
      <w:proofErr w:type="spellEnd"/>
      <w:r w:rsidRPr="000807DC">
        <w:rPr>
          <w:rFonts w:ascii="Times New Roman" w:eastAsia="Times New Roman" w:hAnsi="Times New Roman" w:cs="Times New Roman"/>
          <w:kern w:val="0"/>
          <w:sz w:val="24"/>
          <w:szCs w:val="24"/>
          <w:lang w:eastAsia="en-IN"/>
          <w14:ligatures w14:val="none"/>
        </w:rPr>
        <w:t xml:space="preserve">, T. (2026). Shifting agriculture in Northeast India: Ecological functions and livelihood implications. Asian Journal of Environment &amp; Ecology, 25(1), 298–308. </w:t>
      </w:r>
      <w:hyperlink r:id="rId38" w:history="1">
        <w:r w:rsidRPr="000807DC">
          <w:rPr>
            <w:rStyle w:val="Hyperlink"/>
            <w:rFonts w:ascii="Times New Roman" w:eastAsia="Times New Roman" w:hAnsi="Times New Roman" w:cs="Times New Roman"/>
            <w:kern w:val="0"/>
            <w:sz w:val="24"/>
            <w:szCs w:val="24"/>
            <w:lang w:eastAsia="en-IN"/>
            <w14:ligatures w14:val="none"/>
          </w:rPr>
          <w:t>https://doi.org/10.9734/ajee/2026/v25i1876</w:t>
        </w:r>
      </w:hyperlink>
      <w:r w:rsidRPr="000807DC">
        <w:rPr>
          <w:rFonts w:ascii="Times New Roman" w:eastAsia="Times New Roman" w:hAnsi="Times New Roman" w:cs="Times New Roman"/>
          <w:kern w:val="0"/>
          <w:sz w:val="24"/>
          <w:szCs w:val="24"/>
          <w:lang w:eastAsia="en-IN"/>
          <w14:ligatures w14:val="none"/>
        </w:rPr>
        <w:t xml:space="preserve"> </w:t>
      </w:r>
    </w:p>
    <w:p w14:paraId="481AC28B"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Malhotra, N., Sharma, P., Sood, H., </w:t>
      </w:r>
      <w:proofErr w:type="spellStart"/>
      <w:r w:rsidRPr="000807DC">
        <w:rPr>
          <w:rFonts w:ascii="Times New Roman" w:eastAsia="Times New Roman" w:hAnsi="Times New Roman" w:cs="Times New Roman"/>
          <w:kern w:val="0"/>
          <w:sz w:val="24"/>
          <w:szCs w:val="24"/>
          <w:lang w:eastAsia="en-IN"/>
          <w14:ligatures w14:val="none"/>
        </w:rPr>
        <w:t>Chandora</w:t>
      </w:r>
      <w:proofErr w:type="spellEnd"/>
      <w:r w:rsidRPr="000807DC">
        <w:rPr>
          <w:rFonts w:ascii="Times New Roman" w:eastAsia="Times New Roman" w:hAnsi="Times New Roman" w:cs="Times New Roman"/>
          <w:kern w:val="0"/>
          <w:sz w:val="24"/>
          <w:szCs w:val="24"/>
          <w:lang w:eastAsia="en-IN"/>
          <w14:ligatures w14:val="none"/>
        </w:rPr>
        <w:t xml:space="preserve">, R., Arya, M., Rana, J. C., &amp; Singh, M. (2022). </w:t>
      </w:r>
      <w:proofErr w:type="spellStart"/>
      <w:r w:rsidRPr="000807DC">
        <w:rPr>
          <w:rFonts w:ascii="Times New Roman" w:eastAsia="Times New Roman" w:hAnsi="Times New Roman" w:cs="Times New Roman"/>
          <w:kern w:val="0"/>
          <w:sz w:val="24"/>
          <w:szCs w:val="24"/>
          <w:lang w:eastAsia="en-IN"/>
          <w14:ligatures w14:val="none"/>
        </w:rPr>
        <w:t>Agro</w:t>
      </w:r>
      <w:proofErr w:type="spellEnd"/>
      <w:r w:rsidRPr="000807DC">
        <w:rPr>
          <w:rFonts w:ascii="Times New Roman" w:eastAsia="Times New Roman" w:hAnsi="Times New Roman" w:cs="Times New Roman"/>
          <w:kern w:val="0"/>
          <w:sz w:val="24"/>
          <w:szCs w:val="24"/>
          <w:lang w:eastAsia="en-IN"/>
          <w14:ligatures w14:val="none"/>
        </w:rPr>
        <w:t xml:space="preserve">-morphological characterization and nutritional profiling of traditional Himalayan crop landraces for their promotion toward mainstream agriculture. </w:t>
      </w:r>
      <w:r w:rsidRPr="000807DC">
        <w:rPr>
          <w:rFonts w:ascii="Times New Roman" w:eastAsia="Times New Roman" w:hAnsi="Times New Roman" w:cs="Times New Roman"/>
          <w:i/>
          <w:iCs/>
          <w:kern w:val="0"/>
          <w:sz w:val="24"/>
          <w:szCs w:val="24"/>
          <w:lang w:eastAsia="en-IN"/>
          <w14:ligatures w14:val="none"/>
        </w:rPr>
        <w:t>Frontiers in Plant Science, 13</w:t>
      </w:r>
      <w:r w:rsidRPr="000807DC">
        <w:rPr>
          <w:rFonts w:ascii="Times New Roman" w:eastAsia="Times New Roman" w:hAnsi="Times New Roman" w:cs="Times New Roman"/>
          <w:kern w:val="0"/>
          <w:sz w:val="24"/>
          <w:szCs w:val="24"/>
          <w:lang w:eastAsia="en-IN"/>
          <w14:ligatures w14:val="none"/>
        </w:rPr>
        <w:t xml:space="preserve">, Article 898220. </w:t>
      </w:r>
      <w:hyperlink r:id="rId39" w:history="1">
        <w:r w:rsidRPr="000807DC">
          <w:rPr>
            <w:rStyle w:val="Hyperlink"/>
            <w:rFonts w:ascii="Times New Roman" w:eastAsia="Times New Roman" w:hAnsi="Times New Roman" w:cs="Times New Roman"/>
            <w:kern w:val="0"/>
            <w:sz w:val="24"/>
            <w:szCs w:val="24"/>
            <w:lang w:eastAsia="en-IN"/>
            <w14:ligatures w14:val="none"/>
          </w:rPr>
          <w:t>https://doi.org/10.3389/fpls.2022.898220</w:t>
        </w:r>
      </w:hyperlink>
      <w:r w:rsidRPr="000807DC">
        <w:rPr>
          <w:rFonts w:ascii="Times New Roman" w:eastAsia="Times New Roman" w:hAnsi="Times New Roman" w:cs="Times New Roman"/>
          <w:kern w:val="0"/>
          <w:sz w:val="24"/>
          <w:szCs w:val="24"/>
          <w:lang w:eastAsia="en-IN"/>
          <w14:ligatures w14:val="none"/>
        </w:rPr>
        <w:t xml:space="preserve"> </w:t>
      </w:r>
    </w:p>
    <w:p w14:paraId="45A62557"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Matthys, M.-L., Acharya, S., &amp; Khatri, S. (2021). “Before cardamom, we used to face hardship”: </w:t>
      </w:r>
      <w:proofErr w:type="spellStart"/>
      <w:r w:rsidRPr="000807DC">
        <w:rPr>
          <w:rFonts w:ascii="Times New Roman" w:eastAsia="Times New Roman" w:hAnsi="Times New Roman" w:cs="Times New Roman"/>
          <w:kern w:val="0"/>
          <w:sz w:val="24"/>
          <w:szCs w:val="24"/>
          <w:lang w:eastAsia="en-IN"/>
          <w14:ligatures w14:val="none"/>
        </w:rPr>
        <w:t>Analyzing</w:t>
      </w:r>
      <w:proofErr w:type="spellEnd"/>
      <w:r w:rsidRPr="000807DC">
        <w:rPr>
          <w:rFonts w:ascii="Times New Roman" w:eastAsia="Times New Roman" w:hAnsi="Times New Roman" w:cs="Times New Roman"/>
          <w:kern w:val="0"/>
          <w:sz w:val="24"/>
          <w:szCs w:val="24"/>
          <w:lang w:eastAsia="en-IN"/>
          <w14:ligatures w14:val="none"/>
        </w:rPr>
        <w:t xml:space="preserve"> agricultural commercialization effects in Nepal through a local concept of the Good Life. </w:t>
      </w:r>
      <w:r w:rsidRPr="000807DC">
        <w:rPr>
          <w:rFonts w:ascii="Times New Roman" w:eastAsia="Times New Roman" w:hAnsi="Times New Roman" w:cs="Times New Roman"/>
          <w:i/>
          <w:iCs/>
          <w:kern w:val="0"/>
          <w:sz w:val="24"/>
          <w:szCs w:val="24"/>
          <w:lang w:eastAsia="en-IN"/>
          <w14:ligatures w14:val="none"/>
        </w:rPr>
        <w:t>World Development, 141</w:t>
      </w:r>
      <w:r w:rsidRPr="000807DC">
        <w:rPr>
          <w:rFonts w:ascii="Times New Roman" w:eastAsia="Times New Roman" w:hAnsi="Times New Roman" w:cs="Times New Roman"/>
          <w:kern w:val="0"/>
          <w:sz w:val="24"/>
          <w:szCs w:val="24"/>
          <w:lang w:eastAsia="en-IN"/>
          <w14:ligatures w14:val="none"/>
        </w:rPr>
        <w:t xml:space="preserve">, Article 105410. </w:t>
      </w:r>
      <w:hyperlink r:id="rId40" w:history="1">
        <w:r w:rsidRPr="000807DC">
          <w:rPr>
            <w:rStyle w:val="Hyperlink"/>
            <w:rFonts w:ascii="Times New Roman" w:eastAsia="Times New Roman" w:hAnsi="Times New Roman" w:cs="Times New Roman"/>
            <w:kern w:val="0"/>
            <w:sz w:val="24"/>
            <w:szCs w:val="24"/>
            <w:lang w:eastAsia="en-IN"/>
            <w14:ligatures w14:val="none"/>
          </w:rPr>
          <w:t>https://doi.org/10.1016/j.worlddev.2021.105410</w:t>
        </w:r>
      </w:hyperlink>
      <w:r w:rsidRPr="000807DC">
        <w:rPr>
          <w:rFonts w:ascii="Times New Roman" w:eastAsia="Times New Roman" w:hAnsi="Times New Roman" w:cs="Times New Roman"/>
          <w:kern w:val="0"/>
          <w:sz w:val="24"/>
          <w:szCs w:val="24"/>
          <w:lang w:eastAsia="en-IN"/>
          <w14:ligatures w14:val="none"/>
        </w:rPr>
        <w:t xml:space="preserve"> </w:t>
      </w:r>
    </w:p>
    <w:p w14:paraId="11F34217"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Matthys, M.-L., </w:t>
      </w:r>
      <w:proofErr w:type="spellStart"/>
      <w:r w:rsidRPr="000807DC">
        <w:rPr>
          <w:rFonts w:ascii="Times New Roman" w:eastAsia="Times New Roman" w:hAnsi="Times New Roman" w:cs="Times New Roman"/>
          <w:kern w:val="0"/>
          <w:sz w:val="24"/>
          <w:szCs w:val="24"/>
          <w:lang w:eastAsia="en-IN"/>
          <w14:ligatures w14:val="none"/>
        </w:rPr>
        <w:t>Illien</w:t>
      </w:r>
      <w:proofErr w:type="spellEnd"/>
      <w:r w:rsidRPr="000807DC">
        <w:rPr>
          <w:rFonts w:ascii="Times New Roman" w:eastAsia="Times New Roman" w:hAnsi="Times New Roman" w:cs="Times New Roman"/>
          <w:kern w:val="0"/>
          <w:sz w:val="24"/>
          <w:szCs w:val="24"/>
          <w:lang w:eastAsia="en-IN"/>
          <w14:ligatures w14:val="none"/>
        </w:rPr>
        <w:t xml:space="preserve">, P., Acharya, S., Amacker, M., Bieri, S., </w:t>
      </w:r>
      <w:proofErr w:type="spellStart"/>
      <w:r w:rsidRPr="000807DC">
        <w:rPr>
          <w:rFonts w:ascii="Times New Roman" w:eastAsia="Times New Roman" w:hAnsi="Times New Roman" w:cs="Times New Roman"/>
          <w:kern w:val="0"/>
          <w:sz w:val="24"/>
          <w:szCs w:val="24"/>
          <w:lang w:eastAsia="en-IN"/>
          <w14:ligatures w14:val="none"/>
        </w:rPr>
        <w:t>Musafili</w:t>
      </w:r>
      <w:proofErr w:type="spellEnd"/>
      <w:r w:rsidRPr="000807DC">
        <w:rPr>
          <w:rFonts w:ascii="Times New Roman" w:eastAsia="Times New Roman" w:hAnsi="Times New Roman" w:cs="Times New Roman"/>
          <w:kern w:val="0"/>
          <w:sz w:val="24"/>
          <w:szCs w:val="24"/>
          <w:lang w:eastAsia="en-IN"/>
          <w14:ligatures w14:val="none"/>
        </w:rPr>
        <w:t xml:space="preserve">, I., &amp; </w:t>
      </w:r>
      <w:proofErr w:type="spellStart"/>
      <w:r w:rsidRPr="000807DC">
        <w:rPr>
          <w:rFonts w:ascii="Times New Roman" w:eastAsia="Times New Roman" w:hAnsi="Times New Roman" w:cs="Times New Roman"/>
          <w:kern w:val="0"/>
          <w:sz w:val="24"/>
          <w:szCs w:val="24"/>
          <w:lang w:eastAsia="en-IN"/>
          <w14:ligatures w14:val="none"/>
        </w:rPr>
        <w:t>Sanesathid</w:t>
      </w:r>
      <w:proofErr w:type="spellEnd"/>
      <w:r w:rsidRPr="000807DC">
        <w:rPr>
          <w:rFonts w:ascii="Times New Roman" w:eastAsia="Times New Roman" w:hAnsi="Times New Roman" w:cs="Times New Roman"/>
          <w:kern w:val="0"/>
          <w:sz w:val="24"/>
          <w:szCs w:val="24"/>
          <w:lang w:eastAsia="en-IN"/>
          <w14:ligatures w14:val="none"/>
        </w:rPr>
        <w:t xml:space="preserve">, O. (2024). The role of high-value agriculture in capability expansion: Qualitative insights into smallholder cash crop production in Nepal, Laos and Rwanda. </w:t>
      </w:r>
      <w:r w:rsidRPr="000807DC">
        <w:rPr>
          <w:rFonts w:ascii="Times New Roman" w:eastAsia="Times New Roman" w:hAnsi="Times New Roman" w:cs="Times New Roman"/>
          <w:i/>
          <w:iCs/>
          <w:kern w:val="0"/>
          <w:sz w:val="24"/>
          <w:szCs w:val="24"/>
          <w:lang w:eastAsia="en-IN"/>
          <w14:ligatures w14:val="none"/>
        </w:rPr>
        <w:t>The European Journal of Development Research, 36</w:t>
      </w:r>
      <w:r w:rsidRPr="000807DC">
        <w:rPr>
          <w:rFonts w:ascii="Times New Roman" w:eastAsia="Times New Roman" w:hAnsi="Times New Roman" w:cs="Times New Roman"/>
          <w:kern w:val="0"/>
          <w:sz w:val="24"/>
          <w:szCs w:val="24"/>
          <w:lang w:eastAsia="en-IN"/>
          <w14:ligatures w14:val="none"/>
        </w:rPr>
        <w:t xml:space="preserve">(1), 243–262. </w:t>
      </w:r>
      <w:hyperlink r:id="rId41" w:history="1">
        <w:r w:rsidRPr="000807DC">
          <w:rPr>
            <w:rStyle w:val="Hyperlink"/>
            <w:rFonts w:ascii="Times New Roman" w:eastAsia="Times New Roman" w:hAnsi="Times New Roman" w:cs="Times New Roman"/>
            <w:kern w:val="0"/>
            <w:sz w:val="24"/>
            <w:szCs w:val="24"/>
            <w:lang w:eastAsia="en-IN"/>
            <w14:ligatures w14:val="none"/>
          </w:rPr>
          <w:t>https://doi.org/10.1057/s41287-023-00600-1</w:t>
        </w:r>
      </w:hyperlink>
      <w:r w:rsidRPr="000807DC">
        <w:rPr>
          <w:rFonts w:ascii="Times New Roman" w:eastAsia="Times New Roman" w:hAnsi="Times New Roman" w:cs="Times New Roman"/>
          <w:kern w:val="0"/>
          <w:sz w:val="24"/>
          <w:szCs w:val="24"/>
          <w:lang w:eastAsia="en-IN"/>
          <w14:ligatures w14:val="none"/>
        </w:rPr>
        <w:t xml:space="preserve"> </w:t>
      </w:r>
    </w:p>
    <w:p w14:paraId="3C3B2AC5"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Pretty, J., Benton, T. G., Bharucha, Z. P., Dicks, L. V., Flora, C. B., Godfray, H. C. J., ... &amp; Wratten, S. (2018). Global assessment of agricultural system redesign for sustainable intensification. Nature Sustainability, 1(8), 441-446. </w:t>
      </w:r>
      <w:hyperlink r:id="rId42" w:history="1">
        <w:r w:rsidRPr="000807DC">
          <w:rPr>
            <w:rFonts w:ascii="Times New Roman" w:eastAsia="Times New Roman" w:hAnsi="Times New Roman" w:cs="Times New Roman"/>
            <w:color w:val="0000FF"/>
            <w:kern w:val="0"/>
            <w:sz w:val="24"/>
            <w:szCs w:val="24"/>
            <w:u w:val="single"/>
            <w:lang w:eastAsia="en-IN"/>
            <w14:ligatures w14:val="none"/>
          </w:rPr>
          <w:t>https://doi.org/10.1038/s41893-018-0114-0</w:t>
        </w:r>
      </w:hyperlink>
    </w:p>
    <w:p w14:paraId="44E4AD2B"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Rana, V., Kumar, M., Goswami, S., &amp; Uniyal, A. K. (2026). Livelihood diversification and income structure of forest adjacent villages of the Western Himalayas, India. Asian Journal of Agricultural Extension, Economics &amp; Sociology, 44(3), 70–78. </w:t>
      </w:r>
      <w:hyperlink r:id="rId43" w:history="1">
        <w:r w:rsidRPr="000807DC">
          <w:rPr>
            <w:rStyle w:val="Hyperlink"/>
            <w:rFonts w:ascii="Times New Roman" w:eastAsia="Times New Roman" w:hAnsi="Times New Roman" w:cs="Times New Roman"/>
            <w:kern w:val="0"/>
            <w:sz w:val="24"/>
            <w:szCs w:val="24"/>
            <w:lang w:eastAsia="en-IN"/>
            <w14:ligatures w14:val="none"/>
          </w:rPr>
          <w:t>https://doi.org/10.9734/ajaees/2026/v44i32901</w:t>
        </w:r>
      </w:hyperlink>
      <w:r w:rsidRPr="000807DC">
        <w:rPr>
          <w:rFonts w:ascii="Times New Roman" w:eastAsia="Times New Roman" w:hAnsi="Times New Roman" w:cs="Times New Roman"/>
          <w:kern w:val="0"/>
          <w:sz w:val="24"/>
          <w:szCs w:val="24"/>
          <w:lang w:eastAsia="en-IN"/>
          <w14:ligatures w14:val="none"/>
        </w:rPr>
        <w:t xml:space="preserve"> </w:t>
      </w:r>
    </w:p>
    <w:p w14:paraId="13D43027"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lastRenderedPageBreak/>
        <w:t xml:space="preserve">Rasul, G., &amp; Hussain, A. (2015). Sustainable food security in the mountains of Pakistan: Towards a policy framework. Ecology of food and nutrition, 54(6), 625-643. </w:t>
      </w:r>
      <w:hyperlink r:id="rId44" w:history="1">
        <w:r w:rsidRPr="000807DC">
          <w:rPr>
            <w:rStyle w:val="Hyperlink"/>
            <w:rFonts w:ascii="Times New Roman" w:hAnsi="Times New Roman" w:cs="Times New Roman"/>
            <w:sz w:val="24"/>
            <w:szCs w:val="24"/>
          </w:rPr>
          <w:t>https://doi.org/10.1080/03670244.2015.1052426</w:t>
        </w:r>
      </w:hyperlink>
      <w:r w:rsidRPr="000807DC">
        <w:rPr>
          <w:rFonts w:ascii="Times New Roman" w:hAnsi="Times New Roman" w:cs="Times New Roman"/>
          <w:sz w:val="24"/>
          <w:szCs w:val="24"/>
        </w:rPr>
        <w:t xml:space="preserve"> </w:t>
      </w:r>
    </w:p>
    <w:p w14:paraId="4E48005D"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Reyers, B., Folke, C., Moore, M. L., Biggs, R., &amp; Galaz, V. (2018). Social-ecological systems insights for navigating the dynamics of the Anthropocene. </w:t>
      </w:r>
      <w:r w:rsidRPr="000807DC">
        <w:rPr>
          <w:rFonts w:ascii="Times New Roman" w:eastAsia="Times New Roman" w:hAnsi="Times New Roman" w:cs="Times New Roman"/>
          <w:i/>
          <w:iCs/>
          <w:kern w:val="0"/>
          <w:sz w:val="24"/>
          <w:szCs w:val="24"/>
          <w:lang w:eastAsia="en-IN"/>
          <w14:ligatures w14:val="none"/>
        </w:rPr>
        <w:t>Annual Review of Environment and Resources</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43</w:t>
      </w:r>
      <w:r w:rsidRPr="000807DC">
        <w:rPr>
          <w:rFonts w:ascii="Times New Roman" w:eastAsia="Times New Roman" w:hAnsi="Times New Roman" w:cs="Times New Roman"/>
          <w:kern w:val="0"/>
          <w:sz w:val="24"/>
          <w:szCs w:val="24"/>
          <w:lang w:eastAsia="en-IN"/>
          <w14:ligatures w14:val="none"/>
        </w:rPr>
        <w:t xml:space="preserve">, 267–289. </w:t>
      </w:r>
      <w:hyperlink r:id="rId45" w:history="1">
        <w:r w:rsidRPr="000807DC">
          <w:rPr>
            <w:rStyle w:val="Hyperlink"/>
            <w:rFonts w:ascii="Times New Roman" w:eastAsia="Times New Roman" w:hAnsi="Times New Roman" w:cs="Times New Roman"/>
            <w:kern w:val="0"/>
            <w:sz w:val="24"/>
            <w:szCs w:val="24"/>
            <w:lang w:eastAsia="en-IN"/>
            <w14:ligatures w14:val="none"/>
          </w:rPr>
          <w:t>https://doi.org/10.1146/annurev-environ-110615-085349</w:t>
        </w:r>
      </w:hyperlink>
    </w:p>
    <w:p w14:paraId="3B42D277"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proofErr w:type="spellStart"/>
      <w:r w:rsidRPr="000807DC">
        <w:rPr>
          <w:rFonts w:ascii="Times New Roman" w:eastAsia="Times New Roman" w:hAnsi="Times New Roman" w:cs="Times New Roman"/>
          <w:kern w:val="0"/>
          <w:sz w:val="24"/>
          <w:szCs w:val="24"/>
          <w:lang w:eastAsia="en-IN"/>
          <w14:ligatures w14:val="none"/>
        </w:rPr>
        <w:t>Rockström</w:t>
      </w:r>
      <w:proofErr w:type="spellEnd"/>
      <w:r w:rsidRPr="000807DC">
        <w:rPr>
          <w:rFonts w:ascii="Times New Roman" w:eastAsia="Times New Roman" w:hAnsi="Times New Roman" w:cs="Times New Roman"/>
          <w:kern w:val="0"/>
          <w:sz w:val="24"/>
          <w:szCs w:val="24"/>
          <w:lang w:eastAsia="en-IN"/>
          <w14:ligatures w14:val="none"/>
        </w:rPr>
        <w:t xml:space="preserve">, J., Steffen, W., Noone, K., Persson, Å., Chapin, F. S., Lambin, E. F., ... &amp; Foley, J. A. (2009). A safe operating space for humanity. nature, 461(7263), 472-475. </w:t>
      </w:r>
      <w:hyperlink r:id="rId46" w:history="1">
        <w:r w:rsidRPr="000807DC">
          <w:rPr>
            <w:rFonts w:ascii="Times New Roman" w:eastAsia="Times New Roman" w:hAnsi="Times New Roman" w:cs="Times New Roman"/>
            <w:color w:val="0000FF"/>
            <w:kern w:val="0"/>
            <w:sz w:val="24"/>
            <w:szCs w:val="24"/>
            <w:u w:val="single"/>
            <w:lang w:eastAsia="en-IN"/>
            <w14:ligatures w14:val="none"/>
          </w:rPr>
          <w:t>https://doi.org/10.1038/461472a</w:t>
        </w:r>
      </w:hyperlink>
    </w:p>
    <w:p w14:paraId="0D91018A"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Sachet, E., Mertz, O., Le Coq, J.-F., Cruz-Garcia, G. S., Francesconi, W., Bonin, M., &amp; Quintero, M. (2021). Agroecological transitions: A systematic review of research approaches and prospects for participatory action methods. </w:t>
      </w:r>
      <w:r w:rsidRPr="000807DC">
        <w:rPr>
          <w:rFonts w:ascii="Times New Roman" w:eastAsia="Times New Roman" w:hAnsi="Times New Roman" w:cs="Times New Roman"/>
          <w:i/>
          <w:iCs/>
          <w:kern w:val="0"/>
          <w:sz w:val="24"/>
          <w:szCs w:val="24"/>
          <w:lang w:eastAsia="en-IN"/>
          <w14:ligatures w14:val="none"/>
        </w:rPr>
        <w:t>Frontiers in Sustainable Food Systems, 5</w:t>
      </w:r>
      <w:r w:rsidRPr="000807DC">
        <w:rPr>
          <w:rFonts w:ascii="Times New Roman" w:eastAsia="Times New Roman" w:hAnsi="Times New Roman" w:cs="Times New Roman"/>
          <w:kern w:val="0"/>
          <w:sz w:val="24"/>
          <w:szCs w:val="24"/>
          <w:lang w:eastAsia="en-IN"/>
          <w14:ligatures w14:val="none"/>
        </w:rPr>
        <w:t xml:space="preserve">, Article 709401. </w:t>
      </w:r>
      <w:hyperlink r:id="rId47" w:history="1">
        <w:r w:rsidRPr="000807DC">
          <w:rPr>
            <w:rStyle w:val="Hyperlink"/>
            <w:rFonts w:ascii="Times New Roman" w:eastAsia="Times New Roman" w:hAnsi="Times New Roman" w:cs="Times New Roman"/>
            <w:kern w:val="0"/>
            <w:sz w:val="24"/>
            <w:szCs w:val="24"/>
            <w:lang w:eastAsia="en-IN"/>
            <w14:ligatures w14:val="none"/>
          </w:rPr>
          <w:t>https://doi.org/10.3389/fsufs.2021.709401</w:t>
        </w:r>
      </w:hyperlink>
      <w:r w:rsidRPr="000807DC">
        <w:rPr>
          <w:rFonts w:ascii="Times New Roman" w:eastAsia="Times New Roman" w:hAnsi="Times New Roman" w:cs="Times New Roman"/>
          <w:kern w:val="0"/>
          <w:sz w:val="24"/>
          <w:szCs w:val="24"/>
          <w:lang w:eastAsia="en-IN"/>
          <w14:ligatures w14:val="none"/>
        </w:rPr>
        <w:t xml:space="preserve"> </w:t>
      </w:r>
    </w:p>
    <w:p w14:paraId="0EF4CA9A"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Schirpke, U., Kohler, M., Leitinger, G., Fontana, V., Tasser, E., &amp; Tappeiner, U. (2017). Future impacts of changing land-use and climate on ecosystem services of mountain grassland and their resilience. Ecosystem services, 26, 79-94. </w:t>
      </w:r>
      <w:hyperlink r:id="rId48" w:history="1">
        <w:r w:rsidRPr="000807DC">
          <w:rPr>
            <w:rFonts w:ascii="Times New Roman" w:eastAsia="Times New Roman" w:hAnsi="Times New Roman" w:cs="Times New Roman"/>
            <w:color w:val="0000FF"/>
            <w:kern w:val="0"/>
            <w:sz w:val="24"/>
            <w:szCs w:val="24"/>
            <w:u w:val="single"/>
            <w:lang w:eastAsia="en-IN"/>
            <w14:ligatures w14:val="none"/>
          </w:rPr>
          <w:t>https://doi.org/10.1016/j.ecoser.2017.06.008</w:t>
        </w:r>
      </w:hyperlink>
    </w:p>
    <w:p w14:paraId="600D23A6" w14:textId="77777777" w:rsidR="00DE49C8" w:rsidRPr="00E059D5" w:rsidRDefault="00000000">
      <w:pPr>
        <w:spacing w:before="100" w:after="100" w:line="240" w:lineRule="auto"/>
        <w:ind w:left="360"/>
        <w:rPr>
          <w:bCs/>
        </w:rPr>
      </w:pPr>
      <w:r w:rsidRPr="00E059D5">
        <w:rPr>
          <w:bCs/>
          <w:highlight w:val="yellow"/>
        </w:rPr>
        <w:t>Shah Khan, F. A., Islam, M. A., Parrey, A. A., Bhat, G. M., Bakshi, M. R., &amp; Mir, R. A. (2025). Indigenous forestry resources in Leh Himalaya, India: Utilization and significance for agricultural support and bioenergy security. Journal of Experimental Agriculture International, 47(11), 476–485. https://doi.org/10.9734/jeai/2025/v47i113886</w:t>
      </w:r>
    </w:p>
    <w:p w14:paraId="731D8FDD"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proofErr w:type="spellStart"/>
      <w:r w:rsidRPr="000807DC">
        <w:rPr>
          <w:rFonts w:ascii="Times New Roman" w:eastAsia="Times New Roman" w:hAnsi="Times New Roman" w:cs="Times New Roman"/>
          <w:kern w:val="0"/>
          <w:sz w:val="24"/>
          <w:szCs w:val="24"/>
          <w:lang w:eastAsia="en-IN"/>
          <w14:ligatures w14:val="none"/>
        </w:rPr>
        <w:t>Sibhatu</w:t>
      </w:r>
      <w:proofErr w:type="spellEnd"/>
      <w:r w:rsidRPr="000807DC">
        <w:rPr>
          <w:rFonts w:ascii="Times New Roman" w:eastAsia="Times New Roman" w:hAnsi="Times New Roman" w:cs="Times New Roman"/>
          <w:kern w:val="0"/>
          <w:sz w:val="24"/>
          <w:szCs w:val="24"/>
          <w:lang w:eastAsia="en-IN"/>
          <w14:ligatures w14:val="none"/>
        </w:rPr>
        <w:t xml:space="preserve">, K. T., Krishna, V. V., &amp; Qaim, M. (2015). Production diversity and dietary diversity in smallholder farm households. </w:t>
      </w:r>
      <w:r w:rsidRPr="000807DC">
        <w:rPr>
          <w:rFonts w:ascii="Times New Roman" w:eastAsia="Times New Roman" w:hAnsi="Times New Roman" w:cs="Times New Roman"/>
          <w:i/>
          <w:iCs/>
          <w:kern w:val="0"/>
          <w:sz w:val="24"/>
          <w:szCs w:val="24"/>
          <w:lang w:eastAsia="en-IN"/>
          <w14:ligatures w14:val="none"/>
        </w:rPr>
        <w:t>Proceedings of the National Academy of Sciences</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112</w:t>
      </w:r>
      <w:r w:rsidRPr="000807DC">
        <w:rPr>
          <w:rFonts w:ascii="Times New Roman" w:eastAsia="Times New Roman" w:hAnsi="Times New Roman" w:cs="Times New Roman"/>
          <w:kern w:val="0"/>
          <w:sz w:val="24"/>
          <w:szCs w:val="24"/>
          <w:lang w:eastAsia="en-IN"/>
          <w14:ligatures w14:val="none"/>
        </w:rPr>
        <w:t xml:space="preserve">(34), 10657–10662. </w:t>
      </w:r>
      <w:hyperlink r:id="rId49" w:history="1">
        <w:r w:rsidRPr="000807DC">
          <w:rPr>
            <w:rFonts w:ascii="Times New Roman" w:eastAsia="Times New Roman" w:hAnsi="Times New Roman" w:cs="Times New Roman"/>
            <w:color w:val="0000FF"/>
            <w:kern w:val="0"/>
            <w:sz w:val="24"/>
            <w:szCs w:val="24"/>
            <w:u w:val="single"/>
            <w:lang w:eastAsia="en-IN"/>
            <w14:ligatures w14:val="none"/>
          </w:rPr>
          <w:t>https://doi.org/10.1073/pnas.1510982112</w:t>
        </w:r>
      </w:hyperlink>
    </w:p>
    <w:p w14:paraId="5024F517"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proofErr w:type="spellStart"/>
      <w:r w:rsidRPr="000807DC">
        <w:rPr>
          <w:rFonts w:ascii="Times New Roman" w:eastAsia="Times New Roman" w:hAnsi="Times New Roman" w:cs="Times New Roman"/>
          <w:kern w:val="0"/>
          <w:sz w:val="24"/>
          <w:szCs w:val="24"/>
          <w:lang w:eastAsia="en-IN"/>
          <w14:ligatures w14:val="none"/>
        </w:rPr>
        <w:t>Snethlage</w:t>
      </w:r>
      <w:proofErr w:type="spellEnd"/>
      <w:r w:rsidRPr="000807DC">
        <w:rPr>
          <w:rFonts w:ascii="Times New Roman" w:eastAsia="Times New Roman" w:hAnsi="Times New Roman" w:cs="Times New Roman"/>
          <w:kern w:val="0"/>
          <w:sz w:val="24"/>
          <w:szCs w:val="24"/>
          <w:lang w:eastAsia="en-IN"/>
          <w14:ligatures w14:val="none"/>
        </w:rPr>
        <w:t xml:space="preserve">, M. A., Geschke, J., </w:t>
      </w:r>
      <w:proofErr w:type="spellStart"/>
      <w:r w:rsidRPr="000807DC">
        <w:rPr>
          <w:rFonts w:ascii="Times New Roman" w:eastAsia="Times New Roman" w:hAnsi="Times New Roman" w:cs="Times New Roman"/>
          <w:kern w:val="0"/>
          <w:sz w:val="24"/>
          <w:szCs w:val="24"/>
          <w:lang w:eastAsia="en-IN"/>
          <w14:ligatures w14:val="none"/>
        </w:rPr>
        <w:t>Ranipeta</w:t>
      </w:r>
      <w:proofErr w:type="spellEnd"/>
      <w:r w:rsidRPr="000807DC">
        <w:rPr>
          <w:rFonts w:ascii="Times New Roman" w:eastAsia="Times New Roman" w:hAnsi="Times New Roman" w:cs="Times New Roman"/>
          <w:kern w:val="0"/>
          <w:sz w:val="24"/>
          <w:szCs w:val="24"/>
          <w:lang w:eastAsia="en-IN"/>
          <w14:ligatures w14:val="none"/>
        </w:rPr>
        <w:t xml:space="preserve">, A., </w:t>
      </w:r>
      <w:proofErr w:type="spellStart"/>
      <w:r w:rsidRPr="000807DC">
        <w:rPr>
          <w:rFonts w:ascii="Times New Roman" w:eastAsia="Times New Roman" w:hAnsi="Times New Roman" w:cs="Times New Roman"/>
          <w:kern w:val="0"/>
          <w:sz w:val="24"/>
          <w:szCs w:val="24"/>
          <w:lang w:eastAsia="en-IN"/>
          <w14:ligatures w14:val="none"/>
        </w:rPr>
        <w:t>Jetz</w:t>
      </w:r>
      <w:proofErr w:type="spellEnd"/>
      <w:r w:rsidRPr="000807DC">
        <w:rPr>
          <w:rFonts w:ascii="Times New Roman" w:eastAsia="Times New Roman" w:hAnsi="Times New Roman" w:cs="Times New Roman"/>
          <w:kern w:val="0"/>
          <w:sz w:val="24"/>
          <w:szCs w:val="24"/>
          <w:lang w:eastAsia="en-IN"/>
          <w14:ligatures w14:val="none"/>
        </w:rPr>
        <w:t xml:space="preserve">, W., </w:t>
      </w:r>
      <w:proofErr w:type="spellStart"/>
      <w:r w:rsidRPr="000807DC">
        <w:rPr>
          <w:rFonts w:ascii="Times New Roman" w:eastAsia="Times New Roman" w:hAnsi="Times New Roman" w:cs="Times New Roman"/>
          <w:kern w:val="0"/>
          <w:sz w:val="24"/>
          <w:szCs w:val="24"/>
          <w:lang w:eastAsia="en-IN"/>
          <w14:ligatures w14:val="none"/>
        </w:rPr>
        <w:t>Yoccoz</w:t>
      </w:r>
      <w:proofErr w:type="spellEnd"/>
      <w:r w:rsidRPr="000807DC">
        <w:rPr>
          <w:rFonts w:ascii="Times New Roman" w:eastAsia="Times New Roman" w:hAnsi="Times New Roman" w:cs="Times New Roman"/>
          <w:kern w:val="0"/>
          <w:sz w:val="24"/>
          <w:szCs w:val="24"/>
          <w:lang w:eastAsia="en-IN"/>
          <w14:ligatures w14:val="none"/>
        </w:rPr>
        <w:t xml:space="preserve">, N. G., Körner, C., Spehn, E. M., Fischer, M., &amp; Urbach, D. (2022). A hierarchical inventory of the world’s mountains for global comparative mountain science. </w:t>
      </w:r>
      <w:r w:rsidRPr="000807DC">
        <w:rPr>
          <w:rFonts w:ascii="Times New Roman" w:eastAsia="Times New Roman" w:hAnsi="Times New Roman" w:cs="Times New Roman"/>
          <w:i/>
          <w:iCs/>
          <w:kern w:val="0"/>
          <w:sz w:val="24"/>
          <w:szCs w:val="24"/>
          <w:lang w:eastAsia="en-IN"/>
          <w14:ligatures w14:val="none"/>
        </w:rPr>
        <w:t>Scientific Data, 9</w:t>
      </w:r>
      <w:r w:rsidRPr="000807DC">
        <w:rPr>
          <w:rFonts w:ascii="Times New Roman" w:eastAsia="Times New Roman" w:hAnsi="Times New Roman" w:cs="Times New Roman"/>
          <w:kern w:val="0"/>
          <w:sz w:val="24"/>
          <w:szCs w:val="24"/>
          <w:lang w:eastAsia="en-IN"/>
          <w14:ligatures w14:val="none"/>
        </w:rPr>
        <w:t xml:space="preserve">, Article 149. </w:t>
      </w:r>
      <w:hyperlink r:id="rId50" w:history="1">
        <w:r w:rsidRPr="000807DC">
          <w:rPr>
            <w:rStyle w:val="Hyperlink"/>
            <w:rFonts w:ascii="Times New Roman" w:eastAsia="Times New Roman" w:hAnsi="Times New Roman" w:cs="Times New Roman"/>
            <w:kern w:val="0"/>
            <w:sz w:val="24"/>
            <w:szCs w:val="24"/>
            <w:lang w:eastAsia="en-IN"/>
            <w14:ligatures w14:val="none"/>
          </w:rPr>
          <w:t>https://doi.org/10.1038/s41597-022-01256-y</w:t>
        </w:r>
      </w:hyperlink>
      <w:r w:rsidRPr="000807DC">
        <w:rPr>
          <w:rFonts w:ascii="Times New Roman" w:eastAsia="Times New Roman" w:hAnsi="Times New Roman" w:cs="Times New Roman"/>
          <w:kern w:val="0"/>
          <w:sz w:val="24"/>
          <w:szCs w:val="24"/>
          <w:lang w:eastAsia="en-IN"/>
          <w14:ligatures w14:val="none"/>
        </w:rPr>
        <w:t xml:space="preserve">  </w:t>
      </w:r>
    </w:p>
    <w:p w14:paraId="34DB4B19"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Snyder, H. (2019). Literature review as a research methodology: An overview and guidelines. </w:t>
      </w:r>
      <w:r w:rsidRPr="000807DC">
        <w:rPr>
          <w:rFonts w:ascii="Times New Roman" w:eastAsia="Times New Roman" w:hAnsi="Times New Roman" w:cs="Times New Roman"/>
          <w:i/>
          <w:iCs/>
          <w:kern w:val="0"/>
          <w:sz w:val="24"/>
          <w:szCs w:val="24"/>
          <w:lang w:eastAsia="en-IN"/>
          <w14:ligatures w14:val="none"/>
        </w:rPr>
        <w:t>Journal of Business Research</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104</w:t>
      </w:r>
      <w:r w:rsidRPr="000807DC">
        <w:rPr>
          <w:rFonts w:ascii="Times New Roman" w:eastAsia="Times New Roman" w:hAnsi="Times New Roman" w:cs="Times New Roman"/>
          <w:kern w:val="0"/>
          <w:sz w:val="24"/>
          <w:szCs w:val="24"/>
          <w:lang w:eastAsia="en-IN"/>
          <w14:ligatures w14:val="none"/>
        </w:rPr>
        <w:t xml:space="preserve">, 333–339. </w:t>
      </w:r>
      <w:hyperlink r:id="rId51" w:history="1">
        <w:r w:rsidRPr="000807DC">
          <w:rPr>
            <w:rFonts w:ascii="Times New Roman" w:eastAsia="Times New Roman" w:hAnsi="Times New Roman" w:cs="Times New Roman"/>
            <w:color w:val="0000FF"/>
            <w:kern w:val="0"/>
            <w:sz w:val="24"/>
            <w:szCs w:val="24"/>
            <w:u w:val="single"/>
            <w:lang w:eastAsia="en-IN"/>
            <w14:ligatures w14:val="none"/>
          </w:rPr>
          <w:t>https://doi.org/10.1016/j.jbusres.2019.07.039</w:t>
        </w:r>
      </w:hyperlink>
    </w:p>
    <w:p w14:paraId="5BDCCC75"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Thapa, A., Muthuprakash, S., Damani, O., &amp; Isaac, M. E. (2026). Social-ecological outcomes of agroecological transitions: A case study from natural farming systems in central India. </w:t>
      </w:r>
      <w:r w:rsidRPr="000807DC">
        <w:rPr>
          <w:rFonts w:ascii="Times New Roman" w:eastAsia="Times New Roman" w:hAnsi="Times New Roman" w:cs="Times New Roman"/>
          <w:i/>
          <w:iCs/>
          <w:kern w:val="0"/>
          <w:sz w:val="24"/>
          <w:szCs w:val="24"/>
          <w:lang w:eastAsia="en-IN"/>
          <w14:ligatures w14:val="none"/>
        </w:rPr>
        <w:t>PLOS Sustainability and Transformation, 5</w:t>
      </w:r>
      <w:r w:rsidRPr="000807DC">
        <w:rPr>
          <w:rFonts w:ascii="Times New Roman" w:eastAsia="Times New Roman" w:hAnsi="Times New Roman" w:cs="Times New Roman"/>
          <w:kern w:val="0"/>
          <w:sz w:val="24"/>
          <w:szCs w:val="24"/>
          <w:lang w:eastAsia="en-IN"/>
          <w14:ligatures w14:val="none"/>
        </w:rPr>
        <w:t xml:space="preserve">(1), Article e0000212. </w:t>
      </w:r>
      <w:hyperlink r:id="rId52" w:history="1">
        <w:r w:rsidRPr="000807DC">
          <w:rPr>
            <w:rStyle w:val="Hyperlink"/>
            <w:rFonts w:ascii="Times New Roman" w:eastAsia="Times New Roman" w:hAnsi="Times New Roman" w:cs="Times New Roman"/>
            <w:kern w:val="0"/>
            <w:sz w:val="24"/>
            <w:szCs w:val="24"/>
            <w:lang w:eastAsia="en-IN"/>
            <w14:ligatures w14:val="none"/>
          </w:rPr>
          <w:t>https://doi.org/10.1371/journal.pstr.0000212</w:t>
        </w:r>
      </w:hyperlink>
      <w:r w:rsidRPr="000807DC">
        <w:rPr>
          <w:rFonts w:ascii="Times New Roman" w:eastAsia="Times New Roman" w:hAnsi="Times New Roman" w:cs="Times New Roman"/>
          <w:kern w:val="0"/>
          <w:sz w:val="24"/>
          <w:szCs w:val="24"/>
          <w:lang w:eastAsia="en-IN"/>
          <w14:ligatures w14:val="none"/>
        </w:rPr>
        <w:t xml:space="preserve">  </w:t>
      </w:r>
    </w:p>
    <w:p w14:paraId="409C7E32"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Thapa, G. B., &amp; Paudel, G. S. (2002). Farmland degradation in the mountains of Nepal: A study of watersheds ‘with’</w:t>
      </w:r>
      <w:r w:rsidR="00534086">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kern w:val="0"/>
          <w:sz w:val="24"/>
          <w:szCs w:val="24"/>
          <w:lang w:eastAsia="en-IN"/>
          <w14:ligatures w14:val="none"/>
        </w:rPr>
        <w:t>and ‘</w:t>
      </w:r>
      <w:proofErr w:type="spellStart"/>
      <w:r w:rsidRPr="000807DC">
        <w:rPr>
          <w:rFonts w:ascii="Times New Roman" w:eastAsia="Times New Roman" w:hAnsi="Times New Roman" w:cs="Times New Roman"/>
          <w:kern w:val="0"/>
          <w:sz w:val="24"/>
          <w:szCs w:val="24"/>
          <w:lang w:eastAsia="en-IN"/>
          <w14:ligatures w14:val="none"/>
        </w:rPr>
        <w:t>without’external</w:t>
      </w:r>
      <w:proofErr w:type="spellEnd"/>
      <w:r w:rsidRPr="000807DC">
        <w:rPr>
          <w:rFonts w:ascii="Times New Roman" w:eastAsia="Times New Roman" w:hAnsi="Times New Roman" w:cs="Times New Roman"/>
          <w:kern w:val="0"/>
          <w:sz w:val="24"/>
          <w:szCs w:val="24"/>
          <w:lang w:eastAsia="en-IN"/>
          <w14:ligatures w14:val="none"/>
        </w:rPr>
        <w:t xml:space="preserve"> intervention. Land degradation &amp; development, 13(6), 479-493. </w:t>
      </w:r>
      <w:hyperlink r:id="rId53" w:history="1">
        <w:r w:rsidRPr="000807DC">
          <w:rPr>
            <w:rStyle w:val="Hyperlink"/>
            <w:rFonts w:ascii="Times New Roman" w:hAnsi="Times New Roman" w:cs="Times New Roman"/>
            <w:sz w:val="24"/>
            <w:szCs w:val="24"/>
          </w:rPr>
          <w:t>https://doi.org/10.1002/ldr.536</w:t>
        </w:r>
      </w:hyperlink>
      <w:r w:rsidRPr="000807DC">
        <w:rPr>
          <w:rFonts w:ascii="Times New Roman" w:hAnsi="Times New Roman" w:cs="Times New Roman"/>
          <w:sz w:val="24"/>
          <w:szCs w:val="24"/>
        </w:rPr>
        <w:t xml:space="preserve"> </w:t>
      </w:r>
    </w:p>
    <w:p w14:paraId="4EA207E6"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lastRenderedPageBreak/>
        <w:t xml:space="preserve">Tiwari, P. C., &amp; Joshi, B. (2015). Climate change and rural out-migration in Himalaya. Change and Adaptation in Socio-Ecological Systems, 2(1), 8-25. </w:t>
      </w:r>
      <w:r w:rsidRPr="000807DC">
        <w:rPr>
          <w:rFonts w:ascii="Times New Roman" w:hAnsi="Times New Roman" w:cs="Times New Roman"/>
          <w:sz w:val="24"/>
          <w:szCs w:val="24"/>
        </w:rPr>
        <w:t xml:space="preserve">10.1515/cass-2015-0002  </w:t>
      </w:r>
    </w:p>
    <w:p w14:paraId="3915E430"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Verburg, P. H., Crossman, N., Ellis, E. C., Heinimann, A., Hostert, P., Mertz, O., Nagendra, H., Sikor, T., Erb, K.-H., </w:t>
      </w:r>
      <w:proofErr w:type="spellStart"/>
      <w:r w:rsidRPr="000807DC">
        <w:rPr>
          <w:rFonts w:ascii="Times New Roman" w:eastAsia="Times New Roman" w:hAnsi="Times New Roman" w:cs="Times New Roman"/>
          <w:kern w:val="0"/>
          <w:sz w:val="24"/>
          <w:szCs w:val="24"/>
          <w:lang w:eastAsia="en-IN"/>
          <w14:ligatures w14:val="none"/>
        </w:rPr>
        <w:t>Golubiewski</w:t>
      </w:r>
      <w:proofErr w:type="spellEnd"/>
      <w:r w:rsidRPr="000807DC">
        <w:rPr>
          <w:rFonts w:ascii="Times New Roman" w:eastAsia="Times New Roman" w:hAnsi="Times New Roman" w:cs="Times New Roman"/>
          <w:kern w:val="0"/>
          <w:sz w:val="24"/>
          <w:szCs w:val="24"/>
          <w:lang w:eastAsia="en-IN"/>
          <w14:ligatures w14:val="none"/>
        </w:rPr>
        <w:t xml:space="preserve">, N., Grau, R., Grove, M., </w:t>
      </w:r>
      <w:proofErr w:type="spellStart"/>
      <w:r w:rsidRPr="000807DC">
        <w:rPr>
          <w:rFonts w:ascii="Times New Roman" w:eastAsia="Times New Roman" w:hAnsi="Times New Roman" w:cs="Times New Roman"/>
          <w:kern w:val="0"/>
          <w:sz w:val="24"/>
          <w:szCs w:val="24"/>
          <w:lang w:eastAsia="en-IN"/>
          <w14:ligatures w14:val="none"/>
        </w:rPr>
        <w:t>Konaté</w:t>
      </w:r>
      <w:proofErr w:type="spellEnd"/>
      <w:r w:rsidRPr="000807DC">
        <w:rPr>
          <w:rFonts w:ascii="Times New Roman" w:eastAsia="Times New Roman" w:hAnsi="Times New Roman" w:cs="Times New Roman"/>
          <w:kern w:val="0"/>
          <w:sz w:val="24"/>
          <w:szCs w:val="24"/>
          <w:lang w:eastAsia="en-IN"/>
          <w14:ligatures w14:val="none"/>
        </w:rPr>
        <w:t xml:space="preserve">, S., </w:t>
      </w:r>
      <w:proofErr w:type="spellStart"/>
      <w:r w:rsidRPr="000807DC">
        <w:rPr>
          <w:rFonts w:ascii="Times New Roman" w:eastAsia="Times New Roman" w:hAnsi="Times New Roman" w:cs="Times New Roman"/>
          <w:kern w:val="0"/>
          <w:sz w:val="24"/>
          <w:szCs w:val="24"/>
          <w:lang w:eastAsia="en-IN"/>
          <w14:ligatures w14:val="none"/>
        </w:rPr>
        <w:t>Meyfroidt</w:t>
      </w:r>
      <w:proofErr w:type="spellEnd"/>
      <w:r w:rsidRPr="000807DC">
        <w:rPr>
          <w:rFonts w:ascii="Times New Roman" w:eastAsia="Times New Roman" w:hAnsi="Times New Roman" w:cs="Times New Roman"/>
          <w:kern w:val="0"/>
          <w:sz w:val="24"/>
          <w:szCs w:val="24"/>
          <w:lang w:eastAsia="en-IN"/>
          <w14:ligatures w14:val="none"/>
        </w:rPr>
        <w:t xml:space="preserve">, P., Parker, D. C., Chowdhury, R. R., Shibata, H., Thomson, A., &amp; Zhen, L. (2015). Land system science and sustainable development of the earth system: A global land project perspective. Anthropocene, 12, 29–41. </w:t>
      </w:r>
      <w:hyperlink r:id="rId54" w:history="1">
        <w:r w:rsidRPr="00A45971">
          <w:rPr>
            <w:rStyle w:val="Hyperlink"/>
            <w:rFonts w:ascii="Times New Roman" w:eastAsia="Times New Roman" w:hAnsi="Times New Roman" w:cs="Times New Roman"/>
            <w:kern w:val="0"/>
            <w:sz w:val="24"/>
            <w:szCs w:val="24"/>
            <w:lang w:eastAsia="en-IN"/>
            <w14:ligatures w14:val="none"/>
          </w:rPr>
          <w:t>https://doi.org/10.1016/j.ancene.2015.09.004</w:t>
        </w:r>
      </w:hyperlink>
      <w:r>
        <w:rPr>
          <w:rFonts w:ascii="Times New Roman" w:eastAsia="Times New Roman" w:hAnsi="Times New Roman" w:cs="Times New Roman"/>
          <w:kern w:val="0"/>
          <w:sz w:val="24"/>
          <w:szCs w:val="24"/>
          <w:lang w:eastAsia="en-IN"/>
          <w14:ligatures w14:val="none"/>
        </w:rPr>
        <w:t xml:space="preserve"> </w:t>
      </w:r>
    </w:p>
    <w:p w14:paraId="17DFD2EB"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Walker, B., Holling, C. S., Carpenter, S. R., &amp; Kinzig, A. (2004). Resilience, adaptability and transformability in social–ecological systems. </w:t>
      </w:r>
      <w:r w:rsidRPr="000807DC">
        <w:rPr>
          <w:rFonts w:ascii="Times New Roman" w:eastAsia="Times New Roman" w:hAnsi="Times New Roman" w:cs="Times New Roman"/>
          <w:i/>
          <w:iCs/>
          <w:kern w:val="0"/>
          <w:sz w:val="24"/>
          <w:szCs w:val="24"/>
          <w:lang w:eastAsia="en-IN"/>
          <w14:ligatures w14:val="none"/>
        </w:rPr>
        <w:t>Ecology and Society</w:t>
      </w:r>
      <w:r w:rsidRPr="000807DC">
        <w:rPr>
          <w:rFonts w:ascii="Times New Roman" w:eastAsia="Times New Roman" w:hAnsi="Times New Roman" w:cs="Times New Roman"/>
          <w:kern w:val="0"/>
          <w:sz w:val="24"/>
          <w:szCs w:val="24"/>
          <w:lang w:eastAsia="en-IN"/>
          <w14:ligatures w14:val="none"/>
        </w:rPr>
        <w:t xml:space="preserve">, </w:t>
      </w:r>
      <w:r w:rsidRPr="000807DC">
        <w:rPr>
          <w:rFonts w:ascii="Times New Roman" w:eastAsia="Times New Roman" w:hAnsi="Times New Roman" w:cs="Times New Roman"/>
          <w:i/>
          <w:iCs/>
          <w:kern w:val="0"/>
          <w:sz w:val="24"/>
          <w:szCs w:val="24"/>
          <w:lang w:eastAsia="en-IN"/>
          <w14:ligatures w14:val="none"/>
        </w:rPr>
        <w:t>9</w:t>
      </w:r>
      <w:r w:rsidRPr="000807DC">
        <w:rPr>
          <w:rFonts w:ascii="Times New Roman" w:eastAsia="Times New Roman" w:hAnsi="Times New Roman" w:cs="Times New Roman"/>
          <w:kern w:val="0"/>
          <w:sz w:val="24"/>
          <w:szCs w:val="24"/>
          <w:lang w:eastAsia="en-IN"/>
          <w14:ligatures w14:val="none"/>
        </w:rPr>
        <w:t xml:space="preserve">(2), 5. </w:t>
      </w:r>
      <w:hyperlink r:id="rId55" w:history="1">
        <w:r w:rsidRPr="000807DC">
          <w:rPr>
            <w:rFonts w:ascii="Times New Roman" w:eastAsia="Times New Roman" w:hAnsi="Times New Roman" w:cs="Times New Roman"/>
            <w:color w:val="0000FF"/>
            <w:kern w:val="0"/>
            <w:sz w:val="24"/>
            <w:szCs w:val="24"/>
            <w:u w:val="single"/>
            <w:lang w:eastAsia="en-IN"/>
            <w14:ligatures w14:val="none"/>
          </w:rPr>
          <w:t>https://doi.org/10.5751/ES-00650-090205</w:t>
        </w:r>
      </w:hyperlink>
    </w:p>
    <w:p w14:paraId="00AB2DCF"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Wester, P., Mishra, A., Mukherji, A., &amp; Shrestha, A. B. (2019). The Hindu Kush Himalaya assessment: mountains, climate change, sustainability and people (p. 627). Springer Nature. </w:t>
      </w:r>
      <w:hyperlink r:id="rId56" w:history="1">
        <w:r w:rsidRPr="000807DC">
          <w:rPr>
            <w:rFonts w:ascii="Times New Roman" w:eastAsia="Times New Roman" w:hAnsi="Times New Roman" w:cs="Times New Roman"/>
            <w:color w:val="0000FF"/>
            <w:kern w:val="0"/>
            <w:sz w:val="24"/>
            <w:szCs w:val="24"/>
            <w:u w:val="single"/>
            <w:lang w:eastAsia="en-IN"/>
            <w14:ligatures w14:val="none"/>
          </w:rPr>
          <w:t>https://doi.org/10.1007/978-3-319-92288-1</w:t>
        </w:r>
      </w:hyperlink>
    </w:p>
    <w:p w14:paraId="420906A9"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Wezel, A., Bellon, S., Doré, T., Francis, C., </w:t>
      </w:r>
      <w:proofErr w:type="spellStart"/>
      <w:r w:rsidRPr="000807DC">
        <w:rPr>
          <w:rFonts w:ascii="Times New Roman" w:eastAsia="Times New Roman" w:hAnsi="Times New Roman" w:cs="Times New Roman"/>
          <w:kern w:val="0"/>
          <w:sz w:val="24"/>
          <w:szCs w:val="24"/>
          <w:lang w:eastAsia="en-IN"/>
          <w14:ligatures w14:val="none"/>
        </w:rPr>
        <w:t>Vallod</w:t>
      </w:r>
      <w:proofErr w:type="spellEnd"/>
      <w:r w:rsidRPr="000807DC">
        <w:rPr>
          <w:rFonts w:ascii="Times New Roman" w:eastAsia="Times New Roman" w:hAnsi="Times New Roman" w:cs="Times New Roman"/>
          <w:kern w:val="0"/>
          <w:sz w:val="24"/>
          <w:szCs w:val="24"/>
          <w:lang w:eastAsia="en-IN"/>
          <w14:ligatures w14:val="none"/>
        </w:rPr>
        <w:t xml:space="preserve">, D., &amp; David, C. (2009). Agroecology as a science, a movement and a practice. A review. Agronomy for sustainable development, 29(4), 503-515. </w:t>
      </w:r>
      <w:hyperlink r:id="rId57" w:history="1">
        <w:r w:rsidRPr="000807DC">
          <w:rPr>
            <w:rFonts w:ascii="Times New Roman" w:eastAsia="Times New Roman" w:hAnsi="Times New Roman" w:cs="Times New Roman"/>
            <w:color w:val="0000FF"/>
            <w:kern w:val="0"/>
            <w:sz w:val="24"/>
            <w:szCs w:val="24"/>
            <w:u w:val="single"/>
            <w:lang w:eastAsia="en-IN"/>
            <w14:ligatures w14:val="none"/>
          </w:rPr>
          <w:t>https://doi.org/10.1051/agro/2009004</w:t>
        </w:r>
      </w:hyperlink>
    </w:p>
    <w:p w14:paraId="6F515E87" w14:textId="77777777" w:rsidR="00A8677B" w:rsidRPr="000807DC" w:rsidRDefault="00A8677B" w:rsidP="00F24A2A">
      <w:pPr>
        <w:spacing w:before="100" w:beforeAutospacing="1" w:after="100" w:afterAutospacing="1" w:line="240" w:lineRule="auto"/>
        <w:ind w:left="360"/>
        <w:jc w:val="both"/>
        <w:rPr>
          <w:rFonts w:ascii="Times New Roman" w:eastAsia="Times New Roman" w:hAnsi="Times New Roman" w:cs="Times New Roman"/>
          <w:kern w:val="0"/>
          <w:sz w:val="24"/>
          <w:szCs w:val="24"/>
          <w:lang w:eastAsia="en-IN"/>
          <w14:ligatures w14:val="none"/>
        </w:rPr>
      </w:pPr>
      <w:r w:rsidRPr="000807DC">
        <w:rPr>
          <w:rFonts w:ascii="Times New Roman" w:eastAsia="Times New Roman" w:hAnsi="Times New Roman" w:cs="Times New Roman"/>
          <w:kern w:val="0"/>
          <w:sz w:val="24"/>
          <w:szCs w:val="24"/>
          <w:lang w:eastAsia="en-IN"/>
          <w14:ligatures w14:val="none"/>
        </w:rPr>
        <w:t xml:space="preserve">Willett, W., </w:t>
      </w:r>
      <w:proofErr w:type="spellStart"/>
      <w:r w:rsidRPr="000807DC">
        <w:rPr>
          <w:rFonts w:ascii="Times New Roman" w:eastAsia="Times New Roman" w:hAnsi="Times New Roman" w:cs="Times New Roman"/>
          <w:kern w:val="0"/>
          <w:sz w:val="24"/>
          <w:szCs w:val="24"/>
          <w:lang w:eastAsia="en-IN"/>
          <w14:ligatures w14:val="none"/>
        </w:rPr>
        <w:t>Rockström</w:t>
      </w:r>
      <w:proofErr w:type="spellEnd"/>
      <w:r w:rsidRPr="000807DC">
        <w:rPr>
          <w:rFonts w:ascii="Times New Roman" w:eastAsia="Times New Roman" w:hAnsi="Times New Roman" w:cs="Times New Roman"/>
          <w:kern w:val="0"/>
          <w:sz w:val="24"/>
          <w:szCs w:val="24"/>
          <w:lang w:eastAsia="en-IN"/>
          <w14:ligatures w14:val="none"/>
        </w:rPr>
        <w:t xml:space="preserve">, J., Loken, B., Springmann, M., Lang, T., Vermeulen, S., Garnett, T., Tilman, D., DeClerck, F., Wood, A., Jonell, M., Clark, M., Gordon, L. J., Fanzo, J., Hawkes, C., </w:t>
      </w:r>
      <w:proofErr w:type="spellStart"/>
      <w:r w:rsidRPr="000807DC">
        <w:rPr>
          <w:rFonts w:ascii="Times New Roman" w:eastAsia="Times New Roman" w:hAnsi="Times New Roman" w:cs="Times New Roman"/>
          <w:kern w:val="0"/>
          <w:sz w:val="24"/>
          <w:szCs w:val="24"/>
          <w:lang w:eastAsia="en-IN"/>
          <w14:ligatures w14:val="none"/>
        </w:rPr>
        <w:t>Zurayk</w:t>
      </w:r>
      <w:proofErr w:type="spellEnd"/>
      <w:r w:rsidRPr="000807DC">
        <w:rPr>
          <w:rFonts w:ascii="Times New Roman" w:eastAsia="Times New Roman" w:hAnsi="Times New Roman" w:cs="Times New Roman"/>
          <w:kern w:val="0"/>
          <w:sz w:val="24"/>
          <w:szCs w:val="24"/>
          <w:lang w:eastAsia="en-IN"/>
          <w14:ligatures w14:val="none"/>
        </w:rPr>
        <w:t xml:space="preserve">, R., Rivera, J. A., De Vries, W., </w:t>
      </w:r>
      <w:proofErr w:type="spellStart"/>
      <w:r w:rsidRPr="000807DC">
        <w:rPr>
          <w:rFonts w:ascii="Times New Roman" w:eastAsia="Times New Roman" w:hAnsi="Times New Roman" w:cs="Times New Roman"/>
          <w:kern w:val="0"/>
          <w:sz w:val="24"/>
          <w:szCs w:val="24"/>
          <w:lang w:eastAsia="en-IN"/>
          <w14:ligatures w14:val="none"/>
        </w:rPr>
        <w:t>Majele</w:t>
      </w:r>
      <w:proofErr w:type="spellEnd"/>
      <w:r w:rsidRPr="000807DC">
        <w:rPr>
          <w:rFonts w:ascii="Times New Roman" w:eastAsia="Times New Roman" w:hAnsi="Times New Roman" w:cs="Times New Roman"/>
          <w:kern w:val="0"/>
          <w:sz w:val="24"/>
          <w:szCs w:val="24"/>
          <w:lang w:eastAsia="en-IN"/>
          <w14:ligatures w14:val="none"/>
        </w:rPr>
        <w:t xml:space="preserve"> Sibanda, L., ... Murray, C. J. L. (2019). Food in the Anthropocene: The EAT–Lancet Commission on healthy diets from sustainable food systems. The Lancet, 393(10170), 447–492. </w:t>
      </w:r>
      <w:hyperlink r:id="rId58" w:history="1">
        <w:r w:rsidRPr="00A45971">
          <w:rPr>
            <w:rStyle w:val="Hyperlink"/>
            <w:rFonts w:ascii="Times New Roman" w:eastAsia="Times New Roman" w:hAnsi="Times New Roman" w:cs="Times New Roman"/>
            <w:kern w:val="0"/>
            <w:sz w:val="24"/>
            <w:szCs w:val="24"/>
            <w:lang w:eastAsia="en-IN"/>
            <w14:ligatures w14:val="none"/>
          </w:rPr>
          <w:t>https://doi.org/10.1016/S0140-6736(18)31788-4</w:t>
        </w:r>
      </w:hyperlink>
      <w:r>
        <w:rPr>
          <w:rFonts w:ascii="Times New Roman" w:eastAsia="Times New Roman" w:hAnsi="Times New Roman" w:cs="Times New Roman"/>
          <w:kern w:val="0"/>
          <w:sz w:val="24"/>
          <w:szCs w:val="24"/>
          <w:lang w:eastAsia="en-IN"/>
          <w14:ligatures w14:val="none"/>
        </w:rPr>
        <w:t xml:space="preserve"> </w:t>
      </w:r>
    </w:p>
    <w:p w14:paraId="1FA4643F" w14:textId="77777777" w:rsidR="00A8677B" w:rsidRPr="000807DC" w:rsidRDefault="00A8677B" w:rsidP="00F24A2A">
      <w:pPr>
        <w:spacing w:before="100" w:beforeAutospacing="1" w:after="100" w:afterAutospacing="1" w:line="240" w:lineRule="auto"/>
        <w:ind w:left="360"/>
        <w:jc w:val="both"/>
        <w:rPr>
          <w:rFonts w:ascii="Times New Roman" w:hAnsi="Times New Roman" w:cs="Times New Roman"/>
          <w:sz w:val="24"/>
          <w:szCs w:val="24"/>
        </w:rPr>
      </w:pPr>
      <w:r w:rsidRPr="000807DC">
        <w:rPr>
          <w:rFonts w:ascii="Times New Roman" w:eastAsia="Times New Roman" w:hAnsi="Times New Roman" w:cs="Times New Roman"/>
          <w:kern w:val="0"/>
          <w:sz w:val="24"/>
          <w:szCs w:val="24"/>
          <w:lang w:eastAsia="en-IN"/>
          <w14:ligatures w14:val="none"/>
        </w:rPr>
        <w:t xml:space="preserve">Zimmerer, K. S. (2010). Biological diversity in agriculture and global change. Annual Review of Environment and Resources, 35, 137-166. </w:t>
      </w:r>
      <w:hyperlink r:id="rId59" w:history="1">
        <w:r w:rsidRPr="000807DC">
          <w:rPr>
            <w:rStyle w:val="Hyperlink"/>
            <w:rFonts w:ascii="Times New Roman" w:hAnsi="Times New Roman" w:cs="Times New Roman"/>
            <w:sz w:val="24"/>
            <w:szCs w:val="24"/>
          </w:rPr>
          <w:t>https://doi.org/10.1146/annurev-environ-040309-113840</w:t>
        </w:r>
      </w:hyperlink>
      <w:r w:rsidRPr="000807DC">
        <w:rPr>
          <w:rFonts w:ascii="Times New Roman" w:hAnsi="Times New Roman" w:cs="Times New Roman"/>
          <w:sz w:val="24"/>
          <w:szCs w:val="24"/>
        </w:rPr>
        <w:t xml:space="preserve"> </w:t>
      </w:r>
    </w:p>
    <w:bookmarkEnd w:id="0"/>
    <w:p w14:paraId="00A67A77" w14:textId="77777777" w:rsidR="00A122BB" w:rsidRPr="00326748" w:rsidRDefault="00A122BB" w:rsidP="00F24A2A">
      <w:pPr>
        <w:spacing w:before="100" w:beforeAutospacing="1" w:after="100" w:afterAutospacing="1" w:line="240" w:lineRule="auto"/>
        <w:jc w:val="both"/>
        <w:rPr>
          <w:rFonts w:ascii="Times New Roman" w:eastAsia="Times New Roman" w:hAnsi="Times New Roman" w:cs="Times New Roman"/>
          <w:kern w:val="0"/>
          <w:sz w:val="24"/>
          <w:szCs w:val="24"/>
          <w:lang w:eastAsia="en-IN"/>
          <w14:ligatures w14:val="none"/>
        </w:rPr>
      </w:pPr>
    </w:p>
    <w:p w14:paraId="0DB4D5D7" w14:textId="77777777" w:rsidR="00326748" w:rsidRPr="00326748" w:rsidRDefault="00326748" w:rsidP="00F24A2A">
      <w:pPr>
        <w:jc w:val="both"/>
      </w:pPr>
    </w:p>
    <w:sectPr w:rsidR="00326748" w:rsidRPr="00326748" w:rsidSect="001E337C">
      <w:headerReference w:type="even" r:id="rId60"/>
      <w:headerReference w:type="default" r:id="rId61"/>
      <w:footerReference w:type="even" r:id="rId62"/>
      <w:footerReference w:type="default" r:id="rId63"/>
      <w:headerReference w:type="first" r:id="rId64"/>
      <w:footerReference w:type="first" r:id="rId6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D653D" w14:textId="77777777" w:rsidR="009717D3" w:rsidRDefault="009717D3" w:rsidP="007D594A">
      <w:pPr>
        <w:spacing w:after="0" w:line="240" w:lineRule="auto"/>
      </w:pPr>
      <w:r>
        <w:separator/>
      </w:r>
    </w:p>
  </w:endnote>
  <w:endnote w:type="continuationSeparator" w:id="0">
    <w:p w14:paraId="3799756F" w14:textId="77777777" w:rsidR="009717D3" w:rsidRDefault="009717D3" w:rsidP="007D5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2D18F" w14:textId="77777777" w:rsidR="007D594A" w:rsidRDefault="007D5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6ED9C" w14:textId="77777777" w:rsidR="007D594A" w:rsidRDefault="007D59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E5A48" w14:textId="77777777" w:rsidR="007D594A" w:rsidRDefault="007D5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6F29F" w14:textId="77777777" w:rsidR="009717D3" w:rsidRDefault="009717D3" w:rsidP="007D594A">
      <w:pPr>
        <w:spacing w:after="0" w:line="240" w:lineRule="auto"/>
      </w:pPr>
      <w:r>
        <w:separator/>
      </w:r>
    </w:p>
  </w:footnote>
  <w:footnote w:type="continuationSeparator" w:id="0">
    <w:p w14:paraId="47C36882" w14:textId="77777777" w:rsidR="009717D3" w:rsidRDefault="009717D3" w:rsidP="007D5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A94D8" w14:textId="77777777" w:rsidR="007D594A" w:rsidRDefault="00000000">
    <w:pPr>
      <w:pStyle w:val="Header"/>
    </w:pPr>
    <w:r>
      <w:rPr>
        <w:noProof/>
      </w:rPr>
      <w:pict w14:anchorId="789551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735329"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A5BE0" w14:textId="77777777" w:rsidR="007D594A" w:rsidRDefault="00000000">
    <w:pPr>
      <w:pStyle w:val="Header"/>
    </w:pPr>
    <w:r>
      <w:rPr>
        <w:noProof/>
      </w:rPr>
      <w:pict w14:anchorId="1BDA6C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735330"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A8A2" w14:textId="77777777" w:rsidR="007D594A" w:rsidRDefault="00000000">
    <w:pPr>
      <w:pStyle w:val="Header"/>
    </w:pPr>
    <w:r>
      <w:rPr>
        <w:noProof/>
      </w:rPr>
      <w:pict w14:anchorId="3A403C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735328"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F3C1F"/>
    <w:multiLevelType w:val="hybridMultilevel"/>
    <w:tmpl w:val="40B6FA9C"/>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41064282"/>
    <w:multiLevelType w:val="hybridMultilevel"/>
    <w:tmpl w:val="951E122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936670604">
    <w:abstractNumId w:val="1"/>
  </w:num>
  <w:num w:numId="2" w16cid:durableId="2057044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docVars>
    <w:docVar w:name="__Grammarly_42____i" w:val="H4sIAAAAAAAEAKtWckksSQxILCpxzi/NK1GyMqwFAAEhoTITAAAA"/>
    <w:docVar w:name="__Grammarly_42___1" w:val="H4sIAAAAAAAEAKtWcslP9kxRslIyNDYxMrUwMjEzsDA3MTC3MLJQ0lEKTi0uzszPAykwrQUAuHRQNiwAAAA="/>
  </w:docVars>
  <w:rsids>
    <w:rsidRoot w:val="007C170A"/>
    <w:rsid w:val="0005537E"/>
    <w:rsid w:val="000807DC"/>
    <w:rsid w:val="000B2AE0"/>
    <w:rsid w:val="00112231"/>
    <w:rsid w:val="00176A15"/>
    <w:rsid w:val="00187556"/>
    <w:rsid w:val="001C69F9"/>
    <w:rsid w:val="001E337C"/>
    <w:rsid w:val="002E4C7E"/>
    <w:rsid w:val="00326748"/>
    <w:rsid w:val="004D298C"/>
    <w:rsid w:val="00534086"/>
    <w:rsid w:val="005422E6"/>
    <w:rsid w:val="006617B5"/>
    <w:rsid w:val="006F268D"/>
    <w:rsid w:val="007C170A"/>
    <w:rsid w:val="007D594A"/>
    <w:rsid w:val="00804FD1"/>
    <w:rsid w:val="008057A0"/>
    <w:rsid w:val="008F0C1D"/>
    <w:rsid w:val="00910BC5"/>
    <w:rsid w:val="00932F60"/>
    <w:rsid w:val="009717D3"/>
    <w:rsid w:val="00A122BB"/>
    <w:rsid w:val="00A8677B"/>
    <w:rsid w:val="00AC093C"/>
    <w:rsid w:val="00B04FBC"/>
    <w:rsid w:val="00BF64D0"/>
    <w:rsid w:val="00C95D2E"/>
    <w:rsid w:val="00CE53ED"/>
    <w:rsid w:val="00D21737"/>
    <w:rsid w:val="00D9618B"/>
    <w:rsid w:val="00DD5C0A"/>
    <w:rsid w:val="00DE1F4A"/>
    <w:rsid w:val="00DE49C8"/>
    <w:rsid w:val="00E059D5"/>
    <w:rsid w:val="00F21920"/>
    <w:rsid w:val="00F24A2A"/>
    <w:rsid w:val="00F83CBF"/>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F1CC1"/>
  <w15:chartTrackingRefBased/>
  <w15:docId w15:val="{FF78BA1E-B61F-4847-9789-0304F7776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37C"/>
  </w:style>
  <w:style w:type="paragraph" w:styleId="Heading1">
    <w:name w:val="heading 1"/>
    <w:basedOn w:val="Normal"/>
    <w:next w:val="Normal"/>
    <w:link w:val="Heading1Char"/>
    <w:uiPriority w:val="9"/>
    <w:qFormat/>
    <w:rsid w:val="007C17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C17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C170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7C170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170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17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17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17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17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70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C170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C170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7C170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170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17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17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17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170A"/>
    <w:rPr>
      <w:rFonts w:eastAsiaTheme="majorEastAsia" w:cstheme="majorBidi"/>
      <w:color w:val="272727" w:themeColor="text1" w:themeTint="D8"/>
    </w:rPr>
  </w:style>
  <w:style w:type="paragraph" w:styleId="Title">
    <w:name w:val="Title"/>
    <w:basedOn w:val="Normal"/>
    <w:next w:val="Normal"/>
    <w:link w:val="TitleChar"/>
    <w:uiPriority w:val="10"/>
    <w:qFormat/>
    <w:rsid w:val="007C1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7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17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17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170A"/>
    <w:pPr>
      <w:spacing w:before="160"/>
      <w:jc w:val="center"/>
    </w:pPr>
    <w:rPr>
      <w:i/>
      <w:iCs/>
      <w:color w:val="404040" w:themeColor="text1" w:themeTint="BF"/>
    </w:rPr>
  </w:style>
  <w:style w:type="character" w:customStyle="1" w:styleId="QuoteChar">
    <w:name w:val="Quote Char"/>
    <w:basedOn w:val="DefaultParagraphFont"/>
    <w:link w:val="Quote"/>
    <w:uiPriority w:val="29"/>
    <w:rsid w:val="007C170A"/>
    <w:rPr>
      <w:i/>
      <w:iCs/>
      <w:color w:val="404040" w:themeColor="text1" w:themeTint="BF"/>
    </w:rPr>
  </w:style>
  <w:style w:type="paragraph" w:styleId="ListParagraph">
    <w:name w:val="List Paragraph"/>
    <w:basedOn w:val="Normal"/>
    <w:uiPriority w:val="34"/>
    <w:qFormat/>
    <w:rsid w:val="007C170A"/>
    <w:pPr>
      <w:ind w:left="720"/>
      <w:contextualSpacing/>
    </w:pPr>
  </w:style>
  <w:style w:type="character" w:styleId="IntenseEmphasis">
    <w:name w:val="Intense Emphasis"/>
    <w:basedOn w:val="DefaultParagraphFont"/>
    <w:uiPriority w:val="21"/>
    <w:qFormat/>
    <w:rsid w:val="007C170A"/>
    <w:rPr>
      <w:i/>
      <w:iCs/>
      <w:color w:val="2F5496" w:themeColor="accent1" w:themeShade="BF"/>
    </w:rPr>
  </w:style>
  <w:style w:type="paragraph" w:styleId="IntenseQuote">
    <w:name w:val="Intense Quote"/>
    <w:basedOn w:val="Normal"/>
    <w:next w:val="Normal"/>
    <w:link w:val="IntenseQuoteChar"/>
    <w:uiPriority w:val="30"/>
    <w:qFormat/>
    <w:rsid w:val="007C17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170A"/>
    <w:rPr>
      <w:i/>
      <w:iCs/>
      <w:color w:val="2F5496" w:themeColor="accent1" w:themeShade="BF"/>
    </w:rPr>
  </w:style>
  <w:style w:type="character" w:styleId="IntenseReference">
    <w:name w:val="Intense Reference"/>
    <w:basedOn w:val="DefaultParagraphFont"/>
    <w:uiPriority w:val="32"/>
    <w:qFormat/>
    <w:rsid w:val="007C170A"/>
    <w:rPr>
      <w:b/>
      <w:bCs/>
      <w:smallCaps/>
      <w:color w:val="2F5496" w:themeColor="accent1" w:themeShade="BF"/>
      <w:spacing w:val="5"/>
    </w:rPr>
  </w:style>
  <w:style w:type="paragraph" w:styleId="NormalWeb">
    <w:name w:val="Normal (Web)"/>
    <w:basedOn w:val="Normal"/>
    <w:uiPriority w:val="99"/>
    <w:semiHidden/>
    <w:unhideWhenUsed/>
    <w:rsid w:val="00326748"/>
    <w:pPr>
      <w:spacing w:before="100" w:beforeAutospacing="1" w:after="100" w:afterAutospacing="1" w:line="240" w:lineRule="auto"/>
    </w:pPr>
    <w:rPr>
      <w:rFonts w:ascii="Times New Roman" w:eastAsia="Times New Roman" w:hAnsi="Times New Roman" w:cs="Times New Roman"/>
      <w:kern w:val="0"/>
      <w:sz w:val="24"/>
      <w:szCs w:val="24"/>
      <w:lang w:eastAsia="en-IN"/>
    </w:rPr>
  </w:style>
  <w:style w:type="character" w:styleId="Strong">
    <w:name w:val="Strong"/>
    <w:basedOn w:val="DefaultParagraphFont"/>
    <w:uiPriority w:val="22"/>
    <w:qFormat/>
    <w:rsid w:val="00326748"/>
    <w:rPr>
      <w:b/>
      <w:bCs/>
    </w:rPr>
  </w:style>
  <w:style w:type="character" w:styleId="Emphasis">
    <w:name w:val="Emphasis"/>
    <w:basedOn w:val="DefaultParagraphFont"/>
    <w:uiPriority w:val="20"/>
    <w:qFormat/>
    <w:rsid w:val="00326748"/>
    <w:rPr>
      <w:i/>
      <w:iCs/>
    </w:rPr>
  </w:style>
  <w:style w:type="character" w:styleId="Hyperlink">
    <w:name w:val="Hyperlink"/>
    <w:basedOn w:val="DefaultParagraphFont"/>
    <w:uiPriority w:val="99"/>
    <w:unhideWhenUsed/>
    <w:rsid w:val="00326748"/>
    <w:rPr>
      <w:color w:val="0000FF"/>
      <w:u w:val="single"/>
    </w:rPr>
  </w:style>
  <w:style w:type="paragraph" w:customStyle="1" w:styleId="font-claude-response-body">
    <w:name w:val="font-claude-response-body"/>
    <w:basedOn w:val="Normal"/>
    <w:rsid w:val="00326748"/>
    <w:pPr>
      <w:spacing w:before="100" w:beforeAutospacing="1" w:after="100" w:afterAutospacing="1" w:line="240" w:lineRule="auto"/>
    </w:pPr>
    <w:rPr>
      <w:rFonts w:ascii="Times New Roman" w:eastAsia="Times New Roman" w:hAnsi="Times New Roman" w:cs="Times New Roman"/>
      <w:kern w:val="0"/>
      <w:sz w:val="24"/>
      <w:szCs w:val="24"/>
      <w:lang w:eastAsia="en-IN"/>
    </w:rPr>
  </w:style>
  <w:style w:type="character" w:styleId="UnresolvedMention">
    <w:name w:val="Unresolved Mention"/>
    <w:basedOn w:val="DefaultParagraphFont"/>
    <w:uiPriority w:val="99"/>
    <w:semiHidden/>
    <w:unhideWhenUsed/>
    <w:rsid w:val="00A122BB"/>
    <w:rPr>
      <w:color w:val="605E5C"/>
      <w:shd w:val="clear" w:color="auto" w:fill="E1DFDD"/>
    </w:rPr>
  </w:style>
  <w:style w:type="table" w:styleId="TableGrid">
    <w:name w:val="Table Grid"/>
    <w:basedOn w:val="TableNormal"/>
    <w:uiPriority w:val="39"/>
    <w:rsid w:val="00A12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5537E"/>
    <w:rPr>
      <w:color w:val="954F72" w:themeColor="followedHyperlink"/>
      <w:u w:val="single"/>
    </w:rPr>
  </w:style>
  <w:style w:type="paragraph" w:styleId="Header">
    <w:name w:val="header"/>
    <w:basedOn w:val="Normal"/>
    <w:link w:val="HeaderChar"/>
    <w:uiPriority w:val="99"/>
    <w:unhideWhenUsed/>
    <w:rsid w:val="007D59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94A"/>
  </w:style>
  <w:style w:type="paragraph" w:styleId="Footer">
    <w:name w:val="footer"/>
    <w:basedOn w:val="Normal"/>
    <w:link w:val="FooterChar"/>
    <w:uiPriority w:val="99"/>
    <w:unhideWhenUsed/>
    <w:rsid w:val="007D59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94A"/>
  </w:style>
  <w:style w:type="paragraph" w:styleId="NoSpacing">
    <w:name w:val="No Spacing"/>
    <w:uiPriority w:val="1"/>
    <w:qFormat/>
    <w:rsid w:val="00910BC5"/>
    <w:pPr>
      <w:spacing w:after="0" w:line="240" w:lineRule="auto"/>
    </w:pPr>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26/science.1234485" TargetMode="External"/><Relationship Id="rId21" Type="http://schemas.openxmlformats.org/officeDocument/2006/relationships/hyperlink" Target="https://doi.org/10.4060/cb4476en" TargetMode="External"/><Relationship Id="rId34" Type="http://schemas.openxmlformats.org/officeDocument/2006/relationships/hyperlink" Target="https://doi.org/10.1007/s00035-016-0182-6" TargetMode="External"/><Relationship Id="rId42" Type="http://schemas.openxmlformats.org/officeDocument/2006/relationships/hyperlink" Target="https://doi.org/10.1038/s41893-018-0114-0" TargetMode="External"/><Relationship Id="rId47" Type="http://schemas.openxmlformats.org/officeDocument/2006/relationships/hyperlink" Target="https://doi.org/10.3389/fsufs.2021.709401" TargetMode="External"/><Relationship Id="rId50" Type="http://schemas.openxmlformats.org/officeDocument/2006/relationships/hyperlink" Target="https://doi.org/10.1038/s41597-022-01256-y" TargetMode="External"/><Relationship Id="rId55" Type="http://schemas.openxmlformats.org/officeDocument/2006/relationships/hyperlink" Target="https://doi.org/10.5751/ES-00650-090205"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foodpol.2016.09.020" TargetMode="External"/><Relationship Id="rId29" Type="http://schemas.openxmlformats.org/officeDocument/2006/relationships/hyperlink" Target="https://www.ipcc.ch/srccl/" TargetMode="External"/><Relationship Id="rId11" Type="http://schemas.openxmlformats.org/officeDocument/2006/relationships/hyperlink" Target="https://doi.org/10.1016/j.foodpol.2007.10.005" TargetMode="External"/><Relationship Id="rId24" Type="http://schemas.openxmlformats.org/officeDocument/2006/relationships/hyperlink" Target="https://doi.org/10.5751/ES-03610-150420" TargetMode="External"/><Relationship Id="rId32" Type="http://schemas.openxmlformats.org/officeDocument/2006/relationships/hyperlink" Target="https://doi.org/10.1007/s10531-022-02417-6" TargetMode="External"/><Relationship Id="rId37" Type="http://schemas.openxmlformats.org/officeDocument/2006/relationships/hyperlink" Target="https://doi.org/10.1016/j.worlddev.2015.10.041" TargetMode="External"/><Relationship Id="rId40" Type="http://schemas.openxmlformats.org/officeDocument/2006/relationships/hyperlink" Target="https://doi.org/10.1016/j.worlddev.2021.105410" TargetMode="External"/><Relationship Id="rId45" Type="http://schemas.openxmlformats.org/officeDocument/2006/relationships/hyperlink" Target="https://doi.org/10.1146/annurev-environ-110615-085349" TargetMode="External"/><Relationship Id="rId53" Type="http://schemas.openxmlformats.org/officeDocument/2006/relationships/hyperlink" Target="https://doi.org/10.1002/ldr.536" TargetMode="External"/><Relationship Id="rId58" Type="http://schemas.openxmlformats.org/officeDocument/2006/relationships/hyperlink" Target="https://doi.org/10.1016/S0140-6736(18)31788-4"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hyperlink" Target="https://www.fao.org/3/i2050e/i2050e.pdf" TargetMode="External"/><Relationship Id="rId14" Type="http://schemas.openxmlformats.org/officeDocument/2006/relationships/hyperlink" Target="https://doi.org/10.1007/s10113-021-01794-y" TargetMode="External"/><Relationship Id="rId22" Type="http://schemas.openxmlformats.org/officeDocument/2006/relationships/hyperlink" Target="https://doi.org/10.1016/j.worlddev.2011.11.018" TargetMode="External"/><Relationship Id="rId27" Type="http://schemas.openxmlformats.org/officeDocument/2006/relationships/hyperlink" Target="https://www.fao.org/cfs/cfs-hlpe/reports/report-14/en/" TargetMode="External"/><Relationship Id="rId30" Type="http://schemas.openxmlformats.org/officeDocument/2006/relationships/hyperlink" Target="https://doi.org/10.1017/9781009325844" TargetMode="External"/><Relationship Id="rId35" Type="http://schemas.openxmlformats.org/officeDocument/2006/relationships/hyperlink" Target="https://doi.org/10.1073/pnas.1100480108" TargetMode="External"/><Relationship Id="rId43" Type="http://schemas.openxmlformats.org/officeDocument/2006/relationships/hyperlink" Target="https://doi.org/10.9734/ajaees/2026/v44i32901" TargetMode="External"/><Relationship Id="rId48" Type="http://schemas.openxmlformats.org/officeDocument/2006/relationships/hyperlink" Target="https://doi.org/10.1016/j.ecoser.2017.06.008" TargetMode="External"/><Relationship Id="rId56" Type="http://schemas.openxmlformats.org/officeDocument/2006/relationships/hyperlink" Target="https://doi.org/10.1007/978-3-319-92288-1" TargetMode="External"/><Relationship Id="rId64" Type="http://schemas.openxmlformats.org/officeDocument/2006/relationships/header" Target="header3.xml"/><Relationship Id="rId8" Type="http://schemas.openxmlformats.org/officeDocument/2006/relationships/hyperlink" Target="https://doi.org/10.3390/su9020291" TargetMode="External"/><Relationship Id="rId51" Type="http://schemas.openxmlformats.org/officeDocument/2006/relationships/hyperlink" Target="https://doi.org/10.1016/j.jbusres.2019.07.039" TargetMode="External"/><Relationship Id="rId3" Type="http://schemas.openxmlformats.org/officeDocument/2006/relationships/styles" Target="styles.xml"/><Relationship Id="rId12" Type="http://schemas.openxmlformats.org/officeDocument/2006/relationships/hyperlink" Target="https://doi.org/10.1111/j.1365-2664.2005.01005.x" TargetMode="External"/><Relationship Id="rId17" Type="http://schemas.openxmlformats.org/officeDocument/2006/relationships/hyperlink" Target="https://doi.org/10.1016/j.gfs.2017.10.001" TargetMode="External"/><Relationship Id="rId25" Type="http://schemas.openxmlformats.org/officeDocument/2006/relationships/hyperlink" Target="https://doi.org/10.1016/j.tree.2016.10.001" TargetMode="External"/><Relationship Id="rId33" Type="http://schemas.openxmlformats.org/officeDocument/2006/relationships/hyperlink" Target="https://doi.org/10.1016/j.gfs.2021.100540" TargetMode="External"/><Relationship Id="rId38" Type="http://schemas.openxmlformats.org/officeDocument/2006/relationships/hyperlink" Target="https://doi.org/10.9734/ajee/2026/v25i1876" TargetMode="External"/><Relationship Id="rId46" Type="http://schemas.openxmlformats.org/officeDocument/2006/relationships/hyperlink" Target="https://doi.org/10.1038/461472a" TargetMode="External"/><Relationship Id="rId59" Type="http://schemas.openxmlformats.org/officeDocument/2006/relationships/hyperlink" Target="https://doi.org/10.1146/annurev-environ-040309-113840" TargetMode="External"/><Relationship Id="rId67" Type="http://schemas.openxmlformats.org/officeDocument/2006/relationships/theme" Target="theme/theme1.xml"/><Relationship Id="rId20" Type="http://schemas.openxmlformats.org/officeDocument/2006/relationships/hyperlink" Target="https://www.fao.org/3/i3480e/i3480e.pdf" TargetMode="External"/><Relationship Id="rId41" Type="http://schemas.openxmlformats.org/officeDocument/2006/relationships/hyperlink" Target="https://doi.org/10.1057/s41287-023-00600-1" TargetMode="External"/><Relationship Id="rId54" Type="http://schemas.openxmlformats.org/officeDocument/2006/relationships/hyperlink" Target="https://doi.org/10.1016/j.ancene.2015.09.004"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46/annurev-environ-051211-123836" TargetMode="External"/><Relationship Id="rId23" Type="http://schemas.openxmlformats.org/officeDocument/2006/relationships/hyperlink" Target="https://doi.org/10.1016/j.gloenvcha.2006.04.002" TargetMode="External"/><Relationship Id="rId28" Type="http://schemas.openxmlformats.org/officeDocument/2006/relationships/hyperlink" Target="https://doi.org/10.1038/s41586-019-1822-y" TargetMode="External"/><Relationship Id="rId36" Type="http://schemas.openxmlformats.org/officeDocument/2006/relationships/hyperlink" Target="https://doi.org/10.1525/bio.2011.61.3.4" TargetMode="External"/><Relationship Id="rId49" Type="http://schemas.openxmlformats.org/officeDocument/2006/relationships/hyperlink" Target="https://doi.org/10.1073/pnas.1510982112" TargetMode="External"/><Relationship Id="rId57" Type="http://schemas.openxmlformats.org/officeDocument/2006/relationships/hyperlink" Target="https://doi.org/10.1051/agro/2009004" TargetMode="External"/><Relationship Id="rId10" Type="http://schemas.openxmlformats.org/officeDocument/2006/relationships/hyperlink" Target="https://doi.org/10.1007/s13593-015-0285-2" TargetMode="External"/><Relationship Id="rId31" Type="http://schemas.openxmlformats.org/officeDocument/2006/relationships/hyperlink" Target="https://doi.org/10.1659/0276-4741(2000)020%5b0296:GAFME%5d2.0.CO;2" TargetMode="External"/><Relationship Id="rId44" Type="http://schemas.openxmlformats.org/officeDocument/2006/relationships/hyperlink" Target="https://doi.org/10.1080/03670244.2015.1052426" TargetMode="External"/><Relationship Id="rId52" Type="http://schemas.openxmlformats.org/officeDocument/2006/relationships/hyperlink" Target="https://doi.org/10.1371/journal.pstr.0000212" TargetMode="Externa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56557/ajrra/2026/v8i1195" TargetMode="External"/><Relationship Id="rId13" Type="http://schemas.openxmlformats.org/officeDocument/2006/relationships/hyperlink" Target="https://doi.org/10.1890/1051-0761(2000)010%5B1251:ROTEKA%5D2.0.CO;2" TargetMode="External"/><Relationship Id="rId18" Type="http://schemas.openxmlformats.org/officeDocument/2006/relationships/hyperlink" Target="https://doi.org/10.4060/cc3017en" TargetMode="External"/><Relationship Id="rId39" Type="http://schemas.openxmlformats.org/officeDocument/2006/relationships/hyperlink" Target="https://doi.org/10.3389/fpls.2022.898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A5BA9-F754-44DD-9764-FAA6C506B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29</Pages>
  <Words>14435</Words>
  <Characters>82285</Characters>
  <Application>Microsoft Office Word</Application>
  <DocSecurity>0</DocSecurity>
  <Lines>685</Lines>
  <Paragraphs>193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 Manisha</dc:creator>
  <cp:keywords/>
  <dc:description/>
  <cp:lastModifiedBy>SDI PC New 16</cp:lastModifiedBy>
  <cp:revision>19</cp:revision>
  <cp:lastPrinted>2026-06-15T06:29:00Z</cp:lastPrinted>
  <dcterms:created xsi:type="dcterms:W3CDTF">2026-06-13T11:43:00Z</dcterms:created>
  <dcterms:modified xsi:type="dcterms:W3CDTF">2026-06-22T06:18:00Z</dcterms:modified>
</cp:coreProperties>
</file>