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9E02D" w14:textId="77777777" w:rsidR="0080664C" w:rsidRPr="009F350F" w:rsidRDefault="00C45CB7" w:rsidP="00405FEA">
      <w:pPr>
        <w:spacing w:line="360" w:lineRule="auto"/>
        <w:jc w:val="center"/>
        <w:rPr>
          <w:rFonts w:ascii="Times New Roman" w:hAnsi="Times New Roman" w:cs="Times New Roman"/>
          <w:b/>
          <w:color w:val="000000" w:themeColor="text1"/>
          <w:sz w:val="24"/>
          <w:szCs w:val="24"/>
        </w:rPr>
      </w:pPr>
      <w:r w:rsidRPr="009F350F">
        <w:rPr>
          <w:rFonts w:ascii="Times New Roman" w:hAnsi="Times New Roman" w:cs="Times New Roman"/>
          <w:b/>
          <w:color w:val="000000" w:themeColor="text1"/>
          <w:sz w:val="24"/>
          <w:szCs w:val="24"/>
        </w:rPr>
        <w:t>Assessment of Cotton Wilt Incidence and In Vitro Evaluation of Botanical Extracts and Biocontrol Agents Against</w:t>
      </w:r>
      <w:r w:rsidR="004C6D3B" w:rsidRPr="009F350F">
        <w:rPr>
          <w:rFonts w:ascii="Times New Roman" w:hAnsi="Times New Roman" w:cs="Times New Roman"/>
          <w:b/>
          <w:color w:val="000000" w:themeColor="text1"/>
          <w:sz w:val="24"/>
          <w:szCs w:val="24"/>
        </w:rPr>
        <w:t>,</w:t>
      </w:r>
      <w:r w:rsidRPr="009F350F">
        <w:rPr>
          <w:rFonts w:ascii="Times New Roman" w:hAnsi="Times New Roman" w:cs="Times New Roman"/>
          <w:b/>
          <w:color w:val="000000" w:themeColor="text1"/>
          <w:sz w:val="24"/>
          <w:szCs w:val="24"/>
        </w:rPr>
        <w:t xml:space="preserve"> Fusar</w:t>
      </w:r>
      <w:r w:rsidR="002038E9" w:rsidRPr="009F350F">
        <w:rPr>
          <w:rFonts w:ascii="Times New Roman" w:hAnsi="Times New Roman" w:cs="Times New Roman"/>
          <w:b/>
          <w:color w:val="000000" w:themeColor="text1"/>
          <w:sz w:val="24"/>
          <w:szCs w:val="24"/>
        </w:rPr>
        <w:t>ium</w:t>
      </w:r>
      <w:r w:rsidR="004C6D3B" w:rsidRPr="009F350F">
        <w:rPr>
          <w:rFonts w:ascii="Times New Roman" w:hAnsi="Times New Roman" w:cs="Times New Roman"/>
          <w:b/>
          <w:color w:val="000000" w:themeColor="text1"/>
          <w:sz w:val="24"/>
          <w:szCs w:val="24"/>
        </w:rPr>
        <w:t>,</w:t>
      </w:r>
      <w:r w:rsidR="002038E9" w:rsidRPr="009F350F">
        <w:rPr>
          <w:rFonts w:ascii="Times New Roman" w:hAnsi="Times New Roman" w:cs="Times New Roman"/>
          <w:b/>
          <w:color w:val="000000" w:themeColor="text1"/>
          <w:sz w:val="24"/>
          <w:szCs w:val="24"/>
        </w:rPr>
        <w:t xml:space="preserve"> </w:t>
      </w:r>
      <w:r w:rsidR="00A94AD7" w:rsidRPr="009F350F">
        <w:rPr>
          <w:rFonts w:ascii="Times New Roman" w:hAnsi="Times New Roman" w:cs="Times New Roman"/>
          <w:b/>
          <w:color w:val="000000" w:themeColor="text1"/>
          <w:sz w:val="24"/>
          <w:szCs w:val="24"/>
        </w:rPr>
        <w:t xml:space="preserve"> </w:t>
      </w:r>
      <w:proofErr w:type="spellStart"/>
      <w:r w:rsidR="00A94AD7" w:rsidRPr="009F350F">
        <w:rPr>
          <w:rFonts w:ascii="Times New Roman" w:hAnsi="Times New Roman" w:cs="Times New Roman"/>
          <w:b/>
          <w:color w:val="000000" w:themeColor="text1"/>
          <w:sz w:val="24"/>
          <w:szCs w:val="24"/>
        </w:rPr>
        <w:t>Hanumangarh</w:t>
      </w:r>
      <w:proofErr w:type="spellEnd"/>
      <w:r w:rsidR="00A94AD7" w:rsidRPr="009F350F">
        <w:rPr>
          <w:rFonts w:ascii="Times New Roman" w:hAnsi="Times New Roman" w:cs="Times New Roman"/>
          <w:b/>
          <w:color w:val="000000" w:themeColor="text1"/>
          <w:sz w:val="24"/>
          <w:szCs w:val="24"/>
        </w:rPr>
        <w:t xml:space="preserve"> District, Rajasthan</w:t>
      </w:r>
      <w:r w:rsidR="005430D6" w:rsidRPr="009F350F">
        <w:rPr>
          <w:rFonts w:ascii="Times New Roman" w:hAnsi="Times New Roman" w:cs="Times New Roman"/>
          <w:b/>
          <w:color w:val="000000" w:themeColor="text1"/>
          <w:sz w:val="24"/>
          <w:szCs w:val="24"/>
        </w:rPr>
        <w:t xml:space="preserve">, India </w:t>
      </w:r>
    </w:p>
    <w:p w14:paraId="4AA9E00F" w14:textId="77777777" w:rsidR="00C856E8" w:rsidRPr="009F350F" w:rsidRDefault="00C856E8" w:rsidP="00C856E8">
      <w:pPr>
        <w:pStyle w:val="NormalWeb"/>
      </w:pPr>
      <w:r w:rsidRPr="009F350F">
        <w:rPr>
          <w:rStyle w:val="Strong"/>
        </w:rPr>
        <w:t>Abstract</w:t>
      </w:r>
    </w:p>
    <w:p w14:paraId="720584C0" w14:textId="77777777" w:rsidR="00C856E8" w:rsidRPr="009F350F" w:rsidRDefault="00C856E8" w:rsidP="00C374FC">
      <w:pPr>
        <w:pStyle w:val="NormalWeb"/>
        <w:ind w:firstLine="720"/>
        <w:jc w:val="both"/>
      </w:pPr>
      <w:r w:rsidRPr="009F350F">
        <w:t>Cotton (</w:t>
      </w:r>
      <w:r w:rsidRPr="009F350F">
        <w:rPr>
          <w:i/>
        </w:rPr>
        <w:t>Gossypium spp.</w:t>
      </w:r>
      <w:r w:rsidRPr="009F350F">
        <w:t xml:space="preserve">) is an important fibre crop, but its production is constrained by </w:t>
      </w:r>
      <w:r w:rsidRPr="009F350F">
        <w:rPr>
          <w:i/>
        </w:rPr>
        <w:t>Fusarium</w:t>
      </w:r>
      <w:r w:rsidRPr="009F350F">
        <w:t xml:space="preserve"> wilt. The present study assessed the influence of sowing date on wilt incidence and evaluated selected botanical extracts and biocontrol agents against the pathogen under </w:t>
      </w:r>
      <w:r w:rsidRPr="009F350F">
        <w:rPr>
          <w:i/>
        </w:rPr>
        <w:t>in vitro</w:t>
      </w:r>
      <w:r w:rsidRPr="009F350F">
        <w:t xml:space="preserve"> conditions. Field experiments were conducted at the Agricultural Field Research Centre, Hanumangarh, Rajasthan, during Kharif 2023–24 and 2024–25 in a randomised block design with three replications. Cotton was sown on five dates from 1 June to 29 June, and disease incidence was recorded at 15 days after first symptom appearance, 30 days after symptom appearance, and maturity. Early sowing reduced wilt incidence in both years. The 1 June sowing recorded the lowest mean disease incidence of 8.75%, 14.90%, and 23.30% at the respective stages, whereas the 29 June sowing recorded the highest mean incidence of 34.55%, 53.15%, and 74.00%. The inhibitory effect of six botanical extracts was tested at 2.5%, 5.0%, and 7.5% concentrations using the poisoned food technique. Neem showed the highest inhibition of mycelial growth, with 68.51%, 73.70%, and 79.63% inhibition at the respective concentrations, followed by tulsi with 64.44%, 70.37%, and 76.30% inhibition. Among the biocontrol agents, </w:t>
      </w:r>
      <w:r w:rsidRPr="009F350F">
        <w:rPr>
          <w:i/>
        </w:rPr>
        <w:t>Trichoderma harzianum</w:t>
      </w:r>
      <w:r w:rsidRPr="009F350F">
        <w:t xml:space="preserve"> produced the highest inhibition of 85.19% at 5% culture filtrate concentration, followed by </w:t>
      </w:r>
      <w:r w:rsidRPr="009F350F">
        <w:rPr>
          <w:i/>
        </w:rPr>
        <w:t>Trichoderma viride</w:t>
      </w:r>
      <w:r w:rsidRPr="009F350F">
        <w:t xml:space="preserve"> with 82.96% inhibition. The results indicate that early sowing, neem extract, and effective </w:t>
      </w:r>
      <w:r w:rsidRPr="009F350F">
        <w:rPr>
          <w:i/>
        </w:rPr>
        <w:t>Trichoderma</w:t>
      </w:r>
      <w:r w:rsidRPr="009F350F">
        <w:t xml:space="preserve"> spp. may contribute to integrated management of </w:t>
      </w:r>
      <w:r w:rsidRPr="009F350F">
        <w:rPr>
          <w:i/>
        </w:rPr>
        <w:t>Fusarium</w:t>
      </w:r>
      <w:r w:rsidRPr="009F350F">
        <w:t xml:space="preserve"> wilt in cotton.</w:t>
      </w:r>
    </w:p>
    <w:p w14:paraId="58C2A9C4" w14:textId="77777777" w:rsidR="00C90FB3" w:rsidRPr="009F350F" w:rsidRDefault="005B0045" w:rsidP="00C90FB3">
      <w:pPr>
        <w:pStyle w:val="NormalWeb"/>
        <w:jc w:val="both"/>
        <w:rPr>
          <w:color w:val="000000" w:themeColor="text1"/>
        </w:rPr>
      </w:pPr>
      <w:r w:rsidRPr="009F350F">
        <w:t xml:space="preserve">Keywords: cotton, </w:t>
      </w:r>
      <w:r w:rsidRPr="009F350F">
        <w:rPr>
          <w:i/>
        </w:rPr>
        <w:t>Fusarium</w:t>
      </w:r>
      <w:r w:rsidRPr="009F350F">
        <w:t xml:space="preserve"> wilt, botanical extracts, biocontrol agents, neem, tulsi, </w:t>
      </w:r>
      <w:r w:rsidRPr="009F350F">
        <w:rPr>
          <w:i/>
        </w:rPr>
        <w:t>Trichoderma harzianum</w:t>
      </w:r>
      <w:r w:rsidRPr="009F350F">
        <w:t xml:space="preserve">, </w:t>
      </w:r>
      <w:r w:rsidRPr="009F350F">
        <w:rPr>
          <w:i/>
        </w:rPr>
        <w:t>Trichoderma viride</w:t>
      </w:r>
      <w:r w:rsidRPr="009F350F">
        <w:t>, disease incidence, integrated disease management.</w:t>
      </w:r>
    </w:p>
    <w:p w14:paraId="3EF7B352" w14:textId="77777777" w:rsidR="0051203D" w:rsidRPr="009F350F" w:rsidRDefault="0051203D" w:rsidP="00C45CB7">
      <w:pPr>
        <w:spacing w:line="360" w:lineRule="auto"/>
        <w:rPr>
          <w:rFonts w:ascii="Times New Roman" w:hAnsi="Times New Roman" w:cs="Times New Roman"/>
          <w:b/>
          <w:color w:val="000000" w:themeColor="text1"/>
          <w:sz w:val="24"/>
          <w:szCs w:val="24"/>
        </w:rPr>
      </w:pPr>
      <w:r w:rsidRPr="009F350F">
        <w:rPr>
          <w:rFonts w:ascii="Times New Roman" w:hAnsi="Times New Roman" w:cs="Times New Roman"/>
          <w:b/>
          <w:color w:val="000000" w:themeColor="text1"/>
          <w:sz w:val="24"/>
          <w:szCs w:val="24"/>
        </w:rPr>
        <w:t>Introduction</w:t>
      </w:r>
    </w:p>
    <w:p w14:paraId="3FA738F1" w14:textId="05BC40E2" w:rsidR="004B3035" w:rsidRPr="009F350F" w:rsidRDefault="004B3035" w:rsidP="004B3035">
      <w:pPr>
        <w:spacing w:after="210" w:line="360" w:lineRule="auto"/>
        <w:ind w:firstLine="720"/>
        <w:contextualSpacing/>
        <w:jc w:val="both"/>
        <w:rPr>
          <w:rFonts w:ascii="Times New Roman" w:eastAsia="Georgia" w:hAnsi="Times New Roman" w:cs="Times New Roman"/>
          <w:color w:val="000000" w:themeColor="text1"/>
          <w:sz w:val="24"/>
          <w:szCs w:val="24"/>
        </w:rPr>
      </w:pPr>
      <w:r w:rsidRPr="009F350F">
        <w:rPr>
          <w:rFonts w:ascii="Times New Roman" w:hAnsi="Times New Roman"/>
          <w:sz w:val="24"/>
        </w:rPr>
        <w:t xml:space="preserve">Cotton, a semi-xerophyte, is grown under tropical and subtropical conditions. A minimum temperature of 15 °C is required for better germination under field conditions. The optimum temperature for vegetative growth is 21–27 °C, and the crop can tolerate temperatures up to 43 °C; however, temperatures below 21 °C are detrimental to crop growth. Warm days and cool nights, with large diurnal variation during fruiting, are conducive to good boll and fibre development. Cotton is grown on a variety of soils, ranging from well-drained deep alluvial soils in northern India to black clayey soils of varying depth in the central region and black, mixed black, and red soils in the southern zone. Cotton is semi-tolerant to salinity but sensitive to waterlogging and therefore prefers well-drained soils (NFSM, </w:t>
      </w:r>
      <w:r w:rsidR="00E259BB" w:rsidRPr="00E259BB">
        <w:rPr>
          <w:rFonts w:ascii="Times New Roman" w:hAnsi="Times New Roman"/>
          <w:sz w:val="24"/>
        </w:rPr>
        <w:t>n.d.</w:t>
      </w:r>
      <w:r w:rsidRPr="009F350F">
        <w:rPr>
          <w:rFonts w:ascii="Times New Roman" w:hAnsi="Times New Roman"/>
          <w:sz w:val="24"/>
        </w:rPr>
        <w:t>).</w:t>
      </w:r>
    </w:p>
    <w:p w14:paraId="0D403B76" w14:textId="77777777" w:rsidR="004B3035" w:rsidRPr="009F350F" w:rsidRDefault="004B3035" w:rsidP="004B3035">
      <w:pPr>
        <w:spacing w:after="210" w:line="360" w:lineRule="auto"/>
        <w:ind w:firstLine="720"/>
        <w:contextualSpacing/>
        <w:jc w:val="both"/>
        <w:rPr>
          <w:rFonts w:ascii="Times New Roman" w:eastAsia="Georgia" w:hAnsi="Times New Roman" w:cs="Times New Roman"/>
          <w:color w:val="000000" w:themeColor="text1"/>
          <w:sz w:val="24"/>
          <w:szCs w:val="24"/>
        </w:rPr>
      </w:pPr>
      <w:r w:rsidRPr="009F350F">
        <w:rPr>
          <w:rFonts w:ascii="Times New Roman" w:hAnsi="Times New Roman"/>
          <w:i/>
          <w:sz w:val="24"/>
        </w:rPr>
        <w:lastRenderedPageBreak/>
        <w:t>Fusarium</w:t>
      </w:r>
      <w:r w:rsidRPr="009F350F">
        <w:rPr>
          <w:rFonts w:ascii="Times New Roman" w:hAnsi="Times New Roman"/>
          <w:sz w:val="24"/>
        </w:rPr>
        <w:t xml:space="preserve"> wilt affects the vascular system of cotton plants. The causal agent is a soil-dwelling pathogen that penetrates plants through the roots. The fungus enters the plant, moves through the xylem vessels, and blocks the movement of nutrients and water. This obstruction causes characteristic symptoms such as wilting, leaf yellowing, stunted growth, and plant mortality. If </w:t>
      </w:r>
      <w:r w:rsidRPr="009F350F">
        <w:rPr>
          <w:rFonts w:ascii="Times New Roman" w:hAnsi="Times New Roman"/>
          <w:i/>
          <w:sz w:val="24"/>
        </w:rPr>
        <w:t>Fusarium</w:t>
      </w:r>
      <w:r w:rsidRPr="009F350F">
        <w:rPr>
          <w:rFonts w:ascii="Times New Roman" w:hAnsi="Times New Roman"/>
          <w:sz w:val="24"/>
        </w:rPr>
        <w:t xml:space="preserve"> wilt is not controlled, it can cause substantial losses in yield and fibre quality. Yellowing of the older leaves is frequently the first sign of </w:t>
      </w:r>
      <w:r w:rsidRPr="009F350F">
        <w:rPr>
          <w:rFonts w:ascii="Times New Roman" w:hAnsi="Times New Roman"/>
          <w:i/>
          <w:sz w:val="24"/>
        </w:rPr>
        <w:t>Fusarium</w:t>
      </w:r>
      <w:r w:rsidRPr="009F350F">
        <w:rPr>
          <w:rFonts w:ascii="Times New Roman" w:hAnsi="Times New Roman"/>
          <w:sz w:val="24"/>
        </w:rPr>
        <w:t xml:space="preserve"> wilt, and as the disease advances, it spreads to younger leaves. Affected leaves often exhibit a characteristic “V” pattern, where the leaf tips wilt while the base remains turgid. Infected stems, when cut, reveal dark brown to reddish discoloration in the vascular tissues (Sanogo &amp; Zhang, 2016). The severity of symptoms depends on environmental conditions, cotton variety, and pathogen aggressiveness. In severe cases, the disease can cause plant death before boll formation, leading to substantial economic losses (Zhang et al., 2022).</w:t>
      </w:r>
    </w:p>
    <w:p w14:paraId="7435E366" w14:textId="77777777" w:rsidR="00307F1D" w:rsidRPr="009F350F" w:rsidRDefault="00000000">
      <w:pPr>
        <w:spacing w:line="360" w:lineRule="auto"/>
        <w:jc w:val="both"/>
        <w:rPr>
          <w:rFonts w:ascii="Times New Roman" w:hAnsi="Times New Roman" w:cs="Times New Roman"/>
          <w:b/>
          <w:bCs/>
          <w:color w:val="000000" w:themeColor="text1"/>
          <w:sz w:val="24"/>
          <w:szCs w:val="24"/>
        </w:rPr>
      </w:pPr>
      <w:r w:rsidRPr="009F350F">
        <w:rPr>
          <w:rFonts w:ascii="Times New Roman" w:hAnsi="Times New Roman"/>
          <w:sz w:val="24"/>
        </w:rPr>
        <w:t xml:space="preserve">Although </w:t>
      </w:r>
      <w:r w:rsidRPr="009F350F">
        <w:rPr>
          <w:rFonts w:ascii="Times New Roman" w:hAnsi="Times New Roman"/>
          <w:i/>
          <w:sz w:val="24"/>
        </w:rPr>
        <w:t>Fusarium</w:t>
      </w:r>
      <w:r w:rsidRPr="009F350F">
        <w:rPr>
          <w:rFonts w:ascii="Times New Roman" w:hAnsi="Times New Roman"/>
          <w:sz w:val="24"/>
        </w:rPr>
        <w:t xml:space="preserve"> wilt of cotton has been reported in different cotton-growing areas, limited information is available on the combined assessment of sowing date, locally available botanical extracts, and biocontrol agents for disease management under Hanumangarh conditions. The present study was therefore undertaken to assess wilt incidence in relation to sowing date and to evaluate selected botanical extracts and biocontrol agents against the causal pathogen under </w:t>
      </w:r>
      <w:r w:rsidRPr="009F350F">
        <w:rPr>
          <w:rFonts w:ascii="Times New Roman" w:hAnsi="Times New Roman"/>
          <w:i/>
          <w:sz w:val="24"/>
        </w:rPr>
        <w:t>in vitro</w:t>
      </w:r>
      <w:r w:rsidRPr="009F350F">
        <w:rPr>
          <w:rFonts w:ascii="Times New Roman" w:hAnsi="Times New Roman"/>
          <w:sz w:val="24"/>
        </w:rPr>
        <w:t xml:space="preserve"> conditions.</w:t>
      </w:r>
    </w:p>
    <w:p w14:paraId="5261AF79" w14:textId="77777777" w:rsidR="008122BE" w:rsidRPr="009F350F" w:rsidRDefault="008122BE" w:rsidP="008122BE">
      <w:pPr>
        <w:spacing w:line="360" w:lineRule="auto"/>
        <w:jc w:val="both"/>
        <w:rPr>
          <w:rFonts w:ascii="Times New Roman" w:hAnsi="Times New Roman" w:cs="Times New Roman"/>
          <w:b/>
          <w:bCs/>
          <w:color w:val="000000" w:themeColor="text1"/>
          <w:sz w:val="24"/>
          <w:szCs w:val="24"/>
        </w:rPr>
      </w:pPr>
      <w:r w:rsidRPr="009F350F">
        <w:rPr>
          <w:rFonts w:ascii="Times New Roman" w:hAnsi="Times New Roman" w:cs="Times New Roman"/>
          <w:b/>
          <w:bCs/>
          <w:color w:val="000000" w:themeColor="text1"/>
          <w:sz w:val="24"/>
          <w:szCs w:val="24"/>
        </w:rPr>
        <w:t>2. Materials and Methods</w:t>
      </w:r>
    </w:p>
    <w:p w14:paraId="089592B2" w14:textId="77777777" w:rsidR="00E65BA2" w:rsidRPr="009F350F" w:rsidRDefault="008122BE" w:rsidP="008122BE">
      <w:pPr>
        <w:spacing w:line="360" w:lineRule="auto"/>
        <w:jc w:val="both"/>
        <w:rPr>
          <w:rFonts w:ascii="Times New Roman" w:hAnsi="Times New Roman" w:cs="Times New Roman"/>
          <w:b/>
          <w:bCs/>
          <w:color w:val="000000" w:themeColor="text1"/>
          <w:sz w:val="24"/>
          <w:szCs w:val="24"/>
        </w:rPr>
      </w:pPr>
      <w:r w:rsidRPr="009F350F">
        <w:rPr>
          <w:rFonts w:ascii="Times New Roman" w:hAnsi="Times New Roman" w:cs="Times New Roman"/>
          <w:b/>
          <w:bCs/>
          <w:color w:val="000000" w:themeColor="text1"/>
          <w:sz w:val="24"/>
          <w:szCs w:val="24"/>
        </w:rPr>
        <w:t xml:space="preserve">2.1 </w:t>
      </w:r>
      <w:r w:rsidR="00875521" w:rsidRPr="009F350F">
        <w:rPr>
          <w:rFonts w:ascii="Times New Roman" w:hAnsi="Times New Roman" w:cs="Times New Roman"/>
          <w:b/>
          <w:color w:val="000000" w:themeColor="text1"/>
          <w:sz w:val="24"/>
          <w:szCs w:val="24"/>
        </w:rPr>
        <w:t>Survey and sample collection</w:t>
      </w:r>
    </w:p>
    <w:p w14:paraId="6D29730E" w14:textId="77777777" w:rsidR="00F10311" w:rsidRPr="009F350F" w:rsidRDefault="008122BE" w:rsidP="008122BE">
      <w:pPr>
        <w:spacing w:line="360" w:lineRule="auto"/>
        <w:jc w:val="both"/>
        <w:rPr>
          <w:rFonts w:ascii="Times New Roman" w:hAnsi="Times New Roman" w:cs="Times New Roman"/>
          <w:color w:val="000000" w:themeColor="text1"/>
          <w:sz w:val="24"/>
          <w:szCs w:val="24"/>
        </w:rPr>
      </w:pPr>
      <w:r w:rsidRPr="009F350F">
        <w:rPr>
          <w:rFonts w:ascii="Times New Roman" w:hAnsi="Times New Roman"/>
          <w:sz w:val="24"/>
        </w:rPr>
        <w:t xml:space="preserve">Multiple field surveys were conducted to assess disease incidence in the cotton-growing regions of North Rajasthan, India. The study covered the districts of Hanumangarh, Sri Ganganagar, Churu, Bikaner, Jhunjhunun, and Sikar during the Kharif seasons of 2023–24 and 2024–25. Blocks within each district were selected randomly, and 5–10 field visits per block were undertaken, covering distances of approximately 15–20 km. At each site, cotton fields were selected at random, and within each field, a 10 m long row was marked for disease assessment (Mathivathani et al., 2019). Relevant information, including soil type, cultivars grown, disease incidence, and agronomic practices, was also documented. In each field, a square metre quadrat was randomly placed, and the number of infected plants within the quadrat was recorded. During these </w:t>
      </w:r>
      <w:r w:rsidRPr="009F350F">
        <w:rPr>
          <w:rFonts w:ascii="Times New Roman" w:hAnsi="Times New Roman"/>
          <w:sz w:val="24"/>
        </w:rPr>
        <w:lastRenderedPageBreak/>
        <w:t xml:space="preserve">surveys, diseased cotton plants exhibiting characteristic symptoms of </w:t>
      </w:r>
      <w:r w:rsidRPr="009F350F">
        <w:rPr>
          <w:rFonts w:ascii="Times New Roman" w:hAnsi="Times New Roman"/>
          <w:i/>
          <w:sz w:val="24"/>
        </w:rPr>
        <w:t>Fusarium</w:t>
      </w:r>
      <w:r w:rsidRPr="009F350F">
        <w:rPr>
          <w:rFonts w:ascii="Times New Roman" w:hAnsi="Times New Roman"/>
          <w:sz w:val="24"/>
        </w:rPr>
        <w:t xml:space="preserve"> wilt were collected. The symptoms were recorded on leaves, which initially showed yellowing at the margins of the lower leaves in older plants and then gradually spread towards the main veins. As the disease progressed, affected plants exhibited stunting, wilting, chlorosis, and leaf necrosis, followed by dieback that often began at the top of the plant and ultimately resulted in plant death. Severely diseased plants exhibited reduced boll number and size, with affected bolls showing poor fibre development and premature opening or retention on the plant. In advanced infections, bolls on wilted branches displayed desiccation and lint discoloration. The survey provided a detailed assessment of the distribution and severity of </w:t>
      </w:r>
      <w:r w:rsidRPr="009F350F">
        <w:rPr>
          <w:rFonts w:ascii="Times New Roman" w:hAnsi="Times New Roman"/>
          <w:i/>
          <w:sz w:val="24"/>
        </w:rPr>
        <w:t>Fusarium</w:t>
      </w:r>
      <w:r w:rsidRPr="009F350F">
        <w:rPr>
          <w:rFonts w:ascii="Times New Roman" w:hAnsi="Times New Roman"/>
          <w:sz w:val="24"/>
        </w:rPr>
        <w:t xml:space="preserve"> wilt across key cotton-growing villages in Hanumangarh district, Rajasthan. Disease intensity was subsequently expressed as percent disease incidence (PDI) using the following formula given by Mourya and Khulbe (2025):</w:t>
      </w:r>
    </w:p>
    <w:p w14:paraId="6A2FC95C" w14:textId="77777777" w:rsidR="00631F0A" w:rsidRPr="009F350F" w:rsidRDefault="008122BE" w:rsidP="005941D0">
      <w:pPr>
        <w:spacing w:line="360" w:lineRule="auto"/>
        <w:jc w:val="both"/>
        <w:rPr>
          <w:rFonts w:ascii="Times New Roman" w:hAnsi="Times New Roman" w:cs="Times New Roman"/>
          <w:b/>
          <w:color w:val="000000" w:themeColor="text1"/>
          <w:sz w:val="24"/>
          <w:szCs w:val="24"/>
        </w:rPr>
      </w:pPr>
      <w:r w:rsidRPr="009F350F">
        <w:rPr>
          <w:rFonts w:ascii="Times New Roman" w:hAnsi="Times New Roman"/>
          <w:sz w:val="24"/>
        </w:rPr>
        <w:t>3. Results and Discussion</w:t>
      </w:r>
    </w:p>
    <w:p w14:paraId="464CB034" w14:textId="77777777" w:rsidR="00980DCE" w:rsidRPr="009F350F" w:rsidRDefault="00980DCE" w:rsidP="00980DCE">
      <w:pPr>
        <w:spacing w:before="240" w:line="360" w:lineRule="auto"/>
        <w:rPr>
          <w:rFonts w:ascii="Times New Roman" w:hAnsi="Times New Roman" w:cs="Times New Roman"/>
          <w:color w:val="000000" w:themeColor="text1"/>
          <w:sz w:val="24"/>
          <w:szCs w:val="24"/>
        </w:rPr>
      </w:pPr>
      <w:r w:rsidRPr="009F350F">
        <w:rPr>
          <w:rFonts w:ascii="Times New Roman" w:hAnsi="Times New Roman" w:cs="Times New Roman"/>
          <w:b/>
          <w:color w:val="000000" w:themeColor="text1"/>
          <w:sz w:val="24"/>
          <w:szCs w:val="24"/>
        </w:rPr>
        <w:t>Effect of Sowing Date</w:t>
      </w:r>
    </w:p>
    <w:p w14:paraId="0710964F" w14:textId="77777777" w:rsidR="00AD597C" w:rsidRPr="009F350F" w:rsidRDefault="00980DCE" w:rsidP="002038E9">
      <w:pPr>
        <w:spacing w:after="210" w:line="360" w:lineRule="auto"/>
        <w:ind w:firstLine="720"/>
        <w:jc w:val="both"/>
        <w:rPr>
          <w:rFonts w:ascii="Times New Roman" w:eastAsia="Times New Roman" w:hAnsi="Times New Roman" w:cs="Times New Roman"/>
          <w:color w:val="000000" w:themeColor="text1"/>
          <w:sz w:val="24"/>
          <w:szCs w:val="24"/>
          <w:lang w:eastAsia="en-IN"/>
        </w:rPr>
      </w:pPr>
      <w:r w:rsidRPr="009F350F">
        <w:rPr>
          <w:rFonts w:ascii="Times New Roman" w:hAnsi="Times New Roman"/>
          <w:sz w:val="24"/>
        </w:rPr>
        <w:t xml:space="preserve">Cotton was sown on five different dates. The plot size was 5 m × 4 m, with row spacing of 60 cm and plant spacing of 45 cm. Each plot contained 10 rows with 15 plants per row (150 plants per plot). Disease incidence was recorded at 15 days after first symptom appearance, 30 days after symptom appearance, and at maturity. During 2023–24, the lowest disease incidence was recorded in the crop sown on 1 June, with values of 8.4%, 14.2%, and 22.5% at 15 days, 30 days after symptom appearance, and maturity, respectively. Disease incidence increased progressively with delayed sowing. The crop sown on 8 June recorded 12.1%, 19.5%, and 31.2% disease incidence at the respective stages. Further delays in sowing to 15 June and 22 June resulted in a marked increase in disease incidence, reaching 18.5%, 28.4%, and 44.6%, and 25.3%, 39.1%, and 58.2%, respectively. The highest disease incidence was recorded in the crop sown on 29 June, with 33.7% at 15 days after symptom appearance, 51.4% at 30 days, and 72.8% at maturity. During 2024–25, the earliest sowing date (1 June) also recorded the lowest disease incidence, with 9.1%, 15.6%, and 24.1% at the respective stages. Disease incidence increased steadily with delayed sowing, reaching 13.5%, 21.3%, and 33.8% in the 8 June sowing; 19.2%, 30.1%, and 46.5% in the 15 June sowing; and 27.8%, 42.5%, and 61.3% in the 22 June </w:t>
      </w:r>
      <w:r w:rsidRPr="009F350F">
        <w:rPr>
          <w:rFonts w:ascii="Times New Roman" w:hAnsi="Times New Roman"/>
          <w:sz w:val="24"/>
        </w:rPr>
        <w:lastRenderedPageBreak/>
        <w:t xml:space="preserve">sowing. The maximum disease incidence was recorded in the 29 June sowing, with values of 35.4%, 54.9%, and 75.2% at 15 days, 30 days, and maturity, respectively. Across both years, early sowing on 1 June reduced disease incidence compared with late sowing on 29 June. The gradual increase in disease incidence with delayed sowing indicates that later-sown crops were exposed to environmental conditions more favourable for pathogen multiplication and disease development. Overall, the results suggest that early sowing during the first week of June was effective in minimising disease incidence, whereas sowing delayed beyond mid-June substantially increased disease severity at all growth stages. The findings of the present study show that sowing date influenced </w:t>
      </w:r>
      <w:r w:rsidRPr="009F350F">
        <w:rPr>
          <w:rFonts w:ascii="Times New Roman" w:hAnsi="Times New Roman"/>
          <w:i/>
          <w:sz w:val="24"/>
        </w:rPr>
        <w:t>Fusarium</w:t>
      </w:r>
      <w:r w:rsidRPr="009F350F">
        <w:rPr>
          <w:rFonts w:ascii="Times New Roman" w:hAnsi="Times New Roman"/>
          <w:sz w:val="24"/>
        </w:rPr>
        <w:t xml:space="preserve"> wilt incidence in cotton, with early sowing consistently resulting in lower disease levels than late sowing across both cropping seasons. This pattern is aligned with epidemiological research indicating that the timing of cotton planting can alter crop exposure to environmental conditions associated with infection and disease development. Studies evaluating the effects of planting dates on </w:t>
      </w:r>
      <w:r w:rsidRPr="009F350F">
        <w:rPr>
          <w:rFonts w:ascii="Times New Roman" w:hAnsi="Times New Roman"/>
          <w:i/>
          <w:sz w:val="24"/>
        </w:rPr>
        <w:t>Fusarium</w:t>
      </w:r>
      <w:r w:rsidRPr="009F350F">
        <w:rPr>
          <w:rFonts w:ascii="Times New Roman" w:hAnsi="Times New Roman"/>
          <w:sz w:val="24"/>
        </w:rPr>
        <w:t xml:space="preserve"> wilt severity have reported that crops sown earlier in the season tend to escape peak periods of pathogen activity, whereas later sowings coincide with more conducive weather conditions that enhance disease pressure (Sanogo &amp; Zhang, 2016). Field evaluations of </w:t>
      </w:r>
      <w:r w:rsidRPr="009F350F">
        <w:rPr>
          <w:rFonts w:ascii="Times New Roman" w:hAnsi="Times New Roman"/>
          <w:i/>
          <w:sz w:val="24"/>
        </w:rPr>
        <w:t>Fusarium</w:t>
      </w:r>
      <w:r w:rsidRPr="009F350F">
        <w:rPr>
          <w:rFonts w:ascii="Times New Roman" w:hAnsi="Times New Roman"/>
          <w:sz w:val="24"/>
        </w:rPr>
        <w:t xml:space="preserve"> wilt progression across multiple planting dates have also demonstrated that later sowings may experience greater disease severity, underscoring the influence of temporal alignment between crop phenology and pathogen activity (Ayubov et al., 2024).</w:t>
      </w:r>
    </w:p>
    <w:p w14:paraId="2262F8E4" w14:textId="77777777" w:rsidR="002E7F4F" w:rsidRPr="009F350F" w:rsidRDefault="00980DCE" w:rsidP="00AD597C">
      <w:pPr>
        <w:spacing w:after="210" w:line="360" w:lineRule="auto"/>
        <w:jc w:val="both"/>
        <w:rPr>
          <w:rFonts w:ascii="Times New Roman" w:eastAsia="Times New Roman" w:hAnsi="Times New Roman" w:cs="Times New Roman"/>
          <w:color w:val="000000" w:themeColor="text1"/>
          <w:sz w:val="24"/>
          <w:szCs w:val="24"/>
          <w:lang w:eastAsia="en-IN"/>
        </w:rPr>
      </w:pPr>
      <w:r w:rsidRPr="009F350F">
        <w:rPr>
          <w:rFonts w:ascii="Times New Roman" w:hAnsi="Times New Roman"/>
          <w:sz w:val="24"/>
        </w:rPr>
        <w:t xml:space="preserve">The results presented in Table 2 revealed that different botanical extracts inhibited the mycelial growth of </w:t>
      </w:r>
      <w:r w:rsidRPr="009F350F">
        <w:rPr>
          <w:rFonts w:ascii="Times New Roman" w:hAnsi="Times New Roman"/>
          <w:i/>
          <w:sz w:val="24"/>
        </w:rPr>
        <w:t>Fusarium sp.</w:t>
      </w:r>
      <w:r w:rsidRPr="009F350F">
        <w:rPr>
          <w:rFonts w:ascii="Times New Roman" w:hAnsi="Times New Roman"/>
          <w:sz w:val="24"/>
        </w:rPr>
        <w:t xml:space="preserve"> at 2.5%, 5.0%, and 7.5% concentrations compared with the control. Among the treatments, neem (T₄) exhibited the highest antifungal activity at all tested concentrations. The average fungal growth was reduced to 2.83 cm, 2.36 cm, and 1.83 cm at 2.5%, 5.0%, and 7.5%, respectively, with corresponding inhibitions of 68.51%, 73.70%, and 79.63%. Tulsi (T₆) showed the next best performance, recording inhibition percentages of 64.44%, 70.37%, and 76.30% at 2.5%, 5.0%, and 7.5%, respectively. Datura (T₂) also demonstrated considerable antifungal activity, with inhibition increasing from 47.77% at 2.5% to 60.74% at 7.5%. Moderate inhibition was observed in sadabahar (T₅) and argemone (T₃) treatments. Sadabahar showed inhibition ranging from 28.88% to 42.96%, whereas argemone recorded lower inhibition values between 6.66% and 20.74%. Madar (T₁) exhibited the least inhibitory effect among the botanicals, with inhibition ranging from 4.44% to 17.78%. The control treatment (T₇) showed maximum fungal growth (9.00 cm) with no inhibition (0.00%) at all concentrations. Overall, inhibition of </w:t>
      </w:r>
      <w:r w:rsidRPr="009F350F">
        <w:rPr>
          <w:rFonts w:ascii="Times New Roman" w:hAnsi="Times New Roman"/>
          <w:i/>
          <w:sz w:val="24"/>
        </w:rPr>
        <w:t>Fusarium sp.</w:t>
      </w:r>
      <w:r w:rsidRPr="009F350F">
        <w:rPr>
          <w:rFonts w:ascii="Times New Roman" w:hAnsi="Times New Roman"/>
          <w:sz w:val="24"/>
        </w:rPr>
        <w:t xml:space="preserve"> increased with increasing concentration of </w:t>
      </w:r>
      <w:r w:rsidRPr="009F350F">
        <w:rPr>
          <w:rFonts w:ascii="Times New Roman" w:hAnsi="Times New Roman"/>
          <w:sz w:val="24"/>
        </w:rPr>
        <w:lastRenderedPageBreak/>
        <w:t xml:space="preserve">botanical extracts. Neem and tulsi were the most effective botanicals in suppressing fungal growth under </w:t>
      </w:r>
      <w:r w:rsidRPr="009F350F">
        <w:rPr>
          <w:rFonts w:ascii="Times New Roman" w:hAnsi="Times New Roman"/>
          <w:i/>
          <w:sz w:val="24"/>
        </w:rPr>
        <w:t>in vitro</w:t>
      </w:r>
      <w:r w:rsidRPr="009F350F">
        <w:rPr>
          <w:rFonts w:ascii="Times New Roman" w:hAnsi="Times New Roman"/>
          <w:sz w:val="24"/>
        </w:rPr>
        <w:t xml:space="preserve"> conditions. Among the botanicals evaluated, neem (</w:t>
      </w:r>
      <w:r w:rsidRPr="009F350F">
        <w:rPr>
          <w:rFonts w:ascii="Times New Roman" w:hAnsi="Times New Roman"/>
          <w:i/>
          <w:sz w:val="24"/>
        </w:rPr>
        <w:t>Azadirachta indica</w:t>
      </w:r>
      <w:r w:rsidRPr="009F350F">
        <w:rPr>
          <w:rFonts w:ascii="Times New Roman" w:hAnsi="Times New Roman"/>
          <w:sz w:val="24"/>
        </w:rPr>
        <w:t>) exhibited the highest antifungal activity at all concentrations, followed by tulsi (</w:t>
      </w:r>
      <w:r w:rsidRPr="009F350F">
        <w:rPr>
          <w:rFonts w:ascii="Times New Roman" w:hAnsi="Times New Roman"/>
          <w:i/>
          <w:sz w:val="24"/>
        </w:rPr>
        <w:t>Ocimum tenuiflorum</w:t>
      </w:r>
      <w:r w:rsidRPr="009F350F">
        <w:rPr>
          <w:rFonts w:ascii="Times New Roman" w:hAnsi="Times New Roman"/>
          <w:sz w:val="24"/>
        </w:rPr>
        <w:t xml:space="preserve">). The superior performance of neem against </w:t>
      </w:r>
      <w:r w:rsidRPr="009F350F">
        <w:rPr>
          <w:rFonts w:ascii="Times New Roman" w:hAnsi="Times New Roman"/>
          <w:i/>
          <w:sz w:val="24"/>
        </w:rPr>
        <w:t>F. oxysporum</w:t>
      </w:r>
      <w:r w:rsidRPr="009F350F">
        <w:rPr>
          <w:rFonts w:ascii="Times New Roman" w:hAnsi="Times New Roman"/>
          <w:sz w:val="24"/>
        </w:rPr>
        <w:t xml:space="preserve"> f. sp. vasinfectum has been documented in cotton-specific studies and may be associated with the presence of limonoids such as azadirachtin, nimbin, and salannin, which interfere with fungal cell wall synthesis, membrane integrity, and spore germination (Asif et al., 2023). Similarly, tulsi extracts are rich in phenolics, eugenol, and terpenoids, which have been reported to exert antifungal effects by disrupting mycelial growth and inhibiting enzymatic activity in </w:t>
      </w:r>
      <w:r w:rsidRPr="009F350F">
        <w:rPr>
          <w:rFonts w:ascii="Times New Roman" w:hAnsi="Times New Roman"/>
          <w:i/>
          <w:sz w:val="24"/>
        </w:rPr>
        <w:t>Fusarium</w:t>
      </w:r>
      <w:r w:rsidRPr="009F350F">
        <w:rPr>
          <w:rFonts w:ascii="Times New Roman" w:hAnsi="Times New Roman"/>
          <w:sz w:val="24"/>
        </w:rPr>
        <w:t xml:space="preserve"> species (Akila et al., 2011; Shinde &amp; Dhale, 2011). Datura (</w:t>
      </w:r>
      <w:r w:rsidRPr="009F350F">
        <w:rPr>
          <w:rFonts w:ascii="Times New Roman" w:hAnsi="Times New Roman"/>
          <w:i/>
          <w:sz w:val="24"/>
        </w:rPr>
        <w:t>Datura stramonium</w:t>
      </w:r>
      <w:r w:rsidRPr="009F350F">
        <w:rPr>
          <w:rFonts w:ascii="Times New Roman" w:hAnsi="Times New Roman"/>
          <w:sz w:val="24"/>
        </w:rPr>
        <w:t xml:space="preserve">) showed moderate but consistent inhibition, which may be attributed to alkaloids such as scopolamine and atropine, which are known to possess antifungal properties. Reports indicate that while Datura extracts are less potent than neem, they can reduce </w:t>
      </w:r>
      <w:r w:rsidRPr="009F350F">
        <w:rPr>
          <w:rFonts w:ascii="Times New Roman" w:hAnsi="Times New Roman"/>
          <w:i/>
          <w:sz w:val="24"/>
        </w:rPr>
        <w:t>Fusarium</w:t>
      </w:r>
      <w:r w:rsidRPr="009F350F">
        <w:rPr>
          <w:rFonts w:ascii="Times New Roman" w:hAnsi="Times New Roman"/>
          <w:sz w:val="24"/>
        </w:rPr>
        <w:t xml:space="preserve"> growth under laboratory conditions and may complement integrated disease management strategies (Akila et al., 2011). In contrast, sadabahar (</w:t>
      </w:r>
      <w:r w:rsidRPr="009F350F">
        <w:rPr>
          <w:rFonts w:ascii="Times New Roman" w:hAnsi="Times New Roman"/>
          <w:i/>
          <w:sz w:val="24"/>
        </w:rPr>
        <w:t>Catharanthus trichophyllus</w:t>
      </w:r>
      <w:r w:rsidRPr="009F350F">
        <w:rPr>
          <w:rFonts w:ascii="Times New Roman" w:hAnsi="Times New Roman"/>
          <w:sz w:val="24"/>
        </w:rPr>
        <w:t>), argemone (</w:t>
      </w:r>
      <w:r w:rsidRPr="009F350F">
        <w:rPr>
          <w:rFonts w:ascii="Times New Roman" w:hAnsi="Times New Roman"/>
          <w:i/>
          <w:sz w:val="24"/>
        </w:rPr>
        <w:t>Argemone mexicana</w:t>
      </w:r>
      <w:r w:rsidRPr="009F350F">
        <w:rPr>
          <w:rFonts w:ascii="Times New Roman" w:hAnsi="Times New Roman"/>
          <w:sz w:val="24"/>
        </w:rPr>
        <w:t>), and madar (</w:t>
      </w:r>
      <w:r w:rsidRPr="009F350F">
        <w:rPr>
          <w:rFonts w:ascii="Times New Roman" w:hAnsi="Times New Roman"/>
          <w:i/>
          <w:sz w:val="24"/>
        </w:rPr>
        <w:t>Calotropis gigantea</w:t>
      </w:r>
      <w:r w:rsidRPr="009F350F">
        <w:rPr>
          <w:rFonts w:ascii="Times New Roman" w:hAnsi="Times New Roman"/>
          <w:sz w:val="24"/>
        </w:rPr>
        <w:t xml:space="preserve">) exhibited comparatively lower antifungal activity. This reduced efficacy may be related to lower concentrations or a limited spectrum of antifungal metabolites effective against </w:t>
      </w:r>
      <w:r w:rsidRPr="009F350F">
        <w:rPr>
          <w:rFonts w:ascii="Times New Roman" w:hAnsi="Times New Roman"/>
          <w:i/>
          <w:sz w:val="24"/>
        </w:rPr>
        <w:t>F. oxysporum</w:t>
      </w:r>
      <w:r w:rsidRPr="009F350F">
        <w:rPr>
          <w:rFonts w:ascii="Times New Roman" w:hAnsi="Times New Roman"/>
          <w:sz w:val="24"/>
        </w:rPr>
        <w:t xml:space="preserve"> f. sp. vasinfectum, as observed in </w:t>
      </w:r>
      <w:r w:rsidRPr="009F350F">
        <w:rPr>
          <w:rFonts w:ascii="Times New Roman" w:hAnsi="Times New Roman"/>
          <w:i/>
          <w:sz w:val="24"/>
        </w:rPr>
        <w:t>in vitro</w:t>
      </w:r>
      <w:r w:rsidRPr="009F350F">
        <w:rPr>
          <w:rFonts w:ascii="Times New Roman" w:hAnsi="Times New Roman"/>
          <w:sz w:val="24"/>
        </w:rPr>
        <w:t xml:space="preserve"> screenings against cotton wilt pathogens (Raut &amp; Hamde, 2016).</w:t>
      </w:r>
    </w:p>
    <w:p w14:paraId="49F31267" w14:textId="77777777" w:rsidR="00980DCE" w:rsidRPr="009F350F" w:rsidRDefault="00980DCE" w:rsidP="00AD597C">
      <w:pPr>
        <w:spacing w:line="360" w:lineRule="auto"/>
        <w:ind w:firstLine="720"/>
        <w:jc w:val="both"/>
        <w:rPr>
          <w:rFonts w:ascii="Times New Roman" w:hAnsi="Times New Roman" w:cs="Times New Roman"/>
          <w:color w:val="000000" w:themeColor="text1"/>
          <w:sz w:val="24"/>
          <w:szCs w:val="24"/>
          <w:lang w:val="en-US"/>
        </w:rPr>
      </w:pPr>
      <w:r w:rsidRPr="009F350F">
        <w:rPr>
          <w:rFonts w:ascii="Times New Roman" w:hAnsi="Times New Roman"/>
          <w:sz w:val="24"/>
        </w:rPr>
        <w:t xml:space="preserve">The results displayed in Table 3 demonstrated that, among all culture filtrate treatments of biocontrol agents, </w:t>
      </w:r>
      <w:r w:rsidRPr="009F350F">
        <w:rPr>
          <w:rFonts w:ascii="Times New Roman" w:hAnsi="Times New Roman"/>
          <w:i/>
          <w:sz w:val="24"/>
        </w:rPr>
        <w:t>Trichoderma harzianum</w:t>
      </w:r>
      <w:r w:rsidRPr="009F350F">
        <w:rPr>
          <w:rFonts w:ascii="Times New Roman" w:hAnsi="Times New Roman"/>
          <w:sz w:val="24"/>
        </w:rPr>
        <w:t xml:space="preserve"> (T1) showed the maximum inhibition (85.19%) of mycelial growth of </w:t>
      </w:r>
      <w:r w:rsidRPr="009F350F">
        <w:rPr>
          <w:rFonts w:ascii="Times New Roman" w:hAnsi="Times New Roman"/>
          <w:i/>
          <w:sz w:val="24"/>
        </w:rPr>
        <w:t>Fusarium</w:t>
      </w:r>
      <w:r w:rsidRPr="009F350F">
        <w:rPr>
          <w:rFonts w:ascii="Times New Roman" w:hAnsi="Times New Roman"/>
          <w:sz w:val="24"/>
        </w:rPr>
        <w:t xml:space="preserve"> at the 5% concentration compared with the control, followed by </w:t>
      </w:r>
      <w:r w:rsidRPr="009F350F">
        <w:rPr>
          <w:rFonts w:ascii="Times New Roman" w:hAnsi="Times New Roman"/>
          <w:i/>
          <w:sz w:val="24"/>
        </w:rPr>
        <w:t>Trichoderma viride</w:t>
      </w:r>
      <w:r w:rsidRPr="009F350F">
        <w:rPr>
          <w:rFonts w:ascii="Times New Roman" w:hAnsi="Times New Roman"/>
          <w:sz w:val="24"/>
        </w:rPr>
        <w:t xml:space="preserve"> (T2), which showed the second-highest inhibition (82.96%) at the same concentration. The other biocontrol agents recorded inhibition efficiencies ranging from 54.44% (</w:t>
      </w:r>
      <w:r w:rsidRPr="009F350F">
        <w:rPr>
          <w:rFonts w:ascii="Times New Roman" w:hAnsi="Times New Roman"/>
          <w:i/>
          <w:sz w:val="24"/>
        </w:rPr>
        <w:t>Streptomyces spp.</w:t>
      </w:r>
      <w:r w:rsidRPr="009F350F">
        <w:rPr>
          <w:rFonts w:ascii="Times New Roman" w:hAnsi="Times New Roman"/>
          <w:sz w:val="24"/>
        </w:rPr>
        <w:t xml:space="preserve"> at 1%) to 81.48% (</w:t>
      </w:r>
      <w:r w:rsidRPr="009F350F">
        <w:rPr>
          <w:rFonts w:ascii="Times New Roman" w:hAnsi="Times New Roman"/>
          <w:i/>
          <w:sz w:val="24"/>
        </w:rPr>
        <w:t>Bacillus subtilis</w:t>
      </w:r>
      <w:r w:rsidRPr="009F350F">
        <w:rPr>
          <w:rFonts w:ascii="Times New Roman" w:hAnsi="Times New Roman"/>
          <w:sz w:val="24"/>
        </w:rPr>
        <w:t xml:space="preserve"> at 5%) over the control against the pathogen. Average fungal growth was lowest for </w:t>
      </w:r>
      <w:r w:rsidRPr="009F350F">
        <w:rPr>
          <w:rFonts w:ascii="Times New Roman" w:hAnsi="Times New Roman"/>
          <w:i/>
          <w:sz w:val="24"/>
        </w:rPr>
        <w:t>Trichoderma harzianum</w:t>
      </w:r>
      <w:r w:rsidRPr="009F350F">
        <w:rPr>
          <w:rFonts w:ascii="Times New Roman" w:hAnsi="Times New Roman"/>
          <w:sz w:val="24"/>
        </w:rPr>
        <w:t xml:space="preserve"> (T1), with values of 2.17 mm at 1%, 1.87 mm at 2.5%, and 1.33 mm at 5%. The next lowest average fungal growth was recorded for </w:t>
      </w:r>
      <w:r w:rsidRPr="009F350F">
        <w:rPr>
          <w:rFonts w:ascii="Times New Roman" w:hAnsi="Times New Roman"/>
          <w:i/>
          <w:sz w:val="24"/>
        </w:rPr>
        <w:t>Trichoderma viride</w:t>
      </w:r>
      <w:r w:rsidRPr="009F350F">
        <w:rPr>
          <w:rFonts w:ascii="Times New Roman" w:hAnsi="Times New Roman"/>
          <w:sz w:val="24"/>
        </w:rPr>
        <w:t xml:space="preserve"> (T2) at 5% culture filtrate concentration, followed by 2.5% and 1%. Among the remaining biocontrol agents, average fungal growth ranged from 4.10 mm (</w:t>
      </w:r>
      <w:r w:rsidRPr="009F350F">
        <w:rPr>
          <w:rFonts w:ascii="Times New Roman" w:hAnsi="Times New Roman"/>
          <w:i/>
          <w:sz w:val="24"/>
        </w:rPr>
        <w:t>Streptomyces spp.</w:t>
      </w:r>
      <w:r w:rsidRPr="009F350F">
        <w:rPr>
          <w:rFonts w:ascii="Times New Roman" w:hAnsi="Times New Roman"/>
          <w:sz w:val="24"/>
        </w:rPr>
        <w:t xml:space="preserve"> at 1%) to 1.67 mm (</w:t>
      </w:r>
      <w:r w:rsidRPr="009F350F">
        <w:rPr>
          <w:rFonts w:ascii="Times New Roman" w:hAnsi="Times New Roman"/>
          <w:i/>
          <w:sz w:val="24"/>
        </w:rPr>
        <w:t>Bacillus subtilis</w:t>
      </w:r>
      <w:r w:rsidRPr="009F350F">
        <w:rPr>
          <w:rFonts w:ascii="Times New Roman" w:hAnsi="Times New Roman"/>
          <w:sz w:val="24"/>
        </w:rPr>
        <w:t xml:space="preserve"> at 5%).</w:t>
      </w:r>
    </w:p>
    <w:p w14:paraId="0D15CF84" w14:textId="77777777" w:rsidR="0027521C" w:rsidRPr="009F350F" w:rsidRDefault="0027521C" w:rsidP="00473D7C">
      <w:pPr>
        <w:spacing w:line="360" w:lineRule="auto"/>
        <w:ind w:firstLine="720"/>
        <w:jc w:val="both"/>
        <w:rPr>
          <w:rFonts w:ascii="Times New Roman" w:eastAsia="Aptos" w:hAnsi="Times New Roman" w:cs="Times New Roman"/>
          <w:color w:val="000000" w:themeColor="text1"/>
          <w:sz w:val="24"/>
          <w:szCs w:val="24"/>
        </w:rPr>
      </w:pPr>
      <w:r w:rsidRPr="009F350F">
        <w:rPr>
          <w:rFonts w:ascii="Times New Roman" w:hAnsi="Times New Roman"/>
          <w:sz w:val="24"/>
        </w:rPr>
        <w:lastRenderedPageBreak/>
        <w:t xml:space="preserve">The present </w:t>
      </w:r>
      <w:r w:rsidRPr="009F350F">
        <w:rPr>
          <w:rFonts w:ascii="Times New Roman" w:hAnsi="Times New Roman"/>
          <w:i/>
          <w:sz w:val="24"/>
        </w:rPr>
        <w:t>in vitro</w:t>
      </w:r>
      <w:r w:rsidRPr="009F350F">
        <w:rPr>
          <w:rFonts w:ascii="Times New Roman" w:hAnsi="Times New Roman"/>
          <w:sz w:val="24"/>
        </w:rPr>
        <w:t xml:space="preserve"> evaluation showed variation in antifungal efficacy among chemical fungicides, botanicals, and biocontrol agents against the causal agent of cotton wilt. Among the chemical fungicides, carbendazim and benomyl exhibited complete (100%) inhibition of mycelial growth at lower concentrations (100 and 250 ppm), indicating strong fungitoxic activity against the pathogen. Similar high efficacy of benzimidazole fungicides against </w:t>
      </w:r>
      <w:r w:rsidRPr="009F350F">
        <w:rPr>
          <w:rFonts w:ascii="Times New Roman" w:hAnsi="Times New Roman"/>
          <w:i/>
          <w:sz w:val="24"/>
        </w:rPr>
        <w:t>Fusarium</w:t>
      </w:r>
      <w:r w:rsidRPr="009F350F">
        <w:rPr>
          <w:rFonts w:ascii="Times New Roman" w:hAnsi="Times New Roman"/>
          <w:sz w:val="24"/>
        </w:rPr>
        <w:t xml:space="preserve"> wilt has been reported in recent studies, where these compounds inhibited fungal mitosis by disrupting β-tubulin assembly, leading to the cessation of mycelial growth (El-Nagar et al., 2023).</w:t>
      </w:r>
    </w:p>
    <w:p w14:paraId="18C6A31E" w14:textId="77777777" w:rsidR="00C856E8" w:rsidRPr="009F350F" w:rsidRDefault="00C856E8" w:rsidP="00C856E8">
      <w:pPr>
        <w:pStyle w:val="NormalWeb"/>
      </w:pPr>
      <w:r w:rsidRPr="009F350F">
        <w:rPr>
          <w:rStyle w:val="Strong"/>
        </w:rPr>
        <w:t>Conclusion</w:t>
      </w:r>
    </w:p>
    <w:p w14:paraId="176C772A" w14:textId="77777777" w:rsidR="00C856E8" w:rsidRDefault="00C856E8" w:rsidP="002038E9">
      <w:pPr>
        <w:pStyle w:val="NormalWeb"/>
        <w:ind w:firstLine="720"/>
        <w:jc w:val="both"/>
      </w:pPr>
      <w:r w:rsidRPr="009F350F">
        <w:t xml:space="preserve">Cotton sown on 1 June recorded the lowest wilt incidence at all observation stages, while progressive delays in sowing increased disease incidence, with the highest values recorded in the 29 June sowing. These results indicate that early sowing during the first week of June may help reduce disease development under the conditions of the present study. The </w:t>
      </w:r>
      <w:r w:rsidRPr="009F350F">
        <w:rPr>
          <w:i/>
        </w:rPr>
        <w:t>in vitro</w:t>
      </w:r>
      <w:r w:rsidRPr="009F350F">
        <w:t xml:space="preserve"> evaluation of botanical extracts showed that neem was the most effective treatment against </w:t>
      </w:r>
      <w:r w:rsidRPr="009F350F">
        <w:rPr>
          <w:i/>
        </w:rPr>
        <w:t>Fusarium</w:t>
      </w:r>
      <w:r w:rsidRPr="009F350F">
        <w:t xml:space="preserve">, followed by tulsi, and inhibition increased with increasing extract concentration. Datura showed moderate inhibition, whereas madar, argemone, and sadabahar were less effective. Among the biocontrol agents, </w:t>
      </w:r>
      <w:r w:rsidRPr="009F350F">
        <w:rPr>
          <w:i/>
        </w:rPr>
        <w:t>Trichoderma harzianum</w:t>
      </w:r>
      <w:r w:rsidRPr="009F350F">
        <w:t xml:space="preserve"> showed the greatest suppression of mycelial growth, followed by </w:t>
      </w:r>
      <w:r w:rsidRPr="009F350F">
        <w:rPr>
          <w:i/>
        </w:rPr>
        <w:t>Trichoderma viride</w:t>
      </w:r>
      <w:r w:rsidRPr="009F350F">
        <w:t xml:space="preserve"> and </w:t>
      </w:r>
      <w:r w:rsidRPr="009F350F">
        <w:rPr>
          <w:i/>
        </w:rPr>
        <w:t>Bacillus subtilis</w:t>
      </w:r>
      <w:r w:rsidRPr="009F350F">
        <w:t xml:space="preserve">. Overall, the findings suggest that early sowing, neem-based botanical extract, and effective </w:t>
      </w:r>
      <w:r w:rsidRPr="009F350F">
        <w:rPr>
          <w:i/>
        </w:rPr>
        <w:t>Trichoderma isolates</w:t>
      </w:r>
      <w:r w:rsidRPr="009F350F">
        <w:t xml:space="preserve"> may be useful components of an integrated approach for managing </w:t>
      </w:r>
      <w:r w:rsidRPr="009F350F">
        <w:rPr>
          <w:i/>
        </w:rPr>
        <w:t>Fusarium</w:t>
      </w:r>
      <w:r w:rsidRPr="009F350F">
        <w:t xml:space="preserve"> wilt of cotton. Further field validation of botanical and biocontrol treatments is required before wider recommendation.</w:t>
      </w:r>
    </w:p>
    <w:p w14:paraId="22A5B7C3" w14:textId="644AF1E4" w:rsidR="00B30903" w:rsidRPr="009F350F" w:rsidRDefault="00B30903" w:rsidP="002038E9">
      <w:pPr>
        <w:pStyle w:val="NormalWeb"/>
        <w:ind w:firstLine="720"/>
        <w:jc w:val="both"/>
      </w:pPr>
      <w:r>
        <w:rPr>
          <w:rStyle w:val="Strong"/>
        </w:rPr>
        <w:t>Limitations</w:t>
      </w:r>
      <w:r>
        <w:br/>
        <w:t>The study was limited to two Kharif seasons and selected cotton-growing areas of North Rajasthan. The botanical extracts and biocontrol agents were evaluated under in vitro conditions; therefore, their field-level performance may differ under variable soil, climate, and crop-management conditions. The study did not assess yield response, economic feasibility, pathogen race identification, or long-term effects of treatments. Further multi-location field trials are needed before wider recommendation.</w:t>
      </w:r>
    </w:p>
    <w:p w14:paraId="372441C0" w14:textId="77777777" w:rsidR="00605920" w:rsidRPr="009F350F" w:rsidRDefault="00605920" w:rsidP="00605920">
      <w:pPr>
        <w:rPr>
          <w:rFonts w:ascii="Arial" w:eastAsia="Calibri" w:hAnsi="Arial" w:cs="Arial"/>
          <w:kern w:val="2"/>
          <w14:ligatures w14:val="standardContextual"/>
        </w:rPr>
      </w:pPr>
      <w:r w:rsidRPr="009F350F">
        <w:rPr>
          <w:rFonts w:ascii="Arial" w:eastAsia="Calibri" w:hAnsi="Arial" w:cs="Arial"/>
          <w:kern w:val="2"/>
          <w14:ligatures w14:val="standardContextual"/>
        </w:rPr>
        <w:t>Declaration of AI Use</w:t>
      </w:r>
    </w:p>
    <w:p w14:paraId="04FB4523" w14:textId="77777777" w:rsidR="00605920" w:rsidRPr="009F350F" w:rsidRDefault="00605920" w:rsidP="007C7DC3">
      <w:pPr>
        <w:jc w:val="both"/>
        <w:rPr>
          <w:rFonts w:ascii="Arial" w:eastAsia="Calibri" w:hAnsi="Arial" w:cs="Arial"/>
          <w:kern w:val="2"/>
          <w14:ligatures w14:val="standardContextual"/>
        </w:rPr>
      </w:pPr>
      <w:r w:rsidRPr="009F350F">
        <w:rPr>
          <w:rFonts w:ascii="Arial" w:eastAsia="Calibri" w:hAnsi="Arial" w:cs="Arial"/>
          <w:kern w:val="2"/>
          <w14:ligatures w14:val="standardContextual"/>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w:t>
      </w:r>
      <w:r w:rsidRPr="009F350F">
        <w:rPr>
          <w:rFonts w:ascii="Arial" w:eastAsia="Calibri" w:hAnsi="Arial" w:cs="Arial"/>
          <w:kern w:val="2"/>
          <w14:ligatures w14:val="standardContextual"/>
        </w:rPr>
        <w:lastRenderedPageBreak/>
        <w:t>carefully reviewed, revised, verified, and approved by the author(s). The author(s) accept full responsibility for the accuracy, integrity, and final content of the manuscript.</w:t>
      </w:r>
    </w:p>
    <w:p w14:paraId="3697EFC9" w14:textId="77777777" w:rsidR="00F00313" w:rsidRPr="00E259BB" w:rsidRDefault="00F00313" w:rsidP="00F00313">
      <w:pPr>
        <w:rPr>
          <w:rFonts w:ascii="Times New Roman" w:hAnsi="Times New Roman" w:cs="Times New Roman"/>
          <w:b/>
          <w:bCs/>
          <w:color w:val="000000" w:themeColor="text1"/>
          <w:sz w:val="24"/>
          <w:szCs w:val="24"/>
        </w:rPr>
      </w:pPr>
      <w:r w:rsidRPr="00E259BB">
        <w:rPr>
          <w:rFonts w:ascii="Times New Roman" w:hAnsi="Times New Roman"/>
          <w:b/>
          <w:bCs/>
          <w:sz w:val="24"/>
        </w:rPr>
        <w:t>References</w:t>
      </w:r>
    </w:p>
    <w:p w14:paraId="64AF1AEB" w14:textId="77777777" w:rsidR="00E259BB" w:rsidRPr="00E259BB" w:rsidRDefault="00E259BB" w:rsidP="00E259BB">
      <w:pPr>
        <w:spacing w:before="100" w:beforeAutospacing="1" w:after="100" w:afterAutospacing="1" w:line="240" w:lineRule="auto"/>
        <w:rPr>
          <w:rFonts w:ascii="Times New Roman" w:eastAsia="Times New Roman" w:hAnsi="Times New Roman" w:cs="Times New Roman"/>
          <w:sz w:val="24"/>
          <w:szCs w:val="24"/>
          <w:lang w:val="en-US"/>
        </w:rPr>
      </w:pPr>
      <w:r w:rsidRPr="00E259BB">
        <w:rPr>
          <w:rFonts w:ascii="Times New Roman" w:eastAsia="Times New Roman" w:hAnsi="Times New Roman" w:cs="Times New Roman"/>
          <w:sz w:val="24"/>
          <w:szCs w:val="24"/>
          <w:lang w:val="en-US"/>
        </w:rPr>
        <w:t xml:space="preserve">Akila, R., Rajendran, L., Harish, S., Saveetha, K., </w:t>
      </w:r>
      <w:proofErr w:type="spellStart"/>
      <w:r w:rsidRPr="00E259BB">
        <w:rPr>
          <w:rFonts w:ascii="Times New Roman" w:eastAsia="Times New Roman" w:hAnsi="Times New Roman" w:cs="Times New Roman"/>
          <w:sz w:val="24"/>
          <w:szCs w:val="24"/>
          <w:lang w:val="en-US"/>
        </w:rPr>
        <w:t>Raguchander</w:t>
      </w:r>
      <w:proofErr w:type="spellEnd"/>
      <w:r w:rsidRPr="00E259BB">
        <w:rPr>
          <w:rFonts w:ascii="Times New Roman" w:eastAsia="Times New Roman" w:hAnsi="Times New Roman" w:cs="Times New Roman"/>
          <w:sz w:val="24"/>
          <w:szCs w:val="24"/>
          <w:lang w:val="en-US"/>
        </w:rPr>
        <w:t xml:space="preserve">, T., &amp; </w:t>
      </w:r>
      <w:proofErr w:type="spellStart"/>
      <w:r w:rsidRPr="00E259BB">
        <w:rPr>
          <w:rFonts w:ascii="Times New Roman" w:eastAsia="Times New Roman" w:hAnsi="Times New Roman" w:cs="Times New Roman"/>
          <w:sz w:val="24"/>
          <w:szCs w:val="24"/>
          <w:lang w:val="en-US"/>
        </w:rPr>
        <w:t>Samiyappan</w:t>
      </w:r>
      <w:proofErr w:type="spellEnd"/>
      <w:r w:rsidRPr="00E259BB">
        <w:rPr>
          <w:rFonts w:ascii="Times New Roman" w:eastAsia="Times New Roman" w:hAnsi="Times New Roman" w:cs="Times New Roman"/>
          <w:sz w:val="24"/>
          <w:szCs w:val="24"/>
          <w:lang w:val="en-US"/>
        </w:rPr>
        <w:t xml:space="preserve">, R. (2011). Combined application of botanical formulations and biocontrol agents for the management of </w:t>
      </w:r>
      <w:r w:rsidRPr="00E259BB">
        <w:rPr>
          <w:rFonts w:ascii="Times New Roman" w:eastAsia="Times New Roman" w:hAnsi="Times New Roman" w:cs="Times New Roman"/>
          <w:i/>
          <w:iCs/>
          <w:sz w:val="24"/>
          <w:szCs w:val="24"/>
          <w:lang w:val="en-US"/>
        </w:rPr>
        <w:t xml:space="preserve">Fusarium </w:t>
      </w:r>
      <w:proofErr w:type="spellStart"/>
      <w:r w:rsidRPr="00E259BB">
        <w:rPr>
          <w:rFonts w:ascii="Times New Roman" w:eastAsia="Times New Roman" w:hAnsi="Times New Roman" w:cs="Times New Roman"/>
          <w:i/>
          <w:iCs/>
          <w:sz w:val="24"/>
          <w:szCs w:val="24"/>
          <w:lang w:val="en-US"/>
        </w:rPr>
        <w:t>oxysporum</w:t>
      </w:r>
      <w:proofErr w:type="spellEnd"/>
      <w:r w:rsidRPr="00E259BB">
        <w:rPr>
          <w:rFonts w:ascii="Times New Roman" w:eastAsia="Times New Roman" w:hAnsi="Times New Roman" w:cs="Times New Roman"/>
          <w:sz w:val="24"/>
          <w:szCs w:val="24"/>
          <w:lang w:val="en-US"/>
        </w:rPr>
        <w:t xml:space="preserve"> f. sp. </w:t>
      </w:r>
      <w:proofErr w:type="spellStart"/>
      <w:r w:rsidRPr="00E259BB">
        <w:rPr>
          <w:rFonts w:ascii="Times New Roman" w:eastAsia="Times New Roman" w:hAnsi="Times New Roman" w:cs="Times New Roman"/>
          <w:sz w:val="24"/>
          <w:szCs w:val="24"/>
          <w:lang w:val="en-US"/>
        </w:rPr>
        <w:t>cubense</w:t>
      </w:r>
      <w:proofErr w:type="spellEnd"/>
      <w:r w:rsidRPr="00E259BB">
        <w:rPr>
          <w:rFonts w:ascii="Times New Roman" w:eastAsia="Times New Roman" w:hAnsi="Times New Roman" w:cs="Times New Roman"/>
          <w:sz w:val="24"/>
          <w:szCs w:val="24"/>
          <w:lang w:val="en-US"/>
        </w:rPr>
        <w:t xml:space="preserve"> (</w:t>
      </w:r>
      <w:proofErr w:type="spellStart"/>
      <w:r w:rsidRPr="00E259BB">
        <w:rPr>
          <w:rFonts w:ascii="Times New Roman" w:eastAsia="Times New Roman" w:hAnsi="Times New Roman" w:cs="Times New Roman"/>
          <w:sz w:val="24"/>
          <w:szCs w:val="24"/>
          <w:lang w:val="en-US"/>
        </w:rPr>
        <w:t>Foc</w:t>
      </w:r>
      <w:proofErr w:type="spellEnd"/>
      <w:r w:rsidRPr="00E259BB">
        <w:rPr>
          <w:rFonts w:ascii="Times New Roman" w:eastAsia="Times New Roman" w:hAnsi="Times New Roman" w:cs="Times New Roman"/>
          <w:sz w:val="24"/>
          <w:szCs w:val="24"/>
          <w:lang w:val="en-US"/>
        </w:rPr>
        <w:t xml:space="preserve">) causing Fusarium wilt in banana. </w:t>
      </w:r>
      <w:r w:rsidRPr="00E259BB">
        <w:rPr>
          <w:rFonts w:ascii="Times New Roman" w:eastAsia="Times New Roman" w:hAnsi="Times New Roman" w:cs="Times New Roman"/>
          <w:i/>
          <w:iCs/>
          <w:sz w:val="24"/>
          <w:szCs w:val="24"/>
          <w:lang w:val="en-US"/>
        </w:rPr>
        <w:t>Biological Control, 57</w:t>
      </w:r>
      <w:r w:rsidRPr="00E259BB">
        <w:rPr>
          <w:rFonts w:ascii="Times New Roman" w:eastAsia="Times New Roman" w:hAnsi="Times New Roman" w:cs="Times New Roman"/>
          <w:sz w:val="24"/>
          <w:szCs w:val="24"/>
          <w:lang w:val="en-US"/>
        </w:rPr>
        <w:t xml:space="preserve">(3), 175–183. </w:t>
      </w:r>
      <w:hyperlink r:id="rId7" w:history="1">
        <w:r w:rsidRPr="00E259BB">
          <w:rPr>
            <w:rFonts w:ascii="Times New Roman" w:eastAsia="Times New Roman" w:hAnsi="Times New Roman" w:cs="Times New Roman"/>
            <w:color w:val="0000FF"/>
            <w:sz w:val="24"/>
            <w:szCs w:val="24"/>
            <w:u w:val="single"/>
            <w:lang w:val="en-US"/>
          </w:rPr>
          <w:t>https://doi.org/10.1016/j.biocontrol.2011.02.010</w:t>
        </w:r>
      </w:hyperlink>
    </w:p>
    <w:p w14:paraId="2CA8A84D" w14:textId="77777777" w:rsidR="00E259BB" w:rsidRPr="00E259BB" w:rsidRDefault="00E259BB" w:rsidP="00E259BB">
      <w:pPr>
        <w:spacing w:before="100" w:beforeAutospacing="1" w:after="100" w:afterAutospacing="1" w:line="240" w:lineRule="auto"/>
        <w:rPr>
          <w:rFonts w:ascii="Times New Roman" w:eastAsia="Times New Roman" w:hAnsi="Times New Roman" w:cs="Times New Roman"/>
          <w:sz w:val="24"/>
          <w:szCs w:val="24"/>
          <w:lang w:val="en-US"/>
        </w:rPr>
      </w:pPr>
      <w:r w:rsidRPr="00E259BB">
        <w:rPr>
          <w:rFonts w:ascii="Times New Roman" w:eastAsia="Times New Roman" w:hAnsi="Times New Roman" w:cs="Times New Roman"/>
          <w:sz w:val="24"/>
          <w:szCs w:val="24"/>
          <w:lang w:val="en-US"/>
        </w:rPr>
        <w:t xml:space="preserve">Asif, R., Muzammil, S., Yasmin, R., Ahmad, H., &amp; Ambreen, A. (2023). Isolation and characterization of </w:t>
      </w:r>
      <w:r w:rsidRPr="00E259BB">
        <w:rPr>
          <w:rFonts w:ascii="Times New Roman" w:eastAsia="Times New Roman" w:hAnsi="Times New Roman" w:cs="Times New Roman"/>
          <w:i/>
          <w:iCs/>
          <w:sz w:val="24"/>
          <w:szCs w:val="24"/>
          <w:lang w:val="en-US"/>
        </w:rPr>
        <w:t xml:space="preserve">Fusarium </w:t>
      </w:r>
      <w:proofErr w:type="spellStart"/>
      <w:r w:rsidRPr="00E259BB">
        <w:rPr>
          <w:rFonts w:ascii="Times New Roman" w:eastAsia="Times New Roman" w:hAnsi="Times New Roman" w:cs="Times New Roman"/>
          <w:i/>
          <w:iCs/>
          <w:sz w:val="24"/>
          <w:szCs w:val="24"/>
          <w:lang w:val="en-US"/>
        </w:rPr>
        <w:t>oxysporum</w:t>
      </w:r>
      <w:proofErr w:type="spellEnd"/>
      <w:r w:rsidRPr="00E259BB">
        <w:rPr>
          <w:rFonts w:ascii="Times New Roman" w:eastAsia="Times New Roman" w:hAnsi="Times New Roman" w:cs="Times New Roman"/>
          <w:sz w:val="24"/>
          <w:szCs w:val="24"/>
          <w:lang w:val="en-US"/>
        </w:rPr>
        <w:t xml:space="preserve"> f. sp. </w:t>
      </w:r>
      <w:proofErr w:type="spellStart"/>
      <w:r w:rsidRPr="00E259BB">
        <w:rPr>
          <w:rFonts w:ascii="Times New Roman" w:eastAsia="Times New Roman" w:hAnsi="Times New Roman" w:cs="Times New Roman"/>
          <w:sz w:val="24"/>
          <w:szCs w:val="24"/>
          <w:lang w:val="en-US"/>
        </w:rPr>
        <w:t>vasinfectum</w:t>
      </w:r>
      <w:proofErr w:type="spellEnd"/>
      <w:r w:rsidRPr="00E259BB">
        <w:rPr>
          <w:rFonts w:ascii="Times New Roman" w:eastAsia="Times New Roman" w:hAnsi="Times New Roman" w:cs="Times New Roman"/>
          <w:sz w:val="24"/>
          <w:szCs w:val="24"/>
          <w:lang w:val="en-US"/>
        </w:rPr>
        <w:t xml:space="preserve"> causative agent of cotton wilt disease in Punjab, Pakistan. </w:t>
      </w:r>
      <w:r w:rsidRPr="00E259BB">
        <w:rPr>
          <w:rFonts w:ascii="Times New Roman" w:eastAsia="Times New Roman" w:hAnsi="Times New Roman" w:cs="Times New Roman"/>
          <w:i/>
          <w:iCs/>
          <w:sz w:val="24"/>
          <w:szCs w:val="24"/>
          <w:lang w:val="en-US"/>
        </w:rPr>
        <w:t>Pakistan Journal of Phytopathology, 35</w:t>
      </w:r>
      <w:r w:rsidRPr="00E259BB">
        <w:rPr>
          <w:rFonts w:ascii="Times New Roman" w:eastAsia="Times New Roman" w:hAnsi="Times New Roman" w:cs="Times New Roman"/>
          <w:sz w:val="24"/>
          <w:szCs w:val="24"/>
          <w:lang w:val="en-US"/>
        </w:rPr>
        <w:t xml:space="preserve">(1), 103–110. </w:t>
      </w:r>
      <w:hyperlink r:id="rId8" w:history="1">
        <w:r w:rsidRPr="00E259BB">
          <w:rPr>
            <w:rFonts w:ascii="Times New Roman" w:eastAsia="Times New Roman" w:hAnsi="Times New Roman" w:cs="Times New Roman"/>
            <w:color w:val="0000FF"/>
            <w:sz w:val="24"/>
            <w:szCs w:val="24"/>
            <w:u w:val="single"/>
            <w:lang w:val="en-US"/>
          </w:rPr>
          <w:t>https://doi.org/10.33866/phytopathol.035.01.0855</w:t>
        </w:r>
      </w:hyperlink>
    </w:p>
    <w:p w14:paraId="5D4D6045" w14:textId="77777777" w:rsidR="00E259BB" w:rsidRPr="00E259BB" w:rsidRDefault="00E259BB" w:rsidP="00E259BB">
      <w:pPr>
        <w:spacing w:before="100" w:beforeAutospacing="1" w:after="100" w:afterAutospacing="1" w:line="240" w:lineRule="auto"/>
        <w:rPr>
          <w:rFonts w:ascii="Times New Roman" w:eastAsia="Times New Roman" w:hAnsi="Times New Roman" w:cs="Times New Roman"/>
          <w:sz w:val="24"/>
          <w:szCs w:val="24"/>
          <w:lang w:val="en-US"/>
        </w:rPr>
      </w:pPr>
      <w:r w:rsidRPr="00E259BB">
        <w:rPr>
          <w:rFonts w:ascii="Times New Roman" w:eastAsia="Times New Roman" w:hAnsi="Times New Roman" w:cs="Times New Roman"/>
          <w:sz w:val="24"/>
          <w:szCs w:val="24"/>
          <w:lang w:val="en-US"/>
        </w:rPr>
        <w:t xml:space="preserve">Ayubov, M. S., Abdurakhmonov, I. Y., </w:t>
      </w:r>
      <w:proofErr w:type="spellStart"/>
      <w:r w:rsidRPr="00E259BB">
        <w:rPr>
          <w:rFonts w:ascii="Times New Roman" w:eastAsia="Times New Roman" w:hAnsi="Times New Roman" w:cs="Times New Roman"/>
          <w:sz w:val="24"/>
          <w:szCs w:val="24"/>
          <w:lang w:val="en-US"/>
        </w:rPr>
        <w:t>Makamov</w:t>
      </w:r>
      <w:proofErr w:type="spellEnd"/>
      <w:r w:rsidRPr="00E259BB">
        <w:rPr>
          <w:rFonts w:ascii="Times New Roman" w:eastAsia="Times New Roman" w:hAnsi="Times New Roman" w:cs="Times New Roman"/>
          <w:sz w:val="24"/>
          <w:szCs w:val="24"/>
          <w:lang w:val="en-US"/>
        </w:rPr>
        <w:t xml:space="preserve">, A. K., Mamajonov, B. O., Yusupov, A. N., </w:t>
      </w:r>
      <w:proofErr w:type="spellStart"/>
      <w:r w:rsidRPr="00E259BB">
        <w:rPr>
          <w:rFonts w:ascii="Times New Roman" w:eastAsia="Times New Roman" w:hAnsi="Times New Roman" w:cs="Times New Roman"/>
          <w:sz w:val="24"/>
          <w:szCs w:val="24"/>
          <w:lang w:val="en-US"/>
        </w:rPr>
        <w:t>Obidov</w:t>
      </w:r>
      <w:proofErr w:type="spellEnd"/>
      <w:r w:rsidRPr="00E259BB">
        <w:rPr>
          <w:rFonts w:ascii="Times New Roman" w:eastAsia="Times New Roman" w:hAnsi="Times New Roman" w:cs="Times New Roman"/>
          <w:sz w:val="24"/>
          <w:szCs w:val="24"/>
          <w:lang w:val="en-US"/>
        </w:rPr>
        <w:t xml:space="preserve">, N. S., Bashirxonov, Z. H., Murodov, A. A., Darmanov, M. M., </w:t>
      </w:r>
      <w:proofErr w:type="spellStart"/>
      <w:r w:rsidRPr="00E259BB">
        <w:rPr>
          <w:rFonts w:ascii="Times New Roman" w:eastAsia="Times New Roman" w:hAnsi="Times New Roman" w:cs="Times New Roman"/>
          <w:sz w:val="24"/>
          <w:szCs w:val="24"/>
          <w:lang w:val="en-US"/>
        </w:rPr>
        <w:t>Ubaydullaeva</w:t>
      </w:r>
      <w:proofErr w:type="spellEnd"/>
      <w:r w:rsidRPr="00E259BB">
        <w:rPr>
          <w:rFonts w:ascii="Times New Roman" w:eastAsia="Times New Roman" w:hAnsi="Times New Roman" w:cs="Times New Roman"/>
          <w:sz w:val="24"/>
          <w:szCs w:val="24"/>
          <w:lang w:val="en-US"/>
        </w:rPr>
        <w:t xml:space="preserve">, K. A., </w:t>
      </w:r>
      <w:proofErr w:type="spellStart"/>
      <w:r w:rsidRPr="00E259BB">
        <w:rPr>
          <w:rFonts w:ascii="Times New Roman" w:eastAsia="Times New Roman" w:hAnsi="Times New Roman" w:cs="Times New Roman"/>
          <w:sz w:val="24"/>
          <w:szCs w:val="24"/>
          <w:lang w:val="en-US"/>
        </w:rPr>
        <w:t>Shermatov</w:t>
      </w:r>
      <w:proofErr w:type="spellEnd"/>
      <w:r w:rsidRPr="00E259BB">
        <w:rPr>
          <w:rFonts w:ascii="Times New Roman" w:eastAsia="Times New Roman" w:hAnsi="Times New Roman" w:cs="Times New Roman"/>
          <w:sz w:val="24"/>
          <w:szCs w:val="24"/>
          <w:lang w:val="en-US"/>
        </w:rPr>
        <w:t xml:space="preserve">, S. E., </w:t>
      </w:r>
      <w:proofErr w:type="spellStart"/>
      <w:r w:rsidRPr="00E259BB">
        <w:rPr>
          <w:rFonts w:ascii="Times New Roman" w:eastAsia="Times New Roman" w:hAnsi="Times New Roman" w:cs="Times New Roman"/>
          <w:sz w:val="24"/>
          <w:szCs w:val="24"/>
          <w:lang w:val="en-US"/>
        </w:rPr>
        <w:t>Buriev</w:t>
      </w:r>
      <w:proofErr w:type="spellEnd"/>
      <w:r w:rsidRPr="00E259BB">
        <w:rPr>
          <w:rFonts w:ascii="Times New Roman" w:eastAsia="Times New Roman" w:hAnsi="Times New Roman" w:cs="Times New Roman"/>
          <w:sz w:val="24"/>
          <w:szCs w:val="24"/>
          <w:lang w:val="en-US"/>
        </w:rPr>
        <w:t xml:space="preserve">, Z. T., </w:t>
      </w:r>
      <w:proofErr w:type="spellStart"/>
      <w:r w:rsidRPr="00E259BB">
        <w:rPr>
          <w:rFonts w:ascii="Times New Roman" w:eastAsia="Times New Roman" w:hAnsi="Times New Roman" w:cs="Times New Roman"/>
          <w:sz w:val="24"/>
          <w:szCs w:val="24"/>
          <w:lang w:val="en-US"/>
        </w:rPr>
        <w:t>Sobitov</w:t>
      </w:r>
      <w:proofErr w:type="spellEnd"/>
      <w:r w:rsidRPr="00E259BB">
        <w:rPr>
          <w:rFonts w:ascii="Times New Roman" w:eastAsia="Times New Roman" w:hAnsi="Times New Roman" w:cs="Times New Roman"/>
          <w:sz w:val="24"/>
          <w:szCs w:val="24"/>
          <w:lang w:val="en-US"/>
        </w:rPr>
        <w:t xml:space="preserve">, U. T., &amp; Abdurakhmonov, N. Y. (2024). Recent studies on Fusarium wilt in cotton. In I. Y. Abdurakhmonov (Ed.), </w:t>
      </w:r>
      <w:r w:rsidRPr="00E259BB">
        <w:rPr>
          <w:rFonts w:ascii="Times New Roman" w:eastAsia="Times New Roman" w:hAnsi="Times New Roman" w:cs="Times New Roman"/>
          <w:i/>
          <w:iCs/>
          <w:sz w:val="24"/>
          <w:szCs w:val="24"/>
          <w:lang w:val="en-US"/>
        </w:rPr>
        <w:t>Fusarium: Recent studies</w:t>
      </w:r>
      <w:r w:rsidRPr="00E259BB">
        <w:rPr>
          <w:rFonts w:ascii="Times New Roman" w:eastAsia="Times New Roman" w:hAnsi="Times New Roman" w:cs="Times New Roman"/>
          <w:sz w:val="24"/>
          <w:szCs w:val="24"/>
          <w:lang w:val="en-US"/>
        </w:rPr>
        <w:t xml:space="preserve">. </w:t>
      </w:r>
      <w:proofErr w:type="spellStart"/>
      <w:r w:rsidRPr="00E259BB">
        <w:rPr>
          <w:rFonts w:ascii="Times New Roman" w:eastAsia="Times New Roman" w:hAnsi="Times New Roman" w:cs="Times New Roman"/>
          <w:sz w:val="24"/>
          <w:szCs w:val="24"/>
          <w:lang w:val="en-US"/>
        </w:rPr>
        <w:t>IntechOpen</w:t>
      </w:r>
      <w:proofErr w:type="spellEnd"/>
      <w:r w:rsidRPr="00E259BB">
        <w:rPr>
          <w:rFonts w:ascii="Times New Roman" w:eastAsia="Times New Roman" w:hAnsi="Times New Roman" w:cs="Times New Roman"/>
          <w:sz w:val="24"/>
          <w:szCs w:val="24"/>
          <w:lang w:val="en-US"/>
        </w:rPr>
        <w:t xml:space="preserve">. </w:t>
      </w:r>
      <w:hyperlink r:id="rId9" w:history="1">
        <w:r w:rsidRPr="00E259BB">
          <w:rPr>
            <w:rFonts w:ascii="Times New Roman" w:eastAsia="Times New Roman" w:hAnsi="Times New Roman" w:cs="Times New Roman"/>
            <w:color w:val="0000FF"/>
            <w:sz w:val="24"/>
            <w:szCs w:val="24"/>
            <w:u w:val="single"/>
            <w:lang w:val="en-US"/>
          </w:rPr>
          <w:t>https://doi.org/10.5772/intechopen.1004901</w:t>
        </w:r>
      </w:hyperlink>
    </w:p>
    <w:p w14:paraId="7C733026" w14:textId="77777777" w:rsidR="00E259BB" w:rsidRPr="00E259BB" w:rsidRDefault="00E259BB" w:rsidP="00E259BB">
      <w:pPr>
        <w:spacing w:before="100" w:beforeAutospacing="1" w:after="100" w:afterAutospacing="1" w:line="240" w:lineRule="auto"/>
        <w:rPr>
          <w:rFonts w:ascii="Times New Roman" w:eastAsia="Times New Roman" w:hAnsi="Times New Roman" w:cs="Times New Roman"/>
          <w:sz w:val="24"/>
          <w:szCs w:val="24"/>
          <w:lang w:val="en-US"/>
        </w:rPr>
      </w:pPr>
      <w:r w:rsidRPr="00E259BB">
        <w:rPr>
          <w:rFonts w:ascii="Times New Roman" w:eastAsia="Times New Roman" w:hAnsi="Times New Roman" w:cs="Times New Roman"/>
          <w:sz w:val="24"/>
          <w:szCs w:val="24"/>
          <w:lang w:val="en-US"/>
        </w:rPr>
        <w:t xml:space="preserve">El-Nagar, A., </w:t>
      </w:r>
      <w:proofErr w:type="spellStart"/>
      <w:r w:rsidRPr="00E259BB">
        <w:rPr>
          <w:rFonts w:ascii="Times New Roman" w:eastAsia="Times New Roman" w:hAnsi="Times New Roman" w:cs="Times New Roman"/>
          <w:sz w:val="24"/>
          <w:szCs w:val="24"/>
          <w:lang w:val="en-US"/>
        </w:rPr>
        <w:t>Elzaawely</w:t>
      </w:r>
      <w:proofErr w:type="spellEnd"/>
      <w:r w:rsidRPr="00E259BB">
        <w:rPr>
          <w:rFonts w:ascii="Times New Roman" w:eastAsia="Times New Roman" w:hAnsi="Times New Roman" w:cs="Times New Roman"/>
          <w:sz w:val="24"/>
          <w:szCs w:val="24"/>
          <w:lang w:val="en-US"/>
        </w:rPr>
        <w:t>, A. A., El-</w:t>
      </w:r>
      <w:proofErr w:type="spellStart"/>
      <w:r w:rsidRPr="00E259BB">
        <w:rPr>
          <w:rFonts w:ascii="Times New Roman" w:eastAsia="Times New Roman" w:hAnsi="Times New Roman" w:cs="Times New Roman"/>
          <w:sz w:val="24"/>
          <w:szCs w:val="24"/>
          <w:lang w:val="en-US"/>
        </w:rPr>
        <w:t>Zahaby</w:t>
      </w:r>
      <w:proofErr w:type="spellEnd"/>
      <w:r w:rsidRPr="00E259BB">
        <w:rPr>
          <w:rFonts w:ascii="Times New Roman" w:eastAsia="Times New Roman" w:hAnsi="Times New Roman" w:cs="Times New Roman"/>
          <w:sz w:val="24"/>
          <w:szCs w:val="24"/>
          <w:lang w:val="en-US"/>
        </w:rPr>
        <w:t>, H. M., Xuan, T. D., Khanh, T. D., Gaber, M., El-</w:t>
      </w:r>
      <w:proofErr w:type="spellStart"/>
      <w:r w:rsidRPr="00E259BB">
        <w:rPr>
          <w:rFonts w:ascii="Times New Roman" w:eastAsia="Times New Roman" w:hAnsi="Times New Roman" w:cs="Times New Roman"/>
          <w:sz w:val="24"/>
          <w:szCs w:val="24"/>
          <w:lang w:val="en-US"/>
        </w:rPr>
        <w:t>Wakeil</w:t>
      </w:r>
      <w:proofErr w:type="spellEnd"/>
      <w:r w:rsidRPr="00E259BB">
        <w:rPr>
          <w:rFonts w:ascii="Times New Roman" w:eastAsia="Times New Roman" w:hAnsi="Times New Roman" w:cs="Times New Roman"/>
          <w:sz w:val="24"/>
          <w:szCs w:val="24"/>
          <w:lang w:val="en-US"/>
        </w:rPr>
        <w:t xml:space="preserve">, N., El-Sayed, Y., &amp; </w:t>
      </w:r>
      <w:proofErr w:type="spellStart"/>
      <w:r w:rsidRPr="00E259BB">
        <w:rPr>
          <w:rFonts w:ascii="Times New Roman" w:eastAsia="Times New Roman" w:hAnsi="Times New Roman" w:cs="Times New Roman"/>
          <w:sz w:val="24"/>
          <w:szCs w:val="24"/>
          <w:lang w:val="en-US"/>
        </w:rPr>
        <w:t>Nehela</w:t>
      </w:r>
      <w:proofErr w:type="spellEnd"/>
      <w:r w:rsidRPr="00E259BB">
        <w:rPr>
          <w:rFonts w:ascii="Times New Roman" w:eastAsia="Times New Roman" w:hAnsi="Times New Roman" w:cs="Times New Roman"/>
          <w:sz w:val="24"/>
          <w:szCs w:val="24"/>
          <w:lang w:val="en-US"/>
        </w:rPr>
        <w:t xml:space="preserve">, Y. (2023). Benzimidazole derivatives suppress Fusarium wilt disease via interaction with ERG6 of </w:t>
      </w:r>
      <w:r w:rsidRPr="00E259BB">
        <w:rPr>
          <w:rFonts w:ascii="Times New Roman" w:eastAsia="Times New Roman" w:hAnsi="Times New Roman" w:cs="Times New Roman"/>
          <w:i/>
          <w:iCs/>
          <w:sz w:val="24"/>
          <w:szCs w:val="24"/>
          <w:lang w:val="en-US"/>
        </w:rPr>
        <w:t xml:space="preserve">Fusarium </w:t>
      </w:r>
      <w:proofErr w:type="spellStart"/>
      <w:r w:rsidRPr="00E259BB">
        <w:rPr>
          <w:rFonts w:ascii="Times New Roman" w:eastAsia="Times New Roman" w:hAnsi="Times New Roman" w:cs="Times New Roman"/>
          <w:i/>
          <w:iCs/>
          <w:sz w:val="24"/>
          <w:szCs w:val="24"/>
          <w:lang w:val="en-US"/>
        </w:rPr>
        <w:t>equiseti</w:t>
      </w:r>
      <w:proofErr w:type="spellEnd"/>
      <w:r w:rsidRPr="00E259BB">
        <w:rPr>
          <w:rFonts w:ascii="Times New Roman" w:eastAsia="Times New Roman" w:hAnsi="Times New Roman" w:cs="Times New Roman"/>
          <w:sz w:val="24"/>
          <w:szCs w:val="24"/>
          <w:lang w:val="en-US"/>
        </w:rPr>
        <w:t xml:space="preserve"> and activation of the antioxidant defense system of pepper plants. </w:t>
      </w:r>
      <w:r w:rsidRPr="00E259BB">
        <w:rPr>
          <w:rFonts w:ascii="Times New Roman" w:eastAsia="Times New Roman" w:hAnsi="Times New Roman" w:cs="Times New Roman"/>
          <w:i/>
          <w:iCs/>
          <w:sz w:val="24"/>
          <w:szCs w:val="24"/>
          <w:lang w:val="en-US"/>
        </w:rPr>
        <w:t>Journal of Fungi, 9</w:t>
      </w:r>
      <w:r w:rsidRPr="00E259BB">
        <w:rPr>
          <w:rFonts w:ascii="Times New Roman" w:eastAsia="Times New Roman" w:hAnsi="Times New Roman" w:cs="Times New Roman"/>
          <w:sz w:val="24"/>
          <w:szCs w:val="24"/>
          <w:lang w:val="en-US"/>
        </w:rPr>
        <w:t xml:space="preserve">(2), Article 244. </w:t>
      </w:r>
      <w:hyperlink r:id="rId10" w:history="1">
        <w:r w:rsidRPr="00E259BB">
          <w:rPr>
            <w:rFonts w:ascii="Times New Roman" w:eastAsia="Times New Roman" w:hAnsi="Times New Roman" w:cs="Times New Roman"/>
            <w:color w:val="0000FF"/>
            <w:sz w:val="24"/>
            <w:szCs w:val="24"/>
            <w:u w:val="single"/>
            <w:lang w:val="en-US"/>
          </w:rPr>
          <w:t>https://doi.org/10.3390/jof9020244</w:t>
        </w:r>
      </w:hyperlink>
    </w:p>
    <w:p w14:paraId="6A0B1006" w14:textId="77777777" w:rsidR="00E259BB" w:rsidRPr="00E259BB" w:rsidRDefault="00E259BB" w:rsidP="00E259BB">
      <w:pPr>
        <w:spacing w:before="100" w:beforeAutospacing="1" w:after="100" w:afterAutospacing="1" w:line="240" w:lineRule="auto"/>
        <w:rPr>
          <w:rFonts w:ascii="Times New Roman" w:eastAsia="Times New Roman" w:hAnsi="Times New Roman" w:cs="Times New Roman"/>
          <w:sz w:val="24"/>
          <w:szCs w:val="24"/>
          <w:lang w:val="en-US"/>
        </w:rPr>
      </w:pPr>
      <w:r w:rsidRPr="00E259BB">
        <w:rPr>
          <w:rFonts w:ascii="Times New Roman" w:eastAsia="Times New Roman" w:hAnsi="Times New Roman" w:cs="Times New Roman"/>
          <w:sz w:val="24"/>
          <w:szCs w:val="24"/>
          <w:lang w:val="en-US"/>
        </w:rPr>
        <w:t xml:space="preserve">Mathivathani, C., Poornima, K., Kalaiarasan, P., &amp; Muthamilan, M. (2019). Survey and pathogenicity of Fusarium wilt disease in cotton fields of Tamil Nadu. </w:t>
      </w:r>
      <w:r w:rsidRPr="00E259BB">
        <w:rPr>
          <w:rFonts w:ascii="Times New Roman" w:eastAsia="Times New Roman" w:hAnsi="Times New Roman" w:cs="Times New Roman"/>
          <w:i/>
          <w:iCs/>
          <w:sz w:val="24"/>
          <w:szCs w:val="24"/>
          <w:lang w:val="en-US"/>
        </w:rPr>
        <w:t>International Journal of Current Microbiology and Applied Sciences, 8</w:t>
      </w:r>
      <w:r w:rsidRPr="00E259BB">
        <w:rPr>
          <w:rFonts w:ascii="Times New Roman" w:eastAsia="Times New Roman" w:hAnsi="Times New Roman" w:cs="Times New Roman"/>
          <w:sz w:val="24"/>
          <w:szCs w:val="24"/>
          <w:lang w:val="en-US"/>
        </w:rPr>
        <w:t xml:space="preserve">(5), 1720–1726. </w:t>
      </w:r>
      <w:hyperlink r:id="rId11" w:history="1">
        <w:r w:rsidRPr="00E259BB">
          <w:rPr>
            <w:rFonts w:ascii="Times New Roman" w:eastAsia="Times New Roman" w:hAnsi="Times New Roman" w:cs="Times New Roman"/>
            <w:color w:val="0000FF"/>
            <w:sz w:val="24"/>
            <w:szCs w:val="24"/>
            <w:u w:val="single"/>
            <w:lang w:val="en-US"/>
          </w:rPr>
          <w:t>https://doi.org/10.20546/ijcmas.2019.805.199</w:t>
        </w:r>
      </w:hyperlink>
    </w:p>
    <w:p w14:paraId="45729783" w14:textId="77777777" w:rsidR="00E259BB" w:rsidRPr="00E259BB" w:rsidRDefault="00E259BB" w:rsidP="00E259BB">
      <w:pPr>
        <w:spacing w:before="100" w:beforeAutospacing="1" w:after="100" w:afterAutospacing="1" w:line="240" w:lineRule="auto"/>
        <w:rPr>
          <w:rFonts w:ascii="Times New Roman" w:eastAsia="Times New Roman" w:hAnsi="Times New Roman" w:cs="Times New Roman"/>
          <w:sz w:val="24"/>
          <w:szCs w:val="24"/>
          <w:lang w:val="en-US"/>
        </w:rPr>
      </w:pPr>
      <w:r w:rsidRPr="00E259BB">
        <w:rPr>
          <w:rFonts w:ascii="Times New Roman" w:eastAsia="Times New Roman" w:hAnsi="Times New Roman" w:cs="Times New Roman"/>
          <w:sz w:val="24"/>
          <w:szCs w:val="24"/>
          <w:lang w:val="en-US"/>
        </w:rPr>
        <w:t xml:space="preserve">Mourya, D., &amp; </w:t>
      </w:r>
      <w:proofErr w:type="spellStart"/>
      <w:r w:rsidRPr="00E259BB">
        <w:rPr>
          <w:rFonts w:ascii="Times New Roman" w:eastAsia="Times New Roman" w:hAnsi="Times New Roman" w:cs="Times New Roman"/>
          <w:sz w:val="24"/>
          <w:szCs w:val="24"/>
          <w:lang w:val="en-US"/>
        </w:rPr>
        <w:t>Khulbe</w:t>
      </w:r>
      <w:proofErr w:type="spellEnd"/>
      <w:r w:rsidRPr="00E259BB">
        <w:rPr>
          <w:rFonts w:ascii="Times New Roman" w:eastAsia="Times New Roman" w:hAnsi="Times New Roman" w:cs="Times New Roman"/>
          <w:sz w:val="24"/>
          <w:szCs w:val="24"/>
          <w:lang w:val="en-US"/>
        </w:rPr>
        <w:t>, A. (2025). Field survey and assessment of Fusarium wilt incidence in cotton (</w:t>
      </w:r>
      <w:r w:rsidRPr="00E259BB">
        <w:rPr>
          <w:rFonts w:ascii="Times New Roman" w:eastAsia="Times New Roman" w:hAnsi="Times New Roman" w:cs="Times New Roman"/>
          <w:i/>
          <w:iCs/>
          <w:sz w:val="24"/>
          <w:szCs w:val="24"/>
          <w:lang w:val="en-US"/>
        </w:rPr>
        <w:t>Gossypium</w:t>
      </w:r>
      <w:r w:rsidRPr="00E259BB">
        <w:rPr>
          <w:rFonts w:ascii="Times New Roman" w:eastAsia="Times New Roman" w:hAnsi="Times New Roman" w:cs="Times New Roman"/>
          <w:sz w:val="24"/>
          <w:szCs w:val="24"/>
          <w:lang w:val="en-US"/>
        </w:rPr>
        <w:t xml:space="preserve"> spp.) in </w:t>
      </w:r>
      <w:proofErr w:type="spellStart"/>
      <w:r w:rsidRPr="00E259BB">
        <w:rPr>
          <w:rFonts w:ascii="Times New Roman" w:eastAsia="Times New Roman" w:hAnsi="Times New Roman" w:cs="Times New Roman"/>
          <w:sz w:val="24"/>
          <w:szCs w:val="24"/>
          <w:lang w:val="en-US"/>
        </w:rPr>
        <w:t>Hanumangarh</w:t>
      </w:r>
      <w:proofErr w:type="spellEnd"/>
      <w:r w:rsidRPr="00E259BB">
        <w:rPr>
          <w:rFonts w:ascii="Times New Roman" w:eastAsia="Times New Roman" w:hAnsi="Times New Roman" w:cs="Times New Roman"/>
          <w:sz w:val="24"/>
          <w:szCs w:val="24"/>
          <w:lang w:val="en-US"/>
        </w:rPr>
        <w:t xml:space="preserve"> District of Rajasthan, India. </w:t>
      </w:r>
      <w:r w:rsidRPr="00E259BB">
        <w:rPr>
          <w:rFonts w:ascii="Times New Roman" w:eastAsia="Times New Roman" w:hAnsi="Times New Roman" w:cs="Times New Roman"/>
          <w:i/>
          <w:iCs/>
          <w:sz w:val="24"/>
          <w:szCs w:val="24"/>
          <w:lang w:val="en-US"/>
        </w:rPr>
        <w:t>Journal of Advances in Biology &amp; Biotechnology, 28</w:t>
      </w:r>
      <w:r w:rsidRPr="00E259BB">
        <w:rPr>
          <w:rFonts w:ascii="Times New Roman" w:eastAsia="Times New Roman" w:hAnsi="Times New Roman" w:cs="Times New Roman"/>
          <w:sz w:val="24"/>
          <w:szCs w:val="24"/>
          <w:lang w:val="en-US"/>
        </w:rPr>
        <w:t xml:space="preserve">(8), 1595–1603. </w:t>
      </w:r>
      <w:hyperlink r:id="rId12" w:history="1">
        <w:r w:rsidRPr="00E259BB">
          <w:rPr>
            <w:rFonts w:ascii="Times New Roman" w:eastAsia="Times New Roman" w:hAnsi="Times New Roman" w:cs="Times New Roman"/>
            <w:color w:val="0000FF"/>
            <w:sz w:val="24"/>
            <w:szCs w:val="24"/>
            <w:u w:val="single"/>
            <w:lang w:val="en-US"/>
          </w:rPr>
          <w:t>https://doi.org/10.9734/jabb/2025/v28i82831</w:t>
        </w:r>
      </w:hyperlink>
    </w:p>
    <w:p w14:paraId="582B548E" w14:textId="2211C571" w:rsidR="00E259BB" w:rsidRPr="00E259BB" w:rsidRDefault="00E259BB" w:rsidP="00E259BB">
      <w:pPr>
        <w:spacing w:before="100" w:beforeAutospacing="1" w:after="100" w:afterAutospacing="1" w:line="240" w:lineRule="auto"/>
        <w:rPr>
          <w:rFonts w:ascii="Times New Roman" w:eastAsia="Times New Roman" w:hAnsi="Times New Roman" w:cs="Times New Roman"/>
          <w:sz w:val="24"/>
          <w:szCs w:val="24"/>
          <w:lang w:val="en-US"/>
        </w:rPr>
      </w:pPr>
      <w:r w:rsidRPr="00E259BB">
        <w:rPr>
          <w:rFonts w:ascii="Times New Roman" w:eastAsia="Times New Roman" w:hAnsi="Times New Roman" w:cs="Times New Roman"/>
          <w:sz w:val="24"/>
          <w:szCs w:val="24"/>
          <w:lang w:val="en-US"/>
        </w:rPr>
        <w:t xml:space="preserve">National Food Security Mission. (n.d.). </w:t>
      </w:r>
      <w:r w:rsidRPr="00E259BB">
        <w:rPr>
          <w:rFonts w:ascii="Times New Roman" w:eastAsia="Times New Roman" w:hAnsi="Times New Roman" w:cs="Times New Roman"/>
          <w:i/>
          <w:iCs/>
          <w:sz w:val="24"/>
          <w:szCs w:val="24"/>
          <w:lang w:val="en-US"/>
        </w:rPr>
        <w:t>Brief note on cotton</w:t>
      </w:r>
      <w:r w:rsidRPr="00E259BB">
        <w:rPr>
          <w:rFonts w:ascii="Times New Roman" w:eastAsia="Times New Roman" w:hAnsi="Times New Roman" w:cs="Times New Roman"/>
          <w:sz w:val="24"/>
          <w:szCs w:val="24"/>
          <w:lang w:val="en-US"/>
        </w:rPr>
        <w:t xml:space="preserve">. Government of India. </w:t>
      </w:r>
      <w:hyperlink r:id="rId13" w:history="1">
        <w:r w:rsidRPr="00E259BB">
          <w:rPr>
            <w:rFonts w:ascii="Times New Roman" w:eastAsia="Times New Roman" w:hAnsi="Times New Roman" w:cs="Times New Roman"/>
            <w:color w:val="0000FF"/>
            <w:sz w:val="24"/>
            <w:szCs w:val="24"/>
            <w:u w:val="single"/>
            <w:lang w:val="en-US"/>
          </w:rPr>
          <w:t>https://www.nfsm.gov.in/BriefNote/BN_Cotton.pdf</w:t>
        </w:r>
      </w:hyperlink>
      <w:r w:rsidRPr="00E259BB">
        <w:rPr>
          <w:rFonts w:ascii="Times New Roman" w:eastAsia="Times New Roman" w:hAnsi="Times New Roman" w:cs="Times New Roman"/>
          <w:sz w:val="24"/>
          <w:szCs w:val="24"/>
          <w:lang w:val="en-US"/>
        </w:rPr>
        <w:t xml:space="preserve"> </w:t>
      </w:r>
    </w:p>
    <w:p w14:paraId="1157AEDE" w14:textId="5430CDEA" w:rsidR="00E259BB" w:rsidRPr="00E259BB" w:rsidRDefault="00E259BB" w:rsidP="00E259BB">
      <w:pPr>
        <w:spacing w:before="100" w:beforeAutospacing="1" w:after="100" w:afterAutospacing="1" w:line="240" w:lineRule="auto"/>
        <w:rPr>
          <w:rFonts w:ascii="Times New Roman" w:eastAsia="Times New Roman" w:hAnsi="Times New Roman" w:cs="Times New Roman"/>
          <w:sz w:val="24"/>
          <w:szCs w:val="24"/>
          <w:lang w:val="en-US"/>
        </w:rPr>
      </w:pPr>
      <w:r w:rsidRPr="00E259BB">
        <w:rPr>
          <w:rFonts w:ascii="Times New Roman" w:eastAsia="Times New Roman" w:hAnsi="Times New Roman" w:cs="Times New Roman"/>
          <w:sz w:val="24"/>
          <w:szCs w:val="24"/>
          <w:lang w:val="en-US"/>
        </w:rPr>
        <w:t xml:space="preserve">Raut, L. S., &amp; </w:t>
      </w:r>
      <w:proofErr w:type="spellStart"/>
      <w:r w:rsidRPr="00E259BB">
        <w:rPr>
          <w:rFonts w:ascii="Times New Roman" w:eastAsia="Times New Roman" w:hAnsi="Times New Roman" w:cs="Times New Roman"/>
          <w:sz w:val="24"/>
          <w:szCs w:val="24"/>
          <w:lang w:val="en-US"/>
        </w:rPr>
        <w:t>Hamde</w:t>
      </w:r>
      <w:proofErr w:type="spellEnd"/>
      <w:r w:rsidRPr="00E259BB">
        <w:rPr>
          <w:rFonts w:ascii="Times New Roman" w:eastAsia="Times New Roman" w:hAnsi="Times New Roman" w:cs="Times New Roman"/>
          <w:sz w:val="24"/>
          <w:szCs w:val="24"/>
          <w:lang w:val="en-US"/>
        </w:rPr>
        <w:t xml:space="preserve">, V. S. (2016). In vitro antifungal potential of </w:t>
      </w:r>
      <w:proofErr w:type="spellStart"/>
      <w:r w:rsidRPr="00E259BB">
        <w:rPr>
          <w:rFonts w:ascii="Times New Roman" w:eastAsia="Times New Roman" w:hAnsi="Times New Roman" w:cs="Times New Roman"/>
          <w:sz w:val="24"/>
          <w:szCs w:val="24"/>
          <w:lang w:val="en-US"/>
        </w:rPr>
        <w:t>rhizospheric</w:t>
      </w:r>
      <w:proofErr w:type="spellEnd"/>
      <w:r w:rsidRPr="00E259BB">
        <w:rPr>
          <w:rFonts w:ascii="Times New Roman" w:eastAsia="Times New Roman" w:hAnsi="Times New Roman" w:cs="Times New Roman"/>
          <w:sz w:val="24"/>
          <w:szCs w:val="24"/>
          <w:lang w:val="en-US"/>
        </w:rPr>
        <w:t xml:space="preserve"> isolates against </w:t>
      </w:r>
      <w:r w:rsidRPr="00E259BB">
        <w:rPr>
          <w:rFonts w:ascii="Times New Roman" w:eastAsia="Times New Roman" w:hAnsi="Times New Roman" w:cs="Times New Roman"/>
          <w:i/>
          <w:iCs/>
          <w:sz w:val="24"/>
          <w:szCs w:val="24"/>
          <w:lang w:val="en-US"/>
        </w:rPr>
        <w:t xml:space="preserve">Fusarium </w:t>
      </w:r>
      <w:proofErr w:type="spellStart"/>
      <w:r w:rsidRPr="00E259BB">
        <w:rPr>
          <w:rFonts w:ascii="Times New Roman" w:eastAsia="Times New Roman" w:hAnsi="Times New Roman" w:cs="Times New Roman"/>
          <w:i/>
          <w:iCs/>
          <w:sz w:val="24"/>
          <w:szCs w:val="24"/>
          <w:lang w:val="en-US"/>
        </w:rPr>
        <w:t>oxysporum</w:t>
      </w:r>
      <w:proofErr w:type="spellEnd"/>
      <w:r w:rsidRPr="00E259BB">
        <w:rPr>
          <w:rFonts w:ascii="Times New Roman" w:eastAsia="Times New Roman" w:hAnsi="Times New Roman" w:cs="Times New Roman"/>
          <w:sz w:val="24"/>
          <w:szCs w:val="24"/>
          <w:lang w:val="en-US"/>
        </w:rPr>
        <w:t xml:space="preserve"> causing Fusarium wilt of </w:t>
      </w:r>
      <w:proofErr w:type="spellStart"/>
      <w:r w:rsidRPr="00E259BB">
        <w:rPr>
          <w:rFonts w:ascii="Times New Roman" w:eastAsia="Times New Roman" w:hAnsi="Times New Roman" w:cs="Times New Roman"/>
          <w:sz w:val="24"/>
          <w:szCs w:val="24"/>
          <w:lang w:val="en-US"/>
        </w:rPr>
        <w:t>Bt</w:t>
      </w:r>
      <w:proofErr w:type="spellEnd"/>
      <w:r w:rsidRPr="00E259BB">
        <w:rPr>
          <w:rFonts w:ascii="Times New Roman" w:eastAsia="Times New Roman" w:hAnsi="Times New Roman" w:cs="Times New Roman"/>
          <w:sz w:val="24"/>
          <w:szCs w:val="24"/>
          <w:lang w:val="en-US"/>
        </w:rPr>
        <w:t xml:space="preserve">-cotton. </w:t>
      </w:r>
      <w:r w:rsidRPr="00E259BB">
        <w:rPr>
          <w:rFonts w:ascii="Times New Roman" w:eastAsia="Times New Roman" w:hAnsi="Times New Roman" w:cs="Times New Roman"/>
          <w:i/>
          <w:iCs/>
          <w:sz w:val="24"/>
          <w:szCs w:val="24"/>
          <w:lang w:val="en-US"/>
        </w:rPr>
        <w:t>Bioscience Biotechnology Research Communications, 9</w:t>
      </w:r>
      <w:r w:rsidRPr="00E259BB">
        <w:rPr>
          <w:rFonts w:ascii="Times New Roman" w:eastAsia="Times New Roman" w:hAnsi="Times New Roman" w:cs="Times New Roman"/>
          <w:sz w:val="24"/>
          <w:szCs w:val="24"/>
          <w:lang w:val="en-US"/>
        </w:rPr>
        <w:t xml:space="preserve">(2), 309–316. </w:t>
      </w:r>
      <w:hyperlink r:id="rId14" w:history="1">
        <w:r w:rsidRPr="00E259BB">
          <w:rPr>
            <w:rFonts w:ascii="Times New Roman" w:eastAsia="Times New Roman" w:hAnsi="Times New Roman" w:cs="Times New Roman"/>
            <w:color w:val="0000FF"/>
            <w:sz w:val="24"/>
            <w:szCs w:val="24"/>
            <w:u w:val="single"/>
            <w:lang w:val="en-US"/>
          </w:rPr>
          <w:t>https://doi.org/10.21786/bbrc/9.2/19</w:t>
        </w:r>
      </w:hyperlink>
      <w:r w:rsidRPr="00E259BB">
        <w:rPr>
          <w:rFonts w:ascii="Times New Roman" w:eastAsia="Times New Roman" w:hAnsi="Times New Roman" w:cs="Times New Roman"/>
          <w:sz w:val="24"/>
          <w:szCs w:val="24"/>
          <w:lang w:val="en-US"/>
        </w:rPr>
        <w:t xml:space="preserve"> </w:t>
      </w:r>
    </w:p>
    <w:p w14:paraId="6BDC47F9" w14:textId="77777777" w:rsidR="00E259BB" w:rsidRPr="00E259BB" w:rsidRDefault="00E259BB" w:rsidP="00E259BB">
      <w:pPr>
        <w:spacing w:before="100" w:beforeAutospacing="1" w:after="100" w:afterAutospacing="1" w:line="240" w:lineRule="auto"/>
        <w:rPr>
          <w:rFonts w:ascii="Times New Roman" w:eastAsia="Times New Roman" w:hAnsi="Times New Roman" w:cs="Times New Roman"/>
          <w:sz w:val="24"/>
          <w:szCs w:val="24"/>
          <w:lang w:val="nl-BE"/>
        </w:rPr>
      </w:pPr>
      <w:r w:rsidRPr="00E259BB">
        <w:rPr>
          <w:rFonts w:ascii="Times New Roman" w:eastAsia="Times New Roman" w:hAnsi="Times New Roman" w:cs="Times New Roman"/>
          <w:sz w:val="24"/>
          <w:szCs w:val="24"/>
          <w:lang w:val="en-US"/>
        </w:rPr>
        <w:lastRenderedPageBreak/>
        <w:t xml:space="preserve">Sanogo, S., &amp; Zhang, J. (2016). Resistance sources, resistance screening techniques and disease management for Fusarium wilt in cotton. </w:t>
      </w:r>
      <w:r w:rsidRPr="00E259BB">
        <w:rPr>
          <w:rFonts w:ascii="Times New Roman" w:eastAsia="Times New Roman" w:hAnsi="Times New Roman" w:cs="Times New Roman"/>
          <w:i/>
          <w:iCs/>
          <w:sz w:val="24"/>
          <w:szCs w:val="24"/>
          <w:lang w:val="nl-BE"/>
        </w:rPr>
        <w:t>Euphytica, 207</w:t>
      </w:r>
      <w:r w:rsidRPr="00E259BB">
        <w:rPr>
          <w:rFonts w:ascii="Times New Roman" w:eastAsia="Times New Roman" w:hAnsi="Times New Roman" w:cs="Times New Roman"/>
          <w:sz w:val="24"/>
          <w:szCs w:val="24"/>
          <w:lang w:val="nl-BE"/>
        </w:rPr>
        <w:t xml:space="preserve">, 255–271. </w:t>
      </w:r>
      <w:r w:rsidRPr="00E259BB">
        <w:rPr>
          <w:rFonts w:ascii="Times New Roman" w:eastAsia="Times New Roman" w:hAnsi="Times New Roman" w:cs="Times New Roman"/>
          <w:sz w:val="24"/>
          <w:szCs w:val="24"/>
          <w:lang w:val="en-US"/>
        </w:rPr>
        <w:fldChar w:fldCharType="begin"/>
      </w:r>
      <w:r w:rsidRPr="00E259BB">
        <w:rPr>
          <w:rFonts w:ascii="Times New Roman" w:eastAsia="Times New Roman" w:hAnsi="Times New Roman" w:cs="Times New Roman"/>
          <w:sz w:val="24"/>
          <w:szCs w:val="24"/>
          <w:lang w:val="nl-BE"/>
        </w:rPr>
        <w:instrText>HYPERLINK "https://doi.org/10.1007/s10681-015-1532-y"</w:instrText>
      </w:r>
      <w:r w:rsidRPr="00E259BB">
        <w:rPr>
          <w:rFonts w:ascii="Times New Roman" w:eastAsia="Times New Roman" w:hAnsi="Times New Roman" w:cs="Times New Roman"/>
          <w:sz w:val="24"/>
          <w:szCs w:val="24"/>
          <w:lang w:val="en-US"/>
        </w:rPr>
      </w:r>
      <w:r w:rsidRPr="00E259BB">
        <w:rPr>
          <w:rFonts w:ascii="Times New Roman" w:eastAsia="Times New Roman" w:hAnsi="Times New Roman" w:cs="Times New Roman"/>
          <w:sz w:val="24"/>
          <w:szCs w:val="24"/>
          <w:lang w:val="en-US"/>
        </w:rPr>
        <w:fldChar w:fldCharType="separate"/>
      </w:r>
      <w:r w:rsidRPr="00E259BB">
        <w:rPr>
          <w:rFonts w:ascii="Times New Roman" w:eastAsia="Times New Roman" w:hAnsi="Times New Roman" w:cs="Times New Roman"/>
          <w:color w:val="0000FF"/>
          <w:sz w:val="24"/>
          <w:szCs w:val="24"/>
          <w:u w:val="single"/>
          <w:lang w:val="nl-BE"/>
        </w:rPr>
        <w:t>https://doi.org/10.1007/s10681-015-1532-y</w:t>
      </w:r>
      <w:r w:rsidRPr="00E259BB">
        <w:rPr>
          <w:rFonts w:ascii="Times New Roman" w:eastAsia="Times New Roman" w:hAnsi="Times New Roman" w:cs="Times New Roman"/>
          <w:sz w:val="24"/>
          <w:szCs w:val="24"/>
          <w:lang w:val="en-US"/>
        </w:rPr>
        <w:fldChar w:fldCharType="end"/>
      </w:r>
    </w:p>
    <w:p w14:paraId="7CC206AD" w14:textId="77777777" w:rsidR="00E259BB" w:rsidRPr="00E259BB" w:rsidRDefault="00E259BB" w:rsidP="00E259BB">
      <w:pPr>
        <w:spacing w:before="100" w:beforeAutospacing="1" w:after="100" w:afterAutospacing="1" w:line="240" w:lineRule="auto"/>
        <w:rPr>
          <w:rFonts w:ascii="Times New Roman" w:eastAsia="Times New Roman" w:hAnsi="Times New Roman" w:cs="Times New Roman"/>
          <w:sz w:val="24"/>
          <w:szCs w:val="24"/>
          <w:lang w:val="en-US"/>
        </w:rPr>
      </w:pPr>
      <w:r w:rsidRPr="00E259BB">
        <w:rPr>
          <w:rFonts w:ascii="Times New Roman" w:eastAsia="Times New Roman" w:hAnsi="Times New Roman" w:cs="Times New Roman"/>
          <w:sz w:val="24"/>
          <w:szCs w:val="24"/>
          <w:lang w:val="nl-BE"/>
        </w:rPr>
        <w:t xml:space="preserve">Shinde, V., &amp; Dhale, D. A. (2011). </w:t>
      </w:r>
      <w:r w:rsidRPr="00E259BB">
        <w:rPr>
          <w:rFonts w:ascii="Times New Roman" w:eastAsia="Times New Roman" w:hAnsi="Times New Roman" w:cs="Times New Roman"/>
          <w:sz w:val="24"/>
          <w:szCs w:val="24"/>
          <w:lang w:val="en-US"/>
        </w:rPr>
        <w:t xml:space="preserve">Antifungal properties of extracts of </w:t>
      </w:r>
      <w:r w:rsidRPr="00E259BB">
        <w:rPr>
          <w:rFonts w:ascii="Times New Roman" w:eastAsia="Times New Roman" w:hAnsi="Times New Roman" w:cs="Times New Roman"/>
          <w:i/>
          <w:iCs/>
          <w:sz w:val="24"/>
          <w:szCs w:val="24"/>
          <w:lang w:val="en-US"/>
        </w:rPr>
        <w:t xml:space="preserve">Ocimum </w:t>
      </w:r>
      <w:proofErr w:type="spellStart"/>
      <w:r w:rsidRPr="00E259BB">
        <w:rPr>
          <w:rFonts w:ascii="Times New Roman" w:eastAsia="Times New Roman" w:hAnsi="Times New Roman" w:cs="Times New Roman"/>
          <w:i/>
          <w:iCs/>
          <w:sz w:val="24"/>
          <w:szCs w:val="24"/>
          <w:lang w:val="en-US"/>
        </w:rPr>
        <w:t>tenuiflorum</w:t>
      </w:r>
      <w:proofErr w:type="spellEnd"/>
      <w:r w:rsidRPr="00E259BB">
        <w:rPr>
          <w:rFonts w:ascii="Times New Roman" w:eastAsia="Times New Roman" w:hAnsi="Times New Roman" w:cs="Times New Roman"/>
          <w:sz w:val="24"/>
          <w:szCs w:val="24"/>
          <w:lang w:val="en-US"/>
        </w:rPr>
        <w:t xml:space="preserve"> and </w:t>
      </w:r>
      <w:r w:rsidRPr="00E259BB">
        <w:rPr>
          <w:rFonts w:ascii="Times New Roman" w:eastAsia="Times New Roman" w:hAnsi="Times New Roman" w:cs="Times New Roman"/>
          <w:i/>
          <w:iCs/>
          <w:sz w:val="24"/>
          <w:szCs w:val="24"/>
          <w:lang w:val="en-US"/>
        </w:rPr>
        <w:t>Datura stramonium</w:t>
      </w:r>
      <w:r w:rsidRPr="00E259BB">
        <w:rPr>
          <w:rFonts w:ascii="Times New Roman" w:eastAsia="Times New Roman" w:hAnsi="Times New Roman" w:cs="Times New Roman"/>
          <w:sz w:val="24"/>
          <w:szCs w:val="24"/>
          <w:lang w:val="en-US"/>
        </w:rPr>
        <w:t xml:space="preserve"> against some vegetable pathogenic fungi. </w:t>
      </w:r>
      <w:r w:rsidRPr="00E259BB">
        <w:rPr>
          <w:rFonts w:ascii="Times New Roman" w:eastAsia="Times New Roman" w:hAnsi="Times New Roman" w:cs="Times New Roman"/>
          <w:i/>
          <w:iCs/>
          <w:sz w:val="24"/>
          <w:szCs w:val="24"/>
          <w:lang w:val="en-US"/>
        </w:rPr>
        <w:t>Journal of Phytology, 3</w:t>
      </w:r>
      <w:r w:rsidRPr="00E259BB">
        <w:rPr>
          <w:rFonts w:ascii="Times New Roman" w:eastAsia="Times New Roman" w:hAnsi="Times New Roman" w:cs="Times New Roman"/>
          <w:sz w:val="24"/>
          <w:szCs w:val="24"/>
          <w:lang w:val="en-US"/>
        </w:rPr>
        <w:t xml:space="preserve">(12), 41–44. </w:t>
      </w:r>
      <w:hyperlink r:id="rId15" w:history="1">
        <w:r w:rsidRPr="00E259BB">
          <w:rPr>
            <w:rFonts w:ascii="Times New Roman" w:eastAsia="Times New Roman" w:hAnsi="Times New Roman" w:cs="Times New Roman"/>
            <w:color w:val="0000FF"/>
            <w:sz w:val="24"/>
            <w:szCs w:val="24"/>
            <w:u w:val="single"/>
            <w:lang w:val="en-US"/>
          </w:rPr>
          <w:t>https://updatepublishing.com/journal/index.php/jp/article/view/2742</w:t>
        </w:r>
      </w:hyperlink>
    </w:p>
    <w:p w14:paraId="3A87185A" w14:textId="77777777" w:rsidR="00E259BB" w:rsidRPr="00E259BB" w:rsidRDefault="00E259BB" w:rsidP="00E259BB">
      <w:pPr>
        <w:spacing w:before="100" w:beforeAutospacing="1" w:after="100" w:afterAutospacing="1" w:line="240" w:lineRule="auto"/>
        <w:rPr>
          <w:rFonts w:ascii="Times New Roman" w:eastAsia="Times New Roman" w:hAnsi="Times New Roman" w:cs="Times New Roman"/>
          <w:sz w:val="24"/>
          <w:szCs w:val="24"/>
          <w:lang w:val="en-US"/>
        </w:rPr>
      </w:pPr>
      <w:r w:rsidRPr="00E259BB">
        <w:rPr>
          <w:rFonts w:ascii="Times New Roman" w:eastAsia="Times New Roman" w:hAnsi="Times New Roman" w:cs="Times New Roman"/>
          <w:sz w:val="24"/>
          <w:szCs w:val="24"/>
          <w:lang w:val="en-US"/>
        </w:rPr>
        <w:t xml:space="preserve">Zhang, J., Abdelraheem, A., Zhu, Y., Elkins-Arce, H., Dever, J., Whitelock, D., Hake, K., </w:t>
      </w:r>
      <w:proofErr w:type="spellStart"/>
      <w:r w:rsidRPr="00E259BB">
        <w:rPr>
          <w:rFonts w:ascii="Times New Roman" w:eastAsia="Times New Roman" w:hAnsi="Times New Roman" w:cs="Times New Roman"/>
          <w:sz w:val="24"/>
          <w:szCs w:val="24"/>
          <w:lang w:val="en-US"/>
        </w:rPr>
        <w:t>Wedegaertner</w:t>
      </w:r>
      <w:proofErr w:type="spellEnd"/>
      <w:r w:rsidRPr="00E259BB">
        <w:rPr>
          <w:rFonts w:ascii="Times New Roman" w:eastAsia="Times New Roman" w:hAnsi="Times New Roman" w:cs="Times New Roman"/>
          <w:sz w:val="24"/>
          <w:szCs w:val="24"/>
          <w:lang w:val="en-US"/>
        </w:rPr>
        <w:t>, T., &amp; Wheeler, T. A. (2022). Studies of evaluation methods for resistance to Fusarium wilt race 4 (</w:t>
      </w:r>
      <w:r w:rsidRPr="00E259BB">
        <w:rPr>
          <w:rFonts w:ascii="Times New Roman" w:eastAsia="Times New Roman" w:hAnsi="Times New Roman" w:cs="Times New Roman"/>
          <w:i/>
          <w:iCs/>
          <w:sz w:val="24"/>
          <w:szCs w:val="24"/>
          <w:lang w:val="en-US"/>
        </w:rPr>
        <w:t xml:space="preserve">Fusarium </w:t>
      </w:r>
      <w:proofErr w:type="spellStart"/>
      <w:r w:rsidRPr="00E259BB">
        <w:rPr>
          <w:rFonts w:ascii="Times New Roman" w:eastAsia="Times New Roman" w:hAnsi="Times New Roman" w:cs="Times New Roman"/>
          <w:i/>
          <w:iCs/>
          <w:sz w:val="24"/>
          <w:szCs w:val="24"/>
          <w:lang w:val="en-US"/>
        </w:rPr>
        <w:t>oxysporum</w:t>
      </w:r>
      <w:proofErr w:type="spellEnd"/>
      <w:r w:rsidRPr="00E259BB">
        <w:rPr>
          <w:rFonts w:ascii="Times New Roman" w:eastAsia="Times New Roman" w:hAnsi="Times New Roman" w:cs="Times New Roman"/>
          <w:sz w:val="24"/>
          <w:szCs w:val="24"/>
          <w:lang w:val="en-US"/>
        </w:rPr>
        <w:t xml:space="preserve"> f. sp. </w:t>
      </w:r>
      <w:proofErr w:type="spellStart"/>
      <w:r w:rsidRPr="00E259BB">
        <w:rPr>
          <w:rFonts w:ascii="Times New Roman" w:eastAsia="Times New Roman" w:hAnsi="Times New Roman" w:cs="Times New Roman"/>
          <w:sz w:val="24"/>
          <w:szCs w:val="24"/>
          <w:lang w:val="en-US"/>
        </w:rPr>
        <w:t>vasinfectum</w:t>
      </w:r>
      <w:proofErr w:type="spellEnd"/>
      <w:r w:rsidRPr="00E259BB">
        <w:rPr>
          <w:rFonts w:ascii="Times New Roman" w:eastAsia="Times New Roman" w:hAnsi="Times New Roman" w:cs="Times New Roman"/>
          <w:sz w:val="24"/>
          <w:szCs w:val="24"/>
          <w:lang w:val="en-US"/>
        </w:rPr>
        <w:t xml:space="preserve">) in cotton: Effects of cultivar, planting date, and inoculum density on disease progression. </w:t>
      </w:r>
      <w:r w:rsidRPr="00E259BB">
        <w:rPr>
          <w:rFonts w:ascii="Times New Roman" w:eastAsia="Times New Roman" w:hAnsi="Times New Roman" w:cs="Times New Roman"/>
          <w:i/>
          <w:iCs/>
          <w:sz w:val="24"/>
          <w:szCs w:val="24"/>
          <w:lang w:val="en-US"/>
        </w:rPr>
        <w:t>Frontiers in Plant Science, 13</w:t>
      </w:r>
      <w:r w:rsidRPr="00E259BB">
        <w:rPr>
          <w:rFonts w:ascii="Times New Roman" w:eastAsia="Times New Roman" w:hAnsi="Times New Roman" w:cs="Times New Roman"/>
          <w:sz w:val="24"/>
          <w:szCs w:val="24"/>
          <w:lang w:val="en-US"/>
        </w:rPr>
        <w:t xml:space="preserve">, Article 900131. </w:t>
      </w:r>
      <w:hyperlink r:id="rId16" w:history="1">
        <w:r w:rsidRPr="00E259BB">
          <w:rPr>
            <w:rFonts w:ascii="Times New Roman" w:eastAsia="Times New Roman" w:hAnsi="Times New Roman" w:cs="Times New Roman"/>
            <w:color w:val="0000FF"/>
            <w:sz w:val="24"/>
            <w:szCs w:val="24"/>
            <w:u w:val="single"/>
            <w:lang w:val="en-US"/>
          </w:rPr>
          <w:t>https://doi.org/10.3389/fpls.2022.900131</w:t>
        </w:r>
      </w:hyperlink>
    </w:p>
    <w:p w14:paraId="32612763" w14:textId="77777777" w:rsidR="00E259BB" w:rsidRDefault="00E259BB" w:rsidP="00C2186F">
      <w:pPr>
        <w:rPr>
          <w:rFonts w:ascii="Times New Roman" w:hAnsi="Times New Roman" w:cs="Times New Roman"/>
          <w:b/>
          <w:color w:val="000000" w:themeColor="text1"/>
          <w:lang w:val="en-US"/>
        </w:rPr>
      </w:pPr>
    </w:p>
    <w:p w14:paraId="6EA0F31B" w14:textId="7F59C82B" w:rsidR="00C2186F" w:rsidRPr="009F350F" w:rsidRDefault="001C5ECD" w:rsidP="00C2186F">
      <w:pPr>
        <w:rPr>
          <w:rFonts w:ascii="Times New Roman" w:hAnsi="Times New Roman" w:cs="Times New Roman"/>
          <w:b/>
          <w:color w:val="000000" w:themeColor="text1"/>
          <w:lang w:val="en-US"/>
        </w:rPr>
      </w:pPr>
      <w:r w:rsidRPr="009F350F">
        <w:rPr>
          <w:rFonts w:ascii="Times New Roman" w:hAnsi="Times New Roman" w:cs="Times New Roman"/>
          <w:b/>
          <w:color w:val="000000" w:themeColor="text1"/>
          <w:lang w:val="en-US"/>
        </w:rPr>
        <w:t>Table 1</w:t>
      </w:r>
      <w:r w:rsidR="00C2186F" w:rsidRPr="009F350F">
        <w:rPr>
          <w:rFonts w:ascii="Times New Roman" w:hAnsi="Times New Roman" w:cs="Times New Roman"/>
          <w:b/>
          <w:color w:val="000000" w:themeColor="text1"/>
          <w:lang w:val="en-US"/>
        </w:rPr>
        <w:t>. Details of dates sowing cotton evaluation of disease incidence (%)</w:t>
      </w:r>
    </w:p>
    <w:tbl>
      <w:tblPr>
        <w:tblStyle w:val="TableGrid"/>
        <w:tblW w:w="14187" w:type="dxa"/>
        <w:tblInd w:w="0" w:type="dxa"/>
        <w:tblLook w:val="04A0" w:firstRow="1" w:lastRow="0" w:firstColumn="1" w:lastColumn="0" w:noHBand="0" w:noVBand="1"/>
      </w:tblPr>
      <w:tblGrid>
        <w:gridCol w:w="867"/>
        <w:gridCol w:w="1863"/>
        <w:gridCol w:w="1866"/>
        <w:gridCol w:w="1465"/>
        <w:gridCol w:w="1402"/>
        <w:gridCol w:w="1897"/>
        <w:gridCol w:w="1609"/>
        <w:gridCol w:w="1609"/>
        <w:gridCol w:w="1609"/>
      </w:tblGrid>
      <w:tr w:rsidR="005C7457" w:rsidRPr="009F350F" w14:paraId="5E589F8D" w14:textId="77777777" w:rsidTr="00C2186F">
        <w:trPr>
          <w:trHeight w:val="1399"/>
        </w:trPr>
        <w:tc>
          <w:tcPr>
            <w:tcW w:w="867" w:type="dxa"/>
            <w:vMerge w:val="restart"/>
            <w:tcBorders>
              <w:top w:val="single" w:sz="4" w:space="0" w:color="auto"/>
              <w:left w:val="single" w:sz="4" w:space="0" w:color="auto"/>
              <w:bottom w:val="single" w:sz="4" w:space="0" w:color="auto"/>
              <w:right w:val="single" w:sz="4" w:space="0" w:color="auto"/>
            </w:tcBorders>
            <w:vAlign w:val="center"/>
            <w:hideMark/>
          </w:tcPr>
          <w:p w14:paraId="2F9B5556" w14:textId="77777777" w:rsidR="00C2186F" w:rsidRPr="009F350F" w:rsidRDefault="00C2186F" w:rsidP="00C2186F">
            <w:pPr>
              <w:spacing w:after="160" w:line="259" w:lineRule="auto"/>
              <w:rPr>
                <w:rFonts w:ascii="Times New Roman" w:eastAsiaTheme="minorHAnsi" w:hAnsi="Times New Roman"/>
                <w:b/>
                <w:bCs/>
                <w:color w:val="000000" w:themeColor="text1"/>
                <w:kern w:val="0"/>
                <w:sz w:val="22"/>
                <w:szCs w:val="22"/>
                <w:lang w:val="en-US"/>
              </w:rPr>
            </w:pPr>
            <w:proofErr w:type="spellStart"/>
            <w:r w:rsidRPr="009F350F">
              <w:rPr>
                <w:rFonts w:ascii="Times New Roman" w:eastAsiaTheme="minorHAnsi" w:hAnsi="Times New Roman"/>
                <w:b/>
                <w:bCs/>
                <w:color w:val="000000" w:themeColor="text1"/>
                <w:kern w:val="0"/>
                <w:sz w:val="22"/>
                <w:szCs w:val="22"/>
                <w:lang w:val="en-US"/>
              </w:rPr>
              <w:t>Sl.No</w:t>
            </w:r>
            <w:proofErr w:type="spellEnd"/>
            <w:r w:rsidRPr="009F350F">
              <w:rPr>
                <w:rFonts w:ascii="Times New Roman" w:eastAsiaTheme="minorHAnsi" w:hAnsi="Times New Roman"/>
                <w:b/>
                <w:bCs/>
                <w:color w:val="000000" w:themeColor="text1"/>
                <w:kern w:val="0"/>
                <w:sz w:val="22"/>
                <w:szCs w:val="22"/>
                <w:lang w:val="en-US"/>
              </w:rPr>
              <w:t>.</w:t>
            </w:r>
          </w:p>
        </w:tc>
        <w:tc>
          <w:tcPr>
            <w:tcW w:w="1863" w:type="dxa"/>
            <w:vMerge w:val="restart"/>
            <w:tcBorders>
              <w:top w:val="single" w:sz="4" w:space="0" w:color="auto"/>
              <w:left w:val="single" w:sz="4" w:space="0" w:color="auto"/>
              <w:bottom w:val="single" w:sz="4" w:space="0" w:color="auto"/>
              <w:right w:val="single" w:sz="4" w:space="0" w:color="auto"/>
            </w:tcBorders>
            <w:vAlign w:val="center"/>
            <w:hideMark/>
          </w:tcPr>
          <w:p w14:paraId="752587E6" w14:textId="77777777" w:rsidR="00C2186F" w:rsidRPr="009F350F" w:rsidRDefault="00C2186F" w:rsidP="00C2186F">
            <w:pPr>
              <w:spacing w:after="160" w:line="259" w:lineRule="auto"/>
              <w:rPr>
                <w:rFonts w:ascii="Times New Roman" w:eastAsiaTheme="minorHAnsi" w:hAnsi="Times New Roman"/>
                <w:b/>
                <w:bCs/>
                <w:color w:val="000000" w:themeColor="text1"/>
                <w:kern w:val="0"/>
                <w:sz w:val="22"/>
                <w:szCs w:val="22"/>
                <w:lang w:val="en-US"/>
              </w:rPr>
            </w:pPr>
            <w:r w:rsidRPr="009F350F">
              <w:rPr>
                <w:rFonts w:ascii="Times New Roman" w:eastAsiaTheme="minorHAnsi" w:hAnsi="Times New Roman"/>
                <w:b/>
                <w:bCs/>
                <w:color w:val="000000" w:themeColor="text1"/>
                <w:kern w:val="0"/>
                <w:sz w:val="22"/>
                <w:szCs w:val="22"/>
              </w:rPr>
              <w:t>Sowing date during 2023-24</w:t>
            </w:r>
          </w:p>
        </w:tc>
        <w:tc>
          <w:tcPr>
            <w:tcW w:w="4733" w:type="dxa"/>
            <w:gridSpan w:val="3"/>
            <w:tcBorders>
              <w:top w:val="single" w:sz="4" w:space="0" w:color="auto"/>
              <w:left w:val="single" w:sz="4" w:space="0" w:color="auto"/>
              <w:right w:val="single" w:sz="4" w:space="0" w:color="auto"/>
            </w:tcBorders>
            <w:vAlign w:val="center"/>
            <w:hideMark/>
          </w:tcPr>
          <w:p w14:paraId="3BDB8395" w14:textId="77777777" w:rsidR="00C2186F" w:rsidRPr="009F350F" w:rsidRDefault="00C2186F" w:rsidP="00C2186F">
            <w:pPr>
              <w:spacing w:after="160" w:line="259" w:lineRule="auto"/>
              <w:rPr>
                <w:rFonts w:ascii="Times New Roman" w:eastAsiaTheme="minorHAnsi" w:hAnsi="Times New Roman"/>
                <w:b/>
                <w:bCs/>
                <w:color w:val="000000" w:themeColor="text1"/>
                <w:kern w:val="0"/>
                <w:sz w:val="22"/>
                <w:szCs w:val="22"/>
                <w:lang w:val="en-US"/>
              </w:rPr>
            </w:pPr>
            <w:r w:rsidRPr="009F350F">
              <w:rPr>
                <w:rFonts w:ascii="Times New Roman" w:eastAsiaTheme="minorHAnsi" w:hAnsi="Times New Roman"/>
                <w:b/>
                <w:bCs/>
                <w:color w:val="000000" w:themeColor="text1"/>
                <w:kern w:val="0"/>
                <w:sz w:val="22"/>
                <w:szCs w:val="22"/>
                <w:lang w:val="en-US"/>
              </w:rPr>
              <w:t>Disease incidence (%)</w:t>
            </w:r>
          </w:p>
        </w:tc>
        <w:tc>
          <w:tcPr>
            <w:tcW w:w="1897" w:type="dxa"/>
            <w:vMerge w:val="restart"/>
            <w:tcBorders>
              <w:top w:val="single" w:sz="4" w:space="0" w:color="auto"/>
              <w:left w:val="single" w:sz="4" w:space="0" w:color="auto"/>
              <w:bottom w:val="single" w:sz="4" w:space="0" w:color="auto"/>
              <w:right w:val="single" w:sz="4" w:space="0" w:color="auto"/>
            </w:tcBorders>
            <w:vAlign w:val="center"/>
            <w:hideMark/>
          </w:tcPr>
          <w:p w14:paraId="6F53BCE0" w14:textId="77777777" w:rsidR="00C2186F" w:rsidRPr="009F350F" w:rsidRDefault="00C2186F" w:rsidP="00C2186F">
            <w:pPr>
              <w:spacing w:after="160" w:line="259" w:lineRule="auto"/>
              <w:rPr>
                <w:rFonts w:ascii="Times New Roman" w:eastAsiaTheme="minorHAnsi" w:hAnsi="Times New Roman"/>
                <w:b/>
                <w:bCs/>
                <w:color w:val="000000" w:themeColor="text1"/>
                <w:kern w:val="0"/>
                <w:sz w:val="22"/>
                <w:szCs w:val="22"/>
                <w:lang w:val="en-US"/>
              </w:rPr>
            </w:pPr>
            <w:r w:rsidRPr="009F350F">
              <w:rPr>
                <w:rFonts w:ascii="Times New Roman" w:eastAsiaTheme="minorHAnsi" w:hAnsi="Times New Roman"/>
                <w:b/>
                <w:bCs/>
                <w:color w:val="000000" w:themeColor="text1"/>
                <w:kern w:val="0"/>
                <w:sz w:val="22"/>
                <w:szCs w:val="22"/>
              </w:rPr>
              <w:t>Sowing date during 2024-25</w:t>
            </w:r>
          </w:p>
        </w:tc>
        <w:tc>
          <w:tcPr>
            <w:tcW w:w="4827" w:type="dxa"/>
            <w:gridSpan w:val="3"/>
            <w:tcBorders>
              <w:top w:val="single" w:sz="4" w:space="0" w:color="auto"/>
              <w:left w:val="single" w:sz="4" w:space="0" w:color="auto"/>
              <w:right w:val="single" w:sz="4" w:space="0" w:color="auto"/>
            </w:tcBorders>
            <w:vAlign w:val="center"/>
            <w:hideMark/>
          </w:tcPr>
          <w:p w14:paraId="7A81BDBB" w14:textId="77777777" w:rsidR="00C2186F" w:rsidRPr="009F350F" w:rsidRDefault="00C2186F" w:rsidP="00C2186F">
            <w:pPr>
              <w:spacing w:after="160" w:line="259" w:lineRule="auto"/>
              <w:rPr>
                <w:rFonts w:ascii="Times New Roman" w:eastAsiaTheme="minorHAnsi" w:hAnsi="Times New Roman"/>
                <w:b/>
                <w:bCs/>
                <w:color w:val="000000" w:themeColor="text1"/>
                <w:kern w:val="0"/>
                <w:sz w:val="22"/>
                <w:szCs w:val="22"/>
              </w:rPr>
            </w:pPr>
            <w:r w:rsidRPr="009F350F">
              <w:rPr>
                <w:rFonts w:ascii="Times New Roman" w:eastAsiaTheme="minorHAnsi" w:hAnsi="Times New Roman"/>
                <w:b/>
                <w:bCs/>
                <w:color w:val="000000" w:themeColor="text1"/>
                <w:kern w:val="0"/>
                <w:sz w:val="22"/>
                <w:szCs w:val="22"/>
              </w:rPr>
              <w:t>Disease Incidence (%)</w:t>
            </w:r>
          </w:p>
        </w:tc>
      </w:tr>
      <w:tr w:rsidR="005C7457" w:rsidRPr="009F350F" w14:paraId="0FC574CC" w14:textId="77777777" w:rsidTr="00C2186F">
        <w:trPr>
          <w:trHeight w:val="4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EDBE5D" w14:textId="77777777" w:rsidR="00C2186F" w:rsidRPr="009F350F" w:rsidRDefault="00C2186F" w:rsidP="00C2186F">
            <w:pPr>
              <w:spacing w:after="160" w:line="259" w:lineRule="auto"/>
              <w:rPr>
                <w:rFonts w:ascii="Times New Roman" w:eastAsiaTheme="minorHAnsi" w:hAnsi="Times New Roman"/>
                <w:b/>
                <w:bCs/>
                <w:color w:val="000000" w:themeColor="text1"/>
                <w:kern w:val="0"/>
                <w:sz w:val="22"/>
                <w:szCs w:val="22"/>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ACBCF8" w14:textId="77777777" w:rsidR="00C2186F" w:rsidRPr="009F350F" w:rsidRDefault="00C2186F" w:rsidP="00C2186F">
            <w:pPr>
              <w:spacing w:after="160" w:line="259" w:lineRule="auto"/>
              <w:rPr>
                <w:rFonts w:ascii="Times New Roman" w:eastAsiaTheme="minorHAnsi" w:hAnsi="Times New Roman"/>
                <w:b/>
                <w:bCs/>
                <w:color w:val="000000" w:themeColor="text1"/>
                <w:kern w:val="0"/>
                <w:sz w:val="22"/>
                <w:szCs w:val="22"/>
                <w:lang w:val="en-US"/>
              </w:rPr>
            </w:pPr>
          </w:p>
        </w:tc>
        <w:tc>
          <w:tcPr>
            <w:tcW w:w="1866" w:type="dxa"/>
            <w:tcBorders>
              <w:top w:val="single" w:sz="4" w:space="0" w:color="auto"/>
              <w:left w:val="single" w:sz="4" w:space="0" w:color="auto"/>
              <w:bottom w:val="single" w:sz="4" w:space="0" w:color="auto"/>
              <w:right w:val="single" w:sz="4" w:space="0" w:color="auto"/>
            </w:tcBorders>
            <w:vAlign w:val="center"/>
            <w:hideMark/>
          </w:tcPr>
          <w:p w14:paraId="34DA3F00" w14:textId="77777777" w:rsidR="00C2186F" w:rsidRPr="009F350F" w:rsidRDefault="00C2186F" w:rsidP="00C2186F">
            <w:pPr>
              <w:spacing w:after="160" w:line="259" w:lineRule="auto"/>
              <w:rPr>
                <w:rFonts w:ascii="Times New Roman" w:eastAsiaTheme="minorHAnsi" w:hAnsi="Times New Roman"/>
                <w:b/>
                <w:bCs/>
                <w:color w:val="000000" w:themeColor="text1"/>
                <w:kern w:val="0"/>
                <w:sz w:val="22"/>
                <w:szCs w:val="22"/>
                <w:lang w:val="en-US"/>
              </w:rPr>
            </w:pPr>
            <w:r w:rsidRPr="009F350F">
              <w:rPr>
                <w:rFonts w:ascii="Times New Roman" w:eastAsiaTheme="minorHAnsi" w:hAnsi="Times New Roman"/>
                <w:b/>
                <w:bCs/>
                <w:color w:val="000000" w:themeColor="text1"/>
                <w:kern w:val="0"/>
                <w:sz w:val="22"/>
                <w:szCs w:val="22"/>
              </w:rPr>
              <w:t>15 days after first symptom appearance</w:t>
            </w:r>
          </w:p>
        </w:tc>
        <w:tc>
          <w:tcPr>
            <w:tcW w:w="1465" w:type="dxa"/>
            <w:tcBorders>
              <w:top w:val="single" w:sz="4" w:space="0" w:color="auto"/>
              <w:left w:val="single" w:sz="4" w:space="0" w:color="auto"/>
              <w:bottom w:val="single" w:sz="4" w:space="0" w:color="auto"/>
              <w:right w:val="single" w:sz="4" w:space="0" w:color="auto"/>
            </w:tcBorders>
            <w:vAlign w:val="center"/>
            <w:hideMark/>
          </w:tcPr>
          <w:p w14:paraId="33AFB2BA" w14:textId="77777777" w:rsidR="00C2186F" w:rsidRPr="009F350F" w:rsidRDefault="00C2186F" w:rsidP="00C2186F">
            <w:pPr>
              <w:spacing w:after="160" w:line="259" w:lineRule="auto"/>
              <w:rPr>
                <w:rFonts w:ascii="Times New Roman" w:eastAsiaTheme="minorHAnsi" w:hAnsi="Times New Roman"/>
                <w:b/>
                <w:bCs/>
                <w:color w:val="000000" w:themeColor="text1"/>
                <w:kern w:val="0"/>
                <w:sz w:val="22"/>
                <w:szCs w:val="22"/>
                <w:lang w:val="en-US"/>
              </w:rPr>
            </w:pPr>
            <w:r w:rsidRPr="009F350F">
              <w:rPr>
                <w:rFonts w:ascii="Times New Roman" w:eastAsiaTheme="minorHAnsi" w:hAnsi="Times New Roman"/>
                <w:b/>
                <w:bCs/>
                <w:color w:val="000000" w:themeColor="text1"/>
                <w:kern w:val="0"/>
                <w:sz w:val="22"/>
                <w:szCs w:val="22"/>
              </w:rPr>
              <w:t>30 days after symptom appearance</w:t>
            </w:r>
          </w:p>
        </w:tc>
        <w:tc>
          <w:tcPr>
            <w:tcW w:w="1402" w:type="dxa"/>
            <w:tcBorders>
              <w:top w:val="single" w:sz="4" w:space="0" w:color="auto"/>
              <w:left w:val="single" w:sz="4" w:space="0" w:color="auto"/>
              <w:bottom w:val="single" w:sz="4" w:space="0" w:color="auto"/>
              <w:right w:val="single" w:sz="4" w:space="0" w:color="auto"/>
            </w:tcBorders>
            <w:vAlign w:val="center"/>
            <w:hideMark/>
          </w:tcPr>
          <w:p w14:paraId="7668473C" w14:textId="77777777" w:rsidR="00C2186F" w:rsidRPr="009F350F" w:rsidRDefault="00C2186F" w:rsidP="00C2186F">
            <w:pPr>
              <w:spacing w:after="160" w:line="259" w:lineRule="auto"/>
              <w:rPr>
                <w:rFonts w:ascii="Times New Roman" w:eastAsiaTheme="minorHAnsi" w:hAnsi="Times New Roman"/>
                <w:b/>
                <w:bCs/>
                <w:color w:val="000000" w:themeColor="text1"/>
                <w:kern w:val="0"/>
                <w:sz w:val="22"/>
                <w:szCs w:val="22"/>
                <w:lang w:val="en-US"/>
              </w:rPr>
            </w:pPr>
            <w:r w:rsidRPr="009F350F">
              <w:rPr>
                <w:rFonts w:ascii="Times New Roman" w:eastAsiaTheme="minorHAnsi" w:hAnsi="Times New Roman"/>
                <w:b/>
                <w:bCs/>
                <w:color w:val="000000" w:themeColor="text1"/>
                <w:kern w:val="0"/>
                <w:sz w:val="22"/>
                <w:szCs w:val="22"/>
                <w:lang w:val="en-US"/>
              </w:rPr>
              <w:t>At maturity stage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81B572" w14:textId="77777777" w:rsidR="00C2186F" w:rsidRPr="009F350F" w:rsidRDefault="00C2186F" w:rsidP="00C2186F">
            <w:pPr>
              <w:spacing w:after="160" w:line="259" w:lineRule="auto"/>
              <w:rPr>
                <w:rFonts w:ascii="Times New Roman" w:eastAsiaTheme="minorHAnsi" w:hAnsi="Times New Roman"/>
                <w:b/>
                <w:bCs/>
                <w:color w:val="000000" w:themeColor="text1"/>
                <w:kern w:val="0"/>
                <w:sz w:val="22"/>
                <w:szCs w:val="22"/>
                <w:lang w:val="en-US"/>
              </w:rPr>
            </w:pPr>
          </w:p>
        </w:tc>
        <w:tc>
          <w:tcPr>
            <w:tcW w:w="1609" w:type="dxa"/>
            <w:tcBorders>
              <w:top w:val="single" w:sz="4" w:space="0" w:color="auto"/>
              <w:left w:val="single" w:sz="4" w:space="0" w:color="auto"/>
              <w:bottom w:val="single" w:sz="4" w:space="0" w:color="auto"/>
              <w:right w:val="single" w:sz="4" w:space="0" w:color="auto"/>
            </w:tcBorders>
            <w:vAlign w:val="center"/>
            <w:hideMark/>
          </w:tcPr>
          <w:p w14:paraId="201A9894" w14:textId="77777777" w:rsidR="00C2186F" w:rsidRPr="009F350F" w:rsidRDefault="00C2186F" w:rsidP="00C2186F">
            <w:pPr>
              <w:spacing w:after="160" w:line="259" w:lineRule="auto"/>
              <w:rPr>
                <w:rFonts w:ascii="Times New Roman" w:eastAsiaTheme="minorHAnsi" w:hAnsi="Times New Roman"/>
                <w:b/>
                <w:bCs/>
                <w:color w:val="000000" w:themeColor="text1"/>
                <w:kern w:val="0"/>
                <w:sz w:val="22"/>
                <w:szCs w:val="22"/>
              </w:rPr>
            </w:pPr>
            <w:r w:rsidRPr="009F350F">
              <w:rPr>
                <w:rFonts w:ascii="Times New Roman" w:eastAsiaTheme="minorHAnsi" w:hAnsi="Times New Roman"/>
                <w:b/>
                <w:bCs/>
                <w:color w:val="000000" w:themeColor="text1"/>
                <w:kern w:val="0"/>
                <w:sz w:val="22"/>
                <w:szCs w:val="22"/>
              </w:rPr>
              <w:t>15 days after first symptom appearance</w:t>
            </w:r>
          </w:p>
        </w:tc>
        <w:tc>
          <w:tcPr>
            <w:tcW w:w="1609" w:type="dxa"/>
            <w:tcBorders>
              <w:top w:val="single" w:sz="4" w:space="0" w:color="auto"/>
              <w:left w:val="single" w:sz="4" w:space="0" w:color="auto"/>
              <w:bottom w:val="single" w:sz="4" w:space="0" w:color="auto"/>
              <w:right w:val="single" w:sz="4" w:space="0" w:color="auto"/>
            </w:tcBorders>
            <w:vAlign w:val="center"/>
            <w:hideMark/>
          </w:tcPr>
          <w:p w14:paraId="375C2827" w14:textId="77777777" w:rsidR="00C2186F" w:rsidRPr="009F350F" w:rsidRDefault="00C2186F" w:rsidP="00C2186F">
            <w:pPr>
              <w:spacing w:after="160" w:line="259" w:lineRule="auto"/>
              <w:rPr>
                <w:rFonts w:ascii="Times New Roman" w:eastAsiaTheme="minorHAnsi" w:hAnsi="Times New Roman"/>
                <w:b/>
                <w:bCs/>
                <w:color w:val="000000" w:themeColor="text1"/>
                <w:kern w:val="0"/>
                <w:sz w:val="22"/>
                <w:szCs w:val="22"/>
              </w:rPr>
            </w:pPr>
            <w:r w:rsidRPr="009F350F">
              <w:rPr>
                <w:rFonts w:ascii="Times New Roman" w:eastAsiaTheme="minorHAnsi" w:hAnsi="Times New Roman"/>
                <w:b/>
                <w:bCs/>
                <w:color w:val="000000" w:themeColor="text1"/>
                <w:kern w:val="0"/>
                <w:sz w:val="22"/>
                <w:szCs w:val="22"/>
              </w:rPr>
              <w:t>30 days after symptom appearance</w:t>
            </w:r>
          </w:p>
        </w:tc>
        <w:tc>
          <w:tcPr>
            <w:tcW w:w="1608" w:type="dxa"/>
            <w:tcBorders>
              <w:top w:val="single" w:sz="4" w:space="0" w:color="auto"/>
              <w:left w:val="single" w:sz="4" w:space="0" w:color="auto"/>
              <w:bottom w:val="single" w:sz="4" w:space="0" w:color="auto"/>
              <w:right w:val="single" w:sz="4" w:space="0" w:color="auto"/>
            </w:tcBorders>
            <w:vAlign w:val="center"/>
            <w:hideMark/>
          </w:tcPr>
          <w:p w14:paraId="657D3775" w14:textId="77777777" w:rsidR="00C2186F" w:rsidRPr="009F350F" w:rsidRDefault="00C2186F" w:rsidP="00C2186F">
            <w:pPr>
              <w:spacing w:after="160" w:line="259" w:lineRule="auto"/>
              <w:rPr>
                <w:rFonts w:ascii="Times New Roman" w:eastAsiaTheme="minorHAnsi" w:hAnsi="Times New Roman"/>
                <w:b/>
                <w:bCs/>
                <w:color w:val="000000" w:themeColor="text1"/>
                <w:kern w:val="0"/>
                <w:sz w:val="22"/>
                <w:szCs w:val="22"/>
              </w:rPr>
            </w:pPr>
            <w:r w:rsidRPr="009F350F">
              <w:rPr>
                <w:rFonts w:ascii="Times New Roman" w:eastAsiaTheme="minorHAnsi" w:hAnsi="Times New Roman"/>
                <w:b/>
                <w:bCs/>
                <w:color w:val="000000" w:themeColor="text1"/>
                <w:kern w:val="0"/>
                <w:sz w:val="22"/>
                <w:szCs w:val="22"/>
              </w:rPr>
              <w:t>At Maturity stage</w:t>
            </w:r>
          </w:p>
        </w:tc>
      </w:tr>
      <w:tr w:rsidR="005C7457" w:rsidRPr="009F350F" w14:paraId="6E38EEDA" w14:textId="77777777" w:rsidTr="00C2186F">
        <w:trPr>
          <w:trHeight w:val="729"/>
        </w:trPr>
        <w:tc>
          <w:tcPr>
            <w:tcW w:w="867" w:type="dxa"/>
            <w:tcBorders>
              <w:top w:val="single" w:sz="4" w:space="0" w:color="auto"/>
              <w:left w:val="single" w:sz="4" w:space="0" w:color="auto"/>
              <w:bottom w:val="single" w:sz="4" w:space="0" w:color="auto"/>
              <w:right w:val="single" w:sz="4" w:space="0" w:color="auto"/>
            </w:tcBorders>
            <w:vAlign w:val="center"/>
            <w:hideMark/>
          </w:tcPr>
          <w:p w14:paraId="251E822A"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rPr>
            </w:pPr>
            <w:r w:rsidRPr="009F350F">
              <w:rPr>
                <w:rFonts w:ascii="Times New Roman" w:eastAsiaTheme="minorHAnsi" w:hAnsi="Times New Roman"/>
                <w:b/>
                <w:color w:val="000000" w:themeColor="text1"/>
                <w:kern w:val="0"/>
                <w:sz w:val="22"/>
                <w:szCs w:val="22"/>
              </w:rPr>
              <w:t>1.</w:t>
            </w:r>
          </w:p>
        </w:tc>
        <w:tc>
          <w:tcPr>
            <w:tcW w:w="1863" w:type="dxa"/>
            <w:tcBorders>
              <w:top w:val="single" w:sz="4" w:space="0" w:color="auto"/>
              <w:left w:val="single" w:sz="4" w:space="0" w:color="auto"/>
              <w:bottom w:val="single" w:sz="4" w:space="0" w:color="auto"/>
              <w:right w:val="single" w:sz="4" w:space="0" w:color="auto"/>
            </w:tcBorders>
            <w:vAlign w:val="center"/>
            <w:hideMark/>
          </w:tcPr>
          <w:p w14:paraId="1E7446BF"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rPr>
            </w:pPr>
            <w:r w:rsidRPr="009F350F">
              <w:rPr>
                <w:rFonts w:ascii="Times New Roman" w:eastAsiaTheme="minorHAnsi" w:hAnsi="Times New Roman"/>
                <w:b/>
                <w:color w:val="000000" w:themeColor="text1"/>
                <w:kern w:val="0"/>
                <w:sz w:val="22"/>
                <w:szCs w:val="22"/>
              </w:rPr>
              <w:t>1</w:t>
            </w:r>
            <w:r w:rsidRPr="009F350F">
              <w:rPr>
                <w:rFonts w:ascii="Times New Roman" w:eastAsiaTheme="minorHAnsi" w:hAnsi="Times New Roman"/>
                <w:b/>
                <w:color w:val="000000" w:themeColor="text1"/>
                <w:kern w:val="0"/>
                <w:sz w:val="22"/>
                <w:szCs w:val="22"/>
                <w:vertAlign w:val="superscript"/>
              </w:rPr>
              <w:t>st</w:t>
            </w:r>
            <w:r w:rsidRPr="009F350F">
              <w:rPr>
                <w:rFonts w:ascii="Times New Roman" w:eastAsiaTheme="minorHAnsi" w:hAnsi="Times New Roman"/>
                <w:b/>
                <w:color w:val="000000" w:themeColor="text1"/>
                <w:kern w:val="0"/>
                <w:sz w:val="22"/>
                <w:szCs w:val="22"/>
              </w:rPr>
              <w:t xml:space="preserve"> June</w:t>
            </w:r>
          </w:p>
        </w:tc>
        <w:tc>
          <w:tcPr>
            <w:tcW w:w="1866" w:type="dxa"/>
            <w:tcBorders>
              <w:top w:val="single" w:sz="4" w:space="0" w:color="auto"/>
              <w:left w:val="single" w:sz="4" w:space="0" w:color="auto"/>
              <w:bottom w:val="single" w:sz="4" w:space="0" w:color="auto"/>
              <w:right w:val="single" w:sz="4" w:space="0" w:color="auto"/>
            </w:tcBorders>
            <w:vAlign w:val="center"/>
            <w:hideMark/>
          </w:tcPr>
          <w:p w14:paraId="6DCADDC8"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8.4</w:t>
            </w:r>
          </w:p>
        </w:tc>
        <w:tc>
          <w:tcPr>
            <w:tcW w:w="1465" w:type="dxa"/>
            <w:tcBorders>
              <w:top w:val="single" w:sz="4" w:space="0" w:color="auto"/>
              <w:left w:val="single" w:sz="4" w:space="0" w:color="auto"/>
              <w:bottom w:val="single" w:sz="4" w:space="0" w:color="auto"/>
              <w:right w:val="single" w:sz="4" w:space="0" w:color="auto"/>
            </w:tcBorders>
            <w:vAlign w:val="center"/>
            <w:hideMark/>
          </w:tcPr>
          <w:p w14:paraId="1AAB3E0A"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14.2</w:t>
            </w:r>
          </w:p>
        </w:tc>
        <w:tc>
          <w:tcPr>
            <w:tcW w:w="1402" w:type="dxa"/>
            <w:tcBorders>
              <w:top w:val="single" w:sz="4" w:space="0" w:color="auto"/>
              <w:left w:val="single" w:sz="4" w:space="0" w:color="auto"/>
              <w:bottom w:val="single" w:sz="4" w:space="0" w:color="auto"/>
              <w:right w:val="single" w:sz="4" w:space="0" w:color="auto"/>
            </w:tcBorders>
            <w:vAlign w:val="center"/>
            <w:hideMark/>
          </w:tcPr>
          <w:p w14:paraId="3677CD31"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22.5</w:t>
            </w:r>
          </w:p>
        </w:tc>
        <w:tc>
          <w:tcPr>
            <w:tcW w:w="1897" w:type="dxa"/>
            <w:tcBorders>
              <w:top w:val="single" w:sz="4" w:space="0" w:color="auto"/>
              <w:left w:val="single" w:sz="4" w:space="0" w:color="auto"/>
              <w:bottom w:val="single" w:sz="4" w:space="0" w:color="auto"/>
              <w:right w:val="single" w:sz="4" w:space="0" w:color="auto"/>
            </w:tcBorders>
            <w:vAlign w:val="center"/>
            <w:hideMark/>
          </w:tcPr>
          <w:p w14:paraId="2D079630"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rPr>
            </w:pPr>
            <w:r w:rsidRPr="009F350F">
              <w:rPr>
                <w:rFonts w:ascii="Times New Roman" w:eastAsiaTheme="minorHAnsi" w:hAnsi="Times New Roman"/>
                <w:b/>
                <w:color w:val="000000" w:themeColor="text1"/>
                <w:kern w:val="0"/>
                <w:sz w:val="22"/>
                <w:szCs w:val="22"/>
              </w:rPr>
              <w:t>1</w:t>
            </w:r>
            <w:r w:rsidRPr="009F350F">
              <w:rPr>
                <w:rFonts w:ascii="Times New Roman" w:eastAsiaTheme="minorHAnsi" w:hAnsi="Times New Roman"/>
                <w:b/>
                <w:color w:val="000000" w:themeColor="text1"/>
                <w:kern w:val="0"/>
                <w:sz w:val="22"/>
                <w:szCs w:val="22"/>
                <w:vertAlign w:val="superscript"/>
              </w:rPr>
              <w:t>st</w:t>
            </w:r>
            <w:r w:rsidRPr="009F350F">
              <w:rPr>
                <w:rFonts w:ascii="Times New Roman" w:eastAsiaTheme="minorHAnsi" w:hAnsi="Times New Roman"/>
                <w:b/>
                <w:color w:val="000000" w:themeColor="text1"/>
                <w:kern w:val="0"/>
                <w:sz w:val="22"/>
                <w:szCs w:val="22"/>
              </w:rPr>
              <w:t xml:space="preserve"> June</w:t>
            </w:r>
          </w:p>
        </w:tc>
        <w:tc>
          <w:tcPr>
            <w:tcW w:w="1609" w:type="dxa"/>
            <w:tcBorders>
              <w:top w:val="single" w:sz="4" w:space="0" w:color="auto"/>
              <w:left w:val="single" w:sz="4" w:space="0" w:color="auto"/>
              <w:bottom w:val="single" w:sz="4" w:space="0" w:color="auto"/>
              <w:right w:val="single" w:sz="4" w:space="0" w:color="auto"/>
            </w:tcBorders>
            <w:vAlign w:val="center"/>
            <w:hideMark/>
          </w:tcPr>
          <w:p w14:paraId="17196A8F"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9.1</w:t>
            </w:r>
          </w:p>
        </w:tc>
        <w:tc>
          <w:tcPr>
            <w:tcW w:w="1609" w:type="dxa"/>
            <w:tcBorders>
              <w:top w:val="single" w:sz="4" w:space="0" w:color="auto"/>
              <w:left w:val="single" w:sz="4" w:space="0" w:color="auto"/>
              <w:bottom w:val="single" w:sz="4" w:space="0" w:color="auto"/>
              <w:right w:val="single" w:sz="4" w:space="0" w:color="auto"/>
            </w:tcBorders>
            <w:vAlign w:val="center"/>
            <w:hideMark/>
          </w:tcPr>
          <w:p w14:paraId="4519AF7D"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15.6</w:t>
            </w:r>
          </w:p>
        </w:tc>
        <w:tc>
          <w:tcPr>
            <w:tcW w:w="1608" w:type="dxa"/>
            <w:tcBorders>
              <w:top w:val="single" w:sz="4" w:space="0" w:color="auto"/>
              <w:left w:val="single" w:sz="4" w:space="0" w:color="auto"/>
              <w:bottom w:val="single" w:sz="4" w:space="0" w:color="auto"/>
              <w:right w:val="single" w:sz="4" w:space="0" w:color="auto"/>
            </w:tcBorders>
            <w:vAlign w:val="center"/>
            <w:hideMark/>
          </w:tcPr>
          <w:p w14:paraId="056E2974"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24.1</w:t>
            </w:r>
          </w:p>
        </w:tc>
      </w:tr>
      <w:tr w:rsidR="005C7457" w:rsidRPr="009F350F" w14:paraId="3DFBA262" w14:textId="77777777" w:rsidTr="00C2186F">
        <w:trPr>
          <w:trHeight w:val="707"/>
        </w:trPr>
        <w:tc>
          <w:tcPr>
            <w:tcW w:w="867" w:type="dxa"/>
            <w:tcBorders>
              <w:top w:val="single" w:sz="4" w:space="0" w:color="auto"/>
              <w:left w:val="single" w:sz="4" w:space="0" w:color="auto"/>
              <w:bottom w:val="single" w:sz="4" w:space="0" w:color="auto"/>
              <w:right w:val="single" w:sz="4" w:space="0" w:color="auto"/>
            </w:tcBorders>
            <w:vAlign w:val="center"/>
            <w:hideMark/>
          </w:tcPr>
          <w:p w14:paraId="19300561"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rPr>
            </w:pPr>
            <w:r w:rsidRPr="009F350F">
              <w:rPr>
                <w:rFonts w:ascii="Times New Roman" w:eastAsiaTheme="minorHAnsi" w:hAnsi="Times New Roman"/>
                <w:b/>
                <w:color w:val="000000" w:themeColor="text1"/>
                <w:kern w:val="0"/>
                <w:sz w:val="22"/>
                <w:szCs w:val="22"/>
              </w:rPr>
              <w:t>2.</w:t>
            </w:r>
          </w:p>
        </w:tc>
        <w:tc>
          <w:tcPr>
            <w:tcW w:w="1863" w:type="dxa"/>
            <w:tcBorders>
              <w:top w:val="single" w:sz="4" w:space="0" w:color="auto"/>
              <w:left w:val="single" w:sz="4" w:space="0" w:color="auto"/>
              <w:bottom w:val="single" w:sz="4" w:space="0" w:color="auto"/>
              <w:right w:val="single" w:sz="4" w:space="0" w:color="auto"/>
            </w:tcBorders>
            <w:vAlign w:val="center"/>
            <w:hideMark/>
          </w:tcPr>
          <w:p w14:paraId="624B082B"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rPr>
            </w:pPr>
            <w:r w:rsidRPr="009F350F">
              <w:rPr>
                <w:rFonts w:ascii="Times New Roman" w:eastAsiaTheme="minorHAnsi" w:hAnsi="Times New Roman"/>
                <w:b/>
                <w:color w:val="000000" w:themeColor="text1"/>
                <w:kern w:val="0"/>
                <w:sz w:val="22"/>
                <w:szCs w:val="22"/>
              </w:rPr>
              <w:t>8</w:t>
            </w:r>
            <w:r w:rsidRPr="009F350F">
              <w:rPr>
                <w:rFonts w:ascii="Times New Roman" w:eastAsiaTheme="minorHAnsi" w:hAnsi="Times New Roman"/>
                <w:b/>
                <w:color w:val="000000" w:themeColor="text1"/>
                <w:kern w:val="0"/>
                <w:sz w:val="22"/>
                <w:szCs w:val="22"/>
                <w:vertAlign w:val="superscript"/>
              </w:rPr>
              <w:t>th</w:t>
            </w:r>
            <w:r w:rsidRPr="009F350F">
              <w:rPr>
                <w:rFonts w:ascii="Times New Roman" w:eastAsiaTheme="minorHAnsi" w:hAnsi="Times New Roman"/>
                <w:b/>
                <w:color w:val="000000" w:themeColor="text1"/>
                <w:kern w:val="0"/>
                <w:sz w:val="22"/>
                <w:szCs w:val="22"/>
              </w:rPr>
              <w:t xml:space="preserve"> June</w:t>
            </w:r>
          </w:p>
        </w:tc>
        <w:tc>
          <w:tcPr>
            <w:tcW w:w="1866" w:type="dxa"/>
            <w:tcBorders>
              <w:top w:val="single" w:sz="4" w:space="0" w:color="auto"/>
              <w:left w:val="single" w:sz="4" w:space="0" w:color="auto"/>
              <w:bottom w:val="single" w:sz="4" w:space="0" w:color="auto"/>
              <w:right w:val="single" w:sz="4" w:space="0" w:color="auto"/>
            </w:tcBorders>
            <w:vAlign w:val="center"/>
            <w:hideMark/>
          </w:tcPr>
          <w:p w14:paraId="738540B8"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12.1</w:t>
            </w:r>
          </w:p>
        </w:tc>
        <w:tc>
          <w:tcPr>
            <w:tcW w:w="1465" w:type="dxa"/>
            <w:tcBorders>
              <w:top w:val="single" w:sz="4" w:space="0" w:color="auto"/>
              <w:left w:val="single" w:sz="4" w:space="0" w:color="auto"/>
              <w:bottom w:val="single" w:sz="4" w:space="0" w:color="auto"/>
              <w:right w:val="single" w:sz="4" w:space="0" w:color="auto"/>
            </w:tcBorders>
            <w:vAlign w:val="center"/>
            <w:hideMark/>
          </w:tcPr>
          <w:p w14:paraId="5A10D0A6"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19.5</w:t>
            </w:r>
          </w:p>
        </w:tc>
        <w:tc>
          <w:tcPr>
            <w:tcW w:w="1402" w:type="dxa"/>
            <w:tcBorders>
              <w:top w:val="single" w:sz="4" w:space="0" w:color="auto"/>
              <w:left w:val="single" w:sz="4" w:space="0" w:color="auto"/>
              <w:bottom w:val="single" w:sz="4" w:space="0" w:color="auto"/>
              <w:right w:val="single" w:sz="4" w:space="0" w:color="auto"/>
            </w:tcBorders>
            <w:vAlign w:val="center"/>
            <w:hideMark/>
          </w:tcPr>
          <w:p w14:paraId="5221493E"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31.2</w:t>
            </w:r>
          </w:p>
        </w:tc>
        <w:tc>
          <w:tcPr>
            <w:tcW w:w="1897" w:type="dxa"/>
            <w:tcBorders>
              <w:top w:val="single" w:sz="4" w:space="0" w:color="auto"/>
              <w:left w:val="single" w:sz="4" w:space="0" w:color="auto"/>
              <w:bottom w:val="single" w:sz="4" w:space="0" w:color="auto"/>
              <w:right w:val="single" w:sz="4" w:space="0" w:color="auto"/>
            </w:tcBorders>
            <w:vAlign w:val="center"/>
            <w:hideMark/>
          </w:tcPr>
          <w:p w14:paraId="6203C0AA"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rPr>
            </w:pPr>
            <w:r w:rsidRPr="009F350F">
              <w:rPr>
                <w:rFonts w:ascii="Times New Roman" w:eastAsiaTheme="minorHAnsi" w:hAnsi="Times New Roman"/>
                <w:b/>
                <w:color w:val="000000" w:themeColor="text1"/>
                <w:kern w:val="0"/>
                <w:sz w:val="22"/>
                <w:szCs w:val="22"/>
              </w:rPr>
              <w:t>8</w:t>
            </w:r>
            <w:r w:rsidRPr="009F350F">
              <w:rPr>
                <w:rFonts w:ascii="Times New Roman" w:eastAsiaTheme="minorHAnsi" w:hAnsi="Times New Roman"/>
                <w:b/>
                <w:color w:val="000000" w:themeColor="text1"/>
                <w:kern w:val="0"/>
                <w:sz w:val="22"/>
                <w:szCs w:val="22"/>
                <w:vertAlign w:val="superscript"/>
              </w:rPr>
              <w:t>th</w:t>
            </w:r>
            <w:r w:rsidRPr="009F350F">
              <w:rPr>
                <w:rFonts w:ascii="Times New Roman" w:eastAsiaTheme="minorHAnsi" w:hAnsi="Times New Roman"/>
                <w:b/>
                <w:color w:val="000000" w:themeColor="text1"/>
                <w:kern w:val="0"/>
                <w:sz w:val="22"/>
                <w:szCs w:val="22"/>
              </w:rPr>
              <w:t xml:space="preserve"> June</w:t>
            </w:r>
          </w:p>
        </w:tc>
        <w:tc>
          <w:tcPr>
            <w:tcW w:w="1609" w:type="dxa"/>
            <w:tcBorders>
              <w:top w:val="single" w:sz="4" w:space="0" w:color="auto"/>
              <w:left w:val="single" w:sz="4" w:space="0" w:color="auto"/>
              <w:bottom w:val="single" w:sz="4" w:space="0" w:color="auto"/>
              <w:right w:val="single" w:sz="4" w:space="0" w:color="auto"/>
            </w:tcBorders>
            <w:vAlign w:val="center"/>
            <w:hideMark/>
          </w:tcPr>
          <w:p w14:paraId="45031E3D"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13.5</w:t>
            </w:r>
          </w:p>
        </w:tc>
        <w:tc>
          <w:tcPr>
            <w:tcW w:w="1609" w:type="dxa"/>
            <w:tcBorders>
              <w:top w:val="single" w:sz="4" w:space="0" w:color="auto"/>
              <w:left w:val="single" w:sz="4" w:space="0" w:color="auto"/>
              <w:bottom w:val="single" w:sz="4" w:space="0" w:color="auto"/>
              <w:right w:val="single" w:sz="4" w:space="0" w:color="auto"/>
            </w:tcBorders>
            <w:vAlign w:val="center"/>
            <w:hideMark/>
          </w:tcPr>
          <w:p w14:paraId="23ABD3E4"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21.3</w:t>
            </w:r>
          </w:p>
        </w:tc>
        <w:tc>
          <w:tcPr>
            <w:tcW w:w="1608" w:type="dxa"/>
            <w:tcBorders>
              <w:top w:val="single" w:sz="4" w:space="0" w:color="auto"/>
              <w:left w:val="single" w:sz="4" w:space="0" w:color="auto"/>
              <w:bottom w:val="single" w:sz="4" w:space="0" w:color="auto"/>
              <w:right w:val="single" w:sz="4" w:space="0" w:color="auto"/>
            </w:tcBorders>
            <w:vAlign w:val="center"/>
            <w:hideMark/>
          </w:tcPr>
          <w:p w14:paraId="11ECA17B"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33.8</w:t>
            </w:r>
          </w:p>
        </w:tc>
      </w:tr>
      <w:tr w:rsidR="005C7457" w:rsidRPr="009F350F" w14:paraId="05E370EC" w14:textId="77777777" w:rsidTr="00C2186F">
        <w:trPr>
          <w:trHeight w:val="707"/>
        </w:trPr>
        <w:tc>
          <w:tcPr>
            <w:tcW w:w="867" w:type="dxa"/>
            <w:tcBorders>
              <w:top w:val="single" w:sz="4" w:space="0" w:color="auto"/>
              <w:left w:val="single" w:sz="4" w:space="0" w:color="auto"/>
              <w:bottom w:val="single" w:sz="4" w:space="0" w:color="auto"/>
              <w:right w:val="single" w:sz="4" w:space="0" w:color="auto"/>
            </w:tcBorders>
            <w:vAlign w:val="center"/>
            <w:hideMark/>
          </w:tcPr>
          <w:p w14:paraId="79915401"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rPr>
            </w:pPr>
            <w:r w:rsidRPr="009F350F">
              <w:rPr>
                <w:rFonts w:ascii="Times New Roman" w:eastAsiaTheme="minorHAnsi" w:hAnsi="Times New Roman"/>
                <w:b/>
                <w:color w:val="000000" w:themeColor="text1"/>
                <w:kern w:val="0"/>
                <w:sz w:val="22"/>
                <w:szCs w:val="22"/>
              </w:rPr>
              <w:t>3.</w:t>
            </w:r>
          </w:p>
        </w:tc>
        <w:tc>
          <w:tcPr>
            <w:tcW w:w="1863" w:type="dxa"/>
            <w:tcBorders>
              <w:top w:val="single" w:sz="4" w:space="0" w:color="auto"/>
              <w:left w:val="single" w:sz="4" w:space="0" w:color="auto"/>
              <w:bottom w:val="single" w:sz="4" w:space="0" w:color="auto"/>
              <w:right w:val="single" w:sz="4" w:space="0" w:color="auto"/>
            </w:tcBorders>
            <w:vAlign w:val="center"/>
            <w:hideMark/>
          </w:tcPr>
          <w:p w14:paraId="5750925D"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rPr>
            </w:pPr>
            <w:r w:rsidRPr="009F350F">
              <w:rPr>
                <w:rFonts w:ascii="Times New Roman" w:eastAsiaTheme="minorHAnsi" w:hAnsi="Times New Roman"/>
                <w:b/>
                <w:color w:val="000000" w:themeColor="text1"/>
                <w:kern w:val="0"/>
                <w:sz w:val="22"/>
                <w:szCs w:val="22"/>
              </w:rPr>
              <w:t>15</w:t>
            </w:r>
            <w:r w:rsidRPr="009F350F">
              <w:rPr>
                <w:rFonts w:ascii="Times New Roman" w:eastAsiaTheme="minorHAnsi" w:hAnsi="Times New Roman"/>
                <w:b/>
                <w:color w:val="000000" w:themeColor="text1"/>
                <w:kern w:val="0"/>
                <w:sz w:val="22"/>
                <w:szCs w:val="22"/>
                <w:vertAlign w:val="superscript"/>
              </w:rPr>
              <w:t>th</w:t>
            </w:r>
            <w:r w:rsidRPr="009F350F">
              <w:rPr>
                <w:rFonts w:ascii="Times New Roman" w:eastAsiaTheme="minorHAnsi" w:hAnsi="Times New Roman"/>
                <w:b/>
                <w:color w:val="000000" w:themeColor="text1"/>
                <w:kern w:val="0"/>
                <w:sz w:val="22"/>
                <w:szCs w:val="22"/>
              </w:rPr>
              <w:t xml:space="preserve"> June</w:t>
            </w:r>
          </w:p>
        </w:tc>
        <w:tc>
          <w:tcPr>
            <w:tcW w:w="1866" w:type="dxa"/>
            <w:tcBorders>
              <w:top w:val="single" w:sz="4" w:space="0" w:color="auto"/>
              <w:left w:val="single" w:sz="4" w:space="0" w:color="auto"/>
              <w:bottom w:val="single" w:sz="4" w:space="0" w:color="auto"/>
              <w:right w:val="single" w:sz="4" w:space="0" w:color="auto"/>
            </w:tcBorders>
            <w:vAlign w:val="center"/>
            <w:hideMark/>
          </w:tcPr>
          <w:p w14:paraId="490BD81F"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18.5</w:t>
            </w:r>
          </w:p>
        </w:tc>
        <w:tc>
          <w:tcPr>
            <w:tcW w:w="1465" w:type="dxa"/>
            <w:tcBorders>
              <w:top w:val="single" w:sz="4" w:space="0" w:color="auto"/>
              <w:left w:val="single" w:sz="4" w:space="0" w:color="auto"/>
              <w:bottom w:val="single" w:sz="4" w:space="0" w:color="auto"/>
              <w:right w:val="single" w:sz="4" w:space="0" w:color="auto"/>
            </w:tcBorders>
            <w:vAlign w:val="center"/>
            <w:hideMark/>
          </w:tcPr>
          <w:p w14:paraId="666EEB09"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28.4</w:t>
            </w:r>
          </w:p>
        </w:tc>
        <w:tc>
          <w:tcPr>
            <w:tcW w:w="1402" w:type="dxa"/>
            <w:tcBorders>
              <w:top w:val="single" w:sz="4" w:space="0" w:color="auto"/>
              <w:left w:val="single" w:sz="4" w:space="0" w:color="auto"/>
              <w:bottom w:val="single" w:sz="4" w:space="0" w:color="auto"/>
              <w:right w:val="single" w:sz="4" w:space="0" w:color="auto"/>
            </w:tcBorders>
            <w:vAlign w:val="center"/>
            <w:hideMark/>
          </w:tcPr>
          <w:p w14:paraId="483BA6F0"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44.6</w:t>
            </w:r>
          </w:p>
        </w:tc>
        <w:tc>
          <w:tcPr>
            <w:tcW w:w="1897" w:type="dxa"/>
            <w:tcBorders>
              <w:top w:val="single" w:sz="4" w:space="0" w:color="auto"/>
              <w:left w:val="single" w:sz="4" w:space="0" w:color="auto"/>
              <w:bottom w:val="single" w:sz="4" w:space="0" w:color="auto"/>
              <w:right w:val="single" w:sz="4" w:space="0" w:color="auto"/>
            </w:tcBorders>
            <w:vAlign w:val="center"/>
            <w:hideMark/>
          </w:tcPr>
          <w:p w14:paraId="338029E4"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rPr>
            </w:pPr>
            <w:r w:rsidRPr="009F350F">
              <w:rPr>
                <w:rFonts w:ascii="Times New Roman" w:eastAsiaTheme="minorHAnsi" w:hAnsi="Times New Roman"/>
                <w:b/>
                <w:color w:val="000000" w:themeColor="text1"/>
                <w:kern w:val="0"/>
                <w:sz w:val="22"/>
                <w:szCs w:val="22"/>
              </w:rPr>
              <w:t>15</w:t>
            </w:r>
            <w:r w:rsidRPr="009F350F">
              <w:rPr>
                <w:rFonts w:ascii="Times New Roman" w:eastAsiaTheme="minorHAnsi" w:hAnsi="Times New Roman"/>
                <w:b/>
                <w:color w:val="000000" w:themeColor="text1"/>
                <w:kern w:val="0"/>
                <w:sz w:val="22"/>
                <w:szCs w:val="22"/>
                <w:vertAlign w:val="superscript"/>
              </w:rPr>
              <w:t>th</w:t>
            </w:r>
            <w:r w:rsidRPr="009F350F">
              <w:rPr>
                <w:rFonts w:ascii="Times New Roman" w:eastAsiaTheme="minorHAnsi" w:hAnsi="Times New Roman"/>
                <w:b/>
                <w:color w:val="000000" w:themeColor="text1"/>
                <w:kern w:val="0"/>
                <w:sz w:val="22"/>
                <w:szCs w:val="22"/>
              </w:rPr>
              <w:t xml:space="preserve"> June</w:t>
            </w:r>
          </w:p>
        </w:tc>
        <w:tc>
          <w:tcPr>
            <w:tcW w:w="1609" w:type="dxa"/>
            <w:tcBorders>
              <w:top w:val="single" w:sz="4" w:space="0" w:color="auto"/>
              <w:left w:val="single" w:sz="4" w:space="0" w:color="auto"/>
              <w:bottom w:val="single" w:sz="4" w:space="0" w:color="auto"/>
              <w:right w:val="single" w:sz="4" w:space="0" w:color="auto"/>
            </w:tcBorders>
            <w:vAlign w:val="center"/>
            <w:hideMark/>
          </w:tcPr>
          <w:p w14:paraId="56D3EE76"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19.2</w:t>
            </w:r>
          </w:p>
        </w:tc>
        <w:tc>
          <w:tcPr>
            <w:tcW w:w="1609" w:type="dxa"/>
            <w:tcBorders>
              <w:top w:val="single" w:sz="4" w:space="0" w:color="auto"/>
              <w:left w:val="single" w:sz="4" w:space="0" w:color="auto"/>
              <w:bottom w:val="single" w:sz="4" w:space="0" w:color="auto"/>
              <w:right w:val="single" w:sz="4" w:space="0" w:color="auto"/>
            </w:tcBorders>
            <w:vAlign w:val="center"/>
            <w:hideMark/>
          </w:tcPr>
          <w:p w14:paraId="1B700E85"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30.1</w:t>
            </w:r>
          </w:p>
        </w:tc>
        <w:tc>
          <w:tcPr>
            <w:tcW w:w="1608" w:type="dxa"/>
            <w:tcBorders>
              <w:top w:val="single" w:sz="4" w:space="0" w:color="auto"/>
              <w:left w:val="single" w:sz="4" w:space="0" w:color="auto"/>
              <w:bottom w:val="single" w:sz="4" w:space="0" w:color="auto"/>
              <w:right w:val="single" w:sz="4" w:space="0" w:color="auto"/>
            </w:tcBorders>
            <w:vAlign w:val="center"/>
            <w:hideMark/>
          </w:tcPr>
          <w:p w14:paraId="34E9BC24"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46.5</w:t>
            </w:r>
          </w:p>
        </w:tc>
      </w:tr>
      <w:tr w:rsidR="005C7457" w:rsidRPr="009F350F" w14:paraId="292988BA" w14:textId="77777777" w:rsidTr="00C2186F">
        <w:trPr>
          <w:trHeight w:val="707"/>
        </w:trPr>
        <w:tc>
          <w:tcPr>
            <w:tcW w:w="867" w:type="dxa"/>
            <w:tcBorders>
              <w:top w:val="single" w:sz="4" w:space="0" w:color="auto"/>
              <w:left w:val="single" w:sz="4" w:space="0" w:color="auto"/>
              <w:bottom w:val="single" w:sz="4" w:space="0" w:color="auto"/>
              <w:right w:val="single" w:sz="4" w:space="0" w:color="auto"/>
            </w:tcBorders>
            <w:vAlign w:val="center"/>
            <w:hideMark/>
          </w:tcPr>
          <w:p w14:paraId="016FB7EC"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rPr>
            </w:pPr>
            <w:r w:rsidRPr="009F350F">
              <w:rPr>
                <w:rFonts w:ascii="Times New Roman" w:eastAsiaTheme="minorHAnsi" w:hAnsi="Times New Roman"/>
                <w:b/>
                <w:color w:val="000000" w:themeColor="text1"/>
                <w:kern w:val="0"/>
                <w:sz w:val="22"/>
                <w:szCs w:val="22"/>
              </w:rPr>
              <w:t>4.</w:t>
            </w:r>
          </w:p>
        </w:tc>
        <w:tc>
          <w:tcPr>
            <w:tcW w:w="1863" w:type="dxa"/>
            <w:tcBorders>
              <w:top w:val="single" w:sz="4" w:space="0" w:color="auto"/>
              <w:left w:val="single" w:sz="4" w:space="0" w:color="auto"/>
              <w:bottom w:val="single" w:sz="4" w:space="0" w:color="auto"/>
              <w:right w:val="single" w:sz="4" w:space="0" w:color="auto"/>
            </w:tcBorders>
            <w:vAlign w:val="center"/>
            <w:hideMark/>
          </w:tcPr>
          <w:p w14:paraId="35EF9654"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rPr>
            </w:pPr>
            <w:r w:rsidRPr="009F350F">
              <w:rPr>
                <w:rFonts w:ascii="Times New Roman" w:eastAsiaTheme="minorHAnsi" w:hAnsi="Times New Roman"/>
                <w:b/>
                <w:color w:val="000000" w:themeColor="text1"/>
                <w:kern w:val="0"/>
                <w:sz w:val="22"/>
                <w:szCs w:val="22"/>
              </w:rPr>
              <w:t>22</w:t>
            </w:r>
            <w:r w:rsidRPr="009F350F">
              <w:rPr>
                <w:rFonts w:ascii="Times New Roman" w:eastAsiaTheme="minorHAnsi" w:hAnsi="Times New Roman"/>
                <w:b/>
                <w:color w:val="000000" w:themeColor="text1"/>
                <w:kern w:val="0"/>
                <w:sz w:val="22"/>
                <w:szCs w:val="22"/>
                <w:vertAlign w:val="superscript"/>
              </w:rPr>
              <w:t>nd</w:t>
            </w:r>
            <w:r w:rsidRPr="009F350F">
              <w:rPr>
                <w:rFonts w:ascii="Times New Roman" w:eastAsiaTheme="minorHAnsi" w:hAnsi="Times New Roman"/>
                <w:b/>
                <w:color w:val="000000" w:themeColor="text1"/>
                <w:kern w:val="0"/>
                <w:sz w:val="22"/>
                <w:szCs w:val="22"/>
              </w:rPr>
              <w:t xml:space="preserve"> June</w:t>
            </w:r>
          </w:p>
        </w:tc>
        <w:tc>
          <w:tcPr>
            <w:tcW w:w="1866" w:type="dxa"/>
            <w:tcBorders>
              <w:top w:val="single" w:sz="4" w:space="0" w:color="auto"/>
              <w:left w:val="single" w:sz="4" w:space="0" w:color="auto"/>
              <w:bottom w:val="single" w:sz="4" w:space="0" w:color="auto"/>
              <w:right w:val="single" w:sz="4" w:space="0" w:color="auto"/>
            </w:tcBorders>
            <w:vAlign w:val="center"/>
            <w:hideMark/>
          </w:tcPr>
          <w:p w14:paraId="4366D3D5"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25.3</w:t>
            </w:r>
          </w:p>
        </w:tc>
        <w:tc>
          <w:tcPr>
            <w:tcW w:w="1465" w:type="dxa"/>
            <w:tcBorders>
              <w:top w:val="single" w:sz="4" w:space="0" w:color="auto"/>
              <w:left w:val="single" w:sz="4" w:space="0" w:color="auto"/>
              <w:bottom w:val="single" w:sz="4" w:space="0" w:color="auto"/>
              <w:right w:val="single" w:sz="4" w:space="0" w:color="auto"/>
            </w:tcBorders>
            <w:vAlign w:val="center"/>
            <w:hideMark/>
          </w:tcPr>
          <w:p w14:paraId="5AD963F9"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39.1</w:t>
            </w:r>
          </w:p>
        </w:tc>
        <w:tc>
          <w:tcPr>
            <w:tcW w:w="1402" w:type="dxa"/>
            <w:tcBorders>
              <w:top w:val="single" w:sz="4" w:space="0" w:color="auto"/>
              <w:left w:val="single" w:sz="4" w:space="0" w:color="auto"/>
              <w:bottom w:val="single" w:sz="4" w:space="0" w:color="auto"/>
              <w:right w:val="single" w:sz="4" w:space="0" w:color="auto"/>
            </w:tcBorders>
            <w:vAlign w:val="center"/>
            <w:hideMark/>
          </w:tcPr>
          <w:p w14:paraId="60DD403D"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58.2</w:t>
            </w:r>
          </w:p>
        </w:tc>
        <w:tc>
          <w:tcPr>
            <w:tcW w:w="1897" w:type="dxa"/>
            <w:tcBorders>
              <w:top w:val="single" w:sz="4" w:space="0" w:color="auto"/>
              <w:left w:val="single" w:sz="4" w:space="0" w:color="auto"/>
              <w:bottom w:val="single" w:sz="4" w:space="0" w:color="auto"/>
              <w:right w:val="single" w:sz="4" w:space="0" w:color="auto"/>
            </w:tcBorders>
            <w:vAlign w:val="center"/>
            <w:hideMark/>
          </w:tcPr>
          <w:p w14:paraId="22F65CDF"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rPr>
            </w:pPr>
            <w:r w:rsidRPr="009F350F">
              <w:rPr>
                <w:rFonts w:ascii="Times New Roman" w:eastAsiaTheme="minorHAnsi" w:hAnsi="Times New Roman"/>
                <w:b/>
                <w:color w:val="000000" w:themeColor="text1"/>
                <w:kern w:val="0"/>
                <w:sz w:val="22"/>
                <w:szCs w:val="22"/>
              </w:rPr>
              <w:t>22</w:t>
            </w:r>
            <w:r w:rsidRPr="009F350F">
              <w:rPr>
                <w:rFonts w:ascii="Times New Roman" w:eastAsiaTheme="minorHAnsi" w:hAnsi="Times New Roman"/>
                <w:b/>
                <w:color w:val="000000" w:themeColor="text1"/>
                <w:kern w:val="0"/>
                <w:sz w:val="22"/>
                <w:szCs w:val="22"/>
                <w:vertAlign w:val="superscript"/>
              </w:rPr>
              <w:t>nd</w:t>
            </w:r>
            <w:r w:rsidRPr="009F350F">
              <w:rPr>
                <w:rFonts w:ascii="Times New Roman" w:eastAsiaTheme="minorHAnsi" w:hAnsi="Times New Roman"/>
                <w:b/>
                <w:color w:val="000000" w:themeColor="text1"/>
                <w:kern w:val="0"/>
                <w:sz w:val="22"/>
                <w:szCs w:val="22"/>
              </w:rPr>
              <w:t xml:space="preserve"> June</w:t>
            </w:r>
          </w:p>
        </w:tc>
        <w:tc>
          <w:tcPr>
            <w:tcW w:w="1609" w:type="dxa"/>
            <w:tcBorders>
              <w:top w:val="single" w:sz="4" w:space="0" w:color="auto"/>
              <w:left w:val="single" w:sz="4" w:space="0" w:color="auto"/>
              <w:bottom w:val="single" w:sz="4" w:space="0" w:color="auto"/>
              <w:right w:val="single" w:sz="4" w:space="0" w:color="auto"/>
            </w:tcBorders>
            <w:vAlign w:val="center"/>
            <w:hideMark/>
          </w:tcPr>
          <w:p w14:paraId="6055A263"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27.8</w:t>
            </w:r>
          </w:p>
        </w:tc>
        <w:tc>
          <w:tcPr>
            <w:tcW w:w="1609" w:type="dxa"/>
            <w:tcBorders>
              <w:top w:val="single" w:sz="4" w:space="0" w:color="auto"/>
              <w:left w:val="single" w:sz="4" w:space="0" w:color="auto"/>
              <w:bottom w:val="single" w:sz="4" w:space="0" w:color="auto"/>
              <w:right w:val="single" w:sz="4" w:space="0" w:color="auto"/>
            </w:tcBorders>
            <w:vAlign w:val="center"/>
            <w:hideMark/>
          </w:tcPr>
          <w:p w14:paraId="5043A5D4"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42.5</w:t>
            </w:r>
          </w:p>
        </w:tc>
        <w:tc>
          <w:tcPr>
            <w:tcW w:w="1608" w:type="dxa"/>
            <w:tcBorders>
              <w:top w:val="single" w:sz="4" w:space="0" w:color="auto"/>
              <w:left w:val="single" w:sz="4" w:space="0" w:color="auto"/>
              <w:bottom w:val="single" w:sz="4" w:space="0" w:color="auto"/>
              <w:right w:val="single" w:sz="4" w:space="0" w:color="auto"/>
            </w:tcBorders>
            <w:vAlign w:val="center"/>
            <w:hideMark/>
          </w:tcPr>
          <w:p w14:paraId="4E3D8524"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61.3</w:t>
            </w:r>
          </w:p>
        </w:tc>
      </w:tr>
      <w:tr w:rsidR="005C7457" w:rsidRPr="009F350F" w14:paraId="69152048" w14:textId="77777777" w:rsidTr="00C2186F">
        <w:trPr>
          <w:trHeight w:val="685"/>
        </w:trPr>
        <w:tc>
          <w:tcPr>
            <w:tcW w:w="867" w:type="dxa"/>
            <w:tcBorders>
              <w:top w:val="single" w:sz="4" w:space="0" w:color="auto"/>
              <w:left w:val="single" w:sz="4" w:space="0" w:color="auto"/>
              <w:bottom w:val="single" w:sz="4" w:space="0" w:color="auto"/>
              <w:right w:val="single" w:sz="4" w:space="0" w:color="auto"/>
            </w:tcBorders>
            <w:vAlign w:val="center"/>
            <w:hideMark/>
          </w:tcPr>
          <w:p w14:paraId="396F0875"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rPr>
            </w:pPr>
            <w:r w:rsidRPr="009F350F">
              <w:rPr>
                <w:rFonts w:ascii="Times New Roman" w:eastAsiaTheme="minorHAnsi" w:hAnsi="Times New Roman"/>
                <w:b/>
                <w:color w:val="000000" w:themeColor="text1"/>
                <w:kern w:val="0"/>
                <w:sz w:val="22"/>
                <w:szCs w:val="22"/>
              </w:rPr>
              <w:lastRenderedPageBreak/>
              <w:t>5.</w:t>
            </w:r>
          </w:p>
        </w:tc>
        <w:tc>
          <w:tcPr>
            <w:tcW w:w="1863" w:type="dxa"/>
            <w:tcBorders>
              <w:top w:val="single" w:sz="4" w:space="0" w:color="auto"/>
              <w:left w:val="single" w:sz="4" w:space="0" w:color="auto"/>
              <w:bottom w:val="single" w:sz="4" w:space="0" w:color="auto"/>
              <w:right w:val="single" w:sz="4" w:space="0" w:color="auto"/>
            </w:tcBorders>
            <w:vAlign w:val="center"/>
            <w:hideMark/>
          </w:tcPr>
          <w:p w14:paraId="73A455E1"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rPr>
            </w:pPr>
            <w:r w:rsidRPr="009F350F">
              <w:rPr>
                <w:rFonts w:ascii="Times New Roman" w:eastAsiaTheme="minorHAnsi" w:hAnsi="Times New Roman"/>
                <w:b/>
                <w:color w:val="000000" w:themeColor="text1"/>
                <w:kern w:val="0"/>
                <w:sz w:val="22"/>
                <w:szCs w:val="22"/>
              </w:rPr>
              <w:t>29</w:t>
            </w:r>
            <w:r w:rsidRPr="009F350F">
              <w:rPr>
                <w:rFonts w:ascii="Times New Roman" w:eastAsiaTheme="minorHAnsi" w:hAnsi="Times New Roman"/>
                <w:b/>
                <w:color w:val="000000" w:themeColor="text1"/>
                <w:kern w:val="0"/>
                <w:sz w:val="22"/>
                <w:szCs w:val="22"/>
                <w:vertAlign w:val="superscript"/>
              </w:rPr>
              <w:t>th</w:t>
            </w:r>
            <w:r w:rsidRPr="009F350F">
              <w:rPr>
                <w:rFonts w:ascii="Times New Roman" w:eastAsiaTheme="minorHAnsi" w:hAnsi="Times New Roman"/>
                <w:b/>
                <w:color w:val="000000" w:themeColor="text1"/>
                <w:kern w:val="0"/>
                <w:sz w:val="22"/>
                <w:szCs w:val="22"/>
              </w:rPr>
              <w:t xml:space="preserve"> June</w:t>
            </w:r>
          </w:p>
        </w:tc>
        <w:tc>
          <w:tcPr>
            <w:tcW w:w="1866" w:type="dxa"/>
            <w:tcBorders>
              <w:top w:val="single" w:sz="4" w:space="0" w:color="auto"/>
              <w:left w:val="single" w:sz="4" w:space="0" w:color="auto"/>
              <w:bottom w:val="single" w:sz="4" w:space="0" w:color="auto"/>
              <w:right w:val="single" w:sz="4" w:space="0" w:color="auto"/>
            </w:tcBorders>
            <w:vAlign w:val="center"/>
            <w:hideMark/>
          </w:tcPr>
          <w:p w14:paraId="027F8FBA"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33.7</w:t>
            </w:r>
          </w:p>
        </w:tc>
        <w:tc>
          <w:tcPr>
            <w:tcW w:w="1465" w:type="dxa"/>
            <w:tcBorders>
              <w:top w:val="single" w:sz="4" w:space="0" w:color="auto"/>
              <w:left w:val="single" w:sz="4" w:space="0" w:color="auto"/>
              <w:bottom w:val="single" w:sz="4" w:space="0" w:color="auto"/>
              <w:right w:val="single" w:sz="4" w:space="0" w:color="auto"/>
            </w:tcBorders>
            <w:vAlign w:val="center"/>
            <w:hideMark/>
          </w:tcPr>
          <w:p w14:paraId="72B99720"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51.4</w:t>
            </w:r>
          </w:p>
        </w:tc>
        <w:tc>
          <w:tcPr>
            <w:tcW w:w="1402" w:type="dxa"/>
            <w:tcBorders>
              <w:top w:val="single" w:sz="4" w:space="0" w:color="auto"/>
              <w:left w:val="single" w:sz="4" w:space="0" w:color="auto"/>
              <w:bottom w:val="single" w:sz="4" w:space="0" w:color="auto"/>
              <w:right w:val="single" w:sz="4" w:space="0" w:color="auto"/>
            </w:tcBorders>
            <w:vAlign w:val="center"/>
            <w:hideMark/>
          </w:tcPr>
          <w:p w14:paraId="54E7AE8C"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72.8</w:t>
            </w:r>
          </w:p>
        </w:tc>
        <w:tc>
          <w:tcPr>
            <w:tcW w:w="1897" w:type="dxa"/>
            <w:tcBorders>
              <w:top w:val="single" w:sz="4" w:space="0" w:color="auto"/>
              <w:left w:val="single" w:sz="4" w:space="0" w:color="auto"/>
              <w:bottom w:val="single" w:sz="4" w:space="0" w:color="auto"/>
              <w:right w:val="single" w:sz="4" w:space="0" w:color="auto"/>
            </w:tcBorders>
            <w:vAlign w:val="center"/>
            <w:hideMark/>
          </w:tcPr>
          <w:p w14:paraId="57200E72"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rPr>
            </w:pPr>
            <w:r w:rsidRPr="009F350F">
              <w:rPr>
                <w:rFonts w:ascii="Times New Roman" w:eastAsiaTheme="minorHAnsi" w:hAnsi="Times New Roman"/>
                <w:b/>
                <w:color w:val="000000" w:themeColor="text1"/>
                <w:kern w:val="0"/>
                <w:sz w:val="22"/>
                <w:szCs w:val="22"/>
              </w:rPr>
              <w:t>29</w:t>
            </w:r>
            <w:r w:rsidRPr="009F350F">
              <w:rPr>
                <w:rFonts w:ascii="Times New Roman" w:eastAsiaTheme="minorHAnsi" w:hAnsi="Times New Roman"/>
                <w:b/>
                <w:color w:val="000000" w:themeColor="text1"/>
                <w:kern w:val="0"/>
                <w:sz w:val="22"/>
                <w:szCs w:val="22"/>
                <w:vertAlign w:val="superscript"/>
              </w:rPr>
              <w:t>th</w:t>
            </w:r>
            <w:r w:rsidRPr="009F350F">
              <w:rPr>
                <w:rFonts w:ascii="Times New Roman" w:eastAsiaTheme="minorHAnsi" w:hAnsi="Times New Roman"/>
                <w:b/>
                <w:color w:val="000000" w:themeColor="text1"/>
                <w:kern w:val="0"/>
                <w:sz w:val="22"/>
                <w:szCs w:val="22"/>
              </w:rPr>
              <w:t xml:space="preserve"> June</w:t>
            </w:r>
          </w:p>
        </w:tc>
        <w:tc>
          <w:tcPr>
            <w:tcW w:w="1609" w:type="dxa"/>
            <w:tcBorders>
              <w:top w:val="single" w:sz="4" w:space="0" w:color="auto"/>
              <w:left w:val="single" w:sz="4" w:space="0" w:color="auto"/>
              <w:bottom w:val="single" w:sz="4" w:space="0" w:color="auto"/>
              <w:right w:val="single" w:sz="4" w:space="0" w:color="auto"/>
            </w:tcBorders>
            <w:vAlign w:val="center"/>
            <w:hideMark/>
          </w:tcPr>
          <w:p w14:paraId="03D7003D"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35.4</w:t>
            </w:r>
          </w:p>
        </w:tc>
        <w:tc>
          <w:tcPr>
            <w:tcW w:w="1609" w:type="dxa"/>
            <w:tcBorders>
              <w:top w:val="single" w:sz="4" w:space="0" w:color="auto"/>
              <w:left w:val="single" w:sz="4" w:space="0" w:color="auto"/>
              <w:bottom w:val="single" w:sz="4" w:space="0" w:color="auto"/>
              <w:right w:val="single" w:sz="4" w:space="0" w:color="auto"/>
            </w:tcBorders>
            <w:vAlign w:val="center"/>
            <w:hideMark/>
          </w:tcPr>
          <w:p w14:paraId="6A30C8F3"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54.9</w:t>
            </w:r>
          </w:p>
        </w:tc>
        <w:tc>
          <w:tcPr>
            <w:tcW w:w="1608" w:type="dxa"/>
            <w:tcBorders>
              <w:top w:val="single" w:sz="4" w:space="0" w:color="auto"/>
              <w:left w:val="single" w:sz="4" w:space="0" w:color="auto"/>
              <w:bottom w:val="single" w:sz="4" w:space="0" w:color="auto"/>
              <w:right w:val="single" w:sz="4" w:space="0" w:color="auto"/>
            </w:tcBorders>
            <w:vAlign w:val="center"/>
            <w:hideMark/>
          </w:tcPr>
          <w:p w14:paraId="6C99F33B"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75.2</w:t>
            </w:r>
          </w:p>
        </w:tc>
      </w:tr>
      <w:tr w:rsidR="005C7457" w:rsidRPr="009F350F" w14:paraId="1D73F501" w14:textId="77777777" w:rsidTr="00C2186F">
        <w:trPr>
          <w:trHeight w:val="685"/>
        </w:trPr>
        <w:tc>
          <w:tcPr>
            <w:tcW w:w="2730" w:type="dxa"/>
            <w:gridSpan w:val="2"/>
            <w:tcBorders>
              <w:top w:val="single" w:sz="4" w:space="0" w:color="auto"/>
              <w:left w:val="single" w:sz="4" w:space="0" w:color="auto"/>
              <w:bottom w:val="single" w:sz="4" w:space="0" w:color="auto"/>
              <w:right w:val="single" w:sz="4" w:space="0" w:color="auto"/>
            </w:tcBorders>
            <w:vAlign w:val="center"/>
            <w:hideMark/>
          </w:tcPr>
          <w:p w14:paraId="6A84621D"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rPr>
            </w:pPr>
            <w:r w:rsidRPr="009F350F">
              <w:rPr>
                <w:rFonts w:ascii="Times New Roman" w:eastAsiaTheme="minorHAnsi" w:hAnsi="Times New Roman"/>
                <w:b/>
                <w:color w:val="000000" w:themeColor="text1"/>
                <w:kern w:val="0"/>
                <w:sz w:val="22"/>
                <w:szCs w:val="22"/>
              </w:rPr>
              <w:t>SE(m)</w:t>
            </w:r>
          </w:p>
        </w:tc>
        <w:tc>
          <w:tcPr>
            <w:tcW w:w="1866" w:type="dxa"/>
            <w:tcBorders>
              <w:top w:val="single" w:sz="4" w:space="0" w:color="auto"/>
              <w:left w:val="single" w:sz="4" w:space="0" w:color="auto"/>
              <w:bottom w:val="single" w:sz="4" w:space="0" w:color="auto"/>
              <w:right w:val="single" w:sz="4" w:space="0" w:color="auto"/>
            </w:tcBorders>
            <w:vAlign w:val="center"/>
            <w:hideMark/>
          </w:tcPr>
          <w:p w14:paraId="73B4EB51"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lang w:val="en-US"/>
              </w:rPr>
              <w:t>1.15</w:t>
            </w:r>
          </w:p>
        </w:tc>
        <w:tc>
          <w:tcPr>
            <w:tcW w:w="1465" w:type="dxa"/>
            <w:tcBorders>
              <w:top w:val="single" w:sz="4" w:space="0" w:color="auto"/>
              <w:left w:val="single" w:sz="4" w:space="0" w:color="auto"/>
              <w:bottom w:val="single" w:sz="4" w:space="0" w:color="auto"/>
              <w:right w:val="single" w:sz="4" w:space="0" w:color="auto"/>
            </w:tcBorders>
            <w:vAlign w:val="center"/>
            <w:hideMark/>
          </w:tcPr>
          <w:p w14:paraId="7EB47B22"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lang w:val="en-US"/>
              </w:rPr>
              <w:t>1.42</w:t>
            </w:r>
          </w:p>
        </w:tc>
        <w:tc>
          <w:tcPr>
            <w:tcW w:w="1402" w:type="dxa"/>
            <w:tcBorders>
              <w:top w:val="single" w:sz="4" w:space="0" w:color="auto"/>
              <w:left w:val="single" w:sz="4" w:space="0" w:color="auto"/>
              <w:bottom w:val="single" w:sz="4" w:space="0" w:color="auto"/>
              <w:right w:val="single" w:sz="4" w:space="0" w:color="auto"/>
            </w:tcBorders>
            <w:vAlign w:val="center"/>
            <w:hideMark/>
          </w:tcPr>
          <w:p w14:paraId="6CE4B92A"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lang w:val="en-US"/>
              </w:rPr>
              <w:t>1.85</w:t>
            </w:r>
          </w:p>
        </w:tc>
        <w:tc>
          <w:tcPr>
            <w:tcW w:w="1897" w:type="dxa"/>
            <w:tcBorders>
              <w:top w:val="single" w:sz="4" w:space="0" w:color="auto"/>
              <w:left w:val="single" w:sz="4" w:space="0" w:color="auto"/>
              <w:bottom w:val="single" w:sz="4" w:space="0" w:color="auto"/>
              <w:right w:val="single" w:sz="4" w:space="0" w:color="auto"/>
            </w:tcBorders>
            <w:vAlign w:val="center"/>
            <w:hideMark/>
          </w:tcPr>
          <w:p w14:paraId="1DA07D2A"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rPr>
            </w:pPr>
            <w:r w:rsidRPr="009F350F">
              <w:rPr>
                <w:rFonts w:ascii="Times New Roman" w:eastAsiaTheme="minorHAnsi" w:hAnsi="Times New Roman"/>
                <w:b/>
                <w:color w:val="000000" w:themeColor="text1"/>
                <w:kern w:val="0"/>
                <w:sz w:val="22"/>
                <w:szCs w:val="22"/>
              </w:rPr>
              <w:t>SE(m)</w:t>
            </w:r>
          </w:p>
        </w:tc>
        <w:tc>
          <w:tcPr>
            <w:tcW w:w="1609" w:type="dxa"/>
            <w:tcBorders>
              <w:top w:val="single" w:sz="4" w:space="0" w:color="auto"/>
              <w:left w:val="single" w:sz="4" w:space="0" w:color="auto"/>
              <w:bottom w:val="single" w:sz="4" w:space="0" w:color="auto"/>
              <w:right w:val="single" w:sz="4" w:space="0" w:color="auto"/>
            </w:tcBorders>
            <w:vAlign w:val="center"/>
            <w:hideMark/>
          </w:tcPr>
          <w:p w14:paraId="30EE864E"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1.22</w:t>
            </w:r>
          </w:p>
        </w:tc>
        <w:tc>
          <w:tcPr>
            <w:tcW w:w="1609" w:type="dxa"/>
            <w:tcBorders>
              <w:top w:val="single" w:sz="4" w:space="0" w:color="auto"/>
              <w:left w:val="single" w:sz="4" w:space="0" w:color="auto"/>
              <w:bottom w:val="single" w:sz="4" w:space="0" w:color="auto"/>
              <w:right w:val="single" w:sz="4" w:space="0" w:color="auto"/>
            </w:tcBorders>
            <w:vAlign w:val="center"/>
            <w:hideMark/>
          </w:tcPr>
          <w:p w14:paraId="49A33434"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1.51</w:t>
            </w:r>
          </w:p>
        </w:tc>
        <w:tc>
          <w:tcPr>
            <w:tcW w:w="1608" w:type="dxa"/>
            <w:tcBorders>
              <w:top w:val="single" w:sz="4" w:space="0" w:color="auto"/>
              <w:left w:val="single" w:sz="4" w:space="0" w:color="auto"/>
              <w:bottom w:val="single" w:sz="4" w:space="0" w:color="auto"/>
              <w:right w:val="single" w:sz="4" w:space="0" w:color="auto"/>
            </w:tcBorders>
            <w:vAlign w:val="center"/>
            <w:hideMark/>
          </w:tcPr>
          <w:p w14:paraId="15168EE0"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1.94</w:t>
            </w:r>
          </w:p>
        </w:tc>
      </w:tr>
      <w:tr w:rsidR="005C7457" w:rsidRPr="009F350F" w14:paraId="5125630A" w14:textId="77777777" w:rsidTr="00C2186F">
        <w:trPr>
          <w:trHeight w:val="685"/>
        </w:trPr>
        <w:tc>
          <w:tcPr>
            <w:tcW w:w="2730" w:type="dxa"/>
            <w:gridSpan w:val="2"/>
            <w:tcBorders>
              <w:top w:val="single" w:sz="4" w:space="0" w:color="auto"/>
              <w:left w:val="single" w:sz="4" w:space="0" w:color="auto"/>
              <w:bottom w:val="single" w:sz="4" w:space="0" w:color="auto"/>
              <w:right w:val="single" w:sz="4" w:space="0" w:color="auto"/>
            </w:tcBorders>
            <w:vAlign w:val="center"/>
            <w:hideMark/>
          </w:tcPr>
          <w:p w14:paraId="048AE1BD"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rPr>
            </w:pPr>
            <w:r w:rsidRPr="009F350F">
              <w:rPr>
                <w:rFonts w:ascii="Times New Roman" w:eastAsiaTheme="minorHAnsi" w:hAnsi="Times New Roman"/>
                <w:b/>
                <w:color w:val="000000" w:themeColor="text1"/>
                <w:kern w:val="0"/>
                <w:sz w:val="22"/>
                <w:szCs w:val="22"/>
              </w:rPr>
              <w:t>CD(p= 0.05)</w:t>
            </w:r>
          </w:p>
        </w:tc>
        <w:tc>
          <w:tcPr>
            <w:tcW w:w="1866" w:type="dxa"/>
            <w:tcBorders>
              <w:top w:val="single" w:sz="4" w:space="0" w:color="auto"/>
              <w:left w:val="single" w:sz="4" w:space="0" w:color="auto"/>
              <w:bottom w:val="single" w:sz="4" w:space="0" w:color="auto"/>
              <w:right w:val="single" w:sz="4" w:space="0" w:color="auto"/>
            </w:tcBorders>
            <w:vAlign w:val="center"/>
            <w:hideMark/>
          </w:tcPr>
          <w:p w14:paraId="5F02AFE1"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lang w:val="en-US"/>
              </w:rPr>
              <w:t>3.48</w:t>
            </w:r>
          </w:p>
        </w:tc>
        <w:tc>
          <w:tcPr>
            <w:tcW w:w="1465" w:type="dxa"/>
            <w:tcBorders>
              <w:top w:val="single" w:sz="4" w:space="0" w:color="auto"/>
              <w:left w:val="single" w:sz="4" w:space="0" w:color="auto"/>
              <w:bottom w:val="single" w:sz="4" w:space="0" w:color="auto"/>
              <w:right w:val="single" w:sz="4" w:space="0" w:color="auto"/>
            </w:tcBorders>
            <w:vAlign w:val="center"/>
            <w:hideMark/>
          </w:tcPr>
          <w:p w14:paraId="052228A1"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lang w:val="en-US"/>
              </w:rPr>
              <w:t>4.29</w:t>
            </w:r>
          </w:p>
        </w:tc>
        <w:tc>
          <w:tcPr>
            <w:tcW w:w="1402" w:type="dxa"/>
            <w:tcBorders>
              <w:top w:val="single" w:sz="4" w:space="0" w:color="auto"/>
              <w:left w:val="single" w:sz="4" w:space="0" w:color="auto"/>
              <w:bottom w:val="single" w:sz="4" w:space="0" w:color="auto"/>
              <w:right w:val="single" w:sz="4" w:space="0" w:color="auto"/>
            </w:tcBorders>
            <w:vAlign w:val="center"/>
            <w:hideMark/>
          </w:tcPr>
          <w:p w14:paraId="0A7D4C75"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lang w:val="en-US"/>
              </w:rPr>
              <w:t>5.58</w:t>
            </w:r>
          </w:p>
        </w:tc>
        <w:tc>
          <w:tcPr>
            <w:tcW w:w="1897" w:type="dxa"/>
            <w:tcBorders>
              <w:top w:val="single" w:sz="4" w:space="0" w:color="auto"/>
              <w:left w:val="single" w:sz="4" w:space="0" w:color="auto"/>
              <w:bottom w:val="single" w:sz="4" w:space="0" w:color="auto"/>
              <w:right w:val="single" w:sz="4" w:space="0" w:color="auto"/>
            </w:tcBorders>
            <w:vAlign w:val="center"/>
            <w:hideMark/>
          </w:tcPr>
          <w:p w14:paraId="03EADF2D"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rPr>
            </w:pPr>
            <w:r w:rsidRPr="009F350F">
              <w:rPr>
                <w:rFonts w:ascii="Times New Roman" w:eastAsiaTheme="minorHAnsi" w:hAnsi="Times New Roman"/>
                <w:b/>
                <w:color w:val="000000" w:themeColor="text1"/>
                <w:kern w:val="0"/>
                <w:sz w:val="22"/>
                <w:szCs w:val="22"/>
              </w:rPr>
              <w:t>CD(p= 0.05)</w:t>
            </w:r>
          </w:p>
        </w:tc>
        <w:tc>
          <w:tcPr>
            <w:tcW w:w="1609" w:type="dxa"/>
            <w:tcBorders>
              <w:top w:val="single" w:sz="4" w:space="0" w:color="auto"/>
              <w:left w:val="single" w:sz="4" w:space="0" w:color="auto"/>
              <w:bottom w:val="single" w:sz="4" w:space="0" w:color="auto"/>
              <w:right w:val="single" w:sz="4" w:space="0" w:color="auto"/>
            </w:tcBorders>
            <w:vAlign w:val="center"/>
            <w:hideMark/>
          </w:tcPr>
          <w:p w14:paraId="64807D70"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3.68</w:t>
            </w:r>
          </w:p>
        </w:tc>
        <w:tc>
          <w:tcPr>
            <w:tcW w:w="1609" w:type="dxa"/>
            <w:tcBorders>
              <w:top w:val="single" w:sz="4" w:space="0" w:color="auto"/>
              <w:left w:val="single" w:sz="4" w:space="0" w:color="auto"/>
              <w:bottom w:val="single" w:sz="4" w:space="0" w:color="auto"/>
              <w:right w:val="single" w:sz="4" w:space="0" w:color="auto"/>
            </w:tcBorders>
            <w:vAlign w:val="center"/>
            <w:hideMark/>
          </w:tcPr>
          <w:p w14:paraId="30592574"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4.56</w:t>
            </w:r>
          </w:p>
        </w:tc>
        <w:tc>
          <w:tcPr>
            <w:tcW w:w="1608" w:type="dxa"/>
            <w:tcBorders>
              <w:top w:val="single" w:sz="4" w:space="0" w:color="auto"/>
              <w:left w:val="single" w:sz="4" w:space="0" w:color="auto"/>
              <w:bottom w:val="single" w:sz="4" w:space="0" w:color="auto"/>
              <w:right w:val="single" w:sz="4" w:space="0" w:color="auto"/>
            </w:tcBorders>
            <w:vAlign w:val="center"/>
            <w:hideMark/>
          </w:tcPr>
          <w:p w14:paraId="66FE9EF7" w14:textId="77777777" w:rsidR="00C2186F" w:rsidRPr="009F350F" w:rsidRDefault="00C2186F" w:rsidP="00C2186F">
            <w:pPr>
              <w:spacing w:after="160" w:line="259" w:lineRule="auto"/>
              <w:rPr>
                <w:rFonts w:ascii="Times New Roman" w:eastAsiaTheme="minorHAnsi" w:hAnsi="Times New Roman"/>
                <w:b/>
                <w:color w:val="000000" w:themeColor="text1"/>
                <w:kern w:val="0"/>
                <w:sz w:val="22"/>
                <w:szCs w:val="22"/>
                <w:lang w:val="en-US"/>
              </w:rPr>
            </w:pPr>
            <w:r w:rsidRPr="009F350F">
              <w:rPr>
                <w:rFonts w:ascii="Times New Roman" w:eastAsiaTheme="minorHAnsi" w:hAnsi="Times New Roman"/>
                <w:b/>
                <w:color w:val="000000" w:themeColor="text1"/>
                <w:kern w:val="0"/>
                <w:sz w:val="22"/>
                <w:szCs w:val="22"/>
              </w:rPr>
              <w:t>5.86</w:t>
            </w:r>
          </w:p>
        </w:tc>
      </w:tr>
    </w:tbl>
    <w:p w14:paraId="22555365" w14:textId="77777777" w:rsidR="00C2186F" w:rsidRPr="009F350F" w:rsidRDefault="001C5ECD" w:rsidP="00C2186F">
      <w:pPr>
        <w:spacing w:line="360" w:lineRule="auto"/>
        <w:rPr>
          <w:rFonts w:ascii="Times New Roman" w:eastAsia="Calibri" w:hAnsi="Times New Roman" w:cs="Times New Roman"/>
          <w:b/>
          <w:color w:val="000000" w:themeColor="text1"/>
          <w:kern w:val="2"/>
          <w:sz w:val="24"/>
          <w:szCs w:val="24"/>
          <w:lang w:val="en-US"/>
          <w14:ligatures w14:val="standardContextual"/>
        </w:rPr>
      </w:pPr>
      <w:r w:rsidRPr="009F350F">
        <w:rPr>
          <w:rFonts w:ascii="Times New Roman" w:eastAsia="Calibri" w:hAnsi="Times New Roman" w:cs="Times New Roman"/>
          <w:b/>
          <w:color w:val="000000" w:themeColor="text1"/>
          <w:kern w:val="2"/>
          <w:sz w:val="24"/>
          <w:szCs w:val="24"/>
          <w:lang w:val="en-US"/>
          <w14:ligatures w14:val="standardContextual"/>
        </w:rPr>
        <w:t>Table 2.</w:t>
      </w:r>
      <w:r w:rsidR="00C2186F" w:rsidRPr="009F350F">
        <w:rPr>
          <w:rFonts w:ascii="Times New Roman" w:eastAsia="Calibri" w:hAnsi="Times New Roman" w:cs="Times New Roman"/>
          <w:b/>
          <w:color w:val="000000" w:themeColor="text1"/>
          <w:kern w:val="2"/>
          <w:sz w:val="24"/>
          <w:szCs w:val="24"/>
          <w:lang w:val="en-US"/>
          <w14:ligatures w14:val="standardContextual"/>
        </w:rPr>
        <w:t xml:space="preserve"> Effect of different botanicals extracts against the </w:t>
      </w:r>
      <w:r w:rsidR="00C2186F" w:rsidRPr="009F350F">
        <w:rPr>
          <w:rFonts w:ascii="Times New Roman" w:eastAsia="Calibri" w:hAnsi="Times New Roman" w:cs="Times New Roman"/>
          <w:b/>
          <w:i/>
          <w:color w:val="000000" w:themeColor="text1"/>
          <w:kern w:val="2"/>
          <w:sz w:val="24"/>
          <w:szCs w:val="24"/>
          <w:lang w:val="en-US"/>
          <w14:ligatures w14:val="standardContextual"/>
        </w:rPr>
        <w:t>Fusarium</w:t>
      </w:r>
      <w:r w:rsidR="00C2186F" w:rsidRPr="009F350F">
        <w:rPr>
          <w:rFonts w:ascii="Times New Roman" w:eastAsia="Calibri" w:hAnsi="Times New Roman" w:cs="Times New Roman"/>
          <w:b/>
          <w:color w:val="000000" w:themeColor="text1"/>
          <w:kern w:val="2"/>
          <w:sz w:val="24"/>
          <w:szCs w:val="24"/>
          <w:lang w:val="en-US"/>
          <w14:ligatures w14:val="standardContextual"/>
        </w:rPr>
        <w:t xml:space="preserve"> sp. </w:t>
      </w:r>
    </w:p>
    <w:tbl>
      <w:tblPr>
        <w:tblStyle w:val="TableGrid3"/>
        <w:tblW w:w="13315" w:type="dxa"/>
        <w:tblLayout w:type="fixed"/>
        <w:tblLook w:val="04A0" w:firstRow="1" w:lastRow="0" w:firstColumn="1" w:lastColumn="0" w:noHBand="0" w:noVBand="1"/>
      </w:tblPr>
      <w:tblGrid>
        <w:gridCol w:w="932"/>
        <w:gridCol w:w="906"/>
        <w:gridCol w:w="1397"/>
        <w:gridCol w:w="2340"/>
        <w:gridCol w:w="1260"/>
        <w:gridCol w:w="1260"/>
        <w:gridCol w:w="1080"/>
        <w:gridCol w:w="1080"/>
        <w:gridCol w:w="1080"/>
        <w:gridCol w:w="1080"/>
        <w:gridCol w:w="900"/>
      </w:tblGrid>
      <w:tr w:rsidR="005C7457" w:rsidRPr="009F350F" w14:paraId="5F715201" w14:textId="77777777" w:rsidTr="00C2186F">
        <w:tc>
          <w:tcPr>
            <w:tcW w:w="932" w:type="dxa"/>
            <w:vMerge w:val="restart"/>
            <w:vAlign w:val="center"/>
          </w:tcPr>
          <w:p w14:paraId="3E6D1E96" w14:textId="77777777" w:rsidR="00C2186F" w:rsidRPr="009F350F" w:rsidRDefault="00C2186F" w:rsidP="00C2186F">
            <w:pPr>
              <w:spacing w:line="360" w:lineRule="auto"/>
              <w:jc w:val="center"/>
              <w:rPr>
                <w:rFonts w:ascii="Times New Roman" w:eastAsia="Calibri" w:hAnsi="Times New Roman" w:cs="Times New Roman"/>
                <w:b/>
                <w:color w:val="000000" w:themeColor="text1"/>
                <w:sz w:val="24"/>
                <w:szCs w:val="24"/>
                <w:lang w:val="en-US"/>
              </w:rPr>
            </w:pPr>
            <w:proofErr w:type="spellStart"/>
            <w:r w:rsidRPr="009F350F">
              <w:rPr>
                <w:rFonts w:ascii="Times New Roman" w:eastAsia="Calibri" w:hAnsi="Times New Roman" w:cs="Times New Roman"/>
                <w:b/>
                <w:color w:val="000000" w:themeColor="text1"/>
                <w:sz w:val="24"/>
                <w:szCs w:val="24"/>
                <w:lang w:val="en-US"/>
              </w:rPr>
              <w:t>Sl.No</w:t>
            </w:r>
            <w:proofErr w:type="spellEnd"/>
            <w:r w:rsidRPr="009F350F">
              <w:rPr>
                <w:rFonts w:ascii="Times New Roman" w:eastAsia="Calibri" w:hAnsi="Times New Roman" w:cs="Times New Roman"/>
                <w:b/>
                <w:color w:val="000000" w:themeColor="text1"/>
                <w:sz w:val="24"/>
                <w:szCs w:val="24"/>
                <w:lang w:val="en-US"/>
              </w:rPr>
              <w:t>.</w:t>
            </w:r>
          </w:p>
        </w:tc>
        <w:tc>
          <w:tcPr>
            <w:tcW w:w="906" w:type="dxa"/>
            <w:vMerge w:val="restart"/>
            <w:vAlign w:val="center"/>
          </w:tcPr>
          <w:p w14:paraId="7B3B329C" w14:textId="77777777" w:rsidR="00C2186F" w:rsidRPr="009F350F" w:rsidRDefault="00C2186F" w:rsidP="00C2186F">
            <w:pPr>
              <w:spacing w:line="360" w:lineRule="auto"/>
              <w:jc w:val="center"/>
              <w:rPr>
                <w:rFonts w:ascii="Times New Roman" w:eastAsia="Calibri" w:hAnsi="Times New Roman" w:cs="Times New Roman"/>
                <w:b/>
                <w:color w:val="000000" w:themeColor="text1"/>
                <w:sz w:val="24"/>
                <w:szCs w:val="24"/>
                <w:lang w:val="en-US"/>
              </w:rPr>
            </w:pPr>
            <w:r w:rsidRPr="009F350F">
              <w:rPr>
                <w:rFonts w:ascii="Times New Roman" w:eastAsia="Calibri" w:hAnsi="Times New Roman" w:cs="Times New Roman"/>
                <w:b/>
                <w:color w:val="000000" w:themeColor="text1"/>
                <w:sz w:val="24"/>
                <w:szCs w:val="24"/>
                <w:lang w:val="en-US"/>
              </w:rPr>
              <w:t>Treatment</w:t>
            </w:r>
          </w:p>
        </w:tc>
        <w:tc>
          <w:tcPr>
            <w:tcW w:w="1397" w:type="dxa"/>
            <w:vMerge w:val="restart"/>
            <w:vAlign w:val="center"/>
          </w:tcPr>
          <w:p w14:paraId="29118DDF" w14:textId="77777777" w:rsidR="00C2186F" w:rsidRPr="009F350F" w:rsidRDefault="00C2186F" w:rsidP="00C2186F">
            <w:pPr>
              <w:spacing w:line="360" w:lineRule="auto"/>
              <w:jc w:val="center"/>
              <w:rPr>
                <w:rFonts w:ascii="Times New Roman" w:eastAsia="Calibri" w:hAnsi="Times New Roman" w:cs="Times New Roman"/>
                <w:b/>
                <w:color w:val="000000" w:themeColor="text1"/>
                <w:sz w:val="24"/>
                <w:szCs w:val="24"/>
                <w:lang w:val="en-US"/>
              </w:rPr>
            </w:pPr>
            <w:r w:rsidRPr="009F350F">
              <w:rPr>
                <w:rFonts w:ascii="Times New Roman" w:eastAsia="Calibri" w:hAnsi="Times New Roman" w:cs="Times New Roman"/>
                <w:b/>
                <w:color w:val="000000" w:themeColor="text1"/>
                <w:sz w:val="24"/>
                <w:szCs w:val="24"/>
                <w:lang w:val="en-US"/>
              </w:rPr>
              <w:t>Common Name</w:t>
            </w:r>
          </w:p>
        </w:tc>
        <w:tc>
          <w:tcPr>
            <w:tcW w:w="2340" w:type="dxa"/>
            <w:vMerge w:val="restart"/>
            <w:vAlign w:val="center"/>
          </w:tcPr>
          <w:p w14:paraId="217C7FF3" w14:textId="77777777" w:rsidR="00C2186F" w:rsidRPr="009F350F" w:rsidRDefault="00C2186F" w:rsidP="00C2186F">
            <w:pPr>
              <w:spacing w:line="360" w:lineRule="auto"/>
              <w:jc w:val="center"/>
              <w:rPr>
                <w:rFonts w:ascii="Times New Roman" w:eastAsia="Calibri" w:hAnsi="Times New Roman" w:cs="Times New Roman"/>
                <w:b/>
                <w:color w:val="000000" w:themeColor="text1"/>
                <w:sz w:val="24"/>
                <w:szCs w:val="24"/>
                <w:lang w:val="en-US"/>
              </w:rPr>
            </w:pPr>
            <w:r w:rsidRPr="009F350F">
              <w:rPr>
                <w:rFonts w:ascii="Times New Roman" w:eastAsia="Calibri" w:hAnsi="Times New Roman" w:cs="Times New Roman"/>
                <w:b/>
                <w:color w:val="000000" w:themeColor="text1"/>
                <w:sz w:val="24"/>
                <w:szCs w:val="24"/>
                <w:lang w:val="en-US"/>
              </w:rPr>
              <w:t>Scientific name</w:t>
            </w:r>
          </w:p>
        </w:tc>
        <w:tc>
          <w:tcPr>
            <w:tcW w:w="1260" w:type="dxa"/>
            <w:vMerge w:val="restart"/>
            <w:vAlign w:val="center"/>
          </w:tcPr>
          <w:p w14:paraId="4045623F" w14:textId="77777777" w:rsidR="00C2186F" w:rsidRPr="009F350F" w:rsidRDefault="00C2186F" w:rsidP="00C2186F">
            <w:pPr>
              <w:spacing w:line="360" w:lineRule="auto"/>
              <w:jc w:val="center"/>
              <w:rPr>
                <w:rFonts w:ascii="Times New Roman" w:eastAsia="Calibri" w:hAnsi="Times New Roman" w:cs="Times New Roman"/>
                <w:b/>
                <w:color w:val="000000" w:themeColor="text1"/>
                <w:sz w:val="24"/>
                <w:szCs w:val="24"/>
              </w:rPr>
            </w:pPr>
            <w:r w:rsidRPr="009F350F">
              <w:rPr>
                <w:rFonts w:ascii="Times New Roman" w:eastAsia="Calibri" w:hAnsi="Times New Roman" w:cs="Times New Roman"/>
                <w:b/>
                <w:color w:val="000000" w:themeColor="text1"/>
                <w:sz w:val="24"/>
                <w:szCs w:val="24"/>
              </w:rPr>
              <w:t>Plant Parts</w:t>
            </w:r>
          </w:p>
        </w:tc>
        <w:tc>
          <w:tcPr>
            <w:tcW w:w="3420" w:type="dxa"/>
            <w:gridSpan w:val="3"/>
            <w:vAlign w:val="center"/>
          </w:tcPr>
          <w:p w14:paraId="40D6E3FA" w14:textId="77777777" w:rsidR="00C2186F" w:rsidRPr="009F350F" w:rsidRDefault="00C2186F" w:rsidP="00C2186F">
            <w:pPr>
              <w:spacing w:line="360" w:lineRule="auto"/>
              <w:jc w:val="center"/>
              <w:rPr>
                <w:rFonts w:ascii="Times New Roman" w:eastAsia="Calibri" w:hAnsi="Times New Roman" w:cs="Times New Roman"/>
                <w:b/>
                <w:color w:val="000000" w:themeColor="text1"/>
                <w:sz w:val="24"/>
                <w:szCs w:val="24"/>
                <w:lang w:val="en-US"/>
              </w:rPr>
            </w:pPr>
            <w:r w:rsidRPr="009F350F">
              <w:rPr>
                <w:rFonts w:ascii="Times New Roman" w:eastAsia="Calibri" w:hAnsi="Times New Roman" w:cs="Times New Roman"/>
                <w:b/>
                <w:color w:val="000000" w:themeColor="text1"/>
                <w:sz w:val="24"/>
                <w:szCs w:val="24"/>
              </w:rPr>
              <w:t xml:space="preserve">Average diameter of fungal </w:t>
            </w:r>
            <w:r w:rsidRPr="009F350F">
              <w:rPr>
                <w:rFonts w:ascii="Times New Roman" w:eastAsia="Calibri" w:hAnsi="Times New Roman" w:cs="Times New Roman"/>
                <w:b/>
                <w:bCs/>
                <w:color w:val="000000" w:themeColor="text1"/>
                <w:sz w:val="24"/>
                <w:szCs w:val="24"/>
              </w:rPr>
              <w:t>Growth(cm)</w:t>
            </w:r>
          </w:p>
        </w:tc>
        <w:tc>
          <w:tcPr>
            <w:tcW w:w="3060" w:type="dxa"/>
            <w:gridSpan w:val="3"/>
            <w:vAlign w:val="center"/>
          </w:tcPr>
          <w:p w14:paraId="0EF4C68A" w14:textId="77777777" w:rsidR="00C2186F" w:rsidRPr="009F350F" w:rsidRDefault="00C2186F" w:rsidP="00C2186F">
            <w:pPr>
              <w:spacing w:line="360" w:lineRule="auto"/>
              <w:jc w:val="center"/>
              <w:rPr>
                <w:rFonts w:ascii="Times New Roman" w:eastAsia="Calibri" w:hAnsi="Times New Roman" w:cs="Times New Roman"/>
                <w:b/>
                <w:color w:val="000000" w:themeColor="text1"/>
                <w:sz w:val="24"/>
                <w:szCs w:val="24"/>
              </w:rPr>
            </w:pPr>
            <w:r w:rsidRPr="009F350F">
              <w:rPr>
                <w:rFonts w:ascii="Times New Roman" w:eastAsia="Calibri" w:hAnsi="Times New Roman" w:cs="Times New Roman"/>
                <w:b/>
                <w:color w:val="000000" w:themeColor="text1"/>
                <w:sz w:val="24"/>
                <w:szCs w:val="24"/>
              </w:rPr>
              <w:t>Per cent of Inhibition (%) of pathogen over control</w:t>
            </w:r>
          </w:p>
        </w:tc>
      </w:tr>
      <w:tr w:rsidR="005C7457" w:rsidRPr="009F350F" w14:paraId="0422ED46" w14:textId="77777777" w:rsidTr="00C2186F">
        <w:tc>
          <w:tcPr>
            <w:tcW w:w="932" w:type="dxa"/>
            <w:vMerge/>
            <w:vAlign w:val="center"/>
          </w:tcPr>
          <w:p w14:paraId="1963E135"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lang w:val="en-US"/>
              </w:rPr>
            </w:pPr>
          </w:p>
        </w:tc>
        <w:tc>
          <w:tcPr>
            <w:tcW w:w="906" w:type="dxa"/>
            <w:vMerge/>
            <w:vAlign w:val="center"/>
          </w:tcPr>
          <w:p w14:paraId="27C376DC"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lang w:val="en-US"/>
              </w:rPr>
            </w:pPr>
          </w:p>
        </w:tc>
        <w:tc>
          <w:tcPr>
            <w:tcW w:w="1397" w:type="dxa"/>
            <w:vMerge/>
            <w:vAlign w:val="center"/>
          </w:tcPr>
          <w:p w14:paraId="10B3B024"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lang w:val="en-US"/>
              </w:rPr>
            </w:pPr>
          </w:p>
        </w:tc>
        <w:tc>
          <w:tcPr>
            <w:tcW w:w="2340" w:type="dxa"/>
            <w:vMerge/>
            <w:vAlign w:val="center"/>
          </w:tcPr>
          <w:p w14:paraId="5878FCDD"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lang w:val="en-US"/>
              </w:rPr>
            </w:pPr>
          </w:p>
        </w:tc>
        <w:tc>
          <w:tcPr>
            <w:tcW w:w="1260" w:type="dxa"/>
            <w:vMerge/>
            <w:vAlign w:val="center"/>
          </w:tcPr>
          <w:p w14:paraId="3489956F"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lang w:val="en-US"/>
              </w:rPr>
            </w:pPr>
          </w:p>
        </w:tc>
        <w:tc>
          <w:tcPr>
            <w:tcW w:w="1260" w:type="dxa"/>
            <w:vAlign w:val="center"/>
          </w:tcPr>
          <w:p w14:paraId="1D36936D" w14:textId="77777777" w:rsidR="00C2186F" w:rsidRPr="009F350F" w:rsidRDefault="00C2186F" w:rsidP="00C2186F">
            <w:pPr>
              <w:spacing w:line="360" w:lineRule="auto"/>
              <w:jc w:val="center"/>
              <w:rPr>
                <w:rFonts w:ascii="Times New Roman" w:eastAsia="Calibri" w:hAnsi="Times New Roman" w:cs="Times New Roman"/>
                <w:b/>
                <w:color w:val="000000" w:themeColor="text1"/>
                <w:sz w:val="24"/>
                <w:szCs w:val="24"/>
                <w:lang w:val="en-US"/>
              </w:rPr>
            </w:pPr>
            <w:r w:rsidRPr="009F350F">
              <w:rPr>
                <w:rFonts w:ascii="Times New Roman" w:eastAsia="Calibri" w:hAnsi="Times New Roman" w:cs="Times New Roman"/>
                <w:b/>
                <w:color w:val="000000" w:themeColor="text1"/>
                <w:sz w:val="24"/>
                <w:szCs w:val="24"/>
                <w:lang w:val="en-US"/>
              </w:rPr>
              <w:t>2.5%</w:t>
            </w:r>
          </w:p>
        </w:tc>
        <w:tc>
          <w:tcPr>
            <w:tcW w:w="1080" w:type="dxa"/>
            <w:vAlign w:val="center"/>
          </w:tcPr>
          <w:p w14:paraId="51C276BE" w14:textId="77777777" w:rsidR="00C2186F" w:rsidRPr="009F350F" w:rsidRDefault="00C2186F" w:rsidP="00C2186F">
            <w:pPr>
              <w:spacing w:line="360" w:lineRule="auto"/>
              <w:jc w:val="center"/>
              <w:rPr>
                <w:rFonts w:ascii="Times New Roman" w:eastAsia="Calibri" w:hAnsi="Times New Roman" w:cs="Times New Roman"/>
                <w:b/>
                <w:color w:val="000000" w:themeColor="text1"/>
                <w:sz w:val="24"/>
                <w:szCs w:val="24"/>
                <w:lang w:val="en-US"/>
              </w:rPr>
            </w:pPr>
            <w:r w:rsidRPr="009F350F">
              <w:rPr>
                <w:rFonts w:ascii="Times New Roman" w:eastAsia="Calibri" w:hAnsi="Times New Roman" w:cs="Times New Roman"/>
                <w:b/>
                <w:color w:val="000000" w:themeColor="text1"/>
                <w:sz w:val="24"/>
                <w:szCs w:val="24"/>
                <w:lang w:val="en-US"/>
              </w:rPr>
              <w:t>5%</w:t>
            </w:r>
          </w:p>
        </w:tc>
        <w:tc>
          <w:tcPr>
            <w:tcW w:w="1080" w:type="dxa"/>
            <w:vAlign w:val="center"/>
          </w:tcPr>
          <w:p w14:paraId="2C522F11" w14:textId="77777777" w:rsidR="00C2186F" w:rsidRPr="009F350F" w:rsidRDefault="00C2186F" w:rsidP="00C2186F">
            <w:pPr>
              <w:spacing w:line="360" w:lineRule="auto"/>
              <w:jc w:val="center"/>
              <w:rPr>
                <w:rFonts w:ascii="Times New Roman" w:eastAsia="Calibri" w:hAnsi="Times New Roman" w:cs="Times New Roman"/>
                <w:b/>
                <w:color w:val="000000" w:themeColor="text1"/>
                <w:sz w:val="24"/>
                <w:szCs w:val="24"/>
                <w:lang w:val="en-US"/>
              </w:rPr>
            </w:pPr>
            <w:r w:rsidRPr="009F350F">
              <w:rPr>
                <w:rFonts w:ascii="Times New Roman" w:eastAsia="Calibri" w:hAnsi="Times New Roman" w:cs="Times New Roman"/>
                <w:b/>
                <w:color w:val="000000" w:themeColor="text1"/>
                <w:sz w:val="24"/>
                <w:szCs w:val="24"/>
                <w:lang w:val="en-US"/>
              </w:rPr>
              <w:t>7.5%</w:t>
            </w:r>
          </w:p>
        </w:tc>
        <w:tc>
          <w:tcPr>
            <w:tcW w:w="1080" w:type="dxa"/>
            <w:vAlign w:val="center"/>
          </w:tcPr>
          <w:p w14:paraId="67E4630F" w14:textId="77777777" w:rsidR="00C2186F" w:rsidRPr="009F350F" w:rsidRDefault="00C2186F" w:rsidP="00C2186F">
            <w:pPr>
              <w:spacing w:line="360" w:lineRule="auto"/>
              <w:jc w:val="center"/>
              <w:rPr>
                <w:rFonts w:ascii="Times New Roman" w:eastAsia="Calibri" w:hAnsi="Times New Roman" w:cs="Times New Roman"/>
                <w:b/>
                <w:color w:val="000000" w:themeColor="text1"/>
                <w:sz w:val="24"/>
                <w:szCs w:val="24"/>
                <w:lang w:val="en-US"/>
              </w:rPr>
            </w:pPr>
            <w:r w:rsidRPr="009F350F">
              <w:rPr>
                <w:rFonts w:ascii="Times New Roman" w:eastAsia="Calibri" w:hAnsi="Times New Roman" w:cs="Times New Roman"/>
                <w:b/>
                <w:color w:val="000000" w:themeColor="text1"/>
                <w:sz w:val="24"/>
                <w:szCs w:val="24"/>
                <w:lang w:val="en-US"/>
              </w:rPr>
              <w:t>2.5%</w:t>
            </w:r>
          </w:p>
        </w:tc>
        <w:tc>
          <w:tcPr>
            <w:tcW w:w="1080" w:type="dxa"/>
            <w:vAlign w:val="center"/>
          </w:tcPr>
          <w:p w14:paraId="3FB92605" w14:textId="77777777" w:rsidR="00C2186F" w:rsidRPr="009F350F" w:rsidRDefault="00C2186F" w:rsidP="00C2186F">
            <w:pPr>
              <w:spacing w:line="360" w:lineRule="auto"/>
              <w:jc w:val="center"/>
              <w:rPr>
                <w:rFonts w:ascii="Times New Roman" w:eastAsia="Calibri" w:hAnsi="Times New Roman" w:cs="Times New Roman"/>
                <w:b/>
                <w:color w:val="000000" w:themeColor="text1"/>
                <w:sz w:val="24"/>
                <w:szCs w:val="24"/>
                <w:lang w:val="en-US"/>
              </w:rPr>
            </w:pPr>
            <w:r w:rsidRPr="009F350F">
              <w:rPr>
                <w:rFonts w:ascii="Times New Roman" w:eastAsia="Calibri" w:hAnsi="Times New Roman" w:cs="Times New Roman"/>
                <w:b/>
                <w:color w:val="000000" w:themeColor="text1"/>
                <w:sz w:val="24"/>
                <w:szCs w:val="24"/>
                <w:lang w:val="en-US"/>
              </w:rPr>
              <w:t>5%</w:t>
            </w:r>
          </w:p>
        </w:tc>
        <w:tc>
          <w:tcPr>
            <w:tcW w:w="900" w:type="dxa"/>
            <w:vAlign w:val="center"/>
          </w:tcPr>
          <w:p w14:paraId="3CF4530D" w14:textId="77777777" w:rsidR="00C2186F" w:rsidRPr="009F350F" w:rsidRDefault="00C2186F" w:rsidP="00C2186F">
            <w:pPr>
              <w:spacing w:line="360" w:lineRule="auto"/>
              <w:jc w:val="center"/>
              <w:rPr>
                <w:rFonts w:ascii="Times New Roman" w:eastAsia="Calibri" w:hAnsi="Times New Roman" w:cs="Times New Roman"/>
                <w:b/>
                <w:color w:val="000000" w:themeColor="text1"/>
                <w:sz w:val="24"/>
                <w:szCs w:val="24"/>
                <w:lang w:val="en-US"/>
              </w:rPr>
            </w:pPr>
            <w:r w:rsidRPr="009F350F">
              <w:rPr>
                <w:rFonts w:ascii="Times New Roman" w:eastAsia="Calibri" w:hAnsi="Times New Roman" w:cs="Times New Roman"/>
                <w:b/>
                <w:color w:val="000000" w:themeColor="text1"/>
                <w:sz w:val="24"/>
                <w:szCs w:val="24"/>
                <w:lang w:val="en-US"/>
              </w:rPr>
              <w:t>7.5%</w:t>
            </w:r>
          </w:p>
        </w:tc>
      </w:tr>
      <w:tr w:rsidR="005C7457" w:rsidRPr="009F350F" w14:paraId="1B866C6C" w14:textId="77777777" w:rsidTr="00C2186F">
        <w:tc>
          <w:tcPr>
            <w:tcW w:w="932" w:type="dxa"/>
            <w:vAlign w:val="center"/>
          </w:tcPr>
          <w:p w14:paraId="4AF537D9"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9F350F">
              <w:rPr>
                <w:rFonts w:ascii="Times New Roman" w:eastAsia="Calibri" w:hAnsi="Times New Roman" w:cs="Times New Roman"/>
                <w:color w:val="000000" w:themeColor="text1"/>
                <w:sz w:val="24"/>
                <w:szCs w:val="24"/>
                <w:lang w:val="en-US"/>
              </w:rPr>
              <w:t>1.</w:t>
            </w:r>
          </w:p>
        </w:tc>
        <w:tc>
          <w:tcPr>
            <w:tcW w:w="906" w:type="dxa"/>
            <w:vAlign w:val="center"/>
          </w:tcPr>
          <w:p w14:paraId="3C6C5A1F"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T</w:t>
            </w:r>
            <w:r w:rsidRPr="009F350F">
              <w:rPr>
                <w:rFonts w:ascii="Times New Roman" w:eastAsia="Calibri" w:hAnsi="Times New Roman" w:cs="Times New Roman"/>
                <w:color w:val="000000" w:themeColor="text1"/>
                <w:sz w:val="24"/>
                <w:szCs w:val="24"/>
                <w:vertAlign w:val="subscript"/>
              </w:rPr>
              <w:t>1</w:t>
            </w:r>
          </w:p>
        </w:tc>
        <w:tc>
          <w:tcPr>
            <w:tcW w:w="1397" w:type="dxa"/>
            <w:vAlign w:val="center"/>
          </w:tcPr>
          <w:p w14:paraId="23CA2C62"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9F350F">
              <w:rPr>
                <w:rFonts w:ascii="Times New Roman" w:eastAsia="Calibri" w:hAnsi="Times New Roman" w:cs="Times New Roman"/>
                <w:color w:val="000000" w:themeColor="text1"/>
                <w:sz w:val="24"/>
                <w:szCs w:val="24"/>
              </w:rPr>
              <w:t>Madar</w:t>
            </w:r>
          </w:p>
        </w:tc>
        <w:tc>
          <w:tcPr>
            <w:tcW w:w="2340" w:type="dxa"/>
            <w:vAlign w:val="center"/>
          </w:tcPr>
          <w:p w14:paraId="1E156C44"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9F350F">
              <w:rPr>
                <w:rFonts w:ascii="Times New Roman" w:eastAsia="Calibri" w:hAnsi="Times New Roman" w:cs="Times New Roman"/>
                <w:bCs/>
                <w:i/>
                <w:iCs/>
                <w:color w:val="000000" w:themeColor="text1"/>
                <w:sz w:val="24"/>
                <w:szCs w:val="24"/>
                <w:shd w:val="clear" w:color="auto" w:fill="FFFFFF"/>
              </w:rPr>
              <w:t>Calotropis gigantea</w:t>
            </w:r>
          </w:p>
        </w:tc>
        <w:tc>
          <w:tcPr>
            <w:tcW w:w="1260" w:type="dxa"/>
            <w:vAlign w:val="center"/>
          </w:tcPr>
          <w:p w14:paraId="36E73D2D"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Leave</w:t>
            </w:r>
          </w:p>
        </w:tc>
        <w:tc>
          <w:tcPr>
            <w:tcW w:w="1260" w:type="dxa"/>
            <w:vAlign w:val="center"/>
          </w:tcPr>
          <w:p w14:paraId="6022C455"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8.60</w:t>
            </w:r>
          </w:p>
        </w:tc>
        <w:tc>
          <w:tcPr>
            <w:tcW w:w="1080" w:type="dxa"/>
            <w:vAlign w:val="center"/>
          </w:tcPr>
          <w:p w14:paraId="30D2DAAE"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8.03</w:t>
            </w:r>
          </w:p>
        </w:tc>
        <w:tc>
          <w:tcPr>
            <w:tcW w:w="1080" w:type="dxa"/>
            <w:vAlign w:val="center"/>
          </w:tcPr>
          <w:p w14:paraId="241C0AF9"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7.40</w:t>
            </w:r>
          </w:p>
        </w:tc>
        <w:tc>
          <w:tcPr>
            <w:tcW w:w="1080" w:type="dxa"/>
            <w:vAlign w:val="center"/>
          </w:tcPr>
          <w:p w14:paraId="62DDAA0D"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4.44</w:t>
            </w:r>
          </w:p>
        </w:tc>
        <w:tc>
          <w:tcPr>
            <w:tcW w:w="1080" w:type="dxa"/>
            <w:vAlign w:val="center"/>
          </w:tcPr>
          <w:p w14:paraId="6CD1AC61"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10.74</w:t>
            </w:r>
          </w:p>
        </w:tc>
        <w:tc>
          <w:tcPr>
            <w:tcW w:w="900" w:type="dxa"/>
            <w:vAlign w:val="center"/>
          </w:tcPr>
          <w:p w14:paraId="42CF0883"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17.78</w:t>
            </w:r>
          </w:p>
        </w:tc>
      </w:tr>
      <w:tr w:rsidR="005C7457" w:rsidRPr="009F350F" w14:paraId="2401AC30" w14:textId="77777777" w:rsidTr="00C2186F">
        <w:tc>
          <w:tcPr>
            <w:tcW w:w="932" w:type="dxa"/>
            <w:vAlign w:val="center"/>
          </w:tcPr>
          <w:p w14:paraId="0EFA351E"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9F350F">
              <w:rPr>
                <w:rFonts w:ascii="Times New Roman" w:eastAsia="Calibri" w:hAnsi="Times New Roman" w:cs="Times New Roman"/>
                <w:color w:val="000000" w:themeColor="text1"/>
                <w:sz w:val="24"/>
                <w:szCs w:val="24"/>
                <w:lang w:val="en-US"/>
              </w:rPr>
              <w:t>2.</w:t>
            </w:r>
          </w:p>
        </w:tc>
        <w:tc>
          <w:tcPr>
            <w:tcW w:w="906" w:type="dxa"/>
            <w:vAlign w:val="center"/>
          </w:tcPr>
          <w:p w14:paraId="2FD4771F"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T</w:t>
            </w:r>
            <w:r w:rsidRPr="009F350F">
              <w:rPr>
                <w:rFonts w:ascii="Times New Roman" w:eastAsia="Calibri" w:hAnsi="Times New Roman" w:cs="Times New Roman"/>
                <w:color w:val="000000" w:themeColor="text1"/>
                <w:sz w:val="24"/>
                <w:szCs w:val="24"/>
                <w:vertAlign w:val="subscript"/>
              </w:rPr>
              <w:t>2</w:t>
            </w:r>
          </w:p>
        </w:tc>
        <w:tc>
          <w:tcPr>
            <w:tcW w:w="1397" w:type="dxa"/>
            <w:vAlign w:val="center"/>
          </w:tcPr>
          <w:p w14:paraId="04EAB516"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lang w:val="en-US"/>
              </w:rPr>
            </w:pPr>
            <w:proofErr w:type="spellStart"/>
            <w:r w:rsidRPr="009F350F">
              <w:rPr>
                <w:rFonts w:ascii="Times New Roman" w:eastAsia="Calibri" w:hAnsi="Times New Roman" w:cs="Times New Roman"/>
                <w:color w:val="000000" w:themeColor="text1"/>
                <w:sz w:val="24"/>
                <w:szCs w:val="24"/>
              </w:rPr>
              <w:t>Dathura</w:t>
            </w:r>
            <w:proofErr w:type="spellEnd"/>
          </w:p>
        </w:tc>
        <w:tc>
          <w:tcPr>
            <w:tcW w:w="2340" w:type="dxa"/>
            <w:vAlign w:val="center"/>
          </w:tcPr>
          <w:p w14:paraId="3B31B1C8" w14:textId="77777777" w:rsidR="00C2186F" w:rsidRPr="009F350F" w:rsidRDefault="00C2186F" w:rsidP="00C2186F">
            <w:pPr>
              <w:shd w:val="clear" w:color="auto" w:fill="FFFFFF"/>
              <w:spacing w:line="360" w:lineRule="auto"/>
              <w:jc w:val="center"/>
              <w:outlineLvl w:val="0"/>
              <w:rPr>
                <w:rFonts w:ascii="Times New Roman" w:eastAsia="Times New Roman" w:hAnsi="Times New Roman" w:cs="Times New Roman"/>
                <w:color w:val="000000" w:themeColor="text1"/>
                <w:kern w:val="36"/>
                <w:sz w:val="24"/>
                <w:szCs w:val="24"/>
                <w:lang w:eastAsia="en-IN"/>
              </w:rPr>
            </w:pPr>
            <w:r w:rsidRPr="009F350F">
              <w:rPr>
                <w:rFonts w:ascii="Times New Roman" w:eastAsia="Times New Roman" w:hAnsi="Times New Roman" w:cs="Times New Roman"/>
                <w:i/>
                <w:iCs/>
                <w:color w:val="000000" w:themeColor="text1"/>
                <w:kern w:val="36"/>
                <w:sz w:val="24"/>
                <w:szCs w:val="24"/>
                <w:lang w:eastAsia="en-IN"/>
              </w:rPr>
              <w:t>Datura stramonium</w:t>
            </w:r>
          </w:p>
        </w:tc>
        <w:tc>
          <w:tcPr>
            <w:tcW w:w="1260" w:type="dxa"/>
            <w:vAlign w:val="center"/>
          </w:tcPr>
          <w:p w14:paraId="7C7E269C"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Leave</w:t>
            </w:r>
          </w:p>
        </w:tc>
        <w:tc>
          <w:tcPr>
            <w:tcW w:w="1260" w:type="dxa"/>
            <w:vAlign w:val="center"/>
          </w:tcPr>
          <w:p w14:paraId="0E9C3087"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4.70</w:t>
            </w:r>
          </w:p>
        </w:tc>
        <w:tc>
          <w:tcPr>
            <w:tcW w:w="1080" w:type="dxa"/>
            <w:vAlign w:val="center"/>
          </w:tcPr>
          <w:p w14:paraId="18FE5648"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4.13</w:t>
            </w:r>
          </w:p>
        </w:tc>
        <w:tc>
          <w:tcPr>
            <w:tcW w:w="1080" w:type="dxa"/>
            <w:vAlign w:val="center"/>
          </w:tcPr>
          <w:p w14:paraId="7040B436"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3.53</w:t>
            </w:r>
          </w:p>
        </w:tc>
        <w:tc>
          <w:tcPr>
            <w:tcW w:w="1080" w:type="dxa"/>
            <w:vAlign w:val="center"/>
          </w:tcPr>
          <w:p w14:paraId="7D4E7453"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47.77</w:t>
            </w:r>
          </w:p>
        </w:tc>
        <w:tc>
          <w:tcPr>
            <w:tcW w:w="1080" w:type="dxa"/>
            <w:vAlign w:val="center"/>
          </w:tcPr>
          <w:p w14:paraId="45D185F8"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54.07</w:t>
            </w:r>
          </w:p>
        </w:tc>
        <w:tc>
          <w:tcPr>
            <w:tcW w:w="900" w:type="dxa"/>
            <w:vAlign w:val="center"/>
          </w:tcPr>
          <w:p w14:paraId="120D51A4"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60.74</w:t>
            </w:r>
          </w:p>
        </w:tc>
      </w:tr>
      <w:tr w:rsidR="005C7457" w:rsidRPr="009F350F" w14:paraId="6C8CE6D9" w14:textId="77777777" w:rsidTr="00C2186F">
        <w:tc>
          <w:tcPr>
            <w:tcW w:w="932" w:type="dxa"/>
            <w:vAlign w:val="center"/>
          </w:tcPr>
          <w:p w14:paraId="6F377C56"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9F350F">
              <w:rPr>
                <w:rFonts w:ascii="Times New Roman" w:eastAsia="Calibri" w:hAnsi="Times New Roman" w:cs="Times New Roman"/>
                <w:color w:val="000000" w:themeColor="text1"/>
                <w:sz w:val="24"/>
                <w:szCs w:val="24"/>
                <w:lang w:val="en-US"/>
              </w:rPr>
              <w:t>3.</w:t>
            </w:r>
          </w:p>
        </w:tc>
        <w:tc>
          <w:tcPr>
            <w:tcW w:w="906" w:type="dxa"/>
            <w:vAlign w:val="center"/>
          </w:tcPr>
          <w:p w14:paraId="3EA9D359"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T</w:t>
            </w:r>
            <w:r w:rsidRPr="009F350F">
              <w:rPr>
                <w:rFonts w:ascii="Times New Roman" w:eastAsia="Calibri" w:hAnsi="Times New Roman" w:cs="Times New Roman"/>
                <w:color w:val="000000" w:themeColor="text1"/>
                <w:sz w:val="24"/>
                <w:szCs w:val="24"/>
                <w:vertAlign w:val="subscript"/>
              </w:rPr>
              <w:t>3</w:t>
            </w:r>
          </w:p>
        </w:tc>
        <w:tc>
          <w:tcPr>
            <w:tcW w:w="1397" w:type="dxa"/>
            <w:vAlign w:val="center"/>
          </w:tcPr>
          <w:p w14:paraId="141DCA96"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9F350F">
              <w:rPr>
                <w:rFonts w:ascii="Times New Roman" w:eastAsia="Calibri" w:hAnsi="Times New Roman" w:cs="Times New Roman"/>
                <w:color w:val="000000" w:themeColor="text1"/>
                <w:sz w:val="24"/>
                <w:szCs w:val="24"/>
              </w:rPr>
              <w:t>Argemone</w:t>
            </w:r>
          </w:p>
        </w:tc>
        <w:tc>
          <w:tcPr>
            <w:tcW w:w="2340" w:type="dxa"/>
            <w:vAlign w:val="center"/>
          </w:tcPr>
          <w:p w14:paraId="55F19A62" w14:textId="77777777" w:rsidR="00C2186F" w:rsidRPr="009F350F" w:rsidRDefault="00C2186F" w:rsidP="00C2186F">
            <w:pPr>
              <w:spacing w:line="360" w:lineRule="auto"/>
              <w:jc w:val="center"/>
              <w:outlineLvl w:val="0"/>
              <w:rPr>
                <w:rFonts w:ascii="Times New Roman" w:eastAsia="Times New Roman" w:hAnsi="Times New Roman" w:cs="Times New Roman"/>
                <w:color w:val="000000" w:themeColor="text1"/>
                <w:kern w:val="36"/>
                <w:sz w:val="24"/>
                <w:szCs w:val="24"/>
                <w:lang w:eastAsia="en-IN"/>
              </w:rPr>
            </w:pPr>
            <w:r w:rsidRPr="009F350F">
              <w:rPr>
                <w:rFonts w:ascii="Times New Roman" w:eastAsia="Times New Roman" w:hAnsi="Times New Roman" w:cs="Times New Roman"/>
                <w:i/>
                <w:iCs/>
                <w:color w:val="000000" w:themeColor="text1"/>
                <w:kern w:val="36"/>
                <w:sz w:val="24"/>
                <w:szCs w:val="24"/>
                <w:lang w:eastAsia="en-IN"/>
              </w:rPr>
              <w:t>Argemone mexicana</w:t>
            </w:r>
          </w:p>
          <w:p w14:paraId="30BC7CCA" w14:textId="77777777" w:rsidR="00C2186F" w:rsidRPr="009F350F" w:rsidRDefault="00C2186F" w:rsidP="00C2186F">
            <w:pPr>
              <w:spacing w:line="360" w:lineRule="auto"/>
              <w:jc w:val="center"/>
              <w:rPr>
                <w:rFonts w:ascii="Times New Roman" w:eastAsia="Times New Roman" w:hAnsi="Times New Roman" w:cs="Times New Roman"/>
                <w:color w:val="000000" w:themeColor="text1"/>
                <w:sz w:val="24"/>
                <w:szCs w:val="24"/>
                <w:lang w:eastAsia="en-IN"/>
              </w:rPr>
            </w:pPr>
          </w:p>
        </w:tc>
        <w:tc>
          <w:tcPr>
            <w:tcW w:w="1260" w:type="dxa"/>
            <w:vAlign w:val="center"/>
          </w:tcPr>
          <w:p w14:paraId="4A0C2D65"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Leave</w:t>
            </w:r>
          </w:p>
        </w:tc>
        <w:tc>
          <w:tcPr>
            <w:tcW w:w="1260" w:type="dxa"/>
            <w:vAlign w:val="center"/>
          </w:tcPr>
          <w:p w14:paraId="503657A1"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8.40</w:t>
            </w:r>
          </w:p>
        </w:tc>
        <w:tc>
          <w:tcPr>
            <w:tcW w:w="1080" w:type="dxa"/>
            <w:vAlign w:val="center"/>
          </w:tcPr>
          <w:p w14:paraId="4FCC9075"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7.93</w:t>
            </w:r>
          </w:p>
        </w:tc>
        <w:tc>
          <w:tcPr>
            <w:tcW w:w="1080" w:type="dxa"/>
            <w:vAlign w:val="center"/>
          </w:tcPr>
          <w:p w14:paraId="75CEB197"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7.13</w:t>
            </w:r>
          </w:p>
        </w:tc>
        <w:tc>
          <w:tcPr>
            <w:tcW w:w="1080" w:type="dxa"/>
            <w:vAlign w:val="center"/>
          </w:tcPr>
          <w:p w14:paraId="157FECF0"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6.66</w:t>
            </w:r>
          </w:p>
        </w:tc>
        <w:tc>
          <w:tcPr>
            <w:tcW w:w="1080" w:type="dxa"/>
            <w:vAlign w:val="center"/>
          </w:tcPr>
          <w:p w14:paraId="67B1690F"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11.85</w:t>
            </w:r>
          </w:p>
        </w:tc>
        <w:tc>
          <w:tcPr>
            <w:tcW w:w="900" w:type="dxa"/>
            <w:vAlign w:val="center"/>
          </w:tcPr>
          <w:p w14:paraId="1C18554B"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20.74</w:t>
            </w:r>
          </w:p>
        </w:tc>
      </w:tr>
      <w:tr w:rsidR="005C7457" w:rsidRPr="009F350F" w14:paraId="0E13BB9B" w14:textId="77777777" w:rsidTr="00C2186F">
        <w:tc>
          <w:tcPr>
            <w:tcW w:w="932" w:type="dxa"/>
            <w:vAlign w:val="center"/>
          </w:tcPr>
          <w:p w14:paraId="74811368"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9F350F">
              <w:rPr>
                <w:rFonts w:ascii="Times New Roman" w:eastAsia="Calibri" w:hAnsi="Times New Roman" w:cs="Times New Roman"/>
                <w:color w:val="000000" w:themeColor="text1"/>
                <w:sz w:val="24"/>
                <w:szCs w:val="24"/>
                <w:lang w:val="en-US"/>
              </w:rPr>
              <w:t>4.</w:t>
            </w:r>
          </w:p>
        </w:tc>
        <w:tc>
          <w:tcPr>
            <w:tcW w:w="906" w:type="dxa"/>
            <w:vAlign w:val="center"/>
          </w:tcPr>
          <w:p w14:paraId="16D2714C"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T</w:t>
            </w:r>
            <w:r w:rsidRPr="009F350F">
              <w:rPr>
                <w:rFonts w:ascii="Times New Roman" w:eastAsia="Calibri" w:hAnsi="Times New Roman" w:cs="Times New Roman"/>
                <w:color w:val="000000" w:themeColor="text1"/>
                <w:sz w:val="24"/>
                <w:szCs w:val="24"/>
                <w:vertAlign w:val="subscript"/>
              </w:rPr>
              <w:t>4</w:t>
            </w:r>
          </w:p>
        </w:tc>
        <w:tc>
          <w:tcPr>
            <w:tcW w:w="1397" w:type="dxa"/>
            <w:vAlign w:val="center"/>
          </w:tcPr>
          <w:p w14:paraId="22513578"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9F350F">
              <w:rPr>
                <w:rFonts w:ascii="Times New Roman" w:eastAsia="Calibri" w:hAnsi="Times New Roman" w:cs="Times New Roman"/>
                <w:color w:val="000000" w:themeColor="text1"/>
                <w:sz w:val="24"/>
                <w:szCs w:val="24"/>
              </w:rPr>
              <w:t>Neem</w:t>
            </w:r>
          </w:p>
        </w:tc>
        <w:tc>
          <w:tcPr>
            <w:tcW w:w="2340" w:type="dxa"/>
            <w:vAlign w:val="center"/>
          </w:tcPr>
          <w:p w14:paraId="207D13AA"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lang w:val="en-US"/>
              </w:rPr>
            </w:pPr>
            <w:proofErr w:type="spellStart"/>
            <w:r w:rsidRPr="009F350F">
              <w:rPr>
                <w:rFonts w:ascii="Times New Roman" w:eastAsia="Calibri" w:hAnsi="Times New Roman" w:cs="Times New Roman"/>
                <w:bCs/>
                <w:i/>
                <w:iCs/>
                <w:color w:val="000000" w:themeColor="text1"/>
                <w:sz w:val="24"/>
                <w:szCs w:val="24"/>
                <w:shd w:val="clear" w:color="auto" w:fill="FFFFFF"/>
              </w:rPr>
              <w:t>Azadirachta</w:t>
            </w:r>
            <w:proofErr w:type="spellEnd"/>
            <w:r w:rsidRPr="009F350F">
              <w:rPr>
                <w:rFonts w:ascii="Times New Roman" w:eastAsia="Calibri" w:hAnsi="Times New Roman" w:cs="Times New Roman"/>
                <w:bCs/>
                <w:i/>
                <w:iCs/>
                <w:color w:val="000000" w:themeColor="text1"/>
                <w:sz w:val="24"/>
                <w:szCs w:val="24"/>
                <w:shd w:val="clear" w:color="auto" w:fill="FFFFFF"/>
              </w:rPr>
              <w:t xml:space="preserve"> indica</w:t>
            </w:r>
          </w:p>
        </w:tc>
        <w:tc>
          <w:tcPr>
            <w:tcW w:w="1260" w:type="dxa"/>
            <w:vAlign w:val="center"/>
          </w:tcPr>
          <w:p w14:paraId="796816C7"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Leave</w:t>
            </w:r>
          </w:p>
        </w:tc>
        <w:tc>
          <w:tcPr>
            <w:tcW w:w="1260" w:type="dxa"/>
            <w:vAlign w:val="center"/>
          </w:tcPr>
          <w:p w14:paraId="293ECF13"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2.83</w:t>
            </w:r>
          </w:p>
        </w:tc>
        <w:tc>
          <w:tcPr>
            <w:tcW w:w="1080" w:type="dxa"/>
            <w:vAlign w:val="center"/>
          </w:tcPr>
          <w:p w14:paraId="699ACC43"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2.36</w:t>
            </w:r>
          </w:p>
        </w:tc>
        <w:tc>
          <w:tcPr>
            <w:tcW w:w="1080" w:type="dxa"/>
            <w:vAlign w:val="center"/>
          </w:tcPr>
          <w:p w14:paraId="729B27AA"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1.83</w:t>
            </w:r>
          </w:p>
        </w:tc>
        <w:tc>
          <w:tcPr>
            <w:tcW w:w="1080" w:type="dxa"/>
            <w:vAlign w:val="center"/>
          </w:tcPr>
          <w:p w14:paraId="454D923A"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68.51</w:t>
            </w:r>
          </w:p>
        </w:tc>
        <w:tc>
          <w:tcPr>
            <w:tcW w:w="1080" w:type="dxa"/>
            <w:vAlign w:val="center"/>
          </w:tcPr>
          <w:p w14:paraId="4BEFA372"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73.70</w:t>
            </w:r>
          </w:p>
        </w:tc>
        <w:tc>
          <w:tcPr>
            <w:tcW w:w="900" w:type="dxa"/>
            <w:vAlign w:val="center"/>
          </w:tcPr>
          <w:p w14:paraId="435E273A"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79.63</w:t>
            </w:r>
          </w:p>
        </w:tc>
      </w:tr>
      <w:tr w:rsidR="005C7457" w:rsidRPr="009F350F" w14:paraId="36821689" w14:textId="77777777" w:rsidTr="00C2186F">
        <w:tc>
          <w:tcPr>
            <w:tcW w:w="932" w:type="dxa"/>
            <w:vAlign w:val="center"/>
          </w:tcPr>
          <w:p w14:paraId="2610F37D"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9F350F">
              <w:rPr>
                <w:rFonts w:ascii="Times New Roman" w:eastAsia="Calibri" w:hAnsi="Times New Roman" w:cs="Times New Roman"/>
                <w:color w:val="000000" w:themeColor="text1"/>
                <w:sz w:val="24"/>
                <w:szCs w:val="24"/>
                <w:lang w:val="en-US"/>
              </w:rPr>
              <w:t>5.</w:t>
            </w:r>
          </w:p>
        </w:tc>
        <w:tc>
          <w:tcPr>
            <w:tcW w:w="906" w:type="dxa"/>
            <w:vAlign w:val="center"/>
          </w:tcPr>
          <w:p w14:paraId="7359D581"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T</w:t>
            </w:r>
            <w:r w:rsidRPr="009F350F">
              <w:rPr>
                <w:rFonts w:ascii="Times New Roman" w:eastAsia="Calibri" w:hAnsi="Times New Roman" w:cs="Times New Roman"/>
                <w:color w:val="000000" w:themeColor="text1"/>
                <w:sz w:val="24"/>
                <w:szCs w:val="24"/>
                <w:vertAlign w:val="subscript"/>
              </w:rPr>
              <w:t>5</w:t>
            </w:r>
          </w:p>
        </w:tc>
        <w:tc>
          <w:tcPr>
            <w:tcW w:w="1397" w:type="dxa"/>
            <w:vAlign w:val="center"/>
          </w:tcPr>
          <w:p w14:paraId="5860A08F"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lang w:val="en-US"/>
              </w:rPr>
            </w:pPr>
            <w:proofErr w:type="spellStart"/>
            <w:r w:rsidRPr="009F350F">
              <w:rPr>
                <w:rFonts w:ascii="Times New Roman" w:eastAsia="Calibri" w:hAnsi="Times New Roman" w:cs="Times New Roman"/>
                <w:color w:val="000000" w:themeColor="text1"/>
                <w:sz w:val="24"/>
                <w:szCs w:val="24"/>
              </w:rPr>
              <w:t>Sadabahar</w:t>
            </w:r>
            <w:proofErr w:type="spellEnd"/>
          </w:p>
        </w:tc>
        <w:tc>
          <w:tcPr>
            <w:tcW w:w="2340" w:type="dxa"/>
            <w:vAlign w:val="center"/>
          </w:tcPr>
          <w:p w14:paraId="0DFC80F8" w14:textId="77777777" w:rsidR="00C2186F" w:rsidRPr="009F350F" w:rsidRDefault="00C2186F" w:rsidP="00C2186F">
            <w:pPr>
              <w:spacing w:line="360" w:lineRule="auto"/>
              <w:jc w:val="center"/>
              <w:rPr>
                <w:rFonts w:ascii="Times New Roman" w:eastAsia="Calibri" w:hAnsi="Times New Roman" w:cs="Times New Roman"/>
                <w:i/>
                <w:color w:val="000000" w:themeColor="text1"/>
                <w:sz w:val="24"/>
                <w:szCs w:val="24"/>
                <w:lang w:val="en-US"/>
              </w:rPr>
            </w:pPr>
            <w:hyperlink r:id="rId17" w:anchor="Catharanthus_trichophyllus_(Baker)_Pichon_-_Madagascar._Also_known_as_Sadabahar_or_Baramasi_in_India." w:history="1">
              <w:r w:rsidRPr="009F350F">
                <w:rPr>
                  <w:rFonts w:ascii="Times New Roman" w:eastAsia="Calibri" w:hAnsi="Times New Roman" w:cs="Times New Roman"/>
                  <w:i/>
                  <w:color w:val="000000" w:themeColor="text1"/>
                  <w:sz w:val="24"/>
                  <w:szCs w:val="24"/>
                  <w:shd w:val="clear" w:color="auto" w:fill="FFFFFF"/>
                </w:rPr>
                <w:t xml:space="preserve">Catharanthus </w:t>
              </w:r>
              <w:proofErr w:type="spellStart"/>
              <w:r w:rsidRPr="009F350F">
                <w:rPr>
                  <w:rFonts w:ascii="Times New Roman" w:eastAsia="Calibri" w:hAnsi="Times New Roman" w:cs="Times New Roman"/>
                  <w:i/>
                  <w:color w:val="000000" w:themeColor="text1"/>
                  <w:sz w:val="24"/>
                  <w:szCs w:val="24"/>
                  <w:shd w:val="clear" w:color="auto" w:fill="FFFFFF"/>
                </w:rPr>
                <w:t>trichophyllus</w:t>
              </w:r>
              <w:proofErr w:type="spellEnd"/>
            </w:hyperlink>
          </w:p>
        </w:tc>
        <w:tc>
          <w:tcPr>
            <w:tcW w:w="1260" w:type="dxa"/>
            <w:vAlign w:val="center"/>
          </w:tcPr>
          <w:p w14:paraId="2AEC569A"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leave</w:t>
            </w:r>
          </w:p>
        </w:tc>
        <w:tc>
          <w:tcPr>
            <w:tcW w:w="1260" w:type="dxa"/>
            <w:vAlign w:val="center"/>
          </w:tcPr>
          <w:p w14:paraId="47C327BD"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6.40</w:t>
            </w:r>
          </w:p>
        </w:tc>
        <w:tc>
          <w:tcPr>
            <w:tcW w:w="1080" w:type="dxa"/>
            <w:vAlign w:val="center"/>
          </w:tcPr>
          <w:p w14:paraId="24D856AD"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5.83</w:t>
            </w:r>
          </w:p>
        </w:tc>
        <w:tc>
          <w:tcPr>
            <w:tcW w:w="1080" w:type="dxa"/>
            <w:vAlign w:val="center"/>
          </w:tcPr>
          <w:p w14:paraId="1A81FC99"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5.13</w:t>
            </w:r>
          </w:p>
        </w:tc>
        <w:tc>
          <w:tcPr>
            <w:tcW w:w="1080" w:type="dxa"/>
            <w:vAlign w:val="center"/>
          </w:tcPr>
          <w:p w14:paraId="07C43395"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28.88</w:t>
            </w:r>
          </w:p>
        </w:tc>
        <w:tc>
          <w:tcPr>
            <w:tcW w:w="1080" w:type="dxa"/>
            <w:vAlign w:val="center"/>
          </w:tcPr>
          <w:p w14:paraId="0CFB7EE0"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35.18</w:t>
            </w:r>
          </w:p>
        </w:tc>
        <w:tc>
          <w:tcPr>
            <w:tcW w:w="900" w:type="dxa"/>
            <w:vAlign w:val="center"/>
          </w:tcPr>
          <w:p w14:paraId="273EFD24"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42.96</w:t>
            </w:r>
          </w:p>
        </w:tc>
      </w:tr>
      <w:tr w:rsidR="005C7457" w:rsidRPr="009F350F" w14:paraId="70C43AEE" w14:textId="77777777" w:rsidTr="00C2186F">
        <w:tc>
          <w:tcPr>
            <w:tcW w:w="932" w:type="dxa"/>
            <w:vAlign w:val="center"/>
          </w:tcPr>
          <w:p w14:paraId="37A7520C"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9F350F">
              <w:rPr>
                <w:rFonts w:ascii="Times New Roman" w:eastAsia="Calibri" w:hAnsi="Times New Roman" w:cs="Times New Roman"/>
                <w:color w:val="000000" w:themeColor="text1"/>
                <w:sz w:val="24"/>
                <w:szCs w:val="24"/>
                <w:lang w:val="en-US"/>
              </w:rPr>
              <w:t>6.</w:t>
            </w:r>
          </w:p>
        </w:tc>
        <w:tc>
          <w:tcPr>
            <w:tcW w:w="906" w:type="dxa"/>
            <w:vAlign w:val="center"/>
          </w:tcPr>
          <w:p w14:paraId="29036CC1"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T</w:t>
            </w:r>
            <w:r w:rsidRPr="009F350F">
              <w:rPr>
                <w:rFonts w:ascii="Times New Roman" w:eastAsia="Calibri" w:hAnsi="Times New Roman" w:cs="Times New Roman"/>
                <w:color w:val="000000" w:themeColor="text1"/>
                <w:sz w:val="24"/>
                <w:szCs w:val="24"/>
                <w:vertAlign w:val="subscript"/>
              </w:rPr>
              <w:t>6</w:t>
            </w:r>
          </w:p>
        </w:tc>
        <w:tc>
          <w:tcPr>
            <w:tcW w:w="1397" w:type="dxa"/>
            <w:vAlign w:val="center"/>
          </w:tcPr>
          <w:p w14:paraId="036FEC27"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9F350F">
              <w:rPr>
                <w:rFonts w:ascii="Times New Roman" w:eastAsia="Calibri" w:hAnsi="Times New Roman" w:cs="Times New Roman"/>
                <w:color w:val="000000" w:themeColor="text1"/>
                <w:sz w:val="24"/>
                <w:szCs w:val="24"/>
              </w:rPr>
              <w:t>Tulsi</w:t>
            </w:r>
          </w:p>
        </w:tc>
        <w:tc>
          <w:tcPr>
            <w:tcW w:w="2340" w:type="dxa"/>
            <w:vAlign w:val="center"/>
          </w:tcPr>
          <w:p w14:paraId="77C344F1"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9F350F">
              <w:rPr>
                <w:rFonts w:ascii="Times New Roman" w:eastAsia="Calibri" w:hAnsi="Times New Roman" w:cs="Times New Roman"/>
                <w:bCs/>
                <w:i/>
                <w:iCs/>
                <w:color w:val="000000" w:themeColor="text1"/>
                <w:sz w:val="24"/>
                <w:szCs w:val="24"/>
                <w:shd w:val="clear" w:color="auto" w:fill="FFFFFF"/>
              </w:rPr>
              <w:t xml:space="preserve">Ocimum </w:t>
            </w:r>
            <w:proofErr w:type="spellStart"/>
            <w:r w:rsidRPr="009F350F">
              <w:rPr>
                <w:rFonts w:ascii="Times New Roman" w:eastAsia="Calibri" w:hAnsi="Times New Roman" w:cs="Times New Roman"/>
                <w:bCs/>
                <w:i/>
                <w:iCs/>
                <w:color w:val="000000" w:themeColor="text1"/>
                <w:sz w:val="24"/>
                <w:szCs w:val="24"/>
                <w:shd w:val="clear" w:color="auto" w:fill="FFFFFF"/>
              </w:rPr>
              <w:t>tenuiflorum</w:t>
            </w:r>
            <w:proofErr w:type="spellEnd"/>
          </w:p>
        </w:tc>
        <w:tc>
          <w:tcPr>
            <w:tcW w:w="1260" w:type="dxa"/>
            <w:vAlign w:val="center"/>
          </w:tcPr>
          <w:p w14:paraId="1938DB46"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Leave</w:t>
            </w:r>
          </w:p>
        </w:tc>
        <w:tc>
          <w:tcPr>
            <w:tcW w:w="1260" w:type="dxa"/>
            <w:vAlign w:val="center"/>
          </w:tcPr>
          <w:p w14:paraId="3540BA83"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3.20</w:t>
            </w:r>
          </w:p>
        </w:tc>
        <w:tc>
          <w:tcPr>
            <w:tcW w:w="1080" w:type="dxa"/>
            <w:vAlign w:val="center"/>
          </w:tcPr>
          <w:p w14:paraId="0F400245"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2.66</w:t>
            </w:r>
          </w:p>
        </w:tc>
        <w:tc>
          <w:tcPr>
            <w:tcW w:w="1080" w:type="dxa"/>
            <w:vAlign w:val="center"/>
          </w:tcPr>
          <w:p w14:paraId="25A3B9E7"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2.13</w:t>
            </w:r>
          </w:p>
        </w:tc>
        <w:tc>
          <w:tcPr>
            <w:tcW w:w="1080" w:type="dxa"/>
            <w:vAlign w:val="center"/>
          </w:tcPr>
          <w:p w14:paraId="151FAC89"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64.44</w:t>
            </w:r>
          </w:p>
        </w:tc>
        <w:tc>
          <w:tcPr>
            <w:tcW w:w="1080" w:type="dxa"/>
            <w:vAlign w:val="center"/>
          </w:tcPr>
          <w:p w14:paraId="7B2AC088"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70.37</w:t>
            </w:r>
          </w:p>
        </w:tc>
        <w:tc>
          <w:tcPr>
            <w:tcW w:w="900" w:type="dxa"/>
            <w:vAlign w:val="center"/>
          </w:tcPr>
          <w:p w14:paraId="32292D86"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76.30</w:t>
            </w:r>
          </w:p>
        </w:tc>
      </w:tr>
      <w:tr w:rsidR="005C7457" w:rsidRPr="009F350F" w14:paraId="0C9B0CBF" w14:textId="77777777" w:rsidTr="00C2186F">
        <w:tc>
          <w:tcPr>
            <w:tcW w:w="932" w:type="dxa"/>
            <w:vAlign w:val="center"/>
          </w:tcPr>
          <w:p w14:paraId="3315A0B7"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9F350F">
              <w:rPr>
                <w:rFonts w:ascii="Times New Roman" w:eastAsia="Calibri" w:hAnsi="Times New Roman" w:cs="Times New Roman"/>
                <w:color w:val="000000" w:themeColor="text1"/>
                <w:sz w:val="24"/>
                <w:szCs w:val="24"/>
                <w:lang w:val="en-US"/>
              </w:rPr>
              <w:t>7.</w:t>
            </w:r>
          </w:p>
        </w:tc>
        <w:tc>
          <w:tcPr>
            <w:tcW w:w="906" w:type="dxa"/>
            <w:vAlign w:val="center"/>
          </w:tcPr>
          <w:p w14:paraId="5FC367D1"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T</w:t>
            </w:r>
            <w:r w:rsidRPr="009F350F">
              <w:rPr>
                <w:rFonts w:ascii="Times New Roman" w:eastAsia="Calibri" w:hAnsi="Times New Roman" w:cs="Times New Roman"/>
                <w:color w:val="000000" w:themeColor="text1"/>
                <w:sz w:val="24"/>
                <w:szCs w:val="24"/>
                <w:vertAlign w:val="subscript"/>
              </w:rPr>
              <w:t>7</w:t>
            </w:r>
          </w:p>
        </w:tc>
        <w:tc>
          <w:tcPr>
            <w:tcW w:w="1397" w:type="dxa"/>
            <w:vAlign w:val="center"/>
          </w:tcPr>
          <w:p w14:paraId="6672A6DF"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9F350F">
              <w:rPr>
                <w:rFonts w:ascii="Times New Roman" w:eastAsia="Calibri" w:hAnsi="Times New Roman" w:cs="Times New Roman"/>
                <w:color w:val="000000" w:themeColor="text1"/>
                <w:sz w:val="24"/>
                <w:szCs w:val="24"/>
              </w:rPr>
              <w:t>Control</w:t>
            </w:r>
          </w:p>
        </w:tc>
        <w:tc>
          <w:tcPr>
            <w:tcW w:w="2340" w:type="dxa"/>
            <w:vAlign w:val="center"/>
          </w:tcPr>
          <w:p w14:paraId="5778B312"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lang w:val="en-US"/>
              </w:rPr>
            </w:pPr>
            <w:r w:rsidRPr="009F350F">
              <w:rPr>
                <w:rFonts w:ascii="Times New Roman" w:eastAsia="Calibri" w:hAnsi="Times New Roman" w:cs="Times New Roman"/>
                <w:color w:val="000000" w:themeColor="text1"/>
                <w:sz w:val="24"/>
                <w:szCs w:val="24"/>
                <w:lang w:val="en-US"/>
              </w:rPr>
              <w:t>Sterile Distilled Water</w:t>
            </w:r>
          </w:p>
        </w:tc>
        <w:tc>
          <w:tcPr>
            <w:tcW w:w="1260" w:type="dxa"/>
            <w:vAlign w:val="center"/>
          </w:tcPr>
          <w:p w14:paraId="4C7A8F42"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w:t>
            </w:r>
          </w:p>
        </w:tc>
        <w:tc>
          <w:tcPr>
            <w:tcW w:w="1260" w:type="dxa"/>
            <w:vAlign w:val="center"/>
          </w:tcPr>
          <w:p w14:paraId="14D6A907"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9.00</w:t>
            </w:r>
          </w:p>
        </w:tc>
        <w:tc>
          <w:tcPr>
            <w:tcW w:w="1080" w:type="dxa"/>
            <w:vAlign w:val="center"/>
          </w:tcPr>
          <w:p w14:paraId="0A1F210D"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9.00</w:t>
            </w:r>
          </w:p>
        </w:tc>
        <w:tc>
          <w:tcPr>
            <w:tcW w:w="1080" w:type="dxa"/>
            <w:vAlign w:val="center"/>
          </w:tcPr>
          <w:p w14:paraId="6743A957"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9.00</w:t>
            </w:r>
          </w:p>
        </w:tc>
        <w:tc>
          <w:tcPr>
            <w:tcW w:w="1080" w:type="dxa"/>
            <w:vAlign w:val="center"/>
          </w:tcPr>
          <w:p w14:paraId="29C46299"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0.00</w:t>
            </w:r>
          </w:p>
        </w:tc>
        <w:tc>
          <w:tcPr>
            <w:tcW w:w="1080" w:type="dxa"/>
            <w:vAlign w:val="center"/>
          </w:tcPr>
          <w:p w14:paraId="6E0741F3"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0.00</w:t>
            </w:r>
          </w:p>
        </w:tc>
        <w:tc>
          <w:tcPr>
            <w:tcW w:w="900" w:type="dxa"/>
            <w:vAlign w:val="center"/>
          </w:tcPr>
          <w:p w14:paraId="2779F43A"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0.00</w:t>
            </w:r>
          </w:p>
        </w:tc>
      </w:tr>
      <w:tr w:rsidR="005C7457" w:rsidRPr="009F350F" w14:paraId="6BBF8926" w14:textId="77777777" w:rsidTr="00C2186F">
        <w:tc>
          <w:tcPr>
            <w:tcW w:w="6835" w:type="dxa"/>
            <w:gridSpan w:val="5"/>
            <w:vAlign w:val="center"/>
          </w:tcPr>
          <w:p w14:paraId="3344AD4A"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SE(m)</w:t>
            </w:r>
          </w:p>
        </w:tc>
        <w:tc>
          <w:tcPr>
            <w:tcW w:w="1260" w:type="dxa"/>
            <w:vAlign w:val="center"/>
          </w:tcPr>
          <w:p w14:paraId="6CB8C8AC"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0.05</w:t>
            </w:r>
          </w:p>
        </w:tc>
        <w:tc>
          <w:tcPr>
            <w:tcW w:w="1080" w:type="dxa"/>
            <w:vAlign w:val="center"/>
          </w:tcPr>
          <w:p w14:paraId="07F751B1"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0.05</w:t>
            </w:r>
          </w:p>
        </w:tc>
        <w:tc>
          <w:tcPr>
            <w:tcW w:w="1080" w:type="dxa"/>
            <w:vAlign w:val="center"/>
          </w:tcPr>
          <w:p w14:paraId="3605B9A9"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0.04</w:t>
            </w:r>
          </w:p>
        </w:tc>
        <w:tc>
          <w:tcPr>
            <w:tcW w:w="1080" w:type="dxa"/>
            <w:vAlign w:val="center"/>
          </w:tcPr>
          <w:p w14:paraId="14B05161"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0.56</w:t>
            </w:r>
          </w:p>
        </w:tc>
        <w:tc>
          <w:tcPr>
            <w:tcW w:w="1080" w:type="dxa"/>
            <w:vAlign w:val="center"/>
          </w:tcPr>
          <w:p w14:paraId="4B2EA691"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0.54</w:t>
            </w:r>
          </w:p>
        </w:tc>
        <w:tc>
          <w:tcPr>
            <w:tcW w:w="900" w:type="dxa"/>
            <w:vAlign w:val="center"/>
          </w:tcPr>
          <w:p w14:paraId="57B8E895"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0.40</w:t>
            </w:r>
          </w:p>
        </w:tc>
      </w:tr>
      <w:tr w:rsidR="00C2186F" w:rsidRPr="009F350F" w14:paraId="288630B0" w14:textId="77777777" w:rsidTr="00C2186F">
        <w:tc>
          <w:tcPr>
            <w:tcW w:w="6835" w:type="dxa"/>
            <w:gridSpan w:val="5"/>
            <w:vAlign w:val="center"/>
          </w:tcPr>
          <w:p w14:paraId="2DFD5BA9"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CD (5%)</w:t>
            </w:r>
          </w:p>
        </w:tc>
        <w:tc>
          <w:tcPr>
            <w:tcW w:w="1260" w:type="dxa"/>
            <w:vAlign w:val="center"/>
          </w:tcPr>
          <w:p w14:paraId="6BB228C0"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0.15</w:t>
            </w:r>
          </w:p>
        </w:tc>
        <w:tc>
          <w:tcPr>
            <w:tcW w:w="1080" w:type="dxa"/>
            <w:vAlign w:val="center"/>
          </w:tcPr>
          <w:p w14:paraId="2CD23D18"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0.15</w:t>
            </w:r>
          </w:p>
        </w:tc>
        <w:tc>
          <w:tcPr>
            <w:tcW w:w="1080" w:type="dxa"/>
            <w:vAlign w:val="center"/>
          </w:tcPr>
          <w:p w14:paraId="187E9890"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0.11</w:t>
            </w:r>
          </w:p>
        </w:tc>
        <w:tc>
          <w:tcPr>
            <w:tcW w:w="1080" w:type="dxa"/>
            <w:vAlign w:val="center"/>
          </w:tcPr>
          <w:p w14:paraId="4BAF93CB"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1.70</w:t>
            </w:r>
          </w:p>
        </w:tc>
        <w:tc>
          <w:tcPr>
            <w:tcW w:w="1080" w:type="dxa"/>
            <w:vAlign w:val="center"/>
          </w:tcPr>
          <w:p w14:paraId="29C5B787"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1.64</w:t>
            </w:r>
          </w:p>
        </w:tc>
        <w:tc>
          <w:tcPr>
            <w:tcW w:w="900" w:type="dxa"/>
            <w:vAlign w:val="center"/>
          </w:tcPr>
          <w:p w14:paraId="211E7549" w14:textId="77777777" w:rsidR="00C2186F" w:rsidRPr="009F350F" w:rsidRDefault="00C2186F" w:rsidP="00C2186F">
            <w:pPr>
              <w:spacing w:line="360" w:lineRule="auto"/>
              <w:jc w:val="center"/>
              <w:rPr>
                <w:rFonts w:ascii="Times New Roman" w:eastAsia="Calibri" w:hAnsi="Times New Roman" w:cs="Times New Roman"/>
                <w:color w:val="000000" w:themeColor="text1"/>
                <w:sz w:val="24"/>
                <w:szCs w:val="24"/>
              </w:rPr>
            </w:pPr>
            <w:r w:rsidRPr="009F350F">
              <w:rPr>
                <w:rFonts w:ascii="Times New Roman" w:eastAsia="Calibri" w:hAnsi="Times New Roman" w:cs="Times New Roman"/>
                <w:color w:val="000000" w:themeColor="text1"/>
                <w:sz w:val="24"/>
                <w:szCs w:val="24"/>
              </w:rPr>
              <w:t>1.20</w:t>
            </w:r>
          </w:p>
        </w:tc>
      </w:tr>
    </w:tbl>
    <w:p w14:paraId="3F068822" w14:textId="77777777" w:rsidR="00C2186F" w:rsidRPr="009F350F" w:rsidRDefault="001C5ECD" w:rsidP="00C2186F">
      <w:pPr>
        <w:keepNext/>
        <w:pageBreakBefore/>
        <w:rPr>
          <w:rFonts w:ascii="Times New Roman" w:hAnsi="Times New Roman" w:cs="Times New Roman"/>
          <w:b/>
          <w:color w:val="000000" w:themeColor="text1"/>
        </w:rPr>
      </w:pPr>
      <w:r w:rsidRPr="009F350F">
        <w:rPr>
          <w:rFonts w:ascii="Times New Roman" w:hAnsi="Times New Roman" w:cs="Times New Roman"/>
          <w:b/>
          <w:color w:val="000000" w:themeColor="text1"/>
        </w:rPr>
        <w:lastRenderedPageBreak/>
        <w:t xml:space="preserve">Table 3. </w:t>
      </w:r>
      <w:r w:rsidR="006B36C7" w:rsidRPr="009F350F">
        <w:rPr>
          <w:rFonts w:ascii="Times New Roman" w:hAnsi="Times New Roman" w:cs="Times New Roman"/>
          <w:b/>
          <w:color w:val="000000" w:themeColor="text1"/>
        </w:rPr>
        <w:t xml:space="preserve">Efficacy of different biocontrol-agents under different treatments on radial growth and percent inhibition of Fusarium </w:t>
      </w:r>
      <w:proofErr w:type="spellStart"/>
      <w:r w:rsidR="006B36C7" w:rsidRPr="009F350F">
        <w:rPr>
          <w:rFonts w:ascii="Times New Roman" w:hAnsi="Times New Roman" w:cs="Times New Roman"/>
          <w:b/>
          <w:i/>
          <w:color w:val="000000" w:themeColor="text1"/>
          <w:sz w:val="24"/>
          <w:szCs w:val="24"/>
        </w:rPr>
        <w:t>oxysporum</w:t>
      </w:r>
      <w:proofErr w:type="spellEnd"/>
      <w:r w:rsidR="006B36C7" w:rsidRPr="009F350F">
        <w:rPr>
          <w:rFonts w:ascii="Times New Roman" w:hAnsi="Times New Roman" w:cs="Times New Roman"/>
          <w:b/>
          <w:i/>
          <w:color w:val="000000" w:themeColor="text1"/>
          <w:sz w:val="24"/>
          <w:szCs w:val="24"/>
        </w:rPr>
        <w:t xml:space="preserve"> </w:t>
      </w:r>
      <w:r w:rsidR="006B36C7" w:rsidRPr="009F350F">
        <w:rPr>
          <w:rFonts w:ascii="Times New Roman" w:hAnsi="Times New Roman" w:cs="Times New Roman"/>
          <w:b/>
          <w:color w:val="000000" w:themeColor="text1"/>
          <w:sz w:val="24"/>
          <w:szCs w:val="24"/>
        </w:rPr>
        <w:t>f. sp.</w:t>
      </w:r>
      <w:r w:rsidR="006B36C7" w:rsidRPr="009F350F">
        <w:rPr>
          <w:rFonts w:ascii="Times New Roman" w:hAnsi="Times New Roman" w:cs="Times New Roman"/>
          <w:b/>
          <w:i/>
          <w:color w:val="000000" w:themeColor="text1"/>
          <w:sz w:val="24"/>
          <w:szCs w:val="24"/>
        </w:rPr>
        <w:t xml:space="preserve"> </w:t>
      </w:r>
      <w:proofErr w:type="spellStart"/>
      <w:r w:rsidR="006B36C7" w:rsidRPr="009F350F">
        <w:rPr>
          <w:rFonts w:ascii="Times New Roman" w:hAnsi="Times New Roman" w:cs="Times New Roman"/>
          <w:b/>
          <w:i/>
          <w:color w:val="000000" w:themeColor="text1"/>
          <w:sz w:val="24"/>
          <w:szCs w:val="24"/>
        </w:rPr>
        <w:t>vasinfectum</w:t>
      </w:r>
      <w:proofErr w:type="spellEnd"/>
      <w:r w:rsidR="006B36C7" w:rsidRPr="009F350F">
        <w:rPr>
          <w:rFonts w:ascii="Times New Roman" w:hAnsi="Times New Roman" w:cs="Times New Roman"/>
          <w:b/>
          <w:color w:val="000000" w:themeColor="text1"/>
          <w:sz w:val="24"/>
          <w:szCs w:val="24"/>
        </w:rPr>
        <w:t xml:space="preserve"> </w:t>
      </w:r>
      <w:r w:rsidR="006B36C7" w:rsidRPr="009F350F">
        <w:rPr>
          <w:rFonts w:ascii="Times New Roman" w:hAnsi="Times New Roman" w:cs="Times New Roman"/>
          <w:b/>
          <w:i/>
          <w:color w:val="000000" w:themeColor="text1"/>
          <w:sz w:val="24"/>
          <w:szCs w:val="24"/>
        </w:rPr>
        <w:t>in vitro</w:t>
      </w:r>
    </w:p>
    <w:tbl>
      <w:tblPr>
        <w:tblStyle w:val="TableGrid1"/>
        <w:tblW w:w="13878" w:type="dxa"/>
        <w:tblInd w:w="0" w:type="dxa"/>
        <w:tblLook w:val="04A0" w:firstRow="1" w:lastRow="0" w:firstColumn="1" w:lastColumn="0" w:noHBand="0" w:noVBand="1"/>
      </w:tblPr>
      <w:tblGrid>
        <w:gridCol w:w="1266"/>
        <w:gridCol w:w="2689"/>
        <w:gridCol w:w="1440"/>
        <w:gridCol w:w="1260"/>
        <w:gridCol w:w="1260"/>
        <w:gridCol w:w="1260"/>
        <w:gridCol w:w="1260"/>
        <w:gridCol w:w="1260"/>
        <w:gridCol w:w="2183"/>
      </w:tblGrid>
      <w:tr w:rsidR="005C7457" w:rsidRPr="009F350F" w14:paraId="2FE23942" w14:textId="77777777" w:rsidTr="006B36C7">
        <w:trPr>
          <w:trHeight w:val="709"/>
        </w:trPr>
        <w:tc>
          <w:tcPr>
            <w:tcW w:w="1266" w:type="dxa"/>
            <w:vMerge w:val="restart"/>
            <w:tcBorders>
              <w:top w:val="single" w:sz="4" w:space="0" w:color="auto"/>
              <w:left w:val="single" w:sz="4" w:space="0" w:color="auto"/>
              <w:bottom w:val="single" w:sz="4" w:space="0" w:color="auto"/>
              <w:right w:val="single" w:sz="4" w:space="0" w:color="auto"/>
            </w:tcBorders>
            <w:hideMark/>
          </w:tcPr>
          <w:p w14:paraId="78A16307" w14:textId="77777777" w:rsidR="006B36C7" w:rsidRPr="009F350F" w:rsidRDefault="006B36C7" w:rsidP="006B36C7">
            <w:pPr>
              <w:jc w:val="center"/>
              <w:rPr>
                <w:rFonts w:eastAsia="Calibri"/>
                <w:b/>
                <w:bCs/>
                <w:color w:val="000000" w:themeColor="text1"/>
              </w:rPr>
            </w:pPr>
            <w:r w:rsidRPr="009F350F">
              <w:rPr>
                <w:rFonts w:eastAsia="Calibri"/>
                <w:b/>
                <w:bCs/>
                <w:color w:val="000000" w:themeColor="text1"/>
              </w:rPr>
              <w:t>Sl. No.</w:t>
            </w:r>
          </w:p>
        </w:tc>
        <w:tc>
          <w:tcPr>
            <w:tcW w:w="2689" w:type="dxa"/>
            <w:vMerge w:val="restart"/>
            <w:tcBorders>
              <w:top w:val="single" w:sz="4" w:space="0" w:color="auto"/>
              <w:left w:val="single" w:sz="4" w:space="0" w:color="auto"/>
              <w:bottom w:val="single" w:sz="4" w:space="0" w:color="auto"/>
              <w:right w:val="single" w:sz="4" w:space="0" w:color="auto"/>
            </w:tcBorders>
            <w:hideMark/>
          </w:tcPr>
          <w:p w14:paraId="62610C36" w14:textId="77777777" w:rsidR="006B36C7" w:rsidRPr="009F350F" w:rsidRDefault="006B36C7" w:rsidP="006B36C7">
            <w:pPr>
              <w:jc w:val="center"/>
              <w:rPr>
                <w:rFonts w:eastAsia="Calibri"/>
                <w:b/>
                <w:bCs/>
                <w:color w:val="000000" w:themeColor="text1"/>
              </w:rPr>
            </w:pPr>
            <w:r w:rsidRPr="009F350F">
              <w:rPr>
                <w:rFonts w:eastAsia="Calibri"/>
                <w:b/>
                <w:bCs/>
                <w:color w:val="000000" w:themeColor="text1"/>
              </w:rPr>
              <w:t>Name of Bio- Agents</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401E5972" w14:textId="77777777" w:rsidR="006B36C7" w:rsidRPr="009F350F" w:rsidRDefault="006B36C7" w:rsidP="006B36C7">
            <w:pPr>
              <w:jc w:val="center"/>
              <w:rPr>
                <w:rFonts w:eastAsia="Calibri"/>
                <w:b/>
                <w:bCs/>
                <w:color w:val="000000" w:themeColor="text1"/>
              </w:rPr>
            </w:pPr>
            <w:r w:rsidRPr="009F350F">
              <w:rPr>
                <w:rFonts w:eastAsia="Calibri"/>
                <w:b/>
                <w:bCs/>
                <w:color w:val="000000" w:themeColor="text1"/>
              </w:rPr>
              <w:t>Treatments</w:t>
            </w:r>
          </w:p>
        </w:tc>
        <w:tc>
          <w:tcPr>
            <w:tcW w:w="3780" w:type="dxa"/>
            <w:gridSpan w:val="3"/>
            <w:tcBorders>
              <w:top w:val="single" w:sz="4" w:space="0" w:color="auto"/>
              <w:left w:val="single" w:sz="4" w:space="0" w:color="auto"/>
              <w:bottom w:val="single" w:sz="4" w:space="0" w:color="auto"/>
              <w:right w:val="single" w:sz="4" w:space="0" w:color="auto"/>
            </w:tcBorders>
          </w:tcPr>
          <w:p w14:paraId="675A3E7B" w14:textId="77777777" w:rsidR="006B36C7" w:rsidRPr="009F350F" w:rsidRDefault="006B36C7" w:rsidP="006B36C7">
            <w:pPr>
              <w:jc w:val="center"/>
              <w:rPr>
                <w:rFonts w:eastAsia="Calibri"/>
                <w:b/>
                <w:bCs/>
                <w:color w:val="000000" w:themeColor="text1"/>
              </w:rPr>
            </w:pPr>
            <w:r w:rsidRPr="009F350F">
              <w:rPr>
                <w:rFonts w:eastAsia="Calibri"/>
                <w:b/>
                <w:bCs/>
                <w:color w:val="000000" w:themeColor="text1"/>
              </w:rPr>
              <w:t>Per cent of Inhibition (%) of pathogen over control</w:t>
            </w:r>
          </w:p>
          <w:p w14:paraId="0C1BED3F" w14:textId="77777777" w:rsidR="006B36C7" w:rsidRPr="009F350F" w:rsidRDefault="006B36C7" w:rsidP="006B36C7">
            <w:pPr>
              <w:jc w:val="center"/>
              <w:rPr>
                <w:rFonts w:eastAsia="Calibri"/>
                <w:b/>
                <w:bCs/>
                <w:color w:val="000000" w:themeColor="text1"/>
              </w:rPr>
            </w:pPr>
          </w:p>
        </w:tc>
        <w:tc>
          <w:tcPr>
            <w:tcW w:w="4703" w:type="dxa"/>
            <w:gridSpan w:val="3"/>
            <w:tcBorders>
              <w:top w:val="single" w:sz="4" w:space="0" w:color="auto"/>
              <w:left w:val="single" w:sz="4" w:space="0" w:color="auto"/>
              <w:bottom w:val="single" w:sz="4" w:space="0" w:color="auto"/>
              <w:right w:val="single" w:sz="4" w:space="0" w:color="auto"/>
            </w:tcBorders>
            <w:hideMark/>
          </w:tcPr>
          <w:p w14:paraId="26694754" w14:textId="77777777" w:rsidR="006B36C7" w:rsidRPr="009F350F" w:rsidRDefault="006B36C7" w:rsidP="006B36C7">
            <w:pPr>
              <w:jc w:val="center"/>
              <w:rPr>
                <w:rFonts w:eastAsia="Calibri"/>
                <w:b/>
                <w:bCs/>
                <w:color w:val="000000" w:themeColor="text1"/>
              </w:rPr>
            </w:pPr>
            <w:r w:rsidRPr="009F350F">
              <w:rPr>
                <w:rFonts w:eastAsia="Calibri"/>
                <w:b/>
                <w:bCs/>
                <w:color w:val="000000" w:themeColor="text1"/>
              </w:rPr>
              <w:t>Average diameter of fungal Growth(mm)</w:t>
            </w:r>
          </w:p>
        </w:tc>
      </w:tr>
      <w:tr w:rsidR="005C7457" w:rsidRPr="009F350F" w14:paraId="0D26BFD0" w14:textId="77777777" w:rsidTr="006B36C7">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BB675B" w14:textId="77777777" w:rsidR="006B36C7" w:rsidRPr="009F350F" w:rsidRDefault="006B36C7" w:rsidP="006B36C7">
            <w:pPr>
              <w:rPr>
                <w:rFonts w:eastAsia="Calibri"/>
                <w:b/>
                <w:bCs/>
                <w:color w:val="000000" w:themeColor="text1"/>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7478C162" w14:textId="77777777" w:rsidR="006B36C7" w:rsidRPr="009F350F" w:rsidRDefault="006B36C7" w:rsidP="006B36C7">
            <w:pPr>
              <w:rPr>
                <w:rFonts w:eastAsia="Calibri"/>
                <w:b/>
                <w:bCs/>
                <w:color w:val="000000" w:themeColor="text1"/>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579FB6B3" w14:textId="77777777" w:rsidR="006B36C7" w:rsidRPr="009F350F" w:rsidRDefault="006B36C7" w:rsidP="006B36C7">
            <w:pPr>
              <w:rPr>
                <w:rFonts w:eastAsia="Calibri"/>
                <w:b/>
                <w:bCs/>
                <w:color w:val="000000" w:themeColor="text1"/>
              </w:rPr>
            </w:pPr>
          </w:p>
        </w:tc>
        <w:tc>
          <w:tcPr>
            <w:tcW w:w="3780" w:type="dxa"/>
            <w:gridSpan w:val="3"/>
            <w:tcBorders>
              <w:top w:val="single" w:sz="4" w:space="0" w:color="auto"/>
              <w:left w:val="single" w:sz="4" w:space="0" w:color="auto"/>
              <w:bottom w:val="single" w:sz="4" w:space="0" w:color="auto"/>
              <w:right w:val="single" w:sz="4" w:space="0" w:color="auto"/>
            </w:tcBorders>
            <w:hideMark/>
          </w:tcPr>
          <w:p w14:paraId="2530D2A9" w14:textId="77777777" w:rsidR="006B36C7" w:rsidRPr="009F350F" w:rsidRDefault="006B36C7" w:rsidP="006B36C7">
            <w:pPr>
              <w:jc w:val="center"/>
              <w:rPr>
                <w:rFonts w:eastAsia="Calibri"/>
                <w:b/>
                <w:bCs/>
                <w:color w:val="000000" w:themeColor="text1"/>
              </w:rPr>
            </w:pPr>
            <w:r w:rsidRPr="009F350F">
              <w:rPr>
                <w:rFonts w:eastAsia="Calibri"/>
                <w:b/>
                <w:bCs/>
                <w:color w:val="000000" w:themeColor="text1"/>
              </w:rPr>
              <w:t>Culture Filtrate (%)</w:t>
            </w:r>
          </w:p>
        </w:tc>
        <w:tc>
          <w:tcPr>
            <w:tcW w:w="4703" w:type="dxa"/>
            <w:gridSpan w:val="3"/>
            <w:tcBorders>
              <w:top w:val="single" w:sz="4" w:space="0" w:color="auto"/>
              <w:left w:val="single" w:sz="4" w:space="0" w:color="auto"/>
              <w:bottom w:val="single" w:sz="4" w:space="0" w:color="auto"/>
              <w:right w:val="single" w:sz="4" w:space="0" w:color="auto"/>
            </w:tcBorders>
            <w:hideMark/>
          </w:tcPr>
          <w:p w14:paraId="5D0E6ADE" w14:textId="77777777" w:rsidR="006B36C7" w:rsidRPr="009F350F" w:rsidRDefault="006B36C7" w:rsidP="006B36C7">
            <w:pPr>
              <w:jc w:val="center"/>
              <w:rPr>
                <w:rFonts w:eastAsia="Calibri"/>
                <w:b/>
                <w:bCs/>
                <w:color w:val="000000" w:themeColor="text1"/>
              </w:rPr>
            </w:pPr>
            <w:r w:rsidRPr="009F350F">
              <w:rPr>
                <w:rFonts w:eastAsia="Calibri"/>
                <w:b/>
                <w:bCs/>
                <w:color w:val="000000" w:themeColor="text1"/>
              </w:rPr>
              <w:t>Culture Filtrate (%)</w:t>
            </w:r>
          </w:p>
        </w:tc>
      </w:tr>
      <w:tr w:rsidR="005C7457" w:rsidRPr="009F350F" w14:paraId="0C56EA30" w14:textId="77777777" w:rsidTr="006B36C7">
        <w:trPr>
          <w:trHeight w:val="1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993707" w14:textId="77777777" w:rsidR="006B36C7" w:rsidRPr="009F350F" w:rsidRDefault="006B36C7" w:rsidP="006B36C7">
            <w:pPr>
              <w:rPr>
                <w:rFonts w:eastAsia="Calibri"/>
                <w:b/>
                <w:bCs/>
                <w:color w:val="000000" w:themeColor="text1"/>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6AE0BE50" w14:textId="77777777" w:rsidR="006B36C7" w:rsidRPr="009F350F" w:rsidRDefault="006B36C7" w:rsidP="006B36C7">
            <w:pPr>
              <w:rPr>
                <w:rFonts w:eastAsia="Calibri"/>
                <w:b/>
                <w:bCs/>
                <w:color w:val="000000" w:themeColor="text1"/>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4AF1FACC" w14:textId="77777777" w:rsidR="006B36C7" w:rsidRPr="009F350F" w:rsidRDefault="006B36C7" w:rsidP="006B36C7">
            <w:pPr>
              <w:rPr>
                <w:rFonts w:eastAsia="Calibri"/>
                <w:b/>
                <w:bCs/>
                <w:color w:val="000000" w:themeColor="text1"/>
              </w:rPr>
            </w:pPr>
          </w:p>
        </w:tc>
        <w:tc>
          <w:tcPr>
            <w:tcW w:w="1260" w:type="dxa"/>
            <w:tcBorders>
              <w:top w:val="single" w:sz="4" w:space="0" w:color="auto"/>
              <w:left w:val="single" w:sz="4" w:space="0" w:color="auto"/>
              <w:bottom w:val="single" w:sz="4" w:space="0" w:color="auto"/>
              <w:right w:val="single" w:sz="4" w:space="0" w:color="auto"/>
            </w:tcBorders>
            <w:hideMark/>
          </w:tcPr>
          <w:p w14:paraId="402F4824" w14:textId="77777777" w:rsidR="006B36C7" w:rsidRPr="009F350F" w:rsidRDefault="006B36C7" w:rsidP="006B36C7">
            <w:pPr>
              <w:jc w:val="center"/>
              <w:rPr>
                <w:rFonts w:eastAsia="Calibri"/>
                <w:b/>
                <w:bCs/>
                <w:color w:val="000000" w:themeColor="text1"/>
              </w:rPr>
            </w:pPr>
            <w:r w:rsidRPr="009F350F">
              <w:rPr>
                <w:rFonts w:eastAsia="Calibri"/>
                <w:b/>
                <w:bCs/>
                <w:color w:val="000000" w:themeColor="text1"/>
              </w:rPr>
              <w:t>1</w:t>
            </w:r>
          </w:p>
        </w:tc>
        <w:tc>
          <w:tcPr>
            <w:tcW w:w="1260" w:type="dxa"/>
            <w:tcBorders>
              <w:top w:val="single" w:sz="4" w:space="0" w:color="auto"/>
              <w:left w:val="single" w:sz="4" w:space="0" w:color="auto"/>
              <w:bottom w:val="single" w:sz="4" w:space="0" w:color="auto"/>
              <w:right w:val="single" w:sz="4" w:space="0" w:color="auto"/>
            </w:tcBorders>
            <w:hideMark/>
          </w:tcPr>
          <w:p w14:paraId="70EF535C" w14:textId="77777777" w:rsidR="006B36C7" w:rsidRPr="009F350F" w:rsidRDefault="006B36C7" w:rsidP="006B36C7">
            <w:pPr>
              <w:jc w:val="center"/>
              <w:rPr>
                <w:rFonts w:eastAsia="Calibri"/>
                <w:b/>
                <w:bCs/>
                <w:color w:val="000000" w:themeColor="text1"/>
              </w:rPr>
            </w:pPr>
            <w:r w:rsidRPr="009F350F">
              <w:rPr>
                <w:rFonts w:eastAsia="Calibri"/>
                <w:b/>
                <w:bCs/>
                <w:color w:val="000000" w:themeColor="text1"/>
              </w:rPr>
              <w:t>2.5</w:t>
            </w:r>
          </w:p>
        </w:tc>
        <w:tc>
          <w:tcPr>
            <w:tcW w:w="1260" w:type="dxa"/>
            <w:tcBorders>
              <w:top w:val="single" w:sz="4" w:space="0" w:color="auto"/>
              <w:left w:val="single" w:sz="4" w:space="0" w:color="auto"/>
              <w:bottom w:val="single" w:sz="4" w:space="0" w:color="auto"/>
              <w:right w:val="single" w:sz="4" w:space="0" w:color="auto"/>
            </w:tcBorders>
            <w:hideMark/>
          </w:tcPr>
          <w:p w14:paraId="285DD8CC" w14:textId="77777777" w:rsidR="006B36C7" w:rsidRPr="009F350F" w:rsidRDefault="006B36C7" w:rsidP="006B36C7">
            <w:pPr>
              <w:jc w:val="center"/>
              <w:rPr>
                <w:rFonts w:eastAsia="Calibri"/>
                <w:b/>
                <w:bCs/>
                <w:color w:val="000000" w:themeColor="text1"/>
              </w:rPr>
            </w:pPr>
            <w:r w:rsidRPr="009F350F">
              <w:rPr>
                <w:rFonts w:eastAsia="Calibri"/>
                <w:b/>
                <w:bCs/>
                <w:color w:val="000000" w:themeColor="text1"/>
              </w:rPr>
              <w:t>5</w:t>
            </w:r>
          </w:p>
        </w:tc>
        <w:tc>
          <w:tcPr>
            <w:tcW w:w="1260" w:type="dxa"/>
            <w:tcBorders>
              <w:top w:val="single" w:sz="4" w:space="0" w:color="auto"/>
              <w:left w:val="single" w:sz="4" w:space="0" w:color="auto"/>
              <w:bottom w:val="single" w:sz="4" w:space="0" w:color="auto"/>
              <w:right w:val="single" w:sz="4" w:space="0" w:color="auto"/>
            </w:tcBorders>
            <w:hideMark/>
          </w:tcPr>
          <w:p w14:paraId="3352E500" w14:textId="77777777" w:rsidR="006B36C7" w:rsidRPr="009F350F" w:rsidRDefault="006B36C7" w:rsidP="006B36C7">
            <w:pPr>
              <w:jc w:val="center"/>
              <w:rPr>
                <w:rFonts w:eastAsia="Calibri"/>
                <w:b/>
                <w:bCs/>
                <w:color w:val="000000" w:themeColor="text1"/>
              </w:rPr>
            </w:pPr>
            <w:r w:rsidRPr="009F350F">
              <w:rPr>
                <w:rFonts w:eastAsia="Calibri"/>
                <w:b/>
                <w:bCs/>
                <w:color w:val="000000" w:themeColor="text1"/>
              </w:rPr>
              <w:t>1</w:t>
            </w:r>
          </w:p>
        </w:tc>
        <w:tc>
          <w:tcPr>
            <w:tcW w:w="1260" w:type="dxa"/>
            <w:tcBorders>
              <w:top w:val="single" w:sz="4" w:space="0" w:color="auto"/>
              <w:left w:val="single" w:sz="4" w:space="0" w:color="auto"/>
              <w:bottom w:val="single" w:sz="4" w:space="0" w:color="auto"/>
              <w:right w:val="single" w:sz="4" w:space="0" w:color="auto"/>
            </w:tcBorders>
            <w:hideMark/>
          </w:tcPr>
          <w:p w14:paraId="0E27F124" w14:textId="77777777" w:rsidR="006B36C7" w:rsidRPr="009F350F" w:rsidRDefault="006B36C7" w:rsidP="006B36C7">
            <w:pPr>
              <w:jc w:val="center"/>
              <w:rPr>
                <w:rFonts w:eastAsia="Calibri"/>
                <w:b/>
                <w:bCs/>
                <w:color w:val="000000" w:themeColor="text1"/>
              </w:rPr>
            </w:pPr>
            <w:r w:rsidRPr="009F350F">
              <w:rPr>
                <w:rFonts w:eastAsia="Calibri"/>
                <w:b/>
                <w:bCs/>
                <w:color w:val="000000" w:themeColor="text1"/>
              </w:rPr>
              <w:t>2.5</w:t>
            </w:r>
          </w:p>
        </w:tc>
        <w:tc>
          <w:tcPr>
            <w:tcW w:w="2183" w:type="dxa"/>
            <w:tcBorders>
              <w:top w:val="single" w:sz="4" w:space="0" w:color="auto"/>
              <w:left w:val="single" w:sz="4" w:space="0" w:color="auto"/>
              <w:bottom w:val="single" w:sz="4" w:space="0" w:color="auto"/>
              <w:right w:val="single" w:sz="4" w:space="0" w:color="auto"/>
            </w:tcBorders>
            <w:hideMark/>
          </w:tcPr>
          <w:p w14:paraId="2D5AB823" w14:textId="77777777" w:rsidR="006B36C7" w:rsidRPr="009F350F" w:rsidRDefault="006B36C7" w:rsidP="006B36C7">
            <w:pPr>
              <w:jc w:val="center"/>
              <w:rPr>
                <w:rFonts w:eastAsia="Calibri"/>
                <w:b/>
                <w:bCs/>
                <w:color w:val="000000" w:themeColor="text1"/>
              </w:rPr>
            </w:pPr>
            <w:r w:rsidRPr="009F350F">
              <w:rPr>
                <w:rFonts w:eastAsia="Calibri"/>
                <w:b/>
                <w:bCs/>
                <w:color w:val="000000" w:themeColor="text1"/>
              </w:rPr>
              <w:t>5</w:t>
            </w:r>
          </w:p>
        </w:tc>
      </w:tr>
      <w:tr w:rsidR="005C7457" w:rsidRPr="009F350F" w14:paraId="78060932" w14:textId="77777777" w:rsidTr="006B36C7">
        <w:trPr>
          <w:trHeight w:val="466"/>
        </w:trPr>
        <w:tc>
          <w:tcPr>
            <w:tcW w:w="1266" w:type="dxa"/>
            <w:tcBorders>
              <w:top w:val="single" w:sz="4" w:space="0" w:color="auto"/>
              <w:left w:val="single" w:sz="4" w:space="0" w:color="auto"/>
              <w:bottom w:val="single" w:sz="4" w:space="0" w:color="auto"/>
              <w:right w:val="single" w:sz="4" w:space="0" w:color="auto"/>
            </w:tcBorders>
            <w:vAlign w:val="bottom"/>
            <w:hideMark/>
          </w:tcPr>
          <w:p w14:paraId="7D62F43F" w14:textId="77777777" w:rsidR="006B36C7" w:rsidRPr="009F350F" w:rsidRDefault="006B36C7" w:rsidP="006B36C7">
            <w:pPr>
              <w:jc w:val="center"/>
              <w:rPr>
                <w:rFonts w:eastAsia="Calibri"/>
                <w:color w:val="000000" w:themeColor="text1"/>
              </w:rPr>
            </w:pPr>
            <w:r w:rsidRPr="009F350F">
              <w:rPr>
                <w:rFonts w:eastAsia="Calibri"/>
                <w:color w:val="000000" w:themeColor="text1"/>
              </w:rPr>
              <w:t>1</w:t>
            </w:r>
          </w:p>
        </w:tc>
        <w:tc>
          <w:tcPr>
            <w:tcW w:w="2689" w:type="dxa"/>
            <w:tcBorders>
              <w:top w:val="single" w:sz="4" w:space="0" w:color="auto"/>
              <w:left w:val="single" w:sz="4" w:space="0" w:color="auto"/>
              <w:bottom w:val="single" w:sz="4" w:space="0" w:color="auto"/>
              <w:right w:val="single" w:sz="4" w:space="0" w:color="auto"/>
            </w:tcBorders>
            <w:vAlign w:val="bottom"/>
            <w:hideMark/>
          </w:tcPr>
          <w:p w14:paraId="584119A9" w14:textId="77777777" w:rsidR="006B36C7" w:rsidRPr="009F350F" w:rsidRDefault="006B36C7" w:rsidP="006B36C7">
            <w:pPr>
              <w:jc w:val="center"/>
              <w:rPr>
                <w:rFonts w:eastAsia="Calibri"/>
                <w:color w:val="000000" w:themeColor="text1"/>
              </w:rPr>
            </w:pPr>
            <w:r w:rsidRPr="009F350F">
              <w:rPr>
                <w:rFonts w:eastAsia="Calibri"/>
                <w:i/>
                <w:iCs/>
                <w:color w:val="000000" w:themeColor="text1"/>
              </w:rPr>
              <w:t xml:space="preserve">Trichoderma </w:t>
            </w:r>
            <w:proofErr w:type="spellStart"/>
            <w:r w:rsidRPr="009F350F">
              <w:rPr>
                <w:rFonts w:eastAsia="Calibri"/>
                <w:i/>
                <w:iCs/>
                <w:color w:val="000000" w:themeColor="text1"/>
              </w:rPr>
              <w:t>harzianum</w:t>
            </w:r>
            <w:proofErr w:type="spellEnd"/>
          </w:p>
        </w:tc>
        <w:tc>
          <w:tcPr>
            <w:tcW w:w="1440" w:type="dxa"/>
            <w:tcBorders>
              <w:top w:val="single" w:sz="4" w:space="0" w:color="auto"/>
              <w:left w:val="single" w:sz="4" w:space="0" w:color="auto"/>
              <w:bottom w:val="single" w:sz="4" w:space="0" w:color="auto"/>
              <w:right w:val="single" w:sz="4" w:space="0" w:color="auto"/>
            </w:tcBorders>
          </w:tcPr>
          <w:p w14:paraId="54823D23" w14:textId="77777777" w:rsidR="006B36C7" w:rsidRPr="009F350F" w:rsidRDefault="006B36C7" w:rsidP="006B36C7">
            <w:pPr>
              <w:jc w:val="center"/>
              <w:rPr>
                <w:rFonts w:eastAsia="Calibri"/>
                <w:color w:val="000000" w:themeColor="text1"/>
              </w:rPr>
            </w:pPr>
          </w:p>
          <w:p w14:paraId="23705244" w14:textId="77777777" w:rsidR="006B36C7" w:rsidRPr="009F350F" w:rsidRDefault="006B36C7" w:rsidP="006B36C7">
            <w:pPr>
              <w:jc w:val="center"/>
              <w:rPr>
                <w:rFonts w:eastAsia="Calibri"/>
                <w:color w:val="000000" w:themeColor="text1"/>
              </w:rPr>
            </w:pPr>
            <w:r w:rsidRPr="009F350F">
              <w:rPr>
                <w:rFonts w:eastAsia="Calibri"/>
                <w:color w:val="000000" w:themeColor="text1"/>
              </w:rPr>
              <w:t>T</w:t>
            </w:r>
            <w:r w:rsidRPr="009F350F">
              <w:rPr>
                <w:rFonts w:eastAsia="Calibri"/>
                <w:color w:val="000000" w:themeColor="text1"/>
                <w:vertAlign w:val="subscript"/>
              </w:rPr>
              <w:t>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710B96C" w14:textId="77777777" w:rsidR="006B36C7" w:rsidRPr="009F350F" w:rsidRDefault="006B36C7" w:rsidP="006B36C7">
            <w:pPr>
              <w:jc w:val="center"/>
              <w:rPr>
                <w:rFonts w:eastAsia="Calibri"/>
                <w:color w:val="000000" w:themeColor="text1"/>
              </w:rPr>
            </w:pPr>
          </w:p>
          <w:p w14:paraId="47A618FC" w14:textId="77777777" w:rsidR="006B36C7" w:rsidRPr="009F350F" w:rsidRDefault="006B36C7" w:rsidP="006B36C7">
            <w:pPr>
              <w:jc w:val="center"/>
              <w:rPr>
                <w:rFonts w:eastAsia="Calibri"/>
                <w:color w:val="000000" w:themeColor="text1"/>
              </w:rPr>
            </w:pPr>
            <w:r w:rsidRPr="009F350F">
              <w:rPr>
                <w:rFonts w:eastAsia="Calibri"/>
                <w:color w:val="000000" w:themeColor="text1"/>
              </w:rPr>
              <w:t>75.93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A195097" w14:textId="77777777" w:rsidR="006B36C7" w:rsidRPr="009F350F" w:rsidRDefault="006B36C7" w:rsidP="006B36C7">
            <w:pPr>
              <w:jc w:val="center"/>
              <w:rPr>
                <w:rFonts w:eastAsia="Calibri"/>
                <w:color w:val="000000" w:themeColor="text1"/>
              </w:rPr>
            </w:pPr>
          </w:p>
          <w:p w14:paraId="483590EA" w14:textId="77777777" w:rsidR="006B36C7" w:rsidRPr="009F350F" w:rsidRDefault="006B36C7" w:rsidP="006B36C7">
            <w:pPr>
              <w:jc w:val="center"/>
              <w:rPr>
                <w:rFonts w:eastAsia="Calibri"/>
                <w:color w:val="000000" w:themeColor="text1"/>
              </w:rPr>
            </w:pPr>
            <w:r w:rsidRPr="009F350F">
              <w:rPr>
                <w:rFonts w:eastAsia="Calibri"/>
                <w:color w:val="000000" w:themeColor="text1"/>
              </w:rPr>
              <w:t>79.26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A05359A" w14:textId="77777777" w:rsidR="006B36C7" w:rsidRPr="009F350F" w:rsidRDefault="006B36C7" w:rsidP="006B36C7">
            <w:pPr>
              <w:jc w:val="center"/>
              <w:rPr>
                <w:rFonts w:eastAsia="Calibri"/>
                <w:color w:val="000000" w:themeColor="text1"/>
              </w:rPr>
            </w:pPr>
          </w:p>
          <w:p w14:paraId="44E6318F" w14:textId="77777777" w:rsidR="006B36C7" w:rsidRPr="009F350F" w:rsidRDefault="006B36C7" w:rsidP="006B36C7">
            <w:pPr>
              <w:jc w:val="center"/>
              <w:rPr>
                <w:rFonts w:eastAsia="Calibri"/>
                <w:color w:val="000000" w:themeColor="text1"/>
              </w:rPr>
            </w:pPr>
            <w:r w:rsidRPr="009F350F">
              <w:rPr>
                <w:rFonts w:eastAsia="Calibri"/>
                <w:color w:val="000000" w:themeColor="text1"/>
              </w:rPr>
              <w:t>85.19</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E0801E8" w14:textId="77777777" w:rsidR="006B36C7" w:rsidRPr="009F350F" w:rsidRDefault="006B36C7" w:rsidP="006B36C7">
            <w:pPr>
              <w:jc w:val="center"/>
              <w:rPr>
                <w:rFonts w:eastAsia="Calibri"/>
                <w:color w:val="000000" w:themeColor="text1"/>
              </w:rPr>
            </w:pPr>
          </w:p>
          <w:p w14:paraId="243DFBA6" w14:textId="77777777" w:rsidR="006B36C7" w:rsidRPr="009F350F" w:rsidRDefault="006B36C7" w:rsidP="006B36C7">
            <w:pPr>
              <w:jc w:val="center"/>
              <w:rPr>
                <w:rFonts w:eastAsia="Calibri"/>
                <w:color w:val="000000" w:themeColor="text1"/>
              </w:rPr>
            </w:pPr>
            <w:r w:rsidRPr="009F350F">
              <w:rPr>
                <w:rFonts w:eastAsia="Calibri"/>
                <w:color w:val="000000" w:themeColor="text1"/>
              </w:rPr>
              <w:t>2.17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8EBC506" w14:textId="77777777" w:rsidR="006B36C7" w:rsidRPr="009F350F" w:rsidRDefault="006B36C7" w:rsidP="006B36C7">
            <w:pPr>
              <w:jc w:val="center"/>
              <w:rPr>
                <w:rFonts w:eastAsia="Calibri"/>
                <w:color w:val="000000" w:themeColor="text1"/>
              </w:rPr>
            </w:pPr>
          </w:p>
          <w:p w14:paraId="07F28074" w14:textId="77777777" w:rsidR="006B36C7" w:rsidRPr="009F350F" w:rsidRDefault="006B36C7" w:rsidP="006B36C7">
            <w:pPr>
              <w:jc w:val="center"/>
              <w:rPr>
                <w:rFonts w:eastAsia="Calibri"/>
                <w:color w:val="000000" w:themeColor="text1"/>
              </w:rPr>
            </w:pPr>
            <w:r w:rsidRPr="009F350F">
              <w:rPr>
                <w:rFonts w:eastAsia="Calibri"/>
                <w:color w:val="000000" w:themeColor="text1"/>
              </w:rPr>
              <w:t>1.87</w:t>
            </w:r>
          </w:p>
        </w:tc>
        <w:tc>
          <w:tcPr>
            <w:tcW w:w="2183" w:type="dxa"/>
            <w:tcBorders>
              <w:top w:val="single" w:sz="4" w:space="0" w:color="auto"/>
              <w:left w:val="single" w:sz="4" w:space="0" w:color="auto"/>
              <w:bottom w:val="single" w:sz="4" w:space="0" w:color="auto"/>
              <w:right w:val="single" w:sz="4" w:space="0" w:color="auto"/>
            </w:tcBorders>
            <w:vAlign w:val="center"/>
            <w:hideMark/>
          </w:tcPr>
          <w:p w14:paraId="7D368C9F" w14:textId="77777777" w:rsidR="006B36C7" w:rsidRPr="009F350F" w:rsidRDefault="006B36C7" w:rsidP="006B36C7">
            <w:pPr>
              <w:jc w:val="center"/>
              <w:rPr>
                <w:rFonts w:eastAsia="Calibri"/>
                <w:color w:val="000000" w:themeColor="text1"/>
              </w:rPr>
            </w:pPr>
          </w:p>
          <w:p w14:paraId="30BDAF97" w14:textId="77777777" w:rsidR="006B36C7" w:rsidRPr="009F350F" w:rsidRDefault="006B36C7" w:rsidP="006B36C7">
            <w:pPr>
              <w:jc w:val="center"/>
              <w:rPr>
                <w:rFonts w:eastAsia="Calibri"/>
                <w:color w:val="000000" w:themeColor="text1"/>
              </w:rPr>
            </w:pPr>
            <w:r w:rsidRPr="009F350F">
              <w:rPr>
                <w:rFonts w:eastAsia="Calibri"/>
                <w:color w:val="000000" w:themeColor="text1"/>
              </w:rPr>
              <w:t>1.33</w:t>
            </w:r>
          </w:p>
        </w:tc>
      </w:tr>
      <w:tr w:rsidR="005C7457" w:rsidRPr="009F350F" w14:paraId="69FE95A3" w14:textId="77777777" w:rsidTr="006B36C7">
        <w:trPr>
          <w:trHeight w:val="237"/>
        </w:trPr>
        <w:tc>
          <w:tcPr>
            <w:tcW w:w="1266" w:type="dxa"/>
            <w:tcBorders>
              <w:top w:val="single" w:sz="4" w:space="0" w:color="auto"/>
              <w:left w:val="single" w:sz="4" w:space="0" w:color="auto"/>
              <w:bottom w:val="single" w:sz="4" w:space="0" w:color="auto"/>
              <w:right w:val="single" w:sz="4" w:space="0" w:color="auto"/>
            </w:tcBorders>
            <w:vAlign w:val="bottom"/>
            <w:hideMark/>
          </w:tcPr>
          <w:p w14:paraId="1A9BBF19" w14:textId="77777777" w:rsidR="006B36C7" w:rsidRPr="009F350F" w:rsidRDefault="006B36C7" w:rsidP="006B36C7">
            <w:pPr>
              <w:jc w:val="center"/>
              <w:rPr>
                <w:rFonts w:eastAsia="Calibri"/>
                <w:color w:val="000000" w:themeColor="text1"/>
              </w:rPr>
            </w:pPr>
            <w:r w:rsidRPr="009F350F">
              <w:rPr>
                <w:rFonts w:eastAsia="Calibri"/>
                <w:color w:val="000000" w:themeColor="text1"/>
              </w:rPr>
              <w:t>2</w:t>
            </w:r>
          </w:p>
        </w:tc>
        <w:tc>
          <w:tcPr>
            <w:tcW w:w="2689" w:type="dxa"/>
            <w:tcBorders>
              <w:top w:val="single" w:sz="4" w:space="0" w:color="auto"/>
              <w:left w:val="single" w:sz="4" w:space="0" w:color="auto"/>
              <w:bottom w:val="single" w:sz="4" w:space="0" w:color="auto"/>
              <w:right w:val="single" w:sz="4" w:space="0" w:color="auto"/>
            </w:tcBorders>
            <w:vAlign w:val="bottom"/>
            <w:hideMark/>
          </w:tcPr>
          <w:p w14:paraId="63FEE657" w14:textId="77777777" w:rsidR="006B36C7" w:rsidRPr="009F350F" w:rsidRDefault="006B36C7" w:rsidP="006B36C7">
            <w:pPr>
              <w:jc w:val="center"/>
              <w:rPr>
                <w:rFonts w:eastAsia="Calibri"/>
                <w:color w:val="000000" w:themeColor="text1"/>
              </w:rPr>
            </w:pPr>
            <w:r w:rsidRPr="009F350F">
              <w:rPr>
                <w:rFonts w:eastAsia="Calibri"/>
                <w:i/>
                <w:iCs/>
                <w:color w:val="000000" w:themeColor="text1"/>
              </w:rPr>
              <w:t>Trichoderma viride</w:t>
            </w:r>
          </w:p>
        </w:tc>
        <w:tc>
          <w:tcPr>
            <w:tcW w:w="1440" w:type="dxa"/>
            <w:tcBorders>
              <w:top w:val="single" w:sz="4" w:space="0" w:color="auto"/>
              <w:left w:val="single" w:sz="4" w:space="0" w:color="auto"/>
              <w:bottom w:val="single" w:sz="4" w:space="0" w:color="auto"/>
              <w:right w:val="single" w:sz="4" w:space="0" w:color="auto"/>
            </w:tcBorders>
          </w:tcPr>
          <w:p w14:paraId="44D783A7" w14:textId="77777777" w:rsidR="006B36C7" w:rsidRPr="009F350F" w:rsidRDefault="006B36C7" w:rsidP="006B36C7">
            <w:pPr>
              <w:jc w:val="center"/>
              <w:rPr>
                <w:rFonts w:eastAsia="Calibri"/>
                <w:color w:val="000000" w:themeColor="text1"/>
              </w:rPr>
            </w:pPr>
          </w:p>
          <w:p w14:paraId="1AE274AA" w14:textId="77777777" w:rsidR="006B36C7" w:rsidRPr="009F350F" w:rsidRDefault="006B36C7" w:rsidP="006B36C7">
            <w:pPr>
              <w:jc w:val="center"/>
              <w:rPr>
                <w:rFonts w:eastAsia="Calibri"/>
                <w:color w:val="000000" w:themeColor="text1"/>
              </w:rPr>
            </w:pPr>
            <w:r w:rsidRPr="009F350F">
              <w:rPr>
                <w:rFonts w:eastAsia="Calibri"/>
                <w:color w:val="000000" w:themeColor="text1"/>
              </w:rPr>
              <w:t>T</w:t>
            </w:r>
            <w:r w:rsidRPr="009F350F">
              <w:rPr>
                <w:rFonts w:eastAsia="Calibri"/>
                <w:color w:val="000000" w:themeColor="text1"/>
                <w:vertAlign w:val="subscript"/>
              </w:rPr>
              <w:t>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CA24CCF" w14:textId="77777777" w:rsidR="006B36C7" w:rsidRPr="009F350F" w:rsidRDefault="006B36C7" w:rsidP="006B36C7">
            <w:pPr>
              <w:jc w:val="center"/>
              <w:rPr>
                <w:rFonts w:eastAsia="Calibri"/>
                <w:color w:val="000000" w:themeColor="text1"/>
              </w:rPr>
            </w:pPr>
            <w:r w:rsidRPr="009F350F">
              <w:rPr>
                <w:rFonts w:eastAsia="Calibri"/>
                <w:color w:val="000000" w:themeColor="text1"/>
              </w:rPr>
              <w:t>73.70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969A419" w14:textId="77777777" w:rsidR="006B36C7" w:rsidRPr="009F350F" w:rsidRDefault="006B36C7" w:rsidP="006B36C7">
            <w:pPr>
              <w:jc w:val="center"/>
              <w:rPr>
                <w:rFonts w:eastAsia="Calibri"/>
                <w:color w:val="000000" w:themeColor="text1"/>
              </w:rPr>
            </w:pPr>
            <w:r w:rsidRPr="009F350F">
              <w:rPr>
                <w:rFonts w:eastAsia="Calibri"/>
                <w:color w:val="000000" w:themeColor="text1"/>
              </w:rPr>
              <w:t>76.30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4C93982" w14:textId="77777777" w:rsidR="006B36C7" w:rsidRPr="009F350F" w:rsidRDefault="006B36C7" w:rsidP="006B36C7">
            <w:pPr>
              <w:jc w:val="center"/>
              <w:rPr>
                <w:rFonts w:eastAsia="Calibri"/>
                <w:color w:val="000000" w:themeColor="text1"/>
              </w:rPr>
            </w:pPr>
            <w:r w:rsidRPr="009F350F">
              <w:rPr>
                <w:rFonts w:eastAsia="Calibri"/>
                <w:color w:val="000000" w:themeColor="text1"/>
              </w:rPr>
              <w:t>82.96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6B015C2" w14:textId="77777777" w:rsidR="006B36C7" w:rsidRPr="009F350F" w:rsidRDefault="006B36C7" w:rsidP="006B36C7">
            <w:pPr>
              <w:jc w:val="center"/>
              <w:rPr>
                <w:rFonts w:eastAsia="Calibri"/>
                <w:color w:val="000000" w:themeColor="text1"/>
              </w:rPr>
            </w:pPr>
            <w:r w:rsidRPr="009F350F">
              <w:rPr>
                <w:rFonts w:eastAsia="Calibri"/>
                <w:color w:val="000000" w:themeColor="text1"/>
              </w:rPr>
              <w:t>2.37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C3F6BAB" w14:textId="77777777" w:rsidR="006B36C7" w:rsidRPr="009F350F" w:rsidRDefault="006B36C7" w:rsidP="006B36C7">
            <w:pPr>
              <w:jc w:val="center"/>
              <w:rPr>
                <w:rFonts w:eastAsia="Calibri"/>
                <w:color w:val="000000" w:themeColor="text1"/>
              </w:rPr>
            </w:pPr>
            <w:r w:rsidRPr="009F350F">
              <w:rPr>
                <w:rFonts w:eastAsia="Calibri"/>
                <w:color w:val="000000" w:themeColor="text1"/>
              </w:rPr>
              <w:t>2.13</w:t>
            </w:r>
          </w:p>
        </w:tc>
        <w:tc>
          <w:tcPr>
            <w:tcW w:w="2183" w:type="dxa"/>
            <w:tcBorders>
              <w:top w:val="single" w:sz="4" w:space="0" w:color="auto"/>
              <w:left w:val="single" w:sz="4" w:space="0" w:color="auto"/>
              <w:bottom w:val="single" w:sz="4" w:space="0" w:color="auto"/>
              <w:right w:val="single" w:sz="4" w:space="0" w:color="auto"/>
            </w:tcBorders>
            <w:vAlign w:val="center"/>
            <w:hideMark/>
          </w:tcPr>
          <w:p w14:paraId="2812882B" w14:textId="77777777" w:rsidR="006B36C7" w:rsidRPr="009F350F" w:rsidRDefault="006B36C7" w:rsidP="006B36C7">
            <w:pPr>
              <w:jc w:val="center"/>
              <w:rPr>
                <w:rFonts w:eastAsia="Calibri"/>
                <w:color w:val="000000" w:themeColor="text1"/>
              </w:rPr>
            </w:pPr>
            <w:r w:rsidRPr="009F350F">
              <w:rPr>
                <w:rFonts w:eastAsia="Calibri"/>
                <w:color w:val="000000" w:themeColor="text1"/>
              </w:rPr>
              <w:t>1.53</w:t>
            </w:r>
          </w:p>
        </w:tc>
      </w:tr>
      <w:tr w:rsidR="005C7457" w:rsidRPr="009F350F" w14:paraId="3F9A1080" w14:textId="77777777" w:rsidTr="006B36C7">
        <w:trPr>
          <w:trHeight w:val="287"/>
        </w:trPr>
        <w:tc>
          <w:tcPr>
            <w:tcW w:w="1266" w:type="dxa"/>
            <w:tcBorders>
              <w:top w:val="single" w:sz="4" w:space="0" w:color="auto"/>
              <w:left w:val="single" w:sz="4" w:space="0" w:color="auto"/>
              <w:bottom w:val="single" w:sz="4" w:space="0" w:color="auto"/>
              <w:right w:val="single" w:sz="4" w:space="0" w:color="auto"/>
            </w:tcBorders>
            <w:vAlign w:val="bottom"/>
            <w:hideMark/>
          </w:tcPr>
          <w:p w14:paraId="66BF7B02" w14:textId="77777777" w:rsidR="006B36C7" w:rsidRPr="009F350F" w:rsidRDefault="006B36C7" w:rsidP="006B36C7">
            <w:pPr>
              <w:jc w:val="center"/>
              <w:rPr>
                <w:rFonts w:eastAsia="Calibri"/>
                <w:color w:val="000000" w:themeColor="text1"/>
              </w:rPr>
            </w:pPr>
            <w:r w:rsidRPr="009F350F">
              <w:rPr>
                <w:rFonts w:eastAsia="Calibri"/>
                <w:color w:val="000000" w:themeColor="text1"/>
              </w:rPr>
              <w:t>3</w:t>
            </w:r>
          </w:p>
        </w:tc>
        <w:tc>
          <w:tcPr>
            <w:tcW w:w="2689" w:type="dxa"/>
            <w:tcBorders>
              <w:top w:val="single" w:sz="4" w:space="0" w:color="auto"/>
              <w:left w:val="single" w:sz="4" w:space="0" w:color="auto"/>
              <w:bottom w:val="single" w:sz="4" w:space="0" w:color="auto"/>
              <w:right w:val="single" w:sz="4" w:space="0" w:color="auto"/>
            </w:tcBorders>
            <w:vAlign w:val="bottom"/>
            <w:hideMark/>
          </w:tcPr>
          <w:p w14:paraId="5ADEF209" w14:textId="77777777" w:rsidR="006B36C7" w:rsidRPr="009F350F" w:rsidRDefault="006B36C7" w:rsidP="006B36C7">
            <w:pPr>
              <w:jc w:val="center"/>
              <w:rPr>
                <w:rFonts w:eastAsia="Calibri"/>
                <w:color w:val="000000" w:themeColor="text1"/>
              </w:rPr>
            </w:pPr>
            <w:r w:rsidRPr="009F350F">
              <w:rPr>
                <w:rFonts w:eastAsia="Calibri"/>
                <w:i/>
                <w:iCs/>
                <w:color w:val="000000" w:themeColor="text1"/>
              </w:rPr>
              <w:t>Bacillus subtilis</w:t>
            </w:r>
          </w:p>
        </w:tc>
        <w:tc>
          <w:tcPr>
            <w:tcW w:w="1440" w:type="dxa"/>
            <w:tcBorders>
              <w:top w:val="single" w:sz="4" w:space="0" w:color="auto"/>
              <w:left w:val="single" w:sz="4" w:space="0" w:color="auto"/>
              <w:bottom w:val="single" w:sz="4" w:space="0" w:color="auto"/>
              <w:right w:val="single" w:sz="4" w:space="0" w:color="auto"/>
            </w:tcBorders>
          </w:tcPr>
          <w:p w14:paraId="35F83C34" w14:textId="77777777" w:rsidR="006B36C7" w:rsidRPr="009F350F" w:rsidRDefault="006B36C7" w:rsidP="006B36C7">
            <w:pPr>
              <w:jc w:val="center"/>
              <w:rPr>
                <w:rFonts w:eastAsia="Calibri"/>
                <w:color w:val="000000" w:themeColor="text1"/>
              </w:rPr>
            </w:pPr>
          </w:p>
          <w:p w14:paraId="0F2A772D" w14:textId="77777777" w:rsidR="006B36C7" w:rsidRPr="009F350F" w:rsidRDefault="006B36C7" w:rsidP="006B36C7">
            <w:pPr>
              <w:jc w:val="center"/>
              <w:rPr>
                <w:rFonts w:eastAsia="Calibri"/>
                <w:color w:val="000000" w:themeColor="text1"/>
              </w:rPr>
            </w:pPr>
            <w:r w:rsidRPr="009F350F">
              <w:rPr>
                <w:rFonts w:eastAsia="Calibri"/>
                <w:color w:val="000000" w:themeColor="text1"/>
              </w:rPr>
              <w:t>T</w:t>
            </w:r>
            <w:r w:rsidRPr="009F350F">
              <w:rPr>
                <w:rFonts w:eastAsia="Calibri"/>
                <w:color w:val="000000" w:themeColor="text1"/>
                <w:vertAlign w:val="subscript"/>
              </w:rPr>
              <w:t>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B2ABC7B" w14:textId="77777777" w:rsidR="006B36C7" w:rsidRPr="009F350F" w:rsidRDefault="006B36C7" w:rsidP="006B36C7">
            <w:pPr>
              <w:jc w:val="center"/>
              <w:rPr>
                <w:rFonts w:eastAsia="Calibri"/>
                <w:color w:val="000000" w:themeColor="text1"/>
              </w:rPr>
            </w:pPr>
            <w:r w:rsidRPr="009F350F">
              <w:rPr>
                <w:rFonts w:eastAsia="Calibri"/>
                <w:color w:val="000000" w:themeColor="text1"/>
              </w:rPr>
              <w:t>70.37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18DB14B" w14:textId="77777777" w:rsidR="006B36C7" w:rsidRPr="009F350F" w:rsidRDefault="006B36C7" w:rsidP="006B36C7">
            <w:pPr>
              <w:jc w:val="center"/>
              <w:rPr>
                <w:rFonts w:eastAsia="Calibri"/>
                <w:color w:val="000000" w:themeColor="text1"/>
              </w:rPr>
            </w:pPr>
            <w:r w:rsidRPr="009F350F">
              <w:rPr>
                <w:rFonts w:eastAsia="Calibri"/>
                <w:color w:val="000000" w:themeColor="text1"/>
              </w:rPr>
              <w:t>72.96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3D778C5" w14:textId="77777777" w:rsidR="006B36C7" w:rsidRPr="009F350F" w:rsidRDefault="006B36C7" w:rsidP="006B36C7">
            <w:pPr>
              <w:jc w:val="center"/>
              <w:rPr>
                <w:rFonts w:eastAsia="Calibri"/>
                <w:color w:val="000000" w:themeColor="text1"/>
              </w:rPr>
            </w:pPr>
            <w:r w:rsidRPr="009F350F">
              <w:rPr>
                <w:rFonts w:eastAsia="Calibri"/>
                <w:color w:val="000000" w:themeColor="text1"/>
              </w:rPr>
              <w:t>81.48</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C40CDF8" w14:textId="77777777" w:rsidR="006B36C7" w:rsidRPr="009F350F" w:rsidRDefault="006B36C7" w:rsidP="006B36C7">
            <w:pPr>
              <w:jc w:val="center"/>
              <w:rPr>
                <w:rFonts w:eastAsia="Calibri"/>
                <w:color w:val="000000" w:themeColor="text1"/>
              </w:rPr>
            </w:pPr>
            <w:r w:rsidRPr="009F350F">
              <w:rPr>
                <w:rFonts w:eastAsia="Calibri"/>
                <w:color w:val="000000" w:themeColor="text1"/>
              </w:rPr>
              <w:t>2.67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D2A89F8" w14:textId="77777777" w:rsidR="006B36C7" w:rsidRPr="009F350F" w:rsidRDefault="006B36C7" w:rsidP="006B36C7">
            <w:pPr>
              <w:jc w:val="center"/>
              <w:rPr>
                <w:rFonts w:eastAsia="Calibri"/>
                <w:color w:val="000000" w:themeColor="text1"/>
              </w:rPr>
            </w:pPr>
            <w:r w:rsidRPr="009F350F">
              <w:rPr>
                <w:rFonts w:eastAsia="Calibri"/>
                <w:color w:val="000000" w:themeColor="text1"/>
              </w:rPr>
              <w:t>2.43</w:t>
            </w:r>
          </w:p>
        </w:tc>
        <w:tc>
          <w:tcPr>
            <w:tcW w:w="2183" w:type="dxa"/>
            <w:tcBorders>
              <w:top w:val="single" w:sz="4" w:space="0" w:color="auto"/>
              <w:left w:val="single" w:sz="4" w:space="0" w:color="auto"/>
              <w:bottom w:val="single" w:sz="4" w:space="0" w:color="auto"/>
              <w:right w:val="single" w:sz="4" w:space="0" w:color="auto"/>
            </w:tcBorders>
            <w:vAlign w:val="center"/>
            <w:hideMark/>
          </w:tcPr>
          <w:p w14:paraId="13FBD7FF" w14:textId="77777777" w:rsidR="006B36C7" w:rsidRPr="009F350F" w:rsidRDefault="006B36C7" w:rsidP="006B36C7">
            <w:pPr>
              <w:jc w:val="center"/>
              <w:rPr>
                <w:rFonts w:eastAsia="Calibri"/>
                <w:color w:val="000000" w:themeColor="text1"/>
              </w:rPr>
            </w:pPr>
            <w:r w:rsidRPr="009F350F">
              <w:rPr>
                <w:rFonts w:eastAsia="Calibri"/>
                <w:color w:val="000000" w:themeColor="text1"/>
              </w:rPr>
              <w:t>1.67</w:t>
            </w:r>
          </w:p>
        </w:tc>
      </w:tr>
      <w:tr w:rsidR="005C7457" w:rsidRPr="009F350F" w14:paraId="3999EFEC" w14:textId="77777777" w:rsidTr="006B36C7">
        <w:trPr>
          <w:trHeight w:val="180"/>
        </w:trPr>
        <w:tc>
          <w:tcPr>
            <w:tcW w:w="1266" w:type="dxa"/>
            <w:tcBorders>
              <w:top w:val="single" w:sz="4" w:space="0" w:color="auto"/>
              <w:left w:val="single" w:sz="4" w:space="0" w:color="auto"/>
              <w:bottom w:val="single" w:sz="4" w:space="0" w:color="auto"/>
              <w:right w:val="single" w:sz="4" w:space="0" w:color="auto"/>
            </w:tcBorders>
            <w:vAlign w:val="bottom"/>
            <w:hideMark/>
          </w:tcPr>
          <w:p w14:paraId="1477E78D" w14:textId="77777777" w:rsidR="006B36C7" w:rsidRPr="009F350F" w:rsidRDefault="006B36C7" w:rsidP="006B36C7">
            <w:pPr>
              <w:jc w:val="center"/>
              <w:rPr>
                <w:rFonts w:eastAsia="Calibri"/>
                <w:color w:val="000000" w:themeColor="text1"/>
              </w:rPr>
            </w:pPr>
            <w:r w:rsidRPr="009F350F">
              <w:rPr>
                <w:rFonts w:eastAsia="Calibri"/>
                <w:color w:val="000000" w:themeColor="text1"/>
              </w:rPr>
              <w:t>4</w:t>
            </w:r>
          </w:p>
        </w:tc>
        <w:tc>
          <w:tcPr>
            <w:tcW w:w="2689" w:type="dxa"/>
            <w:tcBorders>
              <w:top w:val="single" w:sz="4" w:space="0" w:color="auto"/>
              <w:left w:val="single" w:sz="4" w:space="0" w:color="auto"/>
              <w:bottom w:val="single" w:sz="4" w:space="0" w:color="auto"/>
              <w:right w:val="single" w:sz="4" w:space="0" w:color="auto"/>
            </w:tcBorders>
            <w:vAlign w:val="bottom"/>
            <w:hideMark/>
          </w:tcPr>
          <w:p w14:paraId="56FAD906" w14:textId="77777777" w:rsidR="006B36C7" w:rsidRPr="009F350F" w:rsidRDefault="006B36C7" w:rsidP="006B36C7">
            <w:pPr>
              <w:jc w:val="center"/>
              <w:rPr>
                <w:rFonts w:eastAsia="Calibri"/>
                <w:color w:val="000000" w:themeColor="text1"/>
              </w:rPr>
            </w:pPr>
            <w:r w:rsidRPr="009F350F">
              <w:rPr>
                <w:rFonts w:eastAsia="Calibri"/>
                <w:i/>
                <w:iCs/>
                <w:color w:val="000000" w:themeColor="text1"/>
              </w:rPr>
              <w:t>Pseudomonas spp.</w:t>
            </w:r>
          </w:p>
        </w:tc>
        <w:tc>
          <w:tcPr>
            <w:tcW w:w="1440" w:type="dxa"/>
            <w:tcBorders>
              <w:top w:val="single" w:sz="4" w:space="0" w:color="auto"/>
              <w:left w:val="single" w:sz="4" w:space="0" w:color="auto"/>
              <w:bottom w:val="single" w:sz="4" w:space="0" w:color="auto"/>
              <w:right w:val="single" w:sz="4" w:space="0" w:color="auto"/>
            </w:tcBorders>
          </w:tcPr>
          <w:p w14:paraId="70649BFC" w14:textId="77777777" w:rsidR="006B36C7" w:rsidRPr="009F350F" w:rsidRDefault="006B36C7" w:rsidP="006B36C7">
            <w:pPr>
              <w:jc w:val="center"/>
              <w:rPr>
                <w:rFonts w:eastAsia="Calibri"/>
                <w:color w:val="000000" w:themeColor="text1"/>
              </w:rPr>
            </w:pPr>
          </w:p>
          <w:p w14:paraId="5EC10676" w14:textId="77777777" w:rsidR="006B36C7" w:rsidRPr="009F350F" w:rsidRDefault="006B36C7" w:rsidP="006B36C7">
            <w:pPr>
              <w:jc w:val="center"/>
              <w:rPr>
                <w:rFonts w:eastAsia="Calibri"/>
                <w:color w:val="000000" w:themeColor="text1"/>
              </w:rPr>
            </w:pPr>
            <w:r w:rsidRPr="009F350F">
              <w:rPr>
                <w:rFonts w:eastAsia="Calibri"/>
                <w:color w:val="000000" w:themeColor="text1"/>
              </w:rPr>
              <w:t>T</w:t>
            </w:r>
            <w:r w:rsidRPr="009F350F">
              <w:rPr>
                <w:rFonts w:eastAsia="Calibri"/>
                <w:color w:val="000000" w:themeColor="text1"/>
                <w:vertAlign w:val="subscript"/>
              </w:rPr>
              <w:t>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E21B6B5" w14:textId="77777777" w:rsidR="006B36C7" w:rsidRPr="009F350F" w:rsidRDefault="006B36C7" w:rsidP="006B36C7">
            <w:pPr>
              <w:jc w:val="center"/>
              <w:rPr>
                <w:rFonts w:eastAsia="Calibri"/>
                <w:color w:val="000000" w:themeColor="text1"/>
              </w:rPr>
            </w:pPr>
            <w:r w:rsidRPr="009F350F">
              <w:rPr>
                <w:rFonts w:eastAsia="Calibri"/>
                <w:color w:val="000000" w:themeColor="text1"/>
              </w:rPr>
              <w:t>68.15</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E6B0F6D" w14:textId="77777777" w:rsidR="006B36C7" w:rsidRPr="009F350F" w:rsidRDefault="006B36C7" w:rsidP="006B36C7">
            <w:pPr>
              <w:jc w:val="center"/>
              <w:rPr>
                <w:rFonts w:eastAsia="Calibri"/>
                <w:color w:val="000000" w:themeColor="text1"/>
              </w:rPr>
            </w:pPr>
            <w:r w:rsidRPr="009F350F">
              <w:rPr>
                <w:rFonts w:eastAsia="Calibri"/>
                <w:color w:val="000000" w:themeColor="text1"/>
              </w:rPr>
              <w:t>73.70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C3BA1FD" w14:textId="77777777" w:rsidR="006B36C7" w:rsidRPr="009F350F" w:rsidRDefault="006B36C7" w:rsidP="006B36C7">
            <w:pPr>
              <w:jc w:val="center"/>
              <w:rPr>
                <w:rFonts w:eastAsia="Calibri"/>
                <w:color w:val="000000" w:themeColor="text1"/>
              </w:rPr>
            </w:pPr>
            <w:r w:rsidRPr="009F350F">
              <w:rPr>
                <w:rFonts w:eastAsia="Calibri"/>
                <w:color w:val="000000" w:themeColor="text1"/>
              </w:rPr>
              <w:t>73.70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6C23523" w14:textId="77777777" w:rsidR="006B36C7" w:rsidRPr="009F350F" w:rsidRDefault="006B36C7" w:rsidP="006B36C7">
            <w:pPr>
              <w:jc w:val="center"/>
              <w:rPr>
                <w:rFonts w:eastAsia="Calibri"/>
                <w:color w:val="000000" w:themeColor="text1"/>
              </w:rPr>
            </w:pPr>
            <w:r w:rsidRPr="009F350F">
              <w:rPr>
                <w:rFonts w:eastAsia="Calibri"/>
                <w:color w:val="000000" w:themeColor="text1"/>
              </w:rPr>
              <w:t>2.87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37D4B79" w14:textId="77777777" w:rsidR="006B36C7" w:rsidRPr="009F350F" w:rsidRDefault="006B36C7" w:rsidP="006B36C7">
            <w:pPr>
              <w:jc w:val="center"/>
              <w:rPr>
                <w:rFonts w:eastAsia="Calibri"/>
                <w:color w:val="000000" w:themeColor="text1"/>
              </w:rPr>
            </w:pPr>
            <w:r w:rsidRPr="009F350F">
              <w:rPr>
                <w:rFonts w:eastAsia="Calibri"/>
                <w:color w:val="000000" w:themeColor="text1"/>
              </w:rPr>
              <w:t>2.37</w:t>
            </w:r>
          </w:p>
        </w:tc>
        <w:tc>
          <w:tcPr>
            <w:tcW w:w="2183" w:type="dxa"/>
            <w:tcBorders>
              <w:top w:val="single" w:sz="4" w:space="0" w:color="auto"/>
              <w:left w:val="single" w:sz="4" w:space="0" w:color="auto"/>
              <w:bottom w:val="single" w:sz="4" w:space="0" w:color="auto"/>
              <w:right w:val="single" w:sz="4" w:space="0" w:color="auto"/>
            </w:tcBorders>
            <w:vAlign w:val="center"/>
            <w:hideMark/>
          </w:tcPr>
          <w:p w14:paraId="78C50691" w14:textId="77777777" w:rsidR="006B36C7" w:rsidRPr="009F350F" w:rsidRDefault="006B36C7" w:rsidP="006B36C7">
            <w:pPr>
              <w:jc w:val="center"/>
              <w:rPr>
                <w:rFonts w:eastAsia="Calibri"/>
                <w:color w:val="000000" w:themeColor="text1"/>
              </w:rPr>
            </w:pPr>
            <w:r w:rsidRPr="009F350F">
              <w:rPr>
                <w:rFonts w:eastAsia="Calibri"/>
                <w:color w:val="000000" w:themeColor="text1"/>
              </w:rPr>
              <w:t>2.37</w:t>
            </w:r>
          </w:p>
        </w:tc>
      </w:tr>
      <w:tr w:rsidR="005C7457" w:rsidRPr="009F350F" w14:paraId="7377B391" w14:textId="77777777" w:rsidTr="006B36C7">
        <w:trPr>
          <w:trHeight w:val="103"/>
        </w:trPr>
        <w:tc>
          <w:tcPr>
            <w:tcW w:w="1266" w:type="dxa"/>
            <w:tcBorders>
              <w:top w:val="single" w:sz="4" w:space="0" w:color="auto"/>
              <w:left w:val="single" w:sz="4" w:space="0" w:color="auto"/>
              <w:bottom w:val="single" w:sz="4" w:space="0" w:color="auto"/>
              <w:right w:val="single" w:sz="4" w:space="0" w:color="auto"/>
            </w:tcBorders>
            <w:vAlign w:val="bottom"/>
            <w:hideMark/>
          </w:tcPr>
          <w:p w14:paraId="61960554" w14:textId="77777777" w:rsidR="006B36C7" w:rsidRPr="009F350F" w:rsidRDefault="006B36C7" w:rsidP="006B36C7">
            <w:pPr>
              <w:jc w:val="center"/>
              <w:rPr>
                <w:rFonts w:eastAsia="Calibri"/>
                <w:color w:val="000000" w:themeColor="text1"/>
              </w:rPr>
            </w:pPr>
            <w:r w:rsidRPr="009F350F">
              <w:rPr>
                <w:rFonts w:eastAsia="Calibri"/>
                <w:color w:val="000000" w:themeColor="text1"/>
              </w:rPr>
              <w:t>5</w:t>
            </w:r>
          </w:p>
        </w:tc>
        <w:tc>
          <w:tcPr>
            <w:tcW w:w="2689" w:type="dxa"/>
            <w:tcBorders>
              <w:top w:val="single" w:sz="4" w:space="0" w:color="auto"/>
              <w:left w:val="single" w:sz="4" w:space="0" w:color="auto"/>
              <w:bottom w:val="single" w:sz="4" w:space="0" w:color="auto"/>
              <w:right w:val="single" w:sz="4" w:space="0" w:color="auto"/>
            </w:tcBorders>
            <w:vAlign w:val="bottom"/>
            <w:hideMark/>
          </w:tcPr>
          <w:p w14:paraId="53574420" w14:textId="77777777" w:rsidR="006B36C7" w:rsidRPr="009F350F" w:rsidRDefault="006B36C7" w:rsidP="006B36C7">
            <w:pPr>
              <w:jc w:val="center"/>
              <w:rPr>
                <w:rFonts w:eastAsia="Calibri"/>
                <w:color w:val="000000" w:themeColor="text1"/>
              </w:rPr>
            </w:pPr>
            <w:proofErr w:type="spellStart"/>
            <w:r w:rsidRPr="009F350F">
              <w:rPr>
                <w:rFonts w:eastAsia="Calibri"/>
                <w:i/>
                <w:iCs/>
                <w:color w:val="000000" w:themeColor="text1"/>
              </w:rPr>
              <w:t>Gliocladium</w:t>
            </w:r>
            <w:proofErr w:type="spellEnd"/>
            <w:r w:rsidRPr="009F350F">
              <w:rPr>
                <w:rFonts w:eastAsia="Calibri"/>
                <w:i/>
                <w:iCs/>
                <w:color w:val="000000" w:themeColor="text1"/>
              </w:rPr>
              <w:t xml:space="preserve"> virens</w:t>
            </w:r>
          </w:p>
        </w:tc>
        <w:tc>
          <w:tcPr>
            <w:tcW w:w="1440" w:type="dxa"/>
            <w:tcBorders>
              <w:top w:val="single" w:sz="4" w:space="0" w:color="auto"/>
              <w:left w:val="single" w:sz="4" w:space="0" w:color="auto"/>
              <w:bottom w:val="single" w:sz="4" w:space="0" w:color="auto"/>
              <w:right w:val="single" w:sz="4" w:space="0" w:color="auto"/>
            </w:tcBorders>
          </w:tcPr>
          <w:p w14:paraId="55DD6CF2" w14:textId="77777777" w:rsidR="006B36C7" w:rsidRPr="009F350F" w:rsidRDefault="006B36C7" w:rsidP="006B36C7">
            <w:pPr>
              <w:jc w:val="center"/>
              <w:rPr>
                <w:rFonts w:eastAsia="Calibri"/>
                <w:color w:val="000000" w:themeColor="text1"/>
              </w:rPr>
            </w:pPr>
          </w:p>
          <w:p w14:paraId="2AA95A47" w14:textId="77777777" w:rsidR="006B36C7" w:rsidRPr="009F350F" w:rsidRDefault="006B36C7" w:rsidP="006B36C7">
            <w:pPr>
              <w:jc w:val="center"/>
              <w:rPr>
                <w:rFonts w:eastAsia="Calibri"/>
                <w:color w:val="000000" w:themeColor="text1"/>
              </w:rPr>
            </w:pPr>
            <w:r w:rsidRPr="009F350F">
              <w:rPr>
                <w:rFonts w:eastAsia="Calibri"/>
                <w:color w:val="000000" w:themeColor="text1"/>
              </w:rPr>
              <w:t>T</w:t>
            </w:r>
            <w:r w:rsidRPr="009F350F">
              <w:rPr>
                <w:rFonts w:eastAsia="Calibri"/>
                <w:color w:val="000000" w:themeColor="text1"/>
                <w:vertAlign w:val="subscript"/>
              </w:rPr>
              <w:t>5</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DF931E1" w14:textId="77777777" w:rsidR="006B36C7" w:rsidRPr="009F350F" w:rsidRDefault="006B36C7" w:rsidP="006B36C7">
            <w:pPr>
              <w:jc w:val="center"/>
              <w:rPr>
                <w:rFonts w:eastAsia="Calibri"/>
                <w:color w:val="000000" w:themeColor="text1"/>
              </w:rPr>
            </w:pPr>
            <w:r w:rsidRPr="009F350F">
              <w:rPr>
                <w:rFonts w:eastAsia="Calibri"/>
                <w:color w:val="000000" w:themeColor="text1"/>
              </w:rPr>
              <w:t>59.26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BFB67A5" w14:textId="77777777" w:rsidR="006B36C7" w:rsidRPr="009F350F" w:rsidRDefault="006B36C7" w:rsidP="006B36C7">
            <w:pPr>
              <w:jc w:val="center"/>
              <w:rPr>
                <w:rFonts w:eastAsia="Calibri"/>
                <w:color w:val="000000" w:themeColor="text1"/>
              </w:rPr>
            </w:pPr>
            <w:r w:rsidRPr="009F350F">
              <w:rPr>
                <w:rFonts w:eastAsia="Calibri"/>
                <w:color w:val="000000" w:themeColor="text1"/>
              </w:rPr>
              <w:t>61.48</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6C3F5CB" w14:textId="77777777" w:rsidR="006B36C7" w:rsidRPr="009F350F" w:rsidRDefault="006B36C7" w:rsidP="006B36C7">
            <w:pPr>
              <w:jc w:val="center"/>
              <w:rPr>
                <w:rFonts w:eastAsia="Calibri"/>
                <w:color w:val="000000" w:themeColor="text1"/>
              </w:rPr>
            </w:pPr>
            <w:r w:rsidRPr="009F350F">
              <w:rPr>
                <w:rFonts w:eastAsia="Calibri"/>
                <w:color w:val="000000" w:themeColor="text1"/>
              </w:rPr>
              <w:t>64.07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6B91FD8" w14:textId="77777777" w:rsidR="006B36C7" w:rsidRPr="009F350F" w:rsidRDefault="006B36C7" w:rsidP="006B36C7">
            <w:pPr>
              <w:jc w:val="center"/>
              <w:rPr>
                <w:rFonts w:eastAsia="Calibri"/>
                <w:color w:val="000000" w:themeColor="text1"/>
              </w:rPr>
            </w:pPr>
            <w:r w:rsidRPr="009F350F">
              <w:rPr>
                <w:rFonts w:eastAsia="Calibri"/>
                <w:color w:val="000000" w:themeColor="text1"/>
              </w:rPr>
              <w:t>3.67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7079D07" w14:textId="77777777" w:rsidR="006B36C7" w:rsidRPr="009F350F" w:rsidRDefault="006B36C7" w:rsidP="006B36C7">
            <w:pPr>
              <w:jc w:val="center"/>
              <w:rPr>
                <w:rFonts w:eastAsia="Calibri"/>
                <w:color w:val="000000" w:themeColor="text1"/>
              </w:rPr>
            </w:pPr>
            <w:r w:rsidRPr="009F350F">
              <w:rPr>
                <w:rFonts w:eastAsia="Calibri"/>
                <w:color w:val="000000" w:themeColor="text1"/>
              </w:rPr>
              <w:t>3.47</w:t>
            </w:r>
          </w:p>
        </w:tc>
        <w:tc>
          <w:tcPr>
            <w:tcW w:w="2183" w:type="dxa"/>
            <w:tcBorders>
              <w:top w:val="single" w:sz="4" w:space="0" w:color="auto"/>
              <w:left w:val="single" w:sz="4" w:space="0" w:color="auto"/>
              <w:bottom w:val="single" w:sz="4" w:space="0" w:color="auto"/>
              <w:right w:val="single" w:sz="4" w:space="0" w:color="auto"/>
            </w:tcBorders>
            <w:vAlign w:val="center"/>
            <w:hideMark/>
          </w:tcPr>
          <w:p w14:paraId="3A1FDD40" w14:textId="77777777" w:rsidR="006B36C7" w:rsidRPr="009F350F" w:rsidRDefault="006B36C7" w:rsidP="006B36C7">
            <w:pPr>
              <w:jc w:val="center"/>
              <w:rPr>
                <w:rFonts w:eastAsia="Calibri"/>
                <w:color w:val="000000" w:themeColor="text1"/>
              </w:rPr>
            </w:pPr>
            <w:r w:rsidRPr="009F350F">
              <w:rPr>
                <w:rFonts w:eastAsia="Calibri"/>
                <w:color w:val="000000" w:themeColor="text1"/>
              </w:rPr>
              <w:t>3.23</w:t>
            </w:r>
          </w:p>
        </w:tc>
      </w:tr>
      <w:tr w:rsidR="005C7457" w:rsidRPr="009F350F" w14:paraId="37E577FB" w14:textId="77777777" w:rsidTr="006B36C7">
        <w:trPr>
          <w:trHeight w:val="60"/>
        </w:trPr>
        <w:tc>
          <w:tcPr>
            <w:tcW w:w="1266" w:type="dxa"/>
            <w:tcBorders>
              <w:top w:val="single" w:sz="4" w:space="0" w:color="auto"/>
              <w:left w:val="single" w:sz="4" w:space="0" w:color="auto"/>
              <w:bottom w:val="single" w:sz="4" w:space="0" w:color="auto"/>
              <w:right w:val="single" w:sz="4" w:space="0" w:color="auto"/>
            </w:tcBorders>
            <w:vAlign w:val="bottom"/>
            <w:hideMark/>
          </w:tcPr>
          <w:p w14:paraId="5230C147" w14:textId="77777777" w:rsidR="006B36C7" w:rsidRPr="009F350F" w:rsidRDefault="006B36C7" w:rsidP="006B36C7">
            <w:pPr>
              <w:jc w:val="center"/>
              <w:rPr>
                <w:rFonts w:eastAsia="Calibri"/>
                <w:color w:val="000000" w:themeColor="text1"/>
              </w:rPr>
            </w:pPr>
            <w:r w:rsidRPr="009F350F">
              <w:rPr>
                <w:rFonts w:eastAsia="Calibri"/>
                <w:color w:val="000000" w:themeColor="text1"/>
              </w:rPr>
              <w:t>6</w:t>
            </w:r>
          </w:p>
        </w:tc>
        <w:tc>
          <w:tcPr>
            <w:tcW w:w="2689" w:type="dxa"/>
            <w:tcBorders>
              <w:top w:val="single" w:sz="4" w:space="0" w:color="auto"/>
              <w:left w:val="single" w:sz="4" w:space="0" w:color="auto"/>
              <w:bottom w:val="single" w:sz="4" w:space="0" w:color="auto"/>
              <w:right w:val="single" w:sz="4" w:space="0" w:color="auto"/>
            </w:tcBorders>
            <w:vAlign w:val="bottom"/>
            <w:hideMark/>
          </w:tcPr>
          <w:p w14:paraId="3373A785" w14:textId="77777777" w:rsidR="006B36C7" w:rsidRPr="009F350F" w:rsidRDefault="006B36C7" w:rsidP="006B36C7">
            <w:pPr>
              <w:jc w:val="center"/>
              <w:rPr>
                <w:rFonts w:eastAsia="Calibri"/>
                <w:color w:val="000000" w:themeColor="text1"/>
              </w:rPr>
            </w:pPr>
            <w:r w:rsidRPr="009F350F">
              <w:rPr>
                <w:rFonts w:eastAsia="Calibri"/>
                <w:i/>
                <w:iCs/>
                <w:color w:val="000000" w:themeColor="text1"/>
              </w:rPr>
              <w:t>Streptomyces spp.</w:t>
            </w:r>
          </w:p>
        </w:tc>
        <w:tc>
          <w:tcPr>
            <w:tcW w:w="1440" w:type="dxa"/>
            <w:tcBorders>
              <w:top w:val="single" w:sz="4" w:space="0" w:color="auto"/>
              <w:left w:val="single" w:sz="4" w:space="0" w:color="auto"/>
              <w:bottom w:val="single" w:sz="4" w:space="0" w:color="auto"/>
              <w:right w:val="single" w:sz="4" w:space="0" w:color="auto"/>
            </w:tcBorders>
          </w:tcPr>
          <w:p w14:paraId="76EE7447" w14:textId="77777777" w:rsidR="006B36C7" w:rsidRPr="009F350F" w:rsidRDefault="006B36C7" w:rsidP="006B36C7">
            <w:pPr>
              <w:jc w:val="center"/>
              <w:rPr>
                <w:rFonts w:eastAsia="Calibri"/>
                <w:color w:val="000000" w:themeColor="text1"/>
              </w:rPr>
            </w:pPr>
          </w:p>
          <w:p w14:paraId="34EFB544" w14:textId="77777777" w:rsidR="006B36C7" w:rsidRPr="009F350F" w:rsidRDefault="006B36C7" w:rsidP="006B36C7">
            <w:pPr>
              <w:jc w:val="center"/>
              <w:rPr>
                <w:rFonts w:eastAsia="Calibri"/>
                <w:color w:val="000000" w:themeColor="text1"/>
              </w:rPr>
            </w:pPr>
            <w:r w:rsidRPr="009F350F">
              <w:rPr>
                <w:rFonts w:eastAsia="Calibri"/>
                <w:color w:val="000000" w:themeColor="text1"/>
              </w:rPr>
              <w:t>T</w:t>
            </w:r>
            <w:r w:rsidRPr="009F350F">
              <w:rPr>
                <w:rFonts w:eastAsia="Calibri"/>
                <w:color w:val="000000" w:themeColor="text1"/>
                <w:vertAlign w:val="subscript"/>
              </w:rPr>
              <w:t>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B09B3B6" w14:textId="77777777" w:rsidR="006B36C7" w:rsidRPr="009F350F" w:rsidRDefault="006B36C7" w:rsidP="006B36C7">
            <w:pPr>
              <w:jc w:val="center"/>
              <w:rPr>
                <w:rFonts w:eastAsia="Calibri"/>
                <w:color w:val="000000" w:themeColor="text1"/>
              </w:rPr>
            </w:pPr>
            <w:r w:rsidRPr="009F350F">
              <w:rPr>
                <w:rFonts w:eastAsia="Calibri"/>
                <w:color w:val="000000" w:themeColor="text1"/>
              </w:rPr>
              <w:t>54.44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E404E4B" w14:textId="77777777" w:rsidR="006B36C7" w:rsidRPr="009F350F" w:rsidRDefault="006B36C7" w:rsidP="006B36C7">
            <w:pPr>
              <w:jc w:val="center"/>
              <w:rPr>
                <w:rFonts w:eastAsia="Calibri"/>
                <w:color w:val="000000" w:themeColor="text1"/>
              </w:rPr>
            </w:pPr>
            <w:r w:rsidRPr="009F350F">
              <w:rPr>
                <w:rFonts w:eastAsia="Calibri"/>
                <w:color w:val="000000" w:themeColor="text1"/>
              </w:rPr>
              <w:t>57.04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40872C8" w14:textId="77777777" w:rsidR="006B36C7" w:rsidRPr="009F350F" w:rsidRDefault="006B36C7" w:rsidP="006B36C7">
            <w:pPr>
              <w:jc w:val="center"/>
              <w:rPr>
                <w:rFonts w:eastAsia="Calibri"/>
                <w:color w:val="000000" w:themeColor="text1"/>
              </w:rPr>
            </w:pPr>
            <w:r w:rsidRPr="009F350F">
              <w:rPr>
                <w:rFonts w:eastAsia="Calibri"/>
                <w:color w:val="000000" w:themeColor="text1"/>
              </w:rPr>
              <w:t>60.74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3282CE9" w14:textId="77777777" w:rsidR="006B36C7" w:rsidRPr="009F350F" w:rsidRDefault="006B36C7" w:rsidP="006B36C7">
            <w:pPr>
              <w:jc w:val="center"/>
              <w:rPr>
                <w:rFonts w:eastAsia="Calibri"/>
                <w:color w:val="000000" w:themeColor="text1"/>
              </w:rPr>
            </w:pPr>
            <w:r w:rsidRPr="009F350F">
              <w:rPr>
                <w:rFonts w:eastAsia="Calibri"/>
                <w:color w:val="000000" w:themeColor="text1"/>
              </w:rPr>
              <w:t>4.10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74FC0B5" w14:textId="77777777" w:rsidR="006B36C7" w:rsidRPr="009F350F" w:rsidRDefault="006B36C7" w:rsidP="006B36C7">
            <w:pPr>
              <w:jc w:val="center"/>
              <w:rPr>
                <w:rFonts w:eastAsia="Calibri"/>
                <w:color w:val="000000" w:themeColor="text1"/>
              </w:rPr>
            </w:pPr>
            <w:r w:rsidRPr="009F350F">
              <w:rPr>
                <w:rFonts w:eastAsia="Calibri"/>
                <w:color w:val="000000" w:themeColor="text1"/>
              </w:rPr>
              <w:t>3.87</w:t>
            </w:r>
          </w:p>
        </w:tc>
        <w:tc>
          <w:tcPr>
            <w:tcW w:w="2183" w:type="dxa"/>
            <w:tcBorders>
              <w:top w:val="single" w:sz="4" w:space="0" w:color="auto"/>
              <w:left w:val="single" w:sz="4" w:space="0" w:color="auto"/>
              <w:bottom w:val="single" w:sz="4" w:space="0" w:color="auto"/>
              <w:right w:val="single" w:sz="4" w:space="0" w:color="auto"/>
            </w:tcBorders>
            <w:vAlign w:val="center"/>
            <w:hideMark/>
          </w:tcPr>
          <w:p w14:paraId="49A0C655" w14:textId="77777777" w:rsidR="006B36C7" w:rsidRPr="009F350F" w:rsidRDefault="006B36C7" w:rsidP="006B36C7">
            <w:pPr>
              <w:jc w:val="center"/>
              <w:rPr>
                <w:rFonts w:eastAsia="Calibri"/>
                <w:color w:val="000000" w:themeColor="text1"/>
              </w:rPr>
            </w:pPr>
            <w:r w:rsidRPr="009F350F">
              <w:rPr>
                <w:rFonts w:eastAsia="Calibri"/>
                <w:color w:val="000000" w:themeColor="text1"/>
              </w:rPr>
              <w:t>3.53</w:t>
            </w:r>
          </w:p>
        </w:tc>
      </w:tr>
      <w:tr w:rsidR="005C7457" w:rsidRPr="009F350F" w14:paraId="4CABE002" w14:textId="77777777" w:rsidTr="006B36C7">
        <w:trPr>
          <w:trHeight w:val="60"/>
        </w:trPr>
        <w:tc>
          <w:tcPr>
            <w:tcW w:w="1266" w:type="dxa"/>
            <w:tcBorders>
              <w:top w:val="single" w:sz="4" w:space="0" w:color="auto"/>
              <w:left w:val="single" w:sz="4" w:space="0" w:color="auto"/>
              <w:bottom w:val="single" w:sz="4" w:space="0" w:color="auto"/>
              <w:right w:val="single" w:sz="4" w:space="0" w:color="auto"/>
            </w:tcBorders>
            <w:vAlign w:val="bottom"/>
            <w:hideMark/>
          </w:tcPr>
          <w:p w14:paraId="7938AE7F" w14:textId="77777777" w:rsidR="006B36C7" w:rsidRPr="009F350F" w:rsidRDefault="006B36C7" w:rsidP="006B36C7">
            <w:pPr>
              <w:jc w:val="center"/>
              <w:rPr>
                <w:rFonts w:eastAsia="Calibri"/>
                <w:color w:val="000000" w:themeColor="text1"/>
              </w:rPr>
            </w:pPr>
            <w:r w:rsidRPr="009F350F">
              <w:rPr>
                <w:rFonts w:eastAsia="Calibri"/>
                <w:color w:val="000000" w:themeColor="text1"/>
              </w:rPr>
              <w:t>7</w:t>
            </w:r>
          </w:p>
        </w:tc>
        <w:tc>
          <w:tcPr>
            <w:tcW w:w="2689" w:type="dxa"/>
            <w:tcBorders>
              <w:top w:val="single" w:sz="4" w:space="0" w:color="auto"/>
              <w:left w:val="single" w:sz="4" w:space="0" w:color="auto"/>
              <w:bottom w:val="single" w:sz="4" w:space="0" w:color="auto"/>
              <w:right w:val="single" w:sz="4" w:space="0" w:color="auto"/>
            </w:tcBorders>
            <w:vAlign w:val="bottom"/>
            <w:hideMark/>
          </w:tcPr>
          <w:p w14:paraId="0E8B47EF" w14:textId="77777777" w:rsidR="006B36C7" w:rsidRPr="009F350F" w:rsidRDefault="006B36C7" w:rsidP="006B36C7">
            <w:pPr>
              <w:jc w:val="center"/>
              <w:rPr>
                <w:rFonts w:eastAsia="Calibri"/>
                <w:color w:val="000000" w:themeColor="text1"/>
              </w:rPr>
            </w:pPr>
            <w:r w:rsidRPr="009F350F">
              <w:rPr>
                <w:rFonts w:eastAsia="Calibri"/>
                <w:color w:val="000000" w:themeColor="text1"/>
              </w:rPr>
              <w:t>Control</w:t>
            </w:r>
          </w:p>
        </w:tc>
        <w:tc>
          <w:tcPr>
            <w:tcW w:w="1440" w:type="dxa"/>
            <w:tcBorders>
              <w:top w:val="single" w:sz="4" w:space="0" w:color="auto"/>
              <w:left w:val="single" w:sz="4" w:space="0" w:color="auto"/>
              <w:bottom w:val="single" w:sz="4" w:space="0" w:color="auto"/>
              <w:right w:val="single" w:sz="4" w:space="0" w:color="auto"/>
            </w:tcBorders>
          </w:tcPr>
          <w:p w14:paraId="105350CD" w14:textId="77777777" w:rsidR="006B36C7" w:rsidRPr="009F350F" w:rsidRDefault="006B36C7" w:rsidP="006B36C7">
            <w:pPr>
              <w:jc w:val="center"/>
              <w:rPr>
                <w:rFonts w:eastAsia="Calibri"/>
                <w:color w:val="000000" w:themeColor="text1"/>
              </w:rPr>
            </w:pPr>
          </w:p>
          <w:p w14:paraId="674F8C0E" w14:textId="77777777" w:rsidR="006B36C7" w:rsidRPr="009F350F" w:rsidRDefault="006B36C7" w:rsidP="006B36C7">
            <w:pPr>
              <w:jc w:val="center"/>
              <w:rPr>
                <w:rFonts w:eastAsia="Calibri"/>
                <w:color w:val="000000" w:themeColor="text1"/>
              </w:rPr>
            </w:pPr>
            <w:r w:rsidRPr="009F350F">
              <w:rPr>
                <w:rFonts w:eastAsia="Calibri"/>
                <w:color w:val="000000" w:themeColor="text1"/>
              </w:rPr>
              <w:t>T</w:t>
            </w:r>
            <w:r w:rsidRPr="009F350F">
              <w:rPr>
                <w:rFonts w:eastAsia="Calibri"/>
                <w:color w:val="000000" w:themeColor="text1"/>
                <w:vertAlign w:val="subscript"/>
              </w:rPr>
              <w:t>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1BCEF24" w14:textId="77777777" w:rsidR="006B36C7" w:rsidRPr="009F350F" w:rsidRDefault="006B36C7" w:rsidP="006B36C7">
            <w:pPr>
              <w:jc w:val="center"/>
              <w:rPr>
                <w:rFonts w:eastAsia="Calibri"/>
                <w:color w:val="000000" w:themeColor="text1"/>
              </w:rPr>
            </w:pPr>
            <w:r w:rsidRPr="009F350F">
              <w:rPr>
                <w:rFonts w:eastAsia="Calibri"/>
                <w:color w:val="000000" w:themeColor="text1"/>
              </w:rPr>
              <w:t>0.00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82F3428" w14:textId="77777777" w:rsidR="006B36C7" w:rsidRPr="009F350F" w:rsidRDefault="006B36C7" w:rsidP="006B36C7">
            <w:pPr>
              <w:jc w:val="center"/>
              <w:rPr>
                <w:rFonts w:eastAsia="Calibri"/>
                <w:color w:val="000000" w:themeColor="text1"/>
              </w:rPr>
            </w:pPr>
            <w:r w:rsidRPr="009F350F">
              <w:rPr>
                <w:rFonts w:eastAsia="Calibri"/>
                <w:color w:val="000000" w:themeColor="text1"/>
              </w:rPr>
              <w:t>0.00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5F0DAF1" w14:textId="77777777" w:rsidR="006B36C7" w:rsidRPr="009F350F" w:rsidRDefault="006B36C7" w:rsidP="006B36C7">
            <w:pPr>
              <w:jc w:val="center"/>
              <w:rPr>
                <w:rFonts w:eastAsia="Calibri"/>
                <w:color w:val="000000" w:themeColor="text1"/>
              </w:rPr>
            </w:pPr>
            <w:r w:rsidRPr="009F350F">
              <w:rPr>
                <w:rFonts w:eastAsia="Calibri"/>
                <w:color w:val="000000" w:themeColor="text1"/>
              </w:rPr>
              <w:t>0.00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40C257E" w14:textId="77777777" w:rsidR="006B36C7" w:rsidRPr="009F350F" w:rsidRDefault="006B36C7" w:rsidP="006B36C7">
            <w:pPr>
              <w:jc w:val="center"/>
              <w:rPr>
                <w:rFonts w:eastAsia="Calibri"/>
                <w:color w:val="000000" w:themeColor="text1"/>
              </w:rPr>
            </w:pPr>
            <w:r w:rsidRPr="009F350F">
              <w:rPr>
                <w:rFonts w:eastAsia="Calibri"/>
                <w:color w:val="000000" w:themeColor="text1"/>
              </w:rPr>
              <w:t>9.00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10739BA" w14:textId="77777777" w:rsidR="006B36C7" w:rsidRPr="009F350F" w:rsidRDefault="006B36C7" w:rsidP="006B36C7">
            <w:pPr>
              <w:jc w:val="center"/>
              <w:rPr>
                <w:rFonts w:eastAsia="Calibri"/>
                <w:color w:val="000000" w:themeColor="text1"/>
              </w:rPr>
            </w:pPr>
            <w:r w:rsidRPr="009F350F">
              <w:rPr>
                <w:rFonts w:eastAsia="Calibri"/>
                <w:color w:val="000000" w:themeColor="text1"/>
              </w:rPr>
              <w:t>9.00</w:t>
            </w:r>
          </w:p>
        </w:tc>
        <w:tc>
          <w:tcPr>
            <w:tcW w:w="2183" w:type="dxa"/>
            <w:tcBorders>
              <w:top w:val="single" w:sz="4" w:space="0" w:color="auto"/>
              <w:left w:val="single" w:sz="4" w:space="0" w:color="auto"/>
              <w:bottom w:val="single" w:sz="4" w:space="0" w:color="auto"/>
              <w:right w:val="single" w:sz="4" w:space="0" w:color="auto"/>
            </w:tcBorders>
            <w:vAlign w:val="center"/>
            <w:hideMark/>
          </w:tcPr>
          <w:p w14:paraId="2D3E5E14" w14:textId="77777777" w:rsidR="006B36C7" w:rsidRPr="009F350F" w:rsidRDefault="006B36C7" w:rsidP="006B36C7">
            <w:pPr>
              <w:jc w:val="center"/>
              <w:rPr>
                <w:rFonts w:eastAsia="Calibri"/>
                <w:color w:val="000000" w:themeColor="text1"/>
              </w:rPr>
            </w:pPr>
            <w:r w:rsidRPr="009F350F">
              <w:rPr>
                <w:rFonts w:eastAsia="Calibri"/>
                <w:color w:val="000000" w:themeColor="text1"/>
              </w:rPr>
              <w:t>9.00</w:t>
            </w:r>
          </w:p>
        </w:tc>
      </w:tr>
      <w:tr w:rsidR="005C7457" w:rsidRPr="009F350F" w14:paraId="4D0BFC31" w14:textId="77777777" w:rsidTr="006B36C7">
        <w:trPr>
          <w:trHeight w:val="111"/>
        </w:trPr>
        <w:tc>
          <w:tcPr>
            <w:tcW w:w="5395" w:type="dxa"/>
            <w:gridSpan w:val="3"/>
            <w:tcBorders>
              <w:top w:val="single" w:sz="4" w:space="0" w:color="auto"/>
              <w:left w:val="single" w:sz="4" w:space="0" w:color="auto"/>
              <w:bottom w:val="single" w:sz="4" w:space="0" w:color="auto"/>
              <w:right w:val="single" w:sz="4" w:space="0" w:color="auto"/>
            </w:tcBorders>
            <w:vAlign w:val="bottom"/>
            <w:hideMark/>
          </w:tcPr>
          <w:p w14:paraId="78BD9626" w14:textId="77777777" w:rsidR="006B36C7" w:rsidRPr="009F350F" w:rsidRDefault="006B36C7" w:rsidP="006B36C7">
            <w:pPr>
              <w:jc w:val="center"/>
              <w:rPr>
                <w:rFonts w:eastAsia="Calibri"/>
                <w:color w:val="000000" w:themeColor="text1"/>
              </w:rPr>
            </w:pPr>
            <w:proofErr w:type="spellStart"/>
            <w:r w:rsidRPr="009F350F">
              <w:rPr>
                <w:rFonts w:eastAsia="Calibri"/>
                <w:color w:val="000000" w:themeColor="text1"/>
              </w:rPr>
              <w:t>SEm</w:t>
            </w:r>
            <w:proofErr w:type="spellEnd"/>
          </w:p>
        </w:tc>
        <w:tc>
          <w:tcPr>
            <w:tcW w:w="1260" w:type="dxa"/>
            <w:tcBorders>
              <w:top w:val="single" w:sz="4" w:space="0" w:color="auto"/>
              <w:left w:val="single" w:sz="4" w:space="0" w:color="auto"/>
              <w:bottom w:val="single" w:sz="4" w:space="0" w:color="auto"/>
              <w:right w:val="single" w:sz="4" w:space="0" w:color="auto"/>
            </w:tcBorders>
            <w:vAlign w:val="center"/>
            <w:hideMark/>
          </w:tcPr>
          <w:p w14:paraId="1C361F73" w14:textId="77777777" w:rsidR="006B36C7" w:rsidRPr="009F350F" w:rsidRDefault="006B36C7" w:rsidP="006B36C7">
            <w:pPr>
              <w:jc w:val="center"/>
              <w:rPr>
                <w:rFonts w:eastAsia="Calibri"/>
                <w:color w:val="000000" w:themeColor="text1"/>
              </w:rPr>
            </w:pPr>
            <w:r w:rsidRPr="009F350F">
              <w:rPr>
                <w:rFonts w:eastAsia="Calibri"/>
                <w:color w:val="000000" w:themeColor="text1"/>
              </w:rPr>
              <w:t>0.40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3614B21" w14:textId="77777777" w:rsidR="006B36C7" w:rsidRPr="009F350F" w:rsidRDefault="006B36C7" w:rsidP="006B36C7">
            <w:pPr>
              <w:jc w:val="center"/>
              <w:rPr>
                <w:rFonts w:eastAsia="Calibri"/>
                <w:color w:val="000000" w:themeColor="text1"/>
              </w:rPr>
            </w:pPr>
            <w:r w:rsidRPr="009F350F">
              <w:rPr>
                <w:rFonts w:eastAsia="Calibri"/>
                <w:color w:val="000000" w:themeColor="text1"/>
              </w:rPr>
              <w:t>0.34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68C0E5A" w14:textId="77777777" w:rsidR="006B36C7" w:rsidRPr="009F350F" w:rsidRDefault="006B36C7" w:rsidP="006B36C7">
            <w:pPr>
              <w:jc w:val="center"/>
              <w:rPr>
                <w:rFonts w:eastAsia="Calibri"/>
                <w:color w:val="000000" w:themeColor="text1"/>
              </w:rPr>
            </w:pPr>
            <w:r w:rsidRPr="009F350F">
              <w:rPr>
                <w:rFonts w:eastAsia="Calibri"/>
                <w:color w:val="000000" w:themeColor="text1"/>
              </w:rPr>
              <w:t>0.34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60F529B" w14:textId="77777777" w:rsidR="006B36C7" w:rsidRPr="009F350F" w:rsidRDefault="006B36C7" w:rsidP="006B36C7">
            <w:pPr>
              <w:jc w:val="center"/>
              <w:rPr>
                <w:rFonts w:eastAsia="Calibri"/>
                <w:color w:val="000000" w:themeColor="text1"/>
              </w:rPr>
            </w:pPr>
            <w:r w:rsidRPr="009F350F">
              <w:rPr>
                <w:rFonts w:eastAsia="Calibri"/>
                <w:color w:val="000000" w:themeColor="text1"/>
              </w:rPr>
              <w:t>0.04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4E1022F" w14:textId="77777777" w:rsidR="006B36C7" w:rsidRPr="009F350F" w:rsidRDefault="006B36C7" w:rsidP="006B36C7">
            <w:pPr>
              <w:jc w:val="center"/>
              <w:rPr>
                <w:rFonts w:eastAsia="Calibri"/>
                <w:color w:val="000000" w:themeColor="text1"/>
              </w:rPr>
            </w:pPr>
            <w:r w:rsidRPr="009F350F">
              <w:rPr>
                <w:rFonts w:eastAsia="Calibri"/>
                <w:color w:val="000000" w:themeColor="text1"/>
              </w:rPr>
              <w:t>0.03</w:t>
            </w:r>
          </w:p>
        </w:tc>
        <w:tc>
          <w:tcPr>
            <w:tcW w:w="2183" w:type="dxa"/>
            <w:tcBorders>
              <w:top w:val="single" w:sz="4" w:space="0" w:color="auto"/>
              <w:left w:val="single" w:sz="4" w:space="0" w:color="auto"/>
              <w:bottom w:val="single" w:sz="4" w:space="0" w:color="auto"/>
              <w:right w:val="single" w:sz="4" w:space="0" w:color="auto"/>
            </w:tcBorders>
            <w:vAlign w:val="center"/>
            <w:hideMark/>
          </w:tcPr>
          <w:p w14:paraId="771DCB45" w14:textId="77777777" w:rsidR="006B36C7" w:rsidRPr="009F350F" w:rsidRDefault="006B36C7" w:rsidP="006B36C7">
            <w:pPr>
              <w:jc w:val="center"/>
              <w:rPr>
                <w:rFonts w:eastAsia="Calibri"/>
                <w:color w:val="000000" w:themeColor="text1"/>
              </w:rPr>
            </w:pPr>
            <w:r w:rsidRPr="009F350F">
              <w:rPr>
                <w:rFonts w:eastAsia="Calibri"/>
                <w:color w:val="000000" w:themeColor="text1"/>
              </w:rPr>
              <w:t>0.03</w:t>
            </w:r>
          </w:p>
        </w:tc>
      </w:tr>
      <w:tr w:rsidR="005C7457" w:rsidRPr="005C7457" w14:paraId="5B334919" w14:textId="77777777" w:rsidTr="006B36C7">
        <w:trPr>
          <w:trHeight w:val="207"/>
        </w:trPr>
        <w:tc>
          <w:tcPr>
            <w:tcW w:w="5395" w:type="dxa"/>
            <w:gridSpan w:val="3"/>
            <w:tcBorders>
              <w:top w:val="single" w:sz="4" w:space="0" w:color="auto"/>
              <w:left w:val="single" w:sz="4" w:space="0" w:color="auto"/>
              <w:bottom w:val="single" w:sz="4" w:space="0" w:color="auto"/>
              <w:right w:val="single" w:sz="4" w:space="0" w:color="auto"/>
            </w:tcBorders>
            <w:vAlign w:val="bottom"/>
            <w:hideMark/>
          </w:tcPr>
          <w:p w14:paraId="5FD6D3D1" w14:textId="77777777" w:rsidR="006B36C7" w:rsidRPr="009F350F" w:rsidRDefault="006B36C7" w:rsidP="006B36C7">
            <w:pPr>
              <w:jc w:val="center"/>
              <w:rPr>
                <w:rFonts w:eastAsia="Calibri"/>
                <w:color w:val="000000" w:themeColor="text1"/>
              </w:rPr>
            </w:pPr>
            <w:r w:rsidRPr="009F350F">
              <w:rPr>
                <w:rFonts w:eastAsia="Calibri"/>
                <w:color w:val="000000" w:themeColor="text1"/>
              </w:rPr>
              <w:t>CD 5%</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F88E7F8" w14:textId="77777777" w:rsidR="006B36C7" w:rsidRPr="009F350F" w:rsidRDefault="006B36C7" w:rsidP="006B36C7">
            <w:pPr>
              <w:jc w:val="center"/>
              <w:rPr>
                <w:rFonts w:eastAsia="Calibri"/>
                <w:color w:val="000000" w:themeColor="text1"/>
              </w:rPr>
            </w:pPr>
            <w:r w:rsidRPr="009F350F">
              <w:rPr>
                <w:rFonts w:eastAsia="Calibri"/>
                <w:color w:val="000000" w:themeColor="text1"/>
              </w:rPr>
              <w:t>1.20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237F646" w14:textId="77777777" w:rsidR="006B36C7" w:rsidRPr="009F350F" w:rsidRDefault="006B36C7" w:rsidP="006B36C7">
            <w:pPr>
              <w:jc w:val="center"/>
              <w:rPr>
                <w:rFonts w:eastAsia="Calibri"/>
                <w:color w:val="000000" w:themeColor="text1"/>
              </w:rPr>
            </w:pPr>
            <w:r w:rsidRPr="009F350F">
              <w:rPr>
                <w:rFonts w:eastAsia="Calibri"/>
                <w:color w:val="000000" w:themeColor="text1"/>
              </w:rPr>
              <w:t>1.04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7EFCBD2" w14:textId="77777777" w:rsidR="006B36C7" w:rsidRPr="009F350F" w:rsidRDefault="006B36C7" w:rsidP="006B36C7">
            <w:pPr>
              <w:jc w:val="center"/>
              <w:rPr>
                <w:rFonts w:eastAsia="Calibri"/>
                <w:color w:val="000000" w:themeColor="text1"/>
              </w:rPr>
            </w:pPr>
            <w:r w:rsidRPr="009F350F">
              <w:rPr>
                <w:rFonts w:eastAsia="Calibri"/>
                <w:color w:val="000000" w:themeColor="text1"/>
              </w:rPr>
              <w:t>1.04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56B22CF" w14:textId="77777777" w:rsidR="006B36C7" w:rsidRPr="009F350F" w:rsidRDefault="006B36C7" w:rsidP="006B36C7">
            <w:pPr>
              <w:jc w:val="center"/>
              <w:rPr>
                <w:rFonts w:eastAsia="Calibri"/>
                <w:color w:val="000000" w:themeColor="text1"/>
              </w:rPr>
            </w:pPr>
            <w:r w:rsidRPr="009F350F">
              <w:rPr>
                <w:rFonts w:eastAsia="Calibri"/>
                <w:color w:val="000000" w:themeColor="text1"/>
              </w:rPr>
              <w:t>0.11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A235225" w14:textId="77777777" w:rsidR="006B36C7" w:rsidRPr="009F350F" w:rsidRDefault="006B36C7" w:rsidP="006B36C7">
            <w:pPr>
              <w:jc w:val="center"/>
              <w:rPr>
                <w:rFonts w:eastAsia="Calibri"/>
                <w:color w:val="000000" w:themeColor="text1"/>
              </w:rPr>
            </w:pPr>
            <w:r w:rsidRPr="009F350F">
              <w:rPr>
                <w:rFonts w:eastAsia="Calibri"/>
                <w:color w:val="000000" w:themeColor="text1"/>
              </w:rPr>
              <w:t>0.09</w:t>
            </w:r>
          </w:p>
        </w:tc>
        <w:tc>
          <w:tcPr>
            <w:tcW w:w="2183" w:type="dxa"/>
            <w:tcBorders>
              <w:top w:val="single" w:sz="4" w:space="0" w:color="auto"/>
              <w:left w:val="single" w:sz="4" w:space="0" w:color="auto"/>
              <w:bottom w:val="single" w:sz="4" w:space="0" w:color="auto"/>
              <w:right w:val="single" w:sz="4" w:space="0" w:color="auto"/>
            </w:tcBorders>
            <w:vAlign w:val="center"/>
            <w:hideMark/>
          </w:tcPr>
          <w:p w14:paraId="0812FAFC" w14:textId="77777777" w:rsidR="006B36C7" w:rsidRPr="005C7457" w:rsidRDefault="006B36C7" w:rsidP="006B36C7">
            <w:pPr>
              <w:jc w:val="center"/>
              <w:rPr>
                <w:rFonts w:eastAsia="Calibri"/>
                <w:color w:val="000000" w:themeColor="text1"/>
              </w:rPr>
            </w:pPr>
            <w:r w:rsidRPr="009F350F">
              <w:rPr>
                <w:rFonts w:eastAsia="Calibri"/>
                <w:color w:val="000000" w:themeColor="text1"/>
              </w:rPr>
              <w:t>0.09</w:t>
            </w:r>
          </w:p>
        </w:tc>
      </w:tr>
    </w:tbl>
    <w:p w14:paraId="59881CB9" w14:textId="77777777" w:rsidR="00EB7704" w:rsidRDefault="00EB7704"/>
    <w:sectPr w:rsidR="00EB7704" w:rsidSect="00F90271">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B50C4" w14:textId="77777777" w:rsidR="00D63A32" w:rsidRDefault="00D63A32" w:rsidP="006A7586">
      <w:pPr>
        <w:spacing w:after="0" w:line="240" w:lineRule="auto"/>
      </w:pPr>
      <w:r>
        <w:separator/>
      </w:r>
    </w:p>
  </w:endnote>
  <w:endnote w:type="continuationSeparator" w:id="0">
    <w:p w14:paraId="23CACAD7" w14:textId="77777777" w:rsidR="00D63A32" w:rsidRDefault="00D63A32" w:rsidP="006A7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AA8FA" w14:textId="77777777" w:rsidR="00D63A32" w:rsidRDefault="00D63A32" w:rsidP="006A7586">
      <w:pPr>
        <w:spacing w:after="0" w:line="240" w:lineRule="auto"/>
      </w:pPr>
      <w:r>
        <w:separator/>
      </w:r>
    </w:p>
  </w:footnote>
  <w:footnote w:type="continuationSeparator" w:id="0">
    <w:p w14:paraId="7A132777" w14:textId="77777777" w:rsidR="00D63A32" w:rsidRDefault="00D63A32" w:rsidP="006A75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3C3367"/>
    <w:multiLevelType w:val="multilevel"/>
    <w:tmpl w:val="E474DE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875188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2CBA"/>
    <w:rsid w:val="00001F0B"/>
    <w:rsid w:val="0000510A"/>
    <w:rsid w:val="0000575D"/>
    <w:rsid w:val="0000677E"/>
    <w:rsid w:val="00020273"/>
    <w:rsid w:val="00027B39"/>
    <w:rsid w:val="0003772A"/>
    <w:rsid w:val="00047750"/>
    <w:rsid w:val="00047A12"/>
    <w:rsid w:val="0006712F"/>
    <w:rsid w:val="00067BD8"/>
    <w:rsid w:val="00070570"/>
    <w:rsid w:val="00077864"/>
    <w:rsid w:val="00077886"/>
    <w:rsid w:val="00080457"/>
    <w:rsid w:val="00081990"/>
    <w:rsid w:val="000835FE"/>
    <w:rsid w:val="00087BF0"/>
    <w:rsid w:val="00097C88"/>
    <w:rsid w:val="000A28A7"/>
    <w:rsid w:val="000B28D9"/>
    <w:rsid w:val="000B6057"/>
    <w:rsid w:val="000C5A6C"/>
    <w:rsid w:val="000C7F53"/>
    <w:rsid w:val="000E10DE"/>
    <w:rsid w:val="000E1988"/>
    <w:rsid w:val="000E4BD1"/>
    <w:rsid w:val="000E6992"/>
    <w:rsid w:val="000E7392"/>
    <w:rsid w:val="000F1A1D"/>
    <w:rsid w:val="000F2400"/>
    <w:rsid w:val="00115716"/>
    <w:rsid w:val="00117EC4"/>
    <w:rsid w:val="00124737"/>
    <w:rsid w:val="0013359D"/>
    <w:rsid w:val="00140DFD"/>
    <w:rsid w:val="00142283"/>
    <w:rsid w:val="00162C8B"/>
    <w:rsid w:val="0016613F"/>
    <w:rsid w:val="00181195"/>
    <w:rsid w:val="00186542"/>
    <w:rsid w:val="001974F5"/>
    <w:rsid w:val="001A7D07"/>
    <w:rsid w:val="001B00B5"/>
    <w:rsid w:val="001B4CC6"/>
    <w:rsid w:val="001B7087"/>
    <w:rsid w:val="001C5573"/>
    <w:rsid w:val="001C5ECD"/>
    <w:rsid w:val="001D6436"/>
    <w:rsid w:val="001E5AA1"/>
    <w:rsid w:val="001F5E52"/>
    <w:rsid w:val="00201CE8"/>
    <w:rsid w:val="002038E9"/>
    <w:rsid w:val="0020722F"/>
    <w:rsid w:val="00235666"/>
    <w:rsid w:val="00237023"/>
    <w:rsid w:val="002500B5"/>
    <w:rsid w:val="00257CFA"/>
    <w:rsid w:val="00262BA5"/>
    <w:rsid w:val="0026773D"/>
    <w:rsid w:val="00267B20"/>
    <w:rsid w:val="0027521C"/>
    <w:rsid w:val="00276CCB"/>
    <w:rsid w:val="0029073F"/>
    <w:rsid w:val="00290A61"/>
    <w:rsid w:val="00294F8D"/>
    <w:rsid w:val="002B617B"/>
    <w:rsid w:val="002C3F3A"/>
    <w:rsid w:val="002D1140"/>
    <w:rsid w:val="002D42AC"/>
    <w:rsid w:val="002D44E3"/>
    <w:rsid w:val="002D7A84"/>
    <w:rsid w:val="002E6FFC"/>
    <w:rsid w:val="002E7F4F"/>
    <w:rsid w:val="002F229E"/>
    <w:rsid w:val="002F4949"/>
    <w:rsid w:val="002F4D03"/>
    <w:rsid w:val="002F659D"/>
    <w:rsid w:val="00303B04"/>
    <w:rsid w:val="00305D1A"/>
    <w:rsid w:val="00307F1D"/>
    <w:rsid w:val="0032169C"/>
    <w:rsid w:val="0032177B"/>
    <w:rsid w:val="0032613B"/>
    <w:rsid w:val="00327B32"/>
    <w:rsid w:val="00334373"/>
    <w:rsid w:val="00336645"/>
    <w:rsid w:val="00343DA9"/>
    <w:rsid w:val="00347F89"/>
    <w:rsid w:val="00356B11"/>
    <w:rsid w:val="00361716"/>
    <w:rsid w:val="003641BF"/>
    <w:rsid w:val="003647BC"/>
    <w:rsid w:val="003714F9"/>
    <w:rsid w:val="00374D4D"/>
    <w:rsid w:val="003A0165"/>
    <w:rsid w:val="003A0A63"/>
    <w:rsid w:val="003B54D5"/>
    <w:rsid w:val="003B6035"/>
    <w:rsid w:val="003B6B02"/>
    <w:rsid w:val="003C09DE"/>
    <w:rsid w:val="003C72E4"/>
    <w:rsid w:val="003D34C2"/>
    <w:rsid w:val="003D5458"/>
    <w:rsid w:val="003F1637"/>
    <w:rsid w:val="00402FFC"/>
    <w:rsid w:val="0040567E"/>
    <w:rsid w:val="00405FEA"/>
    <w:rsid w:val="00424A0F"/>
    <w:rsid w:val="00431A75"/>
    <w:rsid w:val="004333A0"/>
    <w:rsid w:val="00445233"/>
    <w:rsid w:val="004575DB"/>
    <w:rsid w:val="00463A7B"/>
    <w:rsid w:val="00472D22"/>
    <w:rsid w:val="00473D7C"/>
    <w:rsid w:val="00483183"/>
    <w:rsid w:val="004862A6"/>
    <w:rsid w:val="00490200"/>
    <w:rsid w:val="004A0353"/>
    <w:rsid w:val="004B00A0"/>
    <w:rsid w:val="004B1FED"/>
    <w:rsid w:val="004B3035"/>
    <w:rsid w:val="004B52F9"/>
    <w:rsid w:val="004B6FD5"/>
    <w:rsid w:val="004C49BF"/>
    <w:rsid w:val="004C6D3B"/>
    <w:rsid w:val="004D315F"/>
    <w:rsid w:val="004D4FEA"/>
    <w:rsid w:val="004D71E1"/>
    <w:rsid w:val="004E3D34"/>
    <w:rsid w:val="004E5697"/>
    <w:rsid w:val="005044F5"/>
    <w:rsid w:val="0051203D"/>
    <w:rsid w:val="00512217"/>
    <w:rsid w:val="00526FA8"/>
    <w:rsid w:val="00537834"/>
    <w:rsid w:val="005430D6"/>
    <w:rsid w:val="0054499A"/>
    <w:rsid w:val="0054535D"/>
    <w:rsid w:val="00551E51"/>
    <w:rsid w:val="00556A63"/>
    <w:rsid w:val="00557458"/>
    <w:rsid w:val="00563DA5"/>
    <w:rsid w:val="00567E98"/>
    <w:rsid w:val="005746F6"/>
    <w:rsid w:val="00574B49"/>
    <w:rsid w:val="00575EBA"/>
    <w:rsid w:val="005760C7"/>
    <w:rsid w:val="005822F5"/>
    <w:rsid w:val="0059129A"/>
    <w:rsid w:val="0059319A"/>
    <w:rsid w:val="005941D0"/>
    <w:rsid w:val="0059593E"/>
    <w:rsid w:val="00596EE2"/>
    <w:rsid w:val="005A305F"/>
    <w:rsid w:val="005A4C32"/>
    <w:rsid w:val="005A7785"/>
    <w:rsid w:val="005B0045"/>
    <w:rsid w:val="005C0F47"/>
    <w:rsid w:val="005C1DA0"/>
    <w:rsid w:val="005C3E63"/>
    <w:rsid w:val="005C7457"/>
    <w:rsid w:val="005D67C5"/>
    <w:rsid w:val="005E4143"/>
    <w:rsid w:val="005E42DD"/>
    <w:rsid w:val="005F1EE5"/>
    <w:rsid w:val="005F2600"/>
    <w:rsid w:val="005F4BEC"/>
    <w:rsid w:val="00600A58"/>
    <w:rsid w:val="0060280E"/>
    <w:rsid w:val="00605920"/>
    <w:rsid w:val="00606B32"/>
    <w:rsid w:val="006131FE"/>
    <w:rsid w:val="0061618D"/>
    <w:rsid w:val="00621E02"/>
    <w:rsid w:val="00621E7D"/>
    <w:rsid w:val="006222A7"/>
    <w:rsid w:val="00631F0A"/>
    <w:rsid w:val="00646964"/>
    <w:rsid w:val="006503C5"/>
    <w:rsid w:val="00650DAB"/>
    <w:rsid w:val="00657C32"/>
    <w:rsid w:val="00663249"/>
    <w:rsid w:val="00664F26"/>
    <w:rsid w:val="0066566B"/>
    <w:rsid w:val="006674C8"/>
    <w:rsid w:val="00675BCA"/>
    <w:rsid w:val="00675F89"/>
    <w:rsid w:val="00676FA2"/>
    <w:rsid w:val="0067774A"/>
    <w:rsid w:val="006832CF"/>
    <w:rsid w:val="00683342"/>
    <w:rsid w:val="006841E7"/>
    <w:rsid w:val="00685FFE"/>
    <w:rsid w:val="00691FE1"/>
    <w:rsid w:val="006A44F9"/>
    <w:rsid w:val="006A54F6"/>
    <w:rsid w:val="006A7586"/>
    <w:rsid w:val="006B33E8"/>
    <w:rsid w:val="006B36C7"/>
    <w:rsid w:val="006B6213"/>
    <w:rsid w:val="006D11E6"/>
    <w:rsid w:val="006E5962"/>
    <w:rsid w:val="006F02DB"/>
    <w:rsid w:val="006F220E"/>
    <w:rsid w:val="006F4FDD"/>
    <w:rsid w:val="006F7EED"/>
    <w:rsid w:val="0070414F"/>
    <w:rsid w:val="00720FD2"/>
    <w:rsid w:val="00730C05"/>
    <w:rsid w:val="00734314"/>
    <w:rsid w:val="00734B68"/>
    <w:rsid w:val="007353D9"/>
    <w:rsid w:val="00746BFB"/>
    <w:rsid w:val="00757BA7"/>
    <w:rsid w:val="00764C71"/>
    <w:rsid w:val="00774CDD"/>
    <w:rsid w:val="007762D1"/>
    <w:rsid w:val="007771EE"/>
    <w:rsid w:val="007809DD"/>
    <w:rsid w:val="00782F9D"/>
    <w:rsid w:val="00786DB7"/>
    <w:rsid w:val="007B3F0A"/>
    <w:rsid w:val="007C1E9D"/>
    <w:rsid w:val="007C7DC3"/>
    <w:rsid w:val="007D0EF6"/>
    <w:rsid w:val="007D4F33"/>
    <w:rsid w:val="007D5BE6"/>
    <w:rsid w:val="007F2B23"/>
    <w:rsid w:val="007F3ED9"/>
    <w:rsid w:val="007F42AB"/>
    <w:rsid w:val="00803955"/>
    <w:rsid w:val="008040D8"/>
    <w:rsid w:val="0080664C"/>
    <w:rsid w:val="008117AA"/>
    <w:rsid w:val="00811F8A"/>
    <w:rsid w:val="008122BE"/>
    <w:rsid w:val="0081552B"/>
    <w:rsid w:val="00817F53"/>
    <w:rsid w:val="00820010"/>
    <w:rsid w:val="0082367D"/>
    <w:rsid w:val="00827393"/>
    <w:rsid w:val="00834FEF"/>
    <w:rsid w:val="00837E5F"/>
    <w:rsid w:val="008515AE"/>
    <w:rsid w:val="00854FC9"/>
    <w:rsid w:val="00857EB1"/>
    <w:rsid w:val="00857F99"/>
    <w:rsid w:val="00861C30"/>
    <w:rsid w:val="00875521"/>
    <w:rsid w:val="0089242D"/>
    <w:rsid w:val="00892CBA"/>
    <w:rsid w:val="008938F2"/>
    <w:rsid w:val="0089694E"/>
    <w:rsid w:val="008A398C"/>
    <w:rsid w:val="008A4466"/>
    <w:rsid w:val="008A5D4D"/>
    <w:rsid w:val="008A619D"/>
    <w:rsid w:val="008A662C"/>
    <w:rsid w:val="008B3927"/>
    <w:rsid w:val="008B537A"/>
    <w:rsid w:val="008B692D"/>
    <w:rsid w:val="008C0A9F"/>
    <w:rsid w:val="008C44D2"/>
    <w:rsid w:val="008D53EB"/>
    <w:rsid w:val="008E07E4"/>
    <w:rsid w:val="008E496D"/>
    <w:rsid w:val="00906DD4"/>
    <w:rsid w:val="009072E6"/>
    <w:rsid w:val="009311DA"/>
    <w:rsid w:val="009421D5"/>
    <w:rsid w:val="00943A37"/>
    <w:rsid w:val="0095009A"/>
    <w:rsid w:val="009571E8"/>
    <w:rsid w:val="00957E26"/>
    <w:rsid w:val="00964C93"/>
    <w:rsid w:val="00973CC8"/>
    <w:rsid w:val="00975C39"/>
    <w:rsid w:val="00980DCE"/>
    <w:rsid w:val="00983FB5"/>
    <w:rsid w:val="0099120D"/>
    <w:rsid w:val="00991B15"/>
    <w:rsid w:val="009D4657"/>
    <w:rsid w:val="009F124D"/>
    <w:rsid w:val="009F350F"/>
    <w:rsid w:val="00A000FD"/>
    <w:rsid w:val="00A23D20"/>
    <w:rsid w:val="00A264E5"/>
    <w:rsid w:val="00A31DCA"/>
    <w:rsid w:val="00A32C38"/>
    <w:rsid w:val="00A32D5B"/>
    <w:rsid w:val="00A35887"/>
    <w:rsid w:val="00A4096C"/>
    <w:rsid w:val="00A448CB"/>
    <w:rsid w:val="00A601FE"/>
    <w:rsid w:val="00A7226F"/>
    <w:rsid w:val="00A74092"/>
    <w:rsid w:val="00A81882"/>
    <w:rsid w:val="00A823DF"/>
    <w:rsid w:val="00A834CA"/>
    <w:rsid w:val="00A87C9C"/>
    <w:rsid w:val="00A94AD7"/>
    <w:rsid w:val="00A96C9D"/>
    <w:rsid w:val="00AA1135"/>
    <w:rsid w:val="00AC0951"/>
    <w:rsid w:val="00AC1C17"/>
    <w:rsid w:val="00AC333C"/>
    <w:rsid w:val="00AC5E3B"/>
    <w:rsid w:val="00AD5088"/>
    <w:rsid w:val="00AD597C"/>
    <w:rsid w:val="00AE00DD"/>
    <w:rsid w:val="00AF4C29"/>
    <w:rsid w:val="00B03324"/>
    <w:rsid w:val="00B03AA7"/>
    <w:rsid w:val="00B053F7"/>
    <w:rsid w:val="00B1155F"/>
    <w:rsid w:val="00B117D1"/>
    <w:rsid w:val="00B2064C"/>
    <w:rsid w:val="00B21C89"/>
    <w:rsid w:val="00B23F96"/>
    <w:rsid w:val="00B252A1"/>
    <w:rsid w:val="00B30903"/>
    <w:rsid w:val="00B30FE3"/>
    <w:rsid w:val="00B316DB"/>
    <w:rsid w:val="00B33221"/>
    <w:rsid w:val="00B33E35"/>
    <w:rsid w:val="00B34602"/>
    <w:rsid w:val="00B40CE8"/>
    <w:rsid w:val="00B53AA4"/>
    <w:rsid w:val="00B600A8"/>
    <w:rsid w:val="00B6725E"/>
    <w:rsid w:val="00B73BF1"/>
    <w:rsid w:val="00B7546B"/>
    <w:rsid w:val="00B7654B"/>
    <w:rsid w:val="00B84E52"/>
    <w:rsid w:val="00BA505E"/>
    <w:rsid w:val="00BA59C9"/>
    <w:rsid w:val="00BA5D1F"/>
    <w:rsid w:val="00BB01F3"/>
    <w:rsid w:val="00BB1273"/>
    <w:rsid w:val="00BB1928"/>
    <w:rsid w:val="00BB7564"/>
    <w:rsid w:val="00BC572E"/>
    <w:rsid w:val="00BC68A0"/>
    <w:rsid w:val="00BD1ED8"/>
    <w:rsid w:val="00BD66AC"/>
    <w:rsid w:val="00C12021"/>
    <w:rsid w:val="00C210C2"/>
    <w:rsid w:val="00C2186F"/>
    <w:rsid w:val="00C249FD"/>
    <w:rsid w:val="00C25D2D"/>
    <w:rsid w:val="00C2733D"/>
    <w:rsid w:val="00C27819"/>
    <w:rsid w:val="00C33BB9"/>
    <w:rsid w:val="00C35B37"/>
    <w:rsid w:val="00C35C1D"/>
    <w:rsid w:val="00C3737A"/>
    <w:rsid w:val="00C374FC"/>
    <w:rsid w:val="00C43F27"/>
    <w:rsid w:val="00C45CB7"/>
    <w:rsid w:val="00C466EE"/>
    <w:rsid w:val="00C601F5"/>
    <w:rsid w:val="00C63A17"/>
    <w:rsid w:val="00C70A69"/>
    <w:rsid w:val="00C73955"/>
    <w:rsid w:val="00C74029"/>
    <w:rsid w:val="00C75352"/>
    <w:rsid w:val="00C83C06"/>
    <w:rsid w:val="00C84818"/>
    <w:rsid w:val="00C856E8"/>
    <w:rsid w:val="00C909F2"/>
    <w:rsid w:val="00C90FB3"/>
    <w:rsid w:val="00CA4D40"/>
    <w:rsid w:val="00CA58B8"/>
    <w:rsid w:val="00CB6523"/>
    <w:rsid w:val="00CC30B5"/>
    <w:rsid w:val="00CD735A"/>
    <w:rsid w:val="00CE53ED"/>
    <w:rsid w:val="00CF12B6"/>
    <w:rsid w:val="00CF1BA8"/>
    <w:rsid w:val="00D00259"/>
    <w:rsid w:val="00D00A44"/>
    <w:rsid w:val="00D262F5"/>
    <w:rsid w:val="00D30806"/>
    <w:rsid w:val="00D32856"/>
    <w:rsid w:val="00D33E22"/>
    <w:rsid w:val="00D36E79"/>
    <w:rsid w:val="00D36F5A"/>
    <w:rsid w:val="00D371A9"/>
    <w:rsid w:val="00D42594"/>
    <w:rsid w:val="00D514AC"/>
    <w:rsid w:val="00D54E5B"/>
    <w:rsid w:val="00D57291"/>
    <w:rsid w:val="00D63A32"/>
    <w:rsid w:val="00D66A67"/>
    <w:rsid w:val="00D77101"/>
    <w:rsid w:val="00D9010E"/>
    <w:rsid w:val="00D916C0"/>
    <w:rsid w:val="00D92ACF"/>
    <w:rsid w:val="00D936EA"/>
    <w:rsid w:val="00DA5EA8"/>
    <w:rsid w:val="00DC3CC9"/>
    <w:rsid w:val="00DD267F"/>
    <w:rsid w:val="00DD6917"/>
    <w:rsid w:val="00DE110C"/>
    <w:rsid w:val="00DE12CB"/>
    <w:rsid w:val="00DE3153"/>
    <w:rsid w:val="00DE3A9D"/>
    <w:rsid w:val="00DE6214"/>
    <w:rsid w:val="00DE7118"/>
    <w:rsid w:val="00DF059E"/>
    <w:rsid w:val="00E05BFB"/>
    <w:rsid w:val="00E06C8A"/>
    <w:rsid w:val="00E16799"/>
    <w:rsid w:val="00E259BB"/>
    <w:rsid w:val="00E307B6"/>
    <w:rsid w:val="00E3462C"/>
    <w:rsid w:val="00E34988"/>
    <w:rsid w:val="00E4105F"/>
    <w:rsid w:val="00E45DDB"/>
    <w:rsid w:val="00E46459"/>
    <w:rsid w:val="00E55A66"/>
    <w:rsid w:val="00E6229F"/>
    <w:rsid w:val="00E63DDF"/>
    <w:rsid w:val="00E65BA2"/>
    <w:rsid w:val="00E7304D"/>
    <w:rsid w:val="00E75871"/>
    <w:rsid w:val="00E77FFB"/>
    <w:rsid w:val="00E812F2"/>
    <w:rsid w:val="00E824DD"/>
    <w:rsid w:val="00E825AA"/>
    <w:rsid w:val="00E86D90"/>
    <w:rsid w:val="00EA7999"/>
    <w:rsid w:val="00EB2DFE"/>
    <w:rsid w:val="00EB338A"/>
    <w:rsid w:val="00EB7704"/>
    <w:rsid w:val="00EC69AD"/>
    <w:rsid w:val="00ED0886"/>
    <w:rsid w:val="00ED2917"/>
    <w:rsid w:val="00ED70EE"/>
    <w:rsid w:val="00EE66DE"/>
    <w:rsid w:val="00EF0A0C"/>
    <w:rsid w:val="00EF2F2C"/>
    <w:rsid w:val="00EF6893"/>
    <w:rsid w:val="00EF77EC"/>
    <w:rsid w:val="00F00313"/>
    <w:rsid w:val="00F04151"/>
    <w:rsid w:val="00F10311"/>
    <w:rsid w:val="00F1126C"/>
    <w:rsid w:val="00F16AA3"/>
    <w:rsid w:val="00F2106E"/>
    <w:rsid w:val="00F275EC"/>
    <w:rsid w:val="00F30FB1"/>
    <w:rsid w:val="00F31D76"/>
    <w:rsid w:val="00F3378E"/>
    <w:rsid w:val="00F37C96"/>
    <w:rsid w:val="00F4252F"/>
    <w:rsid w:val="00F52A24"/>
    <w:rsid w:val="00F52BA8"/>
    <w:rsid w:val="00F751D8"/>
    <w:rsid w:val="00F77CE3"/>
    <w:rsid w:val="00F90271"/>
    <w:rsid w:val="00F93567"/>
    <w:rsid w:val="00F96151"/>
    <w:rsid w:val="00FA1E1F"/>
    <w:rsid w:val="00FA7A84"/>
    <w:rsid w:val="00FB6089"/>
    <w:rsid w:val="00FC56D7"/>
    <w:rsid w:val="00FC765F"/>
    <w:rsid w:val="00FD5631"/>
    <w:rsid w:val="00FD6817"/>
    <w:rsid w:val="00FE22B3"/>
    <w:rsid w:val="00FE327E"/>
    <w:rsid w:val="00FE40F9"/>
    <w:rsid w:val="00FF711F"/>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6FDD7"/>
  <w15:docId w15:val="{279C9FE5-C1E7-46A4-B101-2240A3641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8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1716"/>
    <w:pPr>
      <w:ind w:left="720"/>
      <w:contextualSpacing/>
    </w:pPr>
  </w:style>
  <w:style w:type="character" w:styleId="Hyperlink">
    <w:name w:val="Hyperlink"/>
    <w:basedOn w:val="DefaultParagraphFont"/>
    <w:uiPriority w:val="99"/>
    <w:unhideWhenUsed/>
    <w:rsid w:val="00A7226F"/>
    <w:rPr>
      <w:color w:val="0563C1" w:themeColor="hyperlink"/>
      <w:u w:val="single"/>
    </w:rPr>
  </w:style>
  <w:style w:type="paragraph" w:styleId="BalloonText">
    <w:name w:val="Balloon Text"/>
    <w:basedOn w:val="Normal"/>
    <w:link w:val="BalloonTextChar"/>
    <w:uiPriority w:val="99"/>
    <w:semiHidden/>
    <w:unhideWhenUsed/>
    <w:rsid w:val="005E41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4143"/>
    <w:rPr>
      <w:rFonts w:ascii="Tahoma" w:hAnsi="Tahoma" w:cs="Tahoma"/>
      <w:sz w:val="16"/>
      <w:szCs w:val="16"/>
    </w:rPr>
  </w:style>
  <w:style w:type="paragraph" w:styleId="NormalWeb">
    <w:name w:val="Normal (Web)"/>
    <w:basedOn w:val="Normal"/>
    <w:uiPriority w:val="99"/>
    <w:unhideWhenUsed/>
    <w:rsid w:val="0060280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60280E"/>
    <w:rPr>
      <w:i/>
      <w:iCs/>
    </w:rPr>
  </w:style>
  <w:style w:type="table" w:styleId="TableGrid">
    <w:name w:val="Table Grid"/>
    <w:basedOn w:val="TableNormal"/>
    <w:uiPriority w:val="39"/>
    <w:rsid w:val="0006712F"/>
    <w:pPr>
      <w:spacing w:after="0" w:line="240" w:lineRule="auto"/>
    </w:pPr>
    <w:rPr>
      <w:rFonts w:ascii="Calibri" w:eastAsia="Calibri" w:hAnsi="Calibri" w:cs="Times New Roman"/>
      <w:kern w:val="2"/>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75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7586"/>
  </w:style>
  <w:style w:type="paragraph" w:styleId="Footer">
    <w:name w:val="footer"/>
    <w:basedOn w:val="Normal"/>
    <w:link w:val="FooterChar"/>
    <w:uiPriority w:val="99"/>
    <w:unhideWhenUsed/>
    <w:rsid w:val="006A75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7586"/>
  </w:style>
  <w:style w:type="character" w:customStyle="1" w:styleId="UnresolvedMention1">
    <w:name w:val="Unresolved Mention1"/>
    <w:basedOn w:val="DefaultParagraphFont"/>
    <w:uiPriority w:val="99"/>
    <w:semiHidden/>
    <w:unhideWhenUsed/>
    <w:rsid w:val="003B6035"/>
    <w:rPr>
      <w:color w:val="605E5C"/>
      <w:shd w:val="clear" w:color="auto" w:fill="E1DFDD"/>
    </w:rPr>
  </w:style>
  <w:style w:type="paragraph" w:styleId="NoSpacing">
    <w:name w:val="No Spacing"/>
    <w:uiPriority w:val="1"/>
    <w:qFormat/>
    <w:rsid w:val="00F52BA8"/>
    <w:pPr>
      <w:spacing w:after="0" w:line="240" w:lineRule="auto"/>
    </w:pPr>
    <w:rPr>
      <w:lang w:val="en-GB"/>
    </w:rPr>
  </w:style>
  <w:style w:type="table" w:customStyle="1" w:styleId="TableGrid3">
    <w:name w:val="Table Grid3"/>
    <w:basedOn w:val="TableNormal"/>
    <w:next w:val="TableGrid"/>
    <w:uiPriority w:val="39"/>
    <w:rsid w:val="00C21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6B36C7"/>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80DCE"/>
    <w:rPr>
      <w:b/>
      <w:bCs/>
    </w:rPr>
  </w:style>
  <w:style w:type="character" w:customStyle="1" w:styleId="UnresolvedMention2">
    <w:name w:val="Unresolved Mention2"/>
    <w:basedOn w:val="DefaultParagraphFont"/>
    <w:uiPriority w:val="99"/>
    <w:semiHidden/>
    <w:unhideWhenUsed/>
    <w:rsid w:val="00AC09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08148">
      <w:bodyDiv w:val="1"/>
      <w:marLeft w:val="0"/>
      <w:marRight w:val="0"/>
      <w:marTop w:val="0"/>
      <w:marBottom w:val="0"/>
      <w:divBdr>
        <w:top w:val="none" w:sz="0" w:space="0" w:color="auto"/>
        <w:left w:val="none" w:sz="0" w:space="0" w:color="auto"/>
        <w:bottom w:val="none" w:sz="0" w:space="0" w:color="auto"/>
        <w:right w:val="none" w:sz="0" w:space="0" w:color="auto"/>
      </w:divBdr>
    </w:div>
    <w:div w:id="153303399">
      <w:bodyDiv w:val="1"/>
      <w:marLeft w:val="0"/>
      <w:marRight w:val="0"/>
      <w:marTop w:val="0"/>
      <w:marBottom w:val="0"/>
      <w:divBdr>
        <w:top w:val="none" w:sz="0" w:space="0" w:color="auto"/>
        <w:left w:val="none" w:sz="0" w:space="0" w:color="auto"/>
        <w:bottom w:val="none" w:sz="0" w:space="0" w:color="auto"/>
        <w:right w:val="none" w:sz="0" w:space="0" w:color="auto"/>
      </w:divBdr>
    </w:div>
    <w:div w:id="204487576">
      <w:bodyDiv w:val="1"/>
      <w:marLeft w:val="0"/>
      <w:marRight w:val="0"/>
      <w:marTop w:val="0"/>
      <w:marBottom w:val="0"/>
      <w:divBdr>
        <w:top w:val="none" w:sz="0" w:space="0" w:color="auto"/>
        <w:left w:val="none" w:sz="0" w:space="0" w:color="auto"/>
        <w:bottom w:val="none" w:sz="0" w:space="0" w:color="auto"/>
        <w:right w:val="none" w:sz="0" w:space="0" w:color="auto"/>
      </w:divBdr>
    </w:div>
    <w:div w:id="326709183">
      <w:bodyDiv w:val="1"/>
      <w:marLeft w:val="0"/>
      <w:marRight w:val="0"/>
      <w:marTop w:val="0"/>
      <w:marBottom w:val="0"/>
      <w:divBdr>
        <w:top w:val="none" w:sz="0" w:space="0" w:color="auto"/>
        <w:left w:val="none" w:sz="0" w:space="0" w:color="auto"/>
        <w:bottom w:val="none" w:sz="0" w:space="0" w:color="auto"/>
        <w:right w:val="none" w:sz="0" w:space="0" w:color="auto"/>
      </w:divBdr>
      <w:divsChild>
        <w:div w:id="56439770">
          <w:marLeft w:val="0"/>
          <w:marRight w:val="0"/>
          <w:marTop w:val="0"/>
          <w:marBottom w:val="0"/>
          <w:divBdr>
            <w:top w:val="none" w:sz="0" w:space="0" w:color="auto"/>
            <w:left w:val="none" w:sz="0" w:space="0" w:color="auto"/>
            <w:bottom w:val="none" w:sz="0" w:space="0" w:color="auto"/>
            <w:right w:val="none" w:sz="0" w:space="0" w:color="auto"/>
          </w:divBdr>
          <w:divsChild>
            <w:div w:id="1112558380">
              <w:marLeft w:val="0"/>
              <w:marRight w:val="0"/>
              <w:marTop w:val="0"/>
              <w:marBottom w:val="0"/>
              <w:divBdr>
                <w:top w:val="none" w:sz="0" w:space="0" w:color="auto"/>
                <w:left w:val="none" w:sz="0" w:space="0" w:color="auto"/>
                <w:bottom w:val="none" w:sz="0" w:space="0" w:color="auto"/>
                <w:right w:val="none" w:sz="0" w:space="0" w:color="auto"/>
              </w:divBdr>
              <w:divsChild>
                <w:div w:id="327370598">
                  <w:marLeft w:val="0"/>
                  <w:marRight w:val="0"/>
                  <w:marTop w:val="0"/>
                  <w:marBottom w:val="0"/>
                  <w:divBdr>
                    <w:top w:val="none" w:sz="0" w:space="0" w:color="auto"/>
                    <w:left w:val="none" w:sz="0" w:space="0" w:color="auto"/>
                    <w:bottom w:val="none" w:sz="0" w:space="0" w:color="auto"/>
                    <w:right w:val="none" w:sz="0" w:space="0" w:color="auto"/>
                  </w:divBdr>
                  <w:divsChild>
                    <w:div w:id="32655038">
                      <w:marLeft w:val="0"/>
                      <w:marRight w:val="0"/>
                      <w:marTop w:val="0"/>
                      <w:marBottom w:val="0"/>
                      <w:divBdr>
                        <w:top w:val="none" w:sz="0" w:space="0" w:color="auto"/>
                        <w:left w:val="none" w:sz="0" w:space="0" w:color="auto"/>
                        <w:bottom w:val="none" w:sz="0" w:space="0" w:color="auto"/>
                        <w:right w:val="none" w:sz="0" w:space="0" w:color="auto"/>
                      </w:divBdr>
                      <w:divsChild>
                        <w:div w:id="1837381576">
                          <w:marLeft w:val="0"/>
                          <w:marRight w:val="0"/>
                          <w:marTop w:val="0"/>
                          <w:marBottom w:val="0"/>
                          <w:divBdr>
                            <w:top w:val="none" w:sz="0" w:space="0" w:color="auto"/>
                            <w:left w:val="none" w:sz="0" w:space="0" w:color="auto"/>
                            <w:bottom w:val="none" w:sz="0" w:space="0" w:color="auto"/>
                            <w:right w:val="none" w:sz="0" w:space="0" w:color="auto"/>
                          </w:divBdr>
                          <w:divsChild>
                            <w:div w:id="154344830">
                              <w:marLeft w:val="0"/>
                              <w:marRight w:val="0"/>
                              <w:marTop w:val="0"/>
                              <w:marBottom w:val="0"/>
                              <w:divBdr>
                                <w:top w:val="none" w:sz="0" w:space="0" w:color="auto"/>
                                <w:left w:val="none" w:sz="0" w:space="0" w:color="auto"/>
                                <w:bottom w:val="none" w:sz="0" w:space="0" w:color="auto"/>
                                <w:right w:val="none" w:sz="0" w:space="0" w:color="auto"/>
                              </w:divBdr>
                              <w:divsChild>
                                <w:div w:id="1117408021">
                                  <w:marLeft w:val="0"/>
                                  <w:marRight w:val="0"/>
                                  <w:marTop w:val="0"/>
                                  <w:marBottom w:val="0"/>
                                  <w:divBdr>
                                    <w:top w:val="none" w:sz="0" w:space="0" w:color="auto"/>
                                    <w:left w:val="none" w:sz="0" w:space="0" w:color="auto"/>
                                    <w:bottom w:val="none" w:sz="0" w:space="0" w:color="auto"/>
                                    <w:right w:val="none" w:sz="0" w:space="0" w:color="auto"/>
                                  </w:divBdr>
                                  <w:divsChild>
                                    <w:div w:id="37581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6378818">
          <w:marLeft w:val="0"/>
          <w:marRight w:val="0"/>
          <w:marTop w:val="0"/>
          <w:marBottom w:val="0"/>
          <w:divBdr>
            <w:top w:val="none" w:sz="0" w:space="0" w:color="auto"/>
            <w:left w:val="none" w:sz="0" w:space="0" w:color="auto"/>
            <w:bottom w:val="none" w:sz="0" w:space="0" w:color="auto"/>
            <w:right w:val="none" w:sz="0" w:space="0" w:color="auto"/>
          </w:divBdr>
          <w:divsChild>
            <w:div w:id="1725253935">
              <w:marLeft w:val="0"/>
              <w:marRight w:val="0"/>
              <w:marTop w:val="0"/>
              <w:marBottom w:val="0"/>
              <w:divBdr>
                <w:top w:val="none" w:sz="0" w:space="0" w:color="auto"/>
                <w:left w:val="none" w:sz="0" w:space="0" w:color="auto"/>
                <w:bottom w:val="none" w:sz="0" w:space="0" w:color="auto"/>
                <w:right w:val="none" w:sz="0" w:space="0" w:color="auto"/>
              </w:divBdr>
              <w:divsChild>
                <w:div w:id="1800342555">
                  <w:marLeft w:val="0"/>
                  <w:marRight w:val="0"/>
                  <w:marTop w:val="0"/>
                  <w:marBottom w:val="0"/>
                  <w:divBdr>
                    <w:top w:val="none" w:sz="0" w:space="0" w:color="auto"/>
                    <w:left w:val="none" w:sz="0" w:space="0" w:color="auto"/>
                    <w:bottom w:val="none" w:sz="0" w:space="0" w:color="auto"/>
                    <w:right w:val="none" w:sz="0" w:space="0" w:color="auto"/>
                  </w:divBdr>
                  <w:divsChild>
                    <w:div w:id="212544521">
                      <w:marLeft w:val="0"/>
                      <w:marRight w:val="0"/>
                      <w:marTop w:val="0"/>
                      <w:marBottom w:val="0"/>
                      <w:divBdr>
                        <w:top w:val="none" w:sz="0" w:space="0" w:color="auto"/>
                        <w:left w:val="none" w:sz="0" w:space="0" w:color="auto"/>
                        <w:bottom w:val="none" w:sz="0" w:space="0" w:color="auto"/>
                        <w:right w:val="none" w:sz="0" w:space="0" w:color="auto"/>
                      </w:divBdr>
                      <w:divsChild>
                        <w:div w:id="482234671">
                          <w:marLeft w:val="0"/>
                          <w:marRight w:val="0"/>
                          <w:marTop w:val="0"/>
                          <w:marBottom w:val="0"/>
                          <w:divBdr>
                            <w:top w:val="none" w:sz="0" w:space="0" w:color="auto"/>
                            <w:left w:val="none" w:sz="0" w:space="0" w:color="auto"/>
                            <w:bottom w:val="none" w:sz="0" w:space="0" w:color="auto"/>
                            <w:right w:val="none" w:sz="0" w:space="0" w:color="auto"/>
                          </w:divBdr>
                          <w:divsChild>
                            <w:div w:id="1365209250">
                              <w:marLeft w:val="0"/>
                              <w:marRight w:val="0"/>
                              <w:marTop w:val="0"/>
                              <w:marBottom w:val="0"/>
                              <w:divBdr>
                                <w:top w:val="none" w:sz="0" w:space="0" w:color="auto"/>
                                <w:left w:val="none" w:sz="0" w:space="0" w:color="auto"/>
                                <w:bottom w:val="none" w:sz="0" w:space="0" w:color="auto"/>
                                <w:right w:val="none" w:sz="0" w:space="0" w:color="auto"/>
                              </w:divBdr>
                              <w:divsChild>
                                <w:div w:id="48001564">
                                  <w:marLeft w:val="0"/>
                                  <w:marRight w:val="0"/>
                                  <w:marTop w:val="0"/>
                                  <w:marBottom w:val="0"/>
                                  <w:divBdr>
                                    <w:top w:val="none" w:sz="0" w:space="0" w:color="auto"/>
                                    <w:left w:val="none" w:sz="0" w:space="0" w:color="auto"/>
                                    <w:bottom w:val="none" w:sz="0" w:space="0" w:color="auto"/>
                                    <w:right w:val="none" w:sz="0" w:space="0" w:color="auto"/>
                                  </w:divBdr>
                                  <w:divsChild>
                                    <w:div w:id="1739354944">
                                      <w:marLeft w:val="0"/>
                                      <w:marRight w:val="0"/>
                                      <w:marTop w:val="0"/>
                                      <w:marBottom w:val="0"/>
                                      <w:divBdr>
                                        <w:top w:val="none" w:sz="0" w:space="0" w:color="auto"/>
                                        <w:left w:val="none" w:sz="0" w:space="0" w:color="auto"/>
                                        <w:bottom w:val="none" w:sz="0" w:space="0" w:color="auto"/>
                                        <w:right w:val="none" w:sz="0" w:space="0" w:color="auto"/>
                                      </w:divBdr>
                                      <w:divsChild>
                                        <w:div w:id="2122142111">
                                          <w:marLeft w:val="0"/>
                                          <w:marRight w:val="0"/>
                                          <w:marTop w:val="0"/>
                                          <w:marBottom w:val="0"/>
                                          <w:divBdr>
                                            <w:top w:val="none" w:sz="0" w:space="0" w:color="auto"/>
                                            <w:left w:val="none" w:sz="0" w:space="0" w:color="auto"/>
                                            <w:bottom w:val="none" w:sz="0" w:space="0" w:color="auto"/>
                                            <w:right w:val="none" w:sz="0" w:space="0" w:color="auto"/>
                                          </w:divBdr>
                                          <w:divsChild>
                                            <w:div w:id="1450514093">
                                              <w:marLeft w:val="0"/>
                                              <w:marRight w:val="0"/>
                                              <w:marTop w:val="0"/>
                                              <w:marBottom w:val="0"/>
                                              <w:divBdr>
                                                <w:top w:val="none" w:sz="0" w:space="0" w:color="auto"/>
                                                <w:left w:val="none" w:sz="0" w:space="0" w:color="auto"/>
                                                <w:bottom w:val="none" w:sz="0" w:space="0" w:color="auto"/>
                                                <w:right w:val="none" w:sz="0" w:space="0" w:color="auto"/>
                                              </w:divBdr>
                                              <w:divsChild>
                                                <w:div w:id="419179105">
                                                  <w:marLeft w:val="0"/>
                                                  <w:marRight w:val="0"/>
                                                  <w:marTop w:val="0"/>
                                                  <w:marBottom w:val="0"/>
                                                  <w:divBdr>
                                                    <w:top w:val="none" w:sz="0" w:space="0" w:color="auto"/>
                                                    <w:left w:val="none" w:sz="0" w:space="0" w:color="auto"/>
                                                    <w:bottom w:val="none" w:sz="0" w:space="0" w:color="auto"/>
                                                    <w:right w:val="none" w:sz="0" w:space="0" w:color="auto"/>
                                                  </w:divBdr>
                                                  <w:divsChild>
                                                    <w:div w:id="140024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5584693">
      <w:bodyDiv w:val="1"/>
      <w:marLeft w:val="0"/>
      <w:marRight w:val="0"/>
      <w:marTop w:val="0"/>
      <w:marBottom w:val="0"/>
      <w:divBdr>
        <w:top w:val="none" w:sz="0" w:space="0" w:color="auto"/>
        <w:left w:val="none" w:sz="0" w:space="0" w:color="auto"/>
        <w:bottom w:val="none" w:sz="0" w:space="0" w:color="auto"/>
        <w:right w:val="none" w:sz="0" w:space="0" w:color="auto"/>
      </w:divBdr>
    </w:div>
    <w:div w:id="568272626">
      <w:bodyDiv w:val="1"/>
      <w:marLeft w:val="0"/>
      <w:marRight w:val="0"/>
      <w:marTop w:val="0"/>
      <w:marBottom w:val="0"/>
      <w:divBdr>
        <w:top w:val="none" w:sz="0" w:space="0" w:color="auto"/>
        <w:left w:val="none" w:sz="0" w:space="0" w:color="auto"/>
        <w:bottom w:val="none" w:sz="0" w:space="0" w:color="auto"/>
        <w:right w:val="none" w:sz="0" w:space="0" w:color="auto"/>
      </w:divBdr>
    </w:div>
    <w:div w:id="600572185">
      <w:bodyDiv w:val="1"/>
      <w:marLeft w:val="0"/>
      <w:marRight w:val="0"/>
      <w:marTop w:val="0"/>
      <w:marBottom w:val="0"/>
      <w:divBdr>
        <w:top w:val="none" w:sz="0" w:space="0" w:color="auto"/>
        <w:left w:val="none" w:sz="0" w:space="0" w:color="auto"/>
        <w:bottom w:val="none" w:sz="0" w:space="0" w:color="auto"/>
        <w:right w:val="none" w:sz="0" w:space="0" w:color="auto"/>
      </w:divBdr>
    </w:div>
    <w:div w:id="727842910">
      <w:bodyDiv w:val="1"/>
      <w:marLeft w:val="0"/>
      <w:marRight w:val="0"/>
      <w:marTop w:val="0"/>
      <w:marBottom w:val="0"/>
      <w:divBdr>
        <w:top w:val="none" w:sz="0" w:space="0" w:color="auto"/>
        <w:left w:val="none" w:sz="0" w:space="0" w:color="auto"/>
        <w:bottom w:val="none" w:sz="0" w:space="0" w:color="auto"/>
        <w:right w:val="none" w:sz="0" w:space="0" w:color="auto"/>
      </w:divBdr>
      <w:divsChild>
        <w:div w:id="446123013">
          <w:marLeft w:val="0"/>
          <w:marRight w:val="0"/>
          <w:marTop w:val="0"/>
          <w:marBottom w:val="0"/>
          <w:divBdr>
            <w:top w:val="none" w:sz="0" w:space="0" w:color="auto"/>
            <w:left w:val="none" w:sz="0" w:space="0" w:color="auto"/>
            <w:bottom w:val="none" w:sz="0" w:space="0" w:color="auto"/>
            <w:right w:val="none" w:sz="0" w:space="0" w:color="auto"/>
          </w:divBdr>
          <w:divsChild>
            <w:div w:id="381636367">
              <w:marLeft w:val="0"/>
              <w:marRight w:val="0"/>
              <w:marTop w:val="0"/>
              <w:marBottom w:val="0"/>
              <w:divBdr>
                <w:top w:val="none" w:sz="0" w:space="0" w:color="auto"/>
                <w:left w:val="none" w:sz="0" w:space="0" w:color="auto"/>
                <w:bottom w:val="none" w:sz="0" w:space="0" w:color="auto"/>
                <w:right w:val="none" w:sz="0" w:space="0" w:color="auto"/>
              </w:divBdr>
              <w:divsChild>
                <w:div w:id="1991011576">
                  <w:marLeft w:val="0"/>
                  <w:marRight w:val="0"/>
                  <w:marTop w:val="0"/>
                  <w:marBottom w:val="0"/>
                  <w:divBdr>
                    <w:top w:val="none" w:sz="0" w:space="0" w:color="auto"/>
                    <w:left w:val="none" w:sz="0" w:space="0" w:color="auto"/>
                    <w:bottom w:val="none" w:sz="0" w:space="0" w:color="auto"/>
                    <w:right w:val="none" w:sz="0" w:space="0" w:color="auto"/>
                  </w:divBdr>
                  <w:divsChild>
                    <w:div w:id="1253929958">
                      <w:marLeft w:val="0"/>
                      <w:marRight w:val="0"/>
                      <w:marTop w:val="0"/>
                      <w:marBottom w:val="0"/>
                      <w:divBdr>
                        <w:top w:val="none" w:sz="0" w:space="0" w:color="auto"/>
                        <w:left w:val="none" w:sz="0" w:space="0" w:color="auto"/>
                        <w:bottom w:val="none" w:sz="0" w:space="0" w:color="auto"/>
                        <w:right w:val="none" w:sz="0" w:space="0" w:color="auto"/>
                      </w:divBdr>
                      <w:divsChild>
                        <w:div w:id="257913586">
                          <w:marLeft w:val="0"/>
                          <w:marRight w:val="0"/>
                          <w:marTop w:val="0"/>
                          <w:marBottom w:val="0"/>
                          <w:divBdr>
                            <w:top w:val="none" w:sz="0" w:space="0" w:color="auto"/>
                            <w:left w:val="none" w:sz="0" w:space="0" w:color="auto"/>
                            <w:bottom w:val="none" w:sz="0" w:space="0" w:color="auto"/>
                            <w:right w:val="none" w:sz="0" w:space="0" w:color="auto"/>
                          </w:divBdr>
                          <w:divsChild>
                            <w:div w:id="1143808977">
                              <w:marLeft w:val="0"/>
                              <w:marRight w:val="0"/>
                              <w:marTop w:val="0"/>
                              <w:marBottom w:val="0"/>
                              <w:divBdr>
                                <w:top w:val="none" w:sz="0" w:space="0" w:color="auto"/>
                                <w:left w:val="none" w:sz="0" w:space="0" w:color="auto"/>
                                <w:bottom w:val="none" w:sz="0" w:space="0" w:color="auto"/>
                                <w:right w:val="none" w:sz="0" w:space="0" w:color="auto"/>
                              </w:divBdr>
                              <w:divsChild>
                                <w:div w:id="844133229">
                                  <w:marLeft w:val="0"/>
                                  <w:marRight w:val="0"/>
                                  <w:marTop w:val="0"/>
                                  <w:marBottom w:val="0"/>
                                  <w:divBdr>
                                    <w:top w:val="none" w:sz="0" w:space="0" w:color="auto"/>
                                    <w:left w:val="none" w:sz="0" w:space="0" w:color="auto"/>
                                    <w:bottom w:val="none" w:sz="0" w:space="0" w:color="auto"/>
                                    <w:right w:val="none" w:sz="0" w:space="0" w:color="auto"/>
                                  </w:divBdr>
                                  <w:divsChild>
                                    <w:div w:id="73093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37581">
          <w:marLeft w:val="0"/>
          <w:marRight w:val="0"/>
          <w:marTop w:val="0"/>
          <w:marBottom w:val="0"/>
          <w:divBdr>
            <w:top w:val="none" w:sz="0" w:space="0" w:color="auto"/>
            <w:left w:val="none" w:sz="0" w:space="0" w:color="auto"/>
            <w:bottom w:val="none" w:sz="0" w:space="0" w:color="auto"/>
            <w:right w:val="none" w:sz="0" w:space="0" w:color="auto"/>
          </w:divBdr>
          <w:divsChild>
            <w:div w:id="1200581">
              <w:marLeft w:val="0"/>
              <w:marRight w:val="0"/>
              <w:marTop w:val="0"/>
              <w:marBottom w:val="0"/>
              <w:divBdr>
                <w:top w:val="none" w:sz="0" w:space="0" w:color="auto"/>
                <w:left w:val="none" w:sz="0" w:space="0" w:color="auto"/>
                <w:bottom w:val="none" w:sz="0" w:space="0" w:color="auto"/>
                <w:right w:val="none" w:sz="0" w:space="0" w:color="auto"/>
              </w:divBdr>
              <w:divsChild>
                <w:div w:id="1470516226">
                  <w:marLeft w:val="0"/>
                  <w:marRight w:val="0"/>
                  <w:marTop w:val="0"/>
                  <w:marBottom w:val="0"/>
                  <w:divBdr>
                    <w:top w:val="none" w:sz="0" w:space="0" w:color="auto"/>
                    <w:left w:val="none" w:sz="0" w:space="0" w:color="auto"/>
                    <w:bottom w:val="none" w:sz="0" w:space="0" w:color="auto"/>
                    <w:right w:val="none" w:sz="0" w:space="0" w:color="auto"/>
                  </w:divBdr>
                  <w:divsChild>
                    <w:div w:id="872882254">
                      <w:marLeft w:val="0"/>
                      <w:marRight w:val="0"/>
                      <w:marTop w:val="0"/>
                      <w:marBottom w:val="0"/>
                      <w:divBdr>
                        <w:top w:val="none" w:sz="0" w:space="0" w:color="auto"/>
                        <w:left w:val="none" w:sz="0" w:space="0" w:color="auto"/>
                        <w:bottom w:val="none" w:sz="0" w:space="0" w:color="auto"/>
                        <w:right w:val="none" w:sz="0" w:space="0" w:color="auto"/>
                      </w:divBdr>
                      <w:divsChild>
                        <w:div w:id="944311828">
                          <w:marLeft w:val="0"/>
                          <w:marRight w:val="0"/>
                          <w:marTop w:val="0"/>
                          <w:marBottom w:val="0"/>
                          <w:divBdr>
                            <w:top w:val="none" w:sz="0" w:space="0" w:color="auto"/>
                            <w:left w:val="none" w:sz="0" w:space="0" w:color="auto"/>
                            <w:bottom w:val="none" w:sz="0" w:space="0" w:color="auto"/>
                            <w:right w:val="none" w:sz="0" w:space="0" w:color="auto"/>
                          </w:divBdr>
                          <w:divsChild>
                            <w:div w:id="957029196">
                              <w:marLeft w:val="0"/>
                              <w:marRight w:val="0"/>
                              <w:marTop w:val="0"/>
                              <w:marBottom w:val="0"/>
                              <w:divBdr>
                                <w:top w:val="none" w:sz="0" w:space="0" w:color="auto"/>
                                <w:left w:val="none" w:sz="0" w:space="0" w:color="auto"/>
                                <w:bottom w:val="none" w:sz="0" w:space="0" w:color="auto"/>
                                <w:right w:val="none" w:sz="0" w:space="0" w:color="auto"/>
                              </w:divBdr>
                              <w:divsChild>
                                <w:div w:id="484858561">
                                  <w:marLeft w:val="0"/>
                                  <w:marRight w:val="0"/>
                                  <w:marTop w:val="0"/>
                                  <w:marBottom w:val="0"/>
                                  <w:divBdr>
                                    <w:top w:val="none" w:sz="0" w:space="0" w:color="auto"/>
                                    <w:left w:val="none" w:sz="0" w:space="0" w:color="auto"/>
                                    <w:bottom w:val="none" w:sz="0" w:space="0" w:color="auto"/>
                                    <w:right w:val="none" w:sz="0" w:space="0" w:color="auto"/>
                                  </w:divBdr>
                                  <w:divsChild>
                                    <w:div w:id="877547446">
                                      <w:marLeft w:val="0"/>
                                      <w:marRight w:val="0"/>
                                      <w:marTop w:val="0"/>
                                      <w:marBottom w:val="0"/>
                                      <w:divBdr>
                                        <w:top w:val="none" w:sz="0" w:space="0" w:color="auto"/>
                                        <w:left w:val="none" w:sz="0" w:space="0" w:color="auto"/>
                                        <w:bottom w:val="none" w:sz="0" w:space="0" w:color="auto"/>
                                        <w:right w:val="none" w:sz="0" w:space="0" w:color="auto"/>
                                      </w:divBdr>
                                      <w:divsChild>
                                        <w:div w:id="1095519922">
                                          <w:marLeft w:val="0"/>
                                          <w:marRight w:val="0"/>
                                          <w:marTop w:val="0"/>
                                          <w:marBottom w:val="0"/>
                                          <w:divBdr>
                                            <w:top w:val="none" w:sz="0" w:space="0" w:color="auto"/>
                                            <w:left w:val="none" w:sz="0" w:space="0" w:color="auto"/>
                                            <w:bottom w:val="none" w:sz="0" w:space="0" w:color="auto"/>
                                            <w:right w:val="none" w:sz="0" w:space="0" w:color="auto"/>
                                          </w:divBdr>
                                          <w:divsChild>
                                            <w:div w:id="1320115468">
                                              <w:marLeft w:val="0"/>
                                              <w:marRight w:val="0"/>
                                              <w:marTop w:val="0"/>
                                              <w:marBottom w:val="0"/>
                                              <w:divBdr>
                                                <w:top w:val="none" w:sz="0" w:space="0" w:color="auto"/>
                                                <w:left w:val="none" w:sz="0" w:space="0" w:color="auto"/>
                                                <w:bottom w:val="none" w:sz="0" w:space="0" w:color="auto"/>
                                                <w:right w:val="none" w:sz="0" w:space="0" w:color="auto"/>
                                              </w:divBdr>
                                              <w:divsChild>
                                                <w:div w:id="204100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1484869">
      <w:bodyDiv w:val="1"/>
      <w:marLeft w:val="0"/>
      <w:marRight w:val="0"/>
      <w:marTop w:val="0"/>
      <w:marBottom w:val="0"/>
      <w:divBdr>
        <w:top w:val="none" w:sz="0" w:space="0" w:color="auto"/>
        <w:left w:val="none" w:sz="0" w:space="0" w:color="auto"/>
        <w:bottom w:val="none" w:sz="0" w:space="0" w:color="auto"/>
        <w:right w:val="none" w:sz="0" w:space="0" w:color="auto"/>
      </w:divBdr>
      <w:divsChild>
        <w:div w:id="147602666">
          <w:marLeft w:val="0"/>
          <w:marRight w:val="0"/>
          <w:marTop w:val="0"/>
          <w:marBottom w:val="0"/>
          <w:divBdr>
            <w:top w:val="none" w:sz="0" w:space="0" w:color="auto"/>
            <w:left w:val="none" w:sz="0" w:space="0" w:color="auto"/>
            <w:bottom w:val="none" w:sz="0" w:space="0" w:color="auto"/>
            <w:right w:val="none" w:sz="0" w:space="0" w:color="auto"/>
          </w:divBdr>
          <w:divsChild>
            <w:div w:id="220479156">
              <w:marLeft w:val="0"/>
              <w:marRight w:val="0"/>
              <w:marTop w:val="0"/>
              <w:marBottom w:val="0"/>
              <w:divBdr>
                <w:top w:val="none" w:sz="0" w:space="0" w:color="auto"/>
                <w:left w:val="none" w:sz="0" w:space="0" w:color="auto"/>
                <w:bottom w:val="none" w:sz="0" w:space="0" w:color="auto"/>
                <w:right w:val="none" w:sz="0" w:space="0" w:color="auto"/>
              </w:divBdr>
              <w:divsChild>
                <w:div w:id="46489026">
                  <w:marLeft w:val="0"/>
                  <w:marRight w:val="0"/>
                  <w:marTop w:val="0"/>
                  <w:marBottom w:val="0"/>
                  <w:divBdr>
                    <w:top w:val="none" w:sz="0" w:space="0" w:color="auto"/>
                    <w:left w:val="none" w:sz="0" w:space="0" w:color="auto"/>
                    <w:bottom w:val="none" w:sz="0" w:space="0" w:color="auto"/>
                    <w:right w:val="none" w:sz="0" w:space="0" w:color="auto"/>
                  </w:divBdr>
                  <w:divsChild>
                    <w:div w:id="599603431">
                      <w:marLeft w:val="0"/>
                      <w:marRight w:val="0"/>
                      <w:marTop w:val="0"/>
                      <w:marBottom w:val="0"/>
                      <w:divBdr>
                        <w:top w:val="none" w:sz="0" w:space="0" w:color="auto"/>
                        <w:left w:val="none" w:sz="0" w:space="0" w:color="auto"/>
                        <w:bottom w:val="none" w:sz="0" w:space="0" w:color="auto"/>
                        <w:right w:val="none" w:sz="0" w:space="0" w:color="auto"/>
                      </w:divBdr>
                      <w:divsChild>
                        <w:div w:id="1075013166">
                          <w:marLeft w:val="0"/>
                          <w:marRight w:val="0"/>
                          <w:marTop w:val="0"/>
                          <w:marBottom w:val="0"/>
                          <w:divBdr>
                            <w:top w:val="none" w:sz="0" w:space="0" w:color="auto"/>
                            <w:left w:val="none" w:sz="0" w:space="0" w:color="auto"/>
                            <w:bottom w:val="none" w:sz="0" w:space="0" w:color="auto"/>
                            <w:right w:val="none" w:sz="0" w:space="0" w:color="auto"/>
                          </w:divBdr>
                          <w:divsChild>
                            <w:div w:id="1029137964">
                              <w:marLeft w:val="0"/>
                              <w:marRight w:val="0"/>
                              <w:marTop w:val="0"/>
                              <w:marBottom w:val="0"/>
                              <w:divBdr>
                                <w:top w:val="none" w:sz="0" w:space="0" w:color="auto"/>
                                <w:left w:val="none" w:sz="0" w:space="0" w:color="auto"/>
                                <w:bottom w:val="none" w:sz="0" w:space="0" w:color="auto"/>
                                <w:right w:val="none" w:sz="0" w:space="0" w:color="auto"/>
                              </w:divBdr>
                              <w:divsChild>
                                <w:div w:id="253053345">
                                  <w:marLeft w:val="0"/>
                                  <w:marRight w:val="0"/>
                                  <w:marTop w:val="0"/>
                                  <w:marBottom w:val="0"/>
                                  <w:divBdr>
                                    <w:top w:val="none" w:sz="0" w:space="0" w:color="auto"/>
                                    <w:left w:val="none" w:sz="0" w:space="0" w:color="auto"/>
                                    <w:bottom w:val="none" w:sz="0" w:space="0" w:color="auto"/>
                                    <w:right w:val="none" w:sz="0" w:space="0" w:color="auto"/>
                                  </w:divBdr>
                                  <w:divsChild>
                                    <w:div w:id="81444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3087803">
          <w:marLeft w:val="0"/>
          <w:marRight w:val="0"/>
          <w:marTop w:val="0"/>
          <w:marBottom w:val="0"/>
          <w:divBdr>
            <w:top w:val="none" w:sz="0" w:space="0" w:color="auto"/>
            <w:left w:val="none" w:sz="0" w:space="0" w:color="auto"/>
            <w:bottom w:val="none" w:sz="0" w:space="0" w:color="auto"/>
            <w:right w:val="none" w:sz="0" w:space="0" w:color="auto"/>
          </w:divBdr>
          <w:divsChild>
            <w:div w:id="2123956750">
              <w:marLeft w:val="0"/>
              <w:marRight w:val="0"/>
              <w:marTop w:val="0"/>
              <w:marBottom w:val="0"/>
              <w:divBdr>
                <w:top w:val="none" w:sz="0" w:space="0" w:color="auto"/>
                <w:left w:val="none" w:sz="0" w:space="0" w:color="auto"/>
                <w:bottom w:val="none" w:sz="0" w:space="0" w:color="auto"/>
                <w:right w:val="none" w:sz="0" w:space="0" w:color="auto"/>
              </w:divBdr>
              <w:divsChild>
                <w:div w:id="111482895">
                  <w:marLeft w:val="0"/>
                  <w:marRight w:val="0"/>
                  <w:marTop w:val="0"/>
                  <w:marBottom w:val="0"/>
                  <w:divBdr>
                    <w:top w:val="none" w:sz="0" w:space="0" w:color="auto"/>
                    <w:left w:val="none" w:sz="0" w:space="0" w:color="auto"/>
                    <w:bottom w:val="none" w:sz="0" w:space="0" w:color="auto"/>
                    <w:right w:val="none" w:sz="0" w:space="0" w:color="auto"/>
                  </w:divBdr>
                  <w:divsChild>
                    <w:div w:id="828132401">
                      <w:marLeft w:val="0"/>
                      <w:marRight w:val="0"/>
                      <w:marTop w:val="0"/>
                      <w:marBottom w:val="0"/>
                      <w:divBdr>
                        <w:top w:val="none" w:sz="0" w:space="0" w:color="auto"/>
                        <w:left w:val="none" w:sz="0" w:space="0" w:color="auto"/>
                        <w:bottom w:val="none" w:sz="0" w:space="0" w:color="auto"/>
                        <w:right w:val="none" w:sz="0" w:space="0" w:color="auto"/>
                      </w:divBdr>
                      <w:divsChild>
                        <w:div w:id="1717507058">
                          <w:marLeft w:val="0"/>
                          <w:marRight w:val="0"/>
                          <w:marTop w:val="0"/>
                          <w:marBottom w:val="0"/>
                          <w:divBdr>
                            <w:top w:val="none" w:sz="0" w:space="0" w:color="auto"/>
                            <w:left w:val="none" w:sz="0" w:space="0" w:color="auto"/>
                            <w:bottom w:val="none" w:sz="0" w:space="0" w:color="auto"/>
                            <w:right w:val="none" w:sz="0" w:space="0" w:color="auto"/>
                          </w:divBdr>
                          <w:divsChild>
                            <w:div w:id="1215968279">
                              <w:marLeft w:val="0"/>
                              <w:marRight w:val="0"/>
                              <w:marTop w:val="0"/>
                              <w:marBottom w:val="0"/>
                              <w:divBdr>
                                <w:top w:val="none" w:sz="0" w:space="0" w:color="auto"/>
                                <w:left w:val="none" w:sz="0" w:space="0" w:color="auto"/>
                                <w:bottom w:val="none" w:sz="0" w:space="0" w:color="auto"/>
                                <w:right w:val="none" w:sz="0" w:space="0" w:color="auto"/>
                              </w:divBdr>
                              <w:divsChild>
                                <w:div w:id="692270676">
                                  <w:marLeft w:val="0"/>
                                  <w:marRight w:val="0"/>
                                  <w:marTop w:val="0"/>
                                  <w:marBottom w:val="0"/>
                                  <w:divBdr>
                                    <w:top w:val="none" w:sz="0" w:space="0" w:color="auto"/>
                                    <w:left w:val="none" w:sz="0" w:space="0" w:color="auto"/>
                                    <w:bottom w:val="none" w:sz="0" w:space="0" w:color="auto"/>
                                    <w:right w:val="none" w:sz="0" w:space="0" w:color="auto"/>
                                  </w:divBdr>
                                  <w:divsChild>
                                    <w:div w:id="2007511471">
                                      <w:marLeft w:val="0"/>
                                      <w:marRight w:val="0"/>
                                      <w:marTop w:val="0"/>
                                      <w:marBottom w:val="0"/>
                                      <w:divBdr>
                                        <w:top w:val="none" w:sz="0" w:space="0" w:color="auto"/>
                                        <w:left w:val="none" w:sz="0" w:space="0" w:color="auto"/>
                                        <w:bottom w:val="none" w:sz="0" w:space="0" w:color="auto"/>
                                        <w:right w:val="none" w:sz="0" w:space="0" w:color="auto"/>
                                      </w:divBdr>
                                      <w:divsChild>
                                        <w:div w:id="360934891">
                                          <w:marLeft w:val="0"/>
                                          <w:marRight w:val="0"/>
                                          <w:marTop w:val="0"/>
                                          <w:marBottom w:val="0"/>
                                          <w:divBdr>
                                            <w:top w:val="none" w:sz="0" w:space="0" w:color="auto"/>
                                            <w:left w:val="none" w:sz="0" w:space="0" w:color="auto"/>
                                            <w:bottom w:val="none" w:sz="0" w:space="0" w:color="auto"/>
                                            <w:right w:val="none" w:sz="0" w:space="0" w:color="auto"/>
                                          </w:divBdr>
                                          <w:divsChild>
                                            <w:div w:id="448671077">
                                              <w:marLeft w:val="0"/>
                                              <w:marRight w:val="0"/>
                                              <w:marTop w:val="0"/>
                                              <w:marBottom w:val="0"/>
                                              <w:divBdr>
                                                <w:top w:val="none" w:sz="0" w:space="0" w:color="auto"/>
                                                <w:left w:val="none" w:sz="0" w:space="0" w:color="auto"/>
                                                <w:bottom w:val="none" w:sz="0" w:space="0" w:color="auto"/>
                                                <w:right w:val="none" w:sz="0" w:space="0" w:color="auto"/>
                                              </w:divBdr>
                                              <w:divsChild>
                                                <w:div w:id="194669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6505634">
      <w:bodyDiv w:val="1"/>
      <w:marLeft w:val="0"/>
      <w:marRight w:val="0"/>
      <w:marTop w:val="0"/>
      <w:marBottom w:val="0"/>
      <w:divBdr>
        <w:top w:val="none" w:sz="0" w:space="0" w:color="auto"/>
        <w:left w:val="none" w:sz="0" w:space="0" w:color="auto"/>
        <w:bottom w:val="none" w:sz="0" w:space="0" w:color="auto"/>
        <w:right w:val="none" w:sz="0" w:space="0" w:color="auto"/>
      </w:divBdr>
      <w:divsChild>
        <w:div w:id="2109234224">
          <w:marLeft w:val="0"/>
          <w:marRight w:val="0"/>
          <w:marTop w:val="0"/>
          <w:marBottom w:val="0"/>
          <w:divBdr>
            <w:top w:val="none" w:sz="0" w:space="0" w:color="auto"/>
            <w:left w:val="none" w:sz="0" w:space="0" w:color="auto"/>
            <w:bottom w:val="none" w:sz="0" w:space="0" w:color="auto"/>
            <w:right w:val="none" w:sz="0" w:space="0" w:color="auto"/>
          </w:divBdr>
          <w:divsChild>
            <w:div w:id="1946883957">
              <w:marLeft w:val="0"/>
              <w:marRight w:val="0"/>
              <w:marTop w:val="0"/>
              <w:marBottom w:val="0"/>
              <w:divBdr>
                <w:top w:val="none" w:sz="0" w:space="0" w:color="auto"/>
                <w:left w:val="none" w:sz="0" w:space="0" w:color="auto"/>
                <w:bottom w:val="none" w:sz="0" w:space="0" w:color="auto"/>
                <w:right w:val="none" w:sz="0" w:space="0" w:color="auto"/>
              </w:divBdr>
              <w:divsChild>
                <w:div w:id="2002080003">
                  <w:marLeft w:val="0"/>
                  <w:marRight w:val="0"/>
                  <w:marTop w:val="0"/>
                  <w:marBottom w:val="0"/>
                  <w:divBdr>
                    <w:top w:val="none" w:sz="0" w:space="0" w:color="auto"/>
                    <w:left w:val="none" w:sz="0" w:space="0" w:color="auto"/>
                    <w:bottom w:val="none" w:sz="0" w:space="0" w:color="auto"/>
                    <w:right w:val="none" w:sz="0" w:space="0" w:color="auto"/>
                  </w:divBdr>
                  <w:divsChild>
                    <w:div w:id="2005544966">
                      <w:marLeft w:val="0"/>
                      <w:marRight w:val="0"/>
                      <w:marTop w:val="0"/>
                      <w:marBottom w:val="0"/>
                      <w:divBdr>
                        <w:top w:val="none" w:sz="0" w:space="0" w:color="auto"/>
                        <w:left w:val="none" w:sz="0" w:space="0" w:color="auto"/>
                        <w:bottom w:val="none" w:sz="0" w:space="0" w:color="auto"/>
                        <w:right w:val="none" w:sz="0" w:space="0" w:color="auto"/>
                      </w:divBdr>
                      <w:divsChild>
                        <w:div w:id="1949388128">
                          <w:marLeft w:val="0"/>
                          <w:marRight w:val="0"/>
                          <w:marTop w:val="0"/>
                          <w:marBottom w:val="0"/>
                          <w:divBdr>
                            <w:top w:val="none" w:sz="0" w:space="0" w:color="auto"/>
                            <w:left w:val="none" w:sz="0" w:space="0" w:color="auto"/>
                            <w:bottom w:val="none" w:sz="0" w:space="0" w:color="auto"/>
                            <w:right w:val="none" w:sz="0" w:space="0" w:color="auto"/>
                          </w:divBdr>
                          <w:divsChild>
                            <w:div w:id="835925195">
                              <w:marLeft w:val="0"/>
                              <w:marRight w:val="0"/>
                              <w:marTop w:val="0"/>
                              <w:marBottom w:val="0"/>
                              <w:divBdr>
                                <w:top w:val="none" w:sz="0" w:space="0" w:color="auto"/>
                                <w:left w:val="none" w:sz="0" w:space="0" w:color="auto"/>
                                <w:bottom w:val="none" w:sz="0" w:space="0" w:color="auto"/>
                                <w:right w:val="none" w:sz="0" w:space="0" w:color="auto"/>
                              </w:divBdr>
                              <w:divsChild>
                                <w:div w:id="555971690">
                                  <w:marLeft w:val="0"/>
                                  <w:marRight w:val="0"/>
                                  <w:marTop w:val="0"/>
                                  <w:marBottom w:val="0"/>
                                  <w:divBdr>
                                    <w:top w:val="none" w:sz="0" w:space="0" w:color="auto"/>
                                    <w:left w:val="none" w:sz="0" w:space="0" w:color="auto"/>
                                    <w:bottom w:val="none" w:sz="0" w:space="0" w:color="auto"/>
                                    <w:right w:val="none" w:sz="0" w:space="0" w:color="auto"/>
                                  </w:divBdr>
                                  <w:divsChild>
                                    <w:div w:id="23135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7374021">
      <w:bodyDiv w:val="1"/>
      <w:marLeft w:val="0"/>
      <w:marRight w:val="0"/>
      <w:marTop w:val="0"/>
      <w:marBottom w:val="0"/>
      <w:divBdr>
        <w:top w:val="none" w:sz="0" w:space="0" w:color="auto"/>
        <w:left w:val="none" w:sz="0" w:space="0" w:color="auto"/>
        <w:bottom w:val="none" w:sz="0" w:space="0" w:color="auto"/>
        <w:right w:val="none" w:sz="0" w:space="0" w:color="auto"/>
      </w:divBdr>
      <w:divsChild>
        <w:div w:id="872037092">
          <w:marLeft w:val="0"/>
          <w:marRight w:val="0"/>
          <w:marTop w:val="0"/>
          <w:marBottom w:val="0"/>
          <w:divBdr>
            <w:top w:val="none" w:sz="0" w:space="0" w:color="auto"/>
            <w:left w:val="none" w:sz="0" w:space="0" w:color="auto"/>
            <w:bottom w:val="none" w:sz="0" w:space="0" w:color="auto"/>
            <w:right w:val="none" w:sz="0" w:space="0" w:color="auto"/>
          </w:divBdr>
          <w:divsChild>
            <w:div w:id="846597963">
              <w:marLeft w:val="0"/>
              <w:marRight w:val="0"/>
              <w:marTop w:val="0"/>
              <w:marBottom w:val="0"/>
              <w:divBdr>
                <w:top w:val="none" w:sz="0" w:space="0" w:color="auto"/>
                <w:left w:val="none" w:sz="0" w:space="0" w:color="auto"/>
                <w:bottom w:val="none" w:sz="0" w:space="0" w:color="auto"/>
                <w:right w:val="none" w:sz="0" w:space="0" w:color="auto"/>
              </w:divBdr>
              <w:divsChild>
                <w:div w:id="193271404">
                  <w:marLeft w:val="0"/>
                  <w:marRight w:val="0"/>
                  <w:marTop w:val="0"/>
                  <w:marBottom w:val="0"/>
                  <w:divBdr>
                    <w:top w:val="none" w:sz="0" w:space="0" w:color="auto"/>
                    <w:left w:val="none" w:sz="0" w:space="0" w:color="auto"/>
                    <w:bottom w:val="none" w:sz="0" w:space="0" w:color="auto"/>
                    <w:right w:val="none" w:sz="0" w:space="0" w:color="auto"/>
                  </w:divBdr>
                  <w:divsChild>
                    <w:div w:id="1115712543">
                      <w:marLeft w:val="0"/>
                      <w:marRight w:val="0"/>
                      <w:marTop w:val="0"/>
                      <w:marBottom w:val="0"/>
                      <w:divBdr>
                        <w:top w:val="none" w:sz="0" w:space="0" w:color="auto"/>
                        <w:left w:val="none" w:sz="0" w:space="0" w:color="auto"/>
                        <w:bottom w:val="none" w:sz="0" w:space="0" w:color="auto"/>
                        <w:right w:val="none" w:sz="0" w:space="0" w:color="auto"/>
                      </w:divBdr>
                      <w:divsChild>
                        <w:div w:id="2137604709">
                          <w:marLeft w:val="0"/>
                          <w:marRight w:val="0"/>
                          <w:marTop w:val="0"/>
                          <w:marBottom w:val="0"/>
                          <w:divBdr>
                            <w:top w:val="none" w:sz="0" w:space="0" w:color="auto"/>
                            <w:left w:val="none" w:sz="0" w:space="0" w:color="auto"/>
                            <w:bottom w:val="none" w:sz="0" w:space="0" w:color="auto"/>
                            <w:right w:val="none" w:sz="0" w:space="0" w:color="auto"/>
                          </w:divBdr>
                          <w:divsChild>
                            <w:div w:id="1456289933">
                              <w:marLeft w:val="0"/>
                              <w:marRight w:val="0"/>
                              <w:marTop w:val="0"/>
                              <w:marBottom w:val="0"/>
                              <w:divBdr>
                                <w:top w:val="none" w:sz="0" w:space="0" w:color="auto"/>
                                <w:left w:val="none" w:sz="0" w:space="0" w:color="auto"/>
                                <w:bottom w:val="none" w:sz="0" w:space="0" w:color="auto"/>
                                <w:right w:val="none" w:sz="0" w:space="0" w:color="auto"/>
                              </w:divBdr>
                              <w:divsChild>
                                <w:div w:id="836110956">
                                  <w:marLeft w:val="0"/>
                                  <w:marRight w:val="0"/>
                                  <w:marTop w:val="0"/>
                                  <w:marBottom w:val="0"/>
                                  <w:divBdr>
                                    <w:top w:val="none" w:sz="0" w:space="0" w:color="auto"/>
                                    <w:left w:val="none" w:sz="0" w:space="0" w:color="auto"/>
                                    <w:bottom w:val="none" w:sz="0" w:space="0" w:color="auto"/>
                                    <w:right w:val="none" w:sz="0" w:space="0" w:color="auto"/>
                                  </w:divBdr>
                                  <w:divsChild>
                                    <w:div w:id="32901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8730222">
          <w:marLeft w:val="0"/>
          <w:marRight w:val="0"/>
          <w:marTop w:val="0"/>
          <w:marBottom w:val="0"/>
          <w:divBdr>
            <w:top w:val="none" w:sz="0" w:space="0" w:color="auto"/>
            <w:left w:val="none" w:sz="0" w:space="0" w:color="auto"/>
            <w:bottom w:val="none" w:sz="0" w:space="0" w:color="auto"/>
            <w:right w:val="none" w:sz="0" w:space="0" w:color="auto"/>
          </w:divBdr>
          <w:divsChild>
            <w:div w:id="1009791661">
              <w:marLeft w:val="0"/>
              <w:marRight w:val="0"/>
              <w:marTop w:val="0"/>
              <w:marBottom w:val="0"/>
              <w:divBdr>
                <w:top w:val="none" w:sz="0" w:space="0" w:color="auto"/>
                <w:left w:val="none" w:sz="0" w:space="0" w:color="auto"/>
                <w:bottom w:val="none" w:sz="0" w:space="0" w:color="auto"/>
                <w:right w:val="none" w:sz="0" w:space="0" w:color="auto"/>
              </w:divBdr>
              <w:divsChild>
                <w:div w:id="1080714739">
                  <w:marLeft w:val="0"/>
                  <w:marRight w:val="0"/>
                  <w:marTop w:val="0"/>
                  <w:marBottom w:val="0"/>
                  <w:divBdr>
                    <w:top w:val="none" w:sz="0" w:space="0" w:color="auto"/>
                    <w:left w:val="none" w:sz="0" w:space="0" w:color="auto"/>
                    <w:bottom w:val="none" w:sz="0" w:space="0" w:color="auto"/>
                    <w:right w:val="none" w:sz="0" w:space="0" w:color="auto"/>
                  </w:divBdr>
                  <w:divsChild>
                    <w:div w:id="1025516658">
                      <w:marLeft w:val="0"/>
                      <w:marRight w:val="0"/>
                      <w:marTop w:val="0"/>
                      <w:marBottom w:val="0"/>
                      <w:divBdr>
                        <w:top w:val="none" w:sz="0" w:space="0" w:color="auto"/>
                        <w:left w:val="none" w:sz="0" w:space="0" w:color="auto"/>
                        <w:bottom w:val="none" w:sz="0" w:space="0" w:color="auto"/>
                        <w:right w:val="none" w:sz="0" w:space="0" w:color="auto"/>
                      </w:divBdr>
                      <w:divsChild>
                        <w:div w:id="1992637219">
                          <w:marLeft w:val="0"/>
                          <w:marRight w:val="0"/>
                          <w:marTop w:val="0"/>
                          <w:marBottom w:val="0"/>
                          <w:divBdr>
                            <w:top w:val="none" w:sz="0" w:space="0" w:color="auto"/>
                            <w:left w:val="none" w:sz="0" w:space="0" w:color="auto"/>
                            <w:bottom w:val="none" w:sz="0" w:space="0" w:color="auto"/>
                            <w:right w:val="none" w:sz="0" w:space="0" w:color="auto"/>
                          </w:divBdr>
                          <w:divsChild>
                            <w:div w:id="621693099">
                              <w:marLeft w:val="0"/>
                              <w:marRight w:val="0"/>
                              <w:marTop w:val="0"/>
                              <w:marBottom w:val="0"/>
                              <w:divBdr>
                                <w:top w:val="none" w:sz="0" w:space="0" w:color="auto"/>
                                <w:left w:val="none" w:sz="0" w:space="0" w:color="auto"/>
                                <w:bottom w:val="none" w:sz="0" w:space="0" w:color="auto"/>
                                <w:right w:val="none" w:sz="0" w:space="0" w:color="auto"/>
                              </w:divBdr>
                              <w:divsChild>
                                <w:div w:id="948707134">
                                  <w:marLeft w:val="0"/>
                                  <w:marRight w:val="0"/>
                                  <w:marTop w:val="0"/>
                                  <w:marBottom w:val="0"/>
                                  <w:divBdr>
                                    <w:top w:val="none" w:sz="0" w:space="0" w:color="auto"/>
                                    <w:left w:val="none" w:sz="0" w:space="0" w:color="auto"/>
                                    <w:bottom w:val="none" w:sz="0" w:space="0" w:color="auto"/>
                                    <w:right w:val="none" w:sz="0" w:space="0" w:color="auto"/>
                                  </w:divBdr>
                                  <w:divsChild>
                                    <w:div w:id="1164516382">
                                      <w:marLeft w:val="0"/>
                                      <w:marRight w:val="0"/>
                                      <w:marTop w:val="0"/>
                                      <w:marBottom w:val="0"/>
                                      <w:divBdr>
                                        <w:top w:val="none" w:sz="0" w:space="0" w:color="auto"/>
                                        <w:left w:val="none" w:sz="0" w:space="0" w:color="auto"/>
                                        <w:bottom w:val="none" w:sz="0" w:space="0" w:color="auto"/>
                                        <w:right w:val="none" w:sz="0" w:space="0" w:color="auto"/>
                                      </w:divBdr>
                                      <w:divsChild>
                                        <w:div w:id="1188176139">
                                          <w:marLeft w:val="0"/>
                                          <w:marRight w:val="0"/>
                                          <w:marTop w:val="0"/>
                                          <w:marBottom w:val="0"/>
                                          <w:divBdr>
                                            <w:top w:val="none" w:sz="0" w:space="0" w:color="auto"/>
                                            <w:left w:val="none" w:sz="0" w:space="0" w:color="auto"/>
                                            <w:bottom w:val="none" w:sz="0" w:space="0" w:color="auto"/>
                                            <w:right w:val="none" w:sz="0" w:space="0" w:color="auto"/>
                                          </w:divBdr>
                                          <w:divsChild>
                                            <w:div w:id="2036496541">
                                              <w:marLeft w:val="0"/>
                                              <w:marRight w:val="0"/>
                                              <w:marTop w:val="0"/>
                                              <w:marBottom w:val="0"/>
                                              <w:divBdr>
                                                <w:top w:val="none" w:sz="0" w:space="0" w:color="auto"/>
                                                <w:left w:val="none" w:sz="0" w:space="0" w:color="auto"/>
                                                <w:bottom w:val="none" w:sz="0" w:space="0" w:color="auto"/>
                                                <w:right w:val="none" w:sz="0" w:space="0" w:color="auto"/>
                                              </w:divBdr>
                                              <w:divsChild>
                                                <w:div w:id="140957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7321407">
      <w:bodyDiv w:val="1"/>
      <w:marLeft w:val="0"/>
      <w:marRight w:val="0"/>
      <w:marTop w:val="0"/>
      <w:marBottom w:val="0"/>
      <w:divBdr>
        <w:top w:val="none" w:sz="0" w:space="0" w:color="auto"/>
        <w:left w:val="none" w:sz="0" w:space="0" w:color="auto"/>
        <w:bottom w:val="none" w:sz="0" w:space="0" w:color="auto"/>
        <w:right w:val="none" w:sz="0" w:space="0" w:color="auto"/>
      </w:divBdr>
    </w:div>
    <w:div w:id="1083407648">
      <w:bodyDiv w:val="1"/>
      <w:marLeft w:val="0"/>
      <w:marRight w:val="0"/>
      <w:marTop w:val="0"/>
      <w:marBottom w:val="0"/>
      <w:divBdr>
        <w:top w:val="none" w:sz="0" w:space="0" w:color="auto"/>
        <w:left w:val="none" w:sz="0" w:space="0" w:color="auto"/>
        <w:bottom w:val="none" w:sz="0" w:space="0" w:color="auto"/>
        <w:right w:val="none" w:sz="0" w:space="0" w:color="auto"/>
      </w:divBdr>
      <w:divsChild>
        <w:div w:id="2132937297">
          <w:marLeft w:val="0"/>
          <w:marRight w:val="0"/>
          <w:marTop w:val="0"/>
          <w:marBottom w:val="0"/>
          <w:divBdr>
            <w:top w:val="none" w:sz="0" w:space="0" w:color="auto"/>
            <w:left w:val="none" w:sz="0" w:space="0" w:color="auto"/>
            <w:bottom w:val="none" w:sz="0" w:space="0" w:color="auto"/>
            <w:right w:val="none" w:sz="0" w:space="0" w:color="auto"/>
          </w:divBdr>
          <w:divsChild>
            <w:div w:id="2114397090">
              <w:marLeft w:val="0"/>
              <w:marRight w:val="0"/>
              <w:marTop w:val="0"/>
              <w:marBottom w:val="0"/>
              <w:divBdr>
                <w:top w:val="none" w:sz="0" w:space="0" w:color="auto"/>
                <w:left w:val="none" w:sz="0" w:space="0" w:color="auto"/>
                <w:bottom w:val="none" w:sz="0" w:space="0" w:color="auto"/>
                <w:right w:val="none" w:sz="0" w:space="0" w:color="auto"/>
              </w:divBdr>
              <w:divsChild>
                <w:div w:id="1059287705">
                  <w:marLeft w:val="0"/>
                  <w:marRight w:val="0"/>
                  <w:marTop w:val="0"/>
                  <w:marBottom w:val="0"/>
                  <w:divBdr>
                    <w:top w:val="none" w:sz="0" w:space="0" w:color="auto"/>
                    <w:left w:val="none" w:sz="0" w:space="0" w:color="auto"/>
                    <w:bottom w:val="none" w:sz="0" w:space="0" w:color="auto"/>
                    <w:right w:val="none" w:sz="0" w:space="0" w:color="auto"/>
                  </w:divBdr>
                  <w:divsChild>
                    <w:div w:id="1520970720">
                      <w:marLeft w:val="0"/>
                      <w:marRight w:val="0"/>
                      <w:marTop w:val="0"/>
                      <w:marBottom w:val="0"/>
                      <w:divBdr>
                        <w:top w:val="none" w:sz="0" w:space="0" w:color="auto"/>
                        <w:left w:val="none" w:sz="0" w:space="0" w:color="auto"/>
                        <w:bottom w:val="none" w:sz="0" w:space="0" w:color="auto"/>
                        <w:right w:val="none" w:sz="0" w:space="0" w:color="auto"/>
                      </w:divBdr>
                      <w:divsChild>
                        <w:div w:id="1615793549">
                          <w:marLeft w:val="0"/>
                          <w:marRight w:val="0"/>
                          <w:marTop w:val="0"/>
                          <w:marBottom w:val="0"/>
                          <w:divBdr>
                            <w:top w:val="none" w:sz="0" w:space="0" w:color="auto"/>
                            <w:left w:val="none" w:sz="0" w:space="0" w:color="auto"/>
                            <w:bottom w:val="none" w:sz="0" w:space="0" w:color="auto"/>
                            <w:right w:val="none" w:sz="0" w:space="0" w:color="auto"/>
                          </w:divBdr>
                          <w:divsChild>
                            <w:div w:id="1665209131">
                              <w:marLeft w:val="0"/>
                              <w:marRight w:val="0"/>
                              <w:marTop w:val="0"/>
                              <w:marBottom w:val="0"/>
                              <w:divBdr>
                                <w:top w:val="none" w:sz="0" w:space="0" w:color="auto"/>
                                <w:left w:val="none" w:sz="0" w:space="0" w:color="auto"/>
                                <w:bottom w:val="none" w:sz="0" w:space="0" w:color="auto"/>
                                <w:right w:val="none" w:sz="0" w:space="0" w:color="auto"/>
                              </w:divBdr>
                              <w:divsChild>
                                <w:div w:id="361979563">
                                  <w:marLeft w:val="0"/>
                                  <w:marRight w:val="0"/>
                                  <w:marTop w:val="0"/>
                                  <w:marBottom w:val="0"/>
                                  <w:divBdr>
                                    <w:top w:val="none" w:sz="0" w:space="0" w:color="auto"/>
                                    <w:left w:val="none" w:sz="0" w:space="0" w:color="auto"/>
                                    <w:bottom w:val="none" w:sz="0" w:space="0" w:color="auto"/>
                                    <w:right w:val="none" w:sz="0" w:space="0" w:color="auto"/>
                                  </w:divBdr>
                                  <w:divsChild>
                                    <w:div w:id="144175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1629491">
      <w:bodyDiv w:val="1"/>
      <w:marLeft w:val="0"/>
      <w:marRight w:val="0"/>
      <w:marTop w:val="0"/>
      <w:marBottom w:val="0"/>
      <w:divBdr>
        <w:top w:val="none" w:sz="0" w:space="0" w:color="auto"/>
        <w:left w:val="none" w:sz="0" w:space="0" w:color="auto"/>
        <w:bottom w:val="none" w:sz="0" w:space="0" w:color="auto"/>
        <w:right w:val="none" w:sz="0" w:space="0" w:color="auto"/>
      </w:divBdr>
    </w:div>
    <w:div w:id="1252196807">
      <w:bodyDiv w:val="1"/>
      <w:marLeft w:val="0"/>
      <w:marRight w:val="0"/>
      <w:marTop w:val="0"/>
      <w:marBottom w:val="0"/>
      <w:divBdr>
        <w:top w:val="none" w:sz="0" w:space="0" w:color="auto"/>
        <w:left w:val="none" w:sz="0" w:space="0" w:color="auto"/>
        <w:bottom w:val="none" w:sz="0" w:space="0" w:color="auto"/>
        <w:right w:val="none" w:sz="0" w:space="0" w:color="auto"/>
      </w:divBdr>
    </w:div>
    <w:div w:id="1259486815">
      <w:bodyDiv w:val="1"/>
      <w:marLeft w:val="0"/>
      <w:marRight w:val="0"/>
      <w:marTop w:val="0"/>
      <w:marBottom w:val="0"/>
      <w:divBdr>
        <w:top w:val="none" w:sz="0" w:space="0" w:color="auto"/>
        <w:left w:val="none" w:sz="0" w:space="0" w:color="auto"/>
        <w:bottom w:val="none" w:sz="0" w:space="0" w:color="auto"/>
        <w:right w:val="none" w:sz="0" w:space="0" w:color="auto"/>
      </w:divBdr>
    </w:div>
    <w:div w:id="1650161106">
      <w:bodyDiv w:val="1"/>
      <w:marLeft w:val="0"/>
      <w:marRight w:val="0"/>
      <w:marTop w:val="0"/>
      <w:marBottom w:val="0"/>
      <w:divBdr>
        <w:top w:val="none" w:sz="0" w:space="0" w:color="auto"/>
        <w:left w:val="none" w:sz="0" w:space="0" w:color="auto"/>
        <w:bottom w:val="none" w:sz="0" w:space="0" w:color="auto"/>
        <w:right w:val="none" w:sz="0" w:space="0" w:color="auto"/>
      </w:divBdr>
    </w:div>
    <w:div w:id="1740596344">
      <w:bodyDiv w:val="1"/>
      <w:marLeft w:val="0"/>
      <w:marRight w:val="0"/>
      <w:marTop w:val="0"/>
      <w:marBottom w:val="0"/>
      <w:divBdr>
        <w:top w:val="none" w:sz="0" w:space="0" w:color="auto"/>
        <w:left w:val="none" w:sz="0" w:space="0" w:color="auto"/>
        <w:bottom w:val="none" w:sz="0" w:space="0" w:color="auto"/>
        <w:right w:val="none" w:sz="0" w:space="0" w:color="auto"/>
      </w:divBdr>
    </w:div>
    <w:div w:id="1790851002">
      <w:bodyDiv w:val="1"/>
      <w:marLeft w:val="0"/>
      <w:marRight w:val="0"/>
      <w:marTop w:val="0"/>
      <w:marBottom w:val="0"/>
      <w:divBdr>
        <w:top w:val="none" w:sz="0" w:space="0" w:color="auto"/>
        <w:left w:val="none" w:sz="0" w:space="0" w:color="auto"/>
        <w:bottom w:val="none" w:sz="0" w:space="0" w:color="auto"/>
        <w:right w:val="none" w:sz="0" w:space="0" w:color="auto"/>
      </w:divBdr>
    </w:div>
    <w:div w:id="1790926700">
      <w:bodyDiv w:val="1"/>
      <w:marLeft w:val="0"/>
      <w:marRight w:val="0"/>
      <w:marTop w:val="0"/>
      <w:marBottom w:val="0"/>
      <w:divBdr>
        <w:top w:val="none" w:sz="0" w:space="0" w:color="auto"/>
        <w:left w:val="none" w:sz="0" w:space="0" w:color="auto"/>
        <w:bottom w:val="none" w:sz="0" w:space="0" w:color="auto"/>
        <w:right w:val="none" w:sz="0" w:space="0" w:color="auto"/>
      </w:divBdr>
    </w:div>
    <w:div w:id="1832526730">
      <w:bodyDiv w:val="1"/>
      <w:marLeft w:val="0"/>
      <w:marRight w:val="0"/>
      <w:marTop w:val="0"/>
      <w:marBottom w:val="0"/>
      <w:divBdr>
        <w:top w:val="none" w:sz="0" w:space="0" w:color="auto"/>
        <w:left w:val="none" w:sz="0" w:space="0" w:color="auto"/>
        <w:bottom w:val="none" w:sz="0" w:space="0" w:color="auto"/>
        <w:right w:val="none" w:sz="0" w:space="0" w:color="auto"/>
      </w:divBdr>
    </w:div>
    <w:div w:id="203765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866/phytopathol.035.01.0855" TargetMode="External"/><Relationship Id="rId13" Type="http://schemas.openxmlformats.org/officeDocument/2006/relationships/hyperlink" Target="https://www.nfsm.gov.in/BriefNote/BN_Cotton.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16/j.biocontrol.2011.02.010" TargetMode="External"/><Relationship Id="rId12" Type="http://schemas.openxmlformats.org/officeDocument/2006/relationships/hyperlink" Target="https://doi.org/10.9734/jabb/2025/v28i82831" TargetMode="External"/><Relationship Id="rId17" Type="http://schemas.openxmlformats.org/officeDocument/2006/relationships/hyperlink" Target="https://en.wikipedia.org/wiki/Catharanthus" TargetMode="External"/><Relationship Id="rId2" Type="http://schemas.openxmlformats.org/officeDocument/2006/relationships/styles" Target="styles.xml"/><Relationship Id="rId16" Type="http://schemas.openxmlformats.org/officeDocument/2006/relationships/hyperlink" Target="https://doi.org/10.3389/fpls.2022.90013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0546/ijcmas.2019.805.199" TargetMode="External"/><Relationship Id="rId5" Type="http://schemas.openxmlformats.org/officeDocument/2006/relationships/footnotes" Target="footnotes.xml"/><Relationship Id="rId15" Type="http://schemas.openxmlformats.org/officeDocument/2006/relationships/hyperlink" Target="https://updatepublishing.com/journal/index.php/jp/article/view/2742" TargetMode="External"/><Relationship Id="rId10" Type="http://schemas.openxmlformats.org/officeDocument/2006/relationships/hyperlink" Target="https://doi.org/10.3390/jof902024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5772/intechopen.1004901" TargetMode="External"/><Relationship Id="rId14" Type="http://schemas.openxmlformats.org/officeDocument/2006/relationships/hyperlink" Target="https://doi.org/10.21786/bbrc/9.2/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3416</Words>
  <Characters>19476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Revised-ms_AJMAB_15187_v1</dc:title>
  <dc:creator>Ascended</dc:creator>
  <cp:lastModifiedBy>Editor-90</cp:lastModifiedBy>
  <cp:revision>9</cp:revision>
  <dcterms:created xsi:type="dcterms:W3CDTF">2026-06-20T12:31:00Z</dcterms:created>
  <dcterms:modified xsi:type="dcterms:W3CDTF">2026-06-23T10:02:00Z</dcterms:modified>
</cp:coreProperties>
</file>