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A1746" w14:textId="77777777" w:rsidR="00754C9A" w:rsidRDefault="00754C9A" w:rsidP="00441B6F">
      <w:pPr>
        <w:pStyle w:val="Title"/>
        <w:spacing w:after="0"/>
        <w:jc w:val="both"/>
        <w:rPr>
          <w:rFonts w:ascii="Arial" w:hAnsi="Arial" w:cs="Arial"/>
        </w:rPr>
      </w:pPr>
    </w:p>
    <w:p w14:paraId="22F49551" w14:textId="77777777" w:rsidR="003568B0" w:rsidRPr="003568B0" w:rsidRDefault="003568B0" w:rsidP="003568B0">
      <w:pPr>
        <w:spacing w:before="120" w:line="360" w:lineRule="auto"/>
        <w:ind w:left="720"/>
        <w:jc w:val="right"/>
        <w:rPr>
          <w:rFonts w:ascii="Times New Roman" w:hAnsi="Times New Roman"/>
          <w:b/>
          <w:bCs/>
          <w:i/>
          <w:iCs/>
          <w:sz w:val="28"/>
          <w:szCs w:val="28"/>
          <w:u w:val="single"/>
        </w:rPr>
      </w:pPr>
      <w:r w:rsidRPr="003568B0">
        <w:rPr>
          <w:rFonts w:ascii="Times New Roman" w:hAnsi="Times New Roman"/>
          <w:b/>
          <w:bCs/>
          <w:i/>
          <w:iCs/>
          <w:sz w:val="28"/>
          <w:szCs w:val="28"/>
          <w:u w:val="single"/>
        </w:rPr>
        <w:t>Review Article</w:t>
      </w:r>
    </w:p>
    <w:p w14:paraId="2CEBB7AA" w14:textId="2D431773" w:rsidR="00142AA1" w:rsidRPr="00311360" w:rsidRDefault="00142AA1" w:rsidP="00142AA1">
      <w:pPr>
        <w:spacing w:before="120" w:line="360" w:lineRule="auto"/>
        <w:ind w:left="720"/>
        <w:jc w:val="right"/>
        <w:rPr>
          <w:rFonts w:ascii="Times New Roman" w:hAnsi="Times New Roman"/>
          <w:b/>
          <w:bCs/>
          <w:sz w:val="28"/>
          <w:szCs w:val="28"/>
        </w:rPr>
      </w:pPr>
      <w:r w:rsidRPr="00311360">
        <w:rPr>
          <w:rFonts w:ascii="Times New Roman" w:hAnsi="Times New Roman"/>
          <w:b/>
          <w:bCs/>
          <w:sz w:val="28"/>
          <w:szCs w:val="28"/>
        </w:rPr>
        <w:t>Fruit Cultivation and Socioeconomic Transformation in the Semi-Arid Regions of India: A thematic review with special reference to Ahmednagar district of Maharashtra</w:t>
      </w:r>
      <w:r w:rsidR="003C0798">
        <w:rPr>
          <w:rFonts w:ascii="Times New Roman" w:hAnsi="Times New Roman"/>
          <w:b/>
          <w:bCs/>
          <w:sz w:val="28"/>
          <w:szCs w:val="28"/>
        </w:rPr>
        <w:t xml:space="preserve">, India </w:t>
      </w:r>
    </w:p>
    <w:p w14:paraId="69F1C96D" w14:textId="77777777" w:rsidR="00A258C3" w:rsidRPr="00790ADA" w:rsidRDefault="00A258C3" w:rsidP="00441B6F">
      <w:pPr>
        <w:pStyle w:val="Author"/>
        <w:spacing w:line="240" w:lineRule="auto"/>
        <w:jc w:val="both"/>
        <w:rPr>
          <w:rFonts w:ascii="Arial" w:hAnsi="Arial" w:cs="Arial"/>
          <w:sz w:val="36"/>
        </w:rPr>
      </w:pPr>
    </w:p>
    <w:p w14:paraId="4911CC96" w14:textId="77777777" w:rsidR="00526978" w:rsidRDefault="00526978" w:rsidP="00142AA1">
      <w:pPr>
        <w:pStyle w:val="Author"/>
        <w:spacing w:line="240" w:lineRule="auto"/>
        <w:jc w:val="left"/>
        <w:rPr>
          <w:rFonts w:ascii="Arial" w:hAnsi="Arial" w:cs="Arial"/>
          <w:b w:val="0"/>
          <w:sz w:val="22"/>
          <w:szCs w:val="22"/>
        </w:rPr>
      </w:pPr>
    </w:p>
    <w:p w14:paraId="5A898C45" w14:textId="77777777" w:rsidR="00570C0E" w:rsidRPr="00FE1F74" w:rsidRDefault="00570C0E" w:rsidP="00142AA1">
      <w:pPr>
        <w:pStyle w:val="Author"/>
        <w:spacing w:line="240" w:lineRule="auto"/>
        <w:jc w:val="left"/>
        <w:rPr>
          <w:rFonts w:ascii="Arial" w:hAnsi="Arial" w:cs="Arial"/>
          <w:b w:val="0"/>
          <w:sz w:val="22"/>
          <w:szCs w:val="22"/>
        </w:rPr>
      </w:pPr>
    </w:p>
    <w:p w14:paraId="3F1A0B77" w14:textId="77777777" w:rsidR="002C57D2" w:rsidRPr="00FB3A86" w:rsidRDefault="002C57D2" w:rsidP="00441B6F">
      <w:pPr>
        <w:pStyle w:val="Affiliation"/>
        <w:spacing w:after="0" w:line="240" w:lineRule="auto"/>
        <w:jc w:val="both"/>
        <w:rPr>
          <w:rFonts w:ascii="Arial" w:hAnsi="Arial" w:cs="Arial"/>
        </w:rPr>
      </w:pPr>
    </w:p>
    <w:p w14:paraId="6536B1F7" w14:textId="77777777" w:rsidR="00B01FCD" w:rsidRPr="00FB3A86" w:rsidRDefault="00000000" w:rsidP="00441B6F">
      <w:pPr>
        <w:pStyle w:val="Copyright"/>
        <w:spacing w:after="0" w:line="240" w:lineRule="auto"/>
        <w:jc w:val="both"/>
        <w:rPr>
          <w:rFonts w:ascii="Arial" w:hAnsi="Arial" w:cs="Arial"/>
        </w:rPr>
        <w:sectPr w:rsidR="00B01FCD" w:rsidRPr="00FB3A86" w:rsidSect="00570C0E">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41E12AC9">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4707AA58" w14:textId="77777777" w:rsidR="00361084" w:rsidRPr="00C64BCB" w:rsidRDefault="00361084" w:rsidP="00361084">
      <w:pPr>
        <w:spacing w:before="100" w:beforeAutospacing="1" w:after="100" w:afterAutospacing="1"/>
        <w:outlineLvl w:val="2"/>
        <w:rPr>
          <w:rFonts w:ascii="Times New Roman" w:hAnsi="Times New Roman"/>
          <w:b/>
          <w:bCs/>
          <w:sz w:val="27"/>
          <w:szCs w:val="27"/>
          <w:lang w:eastAsia="en-GB"/>
        </w:rPr>
      </w:pPr>
      <w:r w:rsidRPr="00C64BCB">
        <w:rPr>
          <w:rFonts w:ascii="Times New Roman" w:hAnsi="Times New Roman"/>
          <w:b/>
          <w:bCs/>
          <w:sz w:val="27"/>
          <w:szCs w:val="27"/>
          <w:lang w:eastAsia="en-GB"/>
        </w:rPr>
        <w:t>Abstract</w:t>
      </w:r>
    </w:p>
    <w:p w14:paraId="0C1EC19F" w14:textId="77777777" w:rsidR="00361084" w:rsidRPr="00C64BCB" w:rsidRDefault="00361084" w:rsidP="0035248F">
      <w:pPr>
        <w:spacing w:before="100" w:beforeAutospacing="1" w:after="100" w:afterAutospacing="1"/>
        <w:jc w:val="both"/>
        <w:rPr>
          <w:rFonts w:ascii="Times New Roman" w:hAnsi="Times New Roman"/>
          <w:sz w:val="24"/>
          <w:szCs w:val="24"/>
          <w:lang w:eastAsia="en-GB"/>
        </w:rPr>
      </w:pPr>
      <w:r w:rsidRPr="00C64BCB">
        <w:rPr>
          <w:rFonts w:ascii="Times New Roman" w:hAnsi="Times New Roman"/>
          <w:sz w:val="24"/>
          <w:szCs w:val="24"/>
          <w:lang w:eastAsia="en-GB"/>
        </w:rPr>
        <w:t>Fruit cultivation has become an important component of agricultural diversification in semi-arid regions where conventional cereal-based farming is constrained by rainfall variability, water scarcity, and limited farm returns. This thematic review examines the role of fruit cultivation in socioeconomic transformation with special reference to Ahmednagar district of Maharashtra. The review synthesizes available scholarly and institutional literature on horticultural diversification, market integration, rural livelihoods, institutional support, and sustainability challenges. The evidence indicates that the expansion of high-value fruit crops such as pomegranate, guava, grapes, banana, and citrus has contributed to improved farm income, employment generation, livelihood diversification, and greater market orientation among farmers. These changes are closely associated with the adoption of micro-irrigation technologies, improved crop varieties, institutional support, and access to domestic and export markets. However, the benefits of fruit cultivation are not evenly distributed across all categories of farmers. Small and marginal farmers continue to face constraints related to high initial investment, limited credit access, pest and disease incidence, price fluctuation, inadequate cold-storage facilities, weak value chains, and climate-related risks. The review also identifies important research gaps, particularly the limited availability of district-level empirical studies, long-term data, gender-based analysis, and evidence on environmental sustainability. Overall, fruit cultivation has considerable potential to support rural development in semi-arid agrarian regions, but its long-term contribution depends on inclusive policies, efficient water management, stronger market infrastructure, and sustained institutional support.</w:t>
      </w:r>
    </w:p>
    <w:p w14:paraId="7E56337C" w14:textId="32CA339B" w:rsidR="00790ADA" w:rsidRPr="00FB3A86" w:rsidRDefault="0066510A" w:rsidP="00441B6F">
      <w:pPr>
        <w:pStyle w:val="AbstHead"/>
        <w:spacing w:after="0"/>
        <w:jc w:val="both"/>
        <w:rPr>
          <w:rFonts w:ascii="Arial" w:hAnsi="Arial" w:cs="Arial"/>
        </w:rPr>
      </w:pPr>
      <w:r>
        <w:rPr>
          <w:rFonts w:ascii="Arial" w:hAnsi="Arial" w:cs="Arial"/>
        </w:rPr>
        <w:t xml:space="preserve"> </w:t>
      </w:r>
    </w:p>
    <w:p w14:paraId="25D45E24" w14:textId="77777777" w:rsidR="00636EB2" w:rsidRDefault="00636EB2" w:rsidP="00441B6F">
      <w:pPr>
        <w:pStyle w:val="Body"/>
        <w:spacing w:after="0"/>
        <w:rPr>
          <w:rFonts w:ascii="Arial" w:hAnsi="Arial" w:cs="Arial"/>
          <w:i/>
        </w:rPr>
      </w:pPr>
    </w:p>
    <w:p w14:paraId="5F2C4C57" w14:textId="77777777" w:rsidR="00A24E7E" w:rsidRPr="00142AA1" w:rsidRDefault="00A24E7E" w:rsidP="00441B6F">
      <w:pPr>
        <w:pStyle w:val="Body"/>
        <w:spacing w:after="0"/>
        <w:rPr>
          <w:rFonts w:ascii="Arial" w:hAnsi="Arial" w:cs="Arial"/>
          <w:i/>
          <w:iCs/>
          <w:sz w:val="16"/>
          <w:szCs w:val="16"/>
        </w:rPr>
      </w:pPr>
      <w:r>
        <w:rPr>
          <w:rFonts w:ascii="Arial" w:hAnsi="Arial" w:cs="Arial"/>
          <w:i/>
        </w:rPr>
        <w:lastRenderedPageBreak/>
        <w:t xml:space="preserve">Keywords: </w:t>
      </w:r>
      <w:r w:rsidR="00142AA1" w:rsidRPr="00142AA1">
        <w:rPr>
          <w:rFonts w:ascii="Arial" w:hAnsi="Arial" w:cs="Arial"/>
          <w:i/>
          <w:iCs/>
        </w:rPr>
        <w:t>Fruit cultivation, horticulture diversification, socio-economic transformation, rural livelihoods, market integration, semi-arid agriculture, Ahmednagar district</w:t>
      </w:r>
    </w:p>
    <w:p w14:paraId="41798776" w14:textId="77777777" w:rsidR="00790ADA" w:rsidRDefault="00790ADA" w:rsidP="00441B6F">
      <w:pPr>
        <w:pStyle w:val="Body"/>
        <w:spacing w:after="0"/>
        <w:rPr>
          <w:rFonts w:ascii="Arial" w:hAnsi="Arial" w:cs="Arial"/>
          <w:i/>
        </w:rPr>
      </w:pPr>
    </w:p>
    <w:p w14:paraId="6E4E9C3F" w14:textId="77777777" w:rsidR="0024282C" w:rsidRDefault="0024282C" w:rsidP="00441B6F">
      <w:pPr>
        <w:pStyle w:val="Body"/>
        <w:spacing w:after="0"/>
        <w:rPr>
          <w:rFonts w:ascii="Arial" w:hAnsi="Arial" w:cs="Arial"/>
          <w:i/>
          <w:sz w:val="18"/>
        </w:rPr>
      </w:pPr>
    </w:p>
    <w:p w14:paraId="58CD09AE" w14:textId="77777777" w:rsidR="00505F06" w:rsidRPr="00A24E7E" w:rsidRDefault="00505F06" w:rsidP="00441B6F">
      <w:pPr>
        <w:pStyle w:val="Body"/>
        <w:spacing w:after="0"/>
        <w:rPr>
          <w:rFonts w:ascii="Arial" w:hAnsi="Arial" w:cs="Arial"/>
          <w:i/>
        </w:rPr>
      </w:pPr>
    </w:p>
    <w:p w14:paraId="4CF94E86"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13463D41" w14:textId="77777777" w:rsidR="00142AA1" w:rsidRPr="00142AA1" w:rsidRDefault="00142AA1" w:rsidP="00142AA1">
      <w:pPr>
        <w:spacing w:before="120" w:line="360" w:lineRule="auto"/>
        <w:jc w:val="both"/>
        <w:rPr>
          <w:rFonts w:ascii="Arial" w:hAnsi="Arial" w:cs="Arial"/>
        </w:rPr>
      </w:pPr>
      <w:r w:rsidRPr="00142AA1">
        <w:rPr>
          <w:rFonts w:ascii="Arial" w:hAnsi="Arial" w:cs="Arial"/>
        </w:rPr>
        <w:t>Agriculture serves as the backbone of the Indian economy, providing employment to 50% of the population through farming and agro-based industries. Consequently, agriculture constitutes a vital component of rural life in India (World Bank, 2023). Agriculture has always played a significant role in the Indian economy. However, the sector currently faces numerous challenges, primarily including the improper use of chemical fertilizers, climate change, traditional farming practices, and low soil productivity. In recent times, however, farmers have begun shifting towards crops such as fruits and vegetables, which facilitate higher yields and greater profits. Consequently, farmers are increasingly adopting horticultural practices to boost agricultural output (Berthel et al., 2008).</w:t>
      </w:r>
    </w:p>
    <w:p w14:paraId="08A8A089" w14:textId="77777777" w:rsidR="00142AA1" w:rsidRPr="00142AA1" w:rsidRDefault="00142AA1" w:rsidP="00142AA1">
      <w:pPr>
        <w:spacing w:before="120" w:line="360" w:lineRule="auto"/>
        <w:jc w:val="both"/>
        <w:rPr>
          <w:rFonts w:ascii="Arial" w:hAnsi="Arial" w:cs="Arial"/>
        </w:rPr>
      </w:pPr>
      <w:r w:rsidRPr="00142AA1">
        <w:rPr>
          <w:rFonts w:ascii="Arial" w:hAnsi="Arial" w:cs="Arial"/>
        </w:rPr>
        <w:t>Broad socio-economic changes—such as global urbanization, shifting dietary habits, heightened health awareness, and rising incomes—are driving farmers to cultivate orchards (FAO, 2022). Consumers are moving away from staple grains like wheat and rice in favor of nutritious, high-quality food products. As a result, fruit cultivation has emerged as a viable alternative to traditional staple crops. Fruit crops prove to be more profitable per unit compared to food grains; they yield higher economic returns and create opportunities for increased productivity. This makes orchard farming a particularly attractive option for small and marginal farmers.</w:t>
      </w:r>
    </w:p>
    <w:p w14:paraId="48236AE8" w14:textId="77777777" w:rsidR="00142AA1" w:rsidRPr="00142AA1" w:rsidRDefault="00142AA1" w:rsidP="00142AA1">
      <w:pPr>
        <w:spacing w:before="120" w:line="360" w:lineRule="auto"/>
        <w:jc w:val="both"/>
        <w:rPr>
          <w:rFonts w:ascii="Arial" w:hAnsi="Arial" w:cs="Arial"/>
        </w:rPr>
      </w:pPr>
      <w:r w:rsidRPr="00142AA1">
        <w:rPr>
          <w:rFonts w:ascii="Arial" w:hAnsi="Arial" w:cs="Arial"/>
        </w:rPr>
        <w:t xml:space="preserve">Horticulture has become a key component of global agricultural trade and production. In many developing countries, fruits and vegetables now account for a significant share of the agricultural GDP. This shift has been particularly evident in India over the last two decades. The horticulture sector has surpassed the food grain sector, recording an annual growth rate of 5 to 6 percent (Chand et al., 2011). According to data from the National Horticulture Board (NHB), India has emerged as the world's second-largest fruit producer, with an annual production of 107 million </w:t>
      </w:r>
      <w:proofErr w:type="spellStart"/>
      <w:r w:rsidRPr="00142AA1">
        <w:rPr>
          <w:rFonts w:ascii="Arial" w:hAnsi="Arial" w:cs="Arial"/>
        </w:rPr>
        <w:t>tonnes</w:t>
      </w:r>
      <w:proofErr w:type="spellEnd"/>
      <w:r w:rsidRPr="00142AA1">
        <w:rPr>
          <w:rFonts w:ascii="Arial" w:hAnsi="Arial" w:cs="Arial"/>
        </w:rPr>
        <w:t xml:space="preserve"> (NHB, 2023). This growth in horticulture reflects not only rising demand but also structural changes in cropping patterns adopted by farmers aiming for higher profitability.</w:t>
      </w:r>
    </w:p>
    <w:p w14:paraId="11C91688" w14:textId="51D21F96" w:rsidR="00142AA1" w:rsidRPr="00142AA1" w:rsidRDefault="00142AA1" w:rsidP="00142AA1">
      <w:pPr>
        <w:spacing w:before="120" w:line="360" w:lineRule="auto"/>
        <w:jc w:val="both"/>
        <w:rPr>
          <w:rFonts w:ascii="Arial" w:hAnsi="Arial" w:cs="Arial"/>
        </w:rPr>
      </w:pPr>
      <w:r w:rsidRPr="00142AA1">
        <w:rPr>
          <w:rFonts w:ascii="Arial" w:hAnsi="Arial" w:cs="Arial"/>
        </w:rPr>
        <w:t xml:space="preserve">Maharashtra has played a pivotal role in the development of the country's horticulture sector, establishing itself as one of India's leading fruit-producing states. The state is dominated by major fruit crops such as bananas, grapes, pomegranates, and citrus fruits; notably, it ranks first in the country for the production of pomegranates, grapes, oranges, and guavas (NHB, </w:t>
      </w:r>
      <w:r w:rsidRPr="00142AA1">
        <w:rPr>
          <w:rFonts w:ascii="Arial" w:hAnsi="Arial" w:cs="Arial"/>
        </w:rPr>
        <w:lastRenderedPageBreak/>
        <w:t>2017-18). The state benefits from favorable agro-climatic conditions, supportive government policies, and technological innovations (APEDA, 2023). Government initiatives—such as the National Horticulture Mission (NHM) and the Pradhan Mantri Krishi Sinchai Yojana (PMKSY)—have significantly bolstered the growth of fruit farming by enhancing irrigation capacity, fostering technological adoption, and strengthening agricultural infrastructure (Chand et al., 2011). These concerted efforts have encouraged farmers to transition toward more productive and market-oriented farming practices. Ahmednagar District is characterized by a semi-arid climate and is situated within the rain-shadow region of the Western Ghats. A defining feature of this district is its low and erratic rainfall, which typically averages between 500 and 700 millimeters annually; consequently, farmers here frequently face the challenge of drought. However, the district stands as a remarkable example of the transformative changes brought about by the adoption of fruit cultivation (</w:t>
      </w:r>
      <w:r w:rsidR="0068696C" w:rsidRPr="0068696C">
        <w:rPr>
          <w:rFonts w:ascii="Arial" w:hAnsi="Arial" w:cs="Arial"/>
        </w:rPr>
        <w:t xml:space="preserve"> Sa</w:t>
      </w:r>
      <w:r w:rsidR="0068696C">
        <w:rPr>
          <w:rFonts w:ascii="Arial" w:hAnsi="Arial" w:cs="Arial"/>
        </w:rPr>
        <w:t>s</w:t>
      </w:r>
      <w:r w:rsidR="0068696C" w:rsidRPr="0068696C">
        <w:rPr>
          <w:rFonts w:ascii="Arial" w:hAnsi="Arial" w:cs="Arial"/>
        </w:rPr>
        <w:t>ane2016</w:t>
      </w:r>
      <w:r w:rsidRPr="00142AA1">
        <w:rPr>
          <w:rFonts w:ascii="Arial" w:hAnsi="Arial" w:cs="Arial"/>
        </w:rPr>
        <w:t xml:space="preserve">). The unpredictable climatic conditions appear to have historically constrained agricultural productivity. Historically, farmers were largely limited to cultivating drought-resistant grain crops such as Sorghum (Jowar) and Pearl Millet (Bajra); however, the last two decades have witnessed a significant shift. Farmers are increasingly turning towards orchard cultivation. Particularly focusing on high-value crops such as pomegranate, guava, grapes, and oranges, as these crops are highly suitable for dry climates. Factors driving this shift include the adoption of modern technologies like sprinkler and drip irrigation, the use of improved crop varieties, and market-oriented crop planning. Data from 2000 to 2023 indicates a significant increase in both the area under orchards and total fruit production in Ahmednagar district. This highlighting the farmers' inclination towards agricultural diversification </w:t>
      </w:r>
      <w:r w:rsidR="0068696C">
        <w:rPr>
          <w:rFonts w:ascii="Arial" w:hAnsi="Arial" w:cs="Arial"/>
        </w:rPr>
        <w:t>(</w:t>
      </w:r>
      <w:r w:rsidR="0068696C" w:rsidRPr="0068696C">
        <w:rPr>
          <w:rFonts w:ascii="Arial" w:hAnsi="Arial" w:cs="Arial"/>
        </w:rPr>
        <w:t>Sasane, Sandip.201</w:t>
      </w:r>
      <w:r w:rsidR="0068696C">
        <w:rPr>
          <w:rFonts w:ascii="Arial" w:hAnsi="Arial" w:cs="Arial"/>
        </w:rPr>
        <w:t>6</w:t>
      </w:r>
      <w:r w:rsidRPr="00142AA1">
        <w:rPr>
          <w:rFonts w:ascii="Arial" w:hAnsi="Arial" w:cs="Arial"/>
        </w:rPr>
        <w:t>). Among these fruit crops, pomegranate is particularly noteworthy. It not only thrives in semi-arid climates but also holds immense export potential (Bhagat et al., 2023).</w:t>
      </w:r>
    </w:p>
    <w:p w14:paraId="6A72277C" w14:textId="77777777" w:rsidR="00142AA1" w:rsidRPr="00142AA1" w:rsidRDefault="00142AA1" w:rsidP="00142AA1">
      <w:pPr>
        <w:spacing w:before="120" w:line="360" w:lineRule="auto"/>
        <w:jc w:val="both"/>
        <w:rPr>
          <w:rFonts w:ascii="Arial" w:hAnsi="Arial" w:cs="Arial"/>
        </w:rPr>
      </w:pPr>
      <w:r w:rsidRPr="00142AA1">
        <w:rPr>
          <w:rFonts w:ascii="Arial" w:hAnsi="Arial" w:cs="Arial"/>
        </w:rPr>
        <w:t>The expansion of orchard cultivation in the district has created greater employment opportunities for local residents. Thereby improving their standard of living and increasing farmers' incomes; such socio-economic impacts have been observed in study area. Orchard farming is a labor-intensive enterprise requiring a substantial workforce. Consequently, employment opportunities arise across the entire value chain—from actual crop production to the final stages of marketing and distribution. Increased production leads to improvements in education, healthcare, and family assets. In this context, orchard cultivation emerges as a crucial factor driving overall socio-economic transformation (Joshi et al., 2007).</w:t>
      </w:r>
    </w:p>
    <w:p w14:paraId="3861B636" w14:textId="77777777" w:rsidR="00142AA1" w:rsidRPr="00142AA1" w:rsidRDefault="00142AA1" w:rsidP="00142AA1">
      <w:pPr>
        <w:spacing w:before="120" w:line="360" w:lineRule="auto"/>
        <w:jc w:val="both"/>
        <w:rPr>
          <w:rFonts w:ascii="Arial" w:hAnsi="Arial" w:cs="Arial"/>
        </w:rPr>
      </w:pPr>
      <w:r w:rsidRPr="00142AA1">
        <w:rPr>
          <w:rFonts w:ascii="Arial" w:hAnsi="Arial" w:cs="Arial"/>
        </w:rPr>
        <w:t xml:space="preserve">However, alongside these benefits, farmers in the region also face several challenges. Farmers primarily have to contend with issues such as pest and disease infestations, water scarcity, limited market access, a lack of infrastructure, and price fluctuations for agricultural </w:t>
      </w:r>
      <w:r w:rsidRPr="00142AA1">
        <w:rPr>
          <w:rFonts w:ascii="Arial" w:hAnsi="Arial" w:cs="Arial"/>
        </w:rPr>
        <w:lastRenderedPageBreak/>
        <w:t>produce. Efficient resource management and institutional support are essential for sustainable orchard farming in semi-arid regions like Ahmednagar (Vadivel et al., 2024). These challenges underscore the importance of developing orchard farming.</w:t>
      </w:r>
      <w:r w:rsidRPr="00142AA1">
        <w:rPr>
          <w:rFonts w:ascii="Arial" w:hAnsi="Arial" w:cs="Arial"/>
          <w:b/>
          <w:bCs/>
        </w:rPr>
        <w:t xml:space="preserve"> </w:t>
      </w:r>
      <w:r w:rsidRPr="00142AA1">
        <w:rPr>
          <w:rFonts w:ascii="Arial" w:hAnsi="Arial" w:cs="Arial"/>
        </w:rPr>
        <w:t>Given Ahmednagar district's status as a major horticultural hub in Maharashtra—distinguished by its unique agro-climatic characteristics—it is imperative to focus research efforts on this specific region.</w:t>
      </w:r>
    </w:p>
    <w:p w14:paraId="1797FA41" w14:textId="77777777" w:rsidR="00142AA1" w:rsidRDefault="00142AA1" w:rsidP="00142AA1">
      <w:pPr>
        <w:spacing w:before="120" w:line="360" w:lineRule="auto"/>
        <w:jc w:val="both"/>
        <w:rPr>
          <w:rFonts w:ascii="Arial" w:hAnsi="Arial" w:cs="Arial"/>
        </w:rPr>
      </w:pPr>
      <w:r w:rsidRPr="00142AA1">
        <w:rPr>
          <w:rFonts w:ascii="Arial" w:hAnsi="Arial" w:cs="Arial"/>
        </w:rPr>
        <w:t>While previous research has predominantly focused on national and state-level studies, there remains a relative dearth of localized, district-level assessments. Consequently, Ahmednagar district has been selected as the study area to investigate the socio-economic impact of fruit farming on local farmers. This study contributes to the existing literature by providing a district-level, integrated synthesis, thereby fostering a more nuanced understanding of horticulture-based agriculture.</w:t>
      </w:r>
    </w:p>
    <w:p w14:paraId="3C6851C7"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OBJECTIVES OF THE LITERATURE REVIEW</w:t>
      </w:r>
    </w:p>
    <w:p w14:paraId="091601AF" w14:textId="77777777" w:rsidR="006F6EF7" w:rsidRPr="006F6EF7" w:rsidRDefault="006F6EF7" w:rsidP="006F6EF7">
      <w:pPr>
        <w:spacing w:before="120" w:line="360" w:lineRule="auto"/>
        <w:jc w:val="both"/>
        <w:rPr>
          <w:rFonts w:ascii="Arial" w:hAnsi="Arial" w:cs="Arial"/>
        </w:rPr>
      </w:pPr>
      <w:r w:rsidRPr="006F6EF7">
        <w:rPr>
          <w:rFonts w:ascii="Arial" w:hAnsi="Arial" w:cs="Arial"/>
        </w:rPr>
        <w:t>The objective of the present review is to systematically evaluate the available literature on fruit cultivation and its socio-economic impacts, with a specific focus on the Ahmednagar district. The specific objectives include the following:</w:t>
      </w:r>
    </w:p>
    <w:p w14:paraId="2C4B4781" w14:textId="77777777" w:rsidR="006F6EF7" w:rsidRPr="006F6EF7" w:rsidRDefault="006F6EF7" w:rsidP="006F6EF7">
      <w:pPr>
        <w:spacing w:before="120" w:line="360" w:lineRule="auto"/>
        <w:ind w:left="720" w:hanging="720"/>
        <w:jc w:val="both"/>
        <w:rPr>
          <w:rFonts w:ascii="Arial" w:hAnsi="Arial" w:cs="Arial"/>
        </w:rPr>
      </w:pPr>
      <w:r w:rsidRPr="006F6EF7">
        <w:rPr>
          <w:rFonts w:ascii="Arial" w:hAnsi="Arial" w:cs="Arial"/>
        </w:rPr>
        <w:t>1.</w:t>
      </w:r>
      <w:r w:rsidRPr="006F6EF7">
        <w:rPr>
          <w:rFonts w:ascii="Arial" w:hAnsi="Arial" w:cs="Arial"/>
        </w:rPr>
        <w:tab/>
        <w:t>To identify key research themes and trends in fruit cultivation at global, national, and regional levels.</w:t>
      </w:r>
    </w:p>
    <w:p w14:paraId="5F02EACA" w14:textId="77777777" w:rsidR="006F6EF7" w:rsidRPr="006F6EF7" w:rsidRDefault="006F6EF7" w:rsidP="006F6EF7">
      <w:pPr>
        <w:spacing w:before="120" w:line="360" w:lineRule="auto"/>
        <w:jc w:val="both"/>
        <w:rPr>
          <w:rFonts w:ascii="Arial" w:hAnsi="Arial" w:cs="Arial"/>
        </w:rPr>
      </w:pPr>
      <w:r w:rsidRPr="006F6EF7">
        <w:rPr>
          <w:rFonts w:ascii="Arial" w:hAnsi="Arial" w:cs="Arial"/>
        </w:rPr>
        <w:t>2.</w:t>
      </w:r>
      <w:r w:rsidRPr="006F6EF7">
        <w:rPr>
          <w:rFonts w:ascii="Arial" w:hAnsi="Arial" w:cs="Arial"/>
        </w:rPr>
        <w:tab/>
        <w:t>To analyze the socio-economic impacts of fruit cultivation on farmers.</w:t>
      </w:r>
    </w:p>
    <w:p w14:paraId="0DF639CD" w14:textId="77777777" w:rsidR="006F6EF7" w:rsidRPr="006F6EF7" w:rsidRDefault="006F6EF7" w:rsidP="006F6EF7">
      <w:pPr>
        <w:spacing w:before="120" w:line="360" w:lineRule="auto"/>
        <w:jc w:val="both"/>
        <w:rPr>
          <w:rFonts w:ascii="Arial" w:hAnsi="Arial" w:cs="Arial"/>
        </w:rPr>
      </w:pPr>
      <w:r w:rsidRPr="006F6EF7">
        <w:rPr>
          <w:rFonts w:ascii="Arial" w:hAnsi="Arial" w:cs="Arial"/>
        </w:rPr>
        <w:t>3.</w:t>
      </w:r>
      <w:r w:rsidRPr="006F6EF7">
        <w:rPr>
          <w:rFonts w:ascii="Arial" w:hAnsi="Arial" w:cs="Arial"/>
        </w:rPr>
        <w:tab/>
        <w:t>To examine how diversification in horticulture contributes to rural transformation.</w:t>
      </w:r>
    </w:p>
    <w:p w14:paraId="3A142EF6" w14:textId="77777777" w:rsidR="006F6EF7" w:rsidRPr="006F6EF7" w:rsidRDefault="006F6EF7" w:rsidP="006F6EF7">
      <w:pPr>
        <w:spacing w:before="120" w:line="360" w:lineRule="auto"/>
        <w:jc w:val="both"/>
        <w:rPr>
          <w:rFonts w:ascii="Arial" w:hAnsi="Arial" w:cs="Arial"/>
        </w:rPr>
      </w:pPr>
      <w:r w:rsidRPr="006F6EF7">
        <w:rPr>
          <w:rFonts w:ascii="Arial" w:hAnsi="Arial" w:cs="Arial"/>
        </w:rPr>
        <w:t>4.</w:t>
      </w:r>
      <w:r w:rsidRPr="006F6EF7">
        <w:rPr>
          <w:rFonts w:ascii="Arial" w:hAnsi="Arial" w:cs="Arial"/>
        </w:rPr>
        <w:tab/>
        <w:t>To highlight research gaps within the Ahmednagar district.</w:t>
      </w:r>
    </w:p>
    <w:p w14:paraId="335A63C4" w14:textId="77777777" w:rsidR="006F6EF7" w:rsidRPr="00E77D52" w:rsidRDefault="006F6EF7" w:rsidP="006F6EF7">
      <w:pPr>
        <w:spacing w:before="120" w:line="360" w:lineRule="auto"/>
        <w:jc w:val="both"/>
        <w:rPr>
          <w:rFonts w:ascii="Arial" w:hAnsi="Arial" w:cs="Arial"/>
          <w:b/>
          <w:bCs/>
          <w:sz w:val="24"/>
          <w:szCs w:val="24"/>
        </w:rPr>
      </w:pPr>
      <w:r w:rsidRPr="00E77D52">
        <w:rPr>
          <w:rFonts w:ascii="Arial" w:hAnsi="Arial" w:cs="Arial"/>
          <w:b/>
          <w:bCs/>
          <w:sz w:val="24"/>
          <w:szCs w:val="24"/>
        </w:rPr>
        <w:t>RESEARCH QUESTIONS</w:t>
      </w:r>
    </w:p>
    <w:p w14:paraId="2DB22C39" w14:textId="77777777" w:rsidR="006F6EF7" w:rsidRPr="006F6EF7" w:rsidRDefault="006F6EF7" w:rsidP="006F6EF7">
      <w:pPr>
        <w:spacing w:before="120" w:line="360" w:lineRule="auto"/>
        <w:jc w:val="both"/>
        <w:rPr>
          <w:rFonts w:ascii="Arial" w:hAnsi="Arial" w:cs="Arial"/>
        </w:rPr>
      </w:pPr>
      <w:r w:rsidRPr="006F6EF7">
        <w:rPr>
          <w:rFonts w:ascii="Arial" w:hAnsi="Arial" w:cs="Arial"/>
        </w:rPr>
        <w:t>This review is conducted based on the following research questions:</w:t>
      </w:r>
    </w:p>
    <w:p w14:paraId="27574E44" w14:textId="77777777" w:rsidR="006F6EF7" w:rsidRPr="006F6EF7" w:rsidRDefault="006F6EF7" w:rsidP="006F6EF7">
      <w:pPr>
        <w:spacing w:before="120" w:line="360" w:lineRule="auto"/>
        <w:jc w:val="both"/>
        <w:rPr>
          <w:rFonts w:ascii="Arial" w:hAnsi="Arial" w:cs="Arial"/>
        </w:rPr>
      </w:pPr>
      <w:r w:rsidRPr="006F6EF7">
        <w:rPr>
          <w:rFonts w:ascii="Arial" w:hAnsi="Arial" w:cs="Arial"/>
        </w:rPr>
        <w:t>1.</w:t>
      </w:r>
      <w:r w:rsidRPr="006F6EF7">
        <w:rPr>
          <w:rFonts w:ascii="Arial" w:hAnsi="Arial" w:cs="Arial"/>
        </w:rPr>
        <w:tab/>
        <w:t>How has fruit cultivation contributed to agricultural and rural development in India?</w:t>
      </w:r>
    </w:p>
    <w:p w14:paraId="5B624C16" w14:textId="77777777" w:rsidR="006F6EF7" w:rsidRPr="006F6EF7" w:rsidRDefault="006F6EF7" w:rsidP="006F6EF7">
      <w:pPr>
        <w:spacing w:before="120" w:line="360" w:lineRule="auto"/>
        <w:jc w:val="both"/>
        <w:rPr>
          <w:rFonts w:ascii="Arial" w:hAnsi="Arial" w:cs="Arial"/>
        </w:rPr>
      </w:pPr>
      <w:r w:rsidRPr="006F6EF7">
        <w:rPr>
          <w:rFonts w:ascii="Arial" w:hAnsi="Arial" w:cs="Arial"/>
        </w:rPr>
        <w:t>2.</w:t>
      </w:r>
      <w:r w:rsidRPr="006F6EF7">
        <w:rPr>
          <w:rFonts w:ascii="Arial" w:hAnsi="Arial" w:cs="Arial"/>
        </w:rPr>
        <w:tab/>
        <w:t>What are the socio-economic impacts of fruit cultivation on farmers?</w:t>
      </w:r>
    </w:p>
    <w:p w14:paraId="650DC979" w14:textId="77777777" w:rsidR="006F6EF7" w:rsidRPr="006F6EF7" w:rsidRDefault="006F6EF7" w:rsidP="006F6EF7">
      <w:pPr>
        <w:spacing w:before="120" w:line="360" w:lineRule="auto"/>
        <w:ind w:left="720" w:hanging="720"/>
        <w:jc w:val="both"/>
        <w:rPr>
          <w:rFonts w:ascii="Arial" w:hAnsi="Arial" w:cs="Arial"/>
        </w:rPr>
      </w:pPr>
      <w:r w:rsidRPr="006F6EF7">
        <w:rPr>
          <w:rFonts w:ascii="Arial" w:hAnsi="Arial" w:cs="Arial"/>
        </w:rPr>
        <w:t>3.</w:t>
      </w:r>
      <w:r w:rsidRPr="006F6EF7">
        <w:rPr>
          <w:rFonts w:ascii="Arial" w:hAnsi="Arial" w:cs="Arial"/>
        </w:rPr>
        <w:tab/>
        <w:t>What factors have contributed to the growth of horticulture in Maharashtra and the Ahmednagar district over the past two decades?</w:t>
      </w:r>
    </w:p>
    <w:p w14:paraId="5CF70CDC" w14:textId="77777777" w:rsidR="006F6EF7" w:rsidRPr="006F6EF7" w:rsidRDefault="006F6EF7" w:rsidP="006F6EF7">
      <w:pPr>
        <w:spacing w:before="120" w:line="360" w:lineRule="auto"/>
        <w:jc w:val="both"/>
        <w:rPr>
          <w:rFonts w:ascii="Arial" w:hAnsi="Arial" w:cs="Arial"/>
        </w:rPr>
      </w:pPr>
      <w:r w:rsidRPr="006F6EF7">
        <w:rPr>
          <w:rFonts w:ascii="Arial" w:hAnsi="Arial" w:cs="Arial"/>
        </w:rPr>
        <w:t>4.</w:t>
      </w:r>
      <w:r w:rsidRPr="006F6EF7">
        <w:rPr>
          <w:rFonts w:ascii="Arial" w:hAnsi="Arial" w:cs="Arial"/>
        </w:rPr>
        <w:tab/>
        <w:t>What are the most significant challenges and problems faced by fruit farmers?</w:t>
      </w:r>
    </w:p>
    <w:p w14:paraId="0CB52EF7" w14:textId="77777777" w:rsidR="006F6EF7" w:rsidRPr="006F6EF7" w:rsidRDefault="006F6EF7" w:rsidP="006F6EF7">
      <w:pPr>
        <w:spacing w:before="120" w:line="360" w:lineRule="auto"/>
        <w:jc w:val="both"/>
        <w:rPr>
          <w:rFonts w:ascii="Arial" w:hAnsi="Arial" w:cs="Arial"/>
        </w:rPr>
      </w:pPr>
      <w:r w:rsidRPr="006F6EF7">
        <w:rPr>
          <w:rFonts w:ascii="Arial" w:hAnsi="Arial" w:cs="Arial"/>
        </w:rPr>
        <w:t>5.</w:t>
      </w:r>
      <w:r w:rsidRPr="006F6EF7">
        <w:rPr>
          <w:rFonts w:ascii="Arial" w:hAnsi="Arial" w:cs="Arial"/>
        </w:rPr>
        <w:tab/>
        <w:t>What are the research gaps in the existing literature, particularly at the district level?</w:t>
      </w:r>
    </w:p>
    <w:p w14:paraId="1DD76172" w14:textId="77777777" w:rsidR="006F6EF7" w:rsidRPr="006F6EF7" w:rsidRDefault="006F6EF7" w:rsidP="006F6EF7">
      <w:pPr>
        <w:spacing w:before="120" w:line="360" w:lineRule="auto"/>
        <w:jc w:val="both"/>
        <w:rPr>
          <w:rFonts w:ascii="Arial" w:hAnsi="Arial" w:cs="Arial"/>
          <w:sz w:val="22"/>
          <w:szCs w:val="22"/>
        </w:rPr>
      </w:pPr>
      <w:r w:rsidRPr="006F6EF7">
        <w:rPr>
          <w:rFonts w:ascii="Arial" w:hAnsi="Arial" w:cs="Arial"/>
          <w:b/>
          <w:bCs/>
          <w:sz w:val="22"/>
          <w:szCs w:val="22"/>
        </w:rPr>
        <w:t>METHODOLOGY</w:t>
      </w:r>
    </w:p>
    <w:p w14:paraId="6AC2103A" w14:textId="77777777" w:rsidR="006F6EF7" w:rsidRPr="006F6EF7" w:rsidRDefault="006F6EF7" w:rsidP="006F6EF7">
      <w:pPr>
        <w:spacing w:before="120" w:line="360" w:lineRule="auto"/>
        <w:jc w:val="both"/>
        <w:rPr>
          <w:rFonts w:ascii="Arial" w:hAnsi="Arial" w:cs="Arial"/>
        </w:rPr>
      </w:pPr>
      <w:r w:rsidRPr="006F6EF7">
        <w:rPr>
          <w:rFonts w:ascii="Arial" w:hAnsi="Arial" w:cs="Arial"/>
        </w:rPr>
        <w:lastRenderedPageBreak/>
        <w:t>In the present study, a thematic literature review approach has been employed to examine the role of fruit farming in shaping the socio-economic transformation of farmers in the semi-arid climate of the Ahmednagar district. This approach is not merely descriptive; rather, it facilitates the analytical synthesis, comparison, and interpretation of empirical findings. The methodology adopted for this study is aligned with its objectives and aids in their comprehensive evaluation. This review is based on an in-depth and systematic search of scholarly and institutional literature retrieved from major academic databases such as Scopus, Web of Science, ScienceDirect, SpringerLink, JSTOR, and Google Scholar. This study aims to ensure comprehensive contextual depth regarding policy matters; to this end, it incorporates reports from key institutions such as the Food and Agriculture Organization (FAO), the National Horticulture Board (NHB), and the Ministry of Agriculture and Farmers Welfare (India).</w:t>
      </w:r>
    </w:p>
    <w:p w14:paraId="31F57BA7" w14:textId="77777777" w:rsidR="006F6EF7" w:rsidRPr="006F6EF7" w:rsidRDefault="006F6EF7" w:rsidP="006F6EF7">
      <w:pPr>
        <w:spacing w:before="120" w:line="360" w:lineRule="auto"/>
        <w:jc w:val="both"/>
        <w:rPr>
          <w:rFonts w:ascii="Arial" w:hAnsi="Arial" w:cs="Arial"/>
        </w:rPr>
      </w:pPr>
      <w:r w:rsidRPr="006F6EF7">
        <w:rPr>
          <w:rFonts w:ascii="Arial" w:hAnsi="Arial" w:cs="Arial"/>
        </w:rPr>
        <w:t>A structured keyword strategy was employed to capture the multidimensional nature of the subject. Key search terms included "fruit cultivation," "horticultural diversification," "socio-economic transformation," "market integration," "rural livelihoods," "semi-arid farming," "Maharashtra horticulture," and "Ahmednagar agriculture." The scope of this review spans the period from 2000 to 2023. During this timeframe, there was a significant expansion of the National Horticulture Mission (NHM) and micro-irrigation systems. The government strategically leveraged these initiatives, thereby catalyzing a transformation in the horticulture sector (Chand et al., 2011).</w:t>
      </w:r>
    </w:p>
    <w:p w14:paraId="319595CD" w14:textId="77777777" w:rsidR="006F6EF7" w:rsidRPr="006F6EF7" w:rsidRDefault="006F6EF7" w:rsidP="006F6EF7">
      <w:pPr>
        <w:spacing w:before="120" w:line="360" w:lineRule="auto"/>
        <w:jc w:val="both"/>
        <w:rPr>
          <w:rFonts w:ascii="Arial" w:hAnsi="Arial" w:cs="Arial"/>
        </w:rPr>
      </w:pPr>
      <w:r w:rsidRPr="006F6EF7">
        <w:rPr>
          <w:rFonts w:ascii="Arial" w:hAnsi="Arial" w:cs="Arial"/>
        </w:rPr>
        <w:t>A total of 50–60 studies—including journal articles, books, policy reports, and region-specific theses—were reviewed. This review prioritizes peer-reviewed studies and reports indexed by Scopus and Web of Science. Particular emphasis has been placed on studies focusing on agricultural production, market access, technology adoption, and institutional support. Specifically, this review incorporates studies conducted at the state level (Maharashtra) and the district level (Ahmednagar). Consequently, this yields more nuanced insights regarding local agro-climatic conditions, cropping patterns, and socio-economic impacts.</w:t>
      </w:r>
    </w:p>
    <w:p w14:paraId="52A0B509"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THEMATIC ANALYTICAL FRAMEWORK</w:t>
      </w:r>
    </w:p>
    <w:p w14:paraId="7A4DF2C2"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This analysis employs a thematic synthesis approach (Braun &amp; Clarke, 2006), which facilitates the identification of recurring patterns, contradictions, and gaps across various studies. Rather than merely categorizing findings, this method fosters interpretive integration, thereby enabling an examination of how various variables interact within broader socio-economic systems. Within the context of inequality, sustainability, and regional disparities, this thematic framework critically evaluates the subject matter, directly guiding </w:t>
      </w:r>
      <w:r w:rsidRPr="006F6EF7">
        <w:rPr>
          <w:rFonts w:ascii="Arial" w:hAnsi="Arial" w:cs="Arial"/>
        </w:rPr>
        <w:lastRenderedPageBreak/>
        <w:t>the discussion section. This study adopts a comparative and interpretive-analytical perspective, integrating both quantitative indicators (e.g., income fluctuations, productivity trends) and qualitative insights (e.g., institutional barriers, farmers' experiences). This approach yields a more nuanced understanding of both enabling conditions and structural constraints—an understanding that aligns coherently with the conclusions drawn.</w:t>
      </w:r>
    </w:p>
    <w:p w14:paraId="1B66EA2D" w14:textId="585E3479" w:rsidR="006F6EF7" w:rsidRPr="006F6EF7" w:rsidRDefault="006F6EF7" w:rsidP="006F6EF7">
      <w:pPr>
        <w:spacing w:before="120" w:line="360" w:lineRule="auto"/>
        <w:jc w:val="both"/>
        <w:rPr>
          <w:rFonts w:ascii="Arial" w:hAnsi="Arial" w:cs="Arial"/>
        </w:rPr>
      </w:pPr>
      <w:r w:rsidRPr="006F6EF7">
        <w:rPr>
          <w:rFonts w:ascii="Arial" w:hAnsi="Arial" w:cs="Arial"/>
        </w:rPr>
        <w:t>Although this methodology is comprehensive, it is not without its limitations. Primarily, the reliance on secondary data and the limited availability of district-level studies constrain the scope of inference. This constitutes a methodological challenge, which clearly underscores existing research gaps and limitations within the findings.</w:t>
      </w:r>
    </w:p>
    <w:p w14:paraId="563270D3"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THEMATIC LITERATURE REVIEW</w:t>
      </w:r>
    </w:p>
    <w:p w14:paraId="681F3C7F" w14:textId="0B8FCD53" w:rsidR="006F6EF7" w:rsidRPr="006F6EF7" w:rsidRDefault="006F6EF7" w:rsidP="006F6EF7">
      <w:pPr>
        <w:spacing w:before="120" w:line="360" w:lineRule="auto"/>
        <w:jc w:val="both"/>
        <w:rPr>
          <w:rFonts w:ascii="Arial" w:hAnsi="Arial" w:cs="Arial"/>
        </w:rPr>
      </w:pPr>
      <w:r w:rsidRPr="006F6EF7">
        <w:rPr>
          <w:rFonts w:ascii="Arial" w:hAnsi="Arial" w:cs="Arial"/>
        </w:rPr>
        <w:t>The relationship between fruit farming and socio-economic transformation is grounded in the theoretical frameworks found within the literature on agricultural economics and rural development. Among these, the theory of agricultural diversification is the most frequently cited. This theory explains the shift among farmers from traditional food grain crops to high-value crops such as fruits and vegetables. Factors such as urbanization, rising incomes, better health awareness, and changing dietary patterns have driven farmers toward high-value crops, thereby increasing their economic earnings (Pingali and Rosegrant, 1995; Birthal et al., 201</w:t>
      </w:r>
      <w:r w:rsidR="00656046">
        <w:rPr>
          <w:rFonts w:ascii="Arial" w:hAnsi="Arial" w:cs="Arial"/>
        </w:rPr>
        <w:t>5</w:t>
      </w:r>
      <w:r w:rsidRPr="006F6EF7">
        <w:rPr>
          <w:rFonts w:ascii="Arial" w:hAnsi="Arial" w:cs="Arial"/>
        </w:rPr>
        <w:t>). The commercialization of agriculture enhances market productivity and yields positive outcomes for farmer welfare. Moreover, since fruit cultivation is market-oriented, it offers farmers opportunities to participate in export markets (Birthal et al., 2005; Reardon et al., 2009). However, this commercialization also exposes farmers to market risks and price fluctuations.</w:t>
      </w:r>
    </w:p>
    <w:p w14:paraId="1160B8EB" w14:textId="2FFE8705" w:rsidR="006F6EF7" w:rsidRPr="006F6EF7" w:rsidRDefault="006F6EF7" w:rsidP="006F6EF7">
      <w:pPr>
        <w:spacing w:before="120" w:line="360" w:lineRule="auto"/>
        <w:jc w:val="both"/>
        <w:rPr>
          <w:rFonts w:ascii="Arial" w:hAnsi="Arial" w:cs="Arial"/>
        </w:rPr>
      </w:pPr>
      <w:r w:rsidRPr="006F6EF7">
        <w:rPr>
          <w:rFonts w:ascii="Arial" w:hAnsi="Arial" w:cs="Arial"/>
        </w:rPr>
        <w:t xml:space="preserve">The 'Sustainable Livelihoods Framework' offers a comprehensive perspective on agricultural productivity, food security, and farmer welfare. According to Ellis (2000), diversification into high-value fruit cultivation boosts farmers' capital assets and improves human development indicators. By enhancing land-use efficiency, increasing economic output, and fostering social change, fruit cultivation enriches the diverse resources that constitute a livelihood. Another significant theoretical perspective in this context is the 'Induced Innovation Theory.' This framework elucidates how farmers adopt technology in response to resource scarcity and economic incentives (Hayami and Ruttan, 1985). In semi-arid regions like Maharashtra, where water scarcity is a major issue, the adoption of drip irrigation and the cultivation of fruit varieties requiring less water serve as examples of adaptation to these conditions. Furthermore, the 'theory of rural transformation' emphasizes factors such as increased </w:t>
      </w:r>
      <w:r w:rsidRPr="006F6EF7">
        <w:rPr>
          <w:rFonts w:ascii="Arial" w:hAnsi="Arial" w:cs="Arial"/>
        </w:rPr>
        <w:lastRenderedPageBreak/>
        <w:t>farmer productivity, agricultural diversification, and improvements in living standards, thereby aiding in the understanding of structural changes within the economy.</w:t>
      </w:r>
    </w:p>
    <w:p w14:paraId="46A2CE9C"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GLOBAL EVIDENCE ON FRUIT CULTIVATION</w:t>
      </w:r>
    </w:p>
    <w:p w14:paraId="6EDD1C32" w14:textId="77777777" w:rsidR="006F6EF7" w:rsidRPr="006F6EF7" w:rsidRDefault="006F6EF7" w:rsidP="006F6EF7">
      <w:pPr>
        <w:spacing w:before="120" w:line="360" w:lineRule="auto"/>
        <w:jc w:val="both"/>
        <w:rPr>
          <w:rFonts w:ascii="Arial" w:hAnsi="Arial" w:cs="Arial"/>
        </w:rPr>
      </w:pPr>
      <w:r w:rsidRPr="006F6EF7">
        <w:rPr>
          <w:rFonts w:ascii="Arial" w:hAnsi="Arial" w:cs="Arial"/>
        </w:rPr>
        <w:t>Empirical evidence from around the world clearly indicates that fruit farming has emerged as a key driver of socio-economic transformation in developing countries. However, the extent of this impact depends on factors such as institutional support, the availability of infrastructure, and proximity to markets. Numerous studies and research initiatives have demonstrated that horticulture—specifically fruit production—not only boosts income but also contributes significantly to employment generation, food security, and rural transformation (Weinberger &amp; Lumpkin, 2007; Hewett, 2012; Van den Broeck &amp; Maertens, 2016).</w:t>
      </w:r>
    </w:p>
    <w:p w14:paraId="338FAF17"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AFRICA</w:t>
      </w:r>
    </w:p>
    <w:p w14:paraId="2A3CC1D3"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In </w:t>
      </w:r>
      <w:proofErr w:type="spellStart"/>
      <w:r w:rsidRPr="006F6EF7">
        <w:rPr>
          <w:rFonts w:ascii="Arial" w:hAnsi="Arial" w:cs="Arial"/>
        </w:rPr>
        <w:t>africa</w:t>
      </w:r>
      <w:proofErr w:type="spellEnd"/>
      <w:r w:rsidRPr="006F6EF7">
        <w:rPr>
          <w:rFonts w:ascii="Arial" w:hAnsi="Arial" w:cs="Arial"/>
        </w:rPr>
        <w:t xml:space="preserve">, horticulture plays a vital role in creating rural employment opportunities and generating export revenue. Research conducted by </w:t>
      </w:r>
      <w:proofErr w:type="spellStart"/>
      <w:r w:rsidRPr="006F6EF7">
        <w:rPr>
          <w:rFonts w:ascii="Arial" w:hAnsi="Arial" w:cs="Arial"/>
        </w:rPr>
        <w:t>dolan</w:t>
      </w:r>
      <w:proofErr w:type="spellEnd"/>
      <w:r w:rsidRPr="006F6EF7">
        <w:rPr>
          <w:rFonts w:ascii="Arial" w:hAnsi="Arial" w:cs="Arial"/>
        </w:rPr>
        <w:t xml:space="preserve"> and </w:t>
      </w:r>
      <w:proofErr w:type="spellStart"/>
      <w:r w:rsidRPr="006F6EF7">
        <w:rPr>
          <w:rFonts w:ascii="Arial" w:hAnsi="Arial" w:cs="Arial"/>
        </w:rPr>
        <w:t>humphrey</w:t>
      </w:r>
      <w:proofErr w:type="spellEnd"/>
      <w:r w:rsidRPr="006F6EF7">
        <w:rPr>
          <w:rFonts w:ascii="Arial" w:hAnsi="Arial" w:cs="Arial"/>
        </w:rPr>
        <w:t xml:space="preserve"> (2000) and </w:t>
      </w:r>
      <w:proofErr w:type="spellStart"/>
      <w:r w:rsidRPr="006F6EF7">
        <w:rPr>
          <w:rFonts w:ascii="Arial" w:hAnsi="Arial" w:cs="Arial"/>
        </w:rPr>
        <w:t>maertens</w:t>
      </w:r>
      <w:proofErr w:type="spellEnd"/>
      <w:r w:rsidRPr="006F6EF7">
        <w:rPr>
          <w:rFonts w:ascii="Arial" w:hAnsi="Arial" w:cs="Arial"/>
        </w:rPr>
        <w:t xml:space="preserve"> et al. (2012) in </w:t>
      </w:r>
      <w:proofErr w:type="spellStart"/>
      <w:r w:rsidRPr="006F6EF7">
        <w:rPr>
          <w:rFonts w:ascii="Arial" w:hAnsi="Arial" w:cs="Arial"/>
        </w:rPr>
        <w:t>kenya</w:t>
      </w:r>
      <w:proofErr w:type="spellEnd"/>
      <w:r w:rsidRPr="006F6EF7">
        <w:rPr>
          <w:rFonts w:ascii="Arial" w:hAnsi="Arial" w:cs="Arial"/>
        </w:rPr>
        <w:t xml:space="preserve"> and </w:t>
      </w:r>
      <w:proofErr w:type="spellStart"/>
      <w:r w:rsidRPr="006F6EF7">
        <w:rPr>
          <w:rFonts w:ascii="Arial" w:hAnsi="Arial" w:cs="Arial"/>
        </w:rPr>
        <w:t>ethiopia</w:t>
      </w:r>
      <w:proofErr w:type="spellEnd"/>
      <w:r w:rsidRPr="006F6EF7">
        <w:rPr>
          <w:rFonts w:ascii="Arial" w:hAnsi="Arial" w:cs="Arial"/>
        </w:rPr>
        <w:t xml:space="preserve"> reveals that smallholder farmers who shifted to cultivating high-value fruits and vegetables experienced a significant increase in their income. Moreover, this transition has created greater employment opportunities within the agricultural sector. Other studies indicate that fruit farming contributes to both food and nutritional security by increasing the availability of foods rich in micronutrients (</w:t>
      </w:r>
      <w:proofErr w:type="spellStart"/>
      <w:r w:rsidRPr="006F6EF7">
        <w:rPr>
          <w:rFonts w:ascii="Arial" w:hAnsi="Arial" w:cs="Arial"/>
        </w:rPr>
        <w:t>jamnadass</w:t>
      </w:r>
      <w:proofErr w:type="spellEnd"/>
      <w:r w:rsidRPr="006F6EF7">
        <w:rPr>
          <w:rFonts w:ascii="Arial" w:hAnsi="Arial" w:cs="Arial"/>
        </w:rPr>
        <w:t xml:space="preserve"> et al., 2011). The cultivation of fruit crops has been actively promoted in the </w:t>
      </w:r>
      <w:proofErr w:type="spellStart"/>
      <w:r w:rsidRPr="006F6EF7">
        <w:rPr>
          <w:rFonts w:ascii="Arial" w:hAnsi="Arial" w:cs="Arial"/>
        </w:rPr>
        <w:t>sub-saharan</w:t>
      </w:r>
      <w:proofErr w:type="spellEnd"/>
      <w:r w:rsidRPr="006F6EF7">
        <w:rPr>
          <w:rFonts w:ascii="Arial" w:hAnsi="Arial" w:cs="Arial"/>
        </w:rPr>
        <w:t xml:space="preserve"> </w:t>
      </w:r>
      <w:proofErr w:type="spellStart"/>
      <w:r w:rsidRPr="006F6EF7">
        <w:rPr>
          <w:rFonts w:ascii="Arial" w:hAnsi="Arial" w:cs="Arial"/>
        </w:rPr>
        <w:t>african</w:t>
      </w:r>
      <w:proofErr w:type="spellEnd"/>
      <w:r w:rsidRPr="006F6EF7">
        <w:rPr>
          <w:rFonts w:ascii="Arial" w:hAnsi="Arial" w:cs="Arial"/>
        </w:rPr>
        <w:t xml:space="preserve"> region.</w:t>
      </w:r>
    </w:p>
    <w:p w14:paraId="77E48587" w14:textId="0D5DA132" w:rsidR="006F6EF7" w:rsidRPr="006F6EF7" w:rsidRDefault="006F6EF7" w:rsidP="006F6EF7">
      <w:pPr>
        <w:spacing w:before="120" w:line="360" w:lineRule="auto"/>
        <w:jc w:val="both"/>
        <w:rPr>
          <w:rFonts w:ascii="Arial" w:hAnsi="Arial" w:cs="Arial"/>
        </w:rPr>
      </w:pPr>
      <w:r w:rsidRPr="006F6EF7">
        <w:rPr>
          <w:rFonts w:ascii="Arial" w:hAnsi="Arial" w:cs="Arial"/>
        </w:rPr>
        <w:t xml:space="preserve">However, smallholder farmers with limited financial and technical capacity do not share equally in these benefits, as they often struggle to access international markets. The primary reasons for this are the stringent quality regulations and high safety standards of international markets. Consequently, the benefits are not distributed equitably. Furthermore, infrastructural challenges—such as poor road connectivity, limited cold storage facilities, and fragmented supply chains—hinder the sector's development. Therefore, while the fruit farming sector in </w:t>
      </w:r>
      <w:proofErr w:type="spellStart"/>
      <w:r w:rsidRPr="006F6EF7">
        <w:rPr>
          <w:rFonts w:ascii="Arial" w:hAnsi="Arial" w:cs="Arial"/>
        </w:rPr>
        <w:t>africa</w:t>
      </w:r>
      <w:proofErr w:type="spellEnd"/>
      <w:r w:rsidRPr="006F6EF7">
        <w:rPr>
          <w:rFonts w:ascii="Arial" w:hAnsi="Arial" w:cs="Arial"/>
        </w:rPr>
        <w:t xml:space="preserve"> offers numerous opportunities, its ultimate success depends largely on the institutional support provided to farmers and the development of robust infrastructure.</w:t>
      </w:r>
    </w:p>
    <w:p w14:paraId="14E38FFF"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SOUTHEAST ASIA</w:t>
      </w:r>
    </w:p>
    <w:p w14:paraId="7917D82A" w14:textId="21F4C209" w:rsidR="006F6EF7" w:rsidRPr="006F6EF7" w:rsidRDefault="006F6EF7" w:rsidP="006F6EF7">
      <w:pPr>
        <w:spacing w:before="120" w:line="360" w:lineRule="auto"/>
        <w:jc w:val="both"/>
        <w:rPr>
          <w:rFonts w:ascii="Arial" w:hAnsi="Arial" w:cs="Arial"/>
        </w:rPr>
      </w:pPr>
      <w:r w:rsidRPr="006F6EF7">
        <w:rPr>
          <w:rFonts w:ascii="Arial" w:hAnsi="Arial" w:cs="Arial"/>
        </w:rPr>
        <w:t xml:space="preserve">Fruit farming is expanding rapidly in Southeast Asia. The primary reasons for this are increased domestic consumption and high demand for exports. Countries such as Thailand, Vietnam, and Indonesia have successfully integrated smallholder farmers into fruit production processes. This has led to increased incomes and diversified livelihood options </w:t>
      </w:r>
      <w:r w:rsidRPr="006F6EF7">
        <w:rPr>
          <w:rFonts w:ascii="Arial" w:hAnsi="Arial" w:cs="Arial"/>
        </w:rPr>
        <w:lastRenderedPageBreak/>
        <w:t>for them. In Vietnam, it has been observed that diversifying fruit crops to mitigate climate and market-related vulnerabilities has resulted in higher agricultural incomes (World Bank, 2020). Similarly, the development of high-value fruit industries—such as those for dragon fruit and mangoes—has strengthened the region's position in the global market (Hewett, 2012). These developments have stimulated employment in rural areas and contributed to overall economic growth.</w:t>
      </w:r>
    </w:p>
    <w:p w14:paraId="22CCBBBF" w14:textId="77777777" w:rsidR="006F6EF7" w:rsidRPr="00E77D52" w:rsidRDefault="006F6EF7" w:rsidP="006F6EF7">
      <w:pPr>
        <w:spacing w:before="120" w:line="360" w:lineRule="auto"/>
        <w:jc w:val="both"/>
        <w:rPr>
          <w:rFonts w:ascii="Arial" w:hAnsi="Arial" w:cs="Arial"/>
          <w:sz w:val="24"/>
          <w:szCs w:val="24"/>
        </w:rPr>
      </w:pPr>
      <w:r w:rsidRPr="006F6EF7">
        <w:rPr>
          <w:rFonts w:ascii="Arial" w:hAnsi="Arial" w:cs="Arial"/>
        </w:rPr>
        <w:t>Contract farming arrangements have played a pivotal role in providing farmers with access to markets, agricultural inputs, credit, and technical expertise (Swinnen and Maertens, 2007). However, the literature on this subject also highlights certain concerns. The disparity between powerful agribusinesses and vulnerable local farmers has limited the latter's bargaining power. Yet, undeterred by such challenges, these nations have successfully steered smallholder farmers toward fruit cultivation through effective institutional frameworks and market mechanisms. Consequently, Southeast Asia serves as an excellent example of how fruit farming can contribute to rural development.</w:t>
      </w:r>
    </w:p>
    <w:p w14:paraId="234B44DD"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LATIN AMERICA</w:t>
      </w:r>
    </w:p>
    <w:p w14:paraId="199D87C9" w14:textId="77777777" w:rsidR="006F6EF7" w:rsidRPr="006F6EF7" w:rsidRDefault="006F6EF7" w:rsidP="006F6EF7">
      <w:pPr>
        <w:spacing w:before="120" w:line="360" w:lineRule="auto"/>
        <w:jc w:val="both"/>
        <w:rPr>
          <w:rFonts w:ascii="Arial" w:hAnsi="Arial" w:cs="Arial"/>
        </w:rPr>
      </w:pPr>
      <w:r w:rsidRPr="006F6EF7">
        <w:rPr>
          <w:rFonts w:ascii="Arial" w:hAnsi="Arial" w:cs="Arial"/>
        </w:rPr>
        <w:t>Export-oriented fruit farming is a key feature of the agricultural sector in Latin America, serving as compelling evidence of the transformation driven by orchard cultivation. Countries such as Brazil, Chile, and Mexico have emerged as global competitors in fruit cultivation. This sector generates significant employment and earns foreign exchange through exports (FAO, 2022; Reardon et al., 2009). For instance, the growth in fruit exports from Chile has created substantial employment opportunities, playing a pivotal role in poverty reduction and the improvement of family well-being (Barrientos et al., 2003). Similarly, orchard cultivation has spurred economic development in Mexico and Brazil. However, due to factors such as access to substantial capital, technology, and markets, large commercial enterprises often retain the lion's share of profits. Consequently, studies indicate that the benefits derived from the expansion of orchards are unevenly distributed (Berdegué et al., 2015). In contrast, smallholder farmers face challenges regarding product standardization. In summary, global evidence from these regions suggests that with adequate infrastructure, institutional support, market access, and the adoption of technology by farmers, orchard cultivation can serve as a powerful catalyst for socio-economic transformation.</w:t>
      </w:r>
    </w:p>
    <w:p w14:paraId="4B6EF805"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INDIAN CONTEXT</w:t>
      </w:r>
    </w:p>
    <w:p w14:paraId="7B2DB506" w14:textId="60661666" w:rsidR="006F6EF7" w:rsidRPr="006F6EF7" w:rsidRDefault="006F6EF7" w:rsidP="006F6EF7">
      <w:pPr>
        <w:spacing w:before="120" w:line="360" w:lineRule="auto"/>
        <w:jc w:val="both"/>
        <w:rPr>
          <w:rFonts w:ascii="Arial" w:hAnsi="Arial" w:cs="Arial"/>
        </w:rPr>
      </w:pPr>
      <w:r w:rsidRPr="006F6EF7">
        <w:rPr>
          <w:rFonts w:ascii="Arial" w:hAnsi="Arial" w:cs="Arial"/>
        </w:rPr>
        <w:t xml:space="preserve">Over the past two decades, horticulture has emerged as a key sector in India, driving radical changes in agriculture and fostering rural development. Fruit cultivation has gained momentum due to factors such as the availability of government capital, farmers' adoption of </w:t>
      </w:r>
      <w:r w:rsidRPr="006F6EF7">
        <w:rPr>
          <w:rFonts w:ascii="Arial" w:hAnsi="Arial" w:cs="Arial"/>
        </w:rPr>
        <w:lastRenderedPageBreak/>
        <w:t>technology, market access, and the rising demand for high-value agricultural produce. The recent shift among farmers from traditional food grain farming to fruit orchard cultivation reflects their need to generate higher agricultural returns per unit of land (Mittal, 2007; Birthal et al., 201</w:t>
      </w:r>
      <w:r w:rsidR="00656046">
        <w:rPr>
          <w:rFonts w:ascii="Arial" w:hAnsi="Arial" w:cs="Arial"/>
        </w:rPr>
        <w:t>5</w:t>
      </w:r>
      <w:r w:rsidRPr="006F6EF7">
        <w:rPr>
          <w:rFonts w:ascii="Arial" w:hAnsi="Arial" w:cs="Arial"/>
        </w:rPr>
        <w:t>). Government policy measures—such as the 'National Horticulture Mission' (NHM) and subsequent programs like MIDH and PMKSY—have actively encouraged the expansion of fruit orchards (Chand et al., 2011).</w:t>
      </w:r>
    </w:p>
    <w:p w14:paraId="2386A5E3" w14:textId="3310B7A3" w:rsidR="006F6EF7" w:rsidRPr="006F6EF7" w:rsidRDefault="006F6EF7" w:rsidP="006F6EF7">
      <w:pPr>
        <w:spacing w:before="120" w:line="360" w:lineRule="auto"/>
        <w:jc w:val="both"/>
        <w:rPr>
          <w:rFonts w:ascii="Arial" w:hAnsi="Arial" w:cs="Arial"/>
        </w:rPr>
      </w:pPr>
      <w:r w:rsidRPr="006F6EF7">
        <w:rPr>
          <w:rFonts w:ascii="Arial" w:hAnsi="Arial" w:cs="Arial"/>
        </w:rPr>
        <w:t>Fruit cultivation contributes significantly to poverty alleviation and livelihood diversification. It generates higher income and creates more employment opportunities per unit of land (Ali, 2008; Singh, 2013). Crops such as apples in Himachal Pradesh, mangoes in South India, and bananas in Tamil Nadu have played a major role in boosting production volumes and creating jobs. Similarly, research focused on pomegranate growers indicates an improvement in the socio-economic status of farmers. This is evident from factors such as increased income levels, asset ownership, and resource availability (</w:t>
      </w:r>
      <w:proofErr w:type="spellStart"/>
      <w:r w:rsidRPr="006F6EF7">
        <w:rPr>
          <w:rFonts w:ascii="Arial" w:hAnsi="Arial" w:cs="Arial"/>
        </w:rPr>
        <w:t>Mungase</w:t>
      </w:r>
      <w:proofErr w:type="spellEnd"/>
      <w:r w:rsidRPr="006F6EF7">
        <w:rPr>
          <w:rFonts w:ascii="Arial" w:hAnsi="Arial" w:cs="Arial"/>
        </w:rPr>
        <w:t>, 2019).</w:t>
      </w:r>
    </w:p>
    <w:p w14:paraId="7F96AEEE" w14:textId="77777777" w:rsidR="006F6EF7" w:rsidRPr="006F6EF7" w:rsidRDefault="006F6EF7" w:rsidP="006F6EF7">
      <w:pPr>
        <w:spacing w:before="120" w:line="360" w:lineRule="auto"/>
        <w:jc w:val="both"/>
        <w:rPr>
          <w:rFonts w:ascii="Arial" w:hAnsi="Arial" w:cs="Arial"/>
        </w:rPr>
      </w:pPr>
      <w:r w:rsidRPr="006F6EF7">
        <w:rPr>
          <w:rFonts w:ascii="Arial" w:hAnsi="Arial" w:cs="Arial"/>
        </w:rPr>
        <w:t>However, the benefits derived from this development are unevenly distributed, and their scope remains limited. Factors such as the availability of irrigation, market infrastructure, and institutional disparities have restricted the participation of smallholder farmers. Moreover, post-harvest losses, price fluctuations, and weak value chains also limit profitability (Mittal, 2007; Deshmukh et al., 2021). In the Pulwama district—located in the high-altitude mountainous region of Jammu and Kashmir—fruit crops, such as apples, have significantly impacted land-use patterns, thereby strengthening the rural economy (Bhat, M.M., 2013).</w:t>
      </w:r>
    </w:p>
    <w:p w14:paraId="52C1ECE0" w14:textId="77777777" w:rsidR="006F6EF7" w:rsidRPr="006F6EF7" w:rsidRDefault="006F6EF7" w:rsidP="006F6EF7">
      <w:pPr>
        <w:spacing w:before="120" w:line="360" w:lineRule="auto"/>
        <w:jc w:val="both"/>
        <w:rPr>
          <w:rFonts w:ascii="Arial" w:hAnsi="Arial" w:cs="Arial"/>
        </w:rPr>
      </w:pPr>
      <w:r w:rsidRPr="006F6EF7">
        <w:rPr>
          <w:rFonts w:ascii="Arial" w:hAnsi="Arial" w:cs="Arial"/>
        </w:rPr>
        <w:t>Available Indian literature indicates that fruit cultivation has the potential to bring about a transformation in the agricultural sector. However, realizing this transformation requires a comprehensive government policy and an efficient market system, alongside the need to motivate farmers.</w:t>
      </w:r>
    </w:p>
    <w:p w14:paraId="74A9367F"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MAHARASHTRA AND AHMEDNAGAR SPECIFIC STUDIES</w:t>
      </w:r>
    </w:p>
    <w:p w14:paraId="1A9CA046"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Maharashtra is a leading state in the country in terms of horticulture. Factors such as the state's strategic position, favorable agro-climatic conditions, policies supporting orchard farming, and the adoption of technology have led to a significant increase in the area under fruit cultivation. High-value fruit crops—primarily grapes, pomegranates, bananas, and citrus fruits—are cultivated in the state. These crops contribute significantly to both domestic production and exports (APEDA, 2023). Farmers are extensively using micro-irrigation technologies like drip and sprinkler irrigation, which has enabled the efficient use of water. This has helped sustain horticultural activities even in water-scarce regions (Narayanamoorthy, 2007). Regional studies corroborate that the expansion of irrigation </w:t>
      </w:r>
      <w:r w:rsidRPr="006F6EF7">
        <w:rPr>
          <w:rFonts w:ascii="Arial" w:hAnsi="Arial" w:cs="Arial"/>
        </w:rPr>
        <w:lastRenderedPageBreak/>
        <w:t>facilities is a crucial factor driving changes in cropping patterns across Maharashtra. Shifts in irrigation methods have facilitated a transition among farmers from traditional food grain crops to high-value horticultural crops (Pagar, 2015).</w:t>
      </w:r>
    </w:p>
    <w:p w14:paraId="05BD53E8" w14:textId="11590439" w:rsidR="006F6EF7" w:rsidRPr="005F3DE6" w:rsidRDefault="006F6EF7" w:rsidP="006F6EF7">
      <w:pPr>
        <w:spacing w:before="120" w:line="360" w:lineRule="auto"/>
        <w:jc w:val="both"/>
        <w:rPr>
          <w:rFonts w:ascii="Arial" w:hAnsi="Arial" w:cs="Arial"/>
          <w:color w:val="222222"/>
          <w:shd w:val="clear" w:color="auto" w:fill="FFFFFF"/>
        </w:rPr>
      </w:pPr>
      <w:r w:rsidRPr="006F6EF7">
        <w:rPr>
          <w:rFonts w:ascii="Arial" w:hAnsi="Arial" w:cs="Arial"/>
        </w:rPr>
        <w:t>Ahmednagar district receives an average annual rainfall of 500 to 700 mm; consequently, it is classified as a rain-shadow region. It is a drought-prone area within Maharashtra. Historically, these conditions constrained agricultural productivity in the region. Despite this, the district has emerged as a case study of agricultural transformation (</w:t>
      </w:r>
      <w:r w:rsidR="0068696C" w:rsidRPr="0068696C">
        <w:rPr>
          <w:rFonts w:ascii="Arial" w:hAnsi="Arial" w:cs="Arial"/>
        </w:rPr>
        <w:t>Sasa</w:t>
      </w:r>
      <w:r w:rsidR="0068696C">
        <w:rPr>
          <w:rFonts w:ascii="Arial" w:hAnsi="Arial" w:cs="Arial"/>
        </w:rPr>
        <w:t>ne</w:t>
      </w:r>
      <w:r w:rsidR="0068696C" w:rsidRPr="0068696C">
        <w:rPr>
          <w:rFonts w:ascii="Arial" w:hAnsi="Arial" w:cs="Arial"/>
        </w:rPr>
        <w:t>.2016</w:t>
      </w:r>
      <w:r w:rsidRPr="006F6EF7">
        <w:rPr>
          <w:rFonts w:ascii="Arial" w:hAnsi="Arial" w:cs="Arial"/>
        </w:rPr>
        <w:t>). However, over the past two decades, there has been a marked shift in focus from traditional crops—such as Sorghum (Jowar) and Pearl Millet (Bajra)—toward high-value fruit crops like pomegranates and guavas. This transformation in the district and state has been facilitated by the cultivation of improved fruit crops, adoption of new irrigation techniques, and availability of markets (Bhagat et al., 2023). Empirical studies show that fruit farming is profitable and generates multiple livelihoods. For example, guava production in Ahmednagar has been shown to yield favorable returns. Banana and pomegranate cultivation in western Maharashtra shows strong market and export potential (</w:t>
      </w:r>
      <w:r w:rsidR="005F3DE6">
        <w:rPr>
          <w:rFonts w:ascii="Arial" w:hAnsi="Arial" w:cs="Arial"/>
          <w:color w:val="222222"/>
          <w:shd w:val="clear" w:color="auto" w:fill="FFFFFF"/>
        </w:rPr>
        <w:t>Gopal, M. N. S. (2024)</w:t>
      </w:r>
      <w:r w:rsidRPr="006F6EF7">
        <w:rPr>
          <w:rFonts w:ascii="Arial" w:hAnsi="Arial" w:cs="Arial"/>
        </w:rPr>
        <w:t xml:space="preserve">; </w:t>
      </w:r>
      <w:r w:rsidR="00493C98">
        <w:rPr>
          <w:rFonts w:ascii="Arial" w:hAnsi="Arial" w:cs="Arial"/>
          <w:color w:val="222222"/>
          <w:shd w:val="clear" w:color="auto" w:fill="FFFFFF"/>
        </w:rPr>
        <w:t>Raju, M. R. S.</w:t>
      </w:r>
      <w:r w:rsidRPr="006F6EF7">
        <w:rPr>
          <w:rFonts w:ascii="Arial" w:hAnsi="Arial" w:cs="Arial"/>
        </w:rPr>
        <w:t>, 2021). However, this transformation in fruit farming is not easy and is fraught with many challenges. Farmers here face challenges such as pest infestation (for example, bacterial blight), increasing production costs, and market volatility. Moreover, the sustainability of orchards in this region depends on government planning and effective water management (Devane et al., 2020).</w:t>
      </w:r>
    </w:p>
    <w:p w14:paraId="4B48A0C8" w14:textId="77777777" w:rsidR="006F6EF7" w:rsidRPr="006F6EF7" w:rsidRDefault="006F6EF7" w:rsidP="006F6EF7">
      <w:pPr>
        <w:spacing w:before="120" w:line="360" w:lineRule="auto"/>
        <w:jc w:val="both"/>
        <w:rPr>
          <w:rFonts w:ascii="Arial" w:hAnsi="Arial" w:cs="Arial"/>
        </w:rPr>
      </w:pPr>
      <w:r w:rsidRPr="006F6EF7">
        <w:rPr>
          <w:rFonts w:ascii="Arial" w:hAnsi="Arial" w:cs="Arial"/>
        </w:rPr>
        <w:t>Horticulture has brought about social and economic changes in the lives of farmers, but the sustainability of this agriculture depends on effective water management, market access, and government policies. As a result, empirical findings from the agricultural regions of Maharashtra and Ahmednagar illustrate that horticulture is an important way to promote rural development and increase farmer income. In essence, the literature concerning Ahmednagar underscores the critical importance of context-specific policies that take into account local agro-climatic conditions and resource constraints.</w:t>
      </w:r>
    </w:p>
    <w:p w14:paraId="3C4CE6A8" w14:textId="238FED2E" w:rsid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TABLE 1: SUMMARY OF REVIEWED STUDIES</w:t>
      </w:r>
    </w:p>
    <w:p w14:paraId="638AD347" w14:textId="5FD83544" w:rsidR="00FC57C0" w:rsidRDefault="00FC57C0" w:rsidP="006F6EF7">
      <w:pPr>
        <w:spacing w:before="120" w:line="360" w:lineRule="auto"/>
        <w:jc w:val="both"/>
        <w:rPr>
          <w:rFonts w:ascii="Arial" w:hAnsi="Arial" w:cs="Arial"/>
          <w:b/>
          <w:bCs/>
          <w:sz w:val="22"/>
          <w:szCs w:val="22"/>
        </w:rPr>
      </w:pPr>
    </w:p>
    <w:p w14:paraId="04804FD1" w14:textId="4982BDCC" w:rsidR="00FC57C0" w:rsidRDefault="00FC57C0" w:rsidP="006F6EF7">
      <w:pPr>
        <w:spacing w:before="120" w:line="360" w:lineRule="auto"/>
        <w:jc w:val="both"/>
        <w:rPr>
          <w:rFonts w:ascii="Arial" w:hAnsi="Arial" w:cs="Arial"/>
          <w:b/>
          <w:bCs/>
          <w:sz w:val="22"/>
          <w:szCs w:val="22"/>
        </w:rPr>
      </w:pPr>
    </w:p>
    <w:p w14:paraId="37B80FC7" w14:textId="77777777" w:rsidR="00FC57C0" w:rsidRPr="006F6EF7" w:rsidRDefault="00FC57C0" w:rsidP="006F6EF7">
      <w:pPr>
        <w:spacing w:before="120" w:line="360" w:lineRule="auto"/>
        <w:jc w:val="both"/>
        <w:rPr>
          <w:rFonts w:ascii="Arial" w:hAnsi="Arial" w:cs="Arial"/>
          <w:b/>
          <w:bCs/>
          <w:sz w:val="22"/>
          <w:szCs w:val="22"/>
        </w:rPr>
      </w:pPr>
    </w:p>
    <w:tbl>
      <w:tblPr>
        <w:tblStyle w:val="TableGrid"/>
        <w:tblW w:w="10260" w:type="dxa"/>
        <w:jc w:val="center"/>
        <w:tblLook w:val="04A0" w:firstRow="1" w:lastRow="0" w:firstColumn="1" w:lastColumn="0" w:noHBand="0" w:noVBand="1"/>
      </w:tblPr>
      <w:tblGrid>
        <w:gridCol w:w="2121"/>
        <w:gridCol w:w="1448"/>
        <w:gridCol w:w="1805"/>
        <w:gridCol w:w="2681"/>
        <w:gridCol w:w="2205"/>
      </w:tblGrid>
      <w:tr w:rsidR="006F6EF7" w:rsidRPr="00E77D52" w14:paraId="50D69E72" w14:textId="77777777" w:rsidTr="00FC57C0">
        <w:trPr>
          <w:trHeight w:val="611"/>
          <w:jc w:val="center"/>
        </w:trPr>
        <w:tc>
          <w:tcPr>
            <w:tcW w:w="2121" w:type="dxa"/>
            <w:hideMark/>
          </w:tcPr>
          <w:p w14:paraId="6D39983D"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AUTHOR(S) &amp; YEAR</w:t>
            </w:r>
          </w:p>
        </w:tc>
        <w:tc>
          <w:tcPr>
            <w:tcW w:w="1448" w:type="dxa"/>
            <w:hideMark/>
          </w:tcPr>
          <w:p w14:paraId="55925ADD"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STUDY AREA</w:t>
            </w:r>
          </w:p>
        </w:tc>
        <w:tc>
          <w:tcPr>
            <w:tcW w:w="1805" w:type="dxa"/>
            <w:hideMark/>
          </w:tcPr>
          <w:p w14:paraId="6AB4B01E"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METHODOLOGY</w:t>
            </w:r>
          </w:p>
        </w:tc>
        <w:tc>
          <w:tcPr>
            <w:tcW w:w="2681" w:type="dxa"/>
            <w:hideMark/>
          </w:tcPr>
          <w:p w14:paraId="30D554F4"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KEY FINDINGS</w:t>
            </w:r>
          </w:p>
        </w:tc>
        <w:tc>
          <w:tcPr>
            <w:tcW w:w="2205" w:type="dxa"/>
            <w:hideMark/>
          </w:tcPr>
          <w:p w14:paraId="0328D742"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RESEARCH GAPS IDENTIFIED</w:t>
            </w:r>
          </w:p>
        </w:tc>
      </w:tr>
      <w:tr w:rsidR="006F6EF7" w:rsidRPr="00E77D52" w14:paraId="3331A896" w14:textId="77777777" w:rsidTr="00FC57C0">
        <w:trPr>
          <w:trHeight w:val="818"/>
          <w:jc w:val="center"/>
        </w:trPr>
        <w:tc>
          <w:tcPr>
            <w:tcW w:w="2121" w:type="dxa"/>
            <w:hideMark/>
          </w:tcPr>
          <w:p w14:paraId="13E77EB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lastRenderedPageBreak/>
              <w:t>Joshi et al. (2006)</w:t>
            </w:r>
          </w:p>
        </w:tc>
        <w:tc>
          <w:tcPr>
            <w:tcW w:w="1448" w:type="dxa"/>
            <w:hideMark/>
          </w:tcPr>
          <w:p w14:paraId="32F5A2C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805" w:type="dxa"/>
            <w:hideMark/>
          </w:tcPr>
          <w:p w14:paraId="147273C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Survey &amp; statistical analysis</w:t>
            </w:r>
          </w:p>
        </w:tc>
        <w:tc>
          <w:tcPr>
            <w:tcW w:w="2681" w:type="dxa"/>
            <w:hideMark/>
          </w:tcPr>
          <w:p w14:paraId="05D057B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Diversification into fruits increases income and employment. </w:t>
            </w:r>
          </w:p>
        </w:tc>
        <w:tc>
          <w:tcPr>
            <w:tcW w:w="2205" w:type="dxa"/>
            <w:hideMark/>
          </w:tcPr>
          <w:p w14:paraId="24C1A05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Lack of long-term impact studies</w:t>
            </w:r>
          </w:p>
        </w:tc>
      </w:tr>
      <w:tr w:rsidR="006F6EF7" w:rsidRPr="00E77D52" w14:paraId="474952CD" w14:textId="77777777" w:rsidTr="00FC57C0">
        <w:trPr>
          <w:trHeight w:val="1020"/>
          <w:jc w:val="center"/>
        </w:trPr>
        <w:tc>
          <w:tcPr>
            <w:tcW w:w="2121" w:type="dxa"/>
            <w:hideMark/>
          </w:tcPr>
          <w:p w14:paraId="131D610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Reardon et al. (2009)</w:t>
            </w:r>
          </w:p>
        </w:tc>
        <w:tc>
          <w:tcPr>
            <w:tcW w:w="1448" w:type="dxa"/>
            <w:hideMark/>
          </w:tcPr>
          <w:p w14:paraId="6921126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Global</w:t>
            </w:r>
          </w:p>
        </w:tc>
        <w:tc>
          <w:tcPr>
            <w:tcW w:w="1805" w:type="dxa"/>
            <w:hideMark/>
          </w:tcPr>
          <w:p w14:paraId="34CBDBB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Value chain analysis</w:t>
            </w:r>
          </w:p>
        </w:tc>
        <w:tc>
          <w:tcPr>
            <w:tcW w:w="2681" w:type="dxa"/>
            <w:hideMark/>
          </w:tcPr>
          <w:p w14:paraId="0BB92E0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Market integration improves farmer income, but the benefits are uneven. </w:t>
            </w:r>
          </w:p>
        </w:tc>
        <w:tc>
          <w:tcPr>
            <w:tcW w:w="2205" w:type="dxa"/>
            <w:hideMark/>
          </w:tcPr>
          <w:p w14:paraId="5A27E35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Weak smallholder inclusion analysis</w:t>
            </w:r>
          </w:p>
        </w:tc>
      </w:tr>
      <w:tr w:rsidR="006F6EF7" w:rsidRPr="00E77D52" w14:paraId="066EEDA1" w14:textId="77777777" w:rsidTr="00FC57C0">
        <w:trPr>
          <w:trHeight w:val="773"/>
          <w:jc w:val="center"/>
        </w:trPr>
        <w:tc>
          <w:tcPr>
            <w:tcW w:w="2121" w:type="dxa"/>
            <w:hideMark/>
          </w:tcPr>
          <w:p w14:paraId="62FA664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Weinberger &amp; Lumpkin (2007)</w:t>
            </w:r>
          </w:p>
        </w:tc>
        <w:tc>
          <w:tcPr>
            <w:tcW w:w="1448" w:type="dxa"/>
            <w:hideMark/>
          </w:tcPr>
          <w:p w14:paraId="3B32898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Asia &amp; Africa</w:t>
            </w:r>
          </w:p>
        </w:tc>
        <w:tc>
          <w:tcPr>
            <w:tcW w:w="1805" w:type="dxa"/>
            <w:hideMark/>
          </w:tcPr>
          <w:p w14:paraId="1CD31B2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Comparative study</w:t>
            </w:r>
          </w:p>
        </w:tc>
        <w:tc>
          <w:tcPr>
            <w:tcW w:w="2681" w:type="dxa"/>
            <w:hideMark/>
          </w:tcPr>
          <w:p w14:paraId="69C5342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Horticulture reduces poverty and improves livelihoods</w:t>
            </w:r>
          </w:p>
        </w:tc>
        <w:tc>
          <w:tcPr>
            <w:tcW w:w="2205" w:type="dxa"/>
            <w:hideMark/>
          </w:tcPr>
          <w:p w14:paraId="4D6DC01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Limited gender-disaggregated data. </w:t>
            </w:r>
          </w:p>
        </w:tc>
      </w:tr>
      <w:tr w:rsidR="006F6EF7" w:rsidRPr="00E77D52" w14:paraId="1FD402F5" w14:textId="77777777" w:rsidTr="00FC57C0">
        <w:trPr>
          <w:trHeight w:val="1056"/>
          <w:jc w:val="center"/>
        </w:trPr>
        <w:tc>
          <w:tcPr>
            <w:tcW w:w="2121" w:type="dxa"/>
            <w:hideMark/>
          </w:tcPr>
          <w:p w14:paraId="689EE09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Narayana Moorthy (2007)</w:t>
            </w:r>
          </w:p>
        </w:tc>
        <w:tc>
          <w:tcPr>
            <w:tcW w:w="1448" w:type="dxa"/>
            <w:hideMark/>
          </w:tcPr>
          <w:p w14:paraId="321B46B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805" w:type="dxa"/>
            <w:hideMark/>
          </w:tcPr>
          <w:p w14:paraId="5B75B5D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Cost-benefit analysis</w:t>
            </w:r>
          </w:p>
        </w:tc>
        <w:tc>
          <w:tcPr>
            <w:tcW w:w="2681" w:type="dxa"/>
            <w:hideMark/>
          </w:tcPr>
          <w:p w14:paraId="4DCE22F8" w14:textId="77777777" w:rsidR="006F6EF7" w:rsidRPr="006F6EF7" w:rsidRDefault="006F6EF7" w:rsidP="006F0179">
            <w:pPr>
              <w:spacing w:before="120" w:line="360" w:lineRule="auto"/>
              <w:jc w:val="both"/>
              <w:rPr>
                <w:rFonts w:ascii="Arial" w:eastAsia="Times New Roman" w:hAnsi="Arial" w:cs="Arial"/>
                <w:sz w:val="20"/>
                <w:szCs w:val="20"/>
              </w:rPr>
            </w:pPr>
          </w:p>
          <w:p w14:paraId="7820557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Drip irrigation increases productivity and water efficiency. </w:t>
            </w:r>
          </w:p>
        </w:tc>
        <w:tc>
          <w:tcPr>
            <w:tcW w:w="2205" w:type="dxa"/>
            <w:hideMark/>
          </w:tcPr>
          <w:p w14:paraId="0B7B9A1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Limited socioeconomic linkage analysis. </w:t>
            </w:r>
          </w:p>
        </w:tc>
      </w:tr>
      <w:tr w:rsidR="006F6EF7" w:rsidRPr="00E77D52" w14:paraId="1CD4B09B" w14:textId="77777777" w:rsidTr="00FC57C0">
        <w:trPr>
          <w:trHeight w:val="1140"/>
          <w:jc w:val="center"/>
        </w:trPr>
        <w:tc>
          <w:tcPr>
            <w:tcW w:w="2121" w:type="dxa"/>
            <w:hideMark/>
          </w:tcPr>
          <w:p w14:paraId="2382423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Chand et al. (2011)</w:t>
            </w:r>
          </w:p>
        </w:tc>
        <w:tc>
          <w:tcPr>
            <w:tcW w:w="1448" w:type="dxa"/>
            <w:hideMark/>
          </w:tcPr>
          <w:p w14:paraId="5733810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805" w:type="dxa"/>
            <w:hideMark/>
          </w:tcPr>
          <w:p w14:paraId="6DE9370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Policy analysis</w:t>
            </w:r>
          </w:p>
        </w:tc>
        <w:tc>
          <w:tcPr>
            <w:tcW w:w="2681" w:type="dxa"/>
            <w:hideMark/>
          </w:tcPr>
          <w:p w14:paraId="26F16A8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NHM significantly expanded the horticultural area and productivity. </w:t>
            </w:r>
          </w:p>
        </w:tc>
        <w:tc>
          <w:tcPr>
            <w:tcW w:w="2205" w:type="dxa"/>
            <w:hideMark/>
          </w:tcPr>
          <w:p w14:paraId="168F91AF"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Lack of micro-level evaluation</w:t>
            </w:r>
          </w:p>
        </w:tc>
      </w:tr>
      <w:tr w:rsidR="006F6EF7" w:rsidRPr="00E77D52" w14:paraId="55E79215" w14:textId="77777777" w:rsidTr="00FC57C0">
        <w:trPr>
          <w:trHeight w:val="710"/>
          <w:jc w:val="center"/>
        </w:trPr>
        <w:tc>
          <w:tcPr>
            <w:tcW w:w="2121" w:type="dxa"/>
            <w:hideMark/>
          </w:tcPr>
          <w:p w14:paraId="2687EF7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Ali &amp; Kapoor (2008)</w:t>
            </w:r>
          </w:p>
        </w:tc>
        <w:tc>
          <w:tcPr>
            <w:tcW w:w="1448" w:type="dxa"/>
            <w:hideMark/>
          </w:tcPr>
          <w:p w14:paraId="47FA9B2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805" w:type="dxa"/>
            <w:hideMark/>
          </w:tcPr>
          <w:p w14:paraId="741FB2E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Field survey</w:t>
            </w:r>
          </w:p>
        </w:tc>
        <w:tc>
          <w:tcPr>
            <w:tcW w:w="2681" w:type="dxa"/>
            <w:hideMark/>
          </w:tcPr>
          <w:p w14:paraId="7F1E886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High-value crops increase income but pose high risks. </w:t>
            </w:r>
          </w:p>
        </w:tc>
        <w:tc>
          <w:tcPr>
            <w:tcW w:w="2205" w:type="dxa"/>
            <w:hideMark/>
          </w:tcPr>
          <w:p w14:paraId="5162C9E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Market volatility is underexplored. </w:t>
            </w:r>
          </w:p>
        </w:tc>
      </w:tr>
      <w:tr w:rsidR="006F6EF7" w:rsidRPr="00E77D52" w14:paraId="0BCFF36F" w14:textId="77777777" w:rsidTr="00FC57C0">
        <w:trPr>
          <w:trHeight w:val="890"/>
          <w:jc w:val="center"/>
        </w:trPr>
        <w:tc>
          <w:tcPr>
            <w:tcW w:w="2121" w:type="dxa"/>
            <w:hideMark/>
          </w:tcPr>
          <w:p w14:paraId="2FDC053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Maertens et al. (2012)</w:t>
            </w:r>
          </w:p>
        </w:tc>
        <w:tc>
          <w:tcPr>
            <w:tcW w:w="1448" w:type="dxa"/>
            <w:hideMark/>
          </w:tcPr>
          <w:p w14:paraId="26C039A4"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Africa</w:t>
            </w:r>
          </w:p>
        </w:tc>
        <w:tc>
          <w:tcPr>
            <w:tcW w:w="1805" w:type="dxa"/>
            <w:hideMark/>
          </w:tcPr>
          <w:p w14:paraId="3770005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Econometric analysis</w:t>
            </w:r>
          </w:p>
        </w:tc>
        <w:tc>
          <w:tcPr>
            <w:tcW w:w="2681" w:type="dxa"/>
            <w:hideMark/>
          </w:tcPr>
          <w:p w14:paraId="5EC94F6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Exporting horticulture increases rural income and employment. </w:t>
            </w:r>
          </w:p>
        </w:tc>
        <w:tc>
          <w:tcPr>
            <w:tcW w:w="2205" w:type="dxa"/>
            <w:hideMark/>
          </w:tcPr>
          <w:p w14:paraId="6BF75DA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Exclusion of smallholders</w:t>
            </w:r>
          </w:p>
        </w:tc>
      </w:tr>
      <w:tr w:rsidR="006F6EF7" w:rsidRPr="00E77D52" w14:paraId="03E6E830" w14:textId="77777777" w:rsidTr="00FC57C0">
        <w:trPr>
          <w:trHeight w:val="636"/>
          <w:jc w:val="center"/>
        </w:trPr>
        <w:tc>
          <w:tcPr>
            <w:tcW w:w="2121" w:type="dxa"/>
            <w:hideMark/>
          </w:tcPr>
          <w:p w14:paraId="48F8980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Swinnen&amp;Maertens (2007)</w:t>
            </w:r>
          </w:p>
        </w:tc>
        <w:tc>
          <w:tcPr>
            <w:tcW w:w="1448" w:type="dxa"/>
            <w:hideMark/>
          </w:tcPr>
          <w:p w14:paraId="03ED1EB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Global</w:t>
            </w:r>
          </w:p>
        </w:tc>
        <w:tc>
          <w:tcPr>
            <w:tcW w:w="1805" w:type="dxa"/>
            <w:hideMark/>
          </w:tcPr>
          <w:p w14:paraId="3ABEE6C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Comparative analysis</w:t>
            </w:r>
          </w:p>
        </w:tc>
        <w:tc>
          <w:tcPr>
            <w:tcW w:w="2681" w:type="dxa"/>
            <w:hideMark/>
          </w:tcPr>
          <w:p w14:paraId="48A7696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Contract farming improves market access. </w:t>
            </w:r>
          </w:p>
        </w:tc>
        <w:tc>
          <w:tcPr>
            <w:tcW w:w="2205" w:type="dxa"/>
            <w:hideMark/>
          </w:tcPr>
          <w:p w14:paraId="5982A45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Power imbalance issues are understudied. </w:t>
            </w:r>
          </w:p>
        </w:tc>
      </w:tr>
      <w:tr w:rsidR="006F6EF7" w:rsidRPr="00E77D52" w14:paraId="08E13792" w14:textId="77777777" w:rsidTr="00FC57C0">
        <w:trPr>
          <w:trHeight w:val="924"/>
          <w:jc w:val="center"/>
        </w:trPr>
        <w:tc>
          <w:tcPr>
            <w:tcW w:w="2121" w:type="dxa"/>
            <w:hideMark/>
          </w:tcPr>
          <w:p w14:paraId="77B5A2C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Bhagat et al. (2023)</w:t>
            </w:r>
          </w:p>
        </w:tc>
        <w:tc>
          <w:tcPr>
            <w:tcW w:w="1448" w:type="dxa"/>
            <w:hideMark/>
          </w:tcPr>
          <w:p w14:paraId="0E32C5A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Maharashtra</w:t>
            </w:r>
          </w:p>
        </w:tc>
        <w:tc>
          <w:tcPr>
            <w:tcW w:w="1805" w:type="dxa"/>
            <w:hideMark/>
          </w:tcPr>
          <w:p w14:paraId="4CD62A6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Market integration study</w:t>
            </w:r>
          </w:p>
        </w:tc>
        <w:tc>
          <w:tcPr>
            <w:tcW w:w="2681" w:type="dxa"/>
            <w:hideMark/>
          </w:tcPr>
          <w:p w14:paraId="4F269AB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Pomegranate cultivation promotes income stability.</w:t>
            </w:r>
          </w:p>
        </w:tc>
        <w:tc>
          <w:tcPr>
            <w:tcW w:w="2205" w:type="dxa"/>
            <w:hideMark/>
          </w:tcPr>
          <w:p w14:paraId="170A801B"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Limited climate risk analysis</w:t>
            </w:r>
          </w:p>
        </w:tc>
      </w:tr>
      <w:tr w:rsidR="006F6EF7" w:rsidRPr="00E77D52" w14:paraId="14D13678" w14:textId="77777777" w:rsidTr="00FC57C0">
        <w:trPr>
          <w:trHeight w:val="854"/>
          <w:jc w:val="center"/>
        </w:trPr>
        <w:tc>
          <w:tcPr>
            <w:tcW w:w="2121" w:type="dxa"/>
            <w:hideMark/>
          </w:tcPr>
          <w:p w14:paraId="431D9283" w14:textId="5EC0AAFF" w:rsidR="006F6EF7" w:rsidRPr="006F6EF7" w:rsidRDefault="005F3DE6" w:rsidP="006F0179">
            <w:pPr>
              <w:spacing w:before="120" w:line="360" w:lineRule="auto"/>
              <w:jc w:val="both"/>
              <w:rPr>
                <w:rFonts w:ascii="Arial" w:eastAsia="Times New Roman" w:hAnsi="Arial" w:cs="Arial"/>
                <w:sz w:val="20"/>
                <w:szCs w:val="20"/>
              </w:rPr>
            </w:pPr>
            <w:r>
              <w:rPr>
                <w:rFonts w:ascii="Arial" w:hAnsi="Arial" w:cs="Arial"/>
                <w:color w:val="222222"/>
                <w:sz w:val="20"/>
                <w:szCs w:val="20"/>
                <w:shd w:val="clear" w:color="auto" w:fill="FFFFFF"/>
              </w:rPr>
              <w:t>Gopal, M. N. S. (2024)</w:t>
            </w:r>
          </w:p>
        </w:tc>
        <w:tc>
          <w:tcPr>
            <w:tcW w:w="1448" w:type="dxa"/>
            <w:hideMark/>
          </w:tcPr>
          <w:p w14:paraId="608A877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Ahmednagar</w:t>
            </w:r>
          </w:p>
        </w:tc>
        <w:tc>
          <w:tcPr>
            <w:tcW w:w="1805" w:type="dxa"/>
            <w:hideMark/>
          </w:tcPr>
          <w:p w14:paraId="3D7B3B24"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Cost-return analysis</w:t>
            </w:r>
          </w:p>
        </w:tc>
        <w:tc>
          <w:tcPr>
            <w:tcW w:w="2681" w:type="dxa"/>
            <w:hideMark/>
          </w:tcPr>
          <w:p w14:paraId="3B98B14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Guava cultivation highly profitable with strong market demand</w:t>
            </w:r>
          </w:p>
        </w:tc>
        <w:tc>
          <w:tcPr>
            <w:tcW w:w="2205" w:type="dxa"/>
            <w:hideMark/>
          </w:tcPr>
          <w:p w14:paraId="6BD63C3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Limited longitudinal data</w:t>
            </w:r>
          </w:p>
        </w:tc>
      </w:tr>
      <w:tr w:rsidR="006F6EF7" w:rsidRPr="00E77D52" w14:paraId="00A257F0" w14:textId="77777777" w:rsidTr="00FC57C0">
        <w:trPr>
          <w:trHeight w:val="710"/>
          <w:jc w:val="center"/>
        </w:trPr>
        <w:tc>
          <w:tcPr>
            <w:tcW w:w="2121" w:type="dxa"/>
            <w:hideMark/>
          </w:tcPr>
          <w:p w14:paraId="39235277" w14:textId="4FC52132" w:rsidR="006F6EF7" w:rsidRPr="006F6EF7" w:rsidRDefault="00493C98" w:rsidP="006F0179">
            <w:pPr>
              <w:spacing w:before="120" w:line="360" w:lineRule="auto"/>
              <w:jc w:val="both"/>
              <w:rPr>
                <w:rFonts w:ascii="Arial" w:eastAsia="Times New Roman" w:hAnsi="Arial" w:cs="Arial"/>
                <w:sz w:val="20"/>
                <w:szCs w:val="20"/>
              </w:rPr>
            </w:pPr>
            <w:r>
              <w:rPr>
                <w:rFonts w:ascii="Arial" w:hAnsi="Arial" w:cs="Arial"/>
                <w:color w:val="222222"/>
                <w:sz w:val="20"/>
                <w:szCs w:val="20"/>
                <w:shd w:val="clear" w:color="auto" w:fill="FFFFFF"/>
              </w:rPr>
              <w:lastRenderedPageBreak/>
              <w:t xml:space="preserve"> Raju, M. R. S. (2021)</w:t>
            </w:r>
            <w:r w:rsidR="006F6EF7" w:rsidRPr="006F6EF7">
              <w:rPr>
                <w:rFonts w:ascii="Arial" w:eastAsia="Times New Roman" w:hAnsi="Arial" w:cs="Arial"/>
                <w:sz w:val="20"/>
                <w:szCs w:val="20"/>
              </w:rPr>
              <w:t xml:space="preserve"> </w:t>
            </w:r>
          </w:p>
        </w:tc>
        <w:tc>
          <w:tcPr>
            <w:tcW w:w="1448" w:type="dxa"/>
            <w:hideMark/>
          </w:tcPr>
          <w:p w14:paraId="1B1F73E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Western Maharashtra</w:t>
            </w:r>
          </w:p>
        </w:tc>
        <w:tc>
          <w:tcPr>
            <w:tcW w:w="1805" w:type="dxa"/>
            <w:hideMark/>
          </w:tcPr>
          <w:p w14:paraId="20AE222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Value chain analysis</w:t>
            </w:r>
          </w:p>
        </w:tc>
        <w:tc>
          <w:tcPr>
            <w:tcW w:w="2681" w:type="dxa"/>
            <w:hideMark/>
          </w:tcPr>
          <w:p w14:paraId="53605B8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Banana cultivation enhances export income</w:t>
            </w:r>
          </w:p>
        </w:tc>
        <w:tc>
          <w:tcPr>
            <w:tcW w:w="2205" w:type="dxa"/>
            <w:hideMark/>
          </w:tcPr>
          <w:p w14:paraId="32A50AF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Marketing inefficiencies persist. </w:t>
            </w:r>
          </w:p>
        </w:tc>
      </w:tr>
      <w:tr w:rsidR="006F6EF7" w:rsidRPr="00E77D52" w14:paraId="768294C8" w14:textId="77777777" w:rsidTr="00FC57C0">
        <w:trPr>
          <w:trHeight w:val="890"/>
          <w:jc w:val="center"/>
        </w:trPr>
        <w:tc>
          <w:tcPr>
            <w:tcW w:w="2121" w:type="dxa"/>
            <w:hideMark/>
          </w:tcPr>
          <w:p w14:paraId="6F143A1F"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Pagar (2015)</w:t>
            </w:r>
          </w:p>
        </w:tc>
        <w:tc>
          <w:tcPr>
            <w:tcW w:w="1448" w:type="dxa"/>
            <w:hideMark/>
          </w:tcPr>
          <w:p w14:paraId="7606B05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Maharashtra</w:t>
            </w:r>
          </w:p>
        </w:tc>
        <w:tc>
          <w:tcPr>
            <w:tcW w:w="1805" w:type="dxa"/>
            <w:hideMark/>
          </w:tcPr>
          <w:p w14:paraId="79A819B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Spatial analysis</w:t>
            </w:r>
          </w:p>
        </w:tc>
        <w:tc>
          <w:tcPr>
            <w:tcW w:w="2681" w:type="dxa"/>
            <w:hideMark/>
          </w:tcPr>
          <w:p w14:paraId="40EFD4D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Shift toward horticulture due to irrigation expansion</w:t>
            </w:r>
          </w:p>
        </w:tc>
        <w:tc>
          <w:tcPr>
            <w:tcW w:w="2205" w:type="dxa"/>
            <w:hideMark/>
          </w:tcPr>
          <w:p w14:paraId="4BC598C5"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Lack of socioeconomic impact analysis </w:t>
            </w:r>
          </w:p>
        </w:tc>
      </w:tr>
      <w:tr w:rsidR="006F6EF7" w:rsidRPr="00E77D52" w14:paraId="156AE35E" w14:textId="77777777" w:rsidTr="00FC57C0">
        <w:trPr>
          <w:trHeight w:val="890"/>
          <w:jc w:val="center"/>
        </w:trPr>
        <w:tc>
          <w:tcPr>
            <w:tcW w:w="2121" w:type="dxa"/>
            <w:hideMark/>
          </w:tcPr>
          <w:p w14:paraId="0A92A6F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Devne et al. (2020)</w:t>
            </w:r>
          </w:p>
        </w:tc>
        <w:tc>
          <w:tcPr>
            <w:tcW w:w="1448" w:type="dxa"/>
            <w:hideMark/>
          </w:tcPr>
          <w:p w14:paraId="371CBB6F"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Ahmednagar</w:t>
            </w:r>
          </w:p>
        </w:tc>
        <w:tc>
          <w:tcPr>
            <w:tcW w:w="1805" w:type="dxa"/>
            <w:hideMark/>
          </w:tcPr>
          <w:p w14:paraId="644F596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Case study</w:t>
            </w:r>
          </w:p>
        </w:tc>
        <w:tc>
          <w:tcPr>
            <w:tcW w:w="2681" w:type="dxa"/>
            <w:hideMark/>
          </w:tcPr>
          <w:p w14:paraId="5325BA94"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Irrigation increases productivity in drought-prone areas. </w:t>
            </w:r>
          </w:p>
        </w:tc>
        <w:tc>
          <w:tcPr>
            <w:tcW w:w="2205" w:type="dxa"/>
            <w:hideMark/>
          </w:tcPr>
          <w:p w14:paraId="6973AAC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Limited livelihood analysis</w:t>
            </w:r>
          </w:p>
        </w:tc>
      </w:tr>
      <w:tr w:rsidR="006F6EF7" w:rsidRPr="00E77D52" w14:paraId="23BB8AD5" w14:textId="77777777" w:rsidTr="00FC57C0">
        <w:trPr>
          <w:trHeight w:val="611"/>
          <w:jc w:val="center"/>
        </w:trPr>
        <w:tc>
          <w:tcPr>
            <w:tcW w:w="2121" w:type="dxa"/>
            <w:hideMark/>
          </w:tcPr>
          <w:p w14:paraId="0708E20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FAO (2022)</w:t>
            </w:r>
          </w:p>
        </w:tc>
        <w:tc>
          <w:tcPr>
            <w:tcW w:w="1448" w:type="dxa"/>
            <w:hideMark/>
          </w:tcPr>
          <w:p w14:paraId="7AD3B10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Global</w:t>
            </w:r>
          </w:p>
        </w:tc>
        <w:tc>
          <w:tcPr>
            <w:tcW w:w="1805" w:type="dxa"/>
            <w:hideMark/>
          </w:tcPr>
          <w:p w14:paraId="263B6A3B"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Report analysis</w:t>
            </w:r>
          </w:p>
        </w:tc>
        <w:tc>
          <w:tcPr>
            <w:tcW w:w="2681" w:type="dxa"/>
            <w:hideMark/>
          </w:tcPr>
          <w:p w14:paraId="506729A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Horticulture promotes nutrition and livelihoods. </w:t>
            </w:r>
          </w:p>
        </w:tc>
        <w:tc>
          <w:tcPr>
            <w:tcW w:w="2205" w:type="dxa"/>
            <w:hideMark/>
          </w:tcPr>
          <w:p w14:paraId="20B6E6A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Environmental Sustainability </w:t>
            </w:r>
          </w:p>
        </w:tc>
      </w:tr>
    </w:tbl>
    <w:p w14:paraId="6CC9D203" w14:textId="77777777" w:rsidR="006F6EF7" w:rsidRPr="006F6EF7" w:rsidRDefault="006F6EF7" w:rsidP="006F6EF7">
      <w:pPr>
        <w:pStyle w:val="Heading1"/>
        <w:keepNext w:val="0"/>
        <w:spacing w:before="120" w:after="0" w:line="360" w:lineRule="auto"/>
        <w:jc w:val="both"/>
        <w:rPr>
          <w:rFonts w:cs="Arial"/>
          <w:b w:val="0"/>
          <w:bCs/>
          <w:sz w:val="20"/>
        </w:rPr>
      </w:pPr>
      <w:bookmarkStart w:id="0" w:name="_ydnlc8k06gtf" w:colFirst="0" w:colLast="0"/>
      <w:bookmarkEnd w:id="0"/>
      <w:r w:rsidRPr="006F6EF7">
        <w:rPr>
          <w:rFonts w:cs="Arial"/>
          <w:bCs/>
          <w:sz w:val="20"/>
        </w:rPr>
        <w:t xml:space="preserve">(Source: Compiled by the author) </w:t>
      </w:r>
    </w:p>
    <w:p w14:paraId="158AA59E" w14:textId="77777777" w:rsidR="006F6EF7" w:rsidRPr="006F6EF7" w:rsidRDefault="006F6EF7" w:rsidP="006F6EF7">
      <w:pPr>
        <w:spacing w:before="120" w:line="360" w:lineRule="auto"/>
        <w:jc w:val="both"/>
        <w:rPr>
          <w:rFonts w:ascii="Arial" w:hAnsi="Arial" w:cs="Arial"/>
        </w:rPr>
      </w:pPr>
      <w:r w:rsidRPr="006F6EF7">
        <w:rPr>
          <w:rFonts w:ascii="Arial" w:hAnsi="Arial" w:cs="Arial"/>
        </w:rPr>
        <w:t>As shown in Table 1, most studies have shown that orchards increase farmer income and employment generation. However, relatively few studies have focused on aspects such as climate resilience and long-term sustainability.</w:t>
      </w:r>
    </w:p>
    <w:p w14:paraId="030060DD"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SOCIO-ECONOMIC IMPACTS</w:t>
      </w:r>
    </w:p>
    <w:p w14:paraId="4090B62F" w14:textId="77777777" w:rsidR="006F6EF7" w:rsidRPr="006F6EF7" w:rsidRDefault="006F6EF7" w:rsidP="006F6EF7">
      <w:pPr>
        <w:spacing w:before="120" w:line="360" w:lineRule="auto"/>
        <w:jc w:val="both"/>
        <w:rPr>
          <w:rFonts w:ascii="Arial" w:hAnsi="Arial" w:cs="Arial"/>
        </w:rPr>
      </w:pPr>
      <w:r w:rsidRPr="006F6EF7">
        <w:rPr>
          <w:rFonts w:ascii="Arial" w:hAnsi="Arial" w:cs="Arial"/>
        </w:rPr>
        <w:t>Significant socioeconomic changes have resulted from the expansion of the horticultural industry in semi-arid Maharashtra areas like Ahmednagar. The literature analysis makes it clear that the production of high-value fruit crops, such as bananas, guavas, and pomegranates, has significantly altered farmers' livelihood stability, employment creation, and income.</w:t>
      </w:r>
    </w:p>
    <w:p w14:paraId="0AA9EFE3" w14:textId="3477D837" w:rsidR="006F6EF7" w:rsidRPr="006F6EF7" w:rsidRDefault="006F6EF7" w:rsidP="006F6EF7">
      <w:pPr>
        <w:spacing w:before="120" w:line="360" w:lineRule="auto"/>
        <w:jc w:val="both"/>
        <w:rPr>
          <w:rFonts w:ascii="Arial" w:hAnsi="Arial" w:cs="Arial"/>
        </w:rPr>
      </w:pPr>
      <w:r w:rsidRPr="006F6EF7">
        <w:rPr>
          <w:rFonts w:ascii="Arial" w:hAnsi="Arial" w:cs="Arial"/>
        </w:rPr>
        <w:t xml:space="preserve">Research has repeatedly demonstrated that horticulture significantly boosts agricultural profitability when compared to conventional cereal-based farming methods. According to Joshi, Birthal, and Joshi (2006), growing fruits and vegetables increases farm income significantly, which is advantageous for small and marginal farmers. Similarly, Singh (2013) notes that growing fruit orchards is a </w:t>
      </w:r>
      <w:proofErr w:type="spellStart"/>
      <w:r w:rsidRPr="006F6EF7">
        <w:rPr>
          <w:rFonts w:ascii="Arial" w:hAnsi="Arial" w:cs="Arial"/>
        </w:rPr>
        <w:t>labour-intensive</w:t>
      </w:r>
      <w:proofErr w:type="spellEnd"/>
      <w:r w:rsidRPr="006F6EF7">
        <w:rPr>
          <w:rFonts w:ascii="Arial" w:hAnsi="Arial" w:cs="Arial"/>
        </w:rPr>
        <w:t xml:space="preserve"> </w:t>
      </w:r>
      <w:proofErr w:type="spellStart"/>
      <w:r w:rsidRPr="006F6EF7">
        <w:rPr>
          <w:rFonts w:ascii="Arial" w:hAnsi="Arial" w:cs="Arial"/>
        </w:rPr>
        <w:t>endeavour</w:t>
      </w:r>
      <w:proofErr w:type="spellEnd"/>
      <w:r w:rsidRPr="006F6EF7">
        <w:rPr>
          <w:rFonts w:ascii="Arial" w:hAnsi="Arial" w:cs="Arial"/>
        </w:rPr>
        <w:t xml:space="preserve"> that offers higher returns in addition to creating job possibilities</w:t>
      </w:r>
      <w:r w:rsidRPr="006F6EF7">
        <w:rPr>
          <w:rFonts w:ascii="Arial" w:hAnsi="Arial" w:cs="Arial"/>
          <w:b/>
          <w:bCs/>
        </w:rPr>
        <w:t xml:space="preserve">. </w:t>
      </w:r>
      <w:r w:rsidRPr="006F6EF7">
        <w:rPr>
          <w:rFonts w:ascii="Arial" w:hAnsi="Arial" w:cs="Arial"/>
        </w:rPr>
        <w:t>These results are in line with the Ahmednagar district's findings, which show that growing guava is an economically feasible venture with higher input costs and greater returns (</w:t>
      </w:r>
      <w:r w:rsidR="000C1CE8">
        <w:rPr>
          <w:rFonts w:ascii="Arial" w:hAnsi="Arial" w:cs="Arial"/>
          <w:color w:val="222222"/>
          <w:shd w:val="clear" w:color="auto" w:fill="FFFFFF"/>
        </w:rPr>
        <w:t xml:space="preserve">Gopal, M. N. S. </w:t>
      </w:r>
      <w:r w:rsidRPr="006F6EF7">
        <w:rPr>
          <w:rFonts w:ascii="Arial" w:hAnsi="Arial" w:cs="Arial"/>
        </w:rPr>
        <w:t xml:space="preserve">2024). Fruit orchard expansion has offered the chance to diversify livelihoods and reduce dependence on monocropping agricultural systems in addition to generating more income. Studies indicates that farmers who participate in fruit cultivation create several sources of income. The majority of these sources have to do with trading, processing, and animal husbandry. Fruits are resilient to </w:t>
      </w:r>
      <w:proofErr w:type="spellStart"/>
      <w:r w:rsidRPr="006F6EF7">
        <w:rPr>
          <w:rFonts w:ascii="Arial" w:hAnsi="Arial" w:cs="Arial"/>
        </w:rPr>
        <w:lastRenderedPageBreak/>
        <w:t>unfavourable</w:t>
      </w:r>
      <w:proofErr w:type="spellEnd"/>
      <w:r w:rsidRPr="006F6EF7">
        <w:rPr>
          <w:rFonts w:ascii="Arial" w:hAnsi="Arial" w:cs="Arial"/>
        </w:rPr>
        <w:t xml:space="preserve"> circumstances like income fluctuations and climate uncertainty because of their diversity. The data from Maharashtra clearly shows that greater shifts in livelihood patterns are inextricably connected to the agricultural transition from grain production to horticultural crops (Pagar, 2015).</w:t>
      </w:r>
    </w:p>
    <w:p w14:paraId="34649488"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The nature of immigration is very closely connected to the transformation of agriculture. According to Rao (2013), irrigation-based fruit farming reduces rural labor out-migration and provides jobs in the area. By improving income from agriculture and generating new employment opportunities, horticulture may mitigate "distress migration," or movement brought on by financial difficulties. However, because of shifts in labor demand, seasonal migration may continue in regions where horticulture farming is very capital-intensive. Birkenholtz (2023). The complex nature of migration dynamics is demonstrated by this dual reality. </w:t>
      </w:r>
      <w:r w:rsidRPr="006F6EF7">
        <w:rPr>
          <w:rFonts w:ascii="Arial" w:hAnsi="Arial" w:cs="Arial"/>
        </w:rPr>
        <w:br/>
        <w:t>Women's involvement in agriculture has risen dramatically due to the increased popularity of fruit cultivation. Male out-migration has led to the "feminization" of agriculture, with women participating increasingly in operational procedures, decision-making, and manual labor on farms (Hussain, 2007). In fruit orchards, women play a pivotal role in activities such as nursery management, harvesting, grading, and post-harvest operations. According to research by Agoramoorthy et al. (2012), women-led horticulture enhances both household income and environmental sustainability. However, despite their pivotal role within value chains, their contributions do not receive adequate recognition (Bhattacharya et al., 2025).</w:t>
      </w:r>
    </w:p>
    <w:p w14:paraId="11A300AC" w14:textId="77777777" w:rsidR="006F6EF7" w:rsidRPr="006F6EF7" w:rsidRDefault="006F6EF7" w:rsidP="006F6EF7">
      <w:pPr>
        <w:spacing w:before="120" w:line="360" w:lineRule="auto"/>
        <w:jc w:val="both"/>
        <w:rPr>
          <w:rFonts w:ascii="Arial" w:hAnsi="Arial" w:cs="Arial"/>
        </w:rPr>
      </w:pPr>
      <w:r w:rsidRPr="006F6EF7">
        <w:rPr>
          <w:rFonts w:ascii="Arial" w:hAnsi="Arial" w:cs="Arial"/>
        </w:rPr>
        <w:t>Nevertheless, the socio-economic benefits of horticulture have not been distributed equally among all stakeholders. This is because large-scale farmers—by virtue of their access to capital, technology, and markets—garner higher profits, whereas smallholder farmers face significant challenges in scaling up their production (Hasan and Bhattacharjee, 2021).</w:t>
      </w:r>
    </w:p>
    <w:p w14:paraId="355D831A"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TABLE 2: SOCIO-ECONOMIC INDICATORS USED IN THE STUDY ON FRUIT CULTIVATION: -</w:t>
      </w:r>
    </w:p>
    <w:tbl>
      <w:tblPr>
        <w:tblW w:w="10108" w:type="dxa"/>
        <w:tblBorders>
          <w:top w:val="nil"/>
          <w:left w:val="nil"/>
          <w:bottom w:val="nil"/>
          <w:right w:val="nil"/>
          <w:insideH w:val="nil"/>
          <w:insideV w:val="nil"/>
        </w:tblBorders>
        <w:tblLayout w:type="fixed"/>
        <w:tblLook w:val="0600" w:firstRow="0" w:lastRow="0" w:firstColumn="0" w:lastColumn="0" w:noHBand="1" w:noVBand="1"/>
      </w:tblPr>
      <w:tblGrid>
        <w:gridCol w:w="3331"/>
        <w:gridCol w:w="6777"/>
      </w:tblGrid>
      <w:tr w:rsidR="006F6EF7" w:rsidRPr="00E77D52" w14:paraId="08690625" w14:textId="77777777" w:rsidTr="006F0179">
        <w:trPr>
          <w:trHeight w:val="387"/>
        </w:trPr>
        <w:tc>
          <w:tcPr>
            <w:tcW w:w="33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F7B5442" w14:textId="77777777" w:rsidR="006F6EF7" w:rsidRPr="006F6EF7" w:rsidRDefault="006F6EF7" w:rsidP="006F0179">
            <w:pPr>
              <w:spacing w:before="120" w:line="360" w:lineRule="auto"/>
              <w:ind w:left="100"/>
              <w:jc w:val="both"/>
              <w:rPr>
                <w:rFonts w:ascii="Arial" w:hAnsi="Arial" w:cs="Arial"/>
                <w:b/>
                <w:bCs/>
              </w:rPr>
            </w:pPr>
            <w:r w:rsidRPr="006F6EF7">
              <w:rPr>
                <w:rFonts w:ascii="Arial" w:hAnsi="Arial" w:cs="Arial"/>
                <w:b/>
                <w:bCs/>
              </w:rPr>
              <w:t>SOCIO-ECONOMIC GUIDELINES</w:t>
            </w:r>
          </w:p>
        </w:tc>
        <w:tc>
          <w:tcPr>
            <w:tcW w:w="677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95C63B0" w14:textId="77777777" w:rsidR="006F6EF7" w:rsidRPr="006F6EF7" w:rsidRDefault="006F6EF7" w:rsidP="006F0179">
            <w:pPr>
              <w:spacing w:before="120" w:line="360" w:lineRule="auto"/>
              <w:ind w:left="100"/>
              <w:jc w:val="both"/>
              <w:rPr>
                <w:rFonts w:ascii="Arial" w:hAnsi="Arial" w:cs="Arial"/>
                <w:b/>
                <w:bCs/>
              </w:rPr>
            </w:pPr>
            <w:r w:rsidRPr="006F6EF7">
              <w:rPr>
                <w:rFonts w:ascii="Arial" w:hAnsi="Arial" w:cs="Arial"/>
                <w:b/>
                <w:bCs/>
              </w:rPr>
              <w:t xml:space="preserve">KEY FINDINGS </w:t>
            </w:r>
          </w:p>
        </w:tc>
      </w:tr>
      <w:tr w:rsidR="006F6EF7" w:rsidRPr="00E77D52" w14:paraId="61BD641C" w14:textId="77777777" w:rsidTr="006F0179">
        <w:trPr>
          <w:trHeight w:val="588"/>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01D7D8D" w14:textId="77777777" w:rsidR="006F6EF7" w:rsidRPr="006F6EF7" w:rsidRDefault="006F6EF7" w:rsidP="006F6EF7">
            <w:pPr>
              <w:tabs>
                <w:tab w:val="left" w:pos="2282"/>
              </w:tabs>
              <w:spacing w:before="120" w:line="360" w:lineRule="auto"/>
              <w:ind w:left="100"/>
              <w:jc w:val="both"/>
              <w:rPr>
                <w:rFonts w:ascii="Arial" w:hAnsi="Arial" w:cs="Arial"/>
              </w:rPr>
            </w:pPr>
            <w:r w:rsidRPr="006F6EF7">
              <w:rPr>
                <w:rFonts w:ascii="Arial" w:hAnsi="Arial" w:cs="Arial"/>
              </w:rPr>
              <w:t>Income growth</w:t>
            </w:r>
            <w:r w:rsidRPr="006F6EF7">
              <w:rPr>
                <w:rFonts w:ascii="Arial" w:hAnsi="Arial" w:cs="Arial"/>
              </w:rPr>
              <w:tab/>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46666855"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The majority of research indicates that high-value fruit crops considerably boost yields when compared to cereals.</w:t>
            </w:r>
          </w:p>
        </w:tc>
      </w:tr>
      <w:tr w:rsidR="006F6EF7" w:rsidRPr="00E77D52" w14:paraId="4FFE63CB" w14:textId="77777777" w:rsidTr="006F0179">
        <w:trPr>
          <w:trHeight w:val="619"/>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B68134"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Job creation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29878B79"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Horticulture is a labor-intensive activity and therefore generates rural employment throughout the year.</w:t>
            </w:r>
          </w:p>
        </w:tc>
      </w:tr>
      <w:tr w:rsidR="006F6EF7" w:rsidRPr="00E77D52" w14:paraId="07B4D37D"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D473D7B" w14:textId="77777777" w:rsidR="006F6EF7" w:rsidRPr="006F6EF7" w:rsidRDefault="006F6EF7" w:rsidP="006F0179">
            <w:pPr>
              <w:spacing w:before="120" w:line="360" w:lineRule="auto"/>
              <w:ind w:left="100"/>
              <w:jc w:val="both"/>
              <w:rPr>
                <w:rFonts w:ascii="Arial" w:hAnsi="Arial" w:cs="Arial"/>
              </w:rPr>
            </w:pPr>
            <w:proofErr w:type="spellStart"/>
            <w:r w:rsidRPr="006F6EF7">
              <w:rPr>
                <w:rFonts w:ascii="Arial" w:hAnsi="Arial" w:cs="Arial"/>
              </w:rPr>
              <w:lastRenderedPageBreak/>
              <w:t>Diversificationof</w:t>
            </w:r>
            <w:proofErr w:type="spellEnd"/>
            <w:r w:rsidRPr="006F6EF7">
              <w:rPr>
                <w:rFonts w:ascii="Arial" w:hAnsi="Arial" w:cs="Arial"/>
              </w:rPr>
              <w:t xml:space="preserve"> livelihoods</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610E969C"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Diversification reduces risk and increases resilience to weather and market shocks.</w:t>
            </w:r>
          </w:p>
        </w:tc>
      </w:tr>
      <w:tr w:rsidR="006F6EF7" w:rsidRPr="00E77D52" w14:paraId="0824F729"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221CB4"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Poverty eradication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1AB40B5F"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There is strong evidence that horticulture helps reduce poverty in developing regions.</w:t>
            </w:r>
          </w:p>
        </w:tc>
      </w:tr>
      <w:tr w:rsidR="006F6EF7" w:rsidRPr="00E77D52" w14:paraId="17A0B4A5" w14:textId="77777777" w:rsidTr="006F0179">
        <w:trPr>
          <w:trHeight w:val="588"/>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2A837D"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Women's participation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3303109A"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Women actively participate in post-harvest activities, but they do not have decision-making rights.</w:t>
            </w:r>
          </w:p>
        </w:tc>
      </w:tr>
      <w:tr w:rsidR="006F6EF7" w:rsidRPr="00E77D52" w14:paraId="26E2BFCA"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B3EE979"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Reducing migration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078F7E08"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In some regions, increased local employment reduces crisis migration.</w:t>
            </w:r>
          </w:p>
        </w:tc>
      </w:tr>
      <w:tr w:rsidR="006F6EF7" w:rsidRPr="00E77D52" w14:paraId="32424E08"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3E47BC7"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Asset creation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4F6D6180"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Increased income encourages investment in housing, education, and agricultural property.</w:t>
            </w:r>
          </w:p>
        </w:tc>
      </w:tr>
      <w:tr w:rsidR="006F6EF7" w:rsidRPr="00E77D52" w14:paraId="50EDE5D2"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B85D47"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Market Entry</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1FDF3480"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Gaining access to value chains significantly increases farmers' profits.</w:t>
            </w:r>
          </w:p>
        </w:tc>
      </w:tr>
      <w:tr w:rsidR="006F6EF7" w:rsidRPr="00E77D52" w14:paraId="0C3C8FAA" w14:textId="77777777" w:rsidTr="006F0179">
        <w:trPr>
          <w:trHeight w:val="588"/>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1968287"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Productivity improvement</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161A5BB3"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Adoption of technology (drip irrigation, high-yielding varieties) increases yield and efficiency.</w:t>
            </w:r>
          </w:p>
        </w:tc>
      </w:tr>
      <w:tr w:rsidR="006F6EF7" w:rsidRPr="00E77D52" w14:paraId="2C3B7F4E"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A6011A0"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Climate resilience</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2290E8B0"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Fruit crops like pomegranates show resilience in semi-arid regions.</w:t>
            </w:r>
          </w:p>
        </w:tc>
      </w:tr>
      <w:tr w:rsidR="006F6EF7" w:rsidRPr="00E77D52" w14:paraId="0EE8E5CD" w14:textId="77777777" w:rsidTr="006F0179">
        <w:trPr>
          <w:trHeight w:val="604"/>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8FA53D"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Food and Nutrition Security</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7EC2B6B9"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Increased fruit production promotes dietary diversity and nutrition.</w:t>
            </w:r>
          </w:p>
        </w:tc>
      </w:tr>
      <w:tr w:rsidR="006F6EF7" w:rsidRPr="00E77D52" w14:paraId="3E6CBCA3" w14:textId="77777777" w:rsidTr="006F0179">
        <w:trPr>
          <w:trHeight w:val="635"/>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7C49B9A"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The impact of institutional support</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6C922A46"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Government schemes have a significant impact on adoption and outcomes.</w:t>
            </w:r>
          </w:p>
        </w:tc>
      </w:tr>
    </w:tbl>
    <w:p w14:paraId="6C8D80C5" w14:textId="77777777" w:rsidR="006F6EF7" w:rsidRPr="006F6EF7" w:rsidRDefault="006F6EF7" w:rsidP="006F6EF7">
      <w:pPr>
        <w:pStyle w:val="Heading1"/>
        <w:keepNext w:val="0"/>
        <w:spacing w:before="120" w:after="0" w:line="360" w:lineRule="auto"/>
        <w:jc w:val="both"/>
        <w:rPr>
          <w:rFonts w:cs="Arial"/>
          <w:b w:val="0"/>
          <w:bCs/>
          <w:sz w:val="20"/>
        </w:rPr>
      </w:pPr>
      <w:bookmarkStart w:id="1" w:name="_anw9mi5stgjp" w:colFirst="0" w:colLast="0"/>
      <w:bookmarkEnd w:id="1"/>
      <w:r w:rsidRPr="006F6EF7">
        <w:rPr>
          <w:rFonts w:cs="Arial"/>
          <w:bCs/>
          <w:sz w:val="20"/>
        </w:rPr>
        <w:t>(SOURCE: COMPILED BY THE AUTHOR)</w:t>
      </w:r>
    </w:p>
    <w:p w14:paraId="0B91F151" w14:textId="77777777" w:rsidR="006F6EF7" w:rsidRPr="006F6EF7" w:rsidRDefault="006F6EF7" w:rsidP="006F6EF7">
      <w:pPr>
        <w:spacing w:before="120" w:line="360" w:lineRule="auto"/>
        <w:jc w:val="both"/>
        <w:rPr>
          <w:rFonts w:ascii="Arial" w:hAnsi="Arial" w:cs="Arial"/>
        </w:rPr>
      </w:pPr>
      <w:bookmarkStart w:id="2" w:name="_sn5smk1gumqu" w:colFirst="0" w:colLast="0"/>
      <w:bookmarkEnd w:id="2"/>
      <w:r w:rsidRPr="006F6EF7">
        <w:rPr>
          <w:rFonts w:ascii="Arial" w:hAnsi="Arial" w:cs="Arial"/>
          <w:b/>
          <w:bCs/>
        </w:rPr>
        <w:t>Table 2</w:t>
      </w:r>
      <w:r w:rsidRPr="006F6EF7">
        <w:rPr>
          <w:rFonts w:ascii="Arial" w:hAnsi="Arial" w:cs="Arial"/>
        </w:rPr>
        <w:t xml:space="preserve"> indicates that income and employment are the most frequently examined indicators in the research, whereas relatively less attention has been paid to migration, mobility, and gender participation. These underscores critical gaps in socio-economic analysis.</w:t>
      </w:r>
    </w:p>
    <w:p w14:paraId="78E36BB1"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TECHNICAL AND INSTITUTIONAL SUPPORT</w:t>
      </w:r>
    </w:p>
    <w:p w14:paraId="47A75924"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The success of fruit cultivation in </w:t>
      </w:r>
      <w:proofErr w:type="spellStart"/>
      <w:r w:rsidRPr="006F6EF7">
        <w:rPr>
          <w:rFonts w:ascii="Arial" w:hAnsi="Arial" w:cs="Arial"/>
        </w:rPr>
        <w:t>maharashtra</w:t>
      </w:r>
      <w:proofErr w:type="spellEnd"/>
      <w:r w:rsidRPr="006F6EF7">
        <w:rPr>
          <w:rFonts w:ascii="Arial" w:hAnsi="Arial" w:cs="Arial"/>
        </w:rPr>
        <w:t xml:space="preserve"> and the </w:t>
      </w:r>
      <w:proofErr w:type="spellStart"/>
      <w:r w:rsidRPr="006F6EF7">
        <w:rPr>
          <w:rFonts w:ascii="Arial" w:hAnsi="Arial" w:cs="Arial"/>
        </w:rPr>
        <w:t>ahmednagar</w:t>
      </w:r>
      <w:proofErr w:type="spellEnd"/>
      <w:r w:rsidRPr="006F6EF7">
        <w:rPr>
          <w:rFonts w:ascii="Arial" w:hAnsi="Arial" w:cs="Arial"/>
        </w:rPr>
        <w:t xml:space="preserve"> district depends significantly on the adoption of technology and institutional support. Among various technical measures, micro-irrigation—specifically drip irrigation—has proven crucial for ensuring the efficient use of water and achieving higher yields.</w:t>
      </w:r>
    </w:p>
    <w:p w14:paraId="7A138D05"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According to </w:t>
      </w:r>
      <w:proofErr w:type="spellStart"/>
      <w:r w:rsidRPr="006F6EF7">
        <w:rPr>
          <w:rFonts w:ascii="Arial" w:hAnsi="Arial" w:cs="Arial"/>
        </w:rPr>
        <w:t>narayana</w:t>
      </w:r>
      <w:proofErr w:type="spellEnd"/>
      <w:r w:rsidRPr="006F6EF7">
        <w:rPr>
          <w:rFonts w:ascii="Arial" w:hAnsi="Arial" w:cs="Arial"/>
        </w:rPr>
        <w:t xml:space="preserve"> </w:t>
      </w:r>
      <w:proofErr w:type="spellStart"/>
      <w:r w:rsidRPr="006F6EF7">
        <w:rPr>
          <w:rFonts w:ascii="Arial" w:hAnsi="Arial" w:cs="Arial"/>
        </w:rPr>
        <w:t>murthy</w:t>
      </w:r>
      <w:proofErr w:type="spellEnd"/>
      <w:r w:rsidRPr="006F6EF7">
        <w:rPr>
          <w:rFonts w:ascii="Arial" w:hAnsi="Arial" w:cs="Arial"/>
        </w:rPr>
        <w:t xml:space="preserve"> (2007) and subsequent studies, drip irrigation has led to a reduction in water consumption while simultaneously resulting in a significant increase in agricultural output. Drip irrigation is considered an ideal irrigation method for drought-prone </w:t>
      </w:r>
      <w:r w:rsidRPr="006F6EF7">
        <w:rPr>
          <w:rFonts w:ascii="Arial" w:hAnsi="Arial" w:cs="Arial"/>
        </w:rPr>
        <w:lastRenderedPageBreak/>
        <w:t xml:space="preserve">regions. Furthermore, micro-irrigation facilitates the cultivation of high-value crops (shah and </w:t>
      </w:r>
      <w:proofErr w:type="spellStart"/>
      <w:r w:rsidRPr="006F6EF7">
        <w:rPr>
          <w:rFonts w:ascii="Arial" w:hAnsi="Arial" w:cs="Arial"/>
        </w:rPr>
        <w:t>keller</w:t>
      </w:r>
      <w:proofErr w:type="spellEnd"/>
      <w:r w:rsidRPr="006F6EF7">
        <w:rPr>
          <w:rFonts w:ascii="Arial" w:hAnsi="Arial" w:cs="Arial"/>
        </w:rPr>
        <w:t xml:space="preserve">, 2002). In the drought-prone region of western </w:t>
      </w:r>
      <w:proofErr w:type="spellStart"/>
      <w:r w:rsidRPr="006F6EF7">
        <w:rPr>
          <w:rFonts w:ascii="Arial" w:hAnsi="Arial" w:cs="Arial"/>
        </w:rPr>
        <w:t>maharashtra</w:t>
      </w:r>
      <w:proofErr w:type="spellEnd"/>
      <w:r w:rsidRPr="006F6EF7">
        <w:rPr>
          <w:rFonts w:ascii="Arial" w:hAnsi="Arial" w:cs="Arial"/>
        </w:rPr>
        <w:t>, it has been observed that innovations in irrigation technology have transformed agricultural lands—which were previously dependent solely on rainfall—into thriving fruit-growing regions (</w:t>
      </w:r>
      <w:proofErr w:type="spellStart"/>
      <w:r w:rsidRPr="006F6EF7">
        <w:rPr>
          <w:rFonts w:ascii="Arial" w:hAnsi="Arial" w:cs="Arial"/>
        </w:rPr>
        <w:t>devane</w:t>
      </w:r>
      <w:proofErr w:type="spellEnd"/>
      <w:r w:rsidRPr="006F6EF7">
        <w:rPr>
          <w:rFonts w:ascii="Arial" w:hAnsi="Arial" w:cs="Arial"/>
        </w:rPr>
        <w:t xml:space="preserve"> et al., 2020).</w:t>
      </w:r>
    </w:p>
    <w:p w14:paraId="5B15FBF1" w14:textId="750E46F4" w:rsidR="006F6EF7" w:rsidRPr="006F6EF7" w:rsidRDefault="006F6EF7" w:rsidP="006F6EF7">
      <w:pPr>
        <w:spacing w:before="120" w:line="360" w:lineRule="auto"/>
        <w:jc w:val="both"/>
        <w:rPr>
          <w:rFonts w:ascii="Arial" w:hAnsi="Arial" w:cs="Arial"/>
        </w:rPr>
      </w:pPr>
      <w:r w:rsidRPr="006F6EF7">
        <w:rPr>
          <w:rFonts w:ascii="Arial" w:hAnsi="Arial" w:cs="Arial"/>
        </w:rPr>
        <w:t xml:space="preserve">Fruit production has been greatly aided by government initiatives like the </w:t>
      </w:r>
      <w:proofErr w:type="spellStart"/>
      <w:r w:rsidRPr="006F6EF7">
        <w:rPr>
          <w:rFonts w:ascii="Arial" w:hAnsi="Arial" w:cs="Arial"/>
        </w:rPr>
        <w:t>pradhan</w:t>
      </w:r>
      <w:proofErr w:type="spellEnd"/>
      <w:r w:rsidRPr="006F6EF7">
        <w:rPr>
          <w:rFonts w:ascii="Arial" w:hAnsi="Arial" w:cs="Arial"/>
        </w:rPr>
        <w:t xml:space="preserve"> </w:t>
      </w:r>
      <w:proofErr w:type="spellStart"/>
      <w:r w:rsidRPr="006F6EF7">
        <w:rPr>
          <w:rFonts w:ascii="Arial" w:hAnsi="Arial" w:cs="Arial"/>
        </w:rPr>
        <w:t>mantri</w:t>
      </w:r>
      <w:proofErr w:type="spellEnd"/>
      <w:r w:rsidRPr="006F6EF7">
        <w:rPr>
          <w:rFonts w:ascii="Arial" w:hAnsi="Arial" w:cs="Arial"/>
        </w:rPr>
        <w:t xml:space="preserve"> </w:t>
      </w:r>
      <w:proofErr w:type="spellStart"/>
      <w:r w:rsidRPr="006F6EF7">
        <w:rPr>
          <w:rFonts w:ascii="Arial" w:hAnsi="Arial" w:cs="Arial"/>
        </w:rPr>
        <w:t>krishi</w:t>
      </w:r>
      <w:proofErr w:type="spellEnd"/>
      <w:r w:rsidRPr="006F6EF7">
        <w:rPr>
          <w:rFonts w:ascii="Arial" w:hAnsi="Arial" w:cs="Arial"/>
        </w:rPr>
        <w:t xml:space="preserve"> </w:t>
      </w:r>
      <w:proofErr w:type="spellStart"/>
      <w:r w:rsidRPr="006F6EF7">
        <w:rPr>
          <w:rFonts w:ascii="Arial" w:hAnsi="Arial" w:cs="Arial"/>
        </w:rPr>
        <w:t>sinchai</w:t>
      </w:r>
      <w:proofErr w:type="spellEnd"/>
      <w:r w:rsidRPr="006F6EF7">
        <w:rPr>
          <w:rFonts w:ascii="Arial" w:hAnsi="Arial" w:cs="Arial"/>
        </w:rPr>
        <w:t xml:space="preserve"> yojana (</w:t>
      </w:r>
      <w:proofErr w:type="spellStart"/>
      <w:r w:rsidRPr="006F6EF7">
        <w:rPr>
          <w:rFonts w:ascii="Arial" w:hAnsi="Arial" w:cs="Arial"/>
        </w:rPr>
        <w:t>pmksy</w:t>
      </w:r>
      <w:proofErr w:type="spellEnd"/>
      <w:r w:rsidRPr="006F6EF7">
        <w:rPr>
          <w:rFonts w:ascii="Arial" w:hAnsi="Arial" w:cs="Arial"/>
        </w:rPr>
        <w:t>) and the national horticulture mission (</w:t>
      </w:r>
      <w:proofErr w:type="spellStart"/>
      <w:r w:rsidRPr="006F6EF7">
        <w:rPr>
          <w:rFonts w:ascii="Arial" w:hAnsi="Arial" w:cs="Arial"/>
        </w:rPr>
        <w:t>nhm</w:t>
      </w:r>
      <w:proofErr w:type="spellEnd"/>
      <w:r w:rsidRPr="006F6EF7">
        <w:rPr>
          <w:rFonts w:ascii="Arial" w:hAnsi="Arial" w:cs="Arial"/>
        </w:rPr>
        <w:t xml:space="preserve">). Through the provision of government subsidies, development of infrastructure, and capacity-building programs, these initiatives contributed to growth. Organizations like the mahatma </w:t>
      </w:r>
      <w:proofErr w:type="spellStart"/>
      <w:r w:rsidRPr="006F6EF7">
        <w:rPr>
          <w:rFonts w:ascii="Arial" w:hAnsi="Arial" w:cs="Arial"/>
        </w:rPr>
        <w:t>phule</w:t>
      </w:r>
      <w:proofErr w:type="spellEnd"/>
      <w:r w:rsidRPr="006F6EF7">
        <w:rPr>
          <w:rFonts w:ascii="Arial" w:hAnsi="Arial" w:cs="Arial"/>
        </w:rPr>
        <w:t xml:space="preserve"> </w:t>
      </w:r>
      <w:proofErr w:type="spellStart"/>
      <w:r w:rsidRPr="006F6EF7">
        <w:rPr>
          <w:rFonts w:ascii="Arial" w:hAnsi="Arial" w:cs="Arial"/>
        </w:rPr>
        <w:t>krishi</w:t>
      </w:r>
      <w:proofErr w:type="spellEnd"/>
      <w:r w:rsidRPr="006F6EF7">
        <w:rPr>
          <w:rFonts w:ascii="Arial" w:hAnsi="Arial" w:cs="Arial"/>
        </w:rPr>
        <w:t xml:space="preserve"> </w:t>
      </w:r>
      <w:proofErr w:type="spellStart"/>
      <w:r w:rsidRPr="006F6EF7">
        <w:rPr>
          <w:rFonts w:ascii="Arial" w:hAnsi="Arial" w:cs="Arial"/>
        </w:rPr>
        <w:t>vidyapeeth</w:t>
      </w:r>
      <w:proofErr w:type="spellEnd"/>
      <w:r w:rsidRPr="006F6EF7">
        <w:rPr>
          <w:rFonts w:ascii="Arial" w:hAnsi="Arial" w:cs="Arial"/>
        </w:rPr>
        <w:t xml:space="preserve"> (</w:t>
      </w:r>
      <w:proofErr w:type="spellStart"/>
      <w:r w:rsidRPr="006F6EF7">
        <w:rPr>
          <w:rFonts w:ascii="Arial" w:hAnsi="Arial" w:cs="Arial"/>
        </w:rPr>
        <w:t>mpkv</w:t>
      </w:r>
      <w:proofErr w:type="spellEnd"/>
      <w:r w:rsidRPr="006F6EF7">
        <w:rPr>
          <w:rFonts w:ascii="Arial" w:hAnsi="Arial" w:cs="Arial"/>
        </w:rPr>
        <w:t>) have been crucial in fostering innovations pertaining to better agricultural varieties and pest management strategies. Cooperative societies and farmer producer organizations (</w:t>
      </w:r>
      <w:proofErr w:type="spellStart"/>
      <w:r w:rsidRPr="006F6EF7">
        <w:rPr>
          <w:rFonts w:ascii="Arial" w:hAnsi="Arial" w:cs="Arial"/>
        </w:rPr>
        <w:t>fpos</w:t>
      </w:r>
      <w:proofErr w:type="spellEnd"/>
      <w:r w:rsidRPr="006F6EF7">
        <w:rPr>
          <w:rFonts w:ascii="Arial" w:hAnsi="Arial" w:cs="Arial"/>
        </w:rPr>
        <w:t>) have also evolved into essential instruments for reducing farmers' operating expenses, strengthening their negotiating position, and simplifying their access to market possibilities (</w:t>
      </w:r>
      <w:r w:rsidR="00493C98" w:rsidRPr="00493C98">
        <w:rPr>
          <w:rFonts w:ascii="Arial" w:hAnsi="Arial" w:cs="Arial"/>
          <w:color w:val="222222"/>
          <w:shd w:val="clear" w:color="auto" w:fill="FFFFFF"/>
        </w:rPr>
        <w:t xml:space="preserve"> </w:t>
      </w:r>
      <w:r w:rsidR="00493C98">
        <w:rPr>
          <w:rFonts w:ascii="Arial" w:hAnsi="Arial" w:cs="Arial"/>
          <w:color w:val="222222"/>
          <w:shd w:val="clear" w:color="auto" w:fill="FFFFFF"/>
        </w:rPr>
        <w:t>Raju, M. R. S.</w:t>
      </w:r>
      <w:r w:rsidR="00493C98">
        <w:rPr>
          <w:rFonts w:ascii="Arial" w:hAnsi="Arial" w:cs="Arial"/>
        </w:rPr>
        <w:t>,</w:t>
      </w:r>
      <w:r w:rsidRPr="006F6EF7">
        <w:rPr>
          <w:rFonts w:ascii="Arial" w:hAnsi="Arial" w:cs="Arial"/>
        </w:rPr>
        <w:t>2021).</w:t>
      </w:r>
      <w:r w:rsidRPr="006F6EF7">
        <w:rPr>
          <w:rFonts w:ascii="Arial" w:hAnsi="Arial" w:cs="Arial"/>
          <w:b/>
          <w:bCs/>
        </w:rPr>
        <w:t xml:space="preserve"> </w:t>
      </w:r>
      <w:r w:rsidRPr="006F6EF7">
        <w:rPr>
          <w:rFonts w:ascii="Arial" w:hAnsi="Arial" w:cs="Arial"/>
        </w:rPr>
        <w:t xml:space="preserve">However, there are still major obstacles in the way of fruit farming's advancement. First and foremost, finance availability is still a significant problem. The strict terms and collateral requirements set by banks and credit organizations make it extremely difficult for small and marginal farmers to get loans. According to </w:t>
      </w:r>
      <w:proofErr w:type="spellStart"/>
      <w:r w:rsidRPr="006F6EF7">
        <w:rPr>
          <w:rFonts w:ascii="Arial" w:hAnsi="Arial" w:cs="Arial"/>
        </w:rPr>
        <w:t>nagraj</w:t>
      </w:r>
      <w:proofErr w:type="spellEnd"/>
      <w:r w:rsidRPr="006F6EF7">
        <w:rPr>
          <w:rFonts w:ascii="Arial" w:hAnsi="Arial" w:cs="Arial"/>
        </w:rPr>
        <w:t xml:space="preserve"> et al. (2014), credit is necessary to pay for the initial capital needed for irrigation systems, land preparation, and fruit plantations.</w:t>
      </w:r>
    </w:p>
    <w:p w14:paraId="756F2197" w14:textId="77777777" w:rsidR="006F6EF7" w:rsidRPr="006F6EF7" w:rsidRDefault="006F6EF7" w:rsidP="006F6EF7">
      <w:pPr>
        <w:spacing w:before="120" w:line="360" w:lineRule="auto"/>
        <w:jc w:val="both"/>
        <w:rPr>
          <w:rFonts w:ascii="Arial" w:hAnsi="Arial" w:cs="Arial"/>
        </w:rPr>
      </w:pPr>
      <w:r w:rsidRPr="006F6EF7">
        <w:rPr>
          <w:rFonts w:ascii="Arial" w:hAnsi="Arial" w:cs="Arial"/>
        </w:rPr>
        <w:t>Orchard cultivation has grown substantially as an outcome of government policies, adoption of technology, and management of water. However, not every aspect of society has benefited from this. Therefore, by expanding the benefits of government programs, facilitating simple access to technology, and marketing to farmers in need, this disparity can be minimized to promote equitable development of agriculture.</w:t>
      </w:r>
    </w:p>
    <w:p w14:paraId="4368A447"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CHALLENGES AND LIMITATIONS</w:t>
      </w:r>
    </w:p>
    <w:p w14:paraId="20730C8A" w14:textId="3A869B3D" w:rsidR="006F6EF7" w:rsidRPr="006F6EF7" w:rsidRDefault="006F6EF7" w:rsidP="006F6EF7">
      <w:pPr>
        <w:spacing w:before="120" w:line="360" w:lineRule="auto"/>
        <w:jc w:val="both"/>
        <w:rPr>
          <w:rFonts w:ascii="Arial" w:hAnsi="Arial" w:cs="Arial"/>
        </w:rPr>
      </w:pPr>
      <w:r w:rsidRPr="006F6EF7">
        <w:rPr>
          <w:rFonts w:ascii="Arial" w:hAnsi="Arial" w:cs="Arial"/>
        </w:rPr>
        <w:t xml:space="preserve">Fruit growing has many advantages, but its sustainability and inclusivity face numerous challenges. Such challenges can be broadly divided into four distinct groups: labor, market, environment and production.  </w:t>
      </w:r>
      <w:r w:rsidRPr="006F6EF7">
        <w:rPr>
          <w:rFonts w:ascii="Arial" w:hAnsi="Arial" w:cs="Arial"/>
        </w:rPr>
        <w:br/>
        <w:t xml:space="preserve">Managing pests and diseases is one of the main issues in horticulture. Pomegranates and other high-value crops are particularly vulnerable to diseases like "Telya" (Bacterial Blight), which can drastically lower yield. Research shows that these issues are made worse by farmers' ignorance of Integrated Pest Management (IPM) and the scarcity of high-quality planting materials. According to </w:t>
      </w:r>
      <w:r w:rsidR="00606339">
        <w:rPr>
          <w:rFonts w:ascii="Arial" w:hAnsi="Arial" w:cs="Arial"/>
          <w:color w:val="222222"/>
          <w:shd w:val="clear" w:color="auto" w:fill="FFFFFF"/>
        </w:rPr>
        <w:t>Gopal, M. N. S.</w:t>
      </w:r>
      <w:r w:rsidRPr="006F6EF7">
        <w:rPr>
          <w:rFonts w:ascii="Arial" w:hAnsi="Arial" w:cs="Arial"/>
        </w:rPr>
        <w:t xml:space="preserve"> (2024) and </w:t>
      </w:r>
      <w:r w:rsidR="00493C98">
        <w:rPr>
          <w:rFonts w:ascii="Arial" w:hAnsi="Arial" w:cs="Arial"/>
          <w:color w:val="222222"/>
          <w:shd w:val="clear" w:color="auto" w:fill="FFFFFF"/>
        </w:rPr>
        <w:t>Raju, M. R. S.</w:t>
      </w:r>
      <w:r w:rsidR="00493C98" w:rsidRPr="006F6EF7">
        <w:rPr>
          <w:rFonts w:ascii="Arial" w:hAnsi="Arial" w:cs="Arial"/>
        </w:rPr>
        <w:t xml:space="preserve"> </w:t>
      </w:r>
      <w:r w:rsidRPr="006F6EF7">
        <w:rPr>
          <w:rFonts w:ascii="Arial" w:hAnsi="Arial" w:cs="Arial"/>
        </w:rPr>
        <w:t xml:space="preserve">(2021), there </w:t>
      </w:r>
      <w:r w:rsidRPr="006F6EF7">
        <w:rPr>
          <w:rFonts w:ascii="Arial" w:hAnsi="Arial" w:cs="Arial"/>
        </w:rPr>
        <w:lastRenderedPageBreak/>
        <w:t>seems to be a growing risk of yield reduction in the cultivation of crops such as guava and banana due to insect and disease infestations.</w:t>
      </w:r>
    </w:p>
    <w:p w14:paraId="78B4CE50"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rPr>
        <w:t>The second significant concern is climate change. Uncertain rainfall patterns, severe droughts, and variations in the temperature are serious risks to semi-arid areas like Ahmednagar. Fruit farming's overall progress is constrained by these factors that affect crop productivity. Water scarcity is still a major obstacle in fruit production, although micro-irrigation technologies assist reduces some of these dangers.</w:t>
      </w:r>
    </w:p>
    <w:p w14:paraId="4B5BDE81" w14:textId="3DF4251B" w:rsidR="006F6EF7" w:rsidRPr="006F6EF7" w:rsidRDefault="006F6EF7" w:rsidP="006F6EF7">
      <w:pPr>
        <w:spacing w:before="120" w:line="360" w:lineRule="auto"/>
        <w:jc w:val="both"/>
        <w:rPr>
          <w:rFonts w:ascii="Arial" w:hAnsi="Arial" w:cs="Arial"/>
        </w:rPr>
      </w:pPr>
      <w:r w:rsidRPr="006F6EF7">
        <w:rPr>
          <w:rFonts w:ascii="Arial" w:hAnsi="Arial" w:cs="Arial"/>
        </w:rPr>
        <w:t>The third significant factor is difficulties relating to the market. Because horticultural food is perishable, market prices for it can fluctuate considerably over time. Farmers' income has been reduced by a lack of adequate facilities for cold storage and a poor supply chain infrastructure. For example, research on the marketing of bananas has shown that inefficiencies in the marketing chain lead a the farmer to receive a disproportionately small fraction of the consumer price, while middlemen get a larger percentage of the profits (</w:t>
      </w:r>
      <w:r w:rsidR="00493C98">
        <w:rPr>
          <w:rFonts w:ascii="Arial" w:hAnsi="Arial" w:cs="Arial"/>
          <w:color w:val="222222"/>
          <w:shd w:val="clear" w:color="auto" w:fill="FFFFFF"/>
        </w:rPr>
        <w:t>Raju, M. R. S.</w:t>
      </w:r>
      <w:r w:rsidRPr="006F6EF7">
        <w:rPr>
          <w:rFonts w:ascii="Arial" w:hAnsi="Arial" w:cs="Arial"/>
        </w:rPr>
        <w:t>, 2021).</w:t>
      </w:r>
    </w:p>
    <w:p w14:paraId="1E73D60E" w14:textId="77777777" w:rsidR="006F6EF7" w:rsidRPr="006F6EF7" w:rsidRDefault="006F6EF7" w:rsidP="006F6EF7">
      <w:pPr>
        <w:spacing w:before="120" w:line="360" w:lineRule="auto"/>
        <w:jc w:val="both"/>
        <w:rPr>
          <w:rFonts w:ascii="Arial" w:hAnsi="Arial" w:cs="Arial"/>
        </w:rPr>
      </w:pPr>
      <w:r w:rsidRPr="006F6EF7">
        <w:rPr>
          <w:rFonts w:ascii="Arial" w:hAnsi="Arial" w:cs="Arial"/>
        </w:rPr>
        <w:t>In fruit cultivation, labor is essential. Fruit cultivation provides employment for both skilled and unskilled individuals because it is a labor-intensive sector. At the same time, women feel burdened by the feminization of agriculture, which restricts their involvement in resource development and decision-making (Raj et al., 2025).</w:t>
      </w:r>
    </w:p>
    <w:p w14:paraId="5CE78CBC" w14:textId="77777777" w:rsidR="006F6EF7" w:rsidRPr="006F6EF7" w:rsidRDefault="006F6EF7" w:rsidP="006F6EF7">
      <w:pPr>
        <w:spacing w:before="120" w:line="360" w:lineRule="auto"/>
        <w:jc w:val="both"/>
        <w:rPr>
          <w:rFonts w:ascii="Arial" w:hAnsi="Arial" w:cs="Arial"/>
        </w:rPr>
      </w:pPr>
      <w:r w:rsidRPr="006F6EF7">
        <w:rPr>
          <w:rFonts w:ascii="Arial" w:hAnsi="Arial" w:cs="Arial"/>
        </w:rPr>
        <w:t>Fruit cultivation requires a large initial investment commitment, which is another major barrier. The installation of orchards, irrigation systems, and the purchase of agricultural inputs are the main costs associated with this. However, small and marginal farmers might not be able to afford such expenses. These farmers run the risk of not being able to profit from fruit farming's developmental advantages if they don't receive sufficient funding.</w:t>
      </w:r>
    </w:p>
    <w:p w14:paraId="3A0EE43C" w14:textId="77777777" w:rsidR="006F6EF7" w:rsidRPr="006F6EF7" w:rsidRDefault="006F6EF7" w:rsidP="006F6EF7">
      <w:pPr>
        <w:spacing w:before="120" w:line="360" w:lineRule="auto"/>
        <w:jc w:val="both"/>
        <w:rPr>
          <w:rFonts w:ascii="Arial" w:hAnsi="Arial" w:cs="Arial"/>
        </w:rPr>
      </w:pPr>
      <w:r w:rsidRPr="006F6EF7">
        <w:rPr>
          <w:rFonts w:ascii="Arial" w:hAnsi="Arial" w:cs="Arial"/>
        </w:rPr>
        <w:t>Therefore, even though the horticulture industry has many prospects, these issues need to be successfully resolved to guarantee its long-term sustainability and inclusion.</w:t>
      </w:r>
    </w:p>
    <w:p w14:paraId="6856A6C3"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SYNTHESIS OF EVIDENCE</w:t>
      </w:r>
    </w:p>
    <w:p w14:paraId="5F48864B" w14:textId="77777777" w:rsidR="006F6EF7" w:rsidRPr="006F6EF7" w:rsidRDefault="006F6EF7" w:rsidP="006F6EF7">
      <w:pPr>
        <w:spacing w:before="120" w:line="360" w:lineRule="auto"/>
        <w:jc w:val="both"/>
        <w:rPr>
          <w:rFonts w:ascii="Arial" w:hAnsi="Arial" w:cs="Arial"/>
        </w:rPr>
      </w:pPr>
      <w:r w:rsidRPr="006F6EF7">
        <w:rPr>
          <w:rFonts w:ascii="Arial" w:hAnsi="Arial" w:cs="Arial"/>
        </w:rPr>
        <w:t>According to a survey of the literature, horticulture offers a complete picture of agricultural change, illuminating the sector's potential as well as its inherent constraints. Researchers seem to agree that horticulture has a good impact on rural development, employment creation, and agricultural income. The majority of research shows that fruit crops provide greater returns than traditional crops and enable livelihood diversification (Joshi et al., 2006; Singh, 2013).</w:t>
      </w:r>
    </w:p>
    <w:p w14:paraId="7C54C3F5" w14:textId="77777777" w:rsidR="006F6EF7" w:rsidRPr="006F6EF7" w:rsidRDefault="006F6EF7" w:rsidP="006F6EF7">
      <w:pPr>
        <w:spacing w:before="120" w:line="360" w:lineRule="auto"/>
        <w:jc w:val="both"/>
        <w:rPr>
          <w:rFonts w:ascii="Arial" w:hAnsi="Arial" w:cs="Arial"/>
        </w:rPr>
      </w:pPr>
      <w:r w:rsidRPr="006F6EF7">
        <w:rPr>
          <w:rFonts w:ascii="Arial" w:hAnsi="Arial" w:cs="Arial"/>
          <w:color w:val="0A0A0A"/>
        </w:rPr>
        <w:lastRenderedPageBreak/>
        <w:t xml:space="preserve">Micro-irrigation—specifically the drip irrigation method—plays a pivotal role in bolstering the transformative impact of horticulture. </w:t>
      </w:r>
      <w:r w:rsidRPr="006F6EF7">
        <w:rPr>
          <w:rFonts w:ascii="Arial" w:hAnsi="Arial" w:cs="Arial"/>
        </w:rPr>
        <w:t>Micro-irrigation technique has been shown in numerous trials to reduce water usage and increase output (Narayanamoorthy, 2007; Shah &amp; Keller, 2002).</w:t>
      </w:r>
    </w:p>
    <w:p w14:paraId="5AEE909A" w14:textId="1D8607AC" w:rsidR="006F6EF7" w:rsidRPr="006F6EF7" w:rsidRDefault="006F6EF7" w:rsidP="006F6EF7">
      <w:pPr>
        <w:spacing w:before="120" w:line="360" w:lineRule="auto"/>
        <w:jc w:val="both"/>
        <w:rPr>
          <w:rFonts w:ascii="Arial" w:hAnsi="Arial" w:cs="Arial"/>
        </w:rPr>
      </w:pPr>
      <w:r w:rsidRPr="006F6EF7">
        <w:rPr>
          <w:rFonts w:ascii="Arial" w:hAnsi="Arial" w:cs="Arial"/>
        </w:rPr>
        <w:t>But there are also notable discrepancies and gaps in existing research. While some studies recognize the horticultural industry's broad acceptance, others highlight significant distinctions in access to resources and opportunities</w:t>
      </w:r>
      <w:r w:rsidR="00717396">
        <w:rPr>
          <w:rFonts w:ascii="Arial" w:hAnsi="Arial" w:cs="Arial"/>
        </w:rPr>
        <w:t>. s</w:t>
      </w:r>
      <w:r w:rsidRPr="006F6EF7">
        <w:rPr>
          <w:rFonts w:ascii="Arial" w:hAnsi="Arial" w:cs="Arial"/>
        </w:rPr>
        <w:t xml:space="preserve">mall-scale farmers generally encounter significant problems in these areas, while large-scale farmers, who have the capital, technology, and market knowledge, often gain more. This calls into doubt the horticultural industry's development equity. Different points of view on a topic of migration are also apparent. Some studies argue that the horticulture sector helps to minimize migration by producing local employment; on the other hand, others contend that differences in the need for labor might result in increased seasonal migration (Birkenholtz, 2023). This emphasizes the crucial importance for a more thorough examination of the dynamics of migration within horticultural systems. </w:t>
      </w:r>
      <w:r w:rsidRPr="006F6EF7">
        <w:rPr>
          <w:rFonts w:ascii="Arial" w:hAnsi="Arial" w:cs="Arial"/>
        </w:rPr>
        <w:br/>
        <w:t>There are still gaps in several areas despite a lot of research. There is a dearth of empirical data on the long-term effects on the horticulture industry, especially in light of climate change and water shortages.</w:t>
      </w:r>
    </w:p>
    <w:p w14:paraId="0D2E54DE"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CONCEPTUAL FRAMEWORK</w:t>
      </w:r>
    </w:p>
    <w:p w14:paraId="457A71DC" w14:textId="77777777" w:rsidR="006F6EF7" w:rsidRPr="006F6EF7" w:rsidRDefault="006F6EF7" w:rsidP="006F6EF7">
      <w:pPr>
        <w:spacing w:before="120" w:line="360" w:lineRule="auto"/>
        <w:jc w:val="both"/>
        <w:rPr>
          <w:rFonts w:ascii="Arial" w:hAnsi="Arial" w:cs="Arial"/>
        </w:rPr>
      </w:pPr>
      <w:r w:rsidRPr="006F6EF7">
        <w:rPr>
          <w:rFonts w:ascii="Arial" w:hAnsi="Arial" w:cs="Arial"/>
        </w:rPr>
        <w:t>The current research focuses on the convergence of the Sustainable Livelihoods Framework (SLF), rural development theory, and agricultural commercialization. The cultivation of crops, which represents the shift from subsistence agriculture to high-value fruit cultivation, is considered the main independent variable in this framework. Fruit crops like pomegranate, lemon, and guava give better returns per hectare of land and water in semi-arid areas like Ahmednagar, which are marked by water scarcity. This shift is consistent with the notion of agricultural commercialization, which holds that better productivity, income, and economic integration result from a greater focus on the market (Pingali &amp; Rosegrant, 1995; Birthal et al., 2005).</w:t>
      </w:r>
    </w:p>
    <w:p w14:paraId="056EDB05"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Four major mechanisms are driving the evolution of horticultural farming. The first of these is having access to both domestic and international markets, which helps farmers lower expenses while obtaining higher prices for their produce (Reardon et al., 2009). Second, there are job opportunities throughout the production, harvesting, and post-harvest phases of fruit farming due to its high labor intensity (Joshi et al., 2006). Thirdly, it makes horticulture more economically viable by boosting agricultural output and income through increased </w:t>
      </w:r>
      <w:r w:rsidRPr="006F6EF7">
        <w:rPr>
          <w:rFonts w:ascii="Arial" w:hAnsi="Arial" w:cs="Arial"/>
        </w:rPr>
        <w:lastRenderedPageBreak/>
        <w:t>profitability. Fourth, it is distinguished by growing incomes and strong institutional support offered by programs like the National Horticulture Mission (NHM) (Chand et al., 2011).</w:t>
      </w:r>
    </w:p>
    <w:p w14:paraId="08D4F6FB" w14:textId="77777777" w:rsidR="006F6EF7" w:rsidRPr="006F6EF7" w:rsidRDefault="006F6EF7" w:rsidP="006F6EF7">
      <w:pPr>
        <w:spacing w:before="120" w:line="360" w:lineRule="auto"/>
        <w:jc w:val="both"/>
        <w:rPr>
          <w:rFonts w:ascii="Arial" w:hAnsi="Arial" w:cs="Arial"/>
        </w:rPr>
      </w:pPr>
      <w:r w:rsidRPr="006F6EF7">
        <w:rPr>
          <w:rFonts w:ascii="Arial" w:hAnsi="Arial" w:cs="Arial"/>
        </w:rPr>
        <w:t>Furthermore, this framework sheds light on such functional interdependencies. In this context, the development of infrastructure and the adoption of technology (e.g., micro-irrigation) serve as an effective response to resource scarcity—a phenomenon referred to as 'induced innovation' (Hayami &amp; Ruttan, 1985). By treating the ecological constraints inherent to this region as regulatory variables, this model demonstrates that socio-economic transformation constitutes a dynamic and non-linear system. Overall, this framework underscores that addressing the complexities of agriculture in semi-arid agrarian regions—such as Ahmednagar—necessitates a coordinated approach involving integrated policy support, efficient value chains, and sustainable resource management.</w:t>
      </w:r>
    </w:p>
    <w:p w14:paraId="6D13BC72" w14:textId="161D9C75" w:rsidR="006F6EF7" w:rsidRPr="006F6EF7" w:rsidRDefault="006F6EF7" w:rsidP="006F6EF7">
      <w:pPr>
        <w:spacing w:before="120" w:line="360" w:lineRule="auto"/>
        <w:jc w:val="both"/>
        <w:rPr>
          <w:rFonts w:ascii="Arial" w:hAnsi="Arial" w:cs="Arial"/>
          <w:sz w:val="22"/>
          <w:szCs w:val="22"/>
        </w:rPr>
      </w:pPr>
      <w:r w:rsidRPr="006F6EF7">
        <w:rPr>
          <w:rFonts w:ascii="Arial" w:hAnsi="Arial" w:cs="Arial"/>
          <w:b/>
          <w:bCs/>
          <w:sz w:val="22"/>
          <w:szCs w:val="22"/>
        </w:rPr>
        <w:t>Figure:1</w:t>
      </w:r>
      <w:r w:rsidR="003B3272">
        <w:rPr>
          <w:rFonts w:ascii="Arial" w:hAnsi="Arial" w:cs="Arial"/>
          <w:b/>
          <w:bCs/>
          <w:sz w:val="22"/>
          <w:szCs w:val="22"/>
        </w:rPr>
        <w:t xml:space="preserve">: </w:t>
      </w:r>
      <w:r w:rsidR="003B3272" w:rsidRPr="003B3272">
        <w:rPr>
          <w:rFonts w:ascii="Arial" w:hAnsi="Arial" w:cs="Arial"/>
          <w:sz w:val="22"/>
          <w:szCs w:val="22"/>
        </w:rPr>
        <w:t>Conceptual framework illustrating the role of fruit cultivation in driving socio-economic transformation in semi-arid regions</w:t>
      </w:r>
    </w:p>
    <w:p w14:paraId="29314346" w14:textId="77777777" w:rsidR="006F6EF7" w:rsidRPr="00E77D52" w:rsidRDefault="006F6EF7" w:rsidP="006F6EF7">
      <w:pPr>
        <w:spacing w:before="120" w:line="360" w:lineRule="auto"/>
        <w:jc w:val="both"/>
        <w:rPr>
          <w:rFonts w:ascii="Arial" w:hAnsi="Arial" w:cs="Arial"/>
          <w:b/>
          <w:bCs/>
          <w:sz w:val="24"/>
          <w:szCs w:val="24"/>
        </w:rPr>
      </w:pPr>
      <w:r w:rsidRPr="00E77D52">
        <w:rPr>
          <w:rFonts w:ascii="Arial" w:hAnsi="Arial" w:cs="Arial"/>
          <w:i/>
          <w:iCs/>
          <w:noProof/>
          <w:sz w:val="24"/>
          <w:szCs w:val="24"/>
        </w:rPr>
        <w:drawing>
          <wp:inline distT="0" distB="0" distL="0" distR="0" wp14:anchorId="7633420C" wp14:editId="265AE9E9">
            <wp:extent cx="5909095" cy="2774950"/>
            <wp:effectExtent l="0" t="0" r="0" b="0"/>
            <wp:docPr id="3" name="Picture 0" descr="Socio-economic transformation through fruit cultiv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o-economic transformation through fruit cultivation.png"/>
                    <pic:cNvPicPr/>
                  </pic:nvPicPr>
                  <pic:blipFill rotWithShape="1">
                    <a:blip r:embed="rId14" cstate="print"/>
                    <a:srcRect t="18906" b="31207"/>
                    <a:stretch/>
                  </pic:blipFill>
                  <pic:spPr bwMode="auto">
                    <a:xfrm>
                      <a:off x="0" y="0"/>
                      <a:ext cx="5911788" cy="2776215"/>
                    </a:xfrm>
                    <a:prstGeom prst="rect">
                      <a:avLst/>
                    </a:prstGeom>
                    <a:ln>
                      <a:noFill/>
                    </a:ln>
                    <a:extLst>
                      <a:ext uri="{53640926-AAD7-44D8-BBD7-CCE9431645EC}">
                        <a14:shadowObscured xmlns:a14="http://schemas.microsoft.com/office/drawing/2010/main"/>
                      </a:ext>
                    </a:extLst>
                  </pic:spPr>
                </pic:pic>
              </a:graphicData>
            </a:graphic>
          </wp:inline>
        </w:drawing>
      </w:r>
    </w:p>
    <w:p w14:paraId="61EE9098"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RESEARCH GAPS</w:t>
      </w:r>
    </w:p>
    <w:p w14:paraId="182E11F4" w14:textId="77777777" w:rsidR="006F6EF7" w:rsidRPr="006F6EF7" w:rsidRDefault="006F6EF7" w:rsidP="006F6EF7">
      <w:pPr>
        <w:spacing w:before="120" w:line="360" w:lineRule="auto"/>
        <w:jc w:val="both"/>
        <w:rPr>
          <w:rFonts w:ascii="Arial" w:hAnsi="Arial" w:cs="Arial"/>
        </w:rPr>
      </w:pPr>
      <w:r w:rsidRPr="006F6EF7">
        <w:rPr>
          <w:rFonts w:ascii="Arial" w:hAnsi="Arial" w:cs="Arial"/>
        </w:rPr>
        <w:t>Despite the availability of extensive literature on horticultural farming, the socio-economic development of farmers, and rural development, several critical gaps persist—particularly in semi-arid regions such as Ahmednagar. These gaps are outlined below:</w:t>
      </w:r>
    </w:p>
    <w:p w14:paraId="3A738559" w14:textId="77777777" w:rsidR="006F6EF7" w:rsidRPr="006F6EF7" w:rsidRDefault="006F6EF7" w:rsidP="006F6EF7">
      <w:pPr>
        <w:spacing w:before="120" w:line="360" w:lineRule="auto"/>
        <w:jc w:val="both"/>
        <w:rPr>
          <w:rFonts w:ascii="Arial" w:hAnsi="Arial" w:cs="Arial"/>
        </w:rPr>
      </w:pPr>
      <w:r w:rsidRPr="006F6EF7">
        <w:rPr>
          <w:rFonts w:ascii="Arial" w:hAnsi="Arial" w:cs="Arial"/>
          <w:b/>
          <w:bCs/>
        </w:rPr>
        <w:t>First,</w:t>
      </w:r>
      <w:r w:rsidRPr="006F6EF7">
        <w:rPr>
          <w:rFonts w:ascii="Arial" w:hAnsi="Arial" w:cs="Arial"/>
        </w:rPr>
        <w:t xml:space="preserve"> district-level empirical evaluations that consider local characteristics including uncertain agroclimatic conditions, scarcity of resources, insufficient capital, and socioeconomic variation are severely lacking. The majority of previous research has been </w:t>
      </w:r>
      <w:r w:rsidRPr="006F6EF7">
        <w:rPr>
          <w:rFonts w:ascii="Arial" w:hAnsi="Arial" w:cs="Arial"/>
        </w:rPr>
        <w:lastRenderedPageBreak/>
        <w:t>done at the federal or state level; as a result, the unique dynamics of district-level contexts—which are essential for successful policy formulation—remain largely ignored (Berthel et al., 2013).</w:t>
      </w:r>
    </w:p>
    <w:p w14:paraId="7CCF7AA6" w14:textId="7A7BF529" w:rsidR="006F6EF7" w:rsidRPr="006F6EF7" w:rsidRDefault="006F6EF7" w:rsidP="006F6EF7">
      <w:pPr>
        <w:spacing w:before="120" w:line="360" w:lineRule="auto"/>
        <w:jc w:val="both"/>
        <w:rPr>
          <w:rFonts w:ascii="Arial" w:hAnsi="Arial" w:cs="Arial"/>
        </w:rPr>
      </w:pPr>
      <w:r w:rsidRPr="006F6EF7">
        <w:rPr>
          <w:rFonts w:ascii="Arial" w:hAnsi="Arial" w:cs="Arial"/>
          <w:b/>
          <w:bCs/>
        </w:rPr>
        <w:t>Second</w:t>
      </w:r>
      <w:r w:rsidRPr="006F6EF7">
        <w:rPr>
          <w:rFonts w:ascii="Arial" w:hAnsi="Arial" w:cs="Arial"/>
        </w:rPr>
        <w:t xml:space="preserve">, the majority of the published research in this field is cross-sectional. Because of this, there aren't many interdisciplinary or time-series studies that look at the long-term sustainability of the revolutionary changes brought about by the growth of the horticulture industry. As a result, important topics pertaining to farmers have not received enough attention, including resilience, inter-generational mobility, sustainability, and income stability. </w:t>
      </w:r>
      <w:r w:rsidRPr="006F6EF7">
        <w:rPr>
          <w:rFonts w:ascii="Arial" w:hAnsi="Arial" w:cs="Arial"/>
        </w:rPr>
        <w:br/>
      </w:r>
      <w:r w:rsidRPr="006F6EF7">
        <w:rPr>
          <w:rFonts w:ascii="Arial" w:hAnsi="Arial" w:cs="Arial"/>
          <w:b/>
          <w:bCs/>
        </w:rPr>
        <w:t>Third</w:t>
      </w:r>
      <w:r w:rsidRPr="006F6EF7">
        <w:rPr>
          <w:rFonts w:ascii="Arial" w:hAnsi="Arial" w:cs="Arial"/>
        </w:rPr>
        <w:t>, a study of the available literature also shows that there are not many studies that deal with value chain analysis and market access. Few studies have thoroughly examined the framework and efficacy of value chains, despite the fact that many recognize the significance of market access (Reardon et al., 2009).</w:t>
      </w:r>
    </w:p>
    <w:p w14:paraId="3EA131E8" w14:textId="77777777" w:rsidR="006F6EF7" w:rsidRPr="006F6EF7" w:rsidRDefault="006F6EF7" w:rsidP="006F6EF7">
      <w:pPr>
        <w:spacing w:before="120" w:line="360" w:lineRule="auto"/>
        <w:jc w:val="both"/>
        <w:rPr>
          <w:rFonts w:ascii="Arial" w:hAnsi="Arial" w:cs="Arial"/>
        </w:rPr>
      </w:pPr>
      <w:r w:rsidRPr="006F6EF7">
        <w:rPr>
          <w:rFonts w:ascii="Arial" w:hAnsi="Arial" w:cs="Arial"/>
          <w:b/>
          <w:bCs/>
        </w:rPr>
        <w:t>Fourth</w:t>
      </w:r>
      <w:r w:rsidRPr="006F6EF7">
        <w:rPr>
          <w:rFonts w:ascii="Arial" w:hAnsi="Arial" w:cs="Arial"/>
        </w:rPr>
        <w:t>, the paucity of research on climate risks and environmental sustainability—especially in areas like Ahmednagar, where water scarcity and climate change are significant issues—is another significant gap found in the literature. The sustainability of fruit orchard agriculture in these areas has not received enough attention (FAO, 2022). Current research frequently ignores possible environmental costs in favor of concentrating only on economic advantages.</w:t>
      </w:r>
    </w:p>
    <w:p w14:paraId="49047802" w14:textId="77777777" w:rsidR="006F6EF7" w:rsidRPr="006F6EF7" w:rsidRDefault="006F6EF7" w:rsidP="006F6EF7">
      <w:pPr>
        <w:spacing w:before="120" w:line="360" w:lineRule="auto"/>
        <w:jc w:val="both"/>
        <w:rPr>
          <w:rFonts w:ascii="Arial" w:hAnsi="Arial" w:cs="Arial"/>
        </w:rPr>
      </w:pPr>
      <w:r w:rsidRPr="006F6EF7">
        <w:rPr>
          <w:rFonts w:ascii="Arial" w:hAnsi="Arial" w:cs="Arial"/>
          <w:b/>
          <w:bCs/>
        </w:rPr>
        <w:t>Fifth,</w:t>
      </w:r>
      <w:r w:rsidRPr="006F6EF7">
        <w:rPr>
          <w:rFonts w:ascii="Arial" w:hAnsi="Arial" w:cs="Arial"/>
        </w:rPr>
        <w:t xml:space="preserve"> research on analysis based on gender is still lacking. Although women are heavily involved in the horticultural industry, little is known about female participation in work, decision-making, and production share (FAO, 2022). As a result, this makes it more difficult for us to comprehend just how fruit farming affects women's empowerment and gender equality. </w:t>
      </w:r>
      <w:r w:rsidRPr="006F6EF7">
        <w:rPr>
          <w:rFonts w:ascii="Arial" w:hAnsi="Arial" w:cs="Arial"/>
        </w:rPr>
        <w:br/>
        <w:t>In order to bridge the gaps mentioned above, a thorough understanding of how fruit orchard cultivation affects farmers' socioeconomic condition must be developed. An interdisciplinary strategy should be used in future study. A more comprehensive examination that incorporates social, environmental, geographical, and economic viewpoints is necessary for such research.</w:t>
      </w:r>
    </w:p>
    <w:p w14:paraId="4B7CBFB0"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DISCUSSION</w:t>
      </w:r>
    </w:p>
    <w:p w14:paraId="0BD2B069" w14:textId="2BFDA38C" w:rsidR="006F6EF7" w:rsidRPr="006F6EF7" w:rsidRDefault="006F6EF7" w:rsidP="006F6EF7">
      <w:pPr>
        <w:spacing w:before="120" w:line="360" w:lineRule="auto"/>
        <w:jc w:val="both"/>
        <w:rPr>
          <w:rFonts w:ascii="Arial" w:hAnsi="Arial" w:cs="Arial"/>
        </w:rPr>
      </w:pPr>
      <w:r w:rsidRPr="006F6EF7">
        <w:rPr>
          <w:rFonts w:ascii="Arial" w:hAnsi="Arial" w:cs="Arial"/>
        </w:rPr>
        <w:t xml:space="preserve">Existing literature indicates that fruit cultivation enhances opportunities for income, employment, and livelihoods. However, a closer examination reveals significant disparities in outcomes depending on the specific region and socio-economic status of the farmers. This review demonstrates that farmers who utilize irrigation technologies—particularly drip irrigation systems—and who are integrated into efficient value chains, realize significantly </w:t>
      </w:r>
      <w:r w:rsidRPr="006F6EF7">
        <w:rPr>
          <w:rFonts w:ascii="Arial" w:hAnsi="Arial" w:cs="Arial"/>
        </w:rPr>
        <w:lastRenderedPageBreak/>
        <w:t>higher returns. Consequently, market-oriented production leads to improvements in both productivity and welfare outcomes (Pingali and Rosegrant, 1995). Research has repeatedly demonstrated that farmers who grow fruits like bananas, pomegranates, and grapes make more money than those who follow conventional farming practices. Due to the crops' capacity to adapt to the semi-arid climate of the area and the widespread use of micro-irrigation technologies in agricultural operations, farmers in Ahmednagar clearly have a preference for growing fruit.</w:t>
      </w:r>
    </w:p>
    <w:p w14:paraId="2CC66E15" w14:textId="77777777" w:rsidR="006F6EF7" w:rsidRPr="006F6EF7" w:rsidRDefault="006F6EF7" w:rsidP="006F6EF7">
      <w:pPr>
        <w:spacing w:before="120" w:line="360" w:lineRule="auto"/>
        <w:jc w:val="both"/>
        <w:rPr>
          <w:rFonts w:ascii="Arial" w:hAnsi="Arial" w:cs="Arial"/>
        </w:rPr>
      </w:pPr>
      <w:r w:rsidRPr="006F6EF7">
        <w:rPr>
          <w:rFonts w:ascii="Arial" w:hAnsi="Arial" w:cs="Arial"/>
        </w:rPr>
        <w:t>Research indicates that another important aspect affecting fruit cultivation is access to markets. Growers who sell their crops through middlemen frequently have lower margins of profit than those who have easy access to marketplaces (Reardon et al., 2009). This emphasizes how crucial it is to improve market infrastructure in order to reduce transaction and production costs. Fruit cultivation also lessens reliance on rain-fed crops and generates several sources of revenue. From a policy point of view, government programs like the Pradhan Mantri Krishi Sinchai Yojana (PMKSY) and the National Horticulture Mission (NHM) have been crucial in advancing and growing the horticulture industry. Technology adoption, infrastructural development, and farmer capacity building have all been made easier by these initiatives. However, these programs' efficacy varies based on how successfully they are implemented as well as on certain regional and local circumstances.</w:t>
      </w:r>
    </w:p>
    <w:p w14:paraId="5379EF79" w14:textId="77777777" w:rsidR="006F6EF7" w:rsidRPr="006F6EF7" w:rsidRDefault="006F6EF7" w:rsidP="006F6EF7">
      <w:pPr>
        <w:spacing w:before="120" w:line="360" w:lineRule="auto"/>
        <w:jc w:val="both"/>
        <w:rPr>
          <w:rFonts w:ascii="Arial" w:hAnsi="Arial" w:cs="Arial"/>
        </w:rPr>
      </w:pPr>
      <w:r w:rsidRPr="006F6EF7">
        <w:rPr>
          <w:rFonts w:ascii="Arial" w:hAnsi="Arial" w:cs="Arial"/>
        </w:rPr>
        <w:t>Despite these positive outcomes, the available literature reveals some conflicting findings. While some studies emphasize the inclusiveness of growth in the horticulture sector, others draw attention to widening disparities. For instance, the capacity of small-scale farmers to fully capitalize on fruit cultivation has been constrained, as they face various hurdles such as limited access to credit, high input costs, and a lack of market information (Ali and Kapoor, 2008).</w:t>
      </w:r>
    </w:p>
    <w:p w14:paraId="07E4D89E" w14:textId="77777777" w:rsidR="006F6EF7" w:rsidRPr="006F6EF7" w:rsidRDefault="006F6EF7" w:rsidP="006F6EF7">
      <w:pPr>
        <w:spacing w:before="120" w:line="360" w:lineRule="auto"/>
        <w:jc w:val="both"/>
        <w:rPr>
          <w:rFonts w:ascii="Arial" w:hAnsi="Arial" w:cs="Arial"/>
        </w:rPr>
      </w:pPr>
      <w:r w:rsidRPr="006F6EF7">
        <w:rPr>
          <w:rFonts w:ascii="Arial" w:hAnsi="Arial" w:cs="Arial"/>
        </w:rPr>
        <w:t>However, secondary source literature is used in this study. Because of this dependency, which makes it challenging to establish causal linkages and emphasizes the significance of further empirical research, the results of this study should be considered cautiously.</w:t>
      </w:r>
    </w:p>
    <w:p w14:paraId="303E42D6" w14:textId="77777777" w:rsidR="00361084" w:rsidRPr="00C64BCB" w:rsidRDefault="00361084" w:rsidP="00361084">
      <w:pPr>
        <w:spacing w:before="100" w:beforeAutospacing="1" w:after="100" w:afterAutospacing="1"/>
        <w:outlineLvl w:val="2"/>
        <w:rPr>
          <w:rFonts w:ascii="Times New Roman" w:hAnsi="Times New Roman"/>
          <w:b/>
          <w:bCs/>
          <w:sz w:val="27"/>
          <w:szCs w:val="27"/>
          <w:lang w:eastAsia="en-GB"/>
        </w:rPr>
      </w:pPr>
      <w:r w:rsidRPr="00C64BCB">
        <w:rPr>
          <w:rFonts w:ascii="Times New Roman" w:hAnsi="Times New Roman"/>
          <w:b/>
          <w:bCs/>
          <w:sz w:val="27"/>
          <w:szCs w:val="27"/>
          <w:lang w:eastAsia="en-GB"/>
        </w:rPr>
        <w:t>Conclusion</w:t>
      </w:r>
    </w:p>
    <w:p w14:paraId="32053A90" w14:textId="094A3722" w:rsidR="00570C0E" w:rsidRPr="00C64BCB" w:rsidRDefault="00361084" w:rsidP="0035248F">
      <w:pPr>
        <w:spacing w:before="100" w:beforeAutospacing="1" w:after="100" w:afterAutospacing="1"/>
        <w:jc w:val="both"/>
        <w:rPr>
          <w:rFonts w:ascii="Times New Roman" w:hAnsi="Times New Roman"/>
          <w:sz w:val="24"/>
          <w:szCs w:val="24"/>
          <w:lang w:eastAsia="en-GB"/>
        </w:rPr>
      </w:pPr>
      <w:r w:rsidRPr="00C64BCB">
        <w:rPr>
          <w:rFonts w:ascii="Times New Roman" w:hAnsi="Times New Roman"/>
          <w:sz w:val="24"/>
          <w:szCs w:val="24"/>
          <w:lang w:eastAsia="en-GB"/>
        </w:rPr>
        <w:t xml:space="preserve">This review shows that fruit cultivation has contributed to important socioeconomic changes in semi-arid agricultural regions such as Ahmednagar district. The shift from traditional food-grain crops to high-value fruit crops has created opportunities for higher farm income, employment generation, livelihood diversification, and improved market participation. Crops such as pomegranate, guava, grapes, banana, and citrus have gained importance because of their economic value and suitability to </w:t>
      </w:r>
      <w:r w:rsidRPr="00C64BCB">
        <w:rPr>
          <w:rFonts w:ascii="Times New Roman" w:hAnsi="Times New Roman"/>
          <w:sz w:val="24"/>
          <w:szCs w:val="24"/>
          <w:lang w:eastAsia="en-GB"/>
        </w:rPr>
        <w:lastRenderedPageBreak/>
        <w:t xml:space="preserve">changing agricultural conditions. The adoption of drip irrigation and other improved technologies has further supported fruit cultivation in water-scarce areas. Government </w:t>
      </w:r>
      <w:proofErr w:type="spellStart"/>
      <w:r w:rsidRPr="00C64BCB">
        <w:rPr>
          <w:rFonts w:ascii="Times New Roman" w:hAnsi="Times New Roman"/>
          <w:sz w:val="24"/>
          <w:szCs w:val="24"/>
          <w:lang w:eastAsia="en-GB"/>
        </w:rPr>
        <w:t>programmes</w:t>
      </w:r>
      <w:proofErr w:type="spellEnd"/>
      <w:r w:rsidRPr="00C64BCB">
        <w:rPr>
          <w:rFonts w:ascii="Times New Roman" w:hAnsi="Times New Roman"/>
          <w:sz w:val="24"/>
          <w:szCs w:val="24"/>
          <w:lang w:eastAsia="en-GB"/>
        </w:rPr>
        <w:t>, institutional support, and market linkages have also played a significant role in encouraging horticultural development. However, the transformation is not uniform across all farming groups. Farmers with better access to capital, irrigation, technology, and markets benefit more than small and marginal farmers. Problems such as water scarcity, pest and disease incidence, high production costs, price instability, and weak post-harvest infrastructure continue to affect the sustainability of fruit-based farming systems. Therefore, fruit cultivation should be promoted through context-specific policies, improved credit access, better extension services, efficient value chains, and sustainable resource management. Such measures can strengthen the role of horticulture in rural development while reducing regional and socioeconomic disparities.</w:t>
      </w:r>
    </w:p>
    <w:p w14:paraId="39FE01CB" w14:textId="77777777" w:rsidR="00361084" w:rsidRPr="00C64BCB" w:rsidRDefault="00361084" w:rsidP="00361084">
      <w:pPr>
        <w:spacing w:before="100" w:beforeAutospacing="1" w:after="100" w:afterAutospacing="1"/>
        <w:outlineLvl w:val="2"/>
        <w:rPr>
          <w:rFonts w:ascii="Times New Roman" w:hAnsi="Times New Roman"/>
          <w:b/>
          <w:bCs/>
          <w:sz w:val="27"/>
          <w:szCs w:val="27"/>
          <w:lang w:eastAsia="en-GB"/>
        </w:rPr>
      </w:pPr>
      <w:r w:rsidRPr="00C64BCB">
        <w:rPr>
          <w:rFonts w:ascii="Times New Roman" w:hAnsi="Times New Roman"/>
          <w:b/>
          <w:bCs/>
          <w:sz w:val="27"/>
          <w:szCs w:val="27"/>
          <w:lang w:eastAsia="en-GB"/>
        </w:rPr>
        <w:t>Limitations</w:t>
      </w:r>
    </w:p>
    <w:p w14:paraId="6097A727" w14:textId="77777777" w:rsidR="00361084" w:rsidRDefault="00361084" w:rsidP="0035248F">
      <w:pPr>
        <w:spacing w:before="100" w:beforeAutospacing="1" w:after="100" w:afterAutospacing="1"/>
        <w:jc w:val="both"/>
        <w:rPr>
          <w:rFonts w:ascii="Times New Roman" w:hAnsi="Times New Roman"/>
          <w:sz w:val="24"/>
          <w:szCs w:val="24"/>
          <w:lang w:eastAsia="en-GB"/>
        </w:rPr>
      </w:pPr>
      <w:r w:rsidRPr="00C64BCB">
        <w:rPr>
          <w:rFonts w:ascii="Times New Roman" w:hAnsi="Times New Roman"/>
          <w:sz w:val="24"/>
          <w:szCs w:val="24"/>
          <w:lang w:eastAsia="en-GB"/>
        </w:rPr>
        <w:t>This review is based mainly on secondary sources, including published studies, reports, theses, and institutional literature. Therefore, the findings depend on the quality, scope, and availability of existing research. The limited number of district-level studies on Ahmednagar restricts the depth of local analysis. In addition, many available studies are cross-sectional and do not provide sufficient long-term evidence on income stability, climate resilience, water sustainability, or intergenerational changes in farming households. The review also faces limitations in assessing gender participation, value-chain dynamics, and the experiences of small and marginal farmers because these themes are not consistently addressed in the existing literature. Since no primary field survey was conducted, the review cannot establish direct causal relationships between fruit cultivation and socioeconomic transformation. Future research should include longitudinal field-based studies, crop-specific analysis, gender-sensitive assessment, and detailed evaluation of market, institutional, and environmental factors.</w:t>
      </w:r>
    </w:p>
    <w:p w14:paraId="4CF03853" w14:textId="77777777" w:rsidR="00064D7B" w:rsidRPr="00973F78" w:rsidRDefault="00064D7B" w:rsidP="0035248F">
      <w:pPr>
        <w:pStyle w:val="NoSpacing"/>
        <w:jc w:val="both"/>
        <w:rPr>
          <w:rFonts w:ascii="Arial" w:hAnsi="Arial" w:cs="Arial"/>
          <w:highlight w:val="yellow"/>
        </w:rPr>
      </w:pPr>
      <w:r w:rsidRPr="00973F78">
        <w:rPr>
          <w:rFonts w:ascii="Arial" w:hAnsi="Arial" w:cs="Arial"/>
          <w:highlight w:val="yellow"/>
        </w:rPr>
        <w:t>Declaration of AI Use</w:t>
      </w:r>
    </w:p>
    <w:p w14:paraId="36ADB40D" w14:textId="77777777" w:rsidR="00064D7B" w:rsidRPr="00973F78" w:rsidRDefault="00064D7B" w:rsidP="0035248F">
      <w:pPr>
        <w:pStyle w:val="NoSpacing"/>
        <w:jc w:val="both"/>
        <w:rPr>
          <w:rFonts w:ascii="Arial" w:hAnsi="Arial" w:cs="Arial"/>
          <w:highlight w:val="yellow"/>
        </w:rPr>
      </w:pPr>
    </w:p>
    <w:p w14:paraId="40E11FC7" w14:textId="77777777" w:rsidR="00064D7B" w:rsidRPr="00973F78" w:rsidRDefault="00064D7B" w:rsidP="0035248F">
      <w:pPr>
        <w:pStyle w:val="NoSpacing"/>
        <w:jc w:val="both"/>
        <w:rPr>
          <w:rFonts w:ascii="Arial" w:hAnsi="Arial" w:cs="Arial"/>
        </w:rPr>
      </w:pPr>
      <w:r w:rsidRPr="00973F78">
        <w:rPr>
          <w:rFonts w:ascii="Arial" w:hAnsi="Arial" w:cs="Arial"/>
          <w:highlight w:val="yellow"/>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9AC9580" w14:textId="77777777" w:rsidR="00064D7B" w:rsidRPr="00C64BCB" w:rsidRDefault="00064D7B" w:rsidP="0035248F">
      <w:pPr>
        <w:spacing w:before="100" w:beforeAutospacing="1" w:after="100" w:afterAutospacing="1"/>
        <w:jc w:val="both"/>
        <w:rPr>
          <w:rFonts w:ascii="Times New Roman" w:hAnsi="Times New Roman"/>
          <w:sz w:val="24"/>
          <w:szCs w:val="24"/>
          <w:lang w:eastAsia="en-GB"/>
        </w:rPr>
      </w:pPr>
    </w:p>
    <w:p w14:paraId="34F47E47" w14:textId="77777777" w:rsidR="00361084" w:rsidRDefault="00361084" w:rsidP="00361084"/>
    <w:p w14:paraId="65236C95" w14:textId="62434983"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REFERENCE</w:t>
      </w:r>
      <w:r w:rsidR="000037B7">
        <w:rPr>
          <w:rFonts w:ascii="Arial" w:hAnsi="Arial" w:cs="Arial"/>
          <w:b/>
          <w:bCs/>
          <w:sz w:val="22"/>
          <w:szCs w:val="22"/>
        </w:rPr>
        <w:t>S</w:t>
      </w:r>
    </w:p>
    <w:p w14:paraId="1B0974C3" w14:textId="7357BD31"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Agoramoorthy, G., Hsu, M. J., &amp; Shieh, P. (2012). India’s women-led vegetable cultivation improves economic and environmental sustainability. </w:t>
      </w:r>
      <w:r w:rsidRPr="0035248F">
        <w:rPr>
          <w:rStyle w:val="Emphasis"/>
          <w:rFonts w:ascii="Arial" w:hAnsi="Arial" w:cs="Arial"/>
          <w:sz w:val="20"/>
          <w:szCs w:val="20"/>
        </w:rPr>
        <w:t xml:space="preserve">Scottish Geographical Journal, </w:t>
      </w:r>
      <w:r w:rsidR="006129FC" w:rsidRPr="0035248F">
        <w:rPr>
          <w:rFonts w:ascii="Arial" w:hAnsi="Arial" w:cs="Arial"/>
          <w:sz w:val="20"/>
          <w:szCs w:val="20"/>
          <w:lang w:val="en-GB" w:eastAsia="en-GB"/>
        </w:rPr>
        <w:t>128(2), 87–99</w:t>
      </w:r>
      <w:r w:rsidRPr="0035248F">
        <w:rPr>
          <w:rFonts w:ascii="Arial" w:hAnsi="Arial" w:cs="Arial"/>
          <w:sz w:val="20"/>
          <w:szCs w:val="20"/>
        </w:rPr>
        <w:t xml:space="preserve">. </w:t>
      </w:r>
      <w:hyperlink r:id="rId15" w:tgtFrame="_new" w:history="1">
        <w:r w:rsidRPr="0035248F">
          <w:rPr>
            <w:rStyle w:val="Hyperlink"/>
            <w:rFonts w:ascii="Arial" w:hAnsi="Arial" w:cs="Arial"/>
            <w:sz w:val="20"/>
            <w:szCs w:val="20"/>
          </w:rPr>
          <w:t>https://doi.org/10.1080/14702541.2012.716607</w:t>
        </w:r>
      </w:hyperlink>
    </w:p>
    <w:p w14:paraId="54D10E24" w14:textId="77777777"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Aher, Y. L., &amp;Rahane, S. (2016). A review of pomegranate cultivation. </w:t>
      </w:r>
      <w:r w:rsidRPr="0035248F">
        <w:rPr>
          <w:rStyle w:val="Emphasis"/>
          <w:rFonts w:ascii="Arial" w:hAnsi="Arial" w:cs="Arial"/>
          <w:sz w:val="20"/>
          <w:szCs w:val="20"/>
        </w:rPr>
        <w:t>IRJET</w:t>
      </w:r>
      <w:r w:rsidRPr="0035248F">
        <w:rPr>
          <w:rFonts w:ascii="Arial" w:hAnsi="Arial" w:cs="Arial"/>
          <w:sz w:val="20"/>
          <w:szCs w:val="20"/>
        </w:rPr>
        <w:t>.</w:t>
      </w:r>
    </w:p>
    <w:p w14:paraId="731868D8" w14:textId="183081DF"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Ali, J., &amp; Kapoor, S. (2008). Farmers’ perception on risks in fruits and vegetables production</w:t>
      </w:r>
      <w:r w:rsidR="006129FC" w:rsidRPr="0035248F">
        <w:rPr>
          <w:rFonts w:ascii="Arial" w:hAnsi="Arial" w:cs="Arial"/>
          <w:sz w:val="20"/>
          <w:szCs w:val="20"/>
        </w:rPr>
        <w:t xml:space="preserve">: </w:t>
      </w:r>
      <w:r w:rsidR="006129FC" w:rsidRPr="0035248F">
        <w:rPr>
          <w:rFonts w:ascii="Arial" w:hAnsi="Arial" w:cs="Arial"/>
          <w:sz w:val="20"/>
          <w:szCs w:val="20"/>
          <w:lang w:val="en-GB" w:eastAsia="en-GB"/>
        </w:rPr>
        <w:t>'An Empirical Study of Uttar Pradesh</w:t>
      </w:r>
      <w:r w:rsidRPr="0035248F">
        <w:rPr>
          <w:rFonts w:ascii="Arial" w:hAnsi="Arial" w:cs="Arial"/>
          <w:sz w:val="20"/>
          <w:szCs w:val="20"/>
        </w:rPr>
        <w:t xml:space="preserve">. </w:t>
      </w:r>
      <w:r w:rsidRPr="0035248F">
        <w:rPr>
          <w:rStyle w:val="Emphasis"/>
          <w:rFonts w:ascii="Arial" w:hAnsi="Arial" w:cs="Arial"/>
          <w:sz w:val="20"/>
          <w:szCs w:val="20"/>
        </w:rPr>
        <w:t>Agricultural Economics Research Review, 21</w:t>
      </w:r>
      <w:r w:rsidRPr="0035248F">
        <w:rPr>
          <w:rFonts w:ascii="Arial" w:hAnsi="Arial" w:cs="Arial"/>
          <w:sz w:val="20"/>
          <w:szCs w:val="20"/>
        </w:rPr>
        <w:t>, 317–326.</w:t>
      </w:r>
    </w:p>
    <w:p w14:paraId="0A7B2AA5" w14:textId="77777777"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Ali, M. (2008). </w:t>
      </w:r>
      <w:r w:rsidRPr="0035248F">
        <w:rPr>
          <w:rStyle w:val="Emphasis"/>
          <w:rFonts w:ascii="Arial" w:hAnsi="Arial" w:cs="Arial"/>
          <w:sz w:val="20"/>
          <w:szCs w:val="20"/>
        </w:rPr>
        <w:t>Horticulture revolution for the poor: Nature, challenges and opportunities</w:t>
      </w:r>
      <w:r w:rsidRPr="0035248F">
        <w:rPr>
          <w:rFonts w:ascii="Arial" w:hAnsi="Arial" w:cs="Arial"/>
          <w:sz w:val="20"/>
          <w:szCs w:val="20"/>
        </w:rPr>
        <w:t>. World Bank.</w:t>
      </w:r>
    </w:p>
    <w:p w14:paraId="321FBF4E" w14:textId="77777777"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APEDA. (2023). </w:t>
      </w:r>
      <w:r w:rsidRPr="0035248F">
        <w:rPr>
          <w:rStyle w:val="Emphasis"/>
          <w:rFonts w:ascii="Arial" w:hAnsi="Arial" w:cs="Arial"/>
          <w:sz w:val="20"/>
          <w:szCs w:val="20"/>
        </w:rPr>
        <w:t>Agricultural export statistics</w:t>
      </w:r>
      <w:r w:rsidRPr="0035248F">
        <w:rPr>
          <w:rFonts w:ascii="Arial" w:hAnsi="Arial" w:cs="Arial"/>
          <w:sz w:val="20"/>
          <w:szCs w:val="20"/>
        </w:rPr>
        <w:t xml:space="preserve">. </w:t>
      </w:r>
      <w:hyperlink r:id="rId16" w:tgtFrame="_new" w:history="1">
        <w:r w:rsidRPr="0035248F">
          <w:rPr>
            <w:rStyle w:val="Hyperlink"/>
            <w:rFonts w:ascii="Arial" w:hAnsi="Arial" w:cs="Arial"/>
            <w:sz w:val="20"/>
            <w:szCs w:val="20"/>
          </w:rPr>
          <w:t>https://apeda.gov.in</w:t>
        </w:r>
      </w:hyperlink>
    </w:p>
    <w:p w14:paraId="06FAD221" w14:textId="1137F932"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Barrientos, S., Dolan, C., &amp;Tallontire, A. (2003). A gendered value chain approach to codes of conduct in African horticulture. </w:t>
      </w:r>
      <w:r w:rsidRPr="0035248F">
        <w:rPr>
          <w:rStyle w:val="Emphasis"/>
          <w:rFonts w:ascii="Arial" w:hAnsi="Arial" w:cs="Arial"/>
          <w:sz w:val="20"/>
          <w:szCs w:val="20"/>
        </w:rPr>
        <w:t>World Development, 31</w:t>
      </w:r>
      <w:r w:rsidRPr="0035248F">
        <w:rPr>
          <w:rFonts w:ascii="Arial" w:hAnsi="Arial" w:cs="Arial"/>
          <w:sz w:val="20"/>
          <w:szCs w:val="20"/>
        </w:rPr>
        <w:t>(9), 1511–152</w:t>
      </w:r>
      <w:r w:rsidR="006129FC" w:rsidRPr="0035248F">
        <w:rPr>
          <w:rFonts w:ascii="Arial" w:hAnsi="Arial" w:cs="Arial"/>
          <w:sz w:val="20"/>
          <w:szCs w:val="20"/>
        </w:rPr>
        <w:t>6</w:t>
      </w:r>
      <w:r w:rsidRPr="0035248F">
        <w:rPr>
          <w:rFonts w:ascii="Arial" w:hAnsi="Arial" w:cs="Arial"/>
          <w:sz w:val="20"/>
          <w:szCs w:val="20"/>
        </w:rPr>
        <w:t>.</w:t>
      </w:r>
    </w:p>
    <w:p w14:paraId="062D7D84" w14:textId="3C97818B" w:rsidR="006129FC" w:rsidRPr="0035248F" w:rsidRDefault="006129FC" w:rsidP="0035248F">
      <w:pPr>
        <w:pStyle w:val="NormalWeb"/>
        <w:spacing w:before="120" w:line="360" w:lineRule="auto"/>
        <w:jc w:val="both"/>
        <w:rPr>
          <w:rFonts w:ascii="Arial" w:hAnsi="Arial" w:cs="Arial"/>
          <w:i/>
          <w:iCs/>
          <w:sz w:val="20"/>
          <w:szCs w:val="20"/>
        </w:rPr>
      </w:pPr>
      <w:r w:rsidRPr="0035248F">
        <w:rPr>
          <w:rFonts w:ascii="Arial" w:hAnsi="Arial" w:cs="Arial"/>
          <w:i/>
          <w:iCs/>
          <w:sz w:val="20"/>
          <w:szCs w:val="20"/>
        </w:rPr>
        <w:t xml:space="preserve">Berdegué, J. A., Balsevich, F., Flores, L., &amp; Reardon, T. (2005). </w:t>
      </w:r>
      <w:r w:rsidRPr="0035248F">
        <w:rPr>
          <w:rStyle w:val="Emphasis"/>
          <w:rFonts w:ascii="Arial" w:hAnsi="Arial" w:cs="Arial"/>
          <w:i w:val="0"/>
          <w:iCs w:val="0"/>
          <w:sz w:val="20"/>
          <w:szCs w:val="20"/>
        </w:rPr>
        <w:t>Central American supermarkets' private standards of quality and safety in procurement of fresh fruits and vegetables</w:t>
      </w:r>
      <w:r w:rsidRPr="0035248F">
        <w:rPr>
          <w:rFonts w:ascii="Arial" w:hAnsi="Arial" w:cs="Arial"/>
          <w:i/>
          <w:iCs/>
          <w:sz w:val="20"/>
          <w:szCs w:val="20"/>
        </w:rPr>
        <w:t xml:space="preserve">. </w:t>
      </w:r>
      <w:r w:rsidRPr="0035248F">
        <w:rPr>
          <w:rStyle w:val="Strong"/>
          <w:rFonts w:ascii="Arial" w:hAnsi="Arial" w:cs="Arial"/>
          <w:i/>
          <w:iCs/>
          <w:sz w:val="20"/>
          <w:szCs w:val="20"/>
        </w:rPr>
        <w:t>Food Policy, 30</w:t>
      </w:r>
      <w:r w:rsidRPr="0035248F">
        <w:rPr>
          <w:rFonts w:ascii="Arial" w:hAnsi="Arial" w:cs="Arial"/>
          <w:i/>
          <w:iCs/>
          <w:sz w:val="20"/>
          <w:szCs w:val="20"/>
        </w:rPr>
        <w:t>(3), 254–269. ,</w:t>
      </w:r>
      <w:hyperlink r:id="rId17" w:history="1">
        <w:r w:rsidRPr="0035248F">
          <w:rPr>
            <w:rStyle w:val="Hyperlink"/>
            <w:rFonts w:ascii="Arial" w:hAnsi="Arial" w:cs="Arial"/>
            <w:i/>
            <w:iCs/>
            <w:sz w:val="20"/>
            <w:szCs w:val="20"/>
          </w:rPr>
          <w:t>https://doi.org/10.1016/j.foodpol.2005.05.003</w:t>
        </w:r>
      </w:hyperlink>
      <w:r w:rsidRPr="0035248F">
        <w:rPr>
          <w:rFonts w:ascii="Arial" w:hAnsi="Arial" w:cs="Arial"/>
          <w:i/>
          <w:iCs/>
          <w:sz w:val="20"/>
          <w:szCs w:val="20"/>
        </w:rPr>
        <w:t>.</w:t>
      </w:r>
    </w:p>
    <w:p w14:paraId="2C3BEEE8" w14:textId="612CCED5" w:rsidR="00287808" w:rsidRPr="0035248F" w:rsidRDefault="006F6EF7" w:rsidP="0035248F">
      <w:pPr>
        <w:pStyle w:val="NormalWeb"/>
        <w:spacing w:before="120" w:beforeAutospacing="0" w:after="0" w:afterAutospacing="0" w:line="360" w:lineRule="auto"/>
        <w:jc w:val="both"/>
        <w:rPr>
          <w:rFonts w:ascii="Arial" w:hAnsi="Arial" w:cs="Arial"/>
          <w:sz w:val="20"/>
          <w:szCs w:val="20"/>
          <w:lang w:val="en-GB" w:eastAsia="en-GB"/>
        </w:rPr>
      </w:pPr>
      <w:r w:rsidRPr="0035248F">
        <w:rPr>
          <w:rFonts w:ascii="Arial" w:hAnsi="Arial" w:cs="Arial"/>
          <w:sz w:val="20"/>
          <w:szCs w:val="20"/>
        </w:rPr>
        <w:t xml:space="preserve">Bhagat, A. A., Shete, B. J., &amp;Gondhali, B. V. (2023). </w:t>
      </w:r>
      <w:r w:rsidR="00287808" w:rsidRPr="0035248F">
        <w:rPr>
          <w:rFonts w:ascii="Arial" w:hAnsi="Arial" w:cs="Arial"/>
          <w:sz w:val="20"/>
          <w:szCs w:val="20"/>
          <w:lang w:val="en-GB" w:eastAsia="en-GB"/>
        </w:rPr>
        <w:t>'Co-integration analysis of pomegranate in selected markets of Maharashtra'. The Pharma Innovation Journal'</w:t>
      </w:r>
    </w:p>
    <w:p w14:paraId="73D8EC47" w14:textId="31169FA0"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Bhattacharyya, S., Lal, D., Roy, A., Lal, P., &amp; Roy, P. (2025).</w:t>
      </w:r>
      <w:r w:rsidR="00287808" w:rsidRPr="0035248F">
        <w:rPr>
          <w:rFonts w:ascii="Arial" w:hAnsi="Arial" w:cs="Arial"/>
          <w:sz w:val="20"/>
          <w:szCs w:val="20"/>
          <w:lang w:val="en-GB" w:eastAsia="en-GB"/>
        </w:rPr>
        <w:t>'The unsung women of citriculture: bridging science and society through macro and micro analysis for improved technology adoption in citrus value chain' published in Frontiers in Sociology</w:t>
      </w:r>
      <w:r w:rsidRPr="0035248F">
        <w:rPr>
          <w:rFonts w:ascii="Arial" w:hAnsi="Arial" w:cs="Arial"/>
          <w:sz w:val="20"/>
          <w:szCs w:val="20"/>
        </w:rPr>
        <w:t xml:space="preserve">. </w:t>
      </w:r>
      <w:hyperlink r:id="rId18" w:tgtFrame="_new" w:history="1">
        <w:r w:rsidRPr="0035248F">
          <w:rPr>
            <w:rStyle w:val="Hyperlink"/>
            <w:rFonts w:ascii="Arial" w:hAnsi="Arial" w:cs="Arial"/>
            <w:sz w:val="20"/>
            <w:szCs w:val="20"/>
          </w:rPr>
          <w:t>https://doi.org/10.3389/fsoc.2025.1656780</w:t>
        </w:r>
      </w:hyperlink>
    </w:p>
    <w:p w14:paraId="63ED573A" w14:textId="77777777"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Bhat, M. M. (2013). Agricultural land-use pattern in Pulwama district of Kashmir Valley. </w:t>
      </w:r>
      <w:r w:rsidRPr="0035248F">
        <w:rPr>
          <w:rStyle w:val="Emphasis"/>
          <w:rFonts w:ascii="Arial" w:hAnsi="Arial" w:cs="Arial"/>
          <w:sz w:val="20"/>
          <w:szCs w:val="20"/>
        </w:rPr>
        <w:t>IJEBF</w:t>
      </w:r>
      <w:r w:rsidRPr="0035248F">
        <w:rPr>
          <w:rFonts w:ascii="Arial" w:hAnsi="Arial" w:cs="Arial"/>
          <w:sz w:val="20"/>
          <w:szCs w:val="20"/>
        </w:rPr>
        <w:t>.</w:t>
      </w:r>
    </w:p>
    <w:p w14:paraId="23383A97" w14:textId="77777777"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Birkenholtz, T. (2023). Infrastructuring drip irrigation: The gendered assembly of farmers, laborers and state subsidy programs. </w:t>
      </w:r>
      <w:r w:rsidRPr="0035248F">
        <w:rPr>
          <w:rStyle w:val="Emphasis"/>
          <w:rFonts w:ascii="Arial" w:hAnsi="Arial" w:cs="Arial"/>
          <w:sz w:val="20"/>
          <w:szCs w:val="20"/>
        </w:rPr>
        <w:t>Environment and Planning E</w:t>
      </w:r>
      <w:r w:rsidRPr="0035248F">
        <w:rPr>
          <w:rFonts w:ascii="Arial" w:hAnsi="Arial" w:cs="Arial"/>
          <w:sz w:val="20"/>
          <w:szCs w:val="20"/>
        </w:rPr>
        <w:t xml:space="preserve">. </w:t>
      </w:r>
      <w:hyperlink r:id="rId19" w:tgtFrame="_new" w:history="1">
        <w:r w:rsidRPr="0035248F">
          <w:rPr>
            <w:rStyle w:val="Hyperlink"/>
            <w:rFonts w:ascii="Arial" w:hAnsi="Arial" w:cs="Arial"/>
            <w:sz w:val="20"/>
            <w:szCs w:val="20"/>
          </w:rPr>
          <w:t>https://doi.org/10.1177/25148486221100386</w:t>
        </w:r>
      </w:hyperlink>
    </w:p>
    <w:p w14:paraId="3F2C899F" w14:textId="3AC9F8A6" w:rsidR="006F6EF7" w:rsidRPr="0035248F" w:rsidRDefault="006F6EF7" w:rsidP="0035248F">
      <w:pPr>
        <w:spacing w:before="75" w:after="75"/>
        <w:jc w:val="both"/>
        <w:rPr>
          <w:rFonts w:ascii="Arial" w:hAnsi="Arial" w:cs="Arial"/>
          <w:color w:val="0000FF"/>
          <w:lang w:val="en-GB" w:eastAsia="en-GB"/>
        </w:rPr>
      </w:pPr>
      <w:r w:rsidRPr="0035248F">
        <w:rPr>
          <w:rFonts w:ascii="Arial" w:hAnsi="Arial" w:cs="Arial"/>
        </w:rPr>
        <w:t xml:space="preserve">Birthal, P. S., Joshi, P. K., &amp; Gulati, A. (2005). </w:t>
      </w:r>
      <w:r w:rsidR="00287808" w:rsidRPr="0035248F">
        <w:rPr>
          <w:rFonts w:ascii="Arial" w:hAnsi="Arial" w:cs="Arial"/>
          <w:lang w:val="en-GB" w:eastAsia="en-GB"/>
        </w:rPr>
        <w:t>Vertical coordination in high-value commodities: Implications for smallholders</w:t>
      </w:r>
      <w:r w:rsidRPr="0035248F">
        <w:rPr>
          <w:rFonts w:ascii="Arial" w:hAnsi="Arial" w:cs="Arial"/>
        </w:rPr>
        <w:t xml:space="preserve">. </w:t>
      </w:r>
      <w:r w:rsidR="00287808" w:rsidRPr="0035248F">
        <w:rPr>
          <w:rFonts w:ascii="Arial" w:hAnsi="Arial" w:cs="Arial"/>
          <w:lang w:val="en-GB" w:eastAsia="en-GB"/>
        </w:rPr>
        <w:t>MTID Discussion Paper No. 85, International Food Policy Research Institute (IFPRI)</w:t>
      </w:r>
      <w:r w:rsidR="00287808" w:rsidRPr="0035248F">
        <w:rPr>
          <w:rFonts w:ascii="Arial" w:hAnsi="Arial" w:cs="Arial"/>
        </w:rPr>
        <w:t xml:space="preserve"> </w:t>
      </w:r>
      <w:hyperlink r:id="rId20" w:history="1">
        <w:r w:rsidR="00287808" w:rsidRPr="0035248F">
          <w:rPr>
            <w:rFonts w:ascii="Arial" w:hAnsi="Arial" w:cs="Arial"/>
            <w:color w:val="0000FF"/>
            <w:lang w:val="en-GB" w:eastAsia="en-GB"/>
          </w:rPr>
          <w:t>10.22004/ag.econ.59824</w:t>
        </w:r>
      </w:hyperlink>
    </w:p>
    <w:p w14:paraId="46ABAB2A" w14:textId="03BA003B" w:rsidR="00656046" w:rsidRPr="0035248F" w:rsidRDefault="00656046"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lastRenderedPageBreak/>
        <w:t xml:space="preserve">Birthal, Pratap &amp; Roy, Devesh &amp; Negi, Digvijay. (2015). Assessing the Impact of Crop Diversification on Farm Poverty in India. World Development.72 </w:t>
      </w:r>
      <w:hyperlink r:id="rId21" w:history="1">
        <w:r w:rsidR="0045170B" w:rsidRPr="0035248F">
          <w:rPr>
            <w:rStyle w:val="Hyperlink"/>
            <w:rFonts w:ascii="Arial" w:hAnsi="Arial" w:cs="Arial"/>
            <w:sz w:val="20"/>
            <w:szCs w:val="20"/>
          </w:rPr>
          <w:t>https://doi.org/10.1016/j.worlddev.2015.02.015</w:t>
        </w:r>
      </w:hyperlink>
    </w:p>
    <w:p w14:paraId="752518B1" w14:textId="2B312E8C" w:rsidR="0045170B" w:rsidRPr="0035248F" w:rsidRDefault="006F6EF7" w:rsidP="0035248F">
      <w:pPr>
        <w:pStyle w:val="NormalWeb"/>
        <w:spacing w:before="120" w:beforeAutospacing="0" w:after="0" w:afterAutospacing="0" w:line="360" w:lineRule="auto"/>
        <w:jc w:val="both"/>
        <w:rPr>
          <w:rFonts w:ascii="Arial" w:hAnsi="Arial" w:cs="Arial"/>
          <w:color w:val="0000FF"/>
          <w:sz w:val="20"/>
          <w:szCs w:val="20"/>
          <w:lang w:val="en-GB" w:eastAsia="en-GB"/>
        </w:rPr>
      </w:pPr>
      <w:r w:rsidRPr="0035248F">
        <w:rPr>
          <w:rFonts w:ascii="Arial" w:hAnsi="Arial" w:cs="Arial"/>
          <w:sz w:val="20"/>
          <w:szCs w:val="20"/>
        </w:rPr>
        <w:t xml:space="preserve">Braun, V., &amp; Clarke, V. (2006). Using thematic analysis in psychology. </w:t>
      </w:r>
      <w:r w:rsidRPr="0035248F">
        <w:rPr>
          <w:rStyle w:val="Emphasis"/>
          <w:rFonts w:ascii="Arial" w:hAnsi="Arial" w:cs="Arial"/>
          <w:sz w:val="20"/>
          <w:szCs w:val="20"/>
        </w:rPr>
        <w:t>Qualitative Research in Psychology, 3</w:t>
      </w:r>
      <w:r w:rsidRPr="0035248F">
        <w:rPr>
          <w:rFonts w:ascii="Arial" w:hAnsi="Arial" w:cs="Arial"/>
          <w:sz w:val="20"/>
          <w:szCs w:val="20"/>
        </w:rPr>
        <w:t>(2), 77–101.</w:t>
      </w:r>
      <w:r w:rsidR="0045170B" w:rsidRPr="0035248F">
        <w:rPr>
          <w:rFonts w:ascii="Arial" w:hAnsi="Arial" w:cs="Arial"/>
          <w:b/>
          <w:bCs/>
          <w:sz w:val="20"/>
          <w:szCs w:val="20"/>
          <w:lang w:val="en-GB" w:eastAsia="en-GB"/>
        </w:rPr>
        <w:t xml:space="preserve"> DOI:</w:t>
      </w:r>
      <w:r w:rsidR="0045170B" w:rsidRPr="0035248F">
        <w:rPr>
          <w:rFonts w:ascii="Arial" w:hAnsi="Arial" w:cs="Arial"/>
          <w:sz w:val="20"/>
          <w:szCs w:val="20"/>
          <w:lang w:val="en-GB" w:eastAsia="en-GB"/>
        </w:rPr>
        <w:t xml:space="preserve"> </w:t>
      </w:r>
      <w:hyperlink r:id="rId22" w:history="1">
        <w:r w:rsidR="0045170B" w:rsidRPr="0035248F">
          <w:rPr>
            <w:rFonts w:ascii="Arial" w:hAnsi="Arial" w:cs="Arial"/>
            <w:color w:val="0000FF"/>
            <w:sz w:val="20"/>
            <w:szCs w:val="20"/>
            <w:lang w:val="en-GB" w:eastAsia="en-GB"/>
          </w:rPr>
          <w:t>10.1191/1478088706qp063oa</w:t>
        </w:r>
      </w:hyperlink>
    </w:p>
    <w:p w14:paraId="2FCC4BE4" w14:textId="43B7C56E" w:rsidR="006F6EF7" w:rsidRPr="0035248F" w:rsidRDefault="006F6EF7" w:rsidP="0035248F">
      <w:pPr>
        <w:spacing w:before="75" w:after="75"/>
        <w:jc w:val="both"/>
        <w:rPr>
          <w:rFonts w:ascii="Arial" w:hAnsi="Arial" w:cs="Arial"/>
          <w:lang w:val="en-GB" w:eastAsia="en-GB"/>
        </w:rPr>
      </w:pPr>
      <w:r w:rsidRPr="0035248F">
        <w:rPr>
          <w:rFonts w:ascii="Arial" w:hAnsi="Arial" w:cs="Arial"/>
        </w:rPr>
        <w:t>Chand, R., Prasanna, P. A. L., &amp; Singh, A. (2011</w:t>
      </w:r>
      <w:r w:rsidR="003C3AFC" w:rsidRPr="0035248F">
        <w:rPr>
          <w:rFonts w:ascii="Arial" w:hAnsi="Arial" w:cs="Arial"/>
          <w:lang w:val="en-GB" w:eastAsia="en-GB"/>
        </w:rPr>
        <w:t xml:space="preserve"> Farm Size and Productivity: Understanding the Strengths of Smallholder and Improving Their Livelihoods</w:t>
      </w:r>
      <w:r w:rsidRPr="0035248F">
        <w:rPr>
          <w:rFonts w:ascii="Arial" w:hAnsi="Arial" w:cs="Arial"/>
        </w:rPr>
        <w:t xml:space="preserve">. </w:t>
      </w:r>
      <w:r w:rsidRPr="0035248F">
        <w:rPr>
          <w:rStyle w:val="Emphasis"/>
          <w:rFonts w:ascii="Arial" w:hAnsi="Arial" w:cs="Arial"/>
        </w:rPr>
        <w:t>Economic and Political Weekly, 46</w:t>
      </w:r>
      <w:r w:rsidRPr="0035248F">
        <w:rPr>
          <w:rFonts w:ascii="Arial" w:hAnsi="Arial" w:cs="Arial"/>
        </w:rPr>
        <w:t>(26), 5–11.</w:t>
      </w:r>
    </w:p>
    <w:p w14:paraId="4B8836A1" w14:textId="19545A4A" w:rsidR="006F6EF7" w:rsidRPr="0035248F" w:rsidRDefault="006F6EF7" w:rsidP="0035248F">
      <w:pPr>
        <w:spacing w:before="75" w:after="75"/>
        <w:jc w:val="both"/>
        <w:rPr>
          <w:rFonts w:ascii="Arial" w:hAnsi="Arial" w:cs="Arial"/>
          <w:lang w:val="en-GB" w:eastAsia="en-GB"/>
        </w:rPr>
      </w:pPr>
      <w:r w:rsidRPr="0035248F">
        <w:rPr>
          <w:rFonts w:ascii="Arial" w:hAnsi="Arial" w:cs="Arial"/>
        </w:rPr>
        <w:t xml:space="preserve">Deshmukh, A., Agrawal, S., &amp;Jallaraph, V. (2021). </w:t>
      </w:r>
      <w:r w:rsidR="003C3AFC" w:rsidRPr="0035248F">
        <w:rPr>
          <w:rFonts w:ascii="Arial" w:hAnsi="Arial" w:cs="Arial"/>
          <w:lang w:val="en-GB" w:eastAsia="en-GB"/>
        </w:rPr>
        <w:t xml:space="preserve">Constraints Faced by Orange Growers about Production and Marketing Orange. International Journal of Agriculture, Environment and Biotechnology. </w:t>
      </w:r>
      <w:r w:rsidR="003C3AFC" w:rsidRPr="0035248F">
        <w:rPr>
          <w:rFonts w:ascii="Arial" w:hAnsi="Arial" w:cs="Arial"/>
          <w:b/>
          <w:bCs/>
          <w:lang w:val="en-GB" w:eastAsia="en-GB"/>
        </w:rPr>
        <w:t>DOI:</w:t>
      </w:r>
      <w:r w:rsidR="003C3AFC" w:rsidRPr="0035248F">
        <w:rPr>
          <w:rFonts w:ascii="Arial" w:hAnsi="Arial" w:cs="Arial"/>
          <w:lang w:val="en-GB" w:eastAsia="en-GB"/>
        </w:rPr>
        <w:t xml:space="preserve"> </w:t>
      </w:r>
      <w:hyperlink r:id="rId23" w:history="1">
        <w:r w:rsidR="003C3AFC" w:rsidRPr="0035248F">
          <w:rPr>
            <w:rFonts w:ascii="Arial" w:hAnsi="Arial" w:cs="Arial"/>
            <w:color w:val="0000FF"/>
            <w:lang w:val="en-GB" w:eastAsia="en-GB"/>
          </w:rPr>
          <w:t>10.30954/0974-1712.01.2021.2</w:t>
        </w:r>
      </w:hyperlink>
    </w:p>
    <w:p w14:paraId="31271BD3" w14:textId="62A3441A" w:rsidR="003C3AFC" w:rsidRPr="0035248F" w:rsidRDefault="003C3AFC" w:rsidP="0035248F">
      <w:pPr>
        <w:spacing w:before="75" w:after="75"/>
        <w:jc w:val="both"/>
        <w:rPr>
          <w:rFonts w:ascii="Arial" w:hAnsi="Arial" w:cs="Arial"/>
          <w:lang w:val="en-GB" w:eastAsia="en-GB"/>
        </w:rPr>
      </w:pPr>
      <w:r w:rsidRPr="0035248F">
        <w:rPr>
          <w:rFonts w:ascii="Arial" w:hAnsi="Arial" w:cs="Arial"/>
          <w:lang w:val="en-GB" w:eastAsia="en-GB"/>
        </w:rPr>
        <w:t>Devne, M. P., Dhawale, G. M., More, J., &amp; Mundhe, N. N.</w:t>
      </w:r>
      <w:r w:rsidR="006F6EF7" w:rsidRPr="0035248F">
        <w:rPr>
          <w:rFonts w:ascii="Arial" w:hAnsi="Arial" w:cs="Arial"/>
        </w:rPr>
        <w:t xml:space="preserve">(2020). </w:t>
      </w:r>
      <w:r w:rsidRPr="0035248F">
        <w:rPr>
          <w:rFonts w:ascii="Arial" w:hAnsi="Arial" w:cs="Arial"/>
          <w:lang w:val="en-GB" w:eastAsia="en-GB"/>
        </w:rPr>
        <w:t xml:space="preserve">Evaluation of Blended Irrigation Schemes: A Micro-Level Decadal Study of </w:t>
      </w:r>
      <w:proofErr w:type="spellStart"/>
      <w:r w:rsidRPr="0035248F">
        <w:rPr>
          <w:rFonts w:ascii="Arial" w:hAnsi="Arial" w:cs="Arial"/>
          <w:lang w:val="en-GB" w:eastAsia="en-GB"/>
        </w:rPr>
        <w:t>Shrigonda</w:t>
      </w:r>
      <w:proofErr w:type="spellEnd"/>
      <w:r w:rsidRPr="0035248F">
        <w:rPr>
          <w:rFonts w:ascii="Arial" w:hAnsi="Arial" w:cs="Arial"/>
          <w:lang w:val="en-GB" w:eastAsia="en-GB"/>
        </w:rPr>
        <w:t xml:space="preserve"> Tahsil in Drought Prone Western Maharashtra, India Indonesian Journal of Geography.</w:t>
      </w:r>
      <w:r w:rsidRPr="0035248F">
        <w:rPr>
          <w:rFonts w:ascii="Arial" w:hAnsi="Arial" w:cs="Arial"/>
          <w:b/>
          <w:bCs/>
          <w:lang w:val="en-GB" w:eastAsia="en-GB"/>
        </w:rPr>
        <w:t xml:space="preserve"> DOI:</w:t>
      </w:r>
      <w:r w:rsidRPr="0035248F">
        <w:rPr>
          <w:rFonts w:ascii="Arial" w:hAnsi="Arial" w:cs="Arial"/>
          <w:lang w:val="en-GB" w:eastAsia="en-GB"/>
        </w:rPr>
        <w:t xml:space="preserve"> </w:t>
      </w:r>
      <w:hyperlink r:id="rId24" w:history="1">
        <w:r w:rsidRPr="0035248F">
          <w:rPr>
            <w:rFonts w:ascii="Arial" w:hAnsi="Arial" w:cs="Arial"/>
            <w:color w:val="0000FF"/>
            <w:lang w:val="en-GB" w:eastAsia="en-GB"/>
          </w:rPr>
          <w:t>10.22146/ijg.49759</w:t>
        </w:r>
      </w:hyperlink>
    </w:p>
    <w:p w14:paraId="1D7FF42A" w14:textId="5E9C66F8"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District Collector Office. (2020). </w:t>
      </w:r>
      <w:r w:rsidRPr="0035248F">
        <w:rPr>
          <w:rStyle w:val="Emphasis"/>
          <w:rFonts w:ascii="Arial" w:hAnsi="Arial" w:cs="Arial"/>
          <w:sz w:val="20"/>
          <w:szCs w:val="20"/>
        </w:rPr>
        <w:t>District survey report: Ahmednagar, Maharashtra</w:t>
      </w:r>
      <w:r w:rsidRPr="0035248F">
        <w:rPr>
          <w:rFonts w:ascii="Arial" w:hAnsi="Arial" w:cs="Arial"/>
          <w:sz w:val="20"/>
          <w:szCs w:val="20"/>
        </w:rPr>
        <w:t>.</w:t>
      </w:r>
    </w:p>
    <w:p w14:paraId="50C6A2A8" w14:textId="271BF061"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Dolan, C., &amp; Humphrey, J. (2000). </w:t>
      </w:r>
      <w:r w:rsidR="003C3AFC" w:rsidRPr="0035248F">
        <w:rPr>
          <w:rFonts w:ascii="Arial" w:hAnsi="Arial" w:cs="Arial"/>
          <w:sz w:val="20"/>
          <w:szCs w:val="20"/>
          <w:lang w:val="en-GB" w:eastAsia="en-GB"/>
        </w:rPr>
        <w:t>Governance and Trade in Fresh Vegetables: The Impact of UK Supermarkets on the African Horticulture Industry</w:t>
      </w:r>
      <w:r w:rsidRPr="0035248F">
        <w:rPr>
          <w:rFonts w:ascii="Arial" w:hAnsi="Arial" w:cs="Arial"/>
          <w:sz w:val="20"/>
          <w:szCs w:val="20"/>
        </w:rPr>
        <w:t xml:space="preserve">. </w:t>
      </w:r>
      <w:r w:rsidRPr="0035248F">
        <w:rPr>
          <w:rStyle w:val="Emphasis"/>
          <w:rFonts w:ascii="Arial" w:hAnsi="Arial" w:cs="Arial"/>
          <w:sz w:val="20"/>
          <w:szCs w:val="20"/>
        </w:rPr>
        <w:t>Journal of Development Studies, 37</w:t>
      </w:r>
      <w:r w:rsidRPr="0035248F">
        <w:rPr>
          <w:rFonts w:ascii="Arial" w:hAnsi="Arial" w:cs="Arial"/>
          <w:sz w:val="20"/>
          <w:szCs w:val="20"/>
        </w:rPr>
        <w:t>(2), 147–176.</w:t>
      </w:r>
      <w:r w:rsidR="003C3AFC" w:rsidRPr="0035248F">
        <w:rPr>
          <w:rFonts w:ascii="Arial" w:hAnsi="Arial" w:cs="Arial"/>
          <w:b/>
          <w:bCs/>
          <w:sz w:val="20"/>
          <w:szCs w:val="20"/>
          <w:lang w:val="en-GB" w:eastAsia="en-GB"/>
        </w:rPr>
        <w:t xml:space="preserve"> DOI:</w:t>
      </w:r>
      <w:r w:rsidR="003C3AFC" w:rsidRPr="0035248F">
        <w:rPr>
          <w:rFonts w:ascii="Arial" w:hAnsi="Arial" w:cs="Arial"/>
          <w:sz w:val="20"/>
          <w:szCs w:val="20"/>
          <w:lang w:val="en-GB" w:eastAsia="en-GB"/>
        </w:rPr>
        <w:t xml:space="preserve"> </w:t>
      </w:r>
      <w:hyperlink r:id="rId25" w:history="1">
        <w:r w:rsidR="003C3AFC" w:rsidRPr="0035248F">
          <w:rPr>
            <w:rFonts w:ascii="Arial" w:hAnsi="Arial" w:cs="Arial"/>
            <w:color w:val="0000FF"/>
            <w:sz w:val="20"/>
            <w:szCs w:val="20"/>
            <w:lang w:val="en-GB" w:eastAsia="en-GB"/>
          </w:rPr>
          <w:t>10.1080/713600072</w:t>
        </w:r>
      </w:hyperlink>
    </w:p>
    <w:p w14:paraId="6F5AF818" w14:textId="77777777"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Ellis, F. (2000). </w:t>
      </w:r>
      <w:r w:rsidRPr="0035248F">
        <w:rPr>
          <w:rStyle w:val="Emphasis"/>
          <w:rFonts w:ascii="Arial" w:hAnsi="Arial" w:cs="Arial"/>
          <w:sz w:val="20"/>
          <w:szCs w:val="20"/>
        </w:rPr>
        <w:t>Rural livelihoods and diversity in developing countries</w:t>
      </w:r>
      <w:r w:rsidRPr="0035248F">
        <w:rPr>
          <w:rFonts w:ascii="Arial" w:hAnsi="Arial" w:cs="Arial"/>
          <w:sz w:val="20"/>
          <w:szCs w:val="20"/>
        </w:rPr>
        <w:t>. Oxford University Press.</w:t>
      </w:r>
    </w:p>
    <w:p w14:paraId="0FECB499" w14:textId="217263D3"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FAO. (2022). </w:t>
      </w:r>
      <w:r w:rsidRPr="0035248F">
        <w:rPr>
          <w:rStyle w:val="Emphasis"/>
          <w:rFonts w:ascii="Arial" w:hAnsi="Arial" w:cs="Arial"/>
          <w:sz w:val="20"/>
          <w:szCs w:val="20"/>
        </w:rPr>
        <w:t>The State of Food and Agriculture</w:t>
      </w:r>
      <w:r w:rsidRPr="0035248F">
        <w:rPr>
          <w:rFonts w:ascii="Arial" w:hAnsi="Arial" w:cs="Arial"/>
          <w:sz w:val="20"/>
          <w:szCs w:val="20"/>
        </w:rPr>
        <w:t>. Food and Agriculture Organization.</w:t>
      </w:r>
    </w:p>
    <w:p w14:paraId="3C6C477B" w14:textId="20BA4CDB" w:rsidR="005F3DE6" w:rsidRPr="0035248F" w:rsidRDefault="005F3DE6"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color w:val="222222"/>
          <w:sz w:val="20"/>
          <w:szCs w:val="20"/>
          <w:shd w:val="clear" w:color="auto" w:fill="FFFFFF"/>
        </w:rPr>
        <w:t>Gopal, M. N. S. (2024). Economics of production and marketing of guava in Ahmednagar district of Maharashtra. </w:t>
      </w:r>
      <w:r w:rsidRPr="0035248F">
        <w:rPr>
          <w:rFonts w:ascii="Arial" w:hAnsi="Arial" w:cs="Arial"/>
          <w:i/>
          <w:iCs/>
          <w:color w:val="222222"/>
          <w:sz w:val="20"/>
          <w:szCs w:val="20"/>
          <w:shd w:val="clear" w:color="auto" w:fill="FFFFFF"/>
        </w:rPr>
        <w:t>Unpublished M. Sc.[Agri.] thesis). Mahatma Phule Krishi Vidyapeeth, Maharashtra</w:t>
      </w:r>
      <w:r w:rsidRPr="0035248F">
        <w:rPr>
          <w:rFonts w:ascii="Arial" w:hAnsi="Arial" w:cs="Arial"/>
          <w:color w:val="222222"/>
          <w:sz w:val="20"/>
          <w:szCs w:val="20"/>
          <w:shd w:val="clear" w:color="auto" w:fill="FFFFFF"/>
        </w:rPr>
        <w:t>.</w:t>
      </w:r>
    </w:p>
    <w:p w14:paraId="14246A26" w14:textId="77777777"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Hayami, Y., &amp;Ruttan, V. W. (1985). </w:t>
      </w:r>
      <w:r w:rsidRPr="0035248F">
        <w:rPr>
          <w:rStyle w:val="Emphasis"/>
          <w:rFonts w:ascii="Arial" w:hAnsi="Arial" w:cs="Arial"/>
          <w:sz w:val="20"/>
          <w:szCs w:val="20"/>
        </w:rPr>
        <w:t>Agricultural development: An international perspective</w:t>
      </w:r>
      <w:r w:rsidRPr="0035248F">
        <w:rPr>
          <w:rFonts w:ascii="Arial" w:hAnsi="Arial" w:cs="Arial"/>
          <w:sz w:val="20"/>
          <w:szCs w:val="20"/>
        </w:rPr>
        <w:t>. Johns Hopkins University Press.</w:t>
      </w:r>
    </w:p>
    <w:p w14:paraId="31E89D36" w14:textId="4604EB85" w:rsidR="00941FC6" w:rsidRPr="0035248F" w:rsidRDefault="00941FC6"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Hussain, Intizar. (2007). Pro-poor intervention strategies in irrigated agriculture in Asia: Issues, lessons, options and guidelines. Irrigation and Drainage. 56. 119-126. </w:t>
      </w:r>
      <w:hyperlink r:id="rId26" w:history="1">
        <w:r w:rsidRPr="0035248F">
          <w:rPr>
            <w:rStyle w:val="Hyperlink"/>
            <w:rFonts w:ascii="Arial" w:hAnsi="Arial" w:cs="Arial"/>
            <w:sz w:val="20"/>
            <w:szCs w:val="20"/>
          </w:rPr>
          <w:t>https://doi.org/10.1002/ird.299</w:t>
        </w:r>
      </w:hyperlink>
    </w:p>
    <w:p w14:paraId="26469DF8" w14:textId="761F2B40" w:rsidR="004D5B5B" w:rsidRPr="0035248F" w:rsidRDefault="004D5B5B"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lang w:val="en-GB" w:eastAsia="en-GB"/>
        </w:rPr>
        <w:t>Joshi, P. K., Joshi, L., &amp; Birthal, P. S</w:t>
      </w:r>
      <w:r w:rsidRPr="0035248F">
        <w:rPr>
          <w:rFonts w:ascii="Arial" w:hAnsi="Arial" w:cs="Arial"/>
          <w:sz w:val="20"/>
          <w:szCs w:val="20"/>
        </w:rPr>
        <w:t xml:space="preserve">. (2006). Diversification and Its Impact on Smallholders: Evidence from a Study on Vegetable Production. Agricultural Economics Research Review. </w:t>
      </w:r>
      <w:hyperlink r:id="rId27" w:history="1">
        <w:r w:rsidRPr="0035248F">
          <w:rPr>
            <w:rStyle w:val="Hyperlink"/>
            <w:rFonts w:ascii="Arial" w:hAnsi="Arial" w:cs="Arial"/>
            <w:sz w:val="20"/>
            <w:szCs w:val="20"/>
          </w:rPr>
          <w:t>https://doi.org/10.1177/0971344120060202</w:t>
        </w:r>
      </w:hyperlink>
    </w:p>
    <w:p w14:paraId="52F39E25" w14:textId="1A6C8E56" w:rsidR="006F6EF7" w:rsidRPr="0035248F" w:rsidRDefault="004D5B5B"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J</w:t>
      </w:r>
      <w:r w:rsidR="006F6EF7" w:rsidRPr="0035248F">
        <w:rPr>
          <w:rFonts w:ascii="Arial" w:hAnsi="Arial" w:cs="Arial"/>
          <w:sz w:val="20"/>
          <w:szCs w:val="20"/>
        </w:rPr>
        <w:t>oshi, P. K., Gulati, A., Birthal, P. S., &amp; Tewari, L. (200</w:t>
      </w:r>
      <w:r w:rsidR="0053263C" w:rsidRPr="0035248F">
        <w:rPr>
          <w:rFonts w:ascii="Arial" w:hAnsi="Arial" w:cs="Arial"/>
          <w:sz w:val="20"/>
          <w:szCs w:val="20"/>
        </w:rPr>
        <w:t>4)</w:t>
      </w:r>
      <w:r w:rsidRPr="0035248F">
        <w:rPr>
          <w:rFonts w:ascii="Arial" w:hAnsi="Arial" w:cs="Arial"/>
          <w:sz w:val="20"/>
          <w:szCs w:val="20"/>
          <w:lang w:val="en-GB" w:eastAsia="en-GB"/>
        </w:rPr>
        <w:t xml:space="preserve"> Agricultural Diversification in South Asia: Patterns, Determinants and Policy Implications</w:t>
      </w:r>
      <w:r w:rsidR="006F6EF7" w:rsidRPr="0035248F">
        <w:rPr>
          <w:rFonts w:ascii="Arial" w:hAnsi="Arial" w:cs="Arial"/>
          <w:sz w:val="20"/>
          <w:szCs w:val="20"/>
        </w:rPr>
        <w:t xml:space="preserve">. </w:t>
      </w:r>
      <w:r w:rsidR="006F6EF7" w:rsidRPr="0035248F">
        <w:rPr>
          <w:rStyle w:val="Emphasis"/>
          <w:rFonts w:ascii="Arial" w:hAnsi="Arial" w:cs="Arial"/>
          <w:sz w:val="20"/>
          <w:szCs w:val="20"/>
        </w:rPr>
        <w:t xml:space="preserve">Economic and Political Weekly, </w:t>
      </w:r>
      <w:r w:rsidR="0053263C" w:rsidRPr="0035248F">
        <w:rPr>
          <w:rFonts w:ascii="Arial" w:hAnsi="Arial" w:cs="Arial"/>
          <w:sz w:val="20"/>
          <w:szCs w:val="20"/>
          <w:lang w:val="en-GB" w:eastAsia="en-GB"/>
        </w:rPr>
        <w:t>Volume 39, Issue 24, pp. 2457-2467.</w:t>
      </w:r>
    </w:p>
    <w:p w14:paraId="6706E4AE" w14:textId="2E89CE8D"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lastRenderedPageBreak/>
        <w:t>Kundu, A., &amp; Das, S. (2022).</w:t>
      </w:r>
      <w:r w:rsidR="0053263C" w:rsidRPr="0035248F">
        <w:rPr>
          <w:rFonts w:ascii="Arial" w:hAnsi="Arial" w:cs="Arial"/>
          <w:sz w:val="20"/>
          <w:szCs w:val="20"/>
          <w:lang w:val="en-GB" w:eastAsia="en-GB"/>
        </w:rPr>
        <w:t>Occupational Diversification as Livelihood Strategy Among the Agricultural Labour Households of West Bengal, India'. Volume 47, Issue 1, pages 40–58</w:t>
      </w:r>
      <w:r w:rsidRPr="0035248F">
        <w:rPr>
          <w:rFonts w:ascii="Arial" w:hAnsi="Arial" w:cs="Arial"/>
          <w:sz w:val="20"/>
          <w:szCs w:val="20"/>
        </w:rPr>
        <w:t>.</w:t>
      </w:r>
      <w:r w:rsidR="0053263C" w:rsidRPr="0035248F">
        <w:rPr>
          <w:rFonts w:ascii="Arial" w:hAnsi="Arial" w:cs="Arial"/>
          <w:sz w:val="20"/>
          <w:szCs w:val="20"/>
        </w:rPr>
        <w:t xml:space="preserve"> </w:t>
      </w:r>
      <w:hyperlink r:id="rId28" w:history="1">
        <w:r w:rsidR="0053263C" w:rsidRPr="0035248F">
          <w:rPr>
            <w:rStyle w:val="Hyperlink"/>
            <w:rFonts w:ascii="Arial" w:hAnsi="Arial" w:cs="Arial"/>
            <w:sz w:val="20"/>
            <w:szCs w:val="20"/>
          </w:rPr>
          <w:t>https://doi.org/10.1177/0258042X211026149</w:t>
        </w:r>
      </w:hyperlink>
    </w:p>
    <w:p w14:paraId="7FDCF319" w14:textId="468B472A" w:rsidR="0053263C" w:rsidRPr="0035248F" w:rsidRDefault="006F6EF7" w:rsidP="0035248F">
      <w:pPr>
        <w:spacing w:before="75" w:after="75"/>
        <w:jc w:val="both"/>
        <w:rPr>
          <w:rFonts w:ascii="Arial" w:hAnsi="Arial" w:cs="Arial"/>
          <w:lang w:val="en-GB" w:eastAsia="en-GB"/>
        </w:rPr>
      </w:pPr>
      <w:r w:rsidRPr="0035248F">
        <w:rPr>
          <w:rFonts w:ascii="Arial" w:hAnsi="Arial" w:cs="Arial"/>
        </w:rPr>
        <w:t>Maertens, M., Minten, B., &amp;Swinnen, J. (2012</w:t>
      </w:r>
      <w:r w:rsidR="0053263C" w:rsidRPr="0035248F">
        <w:rPr>
          <w:rFonts w:ascii="Arial" w:hAnsi="Arial" w:cs="Arial"/>
        </w:rPr>
        <w:t xml:space="preserve">). </w:t>
      </w:r>
      <w:r w:rsidR="0053263C" w:rsidRPr="0035248F">
        <w:rPr>
          <w:rFonts w:ascii="Arial" w:hAnsi="Arial" w:cs="Arial"/>
          <w:lang w:val="en-GB" w:eastAsia="en-GB"/>
        </w:rPr>
        <w:t xml:space="preserve"> Modern Food Supply Chains and Development: Evidence from Horticulture Export Sectors in Sub-Saharan Africa. Development Policy Review Journal.30</w:t>
      </w:r>
      <w:r w:rsidR="009C52B8" w:rsidRPr="0035248F">
        <w:rPr>
          <w:rFonts w:ascii="Arial" w:hAnsi="Arial" w:cs="Arial"/>
          <w:lang w:val="en-GB" w:eastAsia="en-GB"/>
        </w:rPr>
        <w:t xml:space="preserve">. </w:t>
      </w:r>
      <w:r w:rsidR="0053263C" w:rsidRPr="0035248F">
        <w:rPr>
          <w:rFonts w:ascii="Arial" w:hAnsi="Arial" w:cs="Arial"/>
        </w:rPr>
        <w:t xml:space="preserve"> </w:t>
      </w:r>
      <w:hyperlink r:id="rId29" w:history="1">
        <w:r w:rsidR="0053263C" w:rsidRPr="0035248F">
          <w:rPr>
            <w:rStyle w:val="Hyperlink"/>
            <w:rFonts w:ascii="Arial" w:hAnsi="Arial" w:cs="Arial"/>
            <w:lang w:val="en-GB" w:eastAsia="en-GB"/>
          </w:rPr>
          <w:t>https://doi.org/10.1111/j.1467-7679.2012.00585.x</w:t>
        </w:r>
      </w:hyperlink>
    </w:p>
    <w:p w14:paraId="58348957" w14:textId="5B2626C7" w:rsidR="006F6EF7" w:rsidRPr="0035248F" w:rsidRDefault="0053263C" w:rsidP="0035248F">
      <w:pPr>
        <w:spacing w:before="75" w:after="75"/>
        <w:jc w:val="both"/>
        <w:rPr>
          <w:rFonts w:ascii="Arial" w:hAnsi="Arial" w:cs="Arial"/>
          <w:lang w:val="en-GB" w:eastAsia="en-GB"/>
        </w:rPr>
      </w:pPr>
      <w:r w:rsidRPr="0035248F">
        <w:rPr>
          <w:rFonts w:ascii="Arial" w:hAnsi="Arial" w:cs="Arial"/>
          <w:lang w:val="en-GB" w:eastAsia="en-GB"/>
        </w:rPr>
        <w:t xml:space="preserve"> </w:t>
      </w:r>
      <w:r w:rsidR="006F6EF7" w:rsidRPr="0035248F">
        <w:rPr>
          <w:rFonts w:ascii="Arial" w:hAnsi="Arial" w:cs="Arial"/>
        </w:rPr>
        <w:t xml:space="preserve">Mali, B. M. (2025). Spatio-temporal study of fruit farming in Solapur district. </w:t>
      </w:r>
      <w:r w:rsidR="006F6EF7" w:rsidRPr="0035248F">
        <w:rPr>
          <w:rStyle w:val="Emphasis"/>
          <w:rFonts w:ascii="Arial" w:hAnsi="Arial" w:cs="Arial"/>
        </w:rPr>
        <w:t>IJWGAFES</w:t>
      </w:r>
      <w:r w:rsidR="006F6EF7" w:rsidRPr="0035248F">
        <w:rPr>
          <w:rFonts w:ascii="Arial" w:hAnsi="Arial" w:cs="Arial"/>
        </w:rPr>
        <w:t>.</w:t>
      </w:r>
    </w:p>
    <w:p w14:paraId="0E49A019" w14:textId="77777777"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Mittal, S. (2007). </w:t>
      </w:r>
      <w:r w:rsidRPr="0035248F">
        <w:rPr>
          <w:rStyle w:val="Emphasis"/>
          <w:rFonts w:ascii="Arial" w:hAnsi="Arial" w:cs="Arial"/>
          <w:sz w:val="20"/>
          <w:szCs w:val="20"/>
        </w:rPr>
        <w:t>Can horticulture be a success story for India?</w:t>
      </w:r>
      <w:r w:rsidRPr="0035248F">
        <w:rPr>
          <w:rFonts w:ascii="Arial" w:hAnsi="Arial" w:cs="Arial"/>
          <w:sz w:val="20"/>
          <w:szCs w:val="20"/>
        </w:rPr>
        <w:t xml:space="preserve"> ICRIER.</w:t>
      </w:r>
    </w:p>
    <w:p w14:paraId="398F9661" w14:textId="5451BBC8" w:rsidR="006F6EF7" w:rsidRPr="0035248F" w:rsidRDefault="006F6EF7" w:rsidP="0035248F">
      <w:pPr>
        <w:spacing w:before="75" w:after="75"/>
        <w:jc w:val="both"/>
        <w:rPr>
          <w:rFonts w:ascii="Arial" w:hAnsi="Arial" w:cs="Arial"/>
          <w:lang w:val="en-GB" w:eastAsia="en-GB"/>
        </w:rPr>
      </w:pPr>
      <w:r w:rsidRPr="0035248F">
        <w:rPr>
          <w:rFonts w:ascii="Arial" w:hAnsi="Arial" w:cs="Arial"/>
        </w:rPr>
        <w:t xml:space="preserve">Moher, D., Liberati, A., Tetzlaff, J., &amp; Altman, D. (2009). </w:t>
      </w:r>
      <w:r w:rsidR="009C52B8" w:rsidRPr="0035248F">
        <w:rPr>
          <w:rFonts w:ascii="Arial" w:hAnsi="Arial" w:cs="Arial"/>
          <w:lang w:val="en-GB" w:eastAsia="en-GB"/>
        </w:rPr>
        <w:t>Preferred Reporting Items for Systematic Reviews and Meta-Analyses: The PRISMA Statement.</w:t>
      </w:r>
      <w:r w:rsidRPr="0035248F">
        <w:rPr>
          <w:rStyle w:val="Emphasis"/>
          <w:rFonts w:ascii="Arial" w:hAnsi="Arial" w:cs="Arial"/>
        </w:rPr>
        <w:t>PLoS Medicine, 6</w:t>
      </w:r>
      <w:r w:rsidRPr="0035248F">
        <w:rPr>
          <w:rFonts w:ascii="Arial" w:hAnsi="Arial" w:cs="Arial"/>
        </w:rPr>
        <w:t>(7).</w:t>
      </w:r>
      <w:r w:rsidR="009C52B8" w:rsidRPr="0035248F">
        <w:rPr>
          <w:rFonts w:ascii="Arial" w:hAnsi="Arial" w:cs="Arial"/>
        </w:rPr>
        <w:t xml:space="preserve"> </w:t>
      </w:r>
      <w:hyperlink r:id="rId30" w:history="1">
        <w:r w:rsidR="009C52B8" w:rsidRPr="0035248F">
          <w:rPr>
            <w:rStyle w:val="Hyperlink"/>
            <w:rFonts w:ascii="Arial" w:hAnsi="Arial" w:cs="Arial"/>
          </w:rPr>
          <w:t>https://doi.org/10.1371/journal.pmed.1000097</w:t>
        </w:r>
      </w:hyperlink>
    </w:p>
    <w:p w14:paraId="227A4A94" w14:textId="6C7B6E43"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Narayanamoorthy, A. (2007). </w:t>
      </w:r>
      <w:r w:rsidR="009C52B8" w:rsidRPr="0035248F">
        <w:rPr>
          <w:rFonts w:ascii="Arial" w:hAnsi="Arial" w:cs="Arial"/>
          <w:sz w:val="20"/>
          <w:szCs w:val="20"/>
          <w:lang w:val="en-GB" w:eastAsia="en-GB"/>
        </w:rPr>
        <w:t>Drip irrigation in India: can it solve water scarcity</w:t>
      </w:r>
      <w:r w:rsidRPr="0035248F">
        <w:rPr>
          <w:rFonts w:ascii="Arial" w:hAnsi="Arial" w:cs="Arial"/>
          <w:sz w:val="20"/>
          <w:szCs w:val="20"/>
        </w:rPr>
        <w:t xml:space="preserve">? </w:t>
      </w:r>
      <w:r w:rsidRPr="0035248F">
        <w:rPr>
          <w:rStyle w:val="Emphasis"/>
          <w:rFonts w:ascii="Arial" w:hAnsi="Arial" w:cs="Arial"/>
          <w:sz w:val="20"/>
          <w:szCs w:val="20"/>
        </w:rPr>
        <w:t>Agricultural Economics Research Review, 20</w:t>
      </w:r>
      <w:r w:rsidRPr="0035248F">
        <w:rPr>
          <w:rFonts w:ascii="Arial" w:hAnsi="Arial" w:cs="Arial"/>
          <w:sz w:val="20"/>
          <w:szCs w:val="20"/>
        </w:rPr>
        <w:t>, 209–224.</w:t>
      </w:r>
    </w:p>
    <w:p w14:paraId="488BCABC" w14:textId="77777777"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NHB. (2023). </w:t>
      </w:r>
      <w:r w:rsidRPr="0035248F">
        <w:rPr>
          <w:rStyle w:val="Emphasis"/>
          <w:rFonts w:ascii="Arial" w:hAnsi="Arial" w:cs="Arial"/>
          <w:sz w:val="20"/>
          <w:szCs w:val="20"/>
        </w:rPr>
        <w:t>Horticulture statistics at a glance</w:t>
      </w:r>
      <w:r w:rsidRPr="0035248F">
        <w:rPr>
          <w:rFonts w:ascii="Arial" w:hAnsi="Arial" w:cs="Arial"/>
          <w:sz w:val="20"/>
          <w:szCs w:val="20"/>
        </w:rPr>
        <w:t xml:space="preserve">. </w:t>
      </w:r>
      <w:hyperlink r:id="rId31" w:tgtFrame="_new" w:history="1">
        <w:r w:rsidRPr="0035248F">
          <w:rPr>
            <w:rStyle w:val="Hyperlink"/>
            <w:rFonts w:ascii="Arial" w:hAnsi="Arial" w:cs="Arial"/>
            <w:sz w:val="20"/>
            <w:szCs w:val="20"/>
          </w:rPr>
          <w:t>https://nhb.gov.in</w:t>
        </w:r>
      </w:hyperlink>
    </w:p>
    <w:p w14:paraId="4A4D4ED8" w14:textId="77777777" w:rsidR="00C751F9" w:rsidRPr="0035248F" w:rsidRDefault="00C751F9" w:rsidP="0035248F">
      <w:pPr>
        <w:pStyle w:val="NormalWeb"/>
        <w:spacing w:before="120" w:beforeAutospacing="0" w:after="0" w:afterAutospacing="0" w:line="360" w:lineRule="auto"/>
        <w:jc w:val="both"/>
        <w:rPr>
          <w:rFonts w:ascii="Arial" w:hAnsi="Arial" w:cs="Arial"/>
          <w:color w:val="222222"/>
          <w:sz w:val="20"/>
          <w:szCs w:val="20"/>
          <w:shd w:val="clear" w:color="auto" w:fill="FFFFFF"/>
        </w:rPr>
      </w:pPr>
      <w:r w:rsidRPr="0035248F">
        <w:rPr>
          <w:rFonts w:ascii="Arial" w:hAnsi="Arial" w:cs="Arial"/>
          <w:color w:val="222222"/>
          <w:sz w:val="20"/>
          <w:szCs w:val="20"/>
          <w:shd w:val="clear" w:color="auto" w:fill="FFFFFF"/>
        </w:rPr>
        <w:t>Pagar, S. D. (2018). Geographical analysis of cropping pattern in Maharashtra State, India. </w:t>
      </w:r>
      <w:r w:rsidRPr="0035248F">
        <w:rPr>
          <w:rFonts w:ascii="Arial" w:hAnsi="Arial" w:cs="Arial"/>
          <w:i/>
          <w:iCs/>
          <w:color w:val="222222"/>
          <w:sz w:val="20"/>
          <w:szCs w:val="20"/>
          <w:shd w:val="clear" w:color="auto" w:fill="FFFFFF"/>
        </w:rPr>
        <w:t>Journal of Current Global Reviewer</w:t>
      </w:r>
      <w:r w:rsidRPr="0035248F">
        <w:rPr>
          <w:rFonts w:ascii="Arial" w:hAnsi="Arial" w:cs="Arial"/>
          <w:color w:val="222222"/>
          <w:sz w:val="20"/>
          <w:szCs w:val="20"/>
          <w:shd w:val="clear" w:color="auto" w:fill="FFFFFF"/>
        </w:rPr>
        <w:t>, </w:t>
      </w:r>
      <w:r w:rsidRPr="0035248F">
        <w:rPr>
          <w:rFonts w:ascii="Arial" w:hAnsi="Arial" w:cs="Arial"/>
          <w:i/>
          <w:iCs/>
          <w:color w:val="222222"/>
          <w:sz w:val="20"/>
          <w:szCs w:val="20"/>
          <w:shd w:val="clear" w:color="auto" w:fill="FFFFFF"/>
        </w:rPr>
        <w:t>1</w:t>
      </w:r>
      <w:r w:rsidRPr="0035248F">
        <w:rPr>
          <w:rFonts w:ascii="Arial" w:hAnsi="Arial" w:cs="Arial"/>
          <w:color w:val="222222"/>
          <w:sz w:val="20"/>
          <w:szCs w:val="20"/>
          <w:shd w:val="clear" w:color="auto" w:fill="FFFFFF"/>
        </w:rPr>
        <w:t>(1), 43-51.</w:t>
      </w:r>
    </w:p>
    <w:p w14:paraId="7A5E691B" w14:textId="77777777" w:rsidR="00493C98" w:rsidRPr="0035248F" w:rsidRDefault="00C751F9" w:rsidP="0035248F">
      <w:pPr>
        <w:pStyle w:val="NormalWeb"/>
        <w:spacing w:before="120" w:beforeAutospacing="0" w:after="0" w:afterAutospacing="0" w:line="360" w:lineRule="auto"/>
        <w:jc w:val="both"/>
        <w:rPr>
          <w:rFonts w:ascii="Arial" w:hAnsi="Arial" w:cs="Arial"/>
          <w:color w:val="222222"/>
          <w:sz w:val="20"/>
          <w:szCs w:val="20"/>
          <w:shd w:val="clear" w:color="auto" w:fill="FFFFFF"/>
        </w:rPr>
      </w:pPr>
      <w:r w:rsidRPr="0035248F">
        <w:rPr>
          <w:rFonts w:ascii="Arial" w:hAnsi="Arial" w:cs="Arial"/>
          <w:color w:val="222222"/>
          <w:sz w:val="20"/>
          <w:szCs w:val="20"/>
          <w:shd w:val="clear" w:color="auto" w:fill="FFFFFF"/>
        </w:rPr>
        <w:t>Pingali, P. L., &amp; Rosegrant, M. W. (1995). Agricultural commercialization and diversification: processes and policies. </w:t>
      </w:r>
      <w:r w:rsidRPr="0035248F">
        <w:rPr>
          <w:rFonts w:ascii="Arial" w:hAnsi="Arial" w:cs="Arial"/>
          <w:i/>
          <w:iCs/>
          <w:color w:val="222222"/>
          <w:sz w:val="20"/>
          <w:szCs w:val="20"/>
          <w:shd w:val="clear" w:color="auto" w:fill="FFFFFF"/>
        </w:rPr>
        <w:t>Food policy</w:t>
      </w:r>
      <w:r w:rsidRPr="0035248F">
        <w:rPr>
          <w:rFonts w:ascii="Arial" w:hAnsi="Arial" w:cs="Arial"/>
          <w:color w:val="222222"/>
          <w:sz w:val="20"/>
          <w:szCs w:val="20"/>
          <w:shd w:val="clear" w:color="auto" w:fill="FFFFFF"/>
        </w:rPr>
        <w:t>, </w:t>
      </w:r>
      <w:r w:rsidRPr="0035248F">
        <w:rPr>
          <w:rFonts w:ascii="Arial" w:hAnsi="Arial" w:cs="Arial"/>
          <w:i/>
          <w:iCs/>
          <w:color w:val="222222"/>
          <w:sz w:val="20"/>
          <w:szCs w:val="20"/>
          <w:shd w:val="clear" w:color="auto" w:fill="FFFFFF"/>
        </w:rPr>
        <w:t>20</w:t>
      </w:r>
      <w:r w:rsidRPr="0035248F">
        <w:rPr>
          <w:rFonts w:ascii="Arial" w:hAnsi="Arial" w:cs="Arial"/>
          <w:color w:val="222222"/>
          <w:sz w:val="20"/>
          <w:szCs w:val="20"/>
          <w:shd w:val="clear" w:color="auto" w:fill="FFFFFF"/>
        </w:rPr>
        <w:t>(3), 171-185.</w:t>
      </w:r>
    </w:p>
    <w:p w14:paraId="37DC39D3" w14:textId="77777777" w:rsidR="00493C98" w:rsidRPr="0035248F" w:rsidRDefault="00493C98" w:rsidP="0035248F">
      <w:pPr>
        <w:pStyle w:val="NormalWeb"/>
        <w:spacing w:before="120" w:beforeAutospacing="0" w:after="0" w:afterAutospacing="0" w:line="360" w:lineRule="auto"/>
        <w:jc w:val="both"/>
        <w:rPr>
          <w:rFonts w:ascii="Arial" w:hAnsi="Arial" w:cs="Arial"/>
          <w:color w:val="222222"/>
          <w:sz w:val="20"/>
          <w:szCs w:val="20"/>
          <w:shd w:val="clear" w:color="auto" w:fill="FFFFFF"/>
        </w:rPr>
      </w:pPr>
      <w:r w:rsidRPr="0035248F">
        <w:rPr>
          <w:rFonts w:ascii="Arial" w:hAnsi="Arial" w:cs="Arial"/>
          <w:color w:val="222222"/>
          <w:sz w:val="20"/>
          <w:szCs w:val="20"/>
          <w:shd w:val="clear" w:color="auto" w:fill="FFFFFF"/>
        </w:rPr>
        <w:t>Raju, M. R. S. (2021). </w:t>
      </w:r>
      <w:r w:rsidRPr="0035248F">
        <w:rPr>
          <w:rFonts w:ascii="Arial" w:hAnsi="Arial" w:cs="Arial"/>
          <w:i/>
          <w:iCs/>
          <w:color w:val="222222"/>
          <w:sz w:val="20"/>
          <w:szCs w:val="20"/>
          <w:shd w:val="clear" w:color="auto" w:fill="FFFFFF"/>
        </w:rPr>
        <w:t>ECONOMIC ANALYSIS OF PRODUCTION, MARKETING AND EXPORT PERFORMANCE OF BANANA FROM WESTERN MAHARASHTRA</w:t>
      </w:r>
      <w:r w:rsidRPr="0035248F">
        <w:rPr>
          <w:rFonts w:ascii="Arial" w:hAnsi="Arial" w:cs="Arial"/>
          <w:color w:val="222222"/>
          <w:sz w:val="20"/>
          <w:szCs w:val="20"/>
          <w:shd w:val="clear" w:color="auto" w:fill="FFFFFF"/>
        </w:rPr>
        <w:t> (Doctoral dissertation, MAHATMA PHULE KRISHI VIDYAPEETH).</w:t>
      </w:r>
    </w:p>
    <w:p w14:paraId="391FBA27" w14:textId="77777777" w:rsidR="0043029C" w:rsidRPr="0035248F" w:rsidRDefault="0043029C"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color w:val="222222"/>
          <w:sz w:val="20"/>
          <w:szCs w:val="20"/>
          <w:shd w:val="clear" w:color="auto" w:fill="FFFFFF"/>
        </w:rPr>
        <w:t>Rao, D. T. (2013). Social Costs and Economic Benefits of Micro Irrigation Systems for Dry Land Crops. </w:t>
      </w:r>
      <w:r w:rsidRPr="0035248F">
        <w:rPr>
          <w:rFonts w:ascii="Arial" w:hAnsi="Arial" w:cs="Arial"/>
          <w:i/>
          <w:iCs/>
          <w:color w:val="222222"/>
          <w:sz w:val="20"/>
          <w:szCs w:val="20"/>
          <w:shd w:val="clear" w:color="auto" w:fill="FFFFFF"/>
        </w:rPr>
        <w:t>Indian Journal of Agricultural Economics</w:t>
      </w:r>
      <w:r w:rsidRPr="0035248F">
        <w:rPr>
          <w:rFonts w:ascii="Arial" w:hAnsi="Arial" w:cs="Arial"/>
          <w:color w:val="222222"/>
          <w:sz w:val="20"/>
          <w:szCs w:val="20"/>
          <w:shd w:val="clear" w:color="auto" w:fill="FFFFFF"/>
        </w:rPr>
        <w:t>, </w:t>
      </w:r>
      <w:r w:rsidRPr="0035248F">
        <w:rPr>
          <w:rFonts w:ascii="Arial" w:hAnsi="Arial" w:cs="Arial"/>
          <w:i/>
          <w:iCs/>
          <w:color w:val="222222"/>
          <w:sz w:val="20"/>
          <w:szCs w:val="20"/>
          <w:shd w:val="clear" w:color="auto" w:fill="FFFFFF"/>
        </w:rPr>
        <w:t>68</w:t>
      </w:r>
      <w:r w:rsidRPr="0035248F">
        <w:rPr>
          <w:rFonts w:ascii="Arial" w:hAnsi="Arial" w:cs="Arial"/>
          <w:color w:val="222222"/>
          <w:sz w:val="20"/>
          <w:szCs w:val="20"/>
          <w:shd w:val="clear" w:color="auto" w:fill="FFFFFF"/>
        </w:rPr>
        <w:t>(3), 357.</w:t>
      </w:r>
      <w:r w:rsidRPr="0035248F">
        <w:rPr>
          <w:rFonts w:ascii="Arial" w:hAnsi="Arial" w:cs="Arial"/>
          <w:sz w:val="20"/>
          <w:szCs w:val="20"/>
        </w:rPr>
        <w:t xml:space="preserve"> </w:t>
      </w:r>
    </w:p>
    <w:p w14:paraId="0EAF8CAC" w14:textId="0293D0B1" w:rsidR="0043029C" w:rsidRPr="0035248F" w:rsidRDefault="0043029C" w:rsidP="0035248F">
      <w:pPr>
        <w:pStyle w:val="NormalWeb"/>
        <w:spacing w:before="120" w:beforeAutospacing="0" w:after="0" w:afterAutospacing="0" w:line="360" w:lineRule="auto"/>
        <w:jc w:val="both"/>
        <w:rPr>
          <w:rFonts w:ascii="Arial" w:hAnsi="Arial" w:cs="Arial"/>
          <w:color w:val="222222"/>
          <w:sz w:val="20"/>
          <w:szCs w:val="20"/>
          <w:shd w:val="clear" w:color="auto" w:fill="FFFFFF"/>
        </w:rPr>
      </w:pPr>
      <w:r w:rsidRPr="0035248F">
        <w:rPr>
          <w:rFonts w:ascii="Arial" w:hAnsi="Arial" w:cs="Arial"/>
          <w:color w:val="222222"/>
          <w:sz w:val="20"/>
          <w:szCs w:val="20"/>
          <w:shd w:val="clear" w:color="auto" w:fill="FFFFFF"/>
        </w:rPr>
        <w:t>Reardon, T., Barrett, C. B., Berdegué, J. A., &amp; Swinnen, J. F. (2009). Agrifood industry transformation and small farmers in developing countries. </w:t>
      </w:r>
      <w:r w:rsidRPr="0035248F">
        <w:rPr>
          <w:rFonts w:ascii="Arial" w:hAnsi="Arial" w:cs="Arial"/>
          <w:i/>
          <w:iCs/>
          <w:color w:val="222222"/>
          <w:sz w:val="20"/>
          <w:szCs w:val="20"/>
          <w:shd w:val="clear" w:color="auto" w:fill="FFFFFF"/>
        </w:rPr>
        <w:t>World development</w:t>
      </w:r>
      <w:r w:rsidRPr="0035248F">
        <w:rPr>
          <w:rFonts w:ascii="Arial" w:hAnsi="Arial" w:cs="Arial"/>
          <w:color w:val="222222"/>
          <w:sz w:val="20"/>
          <w:szCs w:val="20"/>
          <w:shd w:val="clear" w:color="auto" w:fill="FFFFFF"/>
        </w:rPr>
        <w:t>, </w:t>
      </w:r>
      <w:r w:rsidRPr="0035248F">
        <w:rPr>
          <w:rFonts w:ascii="Arial" w:hAnsi="Arial" w:cs="Arial"/>
          <w:i/>
          <w:iCs/>
          <w:color w:val="222222"/>
          <w:sz w:val="20"/>
          <w:szCs w:val="20"/>
          <w:shd w:val="clear" w:color="auto" w:fill="FFFFFF"/>
        </w:rPr>
        <w:t>37</w:t>
      </w:r>
      <w:r w:rsidRPr="0035248F">
        <w:rPr>
          <w:rFonts w:ascii="Arial" w:hAnsi="Arial" w:cs="Arial"/>
          <w:color w:val="222222"/>
          <w:sz w:val="20"/>
          <w:szCs w:val="20"/>
          <w:shd w:val="clear" w:color="auto" w:fill="FFFFFF"/>
        </w:rPr>
        <w:t>(11), 1717-1727.</w:t>
      </w:r>
      <w:r w:rsidR="0068696C" w:rsidRPr="0035248F">
        <w:rPr>
          <w:rFonts w:ascii="Arial" w:hAnsi="Arial" w:cs="Arial"/>
          <w:sz w:val="20"/>
          <w:szCs w:val="20"/>
        </w:rPr>
        <w:t xml:space="preserve"> </w:t>
      </w:r>
      <w:hyperlink r:id="rId32" w:history="1">
        <w:r w:rsidR="0068696C" w:rsidRPr="0035248F">
          <w:rPr>
            <w:rStyle w:val="Hyperlink"/>
            <w:rFonts w:ascii="Arial" w:hAnsi="Arial" w:cs="Arial"/>
            <w:sz w:val="20"/>
            <w:szCs w:val="20"/>
            <w:shd w:val="clear" w:color="auto" w:fill="FFFFFF"/>
          </w:rPr>
          <w:t>https://doi.org/10.1016/j.worlddev.2008.08.023</w:t>
        </w:r>
      </w:hyperlink>
    </w:p>
    <w:p w14:paraId="5AA0890A" w14:textId="766FFB00" w:rsidR="006F6EF7" w:rsidRPr="0035248F" w:rsidRDefault="0068696C"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Sasane, Sandip. (2016). CROP DIVERSIFICATION IN AHMEDNAGAR DISTRICT: A SPATIO-TEMPORAL ANALYSIS. International Refereed Multidisciplinary Journal of Contemporary Research. 11-14.</w:t>
      </w:r>
    </w:p>
    <w:p w14:paraId="5BB6187A" w14:textId="08B425DB" w:rsidR="006F6EF7" w:rsidRPr="0035248F" w:rsidRDefault="006F6EF7" w:rsidP="0035248F">
      <w:pPr>
        <w:spacing w:before="75" w:after="75"/>
        <w:jc w:val="both"/>
        <w:rPr>
          <w:rFonts w:ascii="Arial" w:hAnsi="Arial" w:cs="Arial"/>
          <w:lang w:val="en-GB" w:eastAsia="en-GB"/>
        </w:rPr>
      </w:pPr>
      <w:r w:rsidRPr="0035248F">
        <w:rPr>
          <w:rFonts w:ascii="Arial" w:hAnsi="Arial" w:cs="Arial"/>
        </w:rPr>
        <w:t xml:space="preserve">Shah, T., &amp; Keller, J. (2002). </w:t>
      </w:r>
      <w:r w:rsidR="00A8423E" w:rsidRPr="0035248F">
        <w:rPr>
          <w:rFonts w:ascii="Arial" w:hAnsi="Arial" w:cs="Arial"/>
          <w:lang w:val="en-GB" w:eastAsia="en-GB"/>
        </w:rPr>
        <w:t>Micro-irrigation and the poor: A marketing challenge in smallholder irrigation development. Private irrigation in Sub-Saharan Africa: Regional Seminar on Private Sector Participation and Irrigation Expansion in Sub-Saharan Africa, Accra, Ghana, 22-26 October 2001</w:t>
      </w:r>
    </w:p>
    <w:p w14:paraId="62AE991A" w14:textId="42251460" w:rsidR="00A8423E" w:rsidRPr="0035248F" w:rsidRDefault="006F6EF7" w:rsidP="0035248F">
      <w:pPr>
        <w:spacing w:before="75" w:after="75"/>
        <w:jc w:val="both"/>
        <w:rPr>
          <w:rFonts w:ascii="Arial" w:hAnsi="Arial" w:cs="Arial"/>
          <w:lang w:val="en-GB" w:eastAsia="en-GB"/>
        </w:rPr>
      </w:pPr>
      <w:r w:rsidRPr="0035248F">
        <w:rPr>
          <w:rFonts w:ascii="Arial" w:hAnsi="Arial" w:cs="Arial"/>
        </w:rPr>
        <w:t xml:space="preserve">Singh, R. P. (2013). </w:t>
      </w:r>
      <w:r w:rsidR="00A8423E" w:rsidRPr="0035248F">
        <w:rPr>
          <w:rFonts w:ascii="Arial" w:hAnsi="Arial" w:cs="Arial"/>
          <w:lang w:val="en-GB" w:eastAsia="en-GB"/>
        </w:rPr>
        <w:t>Horticultural (high value agricultural) crops diversification in eastern India: I – Geographical-agro-socio-ecological and economical aspects and constraints analysis pages 12–27</w:t>
      </w:r>
    </w:p>
    <w:p w14:paraId="6F97B79F" w14:textId="69435DCF" w:rsidR="006F6EF7" w:rsidRPr="0035248F" w:rsidRDefault="00A8423E" w:rsidP="0035248F">
      <w:pPr>
        <w:jc w:val="both"/>
        <w:rPr>
          <w:rFonts w:ascii="Arial" w:hAnsi="Arial" w:cs="Arial"/>
          <w:lang w:val="en-GB" w:eastAsia="en-GB"/>
        </w:rPr>
      </w:pPr>
      <w:r w:rsidRPr="000037B7">
        <w:rPr>
          <w:rFonts w:ascii="Arial" w:hAnsi="Arial" w:cs="Arial"/>
          <w:color w:val="222222"/>
          <w:shd w:val="clear" w:color="auto" w:fill="FFFFFF"/>
          <w:lang w:val="nl-BE"/>
        </w:rPr>
        <w:lastRenderedPageBreak/>
        <w:t xml:space="preserve">Swinnen, J. F., &amp; Maertens, M. (2007). </w:t>
      </w:r>
      <w:r w:rsidRPr="0035248F">
        <w:rPr>
          <w:rFonts w:ascii="Arial" w:hAnsi="Arial" w:cs="Arial"/>
          <w:color w:val="222222"/>
          <w:shd w:val="clear" w:color="auto" w:fill="FFFFFF"/>
        </w:rPr>
        <w:t>Globalization, privatization, and vertical coordination in food value chains in developing and transition countries. </w:t>
      </w:r>
      <w:r w:rsidRPr="0035248F">
        <w:rPr>
          <w:rFonts w:ascii="Arial" w:hAnsi="Arial" w:cs="Arial"/>
          <w:i/>
          <w:iCs/>
          <w:color w:val="222222"/>
          <w:shd w:val="clear" w:color="auto" w:fill="FFFFFF"/>
        </w:rPr>
        <w:t>Agricultural economics</w:t>
      </w:r>
      <w:r w:rsidRPr="0035248F">
        <w:rPr>
          <w:rFonts w:ascii="Arial" w:hAnsi="Arial" w:cs="Arial"/>
          <w:color w:val="222222"/>
          <w:shd w:val="clear" w:color="auto" w:fill="FFFFFF"/>
        </w:rPr>
        <w:t>, </w:t>
      </w:r>
      <w:r w:rsidRPr="0035248F">
        <w:rPr>
          <w:rFonts w:ascii="Arial" w:hAnsi="Arial" w:cs="Arial"/>
          <w:i/>
          <w:iCs/>
          <w:color w:val="222222"/>
          <w:shd w:val="clear" w:color="auto" w:fill="FFFFFF"/>
        </w:rPr>
        <w:t>37</w:t>
      </w:r>
      <w:r w:rsidRPr="0035248F">
        <w:rPr>
          <w:rFonts w:ascii="Arial" w:hAnsi="Arial" w:cs="Arial"/>
          <w:color w:val="222222"/>
          <w:shd w:val="clear" w:color="auto" w:fill="FFFFFF"/>
        </w:rPr>
        <w:t>, 89-102</w:t>
      </w:r>
      <w:r w:rsidR="006F6EF7" w:rsidRPr="0035248F">
        <w:rPr>
          <w:rFonts w:ascii="Arial" w:hAnsi="Arial" w:cs="Arial"/>
        </w:rPr>
        <w:t>.</w:t>
      </w:r>
      <w:r w:rsidRPr="0035248F">
        <w:rPr>
          <w:rFonts w:ascii="Arial" w:hAnsi="Arial" w:cs="Arial"/>
          <w:lang w:val="en-GB" w:eastAsia="en-GB"/>
        </w:rPr>
        <w:t xml:space="preserve"> </w:t>
      </w:r>
      <w:r w:rsidRPr="0035248F">
        <w:rPr>
          <w:rFonts w:ascii="Arial" w:hAnsi="Arial" w:cs="Arial"/>
          <w:b/>
          <w:bCs/>
          <w:lang w:val="en-GB" w:eastAsia="en-GB"/>
        </w:rPr>
        <w:t>DOI:</w:t>
      </w:r>
      <w:r w:rsidRPr="0035248F">
        <w:rPr>
          <w:rFonts w:ascii="Arial" w:hAnsi="Arial" w:cs="Arial"/>
          <w:lang w:val="en-GB" w:eastAsia="en-GB"/>
        </w:rPr>
        <w:t xml:space="preserve"> </w:t>
      </w:r>
      <w:hyperlink r:id="rId33" w:history="1">
        <w:r w:rsidRPr="0035248F">
          <w:rPr>
            <w:rFonts w:ascii="Arial" w:hAnsi="Arial" w:cs="Arial"/>
            <w:color w:val="0000FF"/>
            <w:lang w:val="en-GB" w:eastAsia="en-GB"/>
          </w:rPr>
          <w:t>10.1111/j.1574-0862.2007.00237.x</w:t>
        </w:r>
      </w:hyperlink>
    </w:p>
    <w:p w14:paraId="37E12043" w14:textId="77777777" w:rsidR="00A8423E" w:rsidRPr="0035248F" w:rsidRDefault="00A8423E" w:rsidP="0035248F">
      <w:pPr>
        <w:pStyle w:val="NormalWeb"/>
        <w:spacing w:before="120" w:beforeAutospacing="0" w:after="0" w:afterAutospacing="0" w:line="360" w:lineRule="auto"/>
        <w:jc w:val="both"/>
        <w:rPr>
          <w:rFonts w:ascii="Arial" w:hAnsi="Arial" w:cs="Arial"/>
          <w:color w:val="222222"/>
          <w:sz w:val="20"/>
          <w:szCs w:val="20"/>
          <w:shd w:val="clear" w:color="auto" w:fill="FFFFFF"/>
        </w:rPr>
      </w:pPr>
      <w:r w:rsidRPr="0035248F">
        <w:rPr>
          <w:rFonts w:ascii="Arial" w:hAnsi="Arial" w:cs="Arial"/>
          <w:color w:val="222222"/>
          <w:sz w:val="20"/>
          <w:szCs w:val="20"/>
          <w:shd w:val="clear" w:color="auto" w:fill="FFFFFF"/>
        </w:rPr>
        <w:t>Vadivel, R., Reddy, K. S., Singh, Y., &amp; Nangare, D. D. (2024). Effect of pit and soil types on growth and development, nutrient content and fruit quality of pomegranate in the central Deccan plateau region, India. </w:t>
      </w:r>
      <w:r w:rsidRPr="0035248F">
        <w:rPr>
          <w:rFonts w:ascii="Arial" w:hAnsi="Arial" w:cs="Arial"/>
          <w:i/>
          <w:iCs/>
          <w:color w:val="222222"/>
          <w:sz w:val="20"/>
          <w:szCs w:val="20"/>
          <w:shd w:val="clear" w:color="auto" w:fill="FFFFFF"/>
        </w:rPr>
        <w:t>Sustainability</w:t>
      </w:r>
      <w:r w:rsidRPr="0035248F">
        <w:rPr>
          <w:rFonts w:ascii="Arial" w:hAnsi="Arial" w:cs="Arial"/>
          <w:color w:val="222222"/>
          <w:sz w:val="20"/>
          <w:szCs w:val="20"/>
          <w:shd w:val="clear" w:color="auto" w:fill="FFFFFF"/>
        </w:rPr>
        <w:t>, </w:t>
      </w:r>
      <w:r w:rsidRPr="0035248F">
        <w:rPr>
          <w:rFonts w:ascii="Arial" w:hAnsi="Arial" w:cs="Arial"/>
          <w:i/>
          <w:iCs/>
          <w:color w:val="222222"/>
          <w:sz w:val="20"/>
          <w:szCs w:val="20"/>
          <w:shd w:val="clear" w:color="auto" w:fill="FFFFFF"/>
        </w:rPr>
        <w:t>16</w:t>
      </w:r>
      <w:r w:rsidRPr="0035248F">
        <w:rPr>
          <w:rFonts w:ascii="Arial" w:hAnsi="Arial" w:cs="Arial"/>
          <w:color w:val="222222"/>
          <w:sz w:val="20"/>
          <w:szCs w:val="20"/>
          <w:shd w:val="clear" w:color="auto" w:fill="FFFFFF"/>
        </w:rPr>
        <w:t>(18), 8099.</w:t>
      </w:r>
    </w:p>
    <w:p w14:paraId="7EC2C2D1" w14:textId="2AA2D0D1" w:rsidR="001D0715" w:rsidRPr="0035248F" w:rsidRDefault="001D0715"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color w:val="222222"/>
          <w:sz w:val="20"/>
          <w:szCs w:val="20"/>
          <w:shd w:val="clear" w:color="auto" w:fill="FFFFFF"/>
        </w:rPr>
        <w:t>Weinberger, K., &amp; Lumpkin, T. A. (2007). Diversification into horticulture and poverty reduction: a research agenda. </w:t>
      </w:r>
      <w:r w:rsidRPr="0035248F">
        <w:rPr>
          <w:rFonts w:ascii="Arial" w:hAnsi="Arial" w:cs="Arial"/>
          <w:i/>
          <w:iCs/>
          <w:color w:val="222222"/>
          <w:sz w:val="20"/>
          <w:szCs w:val="20"/>
          <w:shd w:val="clear" w:color="auto" w:fill="FFFFFF"/>
        </w:rPr>
        <w:t>World development</w:t>
      </w:r>
      <w:r w:rsidRPr="0035248F">
        <w:rPr>
          <w:rFonts w:ascii="Arial" w:hAnsi="Arial" w:cs="Arial"/>
          <w:color w:val="222222"/>
          <w:sz w:val="20"/>
          <w:szCs w:val="20"/>
          <w:shd w:val="clear" w:color="auto" w:fill="FFFFFF"/>
        </w:rPr>
        <w:t>, </w:t>
      </w:r>
      <w:r w:rsidRPr="0035248F">
        <w:rPr>
          <w:rFonts w:ascii="Arial" w:hAnsi="Arial" w:cs="Arial"/>
          <w:i/>
          <w:iCs/>
          <w:color w:val="222222"/>
          <w:sz w:val="20"/>
          <w:szCs w:val="20"/>
          <w:shd w:val="clear" w:color="auto" w:fill="FFFFFF"/>
        </w:rPr>
        <w:t>35</w:t>
      </w:r>
      <w:r w:rsidRPr="0035248F">
        <w:rPr>
          <w:rFonts w:ascii="Arial" w:hAnsi="Arial" w:cs="Arial"/>
          <w:color w:val="222222"/>
          <w:sz w:val="20"/>
          <w:szCs w:val="20"/>
          <w:shd w:val="clear" w:color="auto" w:fill="FFFFFF"/>
        </w:rPr>
        <w:t>(8), 1464-1480.</w:t>
      </w:r>
      <w:r w:rsidRPr="0035248F">
        <w:rPr>
          <w:rFonts w:ascii="Arial" w:hAnsi="Arial" w:cs="Arial"/>
          <w:sz w:val="20"/>
          <w:szCs w:val="20"/>
        </w:rPr>
        <w:t xml:space="preserve"> </w:t>
      </w:r>
      <w:hyperlink r:id="rId34" w:history="1">
        <w:r w:rsidRPr="0035248F">
          <w:rPr>
            <w:rStyle w:val="Hyperlink"/>
            <w:rFonts w:ascii="Arial" w:hAnsi="Arial" w:cs="Arial"/>
            <w:sz w:val="20"/>
            <w:szCs w:val="20"/>
          </w:rPr>
          <w:t>https://doi.org/10.1016/j.worlddev.2007.05.002</w:t>
        </w:r>
      </w:hyperlink>
    </w:p>
    <w:p w14:paraId="5551FFCC" w14:textId="2AFD17F9" w:rsidR="006F6EF7" w:rsidRPr="0035248F"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World Bank. (2020). </w:t>
      </w:r>
      <w:r w:rsidR="001D0715" w:rsidRPr="0035248F">
        <w:rPr>
          <w:rFonts w:ascii="Arial" w:hAnsi="Arial" w:cs="Arial"/>
          <w:sz w:val="20"/>
          <w:szCs w:val="20"/>
          <w:lang w:val="en-GB" w:eastAsia="en-GB"/>
        </w:rPr>
        <w:t>Transforming Agriculture for Inclusive Growth in South Asia.</w:t>
      </w:r>
    </w:p>
    <w:p w14:paraId="45CF220E" w14:textId="77777777" w:rsidR="006F6EF7" w:rsidRPr="00142AA1" w:rsidRDefault="006F6EF7" w:rsidP="0035248F">
      <w:pPr>
        <w:pStyle w:val="NormalWeb"/>
        <w:spacing w:before="120" w:beforeAutospacing="0" w:after="0" w:afterAutospacing="0" w:line="360" w:lineRule="auto"/>
        <w:jc w:val="both"/>
        <w:rPr>
          <w:rFonts w:ascii="Arial" w:hAnsi="Arial" w:cs="Arial"/>
          <w:sz w:val="20"/>
          <w:szCs w:val="20"/>
        </w:rPr>
      </w:pPr>
      <w:r w:rsidRPr="0035248F">
        <w:rPr>
          <w:rFonts w:ascii="Arial" w:hAnsi="Arial" w:cs="Arial"/>
          <w:sz w:val="20"/>
          <w:szCs w:val="20"/>
        </w:rPr>
        <w:t xml:space="preserve">World Bank. (2023). </w:t>
      </w:r>
      <w:r w:rsidRPr="0035248F">
        <w:rPr>
          <w:rStyle w:val="Emphasis"/>
          <w:rFonts w:ascii="Arial" w:hAnsi="Arial" w:cs="Arial"/>
          <w:sz w:val="20"/>
          <w:szCs w:val="20"/>
        </w:rPr>
        <w:t>World dev</w:t>
      </w:r>
      <w:r w:rsidRPr="001D0715">
        <w:rPr>
          <w:rStyle w:val="Emphasis"/>
          <w:rFonts w:ascii="Arial" w:hAnsi="Arial" w:cs="Arial"/>
          <w:sz w:val="20"/>
          <w:szCs w:val="20"/>
        </w:rPr>
        <w:t>elopment indicators</w:t>
      </w:r>
      <w:r w:rsidRPr="001D0715">
        <w:rPr>
          <w:rFonts w:ascii="Arial" w:hAnsi="Arial" w:cs="Arial"/>
          <w:sz w:val="20"/>
          <w:szCs w:val="20"/>
        </w:rPr>
        <w:t xml:space="preserve">. </w:t>
      </w:r>
      <w:hyperlink r:id="rId35" w:tgtFrame="_new" w:history="1">
        <w:r w:rsidRPr="001D0715">
          <w:rPr>
            <w:rStyle w:val="Hyperlink"/>
            <w:rFonts w:ascii="Arial" w:hAnsi="Arial" w:cs="Arial"/>
            <w:sz w:val="20"/>
            <w:szCs w:val="20"/>
          </w:rPr>
          <w:t>https://worldbank.org</w:t>
        </w:r>
      </w:hyperlink>
    </w:p>
    <w:sectPr w:rsidR="006F6EF7" w:rsidRPr="00142AA1" w:rsidSect="00570C0E">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980F5" w14:textId="77777777" w:rsidR="0012360D" w:rsidRDefault="0012360D" w:rsidP="00C37E61">
      <w:r>
        <w:separator/>
      </w:r>
    </w:p>
  </w:endnote>
  <w:endnote w:type="continuationSeparator" w:id="0">
    <w:p w14:paraId="7F1ED194" w14:textId="77777777" w:rsidR="0012360D" w:rsidRDefault="0012360D"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7E59" w14:textId="77777777" w:rsidR="00570C0E" w:rsidRDefault="00570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BE67" w14:textId="77777777" w:rsidR="00570C0E" w:rsidRDefault="00570C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412A" w14:textId="77777777" w:rsidR="009E048A" w:rsidRDefault="009E048A">
    <w:pPr>
      <w:pStyle w:val="Footer"/>
      <w:rPr>
        <w:rFonts w:ascii="Arial" w:hAnsi="Arial" w:cs="Arial"/>
        <w:sz w:val="16"/>
      </w:rPr>
    </w:pPr>
  </w:p>
  <w:p w14:paraId="58EAD308"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43AEAD87" w14:textId="77777777" w:rsidR="009E048A" w:rsidRDefault="009E048A">
    <w:pPr>
      <w:pStyle w:val="Footer"/>
      <w:rPr>
        <w:rFonts w:ascii="Arial" w:hAnsi="Arial" w:cs="Arial"/>
        <w:sz w:val="16"/>
      </w:rPr>
    </w:pPr>
  </w:p>
  <w:p w14:paraId="1F43E2CC"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E853D" w14:textId="77777777" w:rsidR="0012360D" w:rsidRDefault="0012360D" w:rsidP="00C37E61">
      <w:r>
        <w:separator/>
      </w:r>
    </w:p>
  </w:footnote>
  <w:footnote w:type="continuationSeparator" w:id="0">
    <w:p w14:paraId="043B33DD" w14:textId="77777777" w:rsidR="0012360D" w:rsidRDefault="0012360D"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E8B2" w14:textId="0168BB41" w:rsidR="00570C0E" w:rsidRDefault="00000000">
    <w:pPr>
      <w:pStyle w:val="Header"/>
    </w:pPr>
    <w:r>
      <w:rPr>
        <w:noProof/>
      </w:rPr>
      <w:pict w14:anchorId="48946E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600454"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9B1D" w14:textId="368EA05C" w:rsidR="00570C0E" w:rsidRDefault="00000000">
    <w:pPr>
      <w:pStyle w:val="Header"/>
    </w:pPr>
    <w:r>
      <w:rPr>
        <w:noProof/>
      </w:rPr>
      <w:pict w14:anchorId="42D9BF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600455"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198F6" w14:textId="49223DC1" w:rsidR="00296529" w:rsidRPr="00296529" w:rsidRDefault="00000000" w:rsidP="00296529">
    <w:pPr>
      <w:ind w:left="2160"/>
      <w:jc w:val="center"/>
      <w:rPr>
        <w:rFonts w:ascii="Times New Roman" w:eastAsia="Calibri" w:hAnsi="Times New Roman"/>
        <w:i/>
        <w:sz w:val="18"/>
        <w:szCs w:val="22"/>
      </w:rPr>
    </w:pPr>
    <w:r>
      <w:rPr>
        <w:noProof/>
      </w:rPr>
      <w:pict w14:anchorId="557373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600453"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325FB58"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p>
  <w:p w14:paraId="432840FA"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A5180C5" w14:textId="77777777" w:rsidR="00296529" w:rsidRPr="00296529" w:rsidRDefault="00754C9A"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23C6107C" w14:textId="77777777" w:rsidR="00296529" w:rsidRDefault="00296529" w:rsidP="00296529">
    <w:pPr>
      <w:jc w:val="center"/>
      <w:rPr>
        <w:rFonts w:ascii="Times New Roman" w:eastAsia="Calibri" w:hAnsi="Times New Roman"/>
        <w:i/>
        <w:sz w:val="18"/>
        <w:szCs w:val="22"/>
      </w:rPr>
    </w:pPr>
  </w:p>
  <w:p w14:paraId="007335E6"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5EE76BA7"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3555504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503007253">
    <w:abstractNumId w:val="15"/>
  </w:num>
  <w:num w:numId="3" w16cid:durableId="1907837860">
    <w:abstractNumId w:val="23"/>
  </w:num>
  <w:num w:numId="4" w16cid:durableId="81051456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87434270">
    <w:abstractNumId w:val="7"/>
  </w:num>
  <w:num w:numId="6" w16cid:durableId="1827279200">
    <w:abstractNumId w:val="6"/>
  </w:num>
  <w:num w:numId="7" w16cid:durableId="727068426">
    <w:abstractNumId w:val="1"/>
  </w:num>
  <w:num w:numId="8" w16cid:durableId="285697550">
    <w:abstractNumId w:val="12"/>
  </w:num>
  <w:num w:numId="9" w16cid:durableId="2146703134">
    <w:abstractNumId w:val="25"/>
  </w:num>
  <w:num w:numId="10" w16cid:durableId="266278239">
    <w:abstractNumId w:val="2"/>
  </w:num>
  <w:num w:numId="11" w16cid:durableId="812143756">
    <w:abstractNumId w:val="18"/>
  </w:num>
  <w:num w:numId="12" w16cid:durableId="236671618">
    <w:abstractNumId w:val="3"/>
  </w:num>
  <w:num w:numId="13" w16cid:durableId="1647934634">
    <w:abstractNumId w:val="17"/>
  </w:num>
  <w:num w:numId="14" w16cid:durableId="1170409827">
    <w:abstractNumId w:val="8"/>
  </w:num>
  <w:num w:numId="15" w16cid:durableId="433400420">
    <w:abstractNumId w:val="21"/>
  </w:num>
  <w:num w:numId="16" w16cid:durableId="372080589">
    <w:abstractNumId w:val="5"/>
  </w:num>
  <w:num w:numId="17" w16cid:durableId="1649894126">
    <w:abstractNumId w:val="22"/>
  </w:num>
  <w:num w:numId="18" w16cid:durableId="530339656">
    <w:abstractNumId w:val="14"/>
  </w:num>
  <w:num w:numId="19" w16cid:durableId="1667594302">
    <w:abstractNumId w:val="28"/>
  </w:num>
  <w:num w:numId="20" w16cid:durableId="694354607">
    <w:abstractNumId w:val="11"/>
  </w:num>
  <w:num w:numId="21" w16cid:durableId="377168670">
    <w:abstractNumId w:val="9"/>
  </w:num>
  <w:num w:numId="22" w16cid:durableId="917592824">
    <w:abstractNumId w:val="13"/>
  </w:num>
  <w:num w:numId="23" w16cid:durableId="165831672">
    <w:abstractNumId w:val="19"/>
  </w:num>
  <w:num w:numId="24" w16cid:durableId="798496352">
    <w:abstractNumId w:val="26"/>
  </w:num>
  <w:num w:numId="25" w16cid:durableId="570703629">
    <w:abstractNumId w:val="4"/>
  </w:num>
  <w:num w:numId="26" w16cid:durableId="629287951">
    <w:abstractNumId w:val="16"/>
  </w:num>
  <w:num w:numId="27" w16cid:durableId="101850660">
    <w:abstractNumId w:val="20"/>
  </w:num>
  <w:num w:numId="28" w16cid:durableId="576979005">
    <w:abstractNumId w:val="27"/>
  </w:num>
  <w:num w:numId="29" w16cid:durableId="1760910227">
    <w:abstractNumId w:val="24"/>
  </w:num>
  <w:num w:numId="30" w16cid:durableId="4096967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W0sDQ0MjaxtDA2MTZW0lEKTi0uzszPAykwrAUAZ6wnZSwAAAA="/>
  </w:docVars>
  <w:rsids>
    <w:rsidRoot w:val="00AA6219"/>
    <w:rsid w:val="00000F8F"/>
    <w:rsid w:val="000037B7"/>
    <w:rsid w:val="00030174"/>
    <w:rsid w:val="0004579C"/>
    <w:rsid w:val="00064D7B"/>
    <w:rsid w:val="000A47FA"/>
    <w:rsid w:val="000A65D3"/>
    <w:rsid w:val="000B1E33"/>
    <w:rsid w:val="000C1CE8"/>
    <w:rsid w:val="000D689F"/>
    <w:rsid w:val="000E7B7B"/>
    <w:rsid w:val="000E7D62"/>
    <w:rsid w:val="000F7FE6"/>
    <w:rsid w:val="00103357"/>
    <w:rsid w:val="00105129"/>
    <w:rsid w:val="0012360D"/>
    <w:rsid w:val="00123C9F"/>
    <w:rsid w:val="00126190"/>
    <w:rsid w:val="00130F17"/>
    <w:rsid w:val="001320BF"/>
    <w:rsid w:val="00142AA1"/>
    <w:rsid w:val="00163BC4"/>
    <w:rsid w:val="00191062"/>
    <w:rsid w:val="00192B72"/>
    <w:rsid w:val="001A29D8"/>
    <w:rsid w:val="001A5CAA"/>
    <w:rsid w:val="001B0427"/>
    <w:rsid w:val="001D0715"/>
    <w:rsid w:val="001D0F0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808"/>
    <w:rsid w:val="00287E68"/>
    <w:rsid w:val="00296529"/>
    <w:rsid w:val="002B27FB"/>
    <w:rsid w:val="002B685A"/>
    <w:rsid w:val="002C57D2"/>
    <w:rsid w:val="002E0D56"/>
    <w:rsid w:val="00315186"/>
    <w:rsid w:val="0033343E"/>
    <w:rsid w:val="003512C2"/>
    <w:rsid w:val="0035248F"/>
    <w:rsid w:val="003568B0"/>
    <w:rsid w:val="00361084"/>
    <w:rsid w:val="00371FB6"/>
    <w:rsid w:val="00375A38"/>
    <w:rsid w:val="003763C1"/>
    <w:rsid w:val="00376BBE"/>
    <w:rsid w:val="0039224F"/>
    <w:rsid w:val="003A43A4"/>
    <w:rsid w:val="003A7E18"/>
    <w:rsid w:val="003B3272"/>
    <w:rsid w:val="003C0798"/>
    <w:rsid w:val="003C3AFC"/>
    <w:rsid w:val="003C4C86"/>
    <w:rsid w:val="003C6258"/>
    <w:rsid w:val="003E2904"/>
    <w:rsid w:val="003E5D47"/>
    <w:rsid w:val="00401927"/>
    <w:rsid w:val="0041027F"/>
    <w:rsid w:val="00412475"/>
    <w:rsid w:val="00423789"/>
    <w:rsid w:val="0043029C"/>
    <w:rsid w:val="00440F43"/>
    <w:rsid w:val="00441B6F"/>
    <w:rsid w:val="00446221"/>
    <w:rsid w:val="00450E62"/>
    <w:rsid w:val="0045170B"/>
    <w:rsid w:val="004539DB"/>
    <w:rsid w:val="00471A80"/>
    <w:rsid w:val="00493C98"/>
    <w:rsid w:val="004C55D0"/>
    <w:rsid w:val="004D305E"/>
    <w:rsid w:val="004D4277"/>
    <w:rsid w:val="004D5B5B"/>
    <w:rsid w:val="00502516"/>
    <w:rsid w:val="00505F06"/>
    <w:rsid w:val="00506828"/>
    <w:rsid w:val="00526978"/>
    <w:rsid w:val="0053056E"/>
    <w:rsid w:val="0053263C"/>
    <w:rsid w:val="00554FDA"/>
    <w:rsid w:val="00570C0E"/>
    <w:rsid w:val="005C784C"/>
    <w:rsid w:val="005D17F6"/>
    <w:rsid w:val="005E5539"/>
    <w:rsid w:val="005F3DE6"/>
    <w:rsid w:val="00602BF5"/>
    <w:rsid w:val="00606339"/>
    <w:rsid w:val="006129FC"/>
    <w:rsid w:val="00617FDD"/>
    <w:rsid w:val="00627FCC"/>
    <w:rsid w:val="00633614"/>
    <w:rsid w:val="00633F68"/>
    <w:rsid w:val="00636EB2"/>
    <w:rsid w:val="006375B8"/>
    <w:rsid w:val="00656046"/>
    <w:rsid w:val="0066510A"/>
    <w:rsid w:val="00673F9F"/>
    <w:rsid w:val="00686953"/>
    <w:rsid w:val="0068696C"/>
    <w:rsid w:val="00687DEA"/>
    <w:rsid w:val="00687E67"/>
    <w:rsid w:val="006967F7"/>
    <w:rsid w:val="006A250C"/>
    <w:rsid w:val="006B21D3"/>
    <w:rsid w:val="006B57D0"/>
    <w:rsid w:val="006D30FF"/>
    <w:rsid w:val="006D6940"/>
    <w:rsid w:val="006D698D"/>
    <w:rsid w:val="006F11EC"/>
    <w:rsid w:val="006F144F"/>
    <w:rsid w:val="006F6EF7"/>
    <w:rsid w:val="0070082C"/>
    <w:rsid w:val="00717396"/>
    <w:rsid w:val="007369E6"/>
    <w:rsid w:val="00746E59"/>
    <w:rsid w:val="00754C9A"/>
    <w:rsid w:val="0075599A"/>
    <w:rsid w:val="00761D52"/>
    <w:rsid w:val="0077749E"/>
    <w:rsid w:val="00790ADA"/>
    <w:rsid w:val="007D2288"/>
    <w:rsid w:val="007E088F"/>
    <w:rsid w:val="007F7B32"/>
    <w:rsid w:val="00804BC2"/>
    <w:rsid w:val="0081431A"/>
    <w:rsid w:val="0083216F"/>
    <w:rsid w:val="00860000"/>
    <w:rsid w:val="00863BD3"/>
    <w:rsid w:val="008641ED"/>
    <w:rsid w:val="00866D66"/>
    <w:rsid w:val="008671C6"/>
    <w:rsid w:val="00875803"/>
    <w:rsid w:val="008A0182"/>
    <w:rsid w:val="008B459E"/>
    <w:rsid w:val="008E13AE"/>
    <w:rsid w:val="008E1506"/>
    <w:rsid w:val="008E710C"/>
    <w:rsid w:val="008F38E4"/>
    <w:rsid w:val="008F69D6"/>
    <w:rsid w:val="00902823"/>
    <w:rsid w:val="00915CA6"/>
    <w:rsid w:val="00927834"/>
    <w:rsid w:val="00941FC6"/>
    <w:rsid w:val="009500A6"/>
    <w:rsid w:val="00957C18"/>
    <w:rsid w:val="009659BA"/>
    <w:rsid w:val="00983040"/>
    <w:rsid w:val="009B3FB9"/>
    <w:rsid w:val="009C2465"/>
    <w:rsid w:val="009C52B8"/>
    <w:rsid w:val="009D35A0"/>
    <w:rsid w:val="009D7EB7"/>
    <w:rsid w:val="009E048A"/>
    <w:rsid w:val="009E08E9"/>
    <w:rsid w:val="009E3DB9"/>
    <w:rsid w:val="009E6E35"/>
    <w:rsid w:val="009F0EDA"/>
    <w:rsid w:val="00A03B96"/>
    <w:rsid w:val="00A05B19"/>
    <w:rsid w:val="00A1134E"/>
    <w:rsid w:val="00A24E7E"/>
    <w:rsid w:val="00A258C3"/>
    <w:rsid w:val="00A26E35"/>
    <w:rsid w:val="00A347C0"/>
    <w:rsid w:val="00A51431"/>
    <w:rsid w:val="00A539AD"/>
    <w:rsid w:val="00A8423E"/>
    <w:rsid w:val="00A85185"/>
    <w:rsid w:val="00A94063"/>
    <w:rsid w:val="00AA6219"/>
    <w:rsid w:val="00AA74E0"/>
    <w:rsid w:val="00AB703F"/>
    <w:rsid w:val="00AC6BB8"/>
    <w:rsid w:val="00AE008F"/>
    <w:rsid w:val="00B01FCD"/>
    <w:rsid w:val="00B1776C"/>
    <w:rsid w:val="00B52583"/>
    <w:rsid w:val="00B52896"/>
    <w:rsid w:val="00B95236"/>
    <w:rsid w:val="00B96BD9"/>
    <w:rsid w:val="00BA1B01"/>
    <w:rsid w:val="00BA2641"/>
    <w:rsid w:val="00BB37AA"/>
    <w:rsid w:val="00BC53A0"/>
    <w:rsid w:val="00BE62AD"/>
    <w:rsid w:val="00BF121F"/>
    <w:rsid w:val="00BF1F80"/>
    <w:rsid w:val="00C166EF"/>
    <w:rsid w:val="00C17EB0"/>
    <w:rsid w:val="00C23AC8"/>
    <w:rsid w:val="00C27F5F"/>
    <w:rsid w:val="00C30A0F"/>
    <w:rsid w:val="00C37E61"/>
    <w:rsid w:val="00C70F1B"/>
    <w:rsid w:val="00C71A47"/>
    <w:rsid w:val="00C7464C"/>
    <w:rsid w:val="00C751F9"/>
    <w:rsid w:val="00C85588"/>
    <w:rsid w:val="00CD6755"/>
    <w:rsid w:val="00CD6856"/>
    <w:rsid w:val="00CE0089"/>
    <w:rsid w:val="00CE53ED"/>
    <w:rsid w:val="00CE793C"/>
    <w:rsid w:val="00CF193C"/>
    <w:rsid w:val="00D04505"/>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21920"/>
    <w:rsid w:val="00F469F0"/>
    <w:rsid w:val="00F53273"/>
    <w:rsid w:val="00F6362B"/>
    <w:rsid w:val="00F6498C"/>
    <w:rsid w:val="00F755E4"/>
    <w:rsid w:val="00F77D02"/>
    <w:rsid w:val="00FB3A86"/>
    <w:rsid w:val="00FC57C0"/>
    <w:rsid w:val="00FD36C8"/>
    <w:rsid w:val="00FE1F74"/>
    <w:rsid w:val="00FF3338"/>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03C2EF99"/>
  <w15:docId w15:val="{2A4A8A9B-53FB-4FE9-9849-A0512FA7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link w:val="Heading1Char"/>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1Char">
    <w:name w:val="Heading 1 Char"/>
    <w:basedOn w:val="DefaultParagraphFont"/>
    <w:link w:val="Heading1"/>
    <w:rsid w:val="00142AA1"/>
    <w:rPr>
      <w:rFonts w:ascii="Arial" w:hAnsi="Arial"/>
      <w:b/>
      <w:kern w:val="28"/>
      <w:sz w:val="28"/>
    </w:rPr>
  </w:style>
  <w:style w:type="paragraph" w:styleId="NormalWeb">
    <w:name w:val="Normal (Web)"/>
    <w:basedOn w:val="Normal"/>
    <w:uiPriority w:val="99"/>
    <w:unhideWhenUsed/>
    <w:rsid w:val="006F6EF7"/>
    <w:pPr>
      <w:spacing w:before="100" w:beforeAutospacing="1" w:after="100" w:afterAutospacing="1"/>
    </w:pPr>
    <w:rPr>
      <w:rFonts w:ascii="Times New Roman" w:hAnsi="Times New Roman"/>
      <w:sz w:val="24"/>
      <w:szCs w:val="24"/>
      <w:lang w:bidi="mr-IN"/>
    </w:rPr>
  </w:style>
  <w:style w:type="character" w:styleId="UnresolvedMention">
    <w:name w:val="Unresolved Mention"/>
    <w:basedOn w:val="DefaultParagraphFont"/>
    <w:uiPriority w:val="99"/>
    <w:semiHidden/>
    <w:unhideWhenUsed/>
    <w:rsid w:val="003568B0"/>
    <w:rPr>
      <w:color w:val="605E5C"/>
      <w:shd w:val="clear" w:color="auto" w:fill="E1DFDD"/>
    </w:rPr>
  </w:style>
  <w:style w:type="paragraph" w:styleId="NoSpacing">
    <w:name w:val="No Spacing"/>
    <w:uiPriority w:val="1"/>
    <w:qFormat/>
    <w:rsid w:val="00064D7B"/>
    <w:rPr>
      <w:rFonts w:asciiTheme="minorHAnsi" w:eastAsiaTheme="minorHAnsi" w:hAnsiTheme="minorHAnsi" w:cstheme="minorBidi"/>
      <w:sz w:val="22"/>
      <w:szCs w:val="22"/>
      <w:lang w:val="en-GB"/>
    </w:rPr>
  </w:style>
  <w:style w:type="character" w:styleId="Strong">
    <w:name w:val="Strong"/>
    <w:basedOn w:val="DefaultParagraphFont"/>
    <w:uiPriority w:val="22"/>
    <w:qFormat/>
    <w:rsid w:val="006129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3389/fsoc.2025.1656780" TargetMode="External"/><Relationship Id="rId26" Type="http://schemas.openxmlformats.org/officeDocument/2006/relationships/hyperlink" Target="https://doi.org/10.1002/ird.299" TargetMode="External"/><Relationship Id="rId21" Type="http://schemas.openxmlformats.org/officeDocument/2006/relationships/hyperlink" Target="https://doi.org/10.1016/j.worlddev.2015.02.015" TargetMode="External"/><Relationship Id="rId34" Type="http://schemas.openxmlformats.org/officeDocument/2006/relationships/hyperlink" Target="https://doi.org/10.1016/j.worlddev.2007.05.002"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foodpol.2005.05.003" TargetMode="External"/><Relationship Id="rId25" Type="http://schemas.openxmlformats.org/officeDocument/2006/relationships/hyperlink" Target="https://doi.org/10.1080/713600072" TargetMode="External"/><Relationship Id="rId33" Type="http://schemas.openxmlformats.org/officeDocument/2006/relationships/hyperlink" Target="https://doi.org/10.1111/j.1574-0862.2007.00237.x" TargetMode="External"/><Relationship Id="rId2" Type="http://schemas.openxmlformats.org/officeDocument/2006/relationships/numbering" Target="numbering.xml"/><Relationship Id="rId16" Type="http://schemas.openxmlformats.org/officeDocument/2006/relationships/hyperlink" Target="https://apeda.gov.in" TargetMode="External"/><Relationship Id="rId20" Type="http://schemas.openxmlformats.org/officeDocument/2006/relationships/hyperlink" Target="https://doi.org/10.22004/ag.econ.59824" TargetMode="External"/><Relationship Id="rId29" Type="http://schemas.openxmlformats.org/officeDocument/2006/relationships/hyperlink" Target="https://doi.org/10.1111/j.1467-7679.2012.00585.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2146/ijg.49759" TargetMode="External"/><Relationship Id="rId32" Type="http://schemas.openxmlformats.org/officeDocument/2006/relationships/hyperlink" Target="https://doi.org/10.1016/j.worlddev.2008.08.02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80/14702541.2012.716607" TargetMode="External"/><Relationship Id="rId23" Type="http://schemas.openxmlformats.org/officeDocument/2006/relationships/hyperlink" Target="https://doi.org/10.30954/0974-1712.01.2021.2" TargetMode="External"/><Relationship Id="rId28" Type="http://schemas.openxmlformats.org/officeDocument/2006/relationships/hyperlink" Target="https://doi.org/10.1177/0258042X211026149"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1177/25148486221100386" TargetMode="External"/><Relationship Id="rId31" Type="http://schemas.openxmlformats.org/officeDocument/2006/relationships/hyperlink" Target="https://nhb.gov.i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1191/1478088706qp063oa" TargetMode="External"/><Relationship Id="rId27" Type="http://schemas.openxmlformats.org/officeDocument/2006/relationships/hyperlink" Target="https://doi.org/10.1177/0971344120060202" TargetMode="External"/><Relationship Id="rId30" Type="http://schemas.openxmlformats.org/officeDocument/2006/relationships/hyperlink" Target="https://doi.org/10.1371/journal.pmed.1000097" TargetMode="External"/><Relationship Id="rId35" Type="http://schemas.openxmlformats.org/officeDocument/2006/relationships/hyperlink" Target="https://worldbank.org" TargetMode="Externa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EC5BB-C433-463B-8D6F-93B17684E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113</TotalTime>
  <Pages>25</Pages>
  <Words>9230</Words>
  <Characters>52616</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61723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CPU 1117</cp:lastModifiedBy>
  <cp:revision>28</cp:revision>
  <cp:lastPrinted>1999-07-06T11:00:00Z</cp:lastPrinted>
  <dcterms:created xsi:type="dcterms:W3CDTF">2014-10-25T14:34:00Z</dcterms:created>
  <dcterms:modified xsi:type="dcterms:W3CDTF">2026-06-26T06:11:00Z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82cd5a58-775b-4627-8f3f-ac741f4d84d1</vt:lpwstr>
  </property>
</Properties>
</file>