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1542B" w14:textId="77777777" w:rsidR="00A04809" w:rsidRPr="00A04809" w:rsidRDefault="00A04809" w:rsidP="00A04809">
      <w:pPr>
        <w:pStyle w:val="Heading2"/>
        <w:rPr>
          <w:rFonts w:ascii="Times New Roman" w:eastAsia="Times New Roman" w:hAnsi="Times New Roman" w:cs="Times New Roman"/>
          <w:b/>
          <w:bCs/>
          <w:i/>
          <w:iCs/>
          <w:szCs w:val="24"/>
          <w:u w:val="single"/>
        </w:rPr>
      </w:pPr>
      <w:r w:rsidRPr="00A04809">
        <w:rPr>
          <w:rFonts w:ascii="Times New Roman" w:eastAsia="Times New Roman" w:hAnsi="Times New Roman" w:cs="Times New Roman"/>
          <w:b/>
          <w:bCs/>
          <w:i/>
          <w:iCs/>
          <w:szCs w:val="24"/>
          <w:u w:val="single"/>
        </w:rPr>
        <w:t>Original Research Article</w:t>
      </w:r>
    </w:p>
    <w:p w14:paraId="528540E8" w14:textId="030E2529" w:rsidR="00D923F5" w:rsidRDefault="0098226B" w:rsidP="009B7C68">
      <w:pPr>
        <w:pStyle w:val="Heading2"/>
        <w:spacing w:before="0"/>
        <w:jc w:val="right"/>
        <w:rPr>
          <w:rFonts w:ascii="Times New Roman" w:eastAsia="Times New Roman" w:hAnsi="Times New Roman" w:cs="Times New Roman"/>
          <w:b/>
          <w:color w:val="auto"/>
          <w:szCs w:val="24"/>
        </w:rPr>
      </w:pPr>
      <w:r w:rsidRPr="00B611F7">
        <w:rPr>
          <w:rFonts w:ascii="Times New Roman" w:eastAsia="Times New Roman" w:hAnsi="Times New Roman" w:cs="Times New Roman"/>
          <w:b/>
          <w:color w:val="auto"/>
          <w:szCs w:val="24"/>
        </w:rPr>
        <w:t>ASSESSING THE</w:t>
      </w:r>
      <w:commentRangeStart w:id="0"/>
      <w:r w:rsidRPr="00B611F7">
        <w:rPr>
          <w:rFonts w:ascii="Times New Roman" w:eastAsia="Times New Roman" w:hAnsi="Times New Roman" w:cs="Times New Roman"/>
          <w:b/>
          <w:color w:val="auto"/>
          <w:szCs w:val="24"/>
        </w:rPr>
        <w:t xml:space="preserve"> IMPACT </w:t>
      </w:r>
      <w:commentRangeEnd w:id="0"/>
      <w:r w:rsidR="00DC059F">
        <w:rPr>
          <w:rStyle w:val="CommentReference"/>
          <w:rFonts w:asciiTheme="minorHAnsi" w:eastAsiaTheme="minorHAnsi" w:hAnsiTheme="minorHAnsi" w:cstheme="minorBidi"/>
          <w:color w:val="auto"/>
          <w:kern w:val="0"/>
          <w14:ligatures w14:val="none"/>
        </w:rPr>
        <w:commentReference w:id="0"/>
      </w:r>
      <w:r w:rsidRPr="00B611F7">
        <w:rPr>
          <w:rFonts w:ascii="Times New Roman" w:eastAsia="Times New Roman" w:hAnsi="Times New Roman" w:cs="Times New Roman"/>
          <w:b/>
          <w:color w:val="auto"/>
          <w:szCs w:val="24"/>
        </w:rPr>
        <w:t>OF CLIMATE CHANGE ON FOOD CROP PRODUCTION AND RURAL LIVELIHOODS IN ADAMAWA STATE, NIGERIA</w:t>
      </w:r>
    </w:p>
    <w:p w14:paraId="659DAAA8" w14:textId="77777777" w:rsidR="00147E26" w:rsidRPr="00147E26" w:rsidRDefault="00147E26" w:rsidP="009B7C68">
      <w:pPr>
        <w:jc w:val="right"/>
        <w:rPr>
          <w:rFonts w:ascii="Times New Roman" w:hAnsi="Times New Roman" w:cs="Times New Roman"/>
          <w:b/>
          <w:sz w:val="4"/>
          <w:szCs w:val="24"/>
        </w:rPr>
      </w:pPr>
    </w:p>
    <w:p w14:paraId="5339C03E" w14:textId="77777777" w:rsidR="004F14E3" w:rsidRDefault="004F14E3" w:rsidP="002064A5">
      <w:pPr>
        <w:pStyle w:val="Heading1"/>
        <w:spacing w:before="0"/>
        <w:rPr>
          <w:rFonts w:ascii="Times New Roman" w:eastAsia="Times New Roman" w:hAnsi="Times New Roman" w:cs="Times New Roman"/>
          <w:iCs/>
          <w:color w:val="auto"/>
          <w:sz w:val="24"/>
          <w:szCs w:val="24"/>
        </w:rPr>
      </w:pPr>
    </w:p>
    <w:p w14:paraId="5F2C941D" w14:textId="77777777" w:rsidR="00315D85" w:rsidRDefault="00315D85" w:rsidP="00315D85"/>
    <w:p w14:paraId="11CD5BB7" w14:textId="77777777" w:rsidR="00315D85" w:rsidRPr="00315D85" w:rsidRDefault="00315D85" w:rsidP="00315D85"/>
    <w:p w14:paraId="77FBD991" w14:textId="77777777" w:rsidR="00E04603" w:rsidRPr="001B341B" w:rsidRDefault="00E04603" w:rsidP="002064A5">
      <w:pPr>
        <w:pStyle w:val="Heading1"/>
        <w:spacing w:before="0"/>
        <w:rPr>
          <w:rFonts w:ascii="Times New Roman" w:eastAsia="Times New Roman" w:hAnsi="Times New Roman" w:cs="Times New Roman"/>
          <w:iCs/>
          <w:color w:val="auto"/>
          <w:sz w:val="24"/>
          <w:szCs w:val="24"/>
        </w:rPr>
      </w:pPr>
      <w:r w:rsidRPr="001B341B">
        <w:rPr>
          <w:rFonts w:ascii="Times New Roman" w:eastAsia="Times New Roman" w:hAnsi="Times New Roman" w:cs="Times New Roman"/>
          <w:iCs/>
          <w:color w:val="auto"/>
          <w:sz w:val="24"/>
          <w:szCs w:val="24"/>
        </w:rPr>
        <w:t>ABSTRACT</w:t>
      </w:r>
    </w:p>
    <w:p w14:paraId="12B61FD1" w14:textId="1D681890" w:rsidR="00BF4AEE" w:rsidRPr="001B341B" w:rsidRDefault="00BF4AEE" w:rsidP="00BF4AEE">
      <w:pPr>
        <w:pStyle w:val="NormalWeb"/>
        <w:spacing w:before="0" w:beforeAutospacing="0" w:after="0" w:afterAutospacing="0"/>
        <w:jc w:val="both"/>
        <w:rPr>
          <w:iCs/>
          <w:sz w:val="22"/>
        </w:rPr>
      </w:pPr>
      <w:r w:rsidRPr="001B341B">
        <w:rPr>
          <w:iCs/>
          <w:sz w:val="22"/>
        </w:rPr>
        <w:t>Climate change is an increasing threat to food security and rural livelihoods in sub-Saharan Africa, especially in areas where agriculture depends largely on rainfall. This study explored the effects of climate change on food crop production and rural livelihoods in Adamawa State, Nigeria, with the aim of identifying sustainable adaptation strategies</w:t>
      </w:r>
      <w:bookmarkStart w:id="1" w:name="_GoBack"/>
      <w:bookmarkEnd w:id="1"/>
      <w:r w:rsidRPr="001B341B">
        <w:rPr>
          <w:iCs/>
          <w:sz w:val="22"/>
        </w:rPr>
        <w:t xml:space="preserve">. Primary data were collected from 270 farming households across Mubi North, </w:t>
      </w:r>
      <w:proofErr w:type="spellStart"/>
      <w:r w:rsidRPr="001B341B">
        <w:rPr>
          <w:iCs/>
          <w:sz w:val="22"/>
        </w:rPr>
        <w:t>Ganye</w:t>
      </w:r>
      <w:proofErr w:type="spellEnd"/>
      <w:r w:rsidRPr="001B341B">
        <w:rPr>
          <w:iCs/>
          <w:sz w:val="22"/>
        </w:rPr>
        <w:t xml:space="preserve">, and </w:t>
      </w:r>
      <w:proofErr w:type="spellStart"/>
      <w:r w:rsidRPr="001B341B">
        <w:rPr>
          <w:iCs/>
          <w:sz w:val="22"/>
        </w:rPr>
        <w:t>Fufore</w:t>
      </w:r>
      <w:proofErr w:type="spellEnd"/>
      <w:r w:rsidRPr="001B341B">
        <w:rPr>
          <w:iCs/>
          <w:sz w:val="22"/>
        </w:rPr>
        <w:t xml:space="preserve"> Local Government Areas using a structured questionnaire. </w:t>
      </w:r>
      <w:proofErr w:type="spellStart"/>
      <w:r w:rsidRPr="001B341B">
        <w:rPr>
          <w:iCs/>
          <w:sz w:val="22"/>
        </w:rPr>
        <w:t>Likert</w:t>
      </w:r>
      <w:proofErr w:type="spellEnd"/>
      <w:r w:rsidRPr="001B341B">
        <w:rPr>
          <w:iCs/>
          <w:sz w:val="22"/>
        </w:rPr>
        <w:t xml:space="preserve">-scale responses were </w:t>
      </w:r>
      <w:proofErr w:type="spellStart"/>
      <w:r w:rsidR="00B2606D" w:rsidRPr="001B341B">
        <w:rPr>
          <w:iCs/>
          <w:sz w:val="22"/>
        </w:rPr>
        <w:t>analysed</w:t>
      </w:r>
      <w:proofErr w:type="spellEnd"/>
      <w:r w:rsidRPr="001B341B">
        <w:rPr>
          <w:iCs/>
          <w:sz w:val="22"/>
        </w:rPr>
        <w:t xml:space="preserve"> through descriptive statistics, composite index construction, and analysis of variance to examine spatial differences in climate impacts and adaptation responses. The findings show that climate variability and change have had a substantial impact on food crop production in all three LGAs, as evidenced by high Composite Climate Change Impact Index values. Key climate-related challenges identified include erratic rainfall patterns, more frequent droughts, </w:t>
      </w:r>
      <w:r w:rsidR="001B341B" w:rsidRPr="001B341B">
        <w:rPr>
          <w:iCs/>
          <w:sz w:val="22"/>
        </w:rPr>
        <w:t>and delayed</w:t>
      </w:r>
      <w:r w:rsidRPr="001B341B">
        <w:rPr>
          <w:iCs/>
          <w:sz w:val="22"/>
        </w:rPr>
        <w:t xml:space="preserve"> onset of the rainy season, rising temperatures, and declining soil fertility. These factors have collectively reduced crop yields and adversely affected rural livelihoods, particularly in terms of household income and food security. However, the study also revealed differences in adaptation capacity across the LGAs. Areas with higher adoption of climate-smart practices and livelihood diversification strategies experienced lower levels of vulnerability, suggesting that proactive adaptation can buffer the negative effects of climate change. One-way ANOVA results confirmed that there were significant spatial differences in perceived climate change impacts among the LGAs. Therefore, the study concludes that climate change presents serious challenges to food production and rural livelihoods in Adamawa State. Nevertheless, promoting sustainable, context-specific adaptation strategies can strengthen resilience. These findings provide valuable evidence to guide agricultural and climate policy development, supporting both Nigeria’s National Adaptation Plan and broader global climate action objectives.</w:t>
      </w:r>
    </w:p>
    <w:p w14:paraId="2D8C1101" w14:textId="77777777" w:rsidR="00BF4AEE" w:rsidRPr="001B341B" w:rsidRDefault="00BF4AEE" w:rsidP="00BF4AEE">
      <w:pPr>
        <w:pStyle w:val="NormalWeb"/>
        <w:spacing w:before="0" w:beforeAutospacing="0" w:after="0" w:afterAutospacing="0"/>
        <w:jc w:val="both"/>
        <w:rPr>
          <w:sz w:val="22"/>
        </w:rPr>
      </w:pPr>
    </w:p>
    <w:p w14:paraId="2A79EF8E" w14:textId="19C90092" w:rsidR="00E04603" w:rsidRPr="00DA5824" w:rsidRDefault="00E04603" w:rsidP="00BF4AEE">
      <w:pPr>
        <w:pStyle w:val="NormalWeb"/>
        <w:spacing w:before="0" w:beforeAutospacing="0" w:after="0" w:afterAutospacing="0"/>
        <w:jc w:val="both"/>
      </w:pPr>
      <w:r w:rsidRPr="00DA5824">
        <w:rPr>
          <w:rStyle w:val="Strong"/>
        </w:rPr>
        <w:t>Keywords:</w:t>
      </w:r>
      <w:r w:rsidRPr="00DA5824">
        <w:t xml:space="preserve"> Climate change, food crop production, rural livelihoods, adaptation strategies, Adamawa State, Nigeria.</w:t>
      </w:r>
    </w:p>
    <w:p w14:paraId="22E7DE79" w14:textId="77777777" w:rsidR="00D923F5" w:rsidRPr="00E04603" w:rsidRDefault="00D923F5" w:rsidP="00896808">
      <w:pPr>
        <w:pStyle w:val="Heading2"/>
        <w:spacing w:before="0"/>
        <w:jc w:val="both"/>
        <w:rPr>
          <w:rFonts w:ascii="Times New Roman" w:eastAsia="Times New Roman" w:hAnsi="Times New Roman" w:cs="Times New Roman"/>
          <w:b/>
          <w:color w:val="auto"/>
          <w:sz w:val="24"/>
          <w:szCs w:val="24"/>
        </w:rPr>
      </w:pPr>
    </w:p>
    <w:p w14:paraId="344E912A" w14:textId="77777777" w:rsidR="00611692" w:rsidRPr="00CA7EB6"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w:t>
      </w:r>
      <w:r>
        <w:rPr>
          <w:rFonts w:ascii="Times New Roman" w:eastAsia="Times New Roman" w:hAnsi="Times New Roman" w:cs="Times New Roman"/>
          <w:b/>
          <w:color w:val="auto"/>
          <w:sz w:val="24"/>
          <w:szCs w:val="24"/>
        </w:rPr>
        <w:tab/>
      </w:r>
      <w:r w:rsidR="0098226B" w:rsidRPr="00CA7EB6">
        <w:rPr>
          <w:rFonts w:ascii="Times New Roman" w:eastAsia="Times New Roman" w:hAnsi="Times New Roman" w:cs="Times New Roman"/>
          <w:b/>
          <w:color w:val="auto"/>
          <w:sz w:val="24"/>
          <w:szCs w:val="24"/>
        </w:rPr>
        <w:t>INTROD</w:t>
      </w:r>
      <w:r w:rsidR="0098226B">
        <w:rPr>
          <w:rFonts w:ascii="Times New Roman" w:eastAsia="Times New Roman" w:hAnsi="Times New Roman" w:cs="Times New Roman"/>
          <w:b/>
          <w:color w:val="auto"/>
          <w:sz w:val="24"/>
          <w:szCs w:val="24"/>
        </w:rPr>
        <w:t>UCTION</w:t>
      </w:r>
      <w:r w:rsidR="00B611F7">
        <w:rPr>
          <w:rFonts w:ascii="Times New Roman" w:eastAsia="Times New Roman" w:hAnsi="Times New Roman" w:cs="Times New Roman"/>
          <w:b/>
          <w:color w:val="auto"/>
          <w:sz w:val="24"/>
          <w:szCs w:val="24"/>
        </w:rPr>
        <w:t xml:space="preserve"> </w:t>
      </w:r>
    </w:p>
    <w:p w14:paraId="4C90CE57"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The effects of climate change continue to pose </w:t>
      </w:r>
      <w:commentRangeStart w:id="2"/>
      <w:r w:rsidRPr="00AE0CCF">
        <w:rPr>
          <w:rFonts w:ascii="Times New Roman" w:hAnsi="Times New Roman" w:cs="Times New Roman"/>
          <w:sz w:val="24"/>
          <w:szCs w:val="24"/>
        </w:rPr>
        <w:t xml:space="preserve">a threat unprecedented </w:t>
      </w:r>
      <w:commentRangeEnd w:id="2"/>
      <w:r w:rsidR="00DE68CD">
        <w:rPr>
          <w:rStyle w:val="CommentReference"/>
        </w:rPr>
        <w:commentReference w:id="2"/>
      </w:r>
      <w:r w:rsidRPr="00AE0CCF">
        <w:rPr>
          <w:rFonts w:ascii="Times New Roman" w:hAnsi="Times New Roman" w:cs="Times New Roman"/>
          <w:sz w:val="24"/>
          <w:szCs w:val="24"/>
        </w:rPr>
        <w:t>to the global food systems and rural life, increasing in magnitude and spatial scale over the last 20 years. Several studies have since concluded that global mean surface temperatures have already exceeded pre-industrial levels by more than 1.1°C, increasing the variability of climate, increasing the frequency of extreme weather events, and increasing uncertainty in agricultural production systems (</w:t>
      </w:r>
      <w:smartTag w:uri="urn:schemas-microsoft-com:office:smarttags" w:element="stockticker">
        <w:r w:rsidRPr="00AE0CCF">
          <w:rPr>
            <w:rFonts w:ascii="Times New Roman" w:hAnsi="Times New Roman" w:cs="Times New Roman"/>
            <w:sz w:val="24"/>
            <w:szCs w:val="24"/>
          </w:rPr>
          <w:t>IPCC</w:t>
        </w:r>
      </w:smartTag>
      <w:r w:rsidRPr="00AE0CCF">
        <w:rPr>
          <w:rFonts w:ascii="Times New Roman" w:hAnsi="Times New Roman" w:cs="Times New Roman"/>
          <w:sz w:val="24"/>
          <w:szCs w:val="24"/>
        </w:rPr>
        <w:t xml:space="preserve">, 2023). Agricultural growth, especially smallholder farming that receives rain, is still one of the </w:t>
      </w:r>
      <w:r w:rsidRPr="00AE0CCF">
        <w:rPr>
          <w:rFonts w:ascii="Times New Roman" w:hAnsi="Times New Roman" w:cs="Times New Roman"/>
          <w:sz w:val="24"/>
          <w:szCs w:val="24"/>
        </w:rPr>
        <w:lastRenderedPageBreak/>
        <w:t xml:space="preserve">most vulnerable sectors in developing countries where adaptive capacity is constrained by socio-economic and institutional </w:t>
      </w:r>
      <w:commentRangeStart w:id="3"/>
      <w:r w:rsidRPr="00AE0CCF">
        <w:rPr>
          <w:rFonts w:ascii="Times New Roman" w:hAnsi="Times New Roman" w:cs="Times New Roman"/>
          <w:sz w:val="24"/>
          <w:szCs w:val="24"/>
        </w:rPr>
        <w:t>constraint</w:t>
      </w:r>
      <w:commentRangeEnd w:id="3"/>
      <w:r w:rsidR="00DE68CD">
        <w:rPr>
          <w:rStyle w:val="CommentReference"/>
        </w:rPr>
        <w:commentReference w:id="3"/>
      </w:r>
      <w:r w:rsidRPr="00AE0CCF">
        <w:rPr>
          <w:rFonts w:ascii="Times New Roman" w:hAnsi="Times New Roman" w:cs="Times New Roman"/>
          <w:sz w:val="24"/>
          <w:szCs w:val="24"/>
        </w:rPr>
        <w:t xml:space="preserve"> (FAO et al., 2023).</w:t>
      </w:r>
    </w:p>
    <w:p w14:paraId="6A48C368" w14:textId="6C17C5F4"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Sub-Saharan Africa has become a climate change hotspot because of its reliance on climate-sensitive livelihoods and limited resilience infrastructure. Since 2020, empirical data have suggested that climate change has dramatically modified the phenology of crops and shorter growing seasons in the region, increased heat stress, and reduced annual biomass in staple food crops (Sultan et al., 2020; Thornton et al., 2022). These impacts directly affect food availability, household income and nutritional outcomes, undermining progress towards the Sustainable Development Goals, especially SDGs 1 (No Poverty) and 2 (Zero Hunger). In Nigeria, smallholder farmers are the primary livelihood source of rural households, and food crops still dominate the landscape. Recent national research has shown that climate related </w:t>
      </w:r>
      <w:proofErr w:type="spellStart"/>
      <w:r w:rsidRPr="00AE0CCF">
        <w:rPr>
          <w:rFonts w:ascii="Times New Roman" w:hAnsi="Times New Roman" w:cs="Times New Roman"/>
          <w:sz w:val="24"/>
          <w:szCs w:val="24"/>
        </w:rPr>
        <w:t>shocks</w:t>
      </w:r>
      <w:proofErr w:type="spellEnd"/>
      <w:r w:rsidRPr="00AE0CCF">
        <w:rPr>
          <w:rFonts w:ascii="Times New Roman" w:hAnsi="Times New Roman" w:cs="Times New Roman"/>
          <w:sz w:val="24"/>
          <w:szCs w:val="24"/>
        </w:rPr>
        <w:t xml:space="preserve"> such as droughts, floods and unseasonably high rainfall have become more frequent and more severe, impacting planting patterns, increasing crop failure rates, and reducing farm productivity (NBS, 2022; see also Figure </w:t>
      </w:r>
      <w:commentRangeStart w:id="4"/>
      <w:r w:rsidRPr="00AE0CCF">
        <w:rPr>
          <w:rFonts w:ascii="Times New Roman" w:hAnsi="Times New Roman" w:cs="Times New Roman"/>
          <w:sz w:val="24"/>
          <w:szCs w:val="24"/>
        </w:rPr>
        <w:t xml:space="preserve">6). </w:t>
      </w:r>
      <w:proofErr w:type="spellStart"/>
      <w:r w:rsidRPr="00AE0CCF">
        <w:rPr>
          <w:rFonts w:ascii="Times New Roman" w:hAnsi="Times New Roman" w:cs="Times New Roman"/>
          <w:sz w:val="24"/>
          <w:szCs w:val="24"/>
        </w:rPr>
        <w:t>Olayide</w:t>
      </w:r>
      <w:proofErr w:type="spellEnd"/>
      <w:r w:rsidRPr="00AE0CCF">
        <w:rPr>
          <w:rFonts w:ascii="Times New Roman" w:hAnsi="Times New Roman" w:cs="Times New Roman"/>
          <w:sz w:val="24"/>
          <w:szCs w:val="24"/>
        </w:rPr>
        <w:t xml:space="preserve"> et al.</w:t>
      </w:r>
      <w:r w:rsidR="009E3BBB">
        <w:rPr>
          <w:rFonts w:ascii="Times New Roman" w:hAnsi="Times New Roman" w:cs="Times New Roman"/>
          <w:sz w:val="24"/>
          <w:szCs w:val="24"/>
        </w:rPr>
        <w:t xml:space="preserve"> (</w:t>
      </w:r>
      <w:r w:rsidRPr="00AE0CCF">
        <w:rPr>
          <w:rFonts w:ascii="Times New Roman" w:hAnsi="Times New Roman" w:cs="Times New Roman"/>
          <w:sz w:val="24"/>
          <w:szCs w:val="24"/>
        </w:rPr>
        <w:t xml:space="preserve">2023). </w:t>
      </w:r>
      <w:commentRangeEnd w:id="4"/>
      <w:r w:rsidR="00DE68CD">
        <w:rPr>
          <w:rStyle w:val="CommentReference"/>
        </w:rPr>
        <w:commentReference w:id="4"/>
      </w:r>
      <w:r w:rsidRPr="00AE0CCF">
        <w:rPr>
          <w:rFonts w:ascii="Times New Roman" w:hAnsi="Times New Roman" w:cs="Times New Roman"/>
          <w:sz w:val="24"/>
          <w:szCs w:val="24"/>
        </w:rPr>
        <w:t>Nigeria’s agriculture is particularly vulnerable due to its climate-smart technologies, low irrigation coverage and poor rainfall. This has led to climate change becoming a significant driver of food insecurity and rural vulnerability across the country</w:t>
      </w:r>
      <w:r w:rsidR="006E7245">
        <w:rPr>
          <w:rFonts w:ascii="Times New Roman" w:hAnsi="Times New Roman" w:cs="Times New Roman"/>
          <w:sz w:val="24"/>
          <w:szCs w:val="24"/>
        </w:rPr>
        <w:t xml:space="preserve"> (Mshelia et al., 2025)</w:t>
      </w:r>
      <w:r w:rsidRPr="00AE0CCF">
        <w:rPr>
          <w:rFonts w:ascii="Times New Roman" w:hAnsi="Times New Roman" w:cs="Times New Roman"/>
          <w:sz w:val="24"/>
          <w:szCs w:val="24"/>
        </w:rPr>
        <w:t>.</w:t>
      </w:r>
    </w:p>
    <w:p w14:paraId="047D6AE4" w14:textId="7CC0381F"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 xml:space="preserve">Adamawa State, in northeastern Nigeria, is a case in point where climate and livelihood sensitivity collide. The state is part of a fragile ecological savanna </w:t>
      </w:r>
      <w:commentRangeStart w:id="5"/>
      <w:r w:rsidRPr="00AE0CCF">
        <w:rPr>
          <w:rFonts w:ascii="Times New Roman" w:hAnsi="Times New Roman" w:cs="Times New Roman"/>
          <w:sz w:val="24"/>
          <w:szCs w:val="24"/>
        </w:rPr>
        <w:t>and is dependent heavily upon subsistence food crop cultivation</w:t>
      </w:r>
      <w:commentRangeEnd w:id="5"/>
      <w:r w:rsidR="00DE68CD">
        <w:rPr>
          <w:rStyle w:val="CommentReference"/>
        </w:rPr>
        <w:commentReference w:id="5"/>
      </w:r>
      <w:r w:rsidRPr="00AE0CCF">
        <w:rPr>
          <w:rFonts w:ascii="Times New Roman" w:hAnsi="Times New Roman" w:cs="Times New Roman"/>
          <w:sz w:val="24"/>
          <w:szCs w:val="24"/>
        </w:rPr>
        <w:t>. Recent climate models point to increased variability in rainfall, time off and early termination of the rainy season, rising temperatures, and frequent flooding in the Benue River Basin (</w:t>
      </w:r>
      <w:proofErr w:type="spellStart"/>
      <w:r w:rsidRPr="00AE0CCF">
        <w:rPr>
          <w:rFonts w:ascii="Times New Roman" w:hAnsi="Times New Roman" w:cs="Times New Roman"/>
          <w:sz w:val="24"/>
          <w:szCs w:val="24"/>
        </w:rPr>
        <w:t>Abaje</w:t>
      </w:r>
      <w:proofErr w:type="spellEnd"/>
      <w:r w:rsidRPr="00AE0CCF">
        <w:rPr>
          <w:rFonts w:ascii="Times New Roman" w:hAnsi="Times New Roman" w:cs="Times New Roman"/>
          <w:sz w:val="24"/>
          <w:szCs w:val="24"/>
        </w:rPr>
        <w:t xml:space="preserve"> et al., 2020; Ishaya et al., 2021). These climatic changes have led to negative impacts on major food crops such as maize, rice, sorghum, millet and legumes that constitute the main source of food and income for rural households. Plus, there are also multi-level impacts of climate change on the life of farmers in Adamawa State. Reduced crop growth translates to lower household income, increasing food insecurity, greater shock sensitivity, and less investment in education, health and farm resources. The prevailing literature in environmental sociopathology points to the fact that climate stress often causes rural households to use erosive means of survival, such as selling productive assets, reducing food consumption, or moving out of distress (Antwi-Agyei et al., 2021; Ali et al., 2022</w:t>
      </w:r>
      <w:r w:rsidR="006E7245">
        <w:rPr>
          <w:rFonts w:ascii="Times New Roman" w:hAnsi="Times New Roman" w:cs="Times New Roman"/>
          <w:sz w:val="24"/>
          <w:szCs w:val="24"/>
        </w:rPr>
        <w:t>; Mshelia et al., 2020</w:t>
      </w:r>
      <w:r w:rsidRPr="00AE0CCF">
        <w:rPr>
          <w:rFonts w:ascii="Times New Roman" w:hAnsi="Times New Roman" w:cs="Times New Roman"/>
          <w:sz w:val="24"/>
          <w:szCs w:val="24"/>
        </w:rPr>
        <w:t>). Such measures may provide temporary relief, but ultimately weaken long-run resilience and adaptive capacity.</w:t>
      </w:r>
    </w:p>
    <w:p w14:paraId="221595CC" w14:textId="39EE7EFD"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Adaptation to climate change is therefore a central policy and research concern. Modern research increasingly emphasizes the need for adaptation through CSA, different livelihoods, better access to climate information services, and institutional support (Challinor et al. 2022; FAO, 2022). Bu</w:t>
      </w:r>
      <w:commentRangeStart w:id="6"/>
      <w:r w:rsidRPr="00AE0CCF">
        <w:rPr>
          <w:rFonts w:ascii="Times New Roman" w:hAnsi="Times New Roman" w:cs="Times New Roman"/>
          <w:sz w:val="24"/>
          <w:szCs w:val="24"/>
        </w:rPr>
        <w:t xml:space="preserve">t, </w:t>
      </w:r>
      <w:commentRangeEnd w:id="6"/>
      <w:r w:rsidR="008562FB">
        <w:rPr>
          <w:rStyle w:val="CommentReference"/>
        </w:rPr>
        <w:commentReference w:id="6"/>
      </w:r>
      <w:r w:rsidRPr="00AE0CCF">
        <w:rPr>
          <w:rFonts w:ascii="Times New Roman" w:hAnsi="Times New Roman" w:cs="Times New Roman"/>
          <w:sz w:val="24"/>
          <w:szCs w:val="24"/>
        </w:rPr>
        <w:t>evidence indicates that this strategy is poorly adopted by smallholder farmers given socio-economic variables including education, access to credit, land tenure security, extension services and social capital (Ojo et al., 2024). Conflict, poverty, and weak institutional structures hinder effective adaptation in northeastern Nigeria.</w:t>
      </w:r>
    </w:p>
    <w:p w14:paraId="312076D9"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lastRenderedPageBreak/>
        <w:t xml:space="preserve">The research on the impact of climate change on food crop production has remained largely ineffective in linking the consequences of climate change directly to outcomes for rural livelihoods and adaptation strategies in Adamawa State, despite increasing national and international interest. </w:t>
      </w:r>
      <w:commentRangeStart w:id="7"/>
      <w:r w:rsidRPr="00AE0CCF">
        <w:rPr>
          <w:rFonts w:ascii="Times New Roman" w:hAnsi="Times New Roman" w:cs="Times New Roman"/>
          <w:sz w:val="24"/>
          <w:szCs w:val="24"/>
        </w:rPr>
        <w:t>Many</w:t>
      </w:r>
      <w:commentRangeEnd w:id="7"/>
      <w:r w:rsidR="008562FB">
        <w:rPr>
          <w:rStyle w:val="CommentReference"/>
        </w:rPr>
        <w:commentReference w:id="7"/>
      </w:r>
      <w:r w:rsidRPr="00AE0CCF">
        <w:rPr>
          <w:rFonts w:ascii="Times New Roman" w:hAnsi="Times New Roman" w:cs="Times New Roman"/>
          <w:sz w:val="24"/>
          <w:szCs w:val="24"/>
        </w:rPr>
        <w:t xml:space="preserve"> of the existing literature </w:t>
      </w:r>
      <w:proofErr w:type="gramStart"/>
      <w:r w:rsidRPr="00AE0CCF">
        <w:rPr>
          <w:rFonts w:ascii="Times New Roman" w:hAnsi="Times New Roman" w:cs="Times New Roman"/>
          <w:sz w:val="24"/>
          <w:szCs w:val="24"/>
        </w:rPr>
        <w:t>is</w:t>
      </w:r>
      <w:proofErr w:type="gramEnd"/>
      <w:r w:rsidRPr="00AE0CCF">
        <w:rPr>
          <w:rFonts w:ascii="Times New Roman" w:hAnsi="Times New Roman" w:cs="Times New Roman"/>
          <w:sz w:val="24"/>
          <w:szCs w:val="24"/>
        </w:rPr>
        <w:t xml:space="preserve"> based on climatic trends or agricultural impacts but does not sufficiently integrate livelihood and sustainability considerations. This gap must be filled for evidence-based policies and designing context specific adaptation strategies that contribute to resilience, food security, and rural well-being.</w:t>
      </w:r>
    </w:p>
    <w:p w14:paraId="457C1E1A" w14:textId="77777777" w:rsidR="004D6BCD" w:rsidRPr="00AE0CCF" w:rsidRDefault="004D6BCD" w:rsidP="00896808">
      <w:pPr>
        <w:jc w:val="both"/>
        <w:rPr>
          <w:rFonts w:ascii="Times New Roman" w:hAnsi="Times New Roman" w:cs="Times New Roman"/>
          <w:sz w:val="24"/>
          <w:szCs w:val="24"/>
        </w:rPr>
      </w:pPr>
      <w:r w:rsidRPr="00AE0CCF">
        <w:rPr>
          <w:rFonts w:ascii="Times New Roman" w:hAnsi="Times New Roman" w:cs="Times New Roman"/>
          <w:sz w:val="24"/>
          <w:szCs w:val="24"/>
        </w:rPr>
        <w:t>As a result, the aim of this study is to investigate the impacts of climate change on agricultural production and rural livelihoods in Adamawa State, Nigeria, in order to identify sustainable adaptation strategies based on investigating the impacts of climate variability and climate change on the production of major food crops in Adamawa State, the implications of climate-induced changes in agricultural production for rural households and the resilience of rural farming households to climate change. It contributes to current debates about climate resilience and provides guidance for policy-making in accordance with national adaptation plans and global climate action.</w:t>
      </w:r>
    </w:p>
    <w:p w14:paraId="0DF3F2E2" w14:textId="03072579" w:rsidR="003C08B4" w:rsidRPr="00AA5FDD" w:rsidRDefault="00640B46" w:rsidP="00896808">
      <w:pPr>
        <w:pStyle w:val="Heading2"/>
        <w:spacing w:before="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1.2</w:t>
      </w:r>
      <w:r>
        <w:rPr>
          <w:rFonts w:ascii="Times New Roman" w:eastAsia="Times New Roman" w:hAnsi="Times New Roman" w:cs="Times New Roman"/>
          <w:b/>
          <w:color w:val="auto"/>
          <w:sz w:val="24"/>
          <w:szCs w:val="24"/>
        </w:rPr>
        <w:tab/>
      </w:r>
      <w:r w:rsidR="003C08B4" w:rsidRPr="00AA5FDD">
        <w:rPr>
          <w:rFonts w:ascii="Times New Roman" w:eastAsia="Times New Roman" w:hAnsi="Times New Roman" w:cs="Times New Roman"/>
          <w:b/>
          <w:color w:val="auto"/>
          <w:sz w:val="24"/>
          <w:szCs w:val="24"/>
        </w:rPr>
        <w:t>Theoretical Framework</w:t>
      </w:r>
    </w:p>
    <w:p w14:paraId="157C49DD" w14:textId="77777777" w:rsidR="00F362F9" w:rsidRDefault="00F362F9" w:rsidP="00896808">
      <w:pPr>
        <w:pStyle w:val="NormalWeb"/>
        <w:spacing w:before="0" w:beforeAutospacing="0" w:after="0" w:afterAutospacing="0"/>
        <w:jc w:val="both"/>
      </w:pPr>
      <w:r w:rsidRPr="00F362F9">
        <w:t xml:space="preserve">This study is theoretically grounded in the Sustainable Livelihoods Framework (SLF), Resilience Theory, and the Climate-Smart Agriculture (CSA) framework, three complementary perspectives that together offer a multidimensional lens for interrogating how climate-smart agriculture policies strengthen community resilience to climate variability and environmental stressors in Mubi North, </w:t>
      </w:r>
      <w:proofErr w:type="spellStart"/>
      <w:r w:rsidRPr="00F362F9">
        <w:t>Ganye</w:t>
      </w:r>
      <w:proofErr w:type="spellEnd"/>
      <w:r w:rsidRPr="00F362F9">
        <w:t xml:space="preserve">, and </w:t>
      </w:r>
      <w:proofErr w:type="spellStart"/>
      <w:r w:rsidRPr="00F362F9">
        <w:t>Furfore</w:t>
      </w:r>
      <w:proofErr w:type="spellEnd"/>
      <w:r w:rsidRPr="00F362F9">
        <w:t>, Adamawa State, Nigeria. Taken collectively, these frameworks move the analysis beyond narrow production metrics and situate agricultural adaptation within broader livelihood systems and institutional contexts.</w:t>
      </w:r>
    </w:p>
    <w:p w14:paraId="6712151A" w14:textId="77777777" w:rsidR="006E7245" w:rsidRPr="006E7245" w:rsidRDefault="006E7245" w:rsidP="00896808">
      <w:pPr>
        <w:pStyle w:val="NormalWeb"/>
        <w:spacing w:before="0" w:beforeAutospacing="0" w:after="0" w:afterAutospacing="0"/>
        <w:jc w:val="both"/>
        <w:rPr>
          <w:sz w:val="20"/>
        </w:rPr>
      </w:pPr>
    </w:p>
    <w:p w14:paraId="5C2A7149" w14:textId="335D805A" w:rsidR="00F362F9" w:rsidRDefault="00F362F9" w:rsidP="00896808">
      <w:pPr>
        <w:pStyle w:val="NormalWeb"/>
        <w:spacing w:before="0" w:beforeAutospacing="0" w:after="0" w:afterAutospacing="0"/>
        <w:jc w:val="both"/>
      </w:pPr>
      <w:r w:rsidRPr="00F362F9">
        <w:t>The SLF, advanced by the UK Department for International Development, conceptualizes rural livelihoods as products of households’ access to five interdependent forms of capital</w:t>
      </w:r>
      <w:r>
        <w:t xml:space="preserve"> </w:t>
      </w:r>
      <w:r w:rsidRPr="00F362F9">
        <w:t>human, natural, physical, financial, and social</w:t>
      </w:r>
      <w:r>
        <w:t xml:space="preserve"> </w:t>
      </w:r>
      <w:r w:rsidRPr="00F362F9">
        <w:t xml:space="preserve">operating within a vulnerability context shaped by shocks, long-term trends, and seasonal fluctuations (DFID, 1999). In this setting, climate change emerges not as an abstract environmental condition but as a persistent and destabilizing force. Rising temperatures, erratic rainfall, droughts, and flooding steadily erode natural assets, constrict income streams, and depress agricultural output. </w:t>
      </w:r>
      <w:commentRangeStart w:id="8"/>
      <w:r w:rsidRPr="00F362F9">
        <w:t xml:space="preserve">Food security weakens. Livelihood options narrow. </w:t>
      </w:r>
      <w:commentRangeEnd w:id="8"/>
      <w:r w:rsidR="005F61F6">
        <w:rPr>
          <w:rStyle w:val="CommentReference"/>
          <w:rFonts w:asciiTheme="minorHAnsi" w:eastAsiaTheme="minorHAnsi" w:hAnsiTheme="minorHAnsi" w:cstheme="minorBidi"/>
        </w:rPr>
        <w:commentReference w:id="8"/>
      </w:r>
      <w:r w:rsidRPr="00F362F9">
        <w:t xml:space="preserve">Such pressures carry particular weight in Mubi North, </w:t>
      </w:r>
      <w:proofErr w:type="spellStart"/>
      <w:r w:rsidRPr="00F362F9">
        <w:t>Ganye</w:t>
      </w:r>
      <w:proofErr w:type="spellEnd"/>
      <w:r w:rsidRPr="00F362F9">
        <w:t xml:space="preserve">, and </w:t>
      </w:r>
      <w:proofErr w:type="spellStart"/>
      <w:r w:rsidRPr="00F362F9">
        <w:t>Furfore</w:t>
      </w:r>
      <w:proofErr w:type="spellEnd"/>
      <w:r w:rsidRPr="00F362F9">
        <w:t>, where dependence on rain-fed agriculture leaves households acutely exposed to climatic uncertainty. The SLF therefore provides a precise analytical scaffold for tracing the interplay between climate stressors, asset depletion, and household vulnerability.</w:t>
      </w:r>
    </w:p>
    <w:p w14:paraId="3BC08334" w14:textId="77777777" w:rsidR="006E7245" w:rsidRPr="00F362F9" w:rsidRDefault="006E7245" w:rsidP="00896808">
      <w:pPr>
        <w:pStyle w:val="NormalWeb"/>
        <w:spacing w:before="0" w:beforeAutospacing="0" w:after="0" w:afterAutospacing="0"/>
        <w:jc w:val="both"/>
      </w:pPr>
    </w:p>
    <w:p w14:paraId="6348DABA" w14:textId="05561C2F" w:rsidR="00F362F9" w:rsidRDefault="00F362F9" w:rsidP="00896808">
      <w:pPr>
        <w:pStyle w:val="NormalWeb"/>
        <w:spacing w:before="0" w:beforeAutospacing="0" w:after="0" w:afterAutospacing="0"/>
        <w:jc w:val="both"/>
      </w:pPr>
      <w:r w:rsidRPr="00F362F9">
        <w:t>Vulnerability alone, however, does not capture how communities endure or recover. Resilience Theory introduces that missing dimension. It foregrounds the capacity of social</w:t>
      </w:r>
      <w:r>
        <w:t>-</w:t>
      </w:r>
      <w:r w:rsidRPr="00F362F9">
        <w:t xml:space="preserve">ecological systems to absorb disturbance, reorganize, and continue functioning without losing their essential character (Walker et al., 2004; Folke, 2006). Farming households, viewed through this lens, operate within tightly coupled </w:t>
      </w:r>
      <w:commentRangeStart w:id="9"/>
      <w:r w:rsidRPr="00F362F9">
        <w:t>human</w:t>
      </w:r>
      <w:r>
        <w:t xml:space="preserve"> </w:t>
      </w:r>
      <w:r w:rsidRPr="00F362F9">
        <w:t xml:space="preserve">environment </w:t>
      </w:r>
      <w:commentRangeEnd w:id="9"/>
      <w:r w:rsidR="00DC5301">
        <w:rPr>
          <w:rStyle w:val="CommentReference"/>
          <w:rFonts w:asciiTheme="minorHAnsi" w:eastAsiaTheme="minorHAnsi" w:hAnsiTheme="minorHAnsi" w:cstheme="minorBidi"/>
        </w:rPr>
        <w:commentReference w:id="9"/>
      </w:r>
      <w:r w:rsidRPr="00F362F9">
        <w:t xml:space="preserve">systems where each climatic shock tests the system’s thresholds. Some households deteriorate; others adapt and stabilize. The difference lies </w:t>
      </w:r>
      <w:r w:rsidRPr="00F362F9">
        <w:lastRenderedPageBreak/>
        <w:t>in adaptive capacity</w:t>
      </w:r>
      <w:r>
        <w:t xml:space="preserve"> </w:t>
      </w:r>
      <w:r w:rsidRPr="00F362F9">
        <w:t>skills, networks, knowledge, and institutional support. This perspective reframes policy from mere relief to transformation, emphasizing mechanisms that enable households not only to survive variability but to reorganize around it.</w:t>
      </w:r>
    </w:p>
    <w:p w14:paraId="637625EC" w14:textId="77777777" w:rsidR="006E7245" w:rsidRPr="00F362F9" w:rsidRDefault="006E7245" w:rsidP="00896808">
      <w:pPr>
        <w:pStyle w:val="NormalWeb"/>
        <w:spacing w:before="0" w:beforeAutospacing="0" w:after="0" w:afterAutospacing="0"/>
        <w:jc w:val="both"/>
      </w:pPr>
    </w:p>
    <w:p w14:paraId="7CFC1045" w14:textId="0F6D4151" w:rsidR="00F362F9" w:rsidRDefault="00F362F9" w:rsidP="00896808">
      <w:pPr>
        <w:pStyle w:val="NormalWeb"/>
        <w:spacing w:before="0" w:beforeAutospacing="0" w:after="0" w:afterAutospacing="0"/>
        <w:jc w:val="both"/>
      </w:pPr>
      <w:r w:rsidRPr="00F362F9">
        <w:t>The CSA framework, promoted by the Food and Agriculture Organization, translates these theoretical insights into actionable strategies. It aligns agricultural practice with three concurrent objectives: sustained productivity, strengthened adaptation and resilience, and the mitigation of greenhouse gas emissions where feasible (FAO, 2013). In the study areas, CSA materializes through concrete interventions</w:t>
      </w:r>
      <w:r>
        <w:t xml:space="preserve"> </w:t>
      </w:r>
      <w:r w:rsidRPr="00F362F9">
        <w:t>drought-tolerant and improved seed varieties, extension services, localized climate information, and soil and water conservation measures. These are not peripheral adjustments; they function as enabling structures that buffer climate impacts and recalibrate risk. Adoption of such practices enhances adaptive capacity, stabilizes yields, and protects food supplies. Outcomes, however, remain mediated by institutional arrangements and socio</w:t>
      </w:r>
      <w:r>
        <w:t>-</w:t>
      </w:r>
      <w:r w:rsidRPr="00F362F9">
        <w:t>economic conditions, a pattern consistent with evidence from smallholder adaptation research (Lipper et al., 2014; Thornton et al., 2018).</w:t>
      </w:r>
    </w:p>
    <w:p w14:paraId="4699CC3D" w14:textId="77777777" w:rsidR="006E7245" w:rsidRPr="00F362F9" w:rsidRDefault="006E7245" w:rsidP="00896808">
      <w:pPr>
        <w:pStyle w:val="NormalWeb"/>
        <w:spacing w:before="0" w:beforeAutospacing="0" w:after="0" w:afterAutospacing="0"/>
        <w:jc w:val="both"/>
      </w:pPr>
    </w:p>
    <w:p w14:paraId="6D092D30" w14:textId="77777777" w:rsidR="00F362F9" w:rsidRPr="00F362F9" w:rsidRDefault="00F362F9" w:rsidP="00896808">
      <w:pPr>
        <w:pStyle w:val="NormalWeb"/>
        <w:spacing w:before="0" w:beforeAutospacing="0" w:after="0" w:afterAutospacing="0"/>
        <w:jc w:val="both"/>
      </w:pPr>
      <w:r w:rsidRPr="00F362F9">
        <w:t>Together, these frameworks yield an integrated analytical architecture. The SLF diagnoses exposure and asset constraints. Resilience Theory explains systemic response. CSA provides the operational pathway. In combination, they clarify how policy interventions can convert climate stress from a source of persistent vulnerability into an opportunity for strengthened, more durable livelihoods.</w:t>
      </w:r>
    </w:p>
    <w:p w14:paraId="59E8567E" w14:textId="77777777" w:rsidR="00F362F9" w:rsidRPr="00F362F9" w:rsidRDefault="00F362F9" w:rsidP="00896808">
      <w:pPr>
        <w:pStyle w:val="NormalWeb"/>
        <w:spacing w:before="0" w:beforeAutospacing="0" w:after="0" w:afterAutospacing="0"/>
        <w:jc w:val="both"/>
      </w:pPr>
    </w:p>
    <w:p w14:paraId="3A719567" w14:textId="376FDFC5" w:rsidR="00D923F5" w:rsidRPr="00541850" w:rsidRDefault="00640B46" w:rsidP="00896808">
      <w:pPr>
        <w:pStyle w:val="NormalWeb"/>
        <w:spacing w:before="0" w:beforeAutospacing="0" w:after="0" w:afterAutospacing="0"/>
        <w:jc w:val="both"/>
        <w:rPr>
          <w:rStyle w:val="Emphasis"/>
          <w:b/>
        </w:rPr>
      </w:pPr>
      <w:r>
        <w:rPr>
          <w:b/>
        </w:rPr>
        <w:t>1.3</w:t>
      </w:r>
      <w:r>
        <w:rPr>
          <w:b/>
        </w:rPr>
        <w:tab/>
      </w:r>
      <w:r w:rsidR="00D923F5" w:rsidRPr="00541850">
        <w:rPr>
          <w:b/>
        </w:rPr>
        <w:t>Conceptual Model of the Theoretical Framework</w:t>
      </w:r>
    </w:p>
    <w:p w14:paraId="327D61B7" w14:textId="77777777" w:rsidR="00541850" w:rsidRPr="00541850" w:rsidRDefault="00541850" w:rsidP="00896808">
      <w:pPr>
        <w:spacing w:after="0"/>
        <w:jc w:val="both"/>
        <w:rPr>
          <w:rFonts w:ascii="Times New Roman" w:hAnsi="Times New Roman" w:cs="Times New Roman"/>
          <w:sz w:val="14"/>
          <w:szCs w:val="24"/>
        </w:rPr>
      </w:pPr>
    </w:p>
    <w:p w14:paraId="5195E93B" w14:textId="3D1FD36C" w:rsidR="00304E3B" w:rsidRPr="00304E3B" w:rsidRDefault="00304E3B" w:rsidP="00896808">
      <w:pPr>
        <w:jc w:val="both"/>
        <w:rPr>
          <w:rFonts w:ascii="Times New Roman" w:hAnsi="Times New Roman" w:cs="Times New Roman"/>
          <w:sz w:val="24"/>
          <w:szCs w:val="24"/>
        </w:rPr>
      </w:pPr>
      <w:r w:rsidRPr="00304E3B">
        <w:rPr>
          <w:rFonts w:ascii="Times New Roman" w:hAnsi="Times New Roman" w:cs="Times New Roman"/>
          <w:sz w:val="24"/>
          <w:szCs w:val="24"/>
        </w:rPr>
        <w:t xml:space="preserve">This conceptual model combines the Sustainable Livelihoods Framework (SLF), Resilience Theory, and the Climate-Smart Agriculture (CSA) framework to explain how CSA policy measures contribute to strengthening household resilience to climate change in Mubi North, </w:t>
      </w:r>
      <w:proofErr w:type="spellStart"/>
      <w:r w:rsidRPr="00304E3B">
        <w:rPr>
          <w:rFonts w:ascii="Times New Roman" w:hAnsi="Times New Roman" w:cs="Times New Roman"/>
          <w:sz w:val="24"/>
          <w:szCs w:val="24"/>
        </w:rPr>
        <w:t>Ganye</w:t>
      </w:r>
      <w:proofErr w:type="spellEnd"/>
      <w:r w:rsidRPr="00304E3B">
        <w:rPr>
          <w:rFonts w:ascii="Times New Roman" w:hAnsi="Times New Roman" w:cs="Times New Roman"/>
          <w:sz w:val="24"/>
          <w:szCs w:val="24"/>
        </w:rPr>
        <w:t xml:space="preserve">, and </w:t>
      </w:r>
      <w:proofErr w:type="spellStart"/>
      <w:r w:rsidRPr="00304E3B">
        <w:rPr>
          <w:rFonts w:ascii="Times New Roman" w:hAnsi="Times New Roman" w:cs="Times New Roman"/>
          <w:sz w:val="24"/>
          <w:szCs w:val="24"/>
        </w:rPr>
        <w:t>Furfore</w:t>
      </w:r>
      <w:proofErr w:type="spellEnd"/>
      <w:r w:rsidRPr="00304E3B">
        <w:rPr>
          <w:rFonts w:ascii="Times New Roman" w:hAnsi="Times New Roman" w:cs="Times New Roman"/>
          <w:sz w:val="24"/>
          <w:szCs w:val="24"/>
        </w:rPr>
        <w:t>, Adamawa State, Nigeria (see Figure 1). Within this context, climate change constitutes an external shock that weakens livelihood assets and disrupts food crop production systems. In response, CSA practices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including improved seed varieties, agricultural extension support, access to climate information, and soil and water conservation techniques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act as intermediary processes that facilitate the adoption of various adaptation measures, such as crop diversification, modification of planting schedules, improved farm management practices, and diversification of income sources. Through these adjustments, households build their adaptive capacity, which subsequently results in outcomes associated with resilience, including more stable yields, enhanced food security, and lower levels of vulnerability. Furthermore, the presence of contextual and institutional conditions, particularly access to credit, farmer associations, and extension services, determines the extent to which CSA practices are effectively adopted and sustained, ultimately shaping long-term resilience.</w:t>
      </w:r>
    </w:p>
    <w:p w14:paraId="020E27C7" w14:textId="77777777" w:rsidR="00D923F5" w:rsidRPr="00CA7EB6" w:rsidRDefault="00D923F5" w:rsidP="00896808">
      <w:pPr>
        <w:jc w:val="both"/>
        <w:rPr>
          <w:rFonts w:ascii="Times New Roman" w:hAnsi="Times New Roman" w:cs="Times New Roman"/>
          <w:sz w:val="24"/>
          <w:szCs w:val="24"/>
        </w:rPr>
      </w:pPr>
      <w:r w:rsidRPr="00CA7EB6">
        <w:rPr>
          <w:rFonts w:ascii="Times New Roman" w:hAnsi="Times New Roman" w:cs="Times New Roman"/>
          <w:noProof/>
          <w:sz w:val="24"/>
          <w:szCs w:val="24"/>
        </w:rPr>
        <w:lastRenderedPageBreak/>
        <w:drawing>
          <wp:inline distT="0" distB="0" distL="0" distR="0" wp14:anchorId="48139699" wp14:editId="32855070">
            <wp:extent cx="5940349" cy="3710763"/>
            <wp:effectExtent l="0" t="0" r="3810" b="4445"/>
            <wp:docPr id="4" name="Picture 4" descr="C:\Users\USER\Documents\oCam\Capture_2025_12_08_15_01_25_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oCam\Capture_2025_12_08_15_01_25_38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12794"/>
                    </a:xfrm>
                    <a:prstGeom prst="rect">
                      <a:avLst/>
                    </a:prstGeom>
                    <a:noFill/>
                    <a:ln>
                      <a:noFill/>
                    </a:ln>
                  </pic:spPr>
                </pic:pic>
              </a:graphicData>
            </a:graphic>
          </wp:inline>
        </w:drawing>
      </w:r>
    </w:p>
    <w:p w14:paraId="7418B483" w14:textId="77777777" w:rsidR="0091591D" w:rsidRDefault="00541850" w:rsidP="001B341B">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1: </w:t>
      </w:r>
      <w:r w:rsidR="002C0E5B">
        <w:rPr>
          <w:rFonts w:ascii="Times New Roman" w:hAnsi="Times New Roman" w:cs="Times New Roman"/>
          <w:sz w:val="24"/>
          <w:szCs w:val="24"/>
        </w:rPr>
        <w:t xml:space="preserve">Conceptual Model Climate Change, CSA Policy Interventions and Community Resilience in Adamawa State </w:t>
      </w:r>
    </w:p>
    <w:p w14:paraId="3D830017" w14:textId="65A73989" w:rsidR="001B341B" w:rsidRDefault="001B341B" w:rsidP="001B341B">
      <w:pPr>
        <w:spacing w:after="0"/>
        <w:jc w:val="both"/>
        <w:rPr>
          <w:rFonts w:ascii="Times New Roman" w:hAnsi="Times New Roman" w:cs="Times New Roman"/>
          <w:sz w:val="24"/>
          <w:szCs w:val="24"/>
        </w:rPr>
      </w:pPr>
      <w:r>
        <w:rPr>
          <w:rFonts w:ascii="Times New Roman" w:hAnsi="Times New Roman" w:cs="Times New Roman"/>
          <w:sz w:val="24"/>
          <w:szCs w:val="24"/>
        </w:rPr>
        <w:t>Source: Survey (2025)</w:t>
      </w:r>
    </w:p>
    <w:p w14:paraId="65B72397" w14:textId="77777777" w:rsidR="001B341B" w:rsidRDefault="001B341B" w:rsidP="001B341B">
      <w:pPr>
        <w:spacing w:after="0"/>
        <w:jc w:val="both"/>
        <w:rPr>
          <w:rFonts w:ascii="Times New Roman" w:hAnsi="Times New Roman" w:cs="Times New Roman"/>
          <w:sz w:val="24"/>
          <w:szCs w:val="24"/>
        </w:rPr>
      </w:pPr>
    </w:p>
    <w:p w14:paraId="72D200C6" w14:textId="77777777" w:rsidR="0091591D" w:rsidRPr="002C0E5B" w:rsidRDefault="00640B46" w:rsidP="00896808">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r>
      <w:r w:rsidR="0091591D" w:rsidRPr="002C0E5B">
        <w:rPr>
          <w:rFonts w:ascii="Times New Roman" w:hAnsi="Times New Roman" w:cs="Times New Roman"/>
          <w:b/>
          <w:sz w:val="24"/>
          <w:szCs w:val="24"/>
        </w:rPr>
        <w:t>Application of the Theoretical Frameworks</w:t>
      </w:r>
    </w:p>
    <w:p w14:paraId="39C62437" w14:textId="4C657DB3"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The theoretical foundations adopted in this study offer a comprehensive perspective for examining the interconnections among climate change impacts, adaptation processes, and resilience outcomes among farming households in Adamawa State. The Sustainable Livelihoods Framework (SLF) is employed to explore how climate-related pressures</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such as irregular rainfall patterns, increasing temperatures, drought episodes, and flooding</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erode key livelihood assets, particularly natural, financial, and human capital. These disruptions are subsequently reflected in declining food crop production and heightened livelihood insecurity. By embedding climate change within the vulnerability context proposed by the SLF, the study provides a structured assessment of how recurring shocks and stresses undermine livelihood strategies and influence the welfare of smallholder farmers.</w:t>
      </w:r>
    </w:p>
    <w:p w14:paraId="7093DA79"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01681D96" w14:textId="77777777"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 xml:space="preserve">Resilience Theory further informs the analysis by focusing on the ability of households and communities to withstand, adjust to, and recover from climatic disturbances over time. Instead of treating climate effects as fixed or one-time events, this perspective emphasizes the evolving and adaptive nature of local responses, highlighting processes such as learning, flexibility, and institutional adjustment within the broader social–ecological system. This approach supports an </w:t>
      </w:r>
      <w:r w:rsidRPr="009F3392">
        <w:rPr>
          <w:rFonts w:ascii="Times New Roman" w:eastAsiaTheme="minorEastAsia" w:hAnsi="Times New Roman" w:cs="Times New Roman"/>
          <w:bCs/>
          <w:kern w:val="2"/>
          <w:sz w:val="24"/>
          <w:szCs w:val="24"/>
          <w14:ligatures w14:val="standardContextual"/>
        </w:rPr>
        <w:lastRenderedPageBreak/>
        <w:t>evaluation of whether continuous exposure to environmental stress diminishes livelihood sustainability or, when complemented by appropriate support mechanisms, strengthens farmers’ capacity to sustain agricultural production and socioeconomic stability (Walker et al., 2004; Folke, 2006).</w:t>
      </w:r>
    </w:p>
    <w:p w14:paraId="7331519C"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1243C189" w14:textId="77777777"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To translate adaptation into practical terms, the Climate-Smart Agriculture (CSA) framework is utilized to connect policy actions with outcomes at the household level. Through this lens, the study investigates how farmers’ access to improved seed varieties, extension services, climate-related information, soil and water conservation measures, and institutional assistance shapes their adaptation choices and farming practices. The framework therefore enables an assessment of how CSA uptake enhances adaptive capacity, increases crop productivity, and promotes food security, ultimately reinforcing resilience within farming communities (FAO, 2013; Lipper et al., 2014).</w:t>
      </w:r>
    </w:p>
    <w:p w14:paraId="4614BF0A" w14:textId="77777777" w:rsidR="009E3BBB" w:rsidRDefault="009E3BBB"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595B9AD2"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2.1</w:t>
      </w:r>
      <w:r>
        <w:rPr>
          <w:rFonts w:ascii="Times New Roman" w:eastAsiaTheme="minorEastAsia" w:hAnsi="Times New Roman" w:cs="Times New Roman"/>
          <w:b/>
          <w:kern w:val="2"/>
          <w:sz w:val="24"/>
          <w:szCs w:val="24"/>
          <w14:ligatures w14:val="standardContextual"/>
        </w:rPr>
        <w:tab/>
      </w:r>
      <w:r w:rsidR="0098226B">
        <w:rPr>
          <w:rFonts w:ascii="Times New Roman" w:eastAsiaTheme="minorEastAsia" w:hAnsi="Times New Roman" w:cs="Times New Roman"/>
          <w:b/>
          <w:kern w:val="2"/>
          <w:sz w:val="24"/>
          <w:szCs w:val="24"/>
          <w14:ligatures w14:val="standardContextual"/>
        </w:rPr>
        <w:t xml:space="preserve">STUDY AREA AND </w:t>
      </w:r>
      <w:r w:rsidR="0098226B" w:rsidRPr="006D296D">
        <w:rPr>
          <w:rFonts w:ascii="Times New Roman" w:eastAsiaTheme="minorEastAsia" w:hAnsi="Times New Roman" w:cs="Times New Roman"/>
          <w:b/>
          <w:kern w:val="2"/>
          <w:sz w:val="24"/>
          <w:szCs w:val="24"/>
          <w14:ligatures w14:val="standardContextual"/>
        </w:rPr>
        <w:t>METHODOLOGY</w:t>
      </w:r>
    </w:p>
    <w:p w14:paraId="2A4F4F5E"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2.2</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Study Area</w:t>
      </w:r>
    </w:p>
    <w:p w14:paraId="3B15013A"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The research was carried out in Adamawa State, situated in the northeastern region of Nigeria between roughly latitudes 7° and 11° North and longitudes 11° and 14° East. The state is bordered by Borno State to the north, Gombe State to the northwest, Taraba State to the southwest, and the Republic of Cameroon along its eastern boundary. With a total landmass of approximately 36,917 square </w:t>
      </w:r>
      <w:proofErr w:type="spellStart"/>
      <w:r w:rsidRPr="00DE47AE">
        <w:rPr>
          <w:rFonts w:ascii="Times New Roman" w:eastAsiaTheme="minorEastAsia" w:hAnsi="Times New Roman" w:cs="Times New Roman"/>
          <w:kern w:val="2"/>
          <w:sz w:val="24"/>
          <w:szCs w:val="24"/>
          <w14:ligatures w14:val="standardContextual"/>
        </w:rPr>
        <w:t>kilometres</w:t>
      </w:r>
      <w:proofErr w:type="spellEnd"/>
      <w:r w:rsidRPr="00DE47AE">
        <w:rPr>
          <w:rFonts w:ascii="Times New Roman" w:eastAsiaTheme="minorEastAsia" w:hAnsi="Times New Roman" w:cs="Times New Roman"/>
          <w:kern w:val="2"/>
          <w:sz w:val="24"/>
          <w:szCs w:val="24"/>
          <w14:ligatures w14:val="standardContextual"/>
        </w:rPr>
        <w:t>, Adamawa encompasses varied agro-ecological environments, notably the Sudan and Northern Guinea savanna zones.</w:t>
      </w:r>
    </w:p>
    <w:p w14:paraId="2FDCF386"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Climatically, the area experiences typical tropical conditions marked by clearly defined wet and dry seasons. Annual precipitation generally ranges from about 700 mm to 1,200 mm, although both the timing and distribution of rainfall vary considerably across locations and years. The rainy period usually commences around April or May and extends to September or October, whereas the dry months are influenced by the Harmattan winds. Average yearly temperatures fall between 26 °C and 34 °C, and recent observations indicate rising heat levels alongside increasingly unpredictable </w:t>
      </w:r>
      <w:commentRangeStart w:id="10"/>
      <w:r w:rsidRPr="00DE47AE">
        <w:rPr>
          <w:rFonts w:ascii="Times New Roman" w:eastAsiaTheme="minorEastAsia" w:hAnsi="Times New Roman" w:cs="Times New Roman"/>
          <w:kern w:val="2"/>
          <w:sz w:val="24"/>
          <w:szCs w:val="24"/>
          <w14:ligatures w14:val="standardContextual"/>
        </w:rPr>
        <w:t>rainfall patterns.</w:t>
      </w:r>
      <w:commentRangeEnd w:id="10"/>
      <w:r w:rsidR="008C4422">
        <w:rPr>
          <w:rStyle w:val="CommentReference"/>
        </w:rPr>
        <w:commentReference w:id="10"/>
      </w:r>
    </w:p>
    <w:p w14:paraId="4A773345" w14:textId="77777777" w:rsidR="00DE47AE" w:rsidRP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Farming remains the principal source of livelihood for most residents, particularly in rural communities. Commonly cultivated food crops include maize, rice, sorghum, millet, cowpea, and groundnut, with production relying largely on rainfall rather than irrigation. Given these environmental and socioeconomic conditions, Adamawa State provides an appropriate setting for investigating how climate change affects food crop production and the livelihoods of rural households.</w:t>
      </w:r>
    </w:p>
    <w:p w14:paraId="3E324948" w14:textId="5B07E65F" w:rsid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p>
    <w:p w14:paraId="591DAE04" w14:textId="62A9B1AF"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312656F" w14:textId="13CA2B85"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B258088"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7440F88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6636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4DF438C6" w14:textId="064CA2B9" w:rsidR="008B18B8" w:rsidRP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83DDB" w14:textId="2D046E48" w:rsidR="008B18B8" w:rsidRDefault="008B18B8" w:rsidP="008B18B8">
      <w:pPr>
        <w:spacing w:after="0" w:line="278" w:lineRule="auto"/>
        <w:jc w:val="both"/>
        <w:rPr>
          <w:rFonts w:ascii="Times New Roman" w:eastAsiaTheme="minorEastAsia" w:hAnsi="Times New Roman" w:cs="Times New Roman"/>
          <w:kern w:val="2"/>
          <w:sz w:val="24"/>
          <w:szCs w:val="24"/>
          <w:highlight w:val="yellow"/>
          <w14:ligatures w14:val="standardContextual"/>
        </w:rPr>
      </w:pPr>
      <w:r w:rsidRPr="009B4DF7">
        <w:rPr>
          <w:rFonts w:ascii="Times New Roman" w:eastAsiaTheme="minorEastAsia" w:hAnsi="Times New Roman" w:cs="Times New Roman"/>
          <w:noProof/>
          <w:kern w:val="2"/>
          <w:sz w:val="24"/>
          <w:szCs w:val="24"/>
          <w14:ligatures w14:val="standardContextual"/>
        </w:rPr>
        <w:drawing>
          <wp:inline distT="0" distB="0" distL="0" distR="0" wp14:anchorId="6483F058" wp14:editId="5BE9BAD1">
            <wp:extent cx="4838700" cy="4829175"/>
            <wp:effectExtent l="0" t="0" r="0" b="9525"/>
            <wp:docPr id="3" name="Picture 3" descr="C:\Users\USER\Desktop\Map-of-Adamawa-State-Showing-Study-S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of-Adamawa-State-Showing-Study-Sit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994" cy="4867394"/>
                    </a:xfrm>
                    <a:prstGeom prst="rect">
                      <a:avLst/>
                    </a:prstGeom>
                    <a:noFill/>
                    <a:ln>
                      <a:noFill/>
                    </a:ln>
                  </pic:spPr>
                </pic:pic>
              </a:graphicData>
            </a:graphic>
          </wp:inline>
        </w:drawing>
      </w:r>
    </w:p>
    <w:p w14:paraId="450B3FB7" w14:textId="76DAC771" w:rsidR="009E3BBB"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Figure 2: Map of</w:t>
      </w:r>
      <w:r w:rsidRPr="008B18B8">
        <w:rPr>
          <w:rFonts w:ascii="Times New Roman" w:eastAsiaTheme="minorEastAsia" w:hAnsi="Times New Roman" w:cs="Times New Roman"/>
          <w:b/>
          <w:kern w:val="2"/>
          <w:sz w:val="24"/>
          <w:szCs w:val="24"/>
          <w14:ligatures w14:val="standardContextual"/>
        </w:rPr>
        <w:t xml:space="preserve"> Adamawa State Showing study areas</w:t>
      </w:r>
    </w:p>
    <w:p w14:paraId="1E078CF6" w14:textId="0DD3DE72" w:rsidR="008B18B8" w:rsidRPr="008B18B8"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Source: Ada</w:t>
      </w:r>
      <w:r w:rsidR="008B18B8" w:rsidRPr="008B18B8">
        <w:rPr>
          <w:rFonts w:ascii="Times New Roman" w:eastAsiaTheme="minorEastAsia" w:hAnsi="Times New Roman" w:cs="Times New Roman"/>
          <w:b/>
          <w:kern w:val="2"/>
          <w:sz w:val="24"/>
          <w:szCs w:val="24"/>
          <w14:ligatures w14:val="standardContextual"/>
        </w:rPr>
        <w:t xml:space="preserve">pted from the </w:t>
      </w:r>
      <w:r>
        <w:rPr>
          <w:rFonts w:ascii="Times New Roman" w:eastAsiaTheme="minorEastAsia" w:hAnsi="Times New Roman" w:cs="Times New Roman"/>
          <w:b/>
          <w:kern w:val="2"/>
          <w:sz w:val="24"/>
          <w:szCs w:val="24"/>
          <w14:ligatures w14:val="standardContextual"/>
        </w:rPr>
        <w:t>Google.</w:t>
      </w:r>
      <w:r w:rsidR="008B18B8" w:rsidRPr="008B18B8">
        <w:rPr>
          <w:rFonts w:ascii="Times New Roman" w:eastAsiaTheme="minorEastAsia" w:hAnsi="Times New Roman" w:cs="Times New Roman"/>
          <w:b/>
          <w:kern w:val="2"/>
          <w:sz w:val="24"/>
          <w:szCs w:val="24"/>
          <w14:ligatures w14:val="standardContextual"/>
        </w:rPr>
        <w:t xml:space="preserve">net </w:t>
      </w:r>
      <w:r>
        <w:rPr>
          <w:rFonts w:ascii="Times New Roman" w:eastAsiaTheme="minorEastAsia" w:hAnsi="Times New Roman" w:cs="Times New Roman"/>
          <w:b/>
          <w:kern w:val="2"/>
          <w:sz w:val="24"/>
          <w:szCs w:val="24"/>
          <w14:ligatures w14:val="standardContextual"/>
        </w:rPr>
        <w:t>(</w:t>
      </w:r>
      <w:r w:rsidR="008B18B8" w:rsidRPr="008B18B8">
        <w:rPr>
          <w:rFonts w:ascii="Times New Roman" w:eastAsiaTheme="minorEastAsia" w:hAnsi="Times New Roman" w:cs="Times New Roman"/>
          <w:b/>
          <w:kern w:val="2"/>
          <w:sz w:val="24"/>
          <w:szCs w:val="24"/>
          <w14:ligatures w14:val="standardContextual"/>
        </w:rPr>
        <w:t>2026</w:t>
      </w:r>
      <w:r>
        <w:rPr>
          <w:rFonts w:ascii="Times New Roman" w:eastAsiaTheme="minorEastAsia" w:hAnsi="Times New Roman" w:cs="Times New Roman"/>
          <w:b/>
          <w:kern w:val="2"/>
          <w:sz w:val="24"/>
          <w:szCs w:val="24"/>
          <w14:ligatures w14:val="standardContextual"/>
        </w:rPr>
        <w:t>)</w:t>
      </w:r>
    </w:p>
    <w:p w14:paraId="1E5265FE"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A1F7785"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2.3</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Data Sources and Types</w:t>
      </w:r>
    </w:p>
    <w:p w14:paraId="1D264595" w14:textId="206CE606" w:rsidR="006D296D"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The study adopted a mixed-methods design that combined secondary data on climate trends and agricultural production with primary data collected from household surveys, thereby enabling a broad and in-depth evaluation of climate change impacts and the corresponding adaptation strategies.</w:t>
      </w:r>
    </w:p>
    <w:p w14:paraId="14097663" w14:textId="77777777" w:rsidR="009E3BBB" w:rsidRPr="006D296D" w:rsidRDefault="009E3BBB" w:rsidP="00896808">
      <w:pPr>
        <w:spacing w:after="0" w:line="278" w:lineRule="auto"/>
        <w:jc w:val="both"/>
        <w:rPr>
          <w:rFonts w:ascii="Times New Roman" w:eastAsiaTheme="minorEastAsia" w:hAnsi="Times New Roman" w:cs="Times New Roman"/>
          <w:kern w:val="2"/>
          <w:sz w:val="24"/>
          <w:szCs w:val="24"/>
          <w14:ligatures w14:val="standardContextual"/>
        </w:rPr>
      </w:pPr>
    </w:p>
    <w:p w14:paraId="60481ADA" w14:textId="77777777" w:rsid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2.4</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 xml:space="preserve">Secondary </w:t>
      </w:r>
      <w:r>
        <w:rPr>
          <w:rFonts w:ascii="Times New Roman" w:eastAsiaTheme="minorEastAsia" w:hAnsi="Times New Roman" w:cs="Times New Roman"/>
          <w:b/>
          <w:kern w:val="2"/>
          <w:sz w:val="24"/>
          <w:szCs w:val="24"/>
          <w14:ligatures w14:val="standardContextual"/>
        </w:rPr>
        <w:t xml:space="preserve">and Primary </w:t>
      </w:r>
      <w:r w:rsidR="006D296D" w:rsidRPr="006D296D">
        <w:rPr>
          <w:rFonts w:ascii="Times New Roman" w:eastAsiaTheme="minorEastAsia" w:hAnsi="Times New Roman" w:cs="Times New Roman"/>
          <w:b/>
          <w:kern w:val="2"/>
          <w:sz w:val="24"/>
          <w:szCs w:val="24"/>
          <w14:ligatures w14:val="standardContextual"/>
        </w:rPr>
        <w:t>Data</w:t>
      </w:r>
    </w:p>
    <w:p w14:paraId="5B2E89C7" w14:textId="5366CEE6" w:rsidR="00DE47AE" w:rsidRPr="00DE47AE" w:rsidRDefault="00DE47AE"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DE47AE">
        <w:rPr>
          <w:rFonts w:ascii="Times New Roman" w:eastAsiaTheme="minorEastAsia" w:hAnsi="Times New Roman" w:cs="Times New Roman"/>
          <w:bCs/>
          <w:kern w:val="2"/>
          <w:sz w:val="24"/>
          <w:szCs w:val="24"/>
          <w14:ligatures w14:val="standardContextual"/>
        </w:rPr>
        <w:t>Secondary information was sourced primarily from the Nigerian Meteorological Agency (NiMet) and supplemented, where required, with relevant gridded climate datasets to ensure completeness. Data on crop production</w:t>
      </w:r>
      <w:r>
        <w:rPr>
          <w:rFonts w:ascii="Times New Roman" w:eastAsiaTheme="minorEastAsia" w:hAnsi="Times New Roman" w:cs="Times New Roman"/>
          <w:bCs/>
          <w:kern w:val="2"/>
          <w:sz w:val="24"/>
          <w:szCs w:val="24"/>
          <w14:ligatures w14:val="standardContextual"/>
        </w:rPr>
        <w:t xml:space="preserve"> </w:t>
      </w:r>
      <w:r w:rsidRPr="00DE47AE">
        <w:rPr>
          <w:rFonts w:ascii="Times New Roman" w:eastAsiaTheme="minorEastAsia" w:hAnsi="Times New Roman" w:cs="Times New Roman"/>
          <w:bCs/>
          <w:kern w:val="2"/>
          <w:sz w:val="24"/>
          <w:szCs w:val="24"/>
          <w14:ligatures w14:val="standardContextual"/>
        </w:rPr>
        <w:t>covering cultivated area, yield levels, and total output of major food crops</w:t>
      </w:r>
      <w:r>
        <w:rPr>
          <w:rFonts w:ascii="Times New Roman" w:eastAsiaTheme="minorEastAsia" w:hAnsi="Times New Roman" w:cs="Times New Roman"/>
          <w:bCs/>
          <w:kern w:val="2"/>
          <w:sz w:val="24"/>
          <w:szCs w:val="24"/>
          <w14:ligatures w14:val="standardContextual"/>
        </w:rPr>
        <w:t xml:space="preserve"> </w:t>
      </w:r>
      <w:r w:rsidRPr="00DE47AE">
        <w:rPr>
          <w:rFonts w:ascii="Times New Roman" w:eastAsiaTheme="minorEastAsia" w:hAnsi="Times New Roman" w:cs="Times New Roman"/>
          <w:bCs/>
          <w:kern w:val="2"/>
          <w:sz w:val="24"/>
          <w:szCs w:val="24"/>
          <w14:ligatures w14:val="standardContextual"/>
        </w:rPr>
        <w:t xml:space="preserve">were obtained from the Adamawa State Ministry of Agriculture as well as the </w:t>
      </w:r>
      <w:r w:rsidRPr="00DE47AE">
        <w:rPr>
          <w:rFonts w:ascii="Times New Roman" w:eastAsiaTheme="minorEastAsia" w:hAnsi="Times New Roman" w:cs="Times New Roman"/>
          <w:bCs/>
          <w:kern w:val="2"/>
          <w:sz w:val="24"/>
          <w:szCs w:val="24"/>
          <w14:ligatures w14:val="standardContextual"/>
        </w:rPr>
        <w:lastRenderedPageBreak/>
        <w:t>National Bureau of Statistics (NBS). These records formed the basis for examining climatic patterns and assessing their association with food crop performance. In addition, primary data were gathered through the administration of a structured questionnaire to rural farming households. The instrument was designed to elicit detailed information on:</w:t>
      </w:r>
    </w:p>
    <w:p w14:paraId="777FB64A"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Socio-economic characteristics of households,</w:t>
      </w:r>
    </w:p>
    <w:p w14:paraId="798134B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Perceived changes in climate patterns,</w:t>
      </w:r>
    </w:p>
    <w:p w14:paraId="6CCFFF75"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Food crop production levels and variability,</w:t>
      </w:r>
    </w:p>
    <w:p w14:paraId="02882784"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Livelihood outcomes (income, food security indicators, asset ownership),</w:t>
      </w:r>
    </w:p>
    <w:p w14:paraId="3C6097BE"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Adaptation strategies adopted in response to climate change,</w:t>
      </w:r>
    </w:p>
    <w:p w14:paraId="60AA34FB" w14:textId="77777777" w:rsidR="006D296D" w:rsidRPr="006D296D" w:rsidRDefault="006D296D" w:rsidP="00896808">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Access to extension services, credit, and climate information.</w:t>
      </w:r>
    </w:p>
    <w:p w14:paraId="7CBF73AC"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p>
    <w:p w14:paraId="57C57C4D"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The questionnaire was pre-tested to ensure clarity, reliability, and contextual relevance.</w:t>
      </w:r>
    </w:p>
    <w:p w14:paraId="4E3E88B0" w14:textId="77777777" w:rsidR="006D296D" w:rsidRPr="009F5448"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500EA54C"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2.5</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Research Design</w:t>
      </w:r>
    </w:p>
    <w:p w14:paraId="09D2AE17" w14:textId="77777777" w:rsidR="007A7230" w:rsidRPr="007A7230" w:rsidRDefault="007A7230" w:rsidP="00896808">
      <w:pPr>
        <w:pStyle w:val="NormalWeb"/>
        <w:spacing w:before="0" w:beforeAutospacing="0"/>
        <w:jc w:val="both"/>
      </w:pPr>
      <w:r w:rsidRPr="007A7230">
        <w:t>The study utilized a cross-sectional survey design. This approach was deemed suitable as it facilitates the collection of information on farmers’ perceptions of climate variability, its effects on livelihoods, and the coping or adaptation measures adopted at a specific point in time across multiple locations. Such a design also makes it possible to compare conditions spatially among the selected Local Government Areas (LGAs).</w:t>
      </w:r>
    </w:p>
    <w:p w14:paraId="4429A02A" w14:textId="77777777" w:rsidR="007A7230" w:rsidRDefault="007A7230" w:rsidP="00896808">
      <w:pPr>
        <w:pStyle w:val="NormalWeb"/>
        <w:spacing w:before="0" w:beforeAutospacing="0"/>
        <w:jc w:val="both"/>
      </w:pPr>
      <w:r w:rsidRPr="007A7230">
        <w:t xml:space="preserve">The target population consisted of farming households located in Mubi North, </w:t>
      </w:r>
      <w:proofErr w:type="spellStart"/>
      <w:r w:rsidRPr="007A7230">
        <w:t>Ganye</w:t>
      </w:r>
      <w:proofErr w:type="spellEnd"/>
      <w:r w:rsidRPr="007A7230">
        <w:t xml:space="preserve">, and </w:t>
      </w:r>
      <w:proofErr w:type="spellStart"/>
      <w:r w:rsidRPr="007A7230">
        <w:t>Fufore</w:t>
      </w:r>
      <w:proofErr w:type="spellEnd"/>
      <w:r w:rsidRPr="007A7230">
        <w:t xml:space="preserve"> LGAs. Household heads were selected as respondents because they typically oversee farm-related decision-making and possess extensive experience and knowledge of local climatic patterns as well as agricultural practices developed over time.</w:t>
      </w:r>
    </w:p>
    <w:p w14:paraId="61727B7D" w14:textId="77777777" w:rsidR="007A7230" w:rsidRDefault="007A7230" w:rsidP="00896808">
      <w:pPr>
        <w:pStyle w:val="NormalWeb"/>
        <w:spacing w:before="0" w:beforeAutospacing="0"/>
        <w:jc w:val="both"/>
        <w:rPr>
          <w:rFonts w:eastAsia="Times New Roman"/>
          <w:b/>
          <w:bCs/>
        </w:rPr>
      </w:pPr>
      <w:r w:rsidRPr="007A7230">
        <w:rPr>
          <w:rFonts w:eastAsia="Times New Roman"/>
          <w:b/>
          <w:bCs/>
        </w:rPr>
        <w:t>2.5 Sample Size and Sampling Procedure</w:t>
      </w:r>
    </w:p>
    <w:p w14:paraId="46E7C21D" w14:textId="77777777" w:rsidR="007A7230" w:rsidRDefault="007A7230" w:rsidP="00896808">
      <w:pPr>
        <w:pStyle w:val="NormalWeb"/>
        <w:spacing w:before="0" w:beforeAutospacing="0"/>
        <w:jc w:val="both"/>
        <w:rPr>
          <w:rFonts w:eastAsia="Times New Roman"/>
        </w:rPr>
      </w:pPr>
      <w:r w:rsidRPr="007A7230">
        <w:rPr>
          <w:rFonts w:eastAsia="Times New Roman"/>
        </w:rPr>
        <w:t>A multi-stage sampling approach was adopted to select farming households, using lists obtained from local agricultural settlements, community leaders, and farmer associations within each selected LGA.</w:t>
      </w:r>
      <w:r>
        <w:rPr>
          <w:rFonts w:eastAsia="Times New Roman"/>
        </w:rPr>
        <w:t xml:space="preserve"> </w:t>
      </w:r>
      <w:r w:rsidRPr="007A7230">
        <w:rPr>
          <w:rFonts w:eastAsia="Times New Roman"/>
        </w:rPr>
        <w:t>The first stage involved purposive selection of three LGAs based on differences in agro-ecological zones and climate vulnerability.</w:t>
      </w:r>
      <w:r>
        <w:rPr>
          <w:rFonts w:eastAsia="Times New Roman"/>
        </w:rPr>
        <w:t xml:space="preserve"> </w:t>
      </w:r>
      <w:r w:rsidRPr="007A7230">
        <w:rPr>
          <w:rFonts w:eastAsia="Times New Roman"/>
        </w:rPr>
        <w:t>These were:</w:t>
      </w:r>
    </w:p>
    <w:p w14:paraId="0FC81092"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Mubi North LGA</w:t>
      </w:r>
      <w:r>
        <w:rPr>
          <w:rFonts w:eastAsia="Times New Roman"/>
        </w:rPr>
        <w:t xml:space="preserve">: </w:t>
      </w:r>
      <w:r w:rsidRPr="007A7230">
        <w:rPr>
          <w:rFonts w:eastAsia="Times New Roman"/>
        </w:rPr>
        <w:t>A major agricultural area in northern Adamawa, noted for cereal crops such as millet, sorghum, and maize, as well as livestock production.</w:t>
      </w:r>
    </w:p>
    <w:p w14:paraId="3E154D04"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Ganye LGA</w:t>
      </w:r>
      <w:r>
        <w:rPr>
          <w:rFonts w:eastAsia="Times New Roman"/>
        </w:rPr>
        <w:t xml:space="preserve">: </w:t>
      </w:r>
      <w:r w:rsidRPr="007A7230">
        <w:rPr>
          <w:rFonts w:eastAsia="Times New Roman"/>
        </w:rPr>
        <w:t>Situated in the southern part of the state, characterized by relatively higher rainfall and the cultivation of root and tuber crops, including yam and cassava.</w:t>
      </w:r>
    </w:p>
    <w:p w14:paraId="61882A76" w14:textId="77777777" w:rsidR="007A7230" w:rsidRDefault="007A7230" w:rsidP="00896808">
      <w:pPr>
        <w:pStyle w:val="NormalWeb"/>
        <w:numPr>
          <w:ilvl w:val="0"/>
          <w:numId w:val="8"/>
        </w:numPr>
        <w:spacing w:before="0" w:beforeAutospacing="0"/>
        <w:jc w:val="both"/>
        <w:rPr>
          <w:rFonts w:eastAsia="Times New Roman"/>
        </w:rPr>
      </w:pPr>
      <w:proofErr w:type="spellStart"/>
      <w:r w:rsidRPr="007A7230">
        <w:rPr>
          <w:rFonts w:eastAsia="Times New Roman"/>
        </w:rPr>
        <w:t>Fufore</w:t>
      </w:r>
      <w:proofErr w:type="spellEnd"/>
      <w:r w:rsidRPr="007A7230">
        <w:rPr>
          <w:rFonts w:eastAsia="Times New Roman"/>
        </w:rPr>
        <w:t xml:space="preserve"> LGA</w:t>
      </w:r>
      <w:r>
        <w:rPr>
          <w:rFonts w:eastAsia="Times New Roman"/>
        </w:rPr>
        <w:t xml:space="preserve">: </w:t>
      </w:r>
      <w:r w:rsidRPr="007A7230">
        <w:rPr>
          <w:rFonts w:eastAsia="Times New Roman"/>
        </w:rPr>
        <w:t>A central LGA experiencing both drought and flood events, with mixed cropping systems and heightened vulnerability to climate stressors.</w:t>
      </w:r>
    </w:p>
    <w:p w14:paraId="0B771471" w14:textId="77777777" w:rsidR="007A7230" w:rsidRDefault="007A7230" w:rsidP="00896808">
      <w:pPr>
        <w:pStyle w:val="NormalWeb"/>
        <w:spacing w:before="0" w:beforeAutospacing="0"/>
        <w:jc w:val="both"/>
        <w:rPr>
          <w:rFonts w:eastAsia="Times New Roman"/>
        </w:rPr>
      </w:pPr>
      <w:r w:rsidRPr="007A7230">
        <w:rPr>
          <w:rFonts w:eastAsia="Times New Roman"/>
        </w:rPr>
        <w:t>These LGAs collectively provide a representative sample of Adamawa’s agro-climatic and agricultural diversity, allowing for a thorough assessment of climate change impacts and adaptation strategies.</w:t>
      </w:r>
      <w:r>
        <w:rPr>
          <w:rFonts w:eastAsia="Times New Roman"/>
        </w:rPr>
        <w:t xml:space="preserve"> </w:t>
      </w:r>
      <w:r w:rsidRPr="007A7230">
        <w:rPr>
          <w:rFonts w:eastAsia="Times New Roman"/>
        </w:rPr>
        <w:t>In the second stage, three communities were randomly selected from each LGA using stratified random sampling. Stratification was based on proximity to climate-</w:t>
      </w:r>
      <w:r w:rsidRPr="007A7230">
        <w:rPr>
          <w:rFonts w:eastAsia="Times New Roman"/>
        </w:rPr>
        <w:lastRenderedPageBreak/>
        <w:t>sensitive areas (e.g., riverbanks, drylands), differing agricultural practices (rain-fed versus irrigated farming), and historical exposure to climate hazards such as drought and flooding</w:t>
      </w:r>
      <w:r>
        <w:rPr>
          <w:rFonts w:eastAsia="Times New Roman"/>
        </w:rPr>
        <w:t>.</w:t>
      </w:r>
    </w:p>
    <w:p w14:paraId="62BEFD30" w14:textId="627130CD" w:rsidR="007A7230" w:rsidRPr="007A7230" w:rsidRDefault="007A7230" w:rsidP="00896808">
      <w:pPr>
        <w:pStyle w:val="NormalWeb"/>
        <w:spacing w:before="0" w:beforeAutospacing="0"/>
        <w:jc w:val="both"/>
        <w:rPr>
          <w:rFonts w:eastAsia="Times New Roman"/>
        </w:rPr>
      </w:pPr>
      <w:r w:rsidRPr="007A7230">
        <w:rPr>
          <w:rFonts w:eastAsia="Times New Roman"/>
        </w:rPr>
        <w:t xml:space="preserve">The third stage involved the selection of households, where 30 farming households were systematically chosen from each community. This yielded a total of 270 respondents across the nine communities (3 LGAs × 3 </w:t>
      </w:r>
      <w:r w:rsidR="009E3BBB">
        <w:rPr>
          <w:rFonts w:eastAsia="Times New Roman"/>
        </w:rPr>
        <w:t>communities</w:t>
      </w:r>
      <w:r w:rsidRPr="007A7230">
        <w:rPr>
          <w:rFonts w:eastAsia="Times New Roman"/>
        </w:rPr>
        <w:t xml:space="preserve"> × 30 households).</w:t>
      </w:r>
      <w:r>
        <w:rPr>
          <w:rFonts w:eastAsia="Times New Roman"/>
        </w:rPr>
        <w:t xml:space="preserve"> </w:t>
      </w:r>
      <w:r w:rsidRPr="007A7230">
        <w:rPr>
          <w:rFonts w:eastAsia="Times New Roman"/>
        </w:rPr>
        <w:t>The sample size was determined using standard household survey procedures to ensure sufficient statistical power for regression analyses. Only households primarily engaged in food crop farming were included.</w:t>
      </w:r>
    </w:p>
    <w:p w14:paraId="3857471A"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 Measurement of Variables and Index Construction</w:t>
      </w:r>
    </w:p>
    <w:p w14:paraId="074F8019" w14:textId="1EAD307C" w:rsidR="007A7230" w:rsidRPr="007A7230" w:rsidRDefault="007A7230" w:rsidP="00896808">
      <w:pPr>
        <w:pStyle w:val="Heading3"/>
        <w:numPr>
          <w:ilvl w:val="2"/>
          <w:numId w:val="9"/>
        </w:numPr>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Climate Change Impact Indicators</w:t>
      </w:r>
    </w:p>
    <w:p w14:paraId="23D9C45F" w14:textId="3C12910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Perceived impacts of climate change on food crop production were assessed using eleven indicators, including alterations in rainfall patterns, frequency of droughts, incidence of flooding, rising temperatures, soil degradation, decline in soil fertility, and reductions in crop yields. Responses were recorded using a 5-point Likert scale:</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Strongly Agree (5)</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Agree (4)</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Neutral (3)</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Disagree (2)</w:t>
      </w:r>
      <w:r>
        <w:rPr>
          <w:rFonts w:ascii="Times New Roman" w:eastAsia="Times New Roman" w:hAnsi="Times New Roman" w:cs="Times New Roman"/>
          <w:b w:val="0"/>
          <w:bCs w:val="0"/>
          <w:color w:val="auto"/>
          <w:sz w:val="24"/>
          <w:szCs w:val="24"/>
        </w:rPr>
        <w:t xml:space="preserve"> and </w:t>
      </w:r>
      <w:r w:rsidRPr="007A7230">
        <w:rPr>
          <w:rFonts w:ascii="Times New Roman" w:eastAsia="Times New Roman" w:hAnsi="Times New Roman" w:cs="Times New Roman"/>
          <w:b w:val="0"/>
          <w:bCs w:val="0"/>
          <w:color w:val="auto"/>
          <w:sz w:val="24"/>
          <w:szCs w:val="24"/>
        </w:rPr>
        <w:t>Strongly Disagree (1)</w:t>
      </w:r>
    </w:p>
    <w:p w14:paraId="2B6A0BD4" w14:textId="77777777" w:rsidR="009E3BBB" w:rsidRDefault="009E3BBB" w:rsidP="00896808">
      <w:pPr>
        <w:pStyle w:val="Heading3"/>
        <w:spacing w:before="0"/>
        <w:jc w:val="both"/>
        <w:rPr>
          <w:rFonts w:ascii="Times New Roman" w:eastAsia="Times New Roman" w:hAnsi="Times New Roman" w:cs="Times New Roman"/>
          <w:color w:val="auto"/>
          <w:sz w:val="24"/>
          <w:szCs w:val="24"/>
        </w:rPr>
      </w:pPr>
    </w:p>
    <w:p w14:paraId="744F2ED9"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2.6.2 Composite Climate Change Impact Index (CCII)</w:t>
      </w:r>
    </w:p>
    <w:p w14:paraId="1CC53FD5" w14:textId="7777777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The Composite Climate Change Impact Index (CCII) was generated by calculating the average score of the eleven climate change indicators for each respondent, and then aggregating the results at the LGA level. The index was computed as follows:</w:t>
      </w:r>
    </w:p>
    <w:p w14:paraId="4CCFD8CA" w14:textId="021008E5" w:rsidR="001E2006" w:rsidRPr="00A32256" w:rsidRDefault="001E2006"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5CBC94BF" w14:textId="77777777" w:rsidR="001E2006" w:rsidRPr="009C234A" w:rsidRDefault="001E2006"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F6B9EE5" wp14:editId="1EBB989A">
                <wp:simplePos x="0" y="0"/>
                <wp:positionH relativeFrom="column">
                  <wp:posOffset>1057572</wp:posOffset>
                </wp:positionH>
                <wp:positionV relativeFrom="paragraph">
                  <wp:posOffset>210820</wp:posOffset>
                </wp:positionV>
                <wp:extent cx="6788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6D6A7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49A35BA5" w14:textId="77777777" w:rsidR="001E2006" w:rsidRPr="004528FB" w:rsidRDefault="001E2006" w:rsidP="00896808">
      <w:pPr>
        <w:spacing w:after="0"/>
        <w:rPr>
          <w:rStyle w:val="HTMLCode"/>
          <w:rFonts w:ascii="Times New Roman"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1AFFB73D" w14:textId="77777777" w:rsidR="001E2006" w:rsidRDefault="00563A4E" w:rsidP="00896808">
      <w:pPr>
        <w:pStyle w:val="NormalWeb"/>
        <w:spacing w:before="0" w:beforeAutospacing="0"/>
        <w:jc w:val="both"/>
      </w:pPr>
      <w:r>
        <w:t>W</w:t>
      </w:r>
      <w:r w:rsidR="001E2006" w:rsidRPr="004528FB">
        <w:t>here</w:t>
      </w:r>
      <w:r>
        <w:t xml:space="preserve"> </w:t>
      </w:r>
      <m:oMath>
        <m:sSub>
          <m:sSubPr>
            <m:ctrlPr>
              <w:rPr>
                <w:rFonts w:ascii="Cambria Math" w:eastAsia="Times New Roman" w:hAnsi="Cambria Math"/>
                <w:i/>
                <w:sz w:val="28"/>
              </w:rPr>
            </m:ctrlPr>
          </m:sSubPr>
          <m:e>
            <m:acc>
              <m:accPr>
                <m:chr m:val="̅"/>
                <m:ctrlPr>
                  <w:rPr>
                    <w:rFonts w:ascii="Cambria Math" w:eastAsia="Times New Roman" w:hAnsi="Cambria Math"/>
                    <w:i/>
                    <w:sz w:val="28"/>
                  </w:rPr>
                </m:ctrlPr>
              </m:accPr>
              <m:e>
                <m:r>
                  <w:rPr>
                    <w:rFonts w:ascii="Cambria Math" w:eastAsia="Times New Roman" w:hAnsi="Cambria Math"/>
                    <w:sz w:val="28"/>
                  </w:rPr>
                  <m:t>x</m:t>
                </m:r>
              </m:e>
            </m:acc>
          </m:e>
          <m:sub>
            <m:r>
              <w:rPr>
                <w:rFonts w:ascii="Cambria Math" w:eastAsia="Times New Roman" w:hAnsi="Cambria Math"/>
                <w:sz w:val="28"/>
              </w:rPr>
              <m:t xml:space="preserve">1 </m:t>
            </m:r>
          </m:sub>
        </m:sSub>
      </m:oMath>
      <w:r w:rsidR="001E2006" w:rsidRPr="004528FB">
        <w:t xml:space="preserve"> represents each climate change impact indicator. Higher </w:t>
      </w:r>
      <w:r w:rsidR="001E2006" w:rsidRPr="00563A4E">
        <w:rPr>
          <w:i/>
        </w:rPr>
        <w:t>CCII</w:t>
      </w:r>
      <w:r w:rsidR="001E2006" w:rsidRPr="004528FB">
        <w:t xml:space="preserve"> values indicate higher perceived climate change impacts on food crop production.</w:t>
      </w:r>
    </w:p>
    <w:p w14:paraId="112C15A2" w14:textId="77777777" w:rsidR="00481DAC" w:rsidRPr="00481DAC" w:rsidRDefault="00481DAC" w:rsidP="009E3BBB">
      <w:pPr>
        <w:pStyle w:val="NormalWeb"/>
        <w:spacing w:before="0" w:beforeAutospacing="0" w:after="0" w:afterAutospacing="0"/>
        <w:jc w:val="both"/>
        <w:rPr>
          <w:b/>
          <w:bCs/>
        </w:rPr>
      </w:pPr>
      <w:r w:rsidRPr="00481DAC">
        <w:rPr>
          <w:b/>
          <w:bCs/>
        </w:rPr>
        <w:t>2.6.3 Rural Livelihood Impact Index (RLII)</w:t>
      </w:r>
    </w:p>
    <w:p w14:paraId="354E0A30" w14:textId="77777777" w:rsidR="009E3BBB" w:rsidRPr="009E3BBB" w:rsidRDefault="009E3BBB" w:rsidP="009E3BBB">
      <w:pPr>
        <w:pStyle w:val="NormalWeb"/>
        <w:spacing w:before="0" w:beforeAutospacing="0" w:after="0" w:afterAutospacing="0"/>
        <w:jc w:val="both"/>
        <w:rPr>
          <w:sz w:val="14"/>
        </w:rPr>
      </w:pPr>
    </w:p>
    <w:p w14:paraId="6346A956" w14:textId="77777777" w:rsidR="00481DAC" w:rsidRPr="00481DAC" w:rsidRDefault="00481DAC" w:rsidP="009E3BBB">
      <w:pPr>
        <w:pStyle w:val="NormalWeb"/>
        <w:spacing w:before="0" w:beforeAutospacing="0" w:after="0" w:afterAutospacing="0"/>
        <w:jc w:val="both"/>
      </w:pPr>
      <w:r w:rsidRPr="00481DAC">
        <w:t>The Rural Livelihood Impact Index (RLII) was constructed using indicators related to income loss, food insecurity, and overall livelihood vulnerability. Average scores were calculated to evaluate the extent of livelihood disruptions across the selected LGAs.</w:t>
      </w:r>
    </w:p>
    <w:p w14:paraId="28DB3F01" w14:textId="77777777" w:rsidR="00481DAC" w:rsidRPr="00481DAC" w:rsidRDefault="00481DAC" w:rsidP="00896808">
      <w:pPr>
        <w:pStyle w:val="NormalWeb"/>
        <w:spacing w:before="0" w:beforeAutospacing="0"/>
        <w:jc w:val="both"/>
        <w:rPr>
          <w:b/>
          <w:bCs/>
        </w:rPr>
      </w:pPr>
      <w:r w:rsidRPr="00481DAC">
        <w:rPr>
          <w:b/>
          <w:bCs/>
        </w:rPr>
        <w:t>2.6.4 Adaptation Strategy Index (ASI)</w:t>
      </w:r>
    </w:p>
    <w:p w14:paraId="7E0CDF61" w14:textId="77777777" w:rsidR="00481DAC" w:rsidRPr="00481DAC" w:rsidRDefault="00481DAC" w:rsidP="00896808">
      <w:pPr>
        <w:pStyle w:val="NormalWeb"/>
        <w:spacing w:before="0" w:beforeAutospacing="0"/>
        <w:jc w:val="both"/>
      </w:pPr>
      <w:r w:rsidRPr="00481DAC">
        <w:t>The Adaptation Strategy Index (ASI) was formulated from variables such as crop diversification, the adoption of improved crop varieties, and livelihood diversification measures. This index was used to assess the degree to which farming households had implemented climate change adaptation strategies.</w:t>
      </w:r>
    </w:p>
    <w:p w14:paraId="61753C5A" w14:textId="77777777" w:rsidR="00481DAC" w:rsidRPr="00481DAC" w:rsidRDefault="00481DAC" w:rsidP="00896808">
      <w:pPr>
        <w:pStyle w:val="NormalWeb"/>
        <w:spacing w:before="0" w:beforeAutospacing="0"/>
        <w:jc w:val="both"/>
        <w:rPr>
          <w:b/>
          <w:bCs/>
        </w:rPr>
      </w:pPr>
      <w:r w:rsidRPr="00481DAC">
        <w:rPr>
          <w:b/>
          <w:bCs/>
        </w:rPr>
        <w:t>2.7 Data Analysis Methods</w:t>
      </w:r>
    </w:p>
    <w:p w14:paraId="69993125" w14:textId="35320785" w:rsidR="00481DAC" w:rsidRPr="00481DAC" w:rsidRDefault="00481DAC" w:rsidP="00896808">
      <w:pPr>
        <w:pStyle w:val="NormalWeb"/>
        <w:spacing w:before="0" w:beforeAutospacing="0"/>
        <w:jc w:val="both"/>
      </w:pPr>
      <w:r w:rsidRPr="00481DAC">
        <w:t xml:space="preserve">Both descriptive and inferential statistical techniques were applied to </w:t>
      </w:r>
      <w:proofErr w:type="spellStart"/>
      <w:r w:rsidRPr="00481DAC">
        <w:t>analyse</w:t>
      </w:r>
      <w:proofErr w:type="spellEnd"/>
      <w:r w:rsidRPr="00481DAC">
        <w:t xml:space="preserve"> the collected data. Descriptive statistics, including frequencies, percentages, and mean values, were used to summarize respondents’ socio-economic characteristics and their perceptions of climate change </w:t>
      </w:r>
      <w:r w:rsidRPr="00481DAC">
        <w:lastRenderedPageBreak/>
        <w:t>impacts. In this study, mean scores of 3.00 or higher were interpreted as indicating agreement with the impact statements.</w:t>
      </w:r>
    </w:p>
    <w:p w14:paraId="34FF3A39" w14:textId="77777777" w:rsidR="00481DAC" w:rsidRPr="00481DAC" w:rsidRDefault="00481DAC" w:rsidP="00896808">
      <w:pPr>
        <w:pStyle w:val="NormalWeb"/>
        <w:spacing w:before="0" w:beforeAutospacing="0"/>
        <w:jc w:val="both"/>
      </w:pPr>
      <w:r w:rsidRPr="00481DAC">
        <w:t>To assess spatial variations in climate change impacts across the LGAs, a one-way Analysis of Variance (ANOVA) was performed, with the Composite Climate Change Impact Index (CCII) serving as the dependent variable. Eta squared (η²) was calculated to determine the effect size and the magnitude of differences between LGAs. For statistically significant ANOVA results, a Tukey Honestly Significant Difference (HSD) post-hoc test was conducted to identify which specific pairs of LGAs differed significantly. All statistical analyses were carried out at a 5% significance level.</w:t>
      </w:r>
    </w:p>
    <w:p w14:paraId="3E69781F" w14:textId="77777777" w:rsidR="00481DAC" w:rsidRPr="00481DAC" w:rsidRDefault="00481DAC" w:rsidP="00896808">
      <w:pPr>
        <w:pStyle w:val="NormalWeb"/>
        <w:spacing w:before="0" w:beforeAutospacing="0"/>
        <w:jc w:val="both"/>
      </w:pPr>
      <w:r w:rsidRPr="00481DAC">
        <w:t>The one-way ANOVA specifically examined whether the mean CCII scores varied significantly among the three LGAs, providing insight into differences in perceived climate change impacts across the study area.</w:t>
      </w:r>
    </w:p>
    <w:p w14:paraId="7F949E1E" w14:textId="3F549E12" w:rsidR="00AE6B36" w:rsidRPr="00640B46" w:rsidRDefault="00AE6B36" w:rsidP="00896808">
      <w:pPr>
        <w:pStyle w:val="NormalWeb"/>
        <w:spacing w:before="0" w:beforeAutospacing="0" w:after="0" w:afterAutospacing="0"/>
        <w:jc w:val="both"/>
        <w:rPr>
          <w:i/>
          <w:sz w:val="32"/>
        </w:rPr>
      </w:pPr>
      <w:proofErr w:type="spellStart"/>
      <w:r w:rsidRPr="00640B46">
        <w:rPr>
          <w:i/>
          <w:sz w:val="32"/>
        </w:rPr>
        <w:t>Y</w:t>
      </w:r>
      <w:r w:rsidRPr="00640B46">
        <w:rPr>
          <w:i/>
          <w:sz w:val="36"/>
          <w:vertAlign w:val="subscript"/>
        </w:rPr>
        <w:t>ij</w:t>
      </w:r>
      <w:proofErr w:type="spellEnd"/>
      <w:r w:rsidRPr="00640B46">
        <w:rPr>
          <w:i/>
          <w:sz w:val="32"/>
        </w:rPr>
        <w:t xml:space="preserve"> = </w:t>
      </w:r>
      <w:r w:rsidR="002D21D4" w:rsidRPr="00640B46">
        <w:rPr>
          <w:i/>
          <w:sz w:val="32"/>
        </w:rPr>
        <w:t>μ +T</w:t>
      </w:r>
      <w:r w:rsidR="002D21D4" w:rsidRPr="00640B46">
        <w:rPr>
          <w:i/>
          <w:sz w:val="32"/>
          <w:vertAlign w:val="subscript"/>
        </w:rPr>
        <w:t>i</w:t>
      </w:r>
      <w:r w:rsidR="002D21D4" w:rsidRPr="00640B46">
        <w:rPr>
          <w:i/>
          <w:sz w:val="32"/>
        </w:rPr>
        <w:t xml:space="preserve"> +</w:t>
      </w:r>
      <w:r w:rsidR="003D0CB5" w:rsidRPr="00640B46">
        <w:rPr>
          <w:i/>
          <w:sz w:val="32"/>
        </w:rPr>
        <w:t xml:space="preserve"> </w:t>
      </w:r>
      <w:proofErr w:type="spellStart"/>
      <w:r w:rsidR="003D0CB5" w:rsidRPr="00640B46">
        <w:rPr>
          <w:i/>
          <w:sz w:val="32"/>
        </w:rPr>
        <w:t>Ɛ</w:t>
      </w:r>
      <w:r w:rsidR="003D0CB5" w:rsidRPr="00640B46">
        <w:rPr>
          <w:i/>
          <w:sz w:val="32"/>
          <w:vertAlign w:val="subscript"/>
        </w:rPr>
        <w:t>ij</w:t>
      </w:r>
      <w:proofErr w:type="spellEnd"/>
    </w:p>
    <w:p w14:paraId="0382D18C" w14:textId="77777777" w:rsidR="003D0CB5" w:rsidRDefault="00EA6084" w:rsidP="00896808">
      <w:pPr>
        <w:pStyle w:val="NormalWeb"/>
        <w:spacing w:before="0" w:beforeAutospacing="0" w:after="0" w:afterAutospacing="0"/>
        <w:jc w:val="both"/>
        <w:rPr>
          <w:i/>
          <w:sz w:val="28"/>
        </w:rPr>
      </w:pPr>
      <w:r w:rsidRPr="00640B46">
        <w:rPr>
          <w:i/>
          <w:sz w:val="28"/>
          <w:vertAlign w:val="subscript"/>
        </w:rPr>
        <w:t>W</w:t>
      </w:r>
      <w:r w:rsidR="003D0CB5" w:rsidRPr="00640B46">
        <w:rPr>
          <w:i/>
          <w:sz w:val="28"/>
          <w:vertAlign w:val="subscript"/>
        </w:rPr>
        <w:t>here</w:t>
      </w:r>
      <w:r w:rsidR="00640B46">
        <w:rPr>
          <w:i/>
          <w:sz w:val="28"/>
        </w:rPr>
        <w:t>:</w:t>
      </w:r>
    </w:p>
    <w:p w14:paraId="4CADAA05" w14:textId="77777777" w:rsidR="00EA6084" w:rsidRDefault="00EA6084" w:rsidP="00896808">
      <w:pPr>
        <w:pStyle w:val="NormalWeb"/>
        <w:spacing w:before="0" w:beforeAutospacing="0" w:after="0" w:afterAutospacing="0"/>
        <w:jc w:val="both"/>
        <w:rPr>
          <w:i/>
          <w:sz w:val="32"/>
          <w:vertAlign w:val="subscript"/>
        </w:rPr>
      </w:pPr>
      <w:proofErr w:type="spellStart"/>
      <w:r w:rsidRPr="003D0CB5">
        <w:rPr>
          <w:i/>
          <w:sz w:val="28"/>
        </w:rPr>
        <w:t>Y</w:t>
      </w:r>
      <w:r w:rsidRPr="00EA6084">
        <w:rPr>
          <w:i/>
          <w:sz w:val="32"/>
          <w:vertAlign w:val="subscript"/>
        </w:rPr>
        <w:t>ij</w:t>
      </w:r>
      <w:proofErr w:type="spellEnd"/>
      <w:r>
        <w:rPr>
          <w:i/>
          <w:sz w:val="32"/>
          <w:vertAlign w:val="subscript"/>
        </w:rPr>
        <w:t xml:space="preserve"> = CCII Score of the respondents in the </w:t>
      </w:r>
      <w:proofErr w:type="spellStart"/>
      <w:r w:rsidRPr="00EA6084">
        <w:rPr>
          <w:i/>
          <w:sz w:val="36"/>
          <w:vertAlign w:val="subscript"/>
        </w:rPr>
        <w:t>i</w:t>
      </w:r>
      <w:r w:rsidRPr="00EA6084">
        <w:rPr>
          <w:i/>
          <w:sz w:val="22"/>
          <w:vertAlign w:val="superscript"/>
        </w:rPr>
        <w:t>th</w:t>
      </w:r>
      <w:proofErr w:type="spellEnd"/>
      <w:r>
        <w:rPr>
          <w:i/>
          <w:sz w:val="32"/>
          <w:vertAlign w:val="subscript"/>
        </w:rPr>
        <w:t xml:space="preserve"> LGA</w:t>
      </w:r>
    </w:p>
    <w:p w14:paraId="3D606A91" w14:textId="77777777" w:rsidR="007F7A4D" w:rsidRDefault="007F7A4D" w:rsidP="00896808">
      <w:pPr>
        <w:pStyle w:val="NormalWeb"/>
        <w:spacing w:before="0" w:beforeAutospacing="0" w:after="0" w:afterAutospacing="0"/>
        <w:jc w:val="both"/>
        <w:rPr>
          <w:i/>
          <w:sz w:val="28"/>
        </w:rPr>
      </w:pPr>
      <w:r w:rsidRPr="003D0CB5">
        <w:rPr>
          <w:i/>
          <w:sz w:val="28"/>
        </w:rPr>
        <w:t>Μ</w:t>
      </w:r>
      <w:r>
        <w:rPr>
          <w:i/>
          <w:sz w:val="28"/>
        </w:rPr>
        <w:t xml:space="preserve"> = overall (grand) mean of CCII</w:t>
      </w:r>
    </w:p>
    <w:p w14:paraId="36E513F8" w14:textId="77777777" w:rsidR="00640B46" w:rsidRDefault="00640B46" w:rsidP="00896808">
      <w:pPr>
        <w:pStyle w:val="NormalWeb"/>
        <w:spacing w:before="0" w:beforeAutospacing="0" w:after="0" w:afterAutospacing="0"/>
        <w:jc w:val="both"/>
        <w:rPr>
          <w:i/>
          <w:sz w:val="22"/>
        </w:rPr>
      </w:pPr>
      <w:r>
        <w:rPr>
          <w:i/>
          <w:sz w:val="28"/>
        </w:rPr>
        <w:t>T</w:t>
      </w:r>
      <w:r w:rsidRPr="00640B46">
        <w:rPr>
          <w:i/>
          <w:sz w:val="32"/>
          <w:vertAlign w:val="subscript"/>
        </w:rPr>
        <w:t>i</w:t>
      </w:r>
      <w:r>
        <w:rPr>
          <w:i/>
          <w:sz w:val="32"/>
          <w:vertAlign w:val="subscript"/>
        </w:rPr>
        <w:t xml:space="preserve"> = effects of the </w:t>
      </w:r>
      <w:proofErr w:type="spellStart"/>
      <w:r w:rsidRPr="00EA6084">
        <w:rPr>
          <w:i/>
          <w:sz w:val="36"/>
          <w:vertAlign w:val="subscript"/>
        </w:rPr>
        <w:t>i</w:t>
      </w:r>
      <w:r w:rsidRPr="00EA6084">
        <w:rPr>
          <w:i/>
          <w:sz w:val="22"/>
          <w:vertAlign w:val="superscript"/>
        </w:rPr>
        <w:t>th</w:t>
      </w:r>
      <w:proofErr w:type="spellEnd"/>
      <w:r>
        <w:rPr>
          <w:i/>
          <w:sz w:val="22"/>
        </w:rPr>
        <w:t xml:space="preserve"> LGA (I = 1, 2, 3)</w:t>
      </w:r>
    </w:p>
    <w:p w14:paraId="0D3BDC07" w14:textId="77777777" w:rsidR="00640B46" w:rsidRDefault="00640B46" w:rsidP="00896808">
      <w:pPr>
        <w:pStyle w:val="NormalWeb"/>
        <w:spacing w:before="0" w:beforeAutospacing="0" w:after="0" w:afterAutospacing="0"/>
        <w:jc w:val="both"/>
        <w:rPr>
          <w:i/>
          <w:sz w:val="32"/>
          <w:vertAlign w:val="subscript"/>
        </w:rPr>
      </w:pPr>
      <w:proofErr w:type="spellStart"/>
      <w:r w:rsidRPr="00640B46">
        <w:rPr>
          <w:i/>
          <w:sz w:val="32"/>
        </w:rPr>
        <w:t>Ɛ</w:t>
      </w:r>
      <w:r w:rsidRPr="00640B46">
        <w:rPr>
          <w:i/>
          <w:sz w:val="32"/>
          <w:vertAlign w:val="subscript"/>
        </w:rPr>
        <w:t>ij</w:t>
      </w:r>
      <w:proofErr w:type="spellEnd"/>
      <w:r>
        <w:rPr>
          <w:i/>
          <w:sz w:val="32"/>
          <w:vertAlign w:val="subscript"/>
        </w:rPr>
        <w:t xml:space="preserve"> = random team associated with </w:t>
      </w:r>
      <w:proofErr w:type="spellStart"/>
      <w:r w:rsidRPr="003D0CB5">
        <w:rPr>
          <w:i/>
          <w:sz w:val="28"/>
        </w:rPr>
        <w:t>Y</w:t>
      </w:r>
      <w:r w:rsidRPr="00EA6084">
        <w:rPr>
          <w:i/>
          <w:sz w:val="32"/>
          <w:vertAlign w:val="subscript"/>
        </w:rPr>
        <w:t>ij</w:t>
      </w:r>
      <w:proofErr w:type="spellEnd"/>
    </w:p>
    <w:p w14:paraId="4C749E3B" w14:textId="77777777" w:rsidR="00640B46" w:rsidRDefault="00640B46" w:rsidP="00896808">
      <w:pPr>
        <w:pStyle w:val="NormalWeb"/>
        <w:spacing w:before="0" w:beforeAutospacing="0" w:after="0" w:afterAutospacing="0"/>
        <w:jc w:val="both"/>
        <w:rPr>
          <w:i/>
          <w:sz w:val="32"/>
          <w:vertAlign w:val="subscript"/>
        </w:rPr>
      </w:pPr>
    </w:p>
    <w:p w14:paraId="30E72549" w14:textId="77777777" w:rsidR="00640B46" w:rsidRDefault="00640B46" w:rsidP="00896808">
      <w:pPr>
        <w:pStyle w:val="NormalWeb"/>
        <w:spacing w:before="0" w:beforeAutospacing="0" w:after="0" w:afterAutospacing="0"/>
        <w:jc w:val="both"/>
        <w:rPr>
          <w:sz w:val="32"/>
          <w:vertAlign w:val="subscript"/>
        </w:rPr>
      </w:pPr>
      <w:r w:rsidRPr="00640B46">
        <w:rPr>
          <w:sz w:val="32"/>
          <w:vertAlign w:val="subscript"/>
        </w:rPr>
        <w:t xml:space="preserve">Hypothesis Tested </w:t>
      </w:r>
    </w:p>
    <w:p w14:paraId="2E8E31EB" w14:textId="77777777" w:rsidR="00640B46" w:rsidRDefault="00640B46" w:rsidP="00896808">
      <w:pPr>
        <w:pStyle w:val="NormalWeb"/>
        <w:spacing w:before="0" w:beforeAutospacing="0" w:after="0" w:afterAutospacing="0"/>
        <w:jc w:val="both"/>
        <w:rPr>
          <w:i/>
          <w:sz w:val="32"/>
          <w:vertAlign w:val="subscript"/>
        </w:rPr>
      </w:pPr>
      <w:r w:rsidRPr="00640B46">
        <w:rPr>
          <w:sz w:val="32"/>
          <w:vertAlign w:val="subscript"/>
        </w:rPr>
        <w:t>Ho</w:t>
      </w:r>
      <w:r>
        <w:rPr>
          <w:sz w:val="32"/>
          <w:vertAlign w:val="subscript"/>
        </w:rPr>
        <w:t xml:space="preserve"> = </w:t>
      </w:r>
      <w:r w:rsidRPr="00640B46">
        <w:rPr>
          <w:i/>
          <w:sz w:val="32"/>
        </w:rPr>
        <w:t>μ</w:t>
      </w:r>
      <w:r>
        <w:rPr>
          <w:i/>
          <w:sz w:val="32"/>
        </w:rPr>
        <w:t xml:space="preserve"> = </w:t>
      </w:r>
      <w:r w:rsidRPr="00640B46">
        <w:rPr>
          <w:i/>
          <w:sz w:val="32"/>
        </w:rPr>
        <w:t>μ</w:t>
      </w:r>
      <w:r w:rsidRPr="00640B46">
        <w:rPr>
          <w:i/>
          <w:sz w:val="32"/>
          <w:vertAlign w:val="subscript"/>
        </w:rPr>
        <w:t>2</w:t>
      </w:r>
      <w:r>
        <w:rPr>
          <w:i/>
          <w:sz w:val="32"/>
          <w:vertAlign w:val="subscript"/>
        </w:rPr>
        <w:t xml:space="preserve"> = </w:t>
      </w:r>
      <w:r w:rsidRPr="00640B46">
        <w:rPr>
          <w:i/>
          <w:sz w:val="32"/>
        </w:rPr>
        <w:t>μ</w:t>
      </w:r>
      <w:r w:rsidRPr="00640B46">
        <w:rPr>
          <w:i/>
          <w:sz w:val="32"/>
          <w:vertAlign w:val="subscript"/>
        </w:rPr>
        <w:t>3</w:t>
      </w:r>
    </w:p>
    <w:p w14:paraId="201DDA64" w14:textId="77777777" w:rsidR="007F7A4D" w:rsidRDefault="00640B46" w:rsidP="00896808">
      <w:pPr>
        <w:pStyle w:val="NormalWeb"/>
        <w:spacing w:before="0" w:beforeAutospacing="0" w:after="0" w:afterAutospacing="0"/>
        <w:jc w:val="both"/>
        <w:rPr>
          <w:sz w:val="32"/>
          <w:vertAlign w:val="subscript"/>
        </w:rPr>
      </w:pPr>
      <w:r w:rsidRPr="00640B46">
        <w:rPr>
          <w:sz w:val="32"/>
          <w:vertAlign w:val="subscript"/>
        </w:rPr>
        <w:t>(There is no significant difference in mean CCII across LGAs)</w:t>
      </w:r>
    </w:p>
    <w:p w14:paraId="344FF5E3" w14:textId="77777777" w:rsidR="00640B46" w:rsidRDefault="00640B46" w:rsidP="00896808">
      <w:pPr>
        <w:pStyle w:val="NormalWeb"/>
        <w:spacing w:before="0" w:beforeAutospacing="0" w:after="0" w:afterAutospacing="0"/>
        <w:jc w:val="both"/>
        <w:rPr>
          <w:sz w:val="32"/>
          <w:vertAlign w:val="subscript"/>
        </w:rPr>
      </w:pPr>
    </w:p>
    <w:p w14:paraId="7A98CAD8" w14:textId="77777777" w:rsidR="00640B46" w:rsidRPr="00640B46" w:rsidRDefault="00640B46" w:rsidP="00896808">
      <w:pPr>
        <w:pStyle w:val="NormalWeb"/>
        <w:spacing w:before="0" w:beforeAutospacing="0" w:after="0" w:afterAutospacing="0"/>
        <w:jc w:val="both"/>
        <w:rPr>
          <w:sz w:val="32"/>
          <w:vertAlign w:val="subscript"/>
        </w:rPr>
      </w:pPr>
    </w:p>
    <w:p w14:paraId="52AAC850" w14:textId="77777777" w:rsidR="00A35AE9" w:rsidRPr="004117EF" w:rsidRDefault="00A35AE9" w:rsidP="00896808">
      <w:pPr>
        <w:pStyle w:val="HTMLPreformatted"/>
        <w:rPr>
          <w:rStyle w:val="HTMLCode"/>
          <w:rFonts w:ascii="Times New Roman" w:hAnsi="Times New Roman" w:cs="Times New Roman"/>
          <w:sz w:val="24"/>
          <w:szCs w:val="24"/>
        </w:rPr>
      </w:pPr>
      <w:r w:rsidRPr="004117EF">
        <w:rPr>
          <w:rStyle w:val="HTMLCode"/>
          <w:rFonts w:ascii="Times New Roman" w:hAnsi="Times New Roman" w:cs="Times New Roman"/>
          <w:i/>
          <w:sz w:val="24"/>
          <w:szCs w:val="24"/>
        </w:rPr>
        <w:t xml:space="preserve">HSD = qα, </w:t>
      </w:r>
      <w:proofErr w:type="spellStart"/>
      <w:r w:rsidRPr="004117EF">
        <w:rPr>
          <w:rStyle w:val="HTMLCode"/>
          <w:rFonts w:ascii="Times New Roman" w:hAnsi="Times New Roman" w:cs="Times New Roman"/>
          <w:i/>
          <w:sz w:val="24"/>
          <w:szCs w:val="24"/>
        </w:rPr>
        <w:t>k</w:t>
      </w:r>
      <w:proofErr w:type="gramStart"/>
      <w:r w:rsidRPr="004117EF">
        <w:rPr>
          <w:rStyle w:val="HTMLCode"/>
          <w:rFonts w:ascii="Times New Roman" w:hAnsi="Times New Roman" w:cs="Times New Roman"/>
          <w:i/>
          <w:sz w:val="24"/>
          <w:szCs w:val="24"/>
        </w:rPr>
        <w:t>,df</w:t>
      </w:r>
      <w:proofErr w:type="spellEnd"/>
      <w:proofErr w:type="gramEnd"/>
      <w:r w:rsidRPr="004117EF">
        <w:rPr>
          <w:rStyle w:val="HTMLCode"/>
          <w:rFonts w:ascii="Times New Roman" w:hAnsi="Times New Roman" w:cs="Times New Roman"/>
          <w:i/>
          <w:sz w:val="24"/>
          <w:szCs w:val="24"/>
        </w:rPr>
        <w:t xml:space="preserve"> X</w:t>
      </w:r>
      <w:r w:rsidRPr="004117EF">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MS</m:t>
                </m:r>
                <m:r>
                  <w:rPr>
                    <w:rStyle w:val="HTMLCode"/>
                    <w:rFonts w:ascii="Cambria Math" w:hAnsi="Cambria Math" w:cs="Times New Roman"/>
                    <w:sz w:val="24"/>
                    <w:szCs w:val="24"/>
                    <w:vertAlign w:val="subscript"/>
                  </w:rPr>
                  <m:t>Within</m:t>
                </m:r>
                <m:r>
                  <w:rPr>
                    <w:rStyle w:val="HTMLCode"/>
                    <w:rFonts w:ascii="Cambria Math" w:hAnsi="Cambria Math" w:cs="Times New Roman"/>
                    <w:sz w:val="24"/>
                    <w:szCs w:val="24"/>
                  </w:rPr>
                  <m:t xml:space="preserve">  </m:t>
                </m:r>
              </m:num>
              <m:den>
                <m:r>
                  <w:rPr>
                    <w:rFonts w:ascii="Cambria Math" w:eastAsia="Times New Roman" w:hAnsi="Cambria Math" w:cs="Times New Roman"/>
                    <w:sz w:val="24"/>
                    <w:szCs w:val="24"/>
                    <w:bdr w:val="none" w:sz="0" w:space="0" w:color="auto" w:frame="1"/>
                  </w:rPr>
                  <m:t>n</m:t>
                </m:r>
              </m:den>
            </m:f>
          </m:e>
        </m:rad>
      </m:oMath>
    </w:p>
    <w:p w14:paraId="7CD38B09" w14:textId="77777777" w:rsidR="00A35AE9" w:rsidRPr="004117EF" w:rsidRDefault="00A35AE9" w:rsidP="00896808">
      <w:pPr>
        <w:pStyle w:val="NormalWeb"/>
        <w:spacing w:before="0" w:beforeAutospacing="0" w:after="0" w:afterAutospacing="0"/>
      </w:pPr>
      <w:r w:rsidRPr="004117EF">
        <w:t>Where:</w:t>
      </w:r>
    </w:p>
    <w:p w14:paraId="5A89E0A3" w14:textId="77777777" w:rsidR="00A35AE9" w:rsidRPr="004117EF" w:rsidRDefault="00A35AE9" w:rsidP="00896808">
      <w:pPr>
        <w:spacing w:after="0"/>
        <w:ind w:left="720"/>
        <w:rPr>
          <w:rFonts w:ascii="Times New Roman" w:eastAsia="Times New Roman" w:hAnsi="Times New Roman" w:cs="Times New Roman"/>
        </w:rPr>
      </w:pPr>
      <w:r w:rsidRPr="004117EF">
        <w:rPr>
          <w:rStyle w:val="HTMLCode"/>
          <w:rFonts w:ascii="Times New Roman" w:hAnsi="Times New Roman" w:cs="Times New Roman"/>
          <w:i/>
          <w:sz w:val="24"/>
          <w:szCs w:val="24"/>
        </w:rPr>
        <w:t xml:space="preserve">q </w:t>
      </w:r>
      <w:r w:rsidRPr="004117EF">
        <w:rPr>
          <w:rFonts w:ascii="Times New Roman" w:eastAsia="Times New Roman" w:hAnsi="Times New Roman" w:cs="Times New Roman"/>
        </w:rPr>
        <w:t>= Studentized range statistic</w:t>
      </w:r>
    </w:p>
    <w:p w14:paraId="767BBD88" w14:textId="77777777" w:rsidR="00A35AE9" w:rsidRPr="008E54AC" w:rsidRDefault="00A35AE9" w:rsidP="00896808">
      <w:pPr>
        <w:spacing w:after="0"/>
        <w:ind w:left="720"/>
        <w:rPr>
          <w:rFonts w:ascii="Times New Roman" w:eastAsia="Times New Roman" w:hAnsi="Times New Roman" w:cs="Times New Roman"/>
          <w:i/>
          <w:sz w:val="28"/>
        </w:rPr>
      </w:pPr>
      <w:r w:rsidRPr="004117EF">
        <w:rPr>
          <w:rStyle w:val="HTMLCode"/>
          <w:rFonts w:ascii="Times New Roman" w:hAnsi="Times New Roman" w:cs="Times New Roman"/>
          <w:i/>
          <w:sz w:val="24"/>
          <w:szCs w:val="24"/>
        </w:rPr>
        <w:t xml:space="preserve">MS </w:t>
      </w:r>
      <w:r>
        <w:rPr>
          <w:rStyle w:val="HTMLCode"/>
          <w:rFonts w:ascii="Times New Roman" w:hAnsi="Times New Roman" w:cs="Times New Roman"/>
          <w:i/>
          <w:sz w:val="28"/>
          <w:szCs w:val="24"/>
          <w:vertAlign w:val="subscript"/>
        </w:rPr>
        <w:t xml:space="preserve">Within = </w:t>
      </w:r>
      <w:r w:rsidRPr="00A35AE9">
        <w:rPr>
          <w:rFonts w:ascii="Times New Roman" w:eastAsia="Times New Roman" w:hAnsi="Times New Roman" w:cs="Times New Roman"/>
          <w:i/>
          <w:sz w:val="24"/>
        </w:rPr>
        <w:t>mean</w:t>
      </w:r>
    </w:p>
    <w:p w14:paraId="0422EEF7" w14:textId="77777777" w:rsidR="00A35AE9" w:rsidRPr="004117EF" w:rsidRDefault="00A35AE9" w:rsidP="00896808">
      <w:pPr>
        <w:spacing w:after="0"/>
        <w:ind w:left="720"/>
        <w:rPr>
          <w:rFonts w:ascii="Times New Roman" w:eastAsia="Times New Roman" w:hAnsi="Times New Roman" w:cs="Times New Roman"/>
        </w:rPr>
      </w:pPr>
      <w:r w:rsidRPr="004117EF">
        <w:rPr>
          <w:rFonts w:ascii="Times New Roman" w:eastAsia="Times New Roman" w:hAnsi="Times New Roman" w:cs="Times New Roman"/>
          <w:i/>
        </w:rPr>
        <w:t>n</w:t>
      </w:r>
      <w:r w:rsidRPr="004117EF">
        <w:rPr>
          <w:rFonts w:ascii="Times New Roman" w:eastAsia="Times New Roman" w:hAnsi="Times New Roman" w:cs="Times New Roman"/>
        </w:rPr>
        <w:t xml:space="preserve"> = 11 indicators per LGA</w:t>
      </w:r>
    </w:p>
    <w:p w14:paraId="4B362437" w14:textId="77777777" w:rsidR="00A35AE9" w:rsidRPr="004117EF"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k</w:t>
      </w:r>
      <w:r w:rsidRPr="004117EF">
        <w:rPr>
          <w:rFonts w:ascii="Times New Roman" w:eastAsia="Times New Roman" w:hAnsi="Times New Roman" w:cs="Times New Roman"/>
        </w:rPr>
        <w:t xml:space="preserve"> = 3 groups</w:t>
      </w:r>
    </w:p>
    <w:p w14:paraId="77182B71" w14:textId="77777777" w:rsidR="00A35AE9" w:rsidRDefault="00A35AE9" w:rsidP="00896808">
      <w:pPr>
        <w:spacing w:after="0"/>
        <w:ind w:left="720"/>
        <w:rPr>
          <w:rFonts w:ascii="Times New Roman" w:eastAsia="Times New Roman" w:hAnsi="Times New Roman" w:cs="Times New Roman"/>
        </w:rPr>
      </w:pPr>
      <w:proofErr w:type="spellStart"/>
      <w:r w:rsidRPr="008E54AC">
        <w:rPr>
          <w:rFonts w:ascii="Times New Roman" w:eastAsia="Times New Roman" w:hAnsi="Times New Roman" w:cs="Times New Roman"/>
          <w:i/>
        </w:rPr>
        <w:t>df</w:t>
      </w:r>
      <w:proofErr w:type="spellEnd"/>
      <w:r w:rsidR="00640B46">
        <w:rPr>
          <w:rFonts w:ascii="Times New Roman" w:eastAsia="Times New Roman" w:hAnsi="Times New Roman" w:cs="Times New Roman"/>
        </w:rPr>
        <w:t xml:space="preserve"> = 30</w:t>
      </w:r>
    </w:p>
    <w:p w14:paraId="7547899B" w14:textId="77777777" w:rsidR="00640B46" w:rsidRPr="00640B46" w:rsidRDefault="00640B46" w:rsidP="00896808">
      <w:pPr>
        <w:spacing w:after="0"/>
        <w:ind w:left="720"/>
        <w:rPr>
          <w:rFonts w:ascii="Times New Roman" w:eastAsia="Times New Roman" w:hAnsi="Times New Roman" w:cs="Times New Roman"/>
        </w:rPr>
      </w:pPr>
    </w:p>
    <w:p w14:paraId="6E858E99"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lastRenderedPageBreak/>
        <w:t>2.8 Validity and Reliability of the Instrument</w:t>
      </w:r>
    </w:p>
    <w:p w14:paraId="14BC63CB" w14:textId="77777777" w:rsidR="00106466" w:rsidRPr="00106466"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The questionnaire was evaluated by specialists in climate change and agricultural economics to ensure that the content accurately reflected the study objectives. The reliability of the Likert-scale items was confirmed through internal consistency analysis during data processing, demonstrating that the indicators effectively captured information on climate change impacts, livelihood outcomes, and adaptation practices.</w:t>
      </w:r>
    </w:p>
    <w:p w14:paraId="0DE995C1" w14:textId="77777777" w:rsidR="009E3BBB" w:rsidRDefault="009E3BBB" w:rsidP="00896808">
      <w:pPr>
        <w:pStyle w:val="Heading1"/>
        <w:spacing w:before="0"/>
        <w:jc w:val="both"/>
        <w:rPr>
          <w:rFonts w:ascii="Times New Roman" w:hAnsi="Times New Roman" w:cs="Times New Roman"/>
          <w:color w:val="auto"/>
          <w:sz w:val="24"/>
          <w:szCs w:val="24"/>
        </w:rPr>
      </w:pPr>
    </w:p>
    <w:p w14:paraId="1A4D2A75"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t>2.9 Ethical Considerations</w:t>
      </w:r>
    </w:p>
    <w:p w14:paraId="0F4BEF1E" w14:textId="77777777" w:rsidR="00EA3EF4"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Participation in the study was entirely voluntary, and informed consent was obtained from all respondents prior to data collection. Respondents were assured that their information would remain confidential and that the data would be used solely for academic research purposes.</w:t>
      </w:r>
    </w:p>
    <w:p w14:paraId="5522B712"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75E47C4D"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3.1 Results and Discussion</w:t>
      </w:r>
    </w:p>
    <w:p w14:paraId="2FD622F4"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2DC77646"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3.2 Socio-Economic Profile of Respondents</w:t>
      </w:r>
    </w:p>
    <w:p w14:paraId="722E9B7B" w14:textId="77777777" w:rsidR="00EA3EF4" w:rsidRDefault="00EA3EF4" w:rsidP="00896808">
      <w:pPr>
        <w:pStyle w:val="Heading1"/>
        <w:spacing w:before="0"/>
        <w:jc w:val="both"/>
        <w:rPr>
          <w:rFonts w:ascii="Times New Roman" w:eastAsiaTheme="minorEastAsia" w:hAnsi="Times New Roman" w:cs="Times New Roman"/>
          <w:b w:val="0"/>
          <w:bCs w:val="0"/>
          <w:color w:val="auto"/>
          <w:sz w:val="24"/>
          <w:szCs w:val="24"/>
        </w:rPr>
      </w:pPr>
      <w:r w:rsidRPr="00EA3EF4">
        <w:rPr>
          <w:rFonts w:ascii="Times New Roman" w:eastAsiaTheme="minorEastAsia" w:hAnsi="Times New Roman" w:cs="Times New Roman"/>
          <w:b w:val="0"/>
          <w:bCs w:val="0"/>
          <w:color w:val="auto"/>
          <w:sz w:val="24"/>
          <w:szCs w:val="24"/>
        </w:rPr>
        <w:t>The study surveyed a total of 270 farming households across three Local Government Areas (LGAs) in Adamawa State</w:t>
      </w:r>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 xml:space="preserve">Mubi North, </w:t>
      </w:r>
      <w:proofErr w:type="spellStart"/>
      <w:r w:rsidRPr="00EA3EF4">
        <w:rPr>
          <w:rFonts w:ascii="Times New Roman" w:eastAsiaTheme="minorEastAsia" w:hAnsi="Times New Roman" w:cs="Times New Roman"/>
          <w:b w:val="0"/>
          <w:bCs w:val="0"/>
          <w:color w:val="auto"/>
          <w:sz w:val="24"/>
          <w:szCs w:val="24"/>
        </w:rPr>
        <w:t>Ganye</w:t>
      </w:r>
      <w:proofErr w:type="spellEnd"/>
      <w:r w:rsidRPr="00EA3EF4">
        <w:rPr>
          <w:rFonts w:ascii="Times New Roman" w:eastAsiaTheme="minorEastAsia" w:hAnsi="Times New Roman" w:cs="Times New Roman"/>
          <w:b w:val="0"/>
          <w:bCs w:val="0"/>
          <w:color w:val="auto"/>
          <w:sz w:val="24"/>
          <w:szCs w:val="24"/>
        </w:rPr>
        <w:t xml:space="preserve">, and </w:t>
      </w:r>
      <w:proofErr w:type="spellStart"/>
      <w:r w:rsidRPr="00EA3EF4">
        <w:rPr>
          <w:rFonts w:ascii="Times New Roman" w:eastAsiaTheme="minorEastAsia" w:hAnsi="Times New Roman" w:cs="Times New Roman"/>
          <w:b w:val="0"/>
          <w:bCs w:val="0"/>
          <w:color w:val="auto"/>
          <w:sz w:val="24"/>
          <w:szCs w:val="24"/>
        </w:rPr>
        <w:t>Fufore</w:t>
      </w:r>
      <w:proofErr w:type="spellEnd"/>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with 90 respondents from each LGA. Most household heads were male, and the majority fell within the economically active age range of 31–50 years. Educational levels were generally low to moderate, and households tended to have relatively large family sizes. Respondents also possessed considerable farming experience, suggesting long-term familiarity with local climatic conditions and agricultural practices.</w:t>
      </w:r>
    </w:p>
    <w:p w14:paraId="4507B651"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35CAA609" w14:textId="74E0E142" w:rsidR="00EA3EF4" w:rsidRPr="00EA3EF4" w:rsidRDefault="00EA3EF4" w:rsidP="00896808">
      <w:pPr>
        <w:pStyle w:val="Heading1"/>
        <w:spacing w:before="0"/>
        <w:jc w:val="both"/>
        <w:rPr>
          <w:rFonts w:ascii="Times New Roman" w:hAnsi="Times New Roman" w:cs="Times New Roman"/>
          <w:b w:val="0"/>
          <w:bCs w:val="0"/>
          <w:color w:val="auto"/>
          <w:sz w:val="24"/>
          <w:szCs w:val="24"/>
        </w:rPr>
      </w:pPr>
      <w:r w:rsidRPr="00EA3EF4">
        <w:rPr>
          <w:rFonts w:ascii="Times New Roman" w:eastAsiaTheme="minorEastAsia" w:hAnsi="Times New Roman" w:cs="Times New Roman"/>
          <w:color w:val="auto"/>
          <w:sz w:val="24"/>
          <w:szCs w:val="24"/>
        </w:rPr>
        <w:t>3.3 Descriptive Analysis of Climate Change Impacts on Food Crop Production</w:t>
      </w:r>
    </w:p>
    <w:p w14:paraId="3A507472" w14:textId="77777777" w:rsidR="00EA3EF4" w:rsidRPr="00EA3EF4" w:rsidRDefault="00EA3EF4" w:rsidP="00896808">
      <w:pPr>
        <w:pStyle w:val="NormalWeb"/>
        <w:spacing w:before="0" w:beforeAutospacing="0" w:after="0" w:afterAutospacing="0" w:line="276" w:lineRule="auto"/>
        <w:jc w:val="both"/>
      </w:pPr>
      <w:r w:rsidRPr="00EA3EF4">
        <w:t>Responses to the Likert-scale items were coded as Strongly Agree (5), Agree (4), Neutral (3), Disagree (2), and Strongly Disagree (1). These responses were used to describe the perceived impacts of climate change on food crop production across the three LGAs, as summarized in Table 1.</w:t>
      </w:r>
    </w:p>
    <w:p w14:paraId="049E0036" w14:textId="77777777" w:rsidR="00E97D29" w:rsidRPr="00EA3EF4" w:rsidRDefault="00E97D29" w:rsidP="00896808">
      <w:pPr>
        <w:pStyle w:val="NormalWeb"/>
        <w:spacing w:before="0" w:beforeAutospacing="0" w:after="0" w:afterAutospacing="0" w:line="276" w:lineRule="auto"/>
        <w:rPr>
          <w:sz w:val="18"/>
        </w:rPr>
      </w:pPr>
    </w:p>
    <w:p w14:paraId="3C7AC70C"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1: Mean Scores of Climate Change Impact Indicators by LGA</w:t>
      </w:r>
    </w:p>
    <w:tbl>
      <w:tblPr>
        <w:tblStyle w:val="LightShading"/>
        <w:tblW w:w="7958" w:type="dxa"/>
        <w:tblLook w:val="0720" w:firstRow="1" w:lastRow="0" w:firstColumn="0" w:lastColumn="1" w:noHBand="1" w:noVBand="1"/>
      </w:tblPr>
      <w:tblGrid>
        <w:gridCol w:w="3918"/>
        <w:gridCol w:w="1793"/>
        <w:gridCol w:w="1115"/>
        <w:gridCol w:w="1132"/>
      </w:tblGrid>
      <w:tr w:rsidR="00E97D29" w:rsidRPr="009C234A" w14:paraId="64ED7D46" w14:textId="77777777" w:rsidTr="00EA3EF4">
        <w:trPr>
          <w:cnfStyle w:val="100000000000" w:firstRow="1" w:lastRow="0" w:firstColumn="0" w:lastColumn="0" w:oddVBand="0" w:evenVBand="0" w:oddHBand="0" w:evenHBand="0" w:firstRowFirstColumn="0" w:firstRowLastColumn="0" w:lastRowFirstColumn="0" w:lastRowLastColumn="0"/>
          <w:trHeight w:val="318"/>
        </w:trPr>
        <w:tc>
          <w:tcPr>
            <w:tcW w:w="0" w:type="auto"/>
            <w:hideMark/>
          </w:tcPr>
          <w:p w14:paraId="4D32F060"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Indicator</w:t>
            </w:r>
          </w:p>
        </w:tc>
        <w:tc>
          <w:tcPr>
            <w:tcW w:w="0" w:type="auto"/>
            <w:hideMark/>
          </w:tcPr>
          <w:p w14:paraId="363C649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Mubi North</w:t>
            </w:r>
          </w:p>
        </w:tc>
        <w:tc>
          <w:tcPr>
            <w:tcW w:w="0" w:type="auto"/>
            <w:hideMark/>
          </w:tcPr>
          <w:p w14:paraId="45ED081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Ganye</w:t>
            </w:r>
          </w:p>
        </w:tc>
        <w:tc>
          <w:tcPr>
            <w:cnfStyle w:val="000100000000" w:firstRow="0" w:lastRow="0" w:firstColumn="0" w:lastColumn="1" w:oddVBand="0" w:evenVBand="0" w:oddHBand="0" w:evenHBand="0" w:firstRowFirstColumn="0" w:firstRowLastColumn="0" w:lastRowFirstColumn="0" w:lastRowLastColumn="0"/>
            <w:tcW w:w="0" w:type="auto"/>
            <w:hideMark/>
          </w:tcPr>
          <w:p w14:paraId="315D575E"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color w:val="auto"/>
                <w:sz w:val="24"/>
                <w:szCs w:val="24"/>
              </w:rPr>
              <w:t>Fufore</w:t>
            </w:r>
            <w:proofErr w:type="spellEnd"/>
          </w:p>
        </w:tc>
      </w:tr>
      <w:tr w:rsidR="00E97D29" w:rsidRPr="009C234A" w14:paraId="3333995A" w14:textId="77777777" w:rsidTr="00EA3EF4">
        <w:trPr>
          <w:trHeight w:val="303"/>
        </w:trPr>
        <w:tc>
          <w:tcPr>
            <w:tcW w:w="0" w:type="auto"/>
            <w:hideMark/>
          </w:tcPr>
          <w:p w14:paraId="05EBD5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Unpredictable rainfall</w:t>
            </w:r>
          </w:p>
        </w:tc>
        <w:tc>
          <w:tcPr>
            <w:tcW w:w="0" w:type="auto"/>
            <w:hideMark/>
          </w:tcPr>
          <w:p w14:paraId="4360C48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3.90</w:t>
            </w:r>
          </w:p>
        </w:tc>
        <w:tc>
          <w:tcPr>
            <w:tcW w:w="0" w:type="auto"/>
            <w:hideMark/>
          </w:tcPr>
          <w:p w14:paraId="7260456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72549DB8"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3.76</w:t>
            </w:r>
          </w:p>
        </w:tc>
      </w:tr>
      <w:tr w:rsidR="00E97D29" w:rsidRPr="009C234A" w14:paraId="1F23AADA" w14:textId="77777777" w:rsidTr="00EA3EF4">
        <w:trPr>
          <w:trHeight w:val="303"/>
        </w:trPr>
        <w:tc>
          <w:tcPr>
            <w:tcW w:w="0" w:type="auto"/>
            <w:hideMark/>
          </w:tcPr>
          <w:p w14:paraId="5D8ECEC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drought frequency</w:t>
            </w:r>
          </w:p>
        </w:tc>
        <w:tc>
          <w:tcPr>
            <w:tcW w:w="0" w:type="auto"/>
            <w:hideMark/>
          </w:tcPr>
          <w:p w14:paraId="4A9EEA1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3.97</w:t>
            </w:r>
          </w:p>
        </w:tc>
        <w:tc>
          <w:tcPr>
            <w:tcW w:w="0" w:type="auto"/>
            <w:hideMark/>
          </w:tcPr>
          <w:p w14:paraId="4D87CA6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3.93</w:t>
            </w:r>
          </w:p>
        </w:tc>
        <w:tc>
          <w:tcPr>
            <w:cnfStyle w:val="000100000000" w:firstRow="0" w:lastRow="0" w:firstColumn="0" w:lastColumn="1" w:oddVBand="0" w:evenVBand="0" w:oddHBand="0" w:evenHBand="0" w:firstRowFirstColumn="0" w:firstRowLastColumn="0" w:lastRowFirstColumn="0" w:lastRowLastColumn="0"/>
            <w:tcW w:w="0" w:type="auto"/>
            <w:hideMark/>
          </w:tcPr>
          <w:p w14:paraId="6D6D8F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3.87</w:t>
            </w:r>
          </w:p>
        </w:tc>
      </w:tr>
      <w:tr w:rsidR="00E97D29" w:rsidRPr="009C234A" w14:paraId="3C51CF62" w14:textId="77777777" w:rsidTr="00EA3EF4">
        <w:trPr>
          <w:trHeight w:val="303"/>
        </w:trPr>
        <w:tc>
          <w:tcPr>
            <w:tcW w:w="0" w:type="auto"/>
            <w:hideMark/>
          </w:tcPr>
          <w:p w14:paraId="365E42D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Flooding affects farming</w:t>
            </w:r>
          </w:p>
        </w:tc>
        <w:tc>
          <w:tcPr>
            <w:tcW w:w="0" w:type="auto"/>
            <w:hideMark/>
          </w:tcPr>
          <w:p w14:paraId="5936FD2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3.54</w:t>
            </w:r>
          </w:p>
        </w:tc>
        <w:tc>
          <w:tcPr>
            <w:tcW w:w="0" w:type="auto"/>
            <w:hideMark/>
          </w:tcPr>
          <w:p w14:paraId="2D9BCE1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3.46</w:t>
            </w:r>
          </w:p>
        </w:tc>
        <w:tc>
          <w:tcPr>
            <w:cnfStyle w:val="000100000000" w:firstRow="0" w:lastRow="0" w:firstColumn="0" w:lastColumn="1" w:oddVBand="0" w:evenVBand="0" w:oddHBand="0" w:evenHBand="0" w:firstRowFirstColumn="0" w:firstRowLastColumn="0" w:lastRowFirstColumn="0" w:lastRowLastColumn="0"/>
            <w:tcW w:w="0" w:type="auto"/>
            <w:hideMark/>
          </w:tcPr>
          <w:p w14:paraId="4D3D1B6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3.53</w:t>
            </w:r>
          </w:p>
        </w:tc>
      </w:tr>
      <w:tr w:rsidR="00E97D29" w:rsidRPr="009C234A" w14:paraId="3162A186" w14:textId="77777777" w:rsidTr="00EA3EF4">
        <w:trPr>
          <w:trHeight w:val="303"/>
        </w:trPr>
        <w:tc>
          <w:tcPr>
            <w:tcW w:w="0" w:type="auto"/>
            <w:hideMark/>
          </w:tcPr>
          <w:p w14:paraId="298DB19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Reduced crop yields</w:t>
            </w:r>
          </w:p>
        </w:tc>
        <w:tc>
          <w:tcPr>
            <w:tcW w:w="0" w:type="auto"/>
            <w:hideMark/>
          </w:tcPr>
          <w:p w14:paraId="3BE23F7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3.62</w:t>
            </w:r>
          </w:p>
        </w:tc>
        <w:tc>
          <w:tcPr>
            <w:tcW w:w="0" w:type="auto"/>
            <w:hideMark/>
          </w:tcPr>
          <w:p w14:paraId="71A9F4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3.49</w:t>
            </w:r>
          </w:p>
        </w:tc>
        <w:tc>
          <w:tcPr>
            <w:cnfStyle w:val="000100000000" w:firstRow="0" w:lastRow="0" w:firstColumn="0" w:lastColumn="1" w:oddVBand="0" w:evenVBand="0" w:oddHBand="0" w:evenHBand="0" w:firstRowFirstColumn="0" w:firstRowLastColumn="0" w:lastRowFirstColumn="0" w:lastRowLastColumn="0"/>
            <w:tcW w:w="0" w:type="auto"/>
            <w:hideMark/>
          </w:tcPr>
          <w:p w14:paraId="2013C4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3.60</w:t>
            </w:r>
          </w:p>
        </w:tc>
      </w:tr>
      <w:tr w:rsidR="00E97D29" w:rsidRPr="009C234A" w14:paraId="2FB8E1D3" w14:textId="77777777" w:rsidTr="00EA3EF4">
        <w:trPr>
          <w:trHeight w:val="303"/>
        </w:trPr>
        <w:tc>
          <w:tcPr>
            <w:tcW w:w="0" w:type="auto"/>
            <w:hideMark/>
          </w:tcPr>
          <w:p w14:paraId="2FDB600E"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Soil degradation</w:t>
            </w:r>
          </w:p>
        </w:tc>
        <w:tc>
          <w:tcPr>
            <w:tcW w:w="0" w:type="auto"/>
            <w:hideMark/>
          </w:tcPr>
          <w:p w14:paraId="0E00D2C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3.89</w:t>
            </w:r>
          </w:p>
        </w:tc>
        <w:tc>
          <w:tcPr>
            <w:tcW w:w="0" w:type="auto"/>
            <w:hideMark/>
          </w:tcPr>
          <w:p w14:paraId="50A2E00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3.60</w:t>
            </w:r>
          </w:p>
        </w:tc>
        <w:tc>
          <w:tcPr>
            <w:cnfStyle w:val="000100000000" w:firstRow="0" w:lastRow="0" w:firstColumn="0" w:lastColumn="1" w:oddVBand="0" w:evenVBand="0" w:oddHBand="0" w:evenHBand="0" w:firstRowFirstColumn="0" w:firstRowLastColumn="0" w:lastRowFirstColumn="0" w:lastRowLastColumn="0"/>
            <w:tcW w:w="0" w:type="auto"/>
            <w:hideMark/>
          </w:tcPr>
          <w:p w14:paraId="13794E2D"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3.92</w:t>
            </w:r>
          </w:p>
        </w:tc>
      </w:tr>
      <w:tr w:rsidR="00E97D29" w:rsidRPr="009C234A" w14:paraId="453297E1" w14:textId="77777777" w:rsidTr="00EA3EF4">
        <w:trPr>
          <w:trHeight w:val="303"/>
        </w:trPr>
        <w:tc>
          <w:tcPr>
            <w:tcW w:w="0" w:type="auto"/>
            <w:hideMark/>
          </w:tcPr>
          <w:p w14:paraId="62BC2E7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Rain-fed dependence</w:t>
            </w:r>
          </w:p>
        </w:tc>
        <w:tc>
          <w:tcPr>
            <w:tcW w:w="0" w:type="auto"/>
            <w:hideMark/>
          </w:tcPr>
          <w:p w14:paraId="684EC0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4.21</w:t>
            </w:r>
          </w:p>
        </w:tc>
        <w:tc>
          <w:tcPr>
            <w:tcW w:w="0" w:type="auto"/>
            <w:hideMark/>
          </w:tcPr>
          <w:p w14:paraId="303FB11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1679440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4.31</w:t>
            </w:r>
          </w:p>
        </w:tc>
      </w:tr>
      <w:tr w:rsidR="00E97D29" w:rsidRPr="009C234A" w14:paraId="71FC2E82" w14:textId="77777777" w:rsidTr="00EA3EF4">
        <w:trPr>
          <w:trHeight w:val="303"/>
        </w:trPr>
        <w:tc>
          <w:tcPr>
            <w:tcW w:w="0" w:type="auto"/>
            <w:hideMark/>
          </w:tcPr>
          <w:p w14:paraId="40F971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Lower yields than past</w:t>
            </w:r>
          </w:p>
        </w:tc>
        <w:tc>
          <w:tcPr>
            <w:tcW w:w="0" w:type="auto"/>
            <w:hideMark/>
          </w:tcPr>
          <w:p w14:paraId="3C82130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4.07</w:t>
            </w:r>
          </w:p>
        </w:tc>
        <w:tc>
          <w:tcPr>
            <w:tcW w:w="0" w:type="auto"/>
            <w:hideMark/>
          </w:tcPr>
          <w:p w14:paraId="6520F3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3C3C57A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4.16</w:t>
            </w:r>
          </w:p>
        </w:tc>
      </w:tr>
      <w:tr w:rsidR="00E97D29" w:rsidRPr="009C234A" w14:paraId="1A1DDDF0" w14:textId="77777777" w:rsidTr="00EA3EF4">
        <w:trPr>
          <w:trHeight w:val="303"/>
        </w:trPr>
        <w:tc>
          <w:tcPr>
            <w:tcW w:w="0" w:type="auto"/>
            <w:hideMark/>
          </w:tcPr>
          <w:p w14:paraId="729126F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Declined soil fertility</w:t>
            </w:r>
          </w:p>
        </w:tc>
        <w:tc>
          <w:tcPr>
            <w:tcW w:w="0" w:type="auto"/>
            <w:hideMark/>
          </w:tcPr>
          <w:p w14:paraId="458FACD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4.13</w:t>
            </w:r>
          </w:p>
        </w:tc>
        <w:tc>
          <w:tcPr>
            <w:tcW w:w="0" w:type="auto"/>
            <w:hideMark/>
          </w:tcPr>
          <w:p w14:paraId="33E5897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4.20</w:t>
            </w:r>
          </w:p>
        </w:tc>
        <w:tc>
          <w:tcPr>
            <w:cnfStyle w:val="000100000000" w:firstRow="0" w:lastRow="0" w:firstColumn="0" w:lastColumn="1" w:oddVBand="0" w:evenVBand="0" w:oddHBand="0" w:evenHBand="0" w:firstRowFirstColumn="0" w:firstRowLastColumn="0" w:lastRowFirstColumn="0" w:lastRowLastColumn="0"/>
            <w:tcW w:w="0" w:type="auto"/>
            <w:hideMark/>
          </w:tcPr>
          <w:p w14:paraId="07D8902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4.19</w:t>
            </w:r>
          </w:p>
        </w:tc>
      </w:tr>
      <w:tr w:rsidR="00E97D29" w:rsidRPr="009C234A" w14:paraId="4BCF878D" w14:textId="77777777" w:rsidTr="00EA3EF4">
        <w:trPr>
          <w:trHeight w:val="303"/>
        </w:trPr>
        <w:tc>
          <w:tcPr>
            <w:tcW w:w="0" w:type="auto"/>
            <w:hideMark/>
          </w:tcPr>
          <w:p w14:paraId="06D8108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Delayed rainy season</w:t>
            </w:r>
          </w:p>
        </w:tc>
        <w:tc>
          <w:tcPr>
            <w:tcW w:w="0" w:type="auto"/>
            <w:hideMark/>
          </w:tcPr>
          <w:p w14:paraId="29FE40A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3.82</w:t>
            </w:r>
          </w:p>
        </w:tc>
        <w:tc>
          <w:tcPr>
            <w:tcW w:w="0" w:type="auto"/>
            <w:hideMark/>
          </w:tcPr>
          <w:p w14:paraId="1A029F4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3.78</w:t>
            </w:r>
          </w:p>
        </w:tc>
        <w:tc>
          <w:tcPr>
            <w:cnfStyle w:val="000100000000" w:firstRow="0" w:lastRow="0" w:firstColumn="0" w:lastColumn="1" w:oddVBand="0" w:evenVBand="0" w:oddHBand="0" w:evenHBand="0" w:firstRowFirstColumn="0" w:firstRowLastColumn="0" w:lastRowFirstColumn="0" w:lastRowLastColumn="0"/>
            <w:tcW w:w="0" w:type="auto"/>
            <w:hideMark/>
          </w:tcPr>
          <w:p w14:paraId="71A46BF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3.63</w:t>
            </w:r>
          </w:p>
        </w:tc>
      </w:tr>
      <w:tr w:rsidR="00E97D29" w:rsidRPr="009C234A" w14:paraId="1A297572" w14:textId="77777777" w:rsidTr="00EA3EF4">
        <w:trPr>
          <w:trHeight w:val="303"/>
        </w:trPr>
        <w:tc>
          <w:tcPr>
            <w:tcW w:w="0" w:type="auto"/>
            <w:hideMark/>
          </w:tcPr>
          <w:p w14:paraId="7390005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temperature</w:t>
            </w:r>
          </w:p>
        </w:tc>
        <w:tc>
          <w:tcPr>
            <w:tcW w:w="0" w:type="auto"/>
            <w:hideMark/>
          </w:tcPr>
          <w:p w14:paraId="766AEF4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3.87</w:t>
            </w:r>
          </w:p>
        </w:tc>
        <w:tc>
          <w:tcPr>
            <w:tcW w:w="0" w:type="auto"/>
            <w:hideMark/>
          </w:tcPr>
          <w:p w14:paraId="7F6BAFE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3.70</w:t>
            </w:r>
          </w:p>
        </w:tc>
        <w:tc>
          <w:tcPr>
            <w:cnfStyle w:val="000100000000" w:firstRow="0" w:lastRow="0" w:firstColumn="0" w:lastColumn="1" w:oddVBand="0" w:evenVBand="0" w:oddHBand="0" w:evenHBand="0" w:firstRowFirstColumn="0" w:firstRowLastColumn="0" w:lastRowFirstColumn="0" w:lastRowLastColumn="0"/>
            <w:tcW w:w="0" w:type="auto"/>
            <w:hideMark/>
          </w:tcPr>
          <w:p w14:paraId="6147CA5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3.64</w:t>
            </w:r>
          </w:p>
        </w:tc>
      </w:tr>
      <w:tr w:rsidR="00E97D29" w:rsidRPr="009C234A" w14:paraId="32147344" w14:textId="77777777" w:rsidTr="00EA3EF4">
        <w:trPr>
          <w:trHeight w:val="318"/>
        </w:trPr>
        <w:tc>
          <w:tcPr>
            <w:tcW w:w="0" w:type="auto"/>
            <w:hideMark/>
          </w:tcPr>
          <w:p w14:paraId="438B5F1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lastRenderedPageBreak/>
              <w:t>Increased flood events</w:t>
            </w:r>
          </w:p>
        </w:tc>
        <w:tc>
          <w:tcPr>
            <w:tcW w:w="0" w:type="auto"/>
            <w:hideMark/>
          </w:tcPr>
          <w:p w14:paraId="54CBFCE6"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3.41</w:t>
            </w:r>
          </w:p>
        </w:tc>
        <w:tc>
          <w:tcPr>
            <w:tcW w:w="0" w:type="auto"/>
            <w:hideMark/>
          </w:tcPr>
          <w:p w14:paraId="30B1F3F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3.53</w:t>
            </w:r>
          </w:p>
        </w:tc>
        <w:tc>
          <w:tcPr>
            <w:cnfStyle w:val="000100000000" w:firstRow="0" w:lastRow="0" w:firstColumn="0" w:lastColumn="1" w:oddVBand="0" w:evenVBand="0" w:oddHBand="0" w:evenHBand="0" w:firstRowFirstColumn="0" w:firstRowLastColumn="0" w:lastRowFirstColumn="0" w:lastRowLastColumn="0"/>
            <w:tcW w:w="0" w:type="auto"/>
            <w:hideMark/>
          </w:tcPr>
          <w:p w14:paraId="35E8767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3.51</w:t>
            </w:r>
          </w:p>
        </w:tc>
      </w:tr>
    </w:tbl>
    <w:p w14:paraId="5596C39B" w14:textId="77777777" w:rsidR="00E97D29" w:rsidRPr="00A32256" w:rsidRDefault="00E97D29" w:rsidP="00896808">
      <w:pPr>
        <w:pStyle w:val="NormalWeb"/>
        <w:spacing w:before="0" w:beforeAutospacing="0" w:after="0" w:afterAutospacing="0" w:line="276" w:lineRule="auto"/>
        <w:jc w:val="both"/>
        <w:rPr>
          <w:rStyle w:val="Emphasis"/>
          <w:i w:val="0"/>
        </w:rPr>
      </w:pPr>
      <w:r w:rsidRPr="00A32256">
        <w:rPr>
          <w:rStyle w:val="Emphasis"/>
          <w:i w:val="0"/>
        </w:rPr>
        <w:t xml:space="preserve">       </w:t>
      </w:r>
      <w:r>
        <w:rPr>
          <w:rStyle w:val="Emphasis"/>
          <w:i w:val="0"/>
        </w:rPr>
        <w:t>Source: Field</w:t>
      </w:r>
      <w:r w:rsidRPr="00A32256">
        <w:rPr>
          <w:rStyle w:val="Emphasis"/>
          <w:i w:val="0"/>
        </w:rPr>
        <w:t xml:space="preserve"> Survey (2025)</w:t>
      </w:r>
    </w:p>
    <w:p w14:paraId="13DAEB3A" w14:textId="77777777" w:rsidR="00E97D29" w:rsidRDefault="00E97D29" w:rsidP="00896808">
      <w:pPr>
        <w:pStyle w:val="NormalWeb"/>
        <w:spacing w:before="0" w:beforeAutospacing="0" w:after="0" w:afterAutospacing="0" w:line="276" w:lineRule="auto"/>
        <w:jc w:val="both"/>
      </w:pPr>
    </w:p>
    <w:p w14:paraId="507EC259" w14:textId="77777777" w:rsidR="00E97D29" w:rsidRPr="009C234A" w:rsidRDefault="00E97D29" w:rsidP="00896808">
      <w:pPr>
        <w:pStyle w:val="NormalWeb"/>
        <w:spacing w:before="0" w:beforeAutospacing="0" w:after="0" w:afterAutospacing="0" w:line="276" w:lineRule="auto"/>
        <w:jc w:val="both"/>
      </w:pPr>
      <w:r>
        <w:t xml:space="preserve">The </w:t>
      </w:r>
      <w:r w:rsidRPr="009C234A">
        <w:t xml:space="preserve">mean scores for all indicators </w:t>
      </w:r>
      <w:r>
        <w:t xml:space="preserve">across the three LGAs </w:t>
      </w:r>
      <w:r w:rsidRPr="009C234A">
        <w:t>exceeded the benchmark value of 3.00, indicating widespread agreement that climate variability and change have negatively affected food crop production. Declining soil fertility, lower crop yields, and high dependence on rain-fed agriculture emerged as the most severe impacts.</w:t>
      </w:r>
    </w:p>
    <w:p w14:paraId="29F2A59A" w14:textId="77777777" w:rsidR="00E97D29" w:rsidRPr="009C234A" w:rsidRDefault="00E97D29" w:rsidP="00896808">
      <w:pPr>
        <w:spacing w:after="0"/>
        <w:jc w:val="both"/>
        <w:rPr>
          <w:rFonts w:ascii="Times New Roman" w:eastAsia="Times New Roman" w:hAnsi="Times New Roman" w:cs="Times New Roman"/>
          <w:sz w:val="24"/>
          <w:szCs w:val="24"/>
        </w:rPr>
      </w:pPr>
    </w:p>
    <w:p w14:paraId="5CC7D38B" w14:textId="77777777" w:rsidR="00E97D29" w:rsidRPr="009C234A" w:rsidRDefault="00380FB8" w:rsidP="00896808">
      <w:pPr>
        <w:pStyle w:val="Heading2"/>
        <w:spacing w:before="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3.3.1</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 xml:space="preserve"> Composite Climate Change Impact Index (CCII) Across LGAs</w:t>
      </w:r>
    </w:p>
    <w:p w14:paraId="790B6A16" w14:textId="77777777" w:rsidR="00E97D29" w:rsidRPr="009C234A" w:rsidRDefault="00E97D29" w:rsidP="00896808">
      <w:pPr>
        <w:pStyle w:val="NormalWeb"/>
        <w:spacing w:before="0" w:beforeAutospacing="0" w:line="276" w:lineRule="auto"/>
        <w:jc w:val="both"/>
      </w:pPr>
      <w:r w:rsidRPr="009C234A">
        <w:t xml:space="preserve">The Composite Climate Change Impact Index (CCII) was constructed from eleven climate-related indicators capturing changes in rainfall patterns, drought occurrence, flooding, temperature increase, soil fertility decline, and crop yield reduction. Mean CCII values varied across the three Local Government Areas, indicating spatial differences in perceived climate change impacts. </w:t>
      </w:r>
      <w:proofErr w:type="spellStart"/>
      <w:r w:rsidRPr="009C234A">
        <w:t>Fufore</w:t>
      </w:r>
      <w:proofErr w:type="spellEnd"/>
      <w:r w:rsidRPr="009C234A">
        <w:t xml:space="preserve"> </w:t>
      </w:r>
      <w:r>
        <w:t xml:space="preserve">recorded the highest mean CCII of </w:t>
      </w:r>
      <w:r w:rsidRPr="009C234A">
        <w:t xml:space="preserve">3.92), followed by Mubi North </w:t>
      </w:r>
      <w:r>
        <w:t>with 3.88</w:t>
      </w:r>
      <w:r w:rsidRPr="009C234A">
        <w:t xml:space="preserve">, while Ganye </w:t>
      </w:r>
      <w:r>
        <w:t>recorded the lowest mean value of 3.74 (see Table 2)</w:t>
      </w:r>
      <w:r w:rsidRPr="009C234A">
        <w:t>. The overall mean CCII across the study area was 3.85, suggesting a generally high level of climate change impact on food crop production.</w:t>
      </w:r>
    </w:p>
    <w:p w14:paraId="45F1D217"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69159F2F" w14:textId="77777777" w:rsidR="00E97D29" w:rsidRPr="009C234A" w:rsidRDefault="00E97D29"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DDA0485" wp14:editId="4FEC1B1D">
                <wp:simplePos x="0" y="0"/>
                <wp:positionH relativeFrom="column">
                  <wp:posOffset>1057572</wp:posOffset>
                </wp:positionH>
                <wp:positionV relativeFrom="paragraph">
                  <wp:posOffset>210820</wp:posOffset>
                </wp:positionV>
                <wp:extent cx="67881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2616D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7D88BE50" w14:textId="77777777" w:rsidR="00E97D29" w:rsidRPr="009C234A" w:rsidRDefault="00E97D29" w:rsidP="00896808">
      <w:pPr>
        <w:spacing w:after="0"/>
        <w:rPr>
          <w:rStyle w:val="HTMLCode"/>
          <w:rFonts w:ascii="Times New Roman" w:eastAsiaTheme="minorHAnsi"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01FA0704" w14:textId="77777777" w:rsidR="00E97D29" w:rsidRDefault="00E97D29" w:rsidP="00896808">
      <w:pPr>
        <w:pStyle w:val="Heading3"/>
        <w:spacing w:before="0"/>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 xml:space="preserve">   </w:t>
      </w:r>
    </w:p>
    <w:p w14:paraId="6FEBD2FB"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9C234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2: Composite Climate Change Impact Index by LGA</w:t>
      </w:r>
    </w:p>
    <w:tbl>
      <w:tblPr>
        <w:tblStyle w:val="LightShading"/>
        <w:tblW w:w="7560" w:type="dxa"/>
        <w:tblLook w:val="0720" w:firstRow="1" w:lastRow="0" w:firstColumn="0" w:lastColumn="1" w:noHBand="1" w:noVBand="1"/>
      </w:tblPr>
      <w:tblGrid>
        <w:gridCol w:w="2867"/>
        <w:gridCol w:w="1472"/>
        <w:gridCol w:w="3221"/>
      </w:tblGrid>
      <w:tr w:rsidR="00E97D29" w:rsidRPr="009C234A" w14:paraId="1FC039FA" w14:textId="77777777" w:rsidTr="00EA3EF4">
        <w:trPr>
          <w:cnfStyle w:val="100000000000" w:firstRow="1" w:lastRow="0" w:firstColumn="0" w:lastColumn="0" w:oddVBand="0" w:evenVBand="0" w:oddHBand="0" w:evenHBand="0" w:firstRowFirstColumn="0" w:firstRowLastColumn="0" w:lastRowFirstColumn="0" w:lastRowLastColumn="0"/>
          <w:trHeight w:val="339"/>
        </w:trPr>
        <w:tc>
          <w:tcPr>
            <w:tcW w:w="0" w:type="auto"/>
            <w:hideMark/>
          </w:tcPr>
          <w:p w14:paraId="4509DFA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26D697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CCII</w:t>
            </w:r>
          </w:p>
        </w:tc>
        <w:tc>
          <w:tcPr>
            <w:cnfStyle w:val="000100000000" w:firstRow="0" w:lastRow="0" w:firstColumn="0" w:lastColumn="1" w:oddVBand="0" w:evenVBand="0" w:oddHBand="0" w:evenHBand="0" w:firstRowFirstColumn="0" w:firstRowLastColumn="0" w:lastRowFirstColumn="0" w:lastRowLastColumn="0"/>
            <w:tcW w:w="0" w:type="auto"/>
            <w:hideMark/>
          </w:tcPr>
          <w:p w14:paraId="116D0E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00505206" w14:textId="77777777" w:rsidTr="00EA3EF4">
        <w:trPr>
          <w:trHeight w:val="323"/>
        </w:trPr>
        <w:tc>
          <w:tcPr>
            <w:tcW w:w="0" w:type="auto"/>
            <w:hideMark/>
          </w:tcPr>
          <w:p w14:paraId="2C7CE2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0" w:type="auto"/>
            <w:hideMark/>
          </w:tcPr>
          <w:p w14:paraId="4E1C11F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25E9403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3B3EF30B" w14:textId="77777777" w:rsidTr="00EA3EF4">
        <w:trPr>
          <w:trHeight w:val="323"/>
        </w:trPr>
        <w:tc>
          <w:tcPr>
            <w:tcW w:w="0" w:type="auto"/>
            <w:hideMark/>
          </w:tcPr>
          <w:p w14:paraId="246768D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0" w:type="auto"/>
            <w:hideMark/>
          </w:tcPr>
          <w:p w14:paraId="2E2D4CC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3.74</w:t>
            </w:r>
          </w:p>
        </w:tc>
        <w:tc>
          <w:tcPr>
            <w:cnfStyle w:val="000100000000" w:firstRow="0" w:lastRow="0" w:firstColumn="0" w:lastColumn="1" w:oddVBand="0" w:evenVBand="0" w:oddHBand="0" w:evenHBand="0" w:firstRowFirstColumn="0" w:firstRowLastColumn="0" w:lastRowFirstColumn="0" w:lastRowLastColumn="0"/>
            <w:tcW w:w="0" w:type="auto"/>
            <w:hideMark/>
          </w:tcPr>
          <w:p w14:paraId="1AE76C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021ADBCB" w14:textId="77777777" w:rsidTr="00EA3EF4">
        <w:trPr>
          <w:trHeight w:val="323"/>
        </w:trPr>
        <w:tc>
          <w:tcPr>
            <w:tcW w:w="0" w:type="auto"/>
            <w:hideMark/>
          </w:tcPr>
          <w:p w14:paraId="78FEBA5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proofErr w:type="spellStart"/>
            <w:r w:rsidRPr="00EA3EF4">
              <w:rPr>
                <w:rFonts w:ascii="Times New Roman" w:eastAsia="Times New Roman" w:hAnsi="Times New Roman" w:cs="Times New Roman"/>
                <w:color w:val="auto"/>
                <w:sz w:val="24"/>
                <w:szCs w:val="24"/>
              </w:rPr>
              <w:t>Fufore</w:t>
            </w:r>
            <w:proofErr w:type="spellEnd"/>
          </w:p>
        </w:tc>
        <w:tc>
          <w:tcPr>
            <w:tcW w:w="0" w:type="auto"/>
            <w:hideMark/>
          </w:tcPr>
          <w:p w14:paraId="5F3EC70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0665953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5B6EA8AD"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Style w:val="Emphasis"/>
          <w:rFonts w:ascii="Times New Roman" w:hAnsi="Times New Roman" w:cs="Times New Roman"/>
          <w:b w:val="0"/>
          <w:i w:val="0"/>
          <w:color w:val="auto"/>
          <w:sz w:val="24"/>
        </w:rPr>
        <w:t>Source: Field Survey (2025)</w:t>
      </w:r>
    </w:p>
    <w:p w14:paraId="3F49DBF4" w14:textId="77777777" w:rsidR="00E97D29" w:rsidRDefault="00E97D29" w:rsidP="00896808">
      <w:pPr>
        <w:pStyle w:val="NormalWeb"/>
        <w:spacing w:before="0" w:beforeAutospacing="0" w:after="0" w:afterAutospacing="0" w:line="276" w:lineRule="auto"/>
        <w:jc w:val="both"/>
      </w:pPr>
    </w:p>
    <w:p w14:paraId="0F87E7BA" w14:textId="77777777" w:rsidR="00E97D29" w:rsidRDefault="00E97D29" w:rsidP="00896808">
      <w:pPr>
        <w:pStyle w:val="NormalWeb"/>
        <w:spacing w:before="0" w:beforeAutospacing="0" w:after="0" w:afterAutospacing="0" w:line="276" w:lineRule="auto"/>
        <w:jc w:val="both"/>
        <w:rPr>
          <w:b/>
        </w:rPr>
      </w:pPr>
      <w:r w:rsidRPr="009C234A">
        <w:t xml:space="preserve">All three LGAs experience </w:t>
      </w:r>
      <w:r w:rsidRPr="009C234A">
        <w:rPr>
          <w:rStyle w:val="Strong"/>
          <w:b w:val="0"/>
        </w:rPr>
        <w:t>high climate change impacts</w:t>
      </w:r>
      <w:r w:rsidRPr="009C234A">
        <w:t xml:space="preserve">, with </w:t>
      </w:r>
      <w:proofErr w:type="spellStart"/>
      <w:r w:rsidRPr="009C234A">
        <w:rPr>
          <w:rStyle w:val="Strong"/>
          <w:b w:val="0"/>
        </w:rPr>
        <w:t>Fufore</w:t>
      </w:r>
      <w:proofErr w:type="spellEnd"/>
      <w:r w:rsidRPr="009C234A">
        <w:t xml:space="preserve"> recording the highest CCII, followed closely by </w:t>
      </w:r>
      <w:r w:rsidRPr="009C234A">
        <w:rPr>
          <w:rStyle w:val="Strong"/>
          <w:b w:val="0"/>
        </w:rPr>
        <w:t>Mubi North</w:t>
      </w:r>
      <w:r w:rsidRPr="009C234A">
        <w:rPr>
          <w:b/>
        </w:rPr>
        <w:t>.</w:t>
      </w:r>
    </w:p>
    <w:p w14:paraId="6BD17401" w14:textId="77777777" w:rsidR="00E97D29" w:rsidRPr="00A32256" w:rsidRDefault="00E97D29" w:rsidP="00896808">
      <w:pPr>
        <w:pStyle w:val="NormalWeb"/>
        <w:spacing w:before="0" w:beforeAutospacing="0" w:after="0" w:afterAutospacing="0" w:line="276" w:lineRule="auto"/>
        <w:jc w:val="both"/>
        <w:rPr>
          <w:sz w:val="18"/>
        </w:rPr>
      </w:pPr>
    </w:p>
    <w:p w14:paraId="5D5C355C" w14:textId="77777777" w:rsidR="00E97D29" w:rsidRDefault="00380FB8"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3.3.2</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Rural Livelihood Impact Index (RLII)</w:t>
      </w:r>
    </w:p>
    <w:p w14:paraId="3577F2F3" w14:textId="77777777" w:rsidR="00E97D29" w:rsidRPr="00A32256" w:rsidRDefault="00E97D29" w:rsidP="00896808">
      <w:pPr>
        <w:spacing w:after="0"/>
        <w:rPr>
          <w:sz w:val="6"/>
        </w:rPr>
      </w:pPr>
    </w:p>
    <w:p w14:paraId="55B016A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Rural Livelihood Impact Index (RLII)</w:t>
      </w:r>
      <w:r w:rsidRPr="009C234A">
        <w:t xml:space="preserve"> was constructed from income reduction, foo</w:t>
      </w:r>
      <w:r>
        <w:t xml:space="preserve">d shortages, and vulnerability that cut across the three LGAs in Adamawa State. </w:t>
      </w:r>
      <w:r w:rsidRPr="009C234A">
        <w:t>Live</w:t>
      </w:r>
      <w:r>
        <w:t xml:space="preserve">lihood impacts were substantial across all LGAs. </w:t>
      </w:r>
      <w:proofErr w:type="spellStart"/>
      <w:r>
        <w:t>Mubi</w:t>
      </w:r>
      <w:proofErr w:type="spellEnd"/>
      <w:r>
        <w:t xml:space="preserve"> North and </w:t>
      </w:r>
      <w:proofErr w:type="spellStart"/>
      <w:r>
        <w:t>Furfore</w:t>
      </w:r>
      <w:proofErr w:type="spellEnd"/>
      <w:r>
        <w:t xml:space="preserve"> recorded high impacts while  </w:t>
      </w:r>
      <w:r w:rsidRPr="009C234A">
        <w:t xml:space="preserve"> </w:t>
      </w:r>
      <w:r w:rsidRPr="009C234A">
        <w:rPr>
          <w:rStyle w:val="Strong"/>
          <w:b w:val="0"/>
        </w:rPr>
        <w:t>Ganye recorded relatively lower livelihood stress</w:t>
      </w:r>
      <w:r w:rsidRPr="009C234A">
        <w:rPr>
          <w:b/>
        </w:rPr>
        <w:t xml:space="preserve">, </w:t>
      </w:r>
      <w:r w:rsidRPr="009C234A">
        <w:t>su</w:t>
      </w:r>
      <w:r>
        <w:t>ggesting better coping capacity as shown in Table 3.</w:t>
      </w:r>
    </w:p>
    <w:p w14:paraId="5F624F0C" w14:textId="77777777" w:rsidR="00E97D29" w:rsidRPr="00D009FE" w:rsidRDefault="00E97D29" w:rsidP="00896808">
      <w:pPr>
        <w:pStyle w:val="NormalWeb"/>
        <w:spacing w:before="0" w:beforeAutospacing="0" w:after="0" w:afterAutospacing="0" w:line="276" w:lineRule="auto"/>
        <w:jc w:val="both"/>
      </w:pPr>
      <w:r>
        <w:rPr>
          <w:rFonts w:eastAsia="Times New Roman"/>
        </w:rPr>
        <w:t xml:space="preserve">  </w:t>
      </w:r>
    </w:p>
    <w:p w14:paraId="597F70A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lastRenderedPageBreak/>
        <w:t xml:space="preserve">  </w:t>
      </w:r>
      <w:r w:rsidRPr="00A32256">
        <w:rPr>
          <w:rFonts w:ascii="Times New Roman" w:eastAsia="Times New Roman" w:hAnsi="Times New Roman" w:cs="Times New Roman"/>
          <w:b w:val="0"/>
          <w:color w:val="auto"/>
          <w:sz w:val="24"/>
          <w:szCs w:val="24"/>
        </w:rPr>
        <w:t>Table 3: Rural Livelihood Impact Index by LGA</w:t>
      </w:r>
    </w:p>
    <w:tbl>
      <w:tblPr>
        <w:tblStyle w:val="LightShading"/>
        <w:tblW w:w="7431" w:type="dxa"/>
        <w:tblLook w:val="0720" w:firstRow="1" w:lastRow="0" w:firstColumn="0" w:lastColumn="1" w:noHBand="1" w:noVBand="1"/>
      </w:tblPr>
      <w:tblGrid>
        <w:gridCol w:w="2698"/>
        <w:gridCol w:w="1359"/>
        <w:gridCol w:w="3374"/>
      </w:tblGrid>
      <w:tr w:rsidR="00E97D29" w:rsidRPr="009C234A" w14:paraId="10B6F8E9" w14:textId="77777777" w:rsidTr="00EA3EF4">
        <w:trPr>
          <w:cnfStyle w:val="100000000000" w:firstRow="1" w:lastRow="0" w:firstColumn="0" w:lastColumn="0" w:oddVBand="0" w:evenVBand="0" w:oddHBand="0" w:evenHBand="0" w:firstRowFirstColumn="0" w:firstRowLastColumn="0" w:lastRowFirstColumn="0" w:lastRowLastColumn="0"/>
          <w:trHeight w:val="344"/>
        </w:trPr>
        <w:tc>
          <w:tcPr>
            <w:tcW w:w="0" w:type="auto"/>
            <w:hideMark/>
          </w:tcPr>
          <w:p w14:paraId="091182B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7FD0B4B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RLII</w:t>
            </w:r>
          </w:p>
        </w:tc>
        <w:tc>
          <w:tcPr>
            <w:cnfStyle w:val="000100000000" w:firstRow="0" w:lastRow="0" w:firstColumn="0" w:lastColumn="1" w:oddVBand="0" w:evenVBand="0" w:oddHBand="0" w:evenHBand="0" w:firstRowFirstColumn="0" w:firstRowLastColumn="0" w:lastRowFirstColumn="0" w:lastRowLastColumn="0"/>
            <w:tcW w:w="0" w:type="auto"/>
            <w:hideMark/>
          </w:tcPr>
          <w:p w14:paraId="04B0E11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A55B397" w14:textId="77777777" w:rsidTr="00EA3EF4">
        <w:trPr>
          <w:trHeight w:val="327"/>
        </w:trPr>
        <w:tc>
          <w:tcPr>
            <w:tcW w:w="0" w:type="auto"/>
            <w:hideMark/>
          </w:tcPr>
          <w:p w14:paraId="5677AACE"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w:t>
            </w:r>
          </w:p>
        </w:tc>
        <w:tc>
          <w:tcPr>
            <w:tcW w:w="0" w:type="auto"/>
            <w:hideMark/>
          </w:tcPr>
          <w:p w14:paraId="47E08876"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3.63</w:t>
            </w:r>
          </w:p>
        </w:tc>
        <w:tc>
          <w:tcPr>
            <w:cnfStyle w:val="000100000000" w:firstRow="0" w:lastRow="0" w:firstColumn="0" w:lastColumn="1" w:oddVBand="0" w:evenVBand="0" w:oddHBand="0" w:evenHBand="0" w:firstRowFirstColumn="0" w:firstRowLastColumn="0" w:lastRowFirstColumn="0" w:lastRowLastColumn="0"/>
            <w:tcW w:w="0" w:type="auto"/>
            <w:hideMark/>
          </w:tcPr>
          <w:p w14:paraId="0BDFF8BA"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2336AF90" w14:textId="77777777" w:rsidTr="00EA3EF4">
        <w:trPr>
          <w:trHeight w:val="327"/>
        </w:trPr>
        <w:tc>
          <w:tcPr>
            <w:tcW w:w="0" w:type="auto"/>
            <w:hideMark/>
          </w:tcPr>
          <w:p w14:paraId="34D76E4A"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Ganye</w:t>
            </w:r>
          </w:p>
        </w:tc>
        <w:tc>
          <w:tcPr>
            <w:tcW w:w="0" w:type="auto"/>
            <w:hideMark/>
          </w:tcPr>
          <w:p w14:paraId="47AEDCD5"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3.21</w:t>
            </w:r>
          </w:p>
        </w:tc>
        <w:tc>
          <w:tcPr>
            <w:cnfStyle w:val="000100000000" w:firstRow="0" w:lastRow="0" w:firstColumn="0" w:lastColumn="1" w:oddVBand="0" w:evenVBand="0" w:oddHBand="0" w:evenHBand="0" w:firstRowFirstColumn="0" w:firstRowLastColumn="0" w:lastRowFirstColumn="0" w:lastRowLastColumn="0"/>
            <w:tcW w:w="0" w:type="auto"/>
            <w:hideMark/>
          </w:tcPr>
          <w:p w14:paraId="1A5AA9F4"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Moderate-High</w:t>
            </w:r>
          </w:p>
        </w:tc>
      </w:tr>
      <w:tr w:rsidR="00E97D29" w:rsidRPr="009C234A" w14:paraId="1AC7CBED" w14:textId="77777777" w:rsidTr="00EA3EF4">
        <w:trPr>
          <w:trHeight w:val="327"/>
        </w:trPr>
        <w:tc>
          <w:tcPr>
            <w:tcW w:w="0" w:type="auto"/>
            <w:hideMark/>
          </w:tcPr>
          <w:p w14:paraId="03F9EA74"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p>
        </w:tc>
        <w:tc>
          <w:tcPr>
            <w:tcW w:w="0" w:type="auto"/>
            <w:hideMark/>
          </w:tcPr>
          <w:p w14:paraId="25A40E07"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3.58</w:t>
            </w:r>
          </w:p>
        </w:tc>
        <w:tc>
          <w:tcPr>
            <w:cnfStyle w:val="000100000000" w:firstRow="0" w:lastRow="0" w:firstColumn="0" w:lastColumn="1" w:oddVBand="0" w:evenVBand="0" w:oddHBand="0" w:evenHBand="0" w:firstRowFirstColumn="0" w:firstRowLastColumn="0" w:lastRowFirstColumn="0" w:lastRowLastColumn="0"/>
            <w:tcW w:w="0" w:type="auto"/>
            <w:hideMark/>
          </w:tcPr>
          <w:p w14:paraId="21BAEA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7DE707BB" w14:textId="77777777" w:rsidR="00E97D29" w:rsidRDefault="00E97D29" w:rsidP="00896808">
      <w:pPr>
        <w:pStyle w:val="NormalWeb"/>
        <w:spacing w:before="0" w:beforeAutospacing="0" w:after="0" w:afterAutospacing="0" w:line="276" w:lineRule="auto"/>
        <w:jc w:val="both"/>
        <w:rPr>
          <w:rStyle w:val="Emphasis"/>
          <w:i w:val="0"/>
        </w:rPr>
      </w:pPr>
      <w:r>
        <w:t xml:space="preserve">      </w:t>
      </w:r>
      <w:r w:rsidRPr="00A32256">
        <w:rPr>
          <w:rStyle w:val="Emphasis"/>
          <w:i w:val="0"/>
        </w:rPr>
        <w:t>Source: Field Survey (2025)</w:t>
      </w:r>
    </w:p>
    <w:p w14:paraId="23207976" w14:textId="77777777" w:rsidR="00E97D29" w:rsidRPr="00A32256" w:rsidRDefault="00E97D29" w:rsidP="00896808">
      <w:pPr>
        <w:pStyle w:val="NormalWeb"/>
        <w:spacing w:before="0" w:beforeAutospacing="0" w:after="0" w:afterAutospacing="0" w:line="276" w:lineRule="auto"/>
        <w:jc w:val="both"/>
      </w:pPr>
    </w:p>
    <w:p w14:paraId="2FE06654" w14:textId="77777777" w:rsidR="00E97D29" w:rsidRPr="009C234A" w:rsidRDefault="00AD0EAA"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3.3.3</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Adaptation Strategy Index (ASI)</w:t>
      </w:r>
    </w:p>
    <w:p w14:paraId="4EC282C6" w14:textId="77777777" w:rsidR="00E97D29" w:rsidRPr="00A32256" w:rsidRDefault="00E97D29" w:rsidP="00896808">
      <w:pPr>
        <w:pStyle w:val="NormalWeb"/>
        <w:spacing w:before="0" w:beforeAutospacing="0" w:after="0" w:afterAutospacing="0" w:line="276" w:lineRule="auto"/>
        <w:jc w:val="both"/>
        <w:rPr>
          <w:sz w:val="10"/>
        </w:rPr>
      </w:pPr>
    </w:p>
    <w:p w14:paraId="171FD31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Adaptation Strategy Index (ASI)</w:t>
      </w:r>
      <w:r w:rsidRPr="009C234A">
        <w:t xml:space="preserve"> was derived from crop diversification, improved se</w:t>
      </w:r>
      <w:r>
        <w:t>eds, and livelihood diversification in the three LGAs of the State</w:t>
      </w:r>
      <w:r w:rsidRPr="009C234A">
        <w:t>.</w:t>
      </w:r>
      <w:r>
        <w:t xml:space="preserve"> </w:t>
      </w:r>
      <w:r w:rsidRPr="009C234A">
        <w:t>Ganye recorded the highest adaptation index</w:t>
      </w:r>
      <w:r>
        <w:t xml:space="preserve"> (see Table 4)</w:t>
      </w:r>
      <w:r w:rsidRPr="009C234A">
        <w:t>, indicating stronger uptake of climate-smart and livelihood diversification strategies.</w:t>
      </w:r>
    </w:p>
    <w:p w14:paraId="3AF258DF" w14:textId="77777777" w:rsidR="00E97D29" w:rsidRPr="009C234A" w:rsidRDefault="00E97D29" w:rsidP="00896808">
      <w:pPr>
        <w:pStyle w:val="NormalWeb"/>
        <w:spacing w:before="0" w:beforeAutospacing="0" w:after="0" w:afterAutospacing="0" w:line="276" w:lineRule="auto"/>
        <w:jc w:val="both"/>
      </w:pPr>
    </w:p>
    <w:p w14:paraId="7E48475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4: Adaptation Strategy Index by LGA</w:t>
      </w:r>
    </w:p>
    <w:tbl>
      <w:tblPr>
        <w:tblStyle w:val="LightShading"/>
        <w:tblW w:w="6995" w:type="dxa"/>
        <w:tblLook w:val="0720" w:firstRow="1" w:lastRow="0" w:firstColumn="0" w:lastColumn="1" w:noHBand="1" w:noVBand="1"/>
      </w:tblPr>
      <w:tblGrid>
        <w:gridCol w:w="2152"/>
        <w:gridCol w:w="1538"/>
        <w:gridCol w:w="3305"/>
      </w:tblGrid>
      <w:tr w:rsidR="00E97D29" w:rsidRPr="009C234A" w14:paraId="3E8C4E1E" w14:textId="77777777" w:rsidTr="00EA3EF4">
        <w:trPr>
          <w:cnfStyle w:val="100000000000" w:firstRow="1" w:lastRow="0" w:firstColumn="0" w:lastColumn="0" w:oddVBand="0" w:evenVBand="0" w:oddHBand="0" w:evenHBand="0" w:firstRowFirstColumn="0" w:firstRowLastColumn="0" w:lastRowFirstColumn="0" w:lastRowLastColumn="0"/>
          <w:trHeight w:val="349"/>
        </w:trPr>
        <w:tc>
          <w:tcPr>
            <w:tcW w:w="0" w:type="auto"/>
            <w:hideMark/>
          </w:tcPr>
          <w:p w14:paraId="35E5B6C3"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1538" w:type="dxa"/>
            <w:hideMark/>
          </w:tcPr>
          <w:p w14:paraId="48A12EE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ASI</w:t>
            </w:r>
          </w:p>
        </w:tc>
        <w:tc>
          <w:tcPr>
            <w:cnfStyle w:val="000100000000" w:firstRow="0" w:lastRow="0" w:firstColumn="0" w:lastColumn="1" w:oddVBand="0" w:evenVBand="0" w:oddHBand="0" w:evenHBand="0" w:firstRowFirstColumn="0" w:firstRowLastColumn="0" w:lastRowFirstColumn="0" w:lastRowLastColumn="0"/>
            <w:tcW w:w="0" w:type="auto"/>
            <w:hideMark/>
          </w:tcPr>
          <w:p w14:paraId="6A9057F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3922588" w14:textId="77777777" w:rsidTr="00EA3EF4">
        <w:trPr>
          <w:trHeight w:val="349"/>
        </w:trPr>
        <w:tc>
          <w:tcPr>
            <w:tcW w:w="0" w:type="auto"/>
            <w:hideMark/>
          </w:tcPr>
          <w:p w14:paraId="279D9A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1538" w:type="dxa"/>
            <w:hideMark/>
          </w:tcPr>
          <w:p w14:paraId="642EDDE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3.94</w:t>
            </w:r>
          </w:p>
        </w:tc>
        <w:tc>
          <w:tcPr>
            <w:cnfStyle w:val="000100000000" w:firstRow="0" w:lastRow="0" w:firstColumn="0" w:lastColumn="1" w:oddVBand="0" w:evenVBand="0" w:oddHBand="0" w:evenHBand="0" w:firstRowFirstColumn="0" w:firstRowLastColumn="0" w:lastRowFirstColumn="0" w:lastRowLastColumn="0"/>
            <w:tcW w:w="0" w:type="auto"/>
            <w:hideMark/>
          </w:tcPr>
          <w:p w14:paraId="75038855"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r w:rsidR="00E97D29" w:rsidRPr="009C234A" w14:paraId="47C16442" w14:textId="77777777" w:rsidTr="00EA3EF4">
        <w:trPr>
          <w:trHeight w:val="349"/>
        </w:trPr>
        <w:tc>
          <w:tcPr>
            <w:tcW w:w="0" w:type="auto"/>
            <w:hideMark/>
          </w:tcPr>
          <w:p w14:paraId="38B6A7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1538" w:type="dxa"/>
            <w:hideMark/>
          </w:tcPr>
          <w:p w14:paraId="5248869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435FA81E"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Very high adoption</w:t>
            </w:r>
          </w:p>
        </w:tc>
      </w:tr>
      <w:tr w:rsidR="00E97D29" w:rsidRPr="009C234A" w14:paraId="68C7DE57" w14:textId="77777777" w:rsidTr="00EA3EF4">
        <w:trPr>
          <w:trHeight w:val="367"/>
        </w:trPr>
        <w:tc>
          <w:tcPr>
            <w:tcW w:w="0" w:type="auto"/>
            <w:hideMark/>
          </w:tcPr>
          <w:p w14:paraId="61301E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proofErr w:type="spellStart"/>
            <w:r w:rsidRPr="00EA3EF4">
              <w:rPr>
                <w:rFonts w:ascii="Times New Roman" w:eastAsia="Times New Roman" w:hAnsi="Times New Roman" w:cs="Times New Roman"/>
                <w:color w:val="auto"/>
                <w:sz w:val="24"/>
                <w:szCs w:val="24"/>
              </w:rPr>
              <w:t>Fufore</w:t>
            </w:r>
            <w:proofErr w:type="spellEnd"/>
          </w:p>
        </w:tc>
        <w:tc>
          <w:tcPr>
            <w:tcW w:w="1538" w:type="dxa"/>
            <w:hideMark/>
          </w:tcPr>
          <w:p w14:paraId="0E057B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4.02</w:t>
            </w:r>
          </w:p>
        </w:tc>
        <w:tc>
          <w:tcPr>
            <w:cnfStyle w:val="000100000000" w:firstRow="0" w:lastRow="0" w:firstColumn="0" w:lastColumn="1" w:oddVBand="0" w:evenVBand="0" w:oddHBand="0" w:evenHBand="0" w:firstRowFirstColumn="0" w:firstRowLastColumn="0" w:lastRowFirstColumn="0" w:lastRowLastColumn="0"/>
            <w:tcW w:w="0" w:type="auto"/>
            <w:hideMark/>
          </w:tcPr>
          <w:p w14:paraId="035180D3"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bl>
    <w:p w14:paraId="56A99895" w14:textId="77777777" w:rsidR="00E97D29" w:rsidRPr="00A32256" w:rsidRDefault="00E97D29" w:rsidP="00896808">
      <w:pPr>
        <w:pStyle w:val="NormalWeb"/>
        <w:spacing w:before="0" w:beforeAutospacing="0" w:after="0" w:afterAutospacing="0" w:line="276" w:lineRule="auto"/>
        <w:jc w:val="both"/>
        <w:rPr>
          <w:iCs/>
        </w:rPr>
      </w:pPr>
      <w:r>
        <w:t xml:space="preserve">      </w:t>
      </w:r>
      <w:r w:rsidRPr="00A32256">
        <w:rPr>
          <w:rStyle w:val="Emphasis"/>
          <w:i w:val="0"/>
        </w:rPr>
        <w:t>Source: Field Survey (2025)</w:t>
      </w:r>
    </w:p>
    <w:p w14:paraId="434F68F7" w14:textId="77777777" w:rsidR="00E97D29" w:rsidRPr="00D009FE" w:rsidRDefault="00E97D29" w:rsidP="00896808">
      <w:pPr>
        <w:pStyle w:val="NormalWeb"/>
        <w:spacing w:before="0" w:beforeAutospacing="0" w:after="0" w:afterAutospacing="0" w:line="276" w:lineRule="auto"/>
        <w:jc w:val="both"/>
      </w:pPr>
    </w:p>
    <w:p w14:paraId="587AA797" w14:textId="77777777" w:rsidR="00E97D29" w:rsidRPr="009C234A"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Comparison of Climate Change Impacts across LGAs (One-Way ANOVA)</w:t>
      </w:r>
    </w:p>
    <w:p w14:paraId="747C4037" w14:textId="77777777" w:rsidR="00E97D29" w:rsidRPr="009C234A" w:rsidRDefault="00E97D29" w:rsidP="00896808">
      <w:pPr>
        <w:pStyle w:val="NormalWeb"/>
        <w:spacing w:before="0" w:beforeAutospacing="0" w:line="276" w:lineRule="auto"/>
        <w:jc w:val="both"/>
      </w:pPr>
      <w:r w:rsidRPr="009C234A">
        <w:t xml:space="preserve">A one-way Analysis of Variance (ANOVA) was conducted to test whether significant differences exist in perceived climate change impacts across Mubi North, </w:t>
      </w:r>
      <w:proofErr w:type="spellStart"/>
      <w:r w:rsidRPr="009C234A">
        <w:t>Ganye</w:t>
      </w:r>
      <w:proofErr w:type="spellEnd"/>
      <w:r w:rsidRPr="009C234A">
        <w:t xml:space="preserve">, and </w:t>
      </w:r>
      <w:proofErr w:type="spellStart"/>
      <w:r w:rsidRPr="009C234A">
        <w:t>Fufore</w:t>
      </w:r>
      <w:proofErr w:type="spellEnd"/>
      <w:r w:rsidRPr="009C234A">
        <w:t xml:space="preserve"> Local Government Areas using the Composite Climate Change Im</w:t>
      </w:r>
      <w:r w:rsidR="00AD0EAA">
        <w:t>pact Index (CCII). The hypothesis tested was</w:t>
      </w:r>
      <w:r w:rsidRPr="009C234A">
        <w:t>:</w:t>
      </w:r>
    </w:p>
    <w:p w14:paraId="5DB8818E" w14:textId="77777777" w:rsidR="00E97D29" w:rsidRPr="009C234A" w:rsidRDefault="00E97D29" w:rsidP="00896808">
      <w:pPr>
        <w:spacing w:after="0"/>
        <w:ind w:left="720"/>
        <w:jc w:val="both"/>
        <w:rPr>
          <w:rFonts w:ascii="Times New Roman" w:eastAsia="Times New Roman" w:hAnsi="Times New Roman" w:cs="Times New Roman"/>
          <w:sz w:val="24"/>
          <w:szCs w:val="24"/>
        </w:rPr>
      </w:pPr>
      <w:r w:rsidRPr="00D009FE">
        <w:rPr>
          <w:rStyle w:val="Strong"/>
          <w:rFonts w:ascii="Times New Roman" w:eastAsia="Times New Roman" w:hAnsi="Times New Roman" w:cs="Times New Roman"/>
          <w:b w:val="0"/>
          <w:sz w:val="24"/>
          <w:szCs w:val="24"/>
        </w:rPr>
        <w:t>H</w:t>
      </w:r>
      <w:r w:rsidRPr="00D009FE">
        <w:rPr>
          <w:rStyle w:val="Strong"/>
          <w:rFonts w:ascii="Times New Roman" w:eastAsia="Times New Roman" w:hAnsi="Times New Roman" w:cs="Times New Roman"/>
          <w:b w:val="0"/>
          <w:sz w:val="24"/>
          <w:szCs w:val="24"/>
          <w:vertAlign w:val="superscript"/>
        </w:rPr>
        <w:t>0</w:t>
      </w:r>
      <w:r w:rsidRPr="00D009FE">
        <w:rPr>
          <w:rStyle w:val="Strong"/>
          <w:rFonts w:ascii="Times New Roman" w:eastAsia="Times New Roman" w:hAnsi="Times New Roman" w:cs="Times New Roman"/>
          <w:b w:val="0"/>
          <w:sz w:val="24"/>
          <w:szCs w:val="24"/>
        </w:rPr>
        <w:t>:</w:t>
      </w:r>
      <w:r w:rsidRPr="009C234A">
        <w:rPr>
          <w:rFonts w:ascii="Times New Roman" w:eastAsia="Times New Roman" w:hAnsi="Times New Roman" w:cs="Times New Roman"/>
          <w:sz w:val="24"/>
          <w:szCs w:val="24"/>
        </w:rPr>
        <w:t xml:space="preserve"> There is no significant difference in CCII across LGAs</w:t>
      </w:r>
    </w:p>
    <w:p w14:paraId="0A4EFCEE" w14:textId="77777777" w:rsidR="00AD0EAA" w:rsidRDefault="00AD0EAA" w:rsidP="00896808">
      <w:pPr>
        <w:pStyle w:val="Heading3"/>
        <w:spacing w:before="0"/>
        <w:jc w:val="both"/>
        <w:rPr>
          <w:rFonts w:ascii="Times New Roman" w:eastAsia="Times New Roman" w:hAnsi="Times New Roman" w:cs="Times New Roman"/>
          <w:b w:val="0"/>
          <w:color w:val="auto"/>
          <w:sz w:val="24"/>
          <w:szCs w:val="24"/>
        </w:rPr>
      </w:pPr>
    </w:p>
    <w:p w14:paraId="1349EFDC" w14:textId="77777777" w:rsidR="00E97D29"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 xml:space="preserve">The ANOVA Group Means were computed for each of the three LGAs and recorded mean values as Mubi North mean 3.88, Ganye mean = 3.74, </w:t>
      </w:r>
      <w:proofErr w:type="spellStart"/>
      <w:r w:rsidRPr="005713DD">
        <w:rPr>
          <w:rFonts w:ascii="Times New Roman" w:eastAsia="Times New Roman" w:hAnsi="Times New Roman" w:cs="Times New Roman"/>
          <w:b w:val="0"/>
          <w:color w:val="auto"/>
          <w:sz w:val="24"/>
          <w:szCs w:val="24"/>
        </w:rPr>
        <w:t>Fufore</w:t>
      </w:r>
      <w:proofErr w:type="spellEnd"/>
      <w:r w:rsidRPr="005713DD">
        <w:rPr>
          <w:rFonts w:ascii="Times New Roman" w:eastAsia="Times New Roman" w:hAnsi="Times New Roman" w:cs="Times New Roman"/>
          <w:b w:val="0"/>
          <w:color w:val="auto"/>
          <w:sz w:val="24"/>
          <w:szCs w:val="24"/>
        </w:rPr>
        <w:t xml:space="preserve"> mean = 3.92 and the overall mean = 3.85</w:t>
      </w:r>
      <w:r>
        <w:rPr>
          <w:rFonts w:ascii="Times New Roman" w:eastAsia="Times New Roman" w:hAnsi="Times New Roman" w:cs="Times New Roman"/>
          <w:b w:val="0"/>
          <w:color w:val="auto"/>
          <w:sz w:val="24"/>
          <w:szCs w:val="24"/>
        </w:rPr>
        <w:t>. Table 5 represents the computed Sum of Squares.</w:t>
      </w:r>
    </w:p>
    <w:p w14:paraId="168383A5" w14:textId="77777777" w:rsidR="00E97D29" w:rsidRPr="005713DD" w:rsidRDefault="00E97D29" w:rsidP="00896808">
      <w:pPr>
        <w:spacing w:after="0"/>
        <w:rPr>
          <w:sz w:val="18"/>
        </w:rPr>
      </w:pPr>
    </w:p>
    <w:p w14:paraId="4E5E17AC"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5713DD">
        <w:rPr>
          <w:rFonts w:ascii="Times New Roman" w:eastAsia="Times New Roman" w:hAnsi="Times New Roman" w:cs="Times New Roman"/>
          <w:b w:val="0"/>
          <w:color w:val="auto"/>
          <w:sz w:val="24"/>
          <w:szCs w:val="24"/>
        </w:rPr>
        <w:t>Table 5: Sum of Squares</w:t>
      </w:r>
    </w:p>
    <w:tbl>
      <w:tblPr>
        <w:tblStyle w:val="LightShading"/>
        <w:tblW w:w="6647" w:type="dxa"/>
        <w:tblLook w:val="0720" w:firstRow="1" w:lastRow="0" w:firstColumn="0" w:lastColumn="1" w:noHBand="1" w:noVBand="1"/>
      </w:tblPr>
      <w:tblGrid>
        <w:gridCol w:w="2575"/>
        <w:gridCol w:w="3361"/>
        <w:gridCol w:w="711"/>
      </w:tblGrid>
      <w:tr w:rsidR="00E97D29" w:rsidRPr="009C234A" w14:paraId="61352CE2" w14:textId="77777777" w:rsidTr="00EA3EF4">
        <w:trPr>
          <w:cnfStyle w:val="100000000000" w:firstRow="1" w:lastRow="0" w:firstColumn="0" w:lastColumn="0" w:oddVBand="0" w:evenVBand="0" w:oddHBand="0" w:evenHBand="0" w:firstRowFirstColumn="0" w:firstRowLastColumn="0" w:lastRowFirstColumn="0" w:lastRowLastColumn="0"/>
          <w:trHeight w:val="296"/>
        </w:trPr>
        <w:tc>
          <w:tcPr>
            <w:tcW w:w="0" w:type="auto"/>
            <w:hideMark/>
          </w:tcPr>
          <w:p w14:paraId="0ABF0D4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Source</w:t>
            </w:r>
          </w:p>
        </w:tc>
        <w:tc>
          <w:tcPr>
            <w:tcW w:w="0" w:type="auto"/>
            <w:hideMark/>
          </w:tcPr>
          <w:p w14:paraId="5E6E51C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Sum of Squares (SS)</w:t>
            </w:r>
          </w:p>
        </w:tc>
        <w:tc>
          <w:tcPr>
            <w:cnfStyle w:val="000100000000" w:firstRow="0" w:lastRow="0" w:firstColumn="0" w:lastColumn="1" w:oddVBand="0" w:evenVBand="0" w:oddHBand="0" w:evenHBand="0" w:firstRowFirstColumn="0" w:firstRowLastColumn="0" w:lastRowFirstColumn="0" w:lastRowLastColumn="0"/>
            <w:tcW w:w="0" w:type="auto"/>
            <w:hideMark/>
          </w:tcPr>
          <w:p w14:paraId="49446DCD"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color w:val="auto"/>
                <w:sz w:val="24"/>
                <w:szCs w:val="24"/>
              </w:rPr>
              <w:t>Df</w:t>
            </w:r>
            <w:proofErr w:type="spellEnd"/>
          </w:p>
        </w:tc>
      </w:tr>
      <w:tr w:rsidR="00E97D29" w:rsidRPr="009C234A" w14:paraId="7E5B85C1" w14:textId="77777777" w:rsidTr="00EA3EF4">
        <w:trPr>
          <w:trHeight w:val="311"/>
        </w:trPr>
        <w:tc>
          <w:tcPr>
            <w:tcW w:w="0" w:type="auto"/>
            <w:hideMark/>
          </w:tcPr>
          <w:p w14:paraId="5007CB05"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Between LGAs</w:t>
            </w:r>
          </w:p>
        </w:tc>
        <w:tc>
          <w:tcPr>
            <w:tcW w:w="0" w:type="auto"/>
            <w:hideMark/>
          </w:tcPr>
          <w:p w14:paraId="56044E6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0.214</w:t>
            </w:r>
          </w:p>
        </w:tc>
        <w:tc>
          <w:tcPr>
            <w:cnfStyle w:val="000100000000" w:firstRow="0" w:lastRow="0" w:firstColumn="0" w:lastColumn="1" w:oddVBand="0" w:evenVBand="0" w:oddHBand="0" w:evenHBand="0" w:firstRowFirstColumn="0" w:firstRowLastColumn="0" w:lastRowFirstColumn="0" w:lastRowLastColumn="0"/>
            <w:tcW w:w="0" w:type="auto"/>
            <w:hideMark/>
          </w:tcPr>
          <w:p w14:paraId="7E40286B"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2</w:t>
            </w:r>
          </w:p>
        </w:tc>
      </w:tr>
      <w:tr w:rsidR="00E97D29" w:rsidRPr="009C234A" w14:paraId="19BBC562" w14:textId="77777777" w:rsidTr="00EA3EF4">
        <w:trPr>
          <w:trHeight w:val="296"/>
        </w:trPr>
        <w:tc>
          <w:tcPr>
            <w:tcW w:w="0" w:type="auto"/>
            <w:hideMark/>
          </w:tcPr>
          <w:p w14:paraId="18274B1B"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Within Groups</w:t>
            </w:r>
          </w:p>
        </w:tc>
        <w:tc>
          <w:tcPr>
            <w:tcW w:w="0" w:type="auto"/>
            <w:hideMark/>
          </w:tcPr>
          <w:p w14:paraId="3679066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1.672</w:t>
            </w:r>
          </w:p>
        </w:tc>
        <w:tc>
          <w:tcPr>
            <w:cnfStyle w:val="000100000000" w:firstRow="0" w:lastRow="0" w:firstColumn="0" w:lastColumn="1" w:oddVBand="0" w:evenVBand="0" w:oddHBand="0" w:evenHBand="0" w:firstRowFirstColumn="0" w:firstRowLastColumn="0" w:lastRowFirstColumn="0" w:lastRowLastColumn="0"/>
            <w:tcW w:w="0" w:type="auto"/>
            <w:hideMark/>
          </w:tcPr>
          <w:p w14:paraId="5BF67A3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30</w:t>
            </w:r>
          </w:p>
        </w:tc>
      </w:tr>
      <w:tr w:rsidR="00E97D29" w:rsidRPr="009C234A" w14:paraId="00ED3E0F" w14:textId="77777777" w:rsidTr="00EA3EF4">
        <w:trPr>
          <w:trHeight w:val="296"/>
        </w:trPr>
        <w:tc>
          <w:tcPr>
            <w:tcW w:w="0" w:type="auto"/>
            <w:hideMark/>
          </w:tcPr>
          <w:p w14:paraId="539010EC"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Total</w:t>
            </w:r>
          </w:p>
        </w:tc>
        <w:tc>
          <w:tcPr>
            <w:tcW w:w="0" w:type="auto"/>
            <w:hideMark/>
          </w:tcPr>
          <w:p w14:paraId="58E6232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1.886</w:t>
            </w:r>
          </w:p>
        </w:tc>
        <w:tc>
          <w:tcPr>
            <w:cnfStyle w:val="000100000000" w:firstRow="0" w:lastRow="0" w:firstColumn="0" w:lastColumn="1" w:oddVBand="0" w:evenVBand="0" w:oddHBand="0" w:evenHBand="0" w:firstRowFirstColumn="0" w:firstRowLastColumn="0" w:lastRowFirstColumn="0" w:lastRowLastColumn="0"/>
            <w:tcW w:w="0" w:type="auto"/>
            <w:hideMark/>
          </w:tcPr>
          <w:p w14:paraId="0FDF347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32</w:t>
            </w:r>
          </w:p>
        </w:tc>
      </w:tr>
    </w:tbl>
    <w:p w14:paraId="28728417" w14:textId="77777777" w:rsidR="00E97D29" w:rsidRPr="005713DD" w:rsidRDefault="00E97D29" w:rsidP="00896808">
      <w:pPr>
        <w:pStyle w:val="Heading3"/>
        <w:spacing w:before="0"/>
        <w:jc w:val="both"/>
        <w:rPr>
          <w:rStyle w:val="Emphasis"/>
          <w:rFonts w:ascii="Times New Roman" w:hAnsi="Times New Roman" w:cs="Times New Roman"/>
          <w:b w:val="0"/>
          <w:i w:val="0"/>
          <w:color w:val="auto"/>
          <w:sz w:val="24"/>
        </w:rPr>
      </w:pPr>
      <w:r>
        <w:rPr>
          <w:rFonts w:ascii="Times New Roman" w:eastAsia="Times New Roman" w:hAnsi="Times New Roman" w:cs="Times New Roman"/>
          <w:color w:val="auto"/>
          <w:sz w:val="24"/>
          <w:szCs w:val="24"/>
        </w:rPr>
        <w:t xml:space="preserve">  </w:t>
      </w:r>
      <w:r w:rsidRPr="005713DD">
        <w:rPr>
          <w:rStyle w:val="Emphasis"/>
          <w:rFonts w:ascii="Times New Roman" w:hAnsi="Times New Roman" w:cs="Times New Roman"/>
          <w:b w:val="0"/>
          <w:i w:val="0"/>
          <w:color w:val="auto"/>
          <w:sz w:val="24"/>
        </w:rPr>
        <w:t>Source: Field Survey (2025)</w:t>
      </w:r>
    </w:p>
    <w:p w14:paraId="4C423A80" w14:textId="77777777" w:rsidR="00E97D29" w:rsidRPr="005713DD" w:rsidRDefault="00E97D29" w:rsidP="00896808">
      <w:pPr>
        <w:spacing w:after="0"/>
        <w:rPr>
          <w:sz w:val="16"/>
        </w:rPr>
      </w:pPr>
    </w:p>
    <w:p w14:paraId="23CB252B"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lastRenderedPageBreak/>
        <w:t>Thus Mean Squares</w:t>
      </w:r>
      <w:r>
        <w:rPr>
          <w:rFonts w:ascii="Times New Roman" w:eastAsia="Times New Roman" w:hAnsi="Times New Roman" w:cs="Times New Roman"/>
          <w:b w:val="0"/>
          <w:color w:val="auto"/>
          <w:sz w:val="24"/>
          <w:szCs w:val="24"/>
        </w:rPr>
        <w:t xml:space="preserve"> and F-Statistic</w:t>
      </w:r>
      <w:r w:rsidRPr="005713DD">
        <w:rPr>
          <w:rFonts w:ascii="Times New Roman" w:eastAsia="Times New Roman" w:hAnsi="Times New Roman" w:cs="Times New Roman"/>
          <w:b w:val="0"/>
          <w:color w:val="auto"/>
          <w:sz w:val="24"/>
          <w:szCs w:val="24"/>
        </w:rPr>
        <w:t>:</w:t>
      </w:r>
    </w:p>
    <w:p w14:paraId="435DAA8D" w14:textId="77777777" w:rsidR="00E97D29" w:rsidRPr="005713DD" w:rsidRDefault="00E97D29" w:rsidP="00896808">
      <w:pPr>
        <w:pStyle w:val="HTMLPreformatted"/>
        <w:jc w:val="both"/>
        <w:rPr>
          <w:rStyle w:val="HTMLCode"/>
          <w:rFonts w:ascii="Times New Roman" w:hAnsi="Times New Roman" w:cs="Times New Roman"/>
          <w:sz w:val="16"/>
          <w:szCs w:val="24"/>
        </w:rPr>
      </w:pPr>
    </w:p>
    <w:p w14:paraId="7B64CB72" w14:textId="77777777" w:rsidR="00E97D29" w:rsidRPr="00AD0EAA" w:rsidRDefault="00E97D29" w:rsidP="00896808">
      <w:pPr>
        <w:pStyle w:val="HTMLPreformatted"/>
        <w:jc w:val="both"/>
        <w:rPr>
          <w:rStyle w:val="HTMLCode"/>
          <w:rFonts w:ascii="Times New Roman" w:hAnsi="Times New Roman" w:cs="Times New Roman"/>
          <w:sz w:val="28"/>
          <w:szCs w:val="24"/>
        </w:rPr>
      </w:pPr>
      <w:r w:rsidRPr="009C234A">
        <w:rPr>
          <w:rStyle w:val="HTMLCode"/>
          <w:rFonts w:ascii="Times New Roman" w:hAnsi="Times New Roman" w:cs="Times New Roman"/>
          <w:sz w:val="24"/>
          <w:szCs w:val="24"/>
        </w:rPr>
        <w:t>MS</w:t>
      </w:r>
      <w:r w:rsidRPr="009C234A">
        <w:rPr>
          <w:rStyle w:val="HTMLCode"/>
          <w:rFonts w:ascii="Times New Roman" w:hAnsi="Times New Roman" w:cs="Times New Roman"/>
          <w:sz w:val="24"/>
          <w:szCs w:val="24"/>
          <w:vertAlign w:val="subscript"/>
        </w:rPr>
        <w:t xml:space="preserve"> </w:t>
      </w:r>
      <w:r w:rsidRPr="00AD0EAA">
        <w:rPr>
          <w:rStyle w:val="HTMLCode"/>
          <w:rFonts w:ascii="Times New Roman" w:hAnsi="Times New Roman" w:cs="Times New Roman"/>
          <w:sz w:val="28"/>
          <w:szCs w:val="24"/>
          <w:vertAlign w:val="subscript"/>
        </w:rPr>
        <w:t>Between</w:t>
      </w:r>
      <w:r w:rsidRPr="009C234A">
        <w:rPr>
          <w:rStyle w:val="HTMLCode"/>
          <w:rFonts w:ascii="Times New Roman" w:hAnsi="Times New Roman" w:cs="Times New Roman"/>
          <w:sz w:val="24"/>
          <w:szCs w:val="24"/>
        </w:rPr>
        <w:t xml:space="preserve"> </w:t>
      </w:r>
      <w:r w:rsidRPr="00AD0EAA">
        <w:rPr>
          <w:rStyle w:val="HTMLCode"/>
          <w:rFonts w:ascii="Times New Roman" w:hAnsi="Times New Roman" w:cs="Times New Roman"/>
          <w:sz w:val="28"/>
          <w:szCs w:val="24"/>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2</m:t>
            </m:r>
          </m:den>
        </m:f>
      </m:oMath>
      <w:r w:rsidRPr="00AD0EAA">
        <w:rPr>
          <w:rStyle w:val="HTMLCode"/>
          <w:rFonts w:ascii="Times New Roman" w:hAnsi="Times New Roman" w:cs="Times New Roman"/>
          <w:sz w:val="28"/>
          <w:szCs w:val="24"/>
        </w:rPr>
        <w:t xml:space="preserve">   = 0.107</w:t>
      </w:r>
    </w:p>
    <w:p w14:paraId="64DDC7A7" w14:textId="77777777" w:rsidR="00E97D29" w:rsidRPr="00AD0EAA" w:rsidRDefault="00E97D29" w:rsidP="00896808">
      <w:pPr>
        <w:pStyle w:val="HTMLPreformatted"/>
        <w:jc w:val="both"/>
        <w:rPr>
          <w:rStyle w:val="HTMLCode"/>
          <w:rFonts w:ascii="Times New Roman" w:hAnsi="Times New Roman" w:cs="Times New Roman"/>
          <w:sz w:val="12"/>
          <w:szCs w:val="24"/>
        </w:rPr>
      </w:pPr>
    </w:p>
    <w:p w14:paraId="2B413998" w14:textId="77777777" w:rsidR="00E97D29" w:rsidRPr="00AD0EAA" w:rsidRDefault="00E97D29" w:rsidP="00896808">
      <w:pPr>
        <w:pStyle w:val="HTMLPreformatted"/>
        <w:jc w:val="both"/>
        <w:rPr>
          <w:rStyle w:val="HTMLCode"/>
          <w:rFonts w:ascii="Times New Roman" w:hAnsi="Times New Roman" w:cs="Times New Roman"/>
          <w:sz w:val="28"/>
          <w:szCs w:val="24"/>
        </w:rPr>
      </w:pPr>
      <w:r w:rsidRPr="00AD0EAA">
        <w:rPr>
          <w:rStyle w:val="HTMLCode"/>
          <w:rFonts w:ascii="Times New Roman" w:hAnsi="Times New Roman" w:cs="Times New Roman"/>
          <w:sz w:val="28"/>
          <w:szCs w:val="24"/>
        </w:rPr>
        <w:t xml:space="preserve">MS </w:t>
      </w:r>
      <w:r w:rsidRPr="00AD0EAA">
        <w:rPr>
          <w:rStyle w:val="HTMLCode"/>
          <w:rFonts w:ascii="Times New Roman" w:hAnsi="Times New Roman" w:cs="Times New Roman"/>
          <w:sz w:val="28"/>
          <w:szCs w:val="24"/>
          <w:vertAlign w:val="subscript"/>
        </w:rPr>
        <w:t>Within</w:t>
      </w:r>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1.672</m:t>
            </m:r>
          </m:num>
          <m:den>
            <m:r>
              <w:rPr>
                <w:rStyle w:val="HTMLCode"/>
                <w:rFonts w:ascii="Cambria Math" w:hAnsi="Cambria Math" w:cs="Times New Roman"/>
                <w:sz w:val="28"/>
                <w:szCs w:val="24"/>
              </w:rPr>
              <m:t>30</m:t>
            </m:r>
          </m:den>
        </m:f>
      </m:oMath>
      <w:r w:rsidRPr="00AD0EAA">
        <w:rPr>
          <w:rStyle w:val="HTMLCode"/>
          <w:rFonts w:ascii="Times New Roman" w:hAnsi="Times New Roman" w:cs="Times New Roman"/>
          <w:sz w:val="28"/>
          <w:szCs w:val="24"/>
        </w:rPr>
        <w:t xml:space="preserve">  = 0.056</w:t>
      </w:r>
    </w:p>
    <w:p w14:paraId="004B5397" w14:textId="77777777" w:rsidR="00E97D29" w:rsidRPr="00AD0EAA" w:rsidRDefault="00E97D29" w:rsidP="00896808">
      <w:pPr>
        <w:pStyle w:val="HTMLPreformatted"/>
        <w:jc w:val="both"/>
        <w:rPr>
          <w:rStyle w:val="HTMLCode"/>
          <w:rFonts w:ascii="Times New Roman" w:hAnsi="Times New Roman" w:cs="Times New Roman"/>
          <w:sz w:val="14"/>
          <w:szCs w:val="24"/>
        </w:rPr>
      </w:pPr>
    </w:p>
    <w:p w14:paraId="64D27363" w14:textId="77777777" w:rsidR="00E97D29" w:rsidRDefault="00E97D29" w:rsidP="00896808">
      <w:pPr>
        <w:pStyle w:val="HTMLPreformatted"/>
        <w:jc w:val="both"/>
        <w:rPr>
          <w:rStyle w:val="HTMLCode"/>
          <w:rFonts w:ascii="Times New Roman" w:hAnsi="Times New Roman" w:cs="Times New Roman"/>
          <w:sz w:val="24"/>
          <w:szCs w:val="24"/>
        </w:rPr>
      </w:pPr>
      <w:r w:rsidRPr="00AD0EAA">
        <w:rPr>
          <w:rStyle w:val="HTMLCode"/>
          <w:rFonts w:ascii="Times New Roman" w:hAnsi="Times New Roman" w:cs="Times New Roman"/>
          <w:sz w:val="28"/>
          <w:szCs w:val="24"/>
        </w:rPr>
        <w:t xml:space="preserve">F =  </w:t>
      </w:r>
      <m:oMath>
        <m:f>
          <m:fPr>
            <m:ctrlPr>
              <w:rPr>
                <w:rStyle w:val="HTMLCode"/>
                <w:rFonts w:ascii="Cambria Math" w:hAnsi="Cambria Math" w:cs="Times New Roman"/>
                <w:i/>
                <w:sz w:val="28"/>
                <w:szCs w:val="24"/>
              </w:rPr>
            </m:ctrlPr>
          </m:fPr>
          <m:num>
            <m:r>
              <m:rPr>
                <m:sty m:val="p"/>
              </m:rPr>
              <w:rPr>
                <w:rStyle w:val="HTMLCode"/>
                <w:rFonts w:ascii="Cambria Math" w:hAnsi="Cambria Math" w:cs="Times New Roman"/>
                <w:sz w:val="28"/>
                <w:szCs w:val="24"/>
              </w:rPr>
              <m:t>MS</m:t>
            </m:r>
            <m:r>
              <m:rPr>
                <m:sty m:val="p"/>
              </m:rPr>
              <w:rPr>
                <w:rStyle w:val="HTMLCode"/>
                <w:rFonts w:ascii="Cambria Math" w:hAnsi="Cambria Math" w:cs="Times New Roman"/>
                <w:sz w:val="28"/>
                <w:szCs w:val="24"/>
                <w:vertAlign w:val="subscript"/>
              </w:rPr>
              <m:t xml:space="preserve"> Between</m:t>
            </m:r>
            <m:r>
              <m:rPr>
                <m:sty m:val="p"/>
              </m:rPr>
              <w:rPr>
                <w:rStyle w:val="HTMLCode"/>
                <w:rFonts w:ascii="Cambria Math" w:hAnsi="Cambria Math" w:cs="Times New Roman"/>
                <w:sz w:val="28"/>
                <w:szCs w:val="24"/>
              </w:rPr>
              <m:t xml:space="preserve"> </m:t>
            </m:r>
          </m:num>
          <m:den>
            <m:r>
              <m:rPr>
                <m:sty m:val="p"/>
              </m:rPr>
              <w:rPr>
                <w:rStyle w:val="HTMLCode"/>
                <w:rFonts w:ascii="Cambria Math" w:hAnsi="Cambria Math" w:cs="Times New Roman"/>
                <w:sz w:val="28"/>
                <w:szCs w:val="24"/>
              </w:rPr>
              <m:t xml:space="preserve">MS </m:t>
            </m:r>
            <m:r>
              <m:rPr>
                <m:sty m:val="p"/>
              </m:rPr>
              <w:rPr>
                <w:rStyle w:val="HTMLCode"/>
                <w:rFonts w:ascii="Cambria Math" w:hAnsi="Cambria Math" w:cs="Times New Roman"/>
                <w:sz w:val="28"/>
                <w:szCs w:val="24"/>
                <w:vertAlign w:val="subscript"/>
              </w:rPr>
              <m:t>Within</m:t>
            </m:r>
            <m:r>
              <m:rPr>
                <m:sty m:val="p"/>
              </m:rPr>
              <w:rPr>
                <w:rStyle w:val="HTMLCode"/>
                <w:rFonts w:ascii="Cambria Math" w:hAnsi="Cambria Math" w:cs="Times New Roman"/>
                <w:sz w:val="28"/>
                <w:szCs w:val="24"/>
              </w:rPr>
              <m:t xml:space="preserve"> </m:t>
            </m:r>
          </m:den>
        </m:f>
      </m:oMath>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0.107</m:t>
            </m:r>
          </m:num>
          <m:den>
            <m:r>
              <w:rPr>
                <w:rStyle w:val="HTMLCode"/>
                <w:rFonts w:ascii="Cambria Math" w:hAnsi="Cambria Math" w:cs="Times New Roman"/>
                <w:sz w:val="28"/>
                <w:szCs w:val="24"/>
              </w:rPr>
              <m:t>0.056</m:t>
            </m:r>
          </m:den>
        </m:f>
      </m:oMath>
      <w:r w:rsidRPr="00AD0EAA">
        <w:rPr>
          <w:rStyle w:val="HTMLCode"/>
          <w:rFonts w:ascii="Times New Roman" w:hAnsi="Times New Roman" w:cs="Times New Roman"/>
          <w:sz w:val="28"/>
          <w:szCs w:val="24"/>
        </w:rPr>
        <w:t xml:space="preserve">  = 4.</w:t>
      </w:r>
      <w:r w:rsidRPr="009C234A">
        <w:rPr>
          <w:rStyle w:val="HTMLCode"/>
          <w:rFonts w:ascii="Times New Roman" w:hAnsi="Times New Roman" w:cs="Times New Roman"/>
          <w:sz w:val="24"/>
          <w:szCs w:val="24"/>
        </w:rPr>
        <w:t>27</w:t>
      </w:r>
    </w:p>
    <w:p w14:paraId="78A18B42" w14:textId="77777777" w:rsidR="00E97D29" w:rsidRDefault="00E97D29" w:rsidP="00896808">
      <w:pPr>
        <w:pStyle w:val="HTMLPreformatted"/>
        <w:jc w:val="both"/>
        <w:rPr>
          <w:rStyle w:val="HTMLCode"/>
          <w:rFonts w:ascii="Times New Roman" w:hAnsi="Times New Roman" w:cs="Times New Roman"/>
          <w:sz w:val="24"/>
          <w:szCs w:val="24"/>
        </w:rPr>
      </w:pPr>
    </w:p>
    <w:p w14:paraId="68685996" w14:textId="77777777" w:rsidR="00E97D29" w:rsidRPr="009C234A" w:rsidRDefault="00E97D29" w:rsidP="00896808">
      <w:pPr>
        <w:pStyle w:val="HTMLPreformatted"/>
        <w:jc w:val="both"/>
        <w:rPr>
          <w:rFonts w:ascii="Times New Roman" w:hAnsi="Times New Roman" w:cs="Times New Roman"/>
          <w:sz w:val="24"/>
          <w:szCs w:val="24"/>
        </w:rPr>
      </w:pPr>
    </w:p>
    <w:p w14:paraId="0641BE04" w14:textId="77777777" w:rsidR="00E97D29" w:rsidRPr="009C234A" w:rsidRDefault="00E97D29" w:rsidP="00896808">
      <w:pPr>
        <w:pStyle w:val="NormalWeb"/>
        <w:spacing w:before="0" w:beforeAutospacing="0" w:line="276" w:lineRule="auto"/>
        <w:jc w:val="both"/>
      </w:pPr>
      <w:r w:rsidRPr="009C234A">
        <w:t>The ANOVA results reveal a statistically significant difference in mean CCII across the three LGAs (</w:t>
      </w:r>
      <w:proofErr w:type="gramStart"/>
      <w:r w:rsidRPr="009C234A">
        <w:t>F(</w:t>
      </w:r>
      <w:proofErr w:type="gramEnd"/>
      <w:r w:rsidRPr="009C234A">
        <w:t>2, 30) = 4.27, p = 0.023)</w:t>
      </w:r>
      <w:r>
        <w:t xml:space="preserve"> as shown in Table</w:t>
      </w:r>
      <w:r w:rsidR="00AD0EAA">
        <w:t xml:space="preserve"> 6</w:t>
      </w:r>
      <w:r w:rsidRPr="009C234A">
        <w:t xml:space="preserve">, indicating spatial variation in perceived climate change impacts on food crop production. </w:t>
      </w:r>
      <w:commentRangeStart w:id="11"/>
      <w:r w:rsidRPr="009C234A">
        <w:t>There</w:t>
      </w:r>
      <w:commentRangeEnd w:id="11"/>
      <w:r w:rsidR="00184FF1">
        <w:rPr>
          <w:rStyle w:val="CommentReference"/>
          <w:rFonts w:asciiTheme="minorHAnsi" w:eastAsiaTheme="minorHAnsi" w:hAnsiTheme="minorHAnsi" w:cstheme="minorBidi"/>
        </w:rPr>
        <w:commentReference w:id="11"/>
      </w:r>
      <w:r w:rsidRPr="009C234A">
        <w:t xml:space="preserve"> since </w:t>
      </w:r>
      <w:r w:rsidRPr="009C234A">
        <w:rPr>
          <w:rStyle w:val="Strong"/>
          <w:b w:val="0"/>
        </w:rPr>
        <w:t>p &lt; 0.05</w:t>
      </w:r>
      <w:r w:rsidRPr="009C234A">
        <w:t xml:space="preserve">, the null hypothesis is </w:t>
      </w:r>
      <w:r w:rsidRPr="009C234A">
        <w:rPr>
          <w:rStyle w:val="Strong"/>
          <w:b w:val="0"/>
        </w:rPr>
        <w:t>rejected</w:t>
      </w:r>
      <w:r>
        <w:rPr>
          <w:rStyle w:val="Strong"/>
          <w:b w:val="0"/>
        </w:rPr>
        <w:t>.</w:t>
      </w:r>
    </w:p>
    <w:p w14:paraId="23234FDC" w14:textId="77777777" w:rsidR="00E97D29" w:rsidRPr="008C51EF" w:rsidRDefault="00A35AE9" w:rsidP="00896808">
      <w:pPr>
        <w:pStyle w:val="Heading3"/>
        <w:spacing w:before="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Table 6: Expanded </w:t>
      </w:r>
      <w:r w:rsidR="00E97D29" w:rsidRPr="008C51EF">
        <w:rPr>
          <w:rFonts w:ascii="Times New Roman" w:eastAsia="Times New Roman" w:hAnsi="Times New Roman" w:cs="Times New Roman"/>
          <w:b w:val="0"/>
          <w:color w:val="auto"/>
          <w:sz w:val="24"/>
          <w:szCs w:val="24"/>
        </w:rPr>
        <w:t>One-Way ANOVA Results for CCII across LGAs</w:t>
      </w:r>
    </w:p>
    <w:tbl>
      <w:tblPr>
        <w:tblStyle w:val="LightShading"/>
        <w:tblW w:w="0" w:type="auto"/>
        <w:tblLook w:val="0720" w:firstRow="1" w:lastRow="0" w:firstColumn="0" w:lastColumn="1" w:noHBand="1" w:noVBand="1"/>
      </w:tblPr>
      <w:tblGrid>
        <w:gridCol w:w="1932"/>
        <w:gridCol w:w="1998"/>
        <w:gridCol w:w="456"/>
        <w:gridCol w:w="1844"/>
        <w:gridCol w:w="911"/>
        <w:gridCol w:w="903"/>
        <w:gridCol w:w="1532"/>
      </w:tblGrid>
      <w:tr w:rsidR="00E97D29" w:rsidRPr="009C234A" w14:paraId="1517EE65"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1CBB6B70"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Source of Variation</w:t>
            </w:r>
          </w:p>
        </w:tc>
        <w:tc>
          <w:tcPr>
            <w:tcW w:w="0" w:type="auto"/>
            <w:hideMark/>
          </w:tcPr>
          <w:p w14:paraId="5D156A39"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Sum of Squares (SS)</w:t>
            </w:r>
          </w:p>
        </w:tc>
        <w:tc>
          <w:tcPr>
            <w:tcW w:w="0" w:type="auto"/>
            <w:hideMark/>
          </w:tcPr>
          <w:p w14:paraId="1998F1F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proofErr w:type="spellStart"/>
            <w:r w:rsidRPr="009C234A">
              <w:rPr>
                <w:rFonts w:ascii="Times New Roman" w:eastAsia="Times New Roman" w:hAnsi="Times New Roman" w:cs="Times New Roman"/>
                <w:b w:val="0"/>
                <w:bCs w:val="0"/>
                <w:color w:val="auto"/>
                <w:sz w:val="24"/>
                <w:szCs w:val="24"/>
              </w:rPr>
              <w:t>df</w:t>
            </w:r>
            <w:proofErr w:type="spellEnd"/>
          </w:p>
        </w:tc>
        <w:tc>
          <w:tcPr>
            <w:tcW w:w="0" w:type="auto"/>
            <w:hideMark/>
          </w:tcPr>
          <w:p w14:paraId="1B8646E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Square (MS)</w:t>
            </w:r>
          </w:p>
        </w:tc>
        <w:tc>
          <w:tcPr>
            <w:tcW w:w="0" w:type="auto"/>
            <w:hideMark/>
          </w:tcPr>
          <w:p w14:paraId="0959CC2E"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F-value</w:t>
            </w:r>
          </w:p>
        </w:tc>
        <w:tc>
          <w:tcPr>
            <w:tcW w:w="0" w:type="auto"/>
            <w:hideMark/>
          </w:tcPr>
          <w:p w14:paraId="54FABB27"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31EABB15"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Effect Size (η²)</w:t>
            </w:r>
          </w:p>
        </w:tc>
      </w:tr>
      <w:tr w:rsidR="00E97D29" w:rsidRPr="009C234A" w14:paraId="3AA81819" w14:textId="77777777" w:rsidTr="00EA3EF4">
        <w:tc>
          <w:tcPr>
            <w:tcW w:w="0" w:type="auto"/>
            <w:hideMark/>
          </w:tcPr>
          <w:p w14:paraId="52216365"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Between LGAs</w:t>
            </w:r>
          </w:p>
        </w:tc>
        <w:tc>
          <w:tcPr>
            <w:tcW w:w="0" w:type="auto"/>
            <w:hideMark/>
          </w:tcPr>
          <w:p w14:paraId="65EEF7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0.214</w:t>
            </w:r>
          </w:p>
        </w:tc>
        <w:tc>
          <w:tcPr>
            <w:tcW w:w="0" w:type="auto"/>
            <w:hideMark/>
          </w:tcPr>
          <w:p w14:paraId="1B8E53B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2</w:t>
            </w:r>
          </w:p>
        </w:tc>
        <w:tc>
          <w:tcPr>
            <w:tcW w:w="0" w:type="auto"/>
            <w:hideMark/>
          </w:tcPr>
          <w:p w14:paraId="3E2F6F4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0.107</w:t>
            </w:r>
          </w:p>
        </w:tc>
        <w:tc>
          <w:tcPr>
            <w:tcW w:w="0" w:type="auto"/>
            <w:hideMark/>
          </w:tcPr>
          <w:p w14:paraId="3CCD973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4.27</w:t>
            </w:r>
          </w:p>
        </w:tc>
        <w:tc>
          <w:tcPr>
            <w:tcW w:w="0" w:type="auto"/>
            <w:hideMark/>
          </w:tcPr>
          <w:p w14:paraId="362E11D0"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0.023</w:t>
            </w:r>
          </w:p>
        </w:tc>
        <w:tc>
          <w:tcPr>
            <w:cnfStyle w:val="000100000000" w:firstRow="0" w:lastRow="0" w:firstColumn="0" w:lastColumn="1" w:oddVBand="0" w:evenVBand="0" w:oddHBand="0" w:evenHBand="0" w:firstRowFirstColumn="0" w:firstRowLastColumn="0" w:lastRowFirstColumn="0" w:lastRowLastColumn="0"/>
            <w:tcW w:w="0" w:type="auto"/>
            <w:hideMark/>
          </w:tcPr>
          <w:p w14:paraId="206E1854"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0.113</w:t>
            </w:r>
          </w:p>
        </w:tc>
      </w:tr>
      <w:tr w:rsidR="00E97D29" w:rsidRPr="009C234A" w14:paraId="205DFAE6" w14:textId="77777777" w:rsidTr="00EA3EF4">
        <w:tc>
          <w:tcPr>
            <w:tcW w:w="0" w:type="auto"/>
            <w:hideMark/>
          </w:tcPr>
          <w:p w14:paraId="5DB138CB"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Within Groups</w:t>
            </w:r>
          </w:p>
        </w:tc>
        <w:tc>
          <w:tcPr>
            <w:tcW w:w="0" w:type="auto"/>
            <w:hideMark/>
          </w:tcPr>
          <w:p w14:paraId="72DCA90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1.672</w:t>
            </w:r>
          </w:p>
        </w:tc>
        <w:tc>
          <w:tcPr>
            <w:tcW w:w="0" w:type="auto"/>
            <w:hideMark/>
          </w:tcPr>
          <w:p w14:paraId="164E216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30</w:t>
            </w:r>
          </w:p>
        </w:tc>
        <w:tc>
          <w:tcPr>
            <w:tcW w:w="0" w:type="auto"/>
            <w:hideMark/>
          </w:tcPr>
          <w:p w14:paraId="4E634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0.056</w:t>
            </w:r>
          </w:p>
        </w:tc>
        <w:tc>
          <w:tcPr>
            <w:tcW w:w="0" w:type="auto"/>
            <w:hideMark/>
          </w:tcPr>
          <w:p w14:paraId="52DA4E6C"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1BFF7182"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31B24DC3"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r w:rsidR="00E97D29" w:rsidRPr="009C234A" w14:paraId="733FDA23" w14:textId="77777777" w:rsidTr="00EA3EF4">
        <w:tc>
          <w:tcPr>
            <w:tcW w:w="0" w:type="auto"/>
            <w:hideMark/>
          </w:tcPr>
          <w:p w14:paraId="506F00DA"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Total</w:t>
            </w:r>
          </w:p>
        </w:tc>
        <w:tc>
          <w:tcPr>
            <w:tcW w:w="0" w:type="auto"/>
            <w:hideMark/>
          </w:tcPr>
          <w:p w14:paraId="4D8086F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1.886</w:t>
            </w:r>
          </w:p>
        </w:tc>
        <w:tc>
          <w:tcPr>
            <w:tcW w:w="0" w:type="auto"/>
            <w:hideMark/>
          </w:tcPr>
          <w:p w14:paraId="56C7389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w:t>
            </w:r>
          </w:p>
        </w:tc>
        <w:tc>
          <w:tcPr>
            <w:tcW w:w="0" w:type="auto"/>
            <w:hideMark/>
          </w:tcPr>
          <w:p w14:paraId="33D26719"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29CA020D"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45BD69A4"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0E8A85E8"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bl>
    <w:p w14:paraId="73A06E24" w14:textId="77777777" w:rsidR="00E97D29" w:rsidRDefault="00E97D29" w:rsidP="00896808">
      <w:pPr>
        <w:pStyle w:val="NormalWeb"/>
        <w:spacing w:before="0" w:beforeAutospacing="0" w:line="276" w:lineRule="auto"/>
      </w:pPr>
      <w:r>
        <w:t>Source: Field Survey (2025)</w:t>
      </w:r>
    </w:p>
    <w:p w14:paraId="6CAE5DFA" w14:textId="77777777" w:rsidR="00DA551D" w:rsidRPr="00DA551D" w:rsidRDefault="00DA551D" w:rsidP="00896808">
      <w:pPr>
        <w:rPr>
          <w:rFonts w:ascii="Times New Roman" w:eastAsiaTheme="minorEastAsia" w:hAnsi="Times New Roman" w:cs="Times New Roman"/>
          <w:sz w:val="28"/>
          <w:szCs w:val="24"/>
        </w:rPr>
      </w:pPr>
      <w:r w:rsidRPr="004117EF">
        <w:rPr>
          <w:rFonts w:ascii="Times New Roman" w:hAnsi="Times New Roman" w:cs="Times New Roman"/>
          <w:sz w:val="28"/>
        </w:rPr>
        <w:t xml:space="preserve">η² </w:t>
      </w:r>
      <w:r w:rsidRPr="004117EF">
        <w:rPr>
          <w:rFonts w:ascii="Times New Roman" w:hAnsi="Times New Roman" w:cs="Times New Roman"/>
          <w:i/>
          <w:sz w:val="28"/>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B</m:t>
            </m:r>
            <m:r>
              <w:rPr>
                <w:rStyle w:val="HTMLCode"/>
                <w:rFonts w:ascii="Cambria Math" w:hAnsi="Cambria Math" w:cs="Times New Roman"/>
                <w:sz w:val="28"/>
                <w:szCs w:val="24"/>
                <w:vertAlign w:val="subscript"/>
              </w:rPr>
              <m:t>etween</m:t>
            </m:r>
            <m:r>
              <w:rPr>
                <w:rStyle w:val="HTMLCode"/>
                <w:rFonts w:ascii="Cambria Math" w:hAnsi="Cambria Math" w:cs="Times New Roman"/>
                <w:sz w:val="28"/>
                <w:szCs w:val="24"/>
              </w:rPr>
              <m:t xml:space="preserve"> </m:t>
            </m:r>
          </m:num>
          <m:den>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Total</m:t>
            </m:r>
            <m:r>
              <w:rPr>
                <w:rStyle w:val="HTMLCode"/>
                <w:rFonts w:ascii="Cambria Math" w:hAnsi="Cambria Math" w:cs="Times New Roman"/>
                <w:sz w:val="28"/>
                <w:szCs w:val="24"/>
              </w:rPr>
              <m:t xml:space="preserve"> </m:t>
            </m:r>
          </m:den>
        </m:f>
      </m:oMath>
      <w:r w:rsidRPr="004117EF">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1.886</m:t>
            </m:r>
          </m:den>
        </m:f>
      </m:oMath>
      <w:r w:rsidRPr="004117EF">
        <w:rPr>
          <w:rStyle w:val="HTMLCode"/>
          <w:rFonts w:ascii="Times New Roman" w:hAnsi="Times New Roman" w:cs="Times New Roman"/>
          <w:sz w:val="28"/>
          <w:szCs w:val="24"/>
        </w:rPr>
        <w:t xml:space="preserve">  = 0.113</w:t>
      </w:r>
    </w:p>
    <w:p w14:paraId="7858263F" w14:textId="77777777" w:rsidR="00E97D29" w:rsidRDefault="00E97D29" w:rsidP="00896808">
      <w:pPr>
        <w:pStyle w:val="NormalWeb"/>
        <w:spacing w:before="0" w:beforeAutospacing="0" w:line="276" w:lineRule="auto"/>
      </w:pPr>
      <w:r w:rsidRPr="009C234A">
        <w:t xml:space="preserve">The effect size (η² = 0.113) indicates a </w:t>
      </w:r>
      <w:r w:rsidRPr="008C51EF">
        <w:rPr>
          <w:rStyle w:val="Strong"/>
          <w:b w:val="0"/>
        </w:rPr>
        <w:t>moderate practical effect</w:t>
      </w:r>
      <w:r w:rsidRPr="009C234A">
        <w:t>, suggesting that approximately 11.3% of the variation in climate change impact perceptions is explained by differences across LGAs.</w:t>
      </w:r>
    </w:p>
    <w:p w14:paraId="68C0246A" w14:textId="77777777" w:rsidR="00DA551D" w:rsidRPr="008E54AC"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3.4.1</w:t>
      </w:r>
      <w:r>
        <w:rPr>
          <w:rFonts w:ascii="Times New Roman" w:eastAsia="Times New Roman" w:hAnsi="Times New Roman" w:cs="Times New Roman"/>
          <w:b/>
          <w:color w:val="auto"/>
          <w:sz w:val="24"/>
          <w:szCs w:val="24"/>
        </w:rPr>
        <w:tab/>
      </w:r>
      <w:r w:rsidR="00DA551D" w:rsidRPr="008E54AC">
        <w:rPr>
          <w:rFonts w:ascii="Times New Roman" w:eastAsia="Times New Roman" w:hAnsi="Times New Roman" w:cs="Times New Roman"/>
          <w:b/>
          <w:color w:val="auto"/>
          <w:sz w:val="24"/>
          <w:szCs w:val="24"/>
        </w:rPr>
        <w:t>Post-Hoc Analysis: Tukey’s Honestly Significant Difference (HSD) Test</w:t>
      </w:r>
    </w:p>
    <w:p w14:paraId="2E41D525" w14:textId="77777777" w:rsidR="00DA551D" w:rsidRPr="008E54AC" w:rsidRDefault="00DA551D" w:rsidP="00896808">
      <w:pPr>
        <w:pStyle w:val="NormalWeb"/>
        <w:spacing w:before="0" w:beforeAutospacing="0" w:after="0" w:afterAutospacing="0" w:line="276" w:lineRule="auto"/>
        <w:rPr>
          <w:b/>
        </w:rPr>
      </w:pPr>
      <w:r w:rsidRPr="004117EF">
        <w:t xml:space="preserve">Since the null hypothesis was rejected, a </w:t>
      </w:r>
      <w:r w:rsidRPr="004117EF">
        <w:rPr>
          <w:rStyle w:val="Strong"/>
          <w:b w:val="0"/>
        </w:rPr>
        <w:t>Tukey HSD post-hoc test</w:t>
      </w:r>
      <w:r w:rsidRPr="004117EF">
        <w:t xml:space="preserve"> was conducted to determine </w:t>
      </w:r>
      <w:r w:rsidRPr="004117EF">
        <w:rPr>
          <w:rStyle w:val="Strong"/>
          <w:b w:val="0"/>
        </w:rPr>
        <w:t>which specific LGAs differ significantly</w:t>
      </w:r>
      <w:r w:rsidR="00AD0EAA">
        <w:rPr>
          <w:rStyle w:val="Strong"/>
          <w:b w:val="0"/>
        </w:rPr>
        <w:t xml:space="preserve"> as shown in Table 7</w:t>
      </w:r>
      <w:r w:rsidRPr="004117EF">
        <w:rPr>
          <w:b/>
        </w:rPr>
        <w:t>.</w:t>
      </w:r>
      <w:r>
        <w:rPr>
          <w:b/>
        </w:rPr>
        <w:t xml:space="preserve"> </w:t>
      </w:r>
      <w:r w:rsidRPr="00C455FA">
        <w:t>The test was based on the</w:t>
      </w:r>
      <w:r>
        <w:rPr>
          <w:rFonts w:eastAsia="Times New Roman"/>
        </w:rPr>
        <w:t xml:space="preserve"> a</w:t>
      </w:r>
      <w:r w:rsidRPr="004117EF">
        <w:rPr>
          <w:rFonts w:eastAsia="Times New Roman"/>
        </w:rPr>
        <w:t>ssumptions for Tukey Test</w:t>
      </w:r>
      <w:r>
        <w:rPr>
          <w:rFonts w:eastAsia="Times New Roman"/>
        </w:rPr>
        <w:t xml:space="preserve"> that: e</w:t>
      </w:r>
      <w:r w:rsidRPr="004117EF">
        <w:rPr>
          <w:rFonts w:eastAsia="Times New Roman"/>
        </w:rPr>
        <w:t xml:space="preserve">qual group sizes (each LGA has </w:t>
      </w:r>
      <w:r w:rsidRPr="004117EF">
        <w:rPr>
          <w:rStyle w:val="Strong"/>
          <w:rFonts w:eastAsia="Times New Roman"/>
          <w:b w:val="0"/>
        </w:rPr>
        <w:t>11 climate indicators</w:t>
      </w:r>
      <w:r>
        <w:rPr>
          <w:rFonts w:eastAsia="Times New Roman"/>
        </w:rPr>
        <w:t>), h</w:t>
      </w:r>
      <w:r w:rsidRPr="004117EF">
        <w:rPr>
          <w:rFonts w:eastAsia="Times New Roman"/>
        </w:rPr>
        <w:t xml:space="preserve">omogeneity of variance (satisfied via pooled </w:t>
      </w:r>
      <w:proofErr w:type="spellStart"/>
      <w:r w:rsidRPr="004117EF">
        <w:rPr>
          <w:rFonts w:eastAsia="Times New Roman"/>
        </w:rPr>
        <w:t>MSwithin</w:t>
      </w:r>
      <w:proofErr w:type="spellEnd"/>
      <w:r w:rsidRPr="004117EF">
        <w:rPr>
          <w:rFonts w:eastAsia="Times New Roman"/>
        </w:rPr>
        <w:t xml:space="preserve">) </w:t>
      </w:r>
      <w:r>
        <w:rPr>
          <w:rFonts w:eastAsia="Times New Roman"/>
        </w:rPr>
        <w:t>and n</w:t>
      </w:r>
      <w:r w:rsidRPr="004117EF">
        <w:rPr>
          <w:rFonts w:eastAsia="Times New Roman"/>
        </w:rPr>
        <w:t>o</w:t>
      </w:r>
      <w:r>
        <w:rPr>
          <w:rFonts w:eastAsia="Times New Roman"/>
        </w:rPr>
        <w:t>rmality assumed for index means.</w:t>
      </w:r>
    </w:p>
    <w:p w14:paraId="2E9AAFBA" w14:textId="77777777" w:rsidR="00DA551D" w:rsidRPr="00AD0EAA" w:rsidRDefault="00DA551D" w:rsidP="00896808">
      <w:pPr>
        <w:pStyle w:val="Heading3"/>
        <w:spacing w:before="0"/>
        <w:rPr>
          <w:rStyle w:val="HTMLCode"/>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Thus: Tukey HSD Formula</w:t>
      </w:r>
    </w:p>
    <w:p w14:paraId="7F5450C0" w14:textId="77777777" w:rsidR="00DA551D" w:rsidRPr="00DA551D" w:rsidRDefault="00DA551D" w:rsidP="00896808">
      <w:pPr>
        <w:pStyle w:val="HTMLPreformatted"/>
        <w:rPr>
          <w:rStyle w:val="HTMLCode"/>
          <w:rFonts w:ascii="Times New Roman" w:hAnsi="Times New Roman" w:cs="Times New Roman"/>
          <w:sz w:val="32"/>
          <w:szCs w:val="24"/>
        </w:rPr>
      </w:pPr>
      <w:r w:rsidRPr="009E3BBB">
        <w:rPr>
          <w:rStyle w:val="HTMLCode"/>
          <w:rFonts w:ascii="Times New Roman" w:hAnsi="Times New Roman" w:cs="Times New Roman"/>
          <w:i/>
          <w:szCs w:val="24"/>
        </w:rPr>
        <w:t xml:space="preserve">            </w:t>
      </w:r>
      <w:r w:rsidRPr="009E3BBB">
        <w:rPr>
          <w:rStyle w:val="HTMLCode"/>
          <w:rFonts w:ascii="Times New Roman" w:hAnsi="Times New Roman" w:cs="Times New Roman"/>
          <w:i/>
          <w:sz w:val="24"/>
          <w:szCs w:val="24"/>
        </w:rPr>
        <w:t xml:space="preserve">HSD = qα, k, </w:t>
      </w:r>
      <w:proofErr w:type="spellStart"/>
      <w:r w:rsidRPr="009E3BBB">
        <w:rPr>
          <w:rStyle w:val="HTMLCode"/>
          <w:rFonts w:ascii="Times New Roman" w:hAnsi="Times New Roman" w:cs="Times New Roman"/>
          <w:i/>
          <w:sz w:val="24"/>
          <w:szCs w:val="24"/>
        </w:rPr>
        <w:t>df</w:t>
      </w:r>
      <w:proofErr w:type="spellEnd"/>
      <w:r w:rsidRPr="009E3BBB">
        <w:rPr>
          <w:rStyle w:val="HTMLCode"/>
          <w:rFonts w:ascii="Times New Roman" w:hAnsi="Times New Roman" w:cs="Times New Roman"/>
          <w:i/>
          <w:sz w:val="24"/>
          <w:szCs w:val="24"/>
        </w:rPr>
        <w:t xml:space="preserve"> X</w:t>
      </w:r>
      <w:r w:rsidRPr="009E3BBB">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32"/>
                <w:szCs w:val="24"/>
                <w:bdr w:val="none" w:sz="0" w:space="0" w:color="auto" w:frame="1"/>
              </w:rPr>
            </m:ctrlPr>
          </m:radPr>
          <m:deg/>
          <m:e>
            <m:f>
              <m:fPr>
                <m:ctrlPr>
                  <w:rPr>
                    <w:rFonts w:ascii="Cambria Math" w:eastAsia="Times New Roman" w:hAnsi="Cambria Math" w:cs="Times New Roman"/>
                    <w:i/>
                    <w:sz w:val="32"/>
                    <w:szCs w:val="24"/>
                    <w:bdr w:val="none" w:sz="0" w:space="0" w:color="auto" w:frame="1"/>
                  </w:rPr>
                </m:ctrlPr>
              </m:fPr>
              <m:num>
                <m:r>
                  <w:rPr>
                    <w:rStyle w:val="HTMLCode"/>
                    <w:rFonts w:ascii="Cambria Math" w:hAnsi="Cambria Math" w:cs="Times New Roman"/>
                    <w:sz w:val="32"/>
                    <w:szCs w:val="24"/>
                  </w:rPr>
                  <m:t xml:space="preserve">MS </m:t>
                </m:r>
                <m:r>
                  <w:rPr>
                    <w:rStyle w:val="HTMLCode"/>
                    <w:rFonts w:ascii="Cambria Math" w:hAnsi="Cambria Math" w:cs="Times New Roman"/>
                    <w:sz w:val="32"/>
                    <w:szCs w:val="24"/>
                    <w:vertAlign w:val="subscript"/>
                  </w:rPr>
                  <m:t>Within</m:t>
                </m:r>
                <m:r>
                  <w:rPr>
                    <w:rStyle w:val="HTMLCode"/>
                    <w:rFonts w:ascii="Cambria Math" w:hAnsi="Cambria Math" w:cs="Times New Roman"/>
                    <w:sz w:val="32"/>
                    <w:szCs w:val="24"/>
                  </w:rPr>
                  <m:t xml:space="preserve">  </m:t>
                </m:r>
              </m:num>
              <m:den>
                <m:r>
                  <w:rPr>
                    <w:rFonts w:ascii="Cambria Math" w:eastAsia="Times New Roman" w:hAnsi="Cambria Math" w:cs="Times New Roman"/>
                    <w:sz w:val="32"/>
                    <w:szCs w:val="24"/>
                    <w:bdr w:val="none" w:sz="0" w:space="0" w:color="auto" w:frame="1"/>
                  </w:rPr>
                  <m:t>n</m:t>
                </m:r>
              </m:den>
            </m:f>
          </m:e>
        </m:rad>
      </m:oMath>
    </w:p>
    <w:p w14:paraId="60AAE250" w14:textId="77777777" w:rsidR="00DA551D" w:rsidRPr="009E3BBB" w:rsidRDefault="00DA551D" w:rsidP="00896808">
      <w:pPr>
        <w:pStyle w:val="NormalWeb"/>
        <w:spacing w:before="0" w:beforeAutospacing="0" w:after="0" w:afterAutospacing="0"/>
      </w:pPr>
      <w:r w:rsidRPr="009E3BBB">
        <w:t>Where:</w:t>
      </w:r>
    </w:p>
    <w:p w14:paraId="16B90DFA" w14:textId="77777777" w:rsidR="00DA551D" w:rsidRPr="009E3BBB" w:rsidRDefault="00DA551D" w:rsidP="00896808">
      <w:pPr>
        <w:spacing w:after="0"/>
        <w:ind w:left="720"/>
        <w:rPr>
          <w:rFonts w:ascii="Times New Roman" w:eastAsia="Times New Roman" w:hAnsi="Times New Roman" w:cs="Times New Roman"/>
          <w:sz w:val="24"/>
        </w:rPr>
      </w:pPr>
      <w:r w:rsidRPr="009E3BBB">
        <w:rPr>
          <w:rStyle w:val="HTMLCode"/>
          <w:rFonts w:ascii="Times New Roman" w:hAnsi="Times New Roman" w:cs="Times New Roman"/>
          <w:i/>
          <w:sz w:val="28"/>
          <w:szCs w:val="24"/>
        </w:rPr>
        <w:t xml:space="preserve">q </w:t>
      </w:r>
      <w:r w:rsidRPr="009E3BBB">
        <w:rPr>
          <w:rFonts w:ascii="Times New Roman" w:eastAsia="Times New Roman" w:hAnsi="Times New Roman" w:cs="Times New Roman"/>
          <w:sz w:val="24"/>
        </w:rPr>
        <w:t>= Studentized range statistic</w:t>
      </w:r>
    </w:p>
    <w:p w14:paraId="5459ED69" w14:textId="77777777" w:rsidR="00DA551D" w:rsidRPr="009E3BBB" w:rsidRDefault="00DA551D" w:rsidP="00896808">
      <w:pPr>
        <w:spacing w:after="0"/>
        <w:ind w:left="720"/>
        <w:rPr>
          <w:rFonts w:ascii="Times New Roman" w:eastAsia="Times New Roman" w:hAnsi="Times New Roman" w:cs="Times New Roman"/>
          <w:i/>
          <w:sz w:val="32"/>
        </w:rPr>
      </w:pPr>
      <w:r w:rsidRPr="009E3BBB">
        <w:rPr>
          <w:rStyle w:val="HTMLCode"/>
          <w:rFonts w:ascii="Times New Roman" w:hAnsi="Times New Roman" w:cs="Times New Roman"/>
          <w:i/>
          <w:sz w:val="28"/>
          <w:szCs w:val="24"/>
        </w:rPr>
        <w:lastRenderedPageBreak/>
        <w:t xml:space="preserve">MS </w:t>
      </w:r>
      <w:r w:rsidRPr="009E3BBB">
        <w:rPr>
          <w:rStyle w:val="HTMLCode"/>
          <w:rFonts w:ascii="Times New Roman" w:hAnsi="Times New Roman" w:cs="Times New Roman"/>
          <w:i/>
          <w:sz w:val="32"/>
          <w:szCs w:val="24"/>
          <w:vertAlign w:val="subscript"/>
        </w:rPr>
        <w:t xml:space="preserve">Within = </w:t>
      </w:r>
      <w:r w:rsidRPr="009E3BBB">
        <w:rPr>
          <w:rStyle w:val="HTMLCode"/>
          <w:rFonts w:ascii="Times New Roman" w:hAnsi="Times New Roman" w:cs="Times New Roman"/>
          <w:i/>
          <w:sz w:val="36"/>
          <w:szCs w:val="24"/>
          <w:vertAlign w:val="subscript"/>
        </w:rPr>
        <w:t>0.056</w:t>
      </w:r>
    </w:p>
    <w:p w14:paraId="18F5BAD3"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n</w:t>
      </w:r>
      <w:r w:rsidRPr="009E3BBB">
        <w:rPr>
          <w:rFonts w:ascii="Times New Roman" w:eastAsia="Times New Roman" w:hAnsi="Times New Roman" w:cs="Times New Roman"/>
          <w:sz w:val="24"/>
        </w:rPr>
        <w:t xml:space="preserve"> = 11 indicators per LGA</w:t>
      </w:r>
    </w:p>
    <w:p w14:paraId="260CF6CA"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k</w:t>
      </w:r>
      <w:r w:rsidRPr="009E3BBB">
        <w:rPr>
          <w:rFonts w:ascii="Times New Roman" w:eastAsia="Times New Roman" w:hAnsi="Times New Roman" w:cs="Times New Roman"/>
          <w:sz w:val="24"/>
        </w:rPr>
        <w:t xml:space="preserve"> = 3 groups</w:t>
      </w:r>
    </w:p>
    <w:p w14:paraId="5A645775" w14:textId="77777777" w:rsidR="00DA551D" w:rsidRPr="009E3BBB" w:rsidRDefault="00DA551D" w:rsidP="00896808">
      <w:pPr>
        <w:spacing w:after="0"/>
        <w:ind w:left="720"/>
        <w:rPr>
          <w:rFonts w:ascii="Times New Roman" w:eastAsia="Times New Roman" w:hAnsi="Times New Roman" w:cs="Times New Roman"/>
          <w:sz w:val="24"/>
        </w:rPr>
      </w:pPr>
      <w:proofErr w:type="spellStart"/>
      <w:r w:rsidRPr="009E3BBB">
        <w:rPr>
          <w:rFonts w:ascii="Times New Roman" w:eastAsia="Times New Roman" w:hAnsi="Times New Roman" w:cs="Times New Roman"/>
          <w:i/>
          <w:sz w:val="24"/>
        </w:rPr>
        <w:t>df</w:t>
      </w:r>
      <w:proofErr w:type="spellEnd"/>
      <w:r w:rsidRPr="009E3BBB">
        <w:rPr>
          <w:rFonts w:ascii="Times New Roman" w:eastAsia="Times New Roman" w:hAnsi="Times New Roman" w:cs="Times New Roman"/>
          <w:sz w:val="24"/>
        </w:rPr>
        <w:t xml:space="preserve"> = 30</w:t>
      </w:r>
    </w:p>
    <w:p w14:paraId="567C068F" w14:textId="77777777" w:rsidR="00DA551D" w:rsidRPr="009E3BBB" w:rsidRDefault="00DA551D" w:rsidP="00896808">
      <w:pPr>
        <w:pStyle w:val="NormalWeb"/>
        <w:spacing w:before="0" w:beforeAutospacing="0"/>
        <w:rPr>
          <w:rStyle w:val="HTMLCode"/>
          <w:rFonts w:ascii="Times New Roman" w:hAnsi="Times New Roman" w:cs="Times New Roman"/>
          <w:sz w:val="22"/>
          <w:szCs w:val="24"/>
        </w:rPr>
      </w:pPr>
      <w:r w:rsidRPr="009E3BBB">
        <w:rPr>
          <w:sz w:val="22"/>
        </w:rPr>
        <w:t>From Tukey tables:</w:t>
      </w:r>
    </w:p>
    <w:p w14:paraId="6F147ABB" w14:textId="77777777" w:rsidR="00DA551D" w:rsidRPr="00DA551D" w:rsidRDefault="00DA551D" w:rsidP="00896808">
      <w:pPr>
        <w:pStyle w:val="HTMLPreformatted"/>
        <w:rPr>
          <w:rStyle w:val="HTMLCode"/>
          <w:rFonts w:ascii="Times New Roman" w:hAnsi="Times New Roman" w:cs="Times New Roman"/>
          <w:i/>
          <w:sz w:val="24"/>
          <w:szCs w:val="24"/>
        </w:rPr>
      </w:pPr>
      <w:r w:rsidRPr="00DA551D">
        <w:rPr>
          <w:rStyle w:val="HTMLCode"/>
          <w:rFonts w:ascii="Times New Roman" w:hAnsi="Times New Roman" w:cs="Times New Roman"/>
          <w:sz w:val="24"/>
          <w:szCs w:val="24"/>
        </w:rPr>
        <w:t xml:space="preserve">   </w:t>
      </w:r>
      <w:r w:rsidRPr="00DA551D">
        <w:rPr>
          <w:rStyle w:val="HTMLCode"/>
          <w:rFonts w:ascii="Times New Roman" w:hAnsi="Times New Roman" w:cs="Times New Roman"/>
          <w:sz w:val="24"/>
          <w:szCs w:val="24"/>
        </w:rPr>
        <w:tab/>
        <w:t xml:space="preserve"> </w:t>
      </w:r>
      <w:r w:rsidRPr="00DA551D">
        <w:rPr>
          <w:rStyle w:val="HTMLCode"/>
          <w:rFonts w:ascii="Times New Roman" w:hAnsi="Times New Roman" w:cs="Times New Roman"/>
          <w:i/>
          <w:sz w:val="28"/>
          <w:szCs w:val="24"/>
        </w:rPr>
        <w:t>q0.05,3,30≈3.506</w:t>
      </w:r>
    </w:p>
    <w:p w14:paraId="7FB54F84" w14:textId="77777777" w:rsidR="00DA551D" w:rsidRPr="00DA551D" w:rsidRDefault="00DA551D" w:rsidP="00896808">
      <w:pPr>
        <w:pStyle w:val="Heading3"/>
        <w:spacing w:before="0" w:line="240" w:lineRule="auto"/>
        <w:rPr>
          <w:rFonts w:ascii="Times New Roman" w:eastAsia="Times New Roman" w:hAnsi="Times New Roman" w:cs="Times New Roman"/>
          <w:color w:val="auto"/>
          <w:sz w:val="24"/>
          <w:szCs w:val="24"/>
        </w:rPr>
      </w:pPr>
    </w:p>
    <w:p w14:paraId="69B87742" w14:textId="77777777" w:rsidR="00DA551D" w:rsidRPr="009E3BBB" w:rsidRDefault="00DA551D" w:rsidP="00896808">
      <w:pPr>
        <w:pStyle w:val="Heading3"/>
        <w:spacing w:before="0" w:line="240" w:lineRule="auto"/>
        <w:rPr>
          <w:rFonts w:ascii="Times New Roman" w:eastAsia="Times New Roman" w:hAnsi="Times New Roman" w:cs="Times New Roman"/>
          <w:b w:val="0"/>
          <w:color w:val="auto"/>
          <w:szCs w:val="24"/>
        </w:rPr>
      </w:pPr>
      <w:r w:rsidRPr="009E3BBB">
        <w:rPr>
          <w:rFonts w:ascii="Times New Roman" w:eastAsia="Times New Roman" w:hAnsi="Times New Roman" w:cs="Times New Roman"/>
          <w:b w:val="0"/>
          <w:color w:val="auto"/>
          <w:szCs w:val="24"/>
        </w:rPr>
        <w:t>Compute HSD:</w:t>
      </w:r>
    </w:p>
    <w:p w14:paraId="64C40600" w14:textId="77777777" w:rsidR="00DA551D" w:rsidRPr="009E3BBB" w:rsidRDefault="00DA551D" w:rsidP="00896808">
      <w:pPr>
        <w:pStyle w:val="HTMLPreformatted"/>
        <w:rPr>
          <w:rStyle w:val="HTMLCode"/>
          <w:rFonts w:ascii="Times New Roman" w:hAnsi="Times New Roman" w:cs="Times New Roman"/>
          <w:sz w:val="24"/>
          <w:szCs w:val="24"/>
        </w:rPr>
      </w:pPr>
      <w:r w:rsidRPr="009E3BBB">
        <w:rPr>
          <w:rStyle w:val="HTMLCode"/>
          <w:rFonts w:ascii="Times New Roman" w:hAnsi="Times New Roman" w:cs="Times New Roman"/>
          <w:sz w:val="22"/>
          <w:szCs w:val="24"/>
        </w:rPr>
        <w:tab/>
      </w:r>
      <w:r w:rsidRPr="009E3BBB">
        <w:rPr>
          <w:rStyle w:val="HTMLCode"/>
          <w:rFonts w:ascii="Times New Roman" w:hAnsi="Times New Roman" w:cs="Times New Roman"/>
          <w:i/>
          <w:sz w:val="22"/>
          <w:szCs w:val="24"/>
        </w:rPr>
        <w:t>HSD</w:t>
      </w:r>
      <w:r w:rsidRPr="009E3BBB">
        <w:rPr>
          <w:rStyle w:val="HTMLCode"/>
          <w:rFonts w:ascii="Times New Roman" w:hAnsi="Times New Roman" w:cs="Times New Roman"/>
          <w:sz w:val="22"/>
          <w:szCs w:val="24"/>
        </w:rPr>
        <w:t xml:space="preserve"> = 3.506 ×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 xml:space="preserve">0.056  </m:t>
                </m:r>
              </m:num>
              <m:den>
                <m:r>
                  <w:rPr>
                    <w:rFonts w:ascii="Cambria Math" w:eastAsia="Times New Roman" w:hAnsi="Cambria Math" w:cs="Times New Roman"/>
                    <w:sz w:val="24"/>
                    <w:szCs w:val="24"/>
                    <w:bdr w:val="none" w:sz="0" w:space="0" w:color="auto" w:frame="1"/>
                  </w:rPr>
                  <m:t>11</m:t>
                </m:r>
              </m:den>
            </m:f>
          </m:e>
        </m:rad>
      </m:oMath>
      <w:r w:rsidRPr="009E3BBB">
        <w:rPr>
          <w:rStyle w:val="HTMLCode"/>
          <w:rFonts w:ascii="Times New Roman" w:hAnsi="Times New Roman" w:cs="Times New Roman"/>
          <w:sz w:val="24"/>
          <w:szCs w:val="24"/>
        </w:rPr>
        <w:t xml:space="preserve"> </w:t>
      </w:r>
    </w:p>
    <w:p w14:paraId="4F2724D6" w14:textId="77777777" w:rsidR="00DA551D" w:rsidRPr="009E3BBB" w:rsidRDefault="00DA551D" w:rsidP="00896808">
      <w:pPr>
        <w:pStyle w:val="HTMLPreformatted"/>
        <w:rPr>
          <w:rStyle w:val="HTMLCode"/>
          <w:rFonts w:ascii="Times New Roman" w:hAnsi="Times New Roman" w:cs="Times New Roman"/>
          <w:sz w:val="22"/>
          <w:szCs w:val="24"/>
        </w:rPr>
      </w:pPr>
    </w:p>
    <w:p w14:paraId="2BBD02BB"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w:t>
      </w:r>
      <m:oMath>
        <m:rad>
          <m:radPr>
            <m:degHide m:val="1"/>
            <m:ctrlPr>
              <w:rPr>
                <w:rStyle w:val="HTMLCode"/>
                <w:rFonts w:ascii="Cambria Math" w:hAnsi="Cambria Math" w:cs="Times New Roman"/>
                <w:i/>
                <w:sz w:val="22"/>
                <w:szCs w:val="24"/>
              </w:rPr>
            </m:ctrlPr>
          </m:radPr>
          <m:deg/>
          <m:e>
            <m:r>
              <w:rPr>
                <w:rStyle w:val="HTMLCode"/>
                <w:rFonts w:ascii="Cambria Math" w:hAnsi="Cambria Math" w:cs="Times New Roman"/>
                <w:sz w:val="22"/>
                <w:szCs w:val="24"/>
              </w:rPr>
              <m:t>0.00509</m:t>
            </m:r>
          </m:e>
        </m:rad>
      </m:oMath>
    </w:p>
    <w:p w14:paraId="0D1E835F" w14:textId="77777777" w:rsidR="00DA551D" w:rsidRPr="009E3BBB" w:rsidRDefault="00DA551D" w:rsidP="00896808">
      <w:pPr>
        <w:pStyle w:val="HTMLPreformatted"/>
        <w:rPr>
          <w:rStyle w:val="HTMLCode"/>
          <w:rFonts w:ascii="Times New Roman" w:hAnsi="Times New Roman" w:cs="Times New Roman"/>
          <w:sz w:val="22"/>
          <w:szCs w:val="24"/>
        </w:rPr>
      </w:pPr>
    </w:p>
    <w:p w14:paraId="66A29945"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0.0713</w:t>
      </w:r>
    </w:p>
    <w:p w14:paraId="06DECA08" w14:textId="77777777" w:rsidR="00DA551D" w:rsidRPr="009E3BBB" w:rsidRDefault="00DA551D" w:rsidP="00896808">
      <w:pPr>
        <w:pStyle w:val="HTMLPreformatted"/>
        <w:rPr>
          <w:rStyle w:val="HTMLCode"/>
          <w:rFonts w:ascii="Times New Roman" w:hAnsi="Times New Roman" w:cs="Times New Roman"/>
          <w:sz w:val="22"/>
          <w:szCs w:val="24"/>
        </w:rPr>
      </w:pPr>
    </w:p>
    <w:p w14:paraId="2BF93FD7"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0.25</w:t>
      </w:r>
    </w:p>
    <w:p w14:paraId="1412F805" w14:textId="77777777" w:rsidR="00DA551D" w:rsidRPr="009E3BBB" w:rsidRDefault="00DA551D" w:rsidP="00896808">
      <w:pPr>
        <w:pStyle w:val="NormalWeb"/>
        <w:spacing w:before="0" w:beforeAutospacing="0"/>
        <w:rPr>
          <w:sz w:val="14"/>
        </w:rPr>
      </w:pPr>
    </w:p>
    <w:p w14:paraId="36C19449" w14:textId="77777777" w:rsidR="00E97D29" w:rsidRPr="00AD0EAA" w:rsidRDefault="00E97D29" w:rsidP="00896808">
      <w:pPr>
        <w:pStyle w:val="Heading3"/>
        <w:spacing w:before="0"/>
        <w:rPr>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Table 7: Tukey HSD Post-Hoc Test for CCII across LGAs</w:t>
      </w:r>
    </w:p>
    <w:tbl>
      <w:tblPr>
        <w:tblStyle w:val="LightShading"/>
        <w:tblW w:w="0" w:type="auto"/>
        <w:tblLook w:val="0720" w:firstRow="1" w:lastRow="0" w:firstColumn="0" w:lastColumn="1" w:noHBand="1" w:noVBand="1"/>
      </w:tblPr>
      <w:tblGrid>
        <w:gridCol w:w="2274"/>
        <w:gridCol w:w="1813"/>
        <w:gridCol w:w="1602"/>
        <w:gridCol w:w="1338"/>
        <w:gridCol w:w="924"/>
        <w:gridCol w:w="1625"/>
      </w:tblGrid>
      <w:tr w:rsidR="00E97D29" w:rsidRPr="009C234A" w14:paraId="57EC3838"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3B627E66"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LGA Comparison</w:t>
            </w:r>
          </w:p>
        </w:tc>
        <w:tc>
          <w:tcPr>
            <w:tcW w:w="0" w:type="auto"/>
            <w:hideMark/>
          </w:tcPr>
          <w:p w14:paraId="4C97ECA4"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Difference</w:t>
            </w:r>
          </w:p>
        </w:tc>
        <w:tc>
          <w:tcPr>
            <w:tcW w:w="0" w:type="auto"/>
            <w:hideMark/>
          </w:tcPr>
          <w:p w14:paraId="7B5E246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Standard Error</w:t>
            </w:r>
          </w:p>
        </w:tc>
        <w:tc>
          <w:tcPr>
            <w:tcW w:w="0" w:type="auto"/>
            <w:hideMark/>
          </w:tcPr>
          <w:p w14:paraId="65A7283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Tukey HSD</w:t>
            </w:r>
          </w:p>
        </w:tc>
        <w:tc>
          <w:tcPr>
            <w:tcW w:w="0" w:type="auto"/>
            <w:hideMark/>
          </w:tcPr>
          <w:p w14:paraId="58BE5A49"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99A84FA"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Decision</w:t>
            </w:r>
          </w:p>
        </w:tc>
      </w:tr>
      <w:tr w:rsidR="00E97D29" w:rsidRPr="009C234A" w14:paraId="364D2D34" w14:textId="77777777" w:rsidTr="00EA3EF4">
        <w:tc>
          <w:tcPr>
            <w:tcW w:w="0" w:type="auto"/>
            <w:hideMark/>
          </w:tcPr>
          <w:p w14:paraId="1C35AE89"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 vs Ganye</w:t>
            </w:r>
          </w:p>
        </w:tc>
        <w:tc>
          <w:tcPr>
            <w:tcW w:w="0" w:type="auto"/>
            <w:hideMark/>
          </w:tcPr>
          <w:p w14:paraId="527590B7"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0.14</w:t>
            </w:r>
          </w:p>
        </w:tc>
        <w:tc>
          <w:tcPr>
            <w:tcW w:w="0" w:type="auto"/>
            <w:hideMark/>
          </w:tcPr>
          <w:p w14:paraId="033D993F"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6D2CB46A"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67123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2078A30"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56B1002D" w14:textId="77777777" w:rsidTr="00EA3EF4">
        <w:tc>
          <w:tcPr>
            <w:tcW w:w="0" w:type="auto"/>
            <w:hideMark/>
          </w:tcPr>
          <w:p w14:paraId="49CBEE98"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r w:rsidRPr="009C234A">
              <w:rPr>
                <w:rFonts w:ascii="Times New Roman" w:eastAsia="Times New Roman" w:hAnsi="Times New Roman" w:cs="Times New Roman"/>
                <w:color w:val="auto"/>
                <w:sz w:val="24"/>
                <w:szCs w:val="24"/>
              </w:rPr>
              <w:t xml:space="preserve"> </w:t>
            </w:r>
            <w:proofErr w:type="spellStart"/>
            <w:r w:rsidRPr="009C234A">
              <w:rPr>
                <w:rFonts w:ascii="Times New Roman" w:eastAsia="Times New Roman" w:hAnsi="Times New Roman" w:cs="Times New Roman"/>
                <w:color w:val="auto"/>
                <w:sz w:val="24"/>
                <w:szCs w:val="24"/>
              </w:rPr>
              <w:t>vs</w:t>
            </w:r>
            <w:proofErr w:type="spellEnd"/>
            <w:r w:rsidRPr="009C234A">
              <w:rPr>
                <w:rFonts w:ascii="Times New Roman" w:eastAsia="Times New Roman" w:hAnsi="Times New Roman" w:cs="Times New Roman"/>
                <w:color w:val="auto"/>
                <w:sz w:val="24"/>
                <w:szCs w:val="24"/>
              </w:rPr>
              <w:t xml:space="preserve"> </w:t>
            </w:r>
            <w:proofErr w:type="spellStart"/>
            <w:r w:rsidRPr="009C234A">
              <w:rPr>
                <w:rFonts w:ascii="Times New Roman" w:eastAsia="Times New Roman" w:hAnsi="Times New Roman" w:cs="Times New Roman"/>
                <w:color w:val="auto"/>
                <w:sz w:val="24"/>
                <w:szCs w:val="24"/>
              </w:rPr>
              <w:t>Mubi</w:t>
            </w:r>
            <w:proofErr w:type="spellEnd"/>
            <w:r w:rsidRPr="009C234A">
              <w:rPr>
                <w:rFonts w:ascii="Times New Roman" w:eastAsia="Times New Roman" w:hAnsi="Times New Roman" w:cs="Times New Roman"/>
                <w:color w:val="auto"/>
                <w:sz w:val="24"/>
                <w:szCs w:val="24"/>
              </w:rPr>
              <w:t xml:space="preserve"> North</w:t>
            </w:r>
          </w:p>
        </w:tc>
        <w:tc>
          <w:tcPr>
            <w:tcW w:w="0" w:type="auto"/>
            <w:hideMark/>
          </w:tcPr>
          <w:p w14:paraId="2F8D1AB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0.04</w:t>
            </w:r>
          </w:p>
        </w:tc>
        <w:tc>
          <w:tcPr>
            <w:tcW w:w="0" w:type="auto"/>
            <w:hideMark/>
          </w:tcPr>
          <w:p w14:paraId="534745C9"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04CFF4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54EAC0D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CF46419"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2C4FE9E0" w14:textId="77777777" w:rsidTr="00EA3EF4">
        <w:tc>
          <w:tcPr>
            <w:tcW w:w="0" w:type="auto"/>
            <w:hideMark/>
          </w:tcPr>
          <w:p w14:paraId="5F60AA2B"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proofErr w:type="spellStart"/>
            <w:r w:rsidRPr="009C234A">
              <w:rPr>
                <w:rFonts w:ascii="Times New Roman" w:eastAsia="Times New Roman" w:hAnsi="Times New Roman" w:cs="Times New Roman"/>
                <w:color w:val="auto"/>
                <w:sz w:val="24"/>
                <w:szCs w:val="24"/>
              </w:rPr>
              <w:t>Fufore</w:t>
            </w:r>
            <w:proofErr w:type="spellEnd"/>
            <w:r w:rsidRPr="009C234A">
              <w:rPr>
                <w:rFonts w:ascii="Times New Roman" w:eastAsia="Times New Roman" w:hAnsi="Times New Roman" w:cs="Times New Roman"/>
                <w:color w:val="auto"/>
                <w:sz w:val="24"/>
                <w:szCs w:val="24"/>
              </w:rPr>
              <w:t xml:space="preserve"> </w:t>
            </w:r>
            <w:proofErr w:type="spellStart"/>
            <w:r w:rsidRPr="009C234A">
              <w:rPr>
                <w:rFonts w:ascii="Times New Roman" w:eastAsia="Times New Roman" w:hAnsi="Times New Roman" w:cs="Times New Roman"/>
                <w:color w:val="auto"/>
                <w:sz w:val="24"/>
                <w:szCs w:val="24"/>
              </w:rPr>
              <w:t>vs</w:t>
            </w:r>
            <w:proofErr w:type="spellEnd"/>
            <w:r w:rsidRPr="009C234A">
              <w:rPr>
                <w:rFonts w:ascii="Times New Roman" w:eastAsia="Times New Roman" w:hAnsi="Times New Roman" w:cs="Times New Roman"/>
                <w:color w:val="auto"/>
                <w:sz w:val="24"/>
                <w:szCs w:val="24"/>
              </w:rPr>
              <w:t xml:space="preserve"> </w:t>
            </w:r>
            <w:proofErr w:type="spellStart"/>
            <w:r w:rsidRPr="009C234A">
              <w:rPr>
                <w:rFonts w:ascii="Times New Roman" w:eastAsia="Times New Roman" w:hAnsi="Times New Roman" w:cs="Times New Roman"/>
                <w:color w:val="auto"/>
                <w:sz w:val="24"/>
                <w:szCs w:val="24"/>
              </w:rPr>
              <w:t>Ganye</w:t>
            </w:r>
            <w:proofErr w:type="spellEnd"/>
          </w:p>
        </w:tc>
        <w:tc>
          <w:tcPr>
            <w:tcW w:w="0" w:type="auto"/>
            <w:hideMark/>
          </w:tcPr>
          <w:p w14:paraId="1A6D1C1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0.18</w:t>
            </w:r>
          </w:p>
        </w:tc>
        <w:tc>
          <w:tcPr>
            <w:tcW w:w="0" w:type="auto"/>
            <w:hideMark/>
          </w:tcPr>
          <w:p w14:paraId="66DAC05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110E5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3035C67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1A0AD311"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bl>
    <w:p w14:paraId="10CC00C8" w14:textId="77777777" w:rsidR="00E97D29" w:rsidRDefault="00E97D29" w:rsidP="00896808">
      <w:pPr>
        <w:pStyle w:val="NormalWeb"/>
        <w:spacing w:before="0" w:beforeAutospacing="0" w:line="276" w:lineRule="auto"/>
      </w:pPr>
      <w:r>
        <w:t>Source: Field Survey (2025)</w:t>
      </w:r>
    </w:p>
    <w:p w14:paraId="7D46BA4A" w14:textId="77777777" w:rsidR="00902EE0" w:rsidRPr="008F1DAF" w:rsidRDefault="00902EE0" w:rsidP="00896808">
      <w:pPr>
        <w:pStyle w:val="Heading2"/>
        <w:spacing w:before="0"/>
        <w:jc w:val="both"/>
        <w:rPr>
          <w:rFonts w:ascii="Times New Roman" w:eastAsia="Times New Roman" w:hAnsi="Times New Roman" w:cs="Times New Roman"/>
          <w:i/>
          <w:color w:val="auto"/>
          <w:sz w:val="24"/>
          <w:szCs w:val="24"/>
        </w:rPr>
      </w:pPr>
      <w:r w:rsidRPr="008F1DAF">
        <w:rPr>
          <w:rStyle w:val="Emphasis"/>
          <w:rFonts w:ascii="Times New Roman" w:hAnsi="Times New Roman" w:cs="Times New Roman"/>
          <w:i w:val="0"/>
          <w:color w:val="auto"/>
          <w:sz w:val="24"/>
          <w:szCs w:val="24"/>
        </w:rPr>
        <w:t>Although</w:t>
      </w:r>
      <w:r w:rsidR="00AD0EAA">
        <w:rPr>
          <w:rStyle w:val="Emphasis"/>
          <w:rFonts w:ascii="Times New Roman" w:hAnsi="Times New Roman" w:cs="Times New Roman"/>
          <w:i w:val="0"/>
          <w:color w:val="auto"/>
          <w:sz w:val="24"/>
          <w:szCs w:val="24"/>
        </w:rPr>
        <w:t>,</w:t>
      </w:r>
      <w:r w:rsidRPr="008F1DAF">
        <w:rPr>
          <w:rStyle w:val="Emphasis"/>
          <w:rFonts w:ascii="Times New Roman" w:hAnsi="Times New Roman" w:cs="Times New Roman"/>
          <w:i w:val="0"/>
          <w:color w:val="auto"/>
          <w:sz w:val="24"/>
          <w:szCs w:val="24"/>
        </w:rPr>
        <w:t xml:space="preserve"> the one-way ANOVA indicated a statistically significant overall difference in Composite Climate Change Impact Index (CCII) across the three LGAs (</w:t>
      </w:r>
      <w:proofErr w:type="gramStart"/>
      <w:r w:rsidRPr="008F1DAF">
        <w:rPr>
          <w:rStyle w:val="Emphasis"/>
          <w:rFonts w:ascii="Times New Roman" w:hAnsi="Times New Roman" w:cs="Times New Roman"/>
          <w:i w:val="0"/>
          <w:color w:val="auto"/>
          <w:sz w:val="24"/>
          <w:szCs w:val="24"/>
        </w:rPr>
        <w:t>F(</w:t>
      </w:r>
      <w:proofErr w:type="gramEnd"/>
      <w:r w:rsidRPr="008F1DAF">
        <w:rPr>
          <w:rStyle w:val="Emphasis"/>
          <w:rFonts w:ascii="Times New Roman" w:hAnsi="Times New Roman" w:cs="Times New Roman"/>
          <w:i w:val="0"/>
          <w:color w:val="auto"/>
          <w:sz w:val="24"/>
          <w:szCs w:val="24"/>
        </w:rPr>
        <w:t>2, 30) = 4.27, p = 0.023), the Tukey HSD post-hoc test revealed that none of the pairwise comparisons between LGAs were statistically significant at the 5% level. This suggests that the observed overall difference is driven by cumulative variation across LGAs rather than large differences between any specific pair of LGAs.</w:t>
      </w:r>
    </w:p>
    <w:p w14:paraId="53EA2CCC" w14:textId="77777777" w:rsidR="009E3BBB" w:rsidRPr="009E3BBB" w:rsidRDefault="009E3BBB" w:rsidP="00896808">
      <w:pPr>
        <w:pStyle w:val="Heading2"/>
        <w:spacing w:before="0" w:line="276" w:lineRule="auto"/>
        <w:jc w:val="both"/>
        <w:rPr>
          <w:rFonts w:ascii="Times New Roman" w:eastAsia="Times New Roman" w:hAnsi="Times New Roman" w:cs="Times New Roman"/>
          <w:b/>
          <w:color w:val="auto"/>
          <w:sz w:val="16"/>
          <w:szCs w:val="24"/>
        </w:rPr>
      </w:pPr>
    </w:p>
    <w:p w14:paraId="60C0FAFA" w14:textId="77777777" w:rsidR="00E97D29" w:rsidRDefault="0098226B" w:rsidP="00896808">
      <w:pPr>
        <w:pStyle w:val="Heading2"/>
        <w:spacing w:before="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auto"/>
          <w:sz w:val="24"/>
          <w:szCs w:val="24"/>
        </w:rPr>
        <w:t>3. 5</w:t>
      </w:r>
      <w:r>
        <w:rPr>
          <w:rFonts w:ascii="Times New Roman" w:eastAsia="Times New Roman" w:hAnsi="Times New Roman" w:cs="Times New Roman"/>
          <w:b/>
          <w:color w:val="auto"/>
          <w:sz w:val="24"/>
          <w:szCs w:val="24"/>
        </w:rPr>
        <w:tab/>
      </w:r>
      <w:r w:rsidR="00AD0EAA" w:rsidRPr="00A87108">
        <w:rPr>
          <w:rFonts w:ascii="Times New Roman" w:eastAsia="Times New Roman" w:hAnsi="Times New Roman" w:cs="Times New Roman"/>
          <w:b/>
          <w:color w:val="auto"/>
          <w:sz w:val="24"/>
          <w:szCs w:val="24"/>
        </w:rPr>
        <w:t>Discussion</w:t>
      </w:r>
      <w:r w:rsidR="00E97D29" w:rsidRPr="00A87108">
        <w:rPr>
          <w:rFonts w:ascii="Times New Roman" w:eastAsia="Times New Roman" w:hAnsi="Times New Roman" w:cs="Times New Roman"/>
          <w:b/>
          <w:sz w:val="24"/>
          <w:szCs w:val="24"/>
        </w:rPr>
        <w:t xml:space="preserve"> </w:t>
      </w:r>
    </w:p>
    <w:p w14:paraId="7BC2D654"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The results of this study reveal that climate variability and change have notably disrupted food crop production and rural livelihoods in Adamawa State, in line with evidence from other regions in sub-Saharan Africa. The high Composite Climate Change Impact Index (CCII) observed across Mubi North, </w:t>
      </w:r>
      <w:proofErr w:type="spellStart"/>
      <w:r w:rsidRPr="00EA3EF4">
        <w:rPr>
          <w:rFonts w:ascii="Times New Roman" w:hAnsi="Times New Roman" w:cs="Times New Roman"/>
          <w:sz w:val="24"/>
          <w:szCs w:val="24"/>
        </w:rPr>
        <w:t>Ganye</w:t>
      </w:r>
      <w:proofErr w:type="spellEnd"/>
      <w:r w:rsidRPr="00EA3EF4">
        <w:rPr>
          <w:rFonts w:ascii="Times New Roman" w:hAnsi="Times New Roman" w:cs="Times New Roman"/>
          <w:sz w:val="24"/>
          <w:szCs w:val="24"/>
        </w:rPr>
        <w:t xml:space="preserve">, and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 xml:space="preserve"> is consistent with recent reviews indicating that </w:t>
      </w:r>
      <w:r w:rsidRPr="00EA3EF4">
        <w:rPr>
          <w:rFonts w:ascii="Times New Roman" w:hAnsi="Times New Roman" w:cs="Times New Roman"/>
          <w:sz w:val="24"/>
          <w:szCs w:val="24"/>
        </w:rPr>
        <w:lastRenderedPageBreak/>
        <w:t>unpredictable rainfall, extended droughts, and rising temperatures are major constraints to agricultural productivity both within Nigeria and across the continent (Adebayo et al., 2025). These climatic stressors negatively affect not only crop yields but also soil fertility and planting schedules, thereby threatening household food security and income stability.</w:t>
      </w:r>
    </w:p>
    <w:p w14:paraId="7CA55E88"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Farmers’ perceptions of increased climate uncertainty correspond with patterns documented in other African contexts. For instance, in Masaba South Sub-County, Kenya, rural farmers reported delayed rainfall, reduced precipitation, and rising temperatures, prompting adaptation measures such as crop diversification and adjustment of planting dates (Karimi et al., 2021). Similarly, smallholder farmers in Ethiopia identified frequent droughts, irregular rainfall, and temperature fluctuations as major risks influencing their agricultural decisions (Deressa et al., 2017). These cross-regional observations suggest that the climate impacts perceived by households in Adamawa reflect actual physical changes affecting rain-fed agriculture.</w:t>
      </w:r>
    </w:p>
    <w:p w14:paraId="6F2877B9"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The study also found notable spatial differences in climate impacts across the LGAs, supporting previous findings that vulnerability and adaptive capacity vary even within small geographic regions. Differences in agro-ecological conditions, soil quality, and access to water create localized risk profiles, as documented in other smallholder farming systems (Brown &amp; Funk, 2008). This underscores the need for location-specific adaptation planning, as crop production systems are exposed to climate stress to varying degrees.</w:t>
      </w:r>
    </w:p>
    <w:p w14:paraId="7E85D8D5" w14:textId="2134F42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Importantly, the research indic</w:t>
      </w:r>
      <w:r w:rsidR="009E3BBB">
        <w:rPr>
          <w:rFonts w:ascii="Times New Roman" w:hAnsi="Times New Roman" w:cs="Times New Roman"/>
          <w:sz w:val="24"/>
          <w:szCs w:val="24"/>
        </w:rPr>
        <w:t xml:space="preserve">ates that adaptation strategies </w:t>
      </w:r>
      <w:r w:rsidRPr="00EA3EF4">
        <w:rPr>
          <w:rFonts w:ascii="Times New Roman" w:hAnsi="Times New Roman" w:cs="Times New Roman"/>
          <w:sz w:val="24"/>
          <w:szCs w:val="24"/>
        </w:rPr>
        <w:t>such as crop diversification, use of drought-tolerant varieties,</w:t>
      </w:r>
      <w:r w:rsidR="009E3BBB">
        <w:rPr>
          <w:rFonts w:ascii="Times New Roman" w:hAnsi="Times New Roman" w:cs="Times New Roman"/>
          <w:sz w:val="24"/>
          <w:szCs w:val="24"/>
        </w:rPr>
        <w:t xml:space="preserve"> and livelihood diversification </w:t>
      </w:r>
      <w:r w:rsidRPr="00EA3EF4">
        <w:rPr>
          <w:rFonts w:ascii="Times New Roman" w:hAnsi="Times New Roman" w:cs="Times New Roman"/>
          <w:sz w:val="24"/>
          <w:szCs w:val="24"/>
        </w:rPr>
        <w:t>helped mitigate the negative effects of climate change on rural livelihoods. This aligns with evidence demonstrating that adopting climate-smart practices can improve household food security. For example, studies in Nigeria show that practices like mixed cropping, soil and water conservation, and crop diversification are significantly associated with enhanced food security (</w:t>
      </w:r>
      <w:proofErr w:type="spellStart"/>
      <w:r w:rsidRPr="00EA3EF4">
        <w:rPr>
          <w:rFonts w:ascii="Times New Roman" w:hAnsi="Times New Roman" w:cs="Times New Roman"/>
          <w:sz w:val="24"/>
          <w:szCs w:val="24"/>
        </w:rPr>
        <w:t>Adanigbe</w:t>
      </w:r>
      <w:proofErr w:type="spellEnd"/>
      <w:r w:rsidRPr="00EA3EF4">
        <w:rPr>
          <w:rFonts w:ascii="Times New Roman" w:hAnsi="Times New Roman" w:cs="Times New Roman"/>
          <w:sz w:val="24"/>
          <w:szCs w:val="24"/>
        </w:rPr>
        <w:t xml:space="preserve"> et al., 2024; Omotayo et al., 2025). Panel data further suggest that households implementing adaptation measures experience higher food security levels compared to non-adopters (</w:t>
      </w:r>
      <w:proofErr w:type="spellStart"/>
      <w:r w:rsidRPr="00EA3EF4">
        <w:rPr>
          <w:rFonts w:ascii="Times New Roman" w:hAnsi="Times New Roman" w:cs="Times New Roman"/>
          <w:sz w:val="24"/>
          <w:szCs w:val="24"/>
        </w:rPr>
        <w:t>Akinbile</w:t>
      </w:r>
      <w:proofErr w:type="spellEnd"/>
      <w:r w:rsidRPr="00EA3EF4">
        <w:rPr>
          <w:rFonts w:ascii="Times New Roman" w:hAnsi="Times New Roman" w:cs="Times New Roman"/>
          <w:sz w:val="24"/>
          <w:szCs w:val="24"/>
        </w:rPr>
        <w:t xml:space="preserve"> et al., 2021). In this study, higher adaptation strategy indices</w:t>
      </w:r>
      <w:r>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Pr>
          <w:rFonts w:ascii="Times New Roman" w:hAnsi="Times New Roman" w:cs="Times New Roman"/>
          <w:sz w:val="24"/>
          <w:szCs w:val="24"/>
        </w:rPr>
        <w:t xml:space="preserve"> </w:t>
      </w:r>
      <w:r w:rsidRPr="00EA3EF4">
        <w:rPr>
          <w:rFonts w:ascii="Times New Roman" w:hAnsi="Times New Roman" w:cs="Times New Roman"/>
          <w:sz w:val="24"/>
          <w:szCs w:val="24"/>
        </w:rPr>
        <w:t>likely contributed to reduced livelihood vulnerability relative to the other LGAs.</w:t>
      </w:r>
      <w:r w:rsidR="00BD5ACF">
        <w:rPr>
          <w:rFonts w:ascii="Times New Roman" w:hAnsi="Times New Roman" w:cs="Times New Roman"/>
          <w:sz w:val="24"/>
          <w:szCs w:val="24"/>
        </w:rPr>
        <w:t xml:space="preserve"> </w:t>
      </w:r>
      <w:commentRangeStart w:id="12"/>
      <w:proofErr w:type="spellStart"/>
      <w:r w:rsidR="00BD5ACF">
        <w:rPr>
          <w:rFonts w:ascii="Times New Roman" w:hAnsi="Times New Roman" w:cs="Times New Roman"/>
          <w:sz w:val="24"/>
          <w:szCs w:val="24"/>
        </w:rPr>
        <w:t>Tthis</w:t>
      </w:r>
      <w:commentRangeEnd w:id="12"/>
      <w:proofErr w:type="spellEnd"/>
      <w:r w:rsidR="008464E9">
        <w:rPr>
          <w:rStyle w:val="CommentReference"/>
        </w:rPr>
        <w:commentReference w:id="12"/>
      </w:r>
      <w:r w:rsidR="00BD5ACF">
        <w:rPr>
          <w:rFonts w:ascii="Times New Roman" w:hAnsi="Times New Roman" w:cs="Times New Roman"/>
          <w:sz w:val="24"/>
          <w:szCs w:val="24"/>
        </w:rPr>
        <w:t xml:space="preserve"> is also in agreement with the recent studies conducted by </w:t>
      </w:r>
      <w:proofErr w:type="spellStart"/>
      <w:r w:rsidR="00BD5ACF">
        <w:rPr>
          <w:rFonts w:ascii="Times New Roman" w:hAnsi="Times New Roman" w:cs="Times New Roman"/>
          <w:sz w:val="24"/>
          <w:szCs w:val="24"/>
        </w:rPr>
        <w:t>Ejeh</w:t>
      </w:r>
      <w:proofErr w:type="spellEnd"/>
      <w:r w:rsidR="00BD5ACF">
        <w:rPr>
          <w:rFonts w:ascii="Times New Roman" w:hAnsi="Times New Roman" w:cs="Times New Roman"/>
          <w:sz w:val="24"/>
          <w:szCs w:val="24"/>
        </w:rPr>
        <w:t xml:space="preserve"> &amp; </w:t>
      </w:r>
      <w:proofErr w:type="spellStart"/>
      <w:r w:rsidR="00BD5ACF">
        <w:rPr>
          <w:rFonts w:ascii="Times New Roman" w:hAnsi="Times New Roman" w:cs="Times New Roman"/>
          <w:sz w:val="24"/>
          <w:szCs w:val="24"/>
        </w:rPr>
        <w:t>Mshelia</w:t>
      </w:r>
      <w:proofErr w:type="spellEnd"/>
      <w:r w:rsidR="00BD5ACF">
        <w:rPr>
          <w:rFonts w:ascii="Times New Roman" w:hAnsi="Times New Roman" w:cs="Times New Roman"/>
          <w:sz w:val="24"/>
          <w:szCs w:val="24"/>
        </w:rPr>
        <w:t xml:space="preserve"> (2026) in </w:t>
      </w:r>
      <w:proofErr w:type="spellStart"/>
      <w:r w:rsidR="00BD5ACF">
        <w:rPr>
          <w:rFonts w:ascii="Times New Roman" w:hAnsi="Times New Roman" w:cs="Times New Roman"/>
          <w:sz w:val="24"/>
          <w:szCs w:val="24"/>
        </w:rPr>
        <w:t>Yobe</w:t>
      </w:r>
      <w:proofErr w:type="spellEnd"/>
      <w:r w:rsidR="00BD5ACF">
        <w:rPr>
          <w:rFonts w:ascii="Times New Roman" w:hAnsi="Times New Roman" w:cs="Times New Roman"/>
          <w:sz w:val="24"/>
          <w:szCs w:val="24"/>
        </w:rPr>
        <w:t xml:space="preserve"> State.</w:t>
      </w:r>
    </w:p>
    <w:p w14:paraId="6FDC617B"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While these findings correspond broadly with existing literature on climate impacts and adaptation, they also highlight persistent contextual constraints. Socio-economic factors, including education, access to extension services, availability of credit, and land tenure, continue to influence decisions to adopt climate-smart practices (Mashi et al., 2022; Kassie et al., 2015). Despite relatively high levels of adaptation in the study area, limitations such as inadequate infrastructure and restricted resource access may still reduce the effectiveness of these strategies for some households, especially in </w:t>
      </w:r>
      <w:proofErr w:type="spellStart"/>
      <w:r w:rsidRPr="00EA3EF4">
        <w:rPr>
          <w:rFonts w:ascii="Times New Roman" w:hAnsi="Times New Roman" w:cs="Times New Roman"/>
          <w:sz w:val="24"/>
          <w:szCs w:val="24"/>
        </w:rPr>
        <w:t>Mubi</w:t>
      </w:r>
      <w:proofErr w:type="spellEnd"/>
      <w:r w:rsidRPr="00EA3EF4">
        <w:rPr>
          <w:rFonts w:ascii="Times New Roman" w:hAnsi="Times New Roman" w:cs="Times New Roman"/>
          <w:sz w:val="24"/>
          <w:szCs w:val="24"/>
        </w:rPr>
        <w:t xml:space="preserve"> North and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w:t>
      </w:r>
    </w:p>
    <w:p w14:paraId="2232524B" w14:textId="77777777" w:rsidR="00D31EB2" w:rsidRDefault="00EA3EF4" w:rsidP="00896808">
      <w:pPr>
        <w:jc w:val="both"/>
        <w:rPr>
          <w:rFonts w:ascii="Times New Roman" w:hAnsi="Times New Roman" w:cs="Times New Roman"/>
          <w:sz w:val="24"/>
          <w:szCs w:val="24"/>
        </w:rPr>
      </w:pPr>
      <w:r>
        <w:rPr>
          <w:rFonts w:ascii="Times New Roman" w:hAnsi="Times New Roman" w:cs="Times New Roman"/>
          <w:sz w:val="24"/>
          <w:szCs w:val="24"/>
        </w:rPr>
        <w:lastRenderedPageBreak/>
        <w:t>Therefore</w:t>
      </w:r>
      <w:r w:rsidRPr="00EA3EF4">
        <w:rPr>
          <w:rFonts w:ascii="Times New Roman" w:hAnsi="Times New Roman" w:cs="Times New Roman"/>
          <w:sz w:val="24"/>
          <w:szCs w:val="24"/>
        </w:rPr>
        <w:t xml:space="preserve">, the study confirms that climate variability has substantially affected food crop production across all three LGAs, as reflected in consistently high CCII values. Spatial analysis indicated that </w:t>
      </w:r>
      <w:proofErr w:type="spellStart"/>
      <w:r w:rsidRPr="00EA3EF4">
        <w:rPr>
          <w:rFonts w:ascii="Times New Roman" w:hAnsi="Times New Roman" w:cs="Times New Roman"/>
          <w:sz w:val="24"/>
          <w:szCs w:val="24"/>
        </w:rPr>
        <w:t>Fufore</w:t>
      </w:r>
      <w:proofErr w:type="spellEnd"/>
      <w:r w:rsidRPr="00EA3EF4">
        <w:rPr>
          <w:rFonts w:ascii="Times New Roman" w:hAnsi="Times New Roman" w:cs="Times New Roman"/>
          <w:sz w:val="24"/>
          <w:szCs w:val="24"/>
        </w:rPr>
        <w:t xml:space="preserve"> and </w:t>
      </w:r>
      <w:proofErr w:type="spellStart"/>
      <w:r w:rsidRPr="00EA3EF4">
        <w:rPr>
          <w:rFonts w:ascii="Times New Roman" w:hAnsi="Times New Roman" w:cs="Times New Roman"/>
          <w:sz w:val="24"/>
          <w:szCs w:val="24"/>
        </w:rPr>
        <w:t>Mubi</w:t>
      </w:r>
      <w:proofErr w:type="spellEnd"/>
      <w:r w:rsidRPr="00EA3EF4">
        <w:rPr>
          <w:rFonts w:ascii="Times New Roman" w:hAnsi="Times New Roman" w:cs="Times New Roman"/>
          <w:sz w:val="24"/>
          <w:szCs w:val="24"/>
        </w:rPr>
        <w:t xml:space="preserve"> North experienced comparatively greater perceived impacts than Ganye. One-way ANOVA results revealed a statistically significant overall difference in climate impacts among the LGAs, suggesting spatial variation in climate-related stress on agricultural production. However, the Tukey HSD post-hoc test showed no significant pairwise differences between LGAs, implying that observed variations reflect cumulative spatial effects rather than stark contrasts between specific locations. Moreover, the findings indicate that while climate change has imposed considerable livelihood challenges across the study area, the uptake of adaptation strategies</w:t>
      </w:r>
      <w:r w:rsidR="006C305F">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sidR="006C305F">
        <w:rPr>
          <w:rFonts w:ascii="Times New Roman" w:hAnsi="Times New Roman" w:cs="Times New Roman"/>
          <w:sz w:val="24"/>
          <w:szCs w:val="24"/>
        </w:rPr>
        <w:t xml:space="preserve"> </w:t>
      </w:r>
      <w:r w:rsidRPr="00EA3EF4">
        <w:rPr>
          <w:rFonts w:ascii="Times New Roman" w:hAnsi="Times New Roman" w:cs="Times New Roman"/>
          <w:sz w:val="24"/>
          <w:szCs w:val="24"/>
        </w:rPr>
        <w:t>appears to bolster household resilience.</w:t>
      </w:r>
    </w:p>
    <w:p w14:paraId="3B1D225B" w14:textId="77777777" w:rsidR="00D31EB2" w:rsidRPr="00896808" w:rsidRDefault="0098226B" w:rsidP="00896808">
      <w:pPr>
        <w:jc w:val="both"/>
        <w:rPr>
          <w:rFonts w:ascii="Times New Roman" w:eastAsia="Times New Roman" w:hAnsi="Times New Roman" w:cs="Times New Roman"/>
          <w:b/>
          <w:bCs/>
          <w:sz w:val="24"/>
          <w:szCs w:val="24"/>
        </w:rPr>
      </w:pPr>
      <w:r w:rsidRPr="00896808">
        <w:rPr>
          <w:rFonts w:ascii="Times New Roman" w:eastAsia="Times New Roman" w:hAnsi="Times New Roman" w:cs="Times New Roman"/>
          <w:b/>
          <w:bCs/>
          <w:sz w:val="24"/>
          <w:szCs w:val="24"/>
        </w:rPr>
        <w:t>4.1</w:t>
      </w:r>
      <w:r w:rsidRPr="00896808">
        <w:rPr>
          <w:rFonts w:ascii="Times New Roman" w:eastAsia="Times New Roman" w:hAnsi="Times New Roman" w:cs="Times New Roman"/>
          <w:b/>
          <w:bCs/>
          <w:sz w:val="24"/>
          <w:szCs w:val="24"/>
        </w:rPr>
        <w:tab/>
      </w:r>
      <w:r w:rsidR="00E97D29" w:rsidRPr="00896808">
        <w:rPr>
          <w:rFonts w:ascii="Times New Roman" w:eastAsia="Times New Roman" w:hAnsi="Times New Roman" w:cs="Times New Roman"/>
          <w:b/>
          <w:bCs/>
          <w:sz w:val="24"/>
          <w:szCs w:val="24"/>
        </w:rPr>
        <w:t>CONCLUSION</w:t>
      </w:r>
      <w:r w:rsidRPr="00896808">
        <w:rPr>
          <w:rFonts w:ascii="Times New Roman" w:eastAsia="Times New Roman" w:hAnsi="Times New Roman" w:cs="Times New Roman"/>
          <w:b/>
          <w:bCs/>
          <w:sz w:val="24"/>
          <w:szCs w:val="24"/>
        </w:rPr>
        <w:t xml:space="preserve"> AND RECOMMENDATION</w:t>
      </w:r>
    </w:p>
    <w:p w14:paraId="438011F3"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 xml:space="preserve">This study investigated how climate change affects food crop production and rural livelihoods in Adamawa State, Nigeria, with particular focus on spatial differences across Mubi North, </w:t>
      </w:r>
      <w:proofErr w:type="spellStart"/>
      <w:r w:rsidRPr="00B45B63">
        <w:rPr>
          <w:rFonts w:ascii="Times New Roman" w:eastAsia="Times New Roman" w:hAnsi="Times New Roman" w:cs="Times New Roman"/>
          <w:sz w:val="24"/>
          <w:szCs w:val="24"/>
        </w:rPr>
        <w:t>Ganye</w:t>
      </w:r>
      <w:proofErr w:type="spellEnd"/>
      <w:r w:rsidRPr="00B45B63">
        <w:rPr>
          <w:rFonts w:ascii="Times New Roman" w:eastAsia="Times New Roman" w:hAnsi="Times New Roman" w:cs="Times New Roman"/>
          <w:sz w:val="24"/>
          <w:szCs w:val="24"/>
        </w:rPr>
        <w:t xml:space="preserve">, and </w:t>
      </w:r>
      <w:proofErr w:type="spellStart"/>
      <w:r w:rsidRPr="00B45B63">
        <w:rPr>
          <w:rFonts w:ascii="Times New Roman" w:eastAsia="Times New Roman" w:hAnsi="Times New Roman" w:cs="Times New Roman"/>
          <w:sz w:val="24"/>
          <w:szCs w:val="24"/>
        </w:rPr>
        <w:t>Fufore</w:t>
      </w:r>
      <w:proofErr w:type="spellEnd"/>
      <w:r w:rsidRPr="00B45B63">
        <w:rPr>
          <w:rFonts w:ascii="Times New Roman" w:eastAsia="Times New Roman" w:hAnsi="Times New Roman" w:cs="Times New Roman"/>
          <w:sz w:val="24"/>
          <w:szCs w:val="24"/>
        </w:rPr>
        <w:t xml:space="preserve"> Local Government Areas. By combining Likert-scale survey responses with composite index analyses, the research provided empirical evidence that farming households in the region are widely exposed to climate variability, which in turn poses significant challenges to both crop production and household livelihoods.</w:t>
      </w:r>
    </w:p>
    <w:p w14:paraId="69278CCB"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The results indicate that climate change has substantially altered agricultural conditions across the study area, as demonstrated by elevated Composite Climate Change Impact Index values in all three LGAs. Key manifestations of climate change included erratic rainfall, more frequent droughts, delayed onset of the rainy season, rising temperatures, and declining soil fertility. These stressors have collectively led to lower crop yields and heightened uncertainty in production, particularly for communities heavily reliant on rain-fed agriculture.</w:t>
      </w:r>
    </w:p>
    <w:p w14:paraId="0007137D"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Furthermore, the study found that these climate-induced disruptions have had considerable effects on rural household livelihoods, particularly in terms of income stability, food security, and overall vulnerability. However, the severity of these impacts varied across LGAs, highlighting the role of spatial context in shaping climate vulnerability. Areas where households had adopted climate-smart practices and diversified their livelihoods showed higher levels of resilience, emphasizing the importance of adaptation in mitigating climate impacts.</w:t>
      </w:r>
    </w:p>
    <w:p w14:paraId="505E04D5" w14:textId="77777777" w:rsidR="00D31EB2" w:rsidRDefault="00B45B63" w:rsidP="00896808">
      <w:pPr>
        <w:jc w:val="both"/>
        <w:rPr>
          <w:rFonts w:ascii="Times New Roman" w:eastAsia="Times New Roman" w:hAnsi="Times New Roman" w:cs="Times New Roman"/>
          <w:sz w:val="24"/>
          <w:szCs w:val="24"/>
        </w:rPr>
      </w:pPr>
      <w:r w:rsidRPr="00D31EB2">
        <w:rPr>
          <w:rFonts w:ascii="Times New Roman" w:eastAsia="Times New Roman" w:hAnsi="Times New Roman" w:cs="Times New Roman"/>
          <w:sz w:val="24"/>
          <w:szCs w:val="24"/>
        </w:rPr>
        <w:t>Therefore</w:t>
      </w:r>
      <w:r w:rsidRPr="00B45B63">
        <w:rPr>
          <w:rFonts w:ascii="Times New Roman" w:eastAsia="Times New Roman" w:hAnsi="Times New Roman" w:cs="Times New Roman"/>
          <w:sz w:val="24"/>
          <w:szCs w:val="24"/>
        </w:rPr>
        <w:t>, the study concludes that climate change represents a serious threat to food crop production and rural livelihoods in Adamawa State. At the same time, the findings suggest that well-targeted adaptation strategies can substantially improve household resilience. Effective responses to climate risks in the agricultural sector therefore require integrated, location-specific measures that build adaptive capacity, encourage livelihood diversification, and align local initiatives with broader national and global climate policies.</w:t>
      </w:r>
    </w:p>
    <w:p w14:paraId="7B7F5C48" w14:textId="77777777" w:rsidR="00315D85" w:rsidRDefault="00315D85" w:rsidP="00896808">
      <w:pPr>
        <w:jc w:val="both"/>
        <w:rPr>
          <w:rFonts w:ascii="Times New Roman" w:eastAsia="Times New Roman" w:hAnsi="Times New Roman" w:cs="Times New Roman"/>
          <w:sz w:val="24"/>
          <w:szCs w:val="24"/>
        </w:rPr>
      </w:pPr>
    </w:p>
    <w:p w14:paraId="1D0AD4B8" w14:textId="77777777" w:rsidR="00315D85" w:rsidRPr="00D31EB2" w:rsidRDefault="00315D85" w:rsidP="00896808">
      <w:pPr>
        <w:jc w:val="both"/>
        <w:rPr>
          <w:rFonts w:ascii="Times New Roman" w:eastAsia="Times New Roman" w:hAnsi="Times New Roman" w:cs="Times New Roman"/>
          <w:sz w:val="24"/>
          <w:szCs w:val="24"/>
        </w:rPr>
      </w:pPr>
    </w:p>
    <w:p w14:paraId="1A00D9FD" w14:textId="3DDD32AB" w:rsidR="00D31EB2" w:rsidRPr="001B341B" w:rsidRDefault="001B341B" w:rsidP="0089680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Pr>
          <w:rFonts w:ascii="Times New Roman" w:eastAsia="Times New Roman" w:hAnsi="Times New Roman" w:cs="Times New Roman"/>
          <w:b/>
          <w:sz w:val="24"/>
          <w:szCs w:val="24"/>
        </w:rPr>
        <w:tab/>
      </w:r>
      <w:r w:rsidR="00E97D29" w:rsidRPr="001B341B">
        <w:rPr>
          <w:rFonts w:ascii="Times New Roman" w:eastAsia="Times New Roman" w:hAnsi="Times New Roman" w:cs="Times New Roman"/>
          <w:b/>
          <w:sz w:val="24"/>
          <w:szCs w:val="24"/>
        </w:rPr>
        <w:t>Policy Implications and Recommendations</w:t>
      </w:r>
    </w:p>
    <w:p w14:paraId="2015EF2B"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There is an urgent need to expand the adoption of climate-smart agricultural practices. This includes promoting drought-tolerant crop varieties, improved soil management techniques, and water-efficient farming methods to reduce the vulnerability of rain-fed agriculture to climate variability.</w:t>
      </w:r>
    </w:p>
    <w:p w14:paraId="1A1D9C5D"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Climate adaptation policies should be context-specific, reflecting the unique agro-ecological and socio-economic characteristics of each Local Government Area, as the impacts of climate change and levels of vulnerability differ across regions.</w:t>
      </w:r>
    </w:p>
    <w:p w14:paraId="65CEAE82"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Encouraging livelihood diversification through support for non-farm income opportunities and agro-processing activities can help households reduce their reliance on climate-sensitive farming, thereby enhancing resilience.</w:t>
      </w:r>
    </w:p>
    <w:p w14:paraId="1F3C97F8"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Improving farmers’ access to timely and reliable climate information, including early warning systems, is crucial for informed decision-making and mitigating production risks.</w:t>
      </w:r>
    </w:p>
    <w:p w14:paraId="50F2C2EC"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State-level climate and agricultural strategies should be harmonized with Nigeria’s National Adaptation Plan and relevant global climate frameworks to ensure coordinated and effective action against climate risks.</w:t>
      </w:r>
    </w:p>
    <w:p w14:paraId="419FC4AA" w14:textId="772B3DE7" w:rsidR="00312260" w:rsidRP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Long-term resilience requires sustained investment in agricultural institutions, extension services, rural financing options, and insurance mechanisms, all of which are essential to support farming households in adapting to climate variability.</w:t>
      </w:r>
    </w:p>
    <w:p w14:paraId="456A5E33" w14:textId="77777777" w:rsidR="00312260" w:rsidRPr="00147E26" w:rsidRDefault="00312260" w:rsidP="00896808">
      <w:pPr>
        <w:pStyle w:val="Heading3"/>
        <w:spacing w:before="0" w:line="240" w:lineRule="auto"/>
        <w:rPr>
          <w:rStyle w:val="Strong"/>
          <w:rFonts w:ascii="Times New Roman" w:eastAsia="Times New Roman" w:hAnsi="Times New Roman" w:cs="Times New Roman"/>
          <w:bCs/>
          <w:color w:val="auto"/>
          <w:sz w:val="12"/>
          <w:szCs w:val="24"/>
        </w:rPr>
      </w:pPr>
    </w:p>
    <w:p w14:paraId="432192CE" w14:textId="77777777"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DISCLAIMER (ARTIFICIAL INTELLIGENCE)  </w:t>
      </w:r>
    </w:p>
    <w:p w14:paraId="7A09C24C"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declare that no generative AI technologies such as ChatGPT, COPILOT among others and text-to-image generators have been employed in course of the doing this research.  </w:t>
      </w:r>
    </w:p>
    <w:p w14:paraId="6B53E172" w14:textId="77777777" w:rsidR="00315D85" w:rsidRDefault="00315D85" w:rsidP="00147E26">
      <w:pPr>
        <w:spacing w:line="240" w:lineRule="auto"/>
        <w:jc w:val="both"/>
        <w:rPr>
          <w:rFonts w:ascii="Times New Roman" w:hAnsi="Times New Roman" w:cs="Times New Roman"/>
          <w:b/>
          <w:sz w:val="24"/>
        </w:rPr>
      </w:pPr>
    </w:p>
    <w:p w14:paraId="58917FD6" w14:textId="0E443FE5"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COMPETING INTERESTS </w:t>
      </w:r>
    </w:p>
    <w:p w14:paraId="60E20DFB"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have declared that no competing interests exist. </w:t>
      </w:r>
    </w:p>
    <w:p w14:paraId="2EA32079" w14:textId="77777777" w:rsidR="00147E26" w:rsidRDefault="00147E26" w:rsidP="009E3BBB">
      <w:pPr>
        <w:pStyle w:val="Heading3"/>
        <w:spacing w:before="0" w:line="240" w:lineRule="auto"/>
        <w:rPr>
          <w:rStyle w:val="Strong"/>
          <w:rFonts w:ascii="Times New Roman" w:eastAsia="Times New Roman" w:hAnsi="Times New Roman" w:cs="Times New Roman"/>
          <w:bCs/>
          <w:color w:val="auto"/>
          <w:sz w:val="24"/>
          <w:szCs w:val="24"/>
        </w:rPr>
      </w:pPr>
    </w:p>
    <w:p w14:paraId="5D925C35" w14:textId="52E856B6" w:rsidR="001B341B" w:rsidRDefault="009E3BBB" w:rsidP="001B341B">
      <w:pPr>
        <w:pStyle w:val="Heading3"/>
        <w:spacing w:before="0" w:line="240" w:lineRule="auto"/>
        <w:rPr>
          <w:rStyle w:val="Strong"/>
          <w:rFonts w:ascii="Times New Roman" w:eastAsia="Times New Roman" w:hAnsi="Times New Roman" w:cs="Times New Roman"/>
          <w:b/>
          <w:bCs/>
          <w:color w:val="auto"/>
          <w:sz w:val="24"/>
          <w:szCs w:val="24"/>
        </w:rPr>
      </w:pPr>
      <w:r w:rsidRPr="001B341B">
        <w:rPr>
          <w:rStyle w:val="Strong"/>
          <w:rFonts w:ascii="Times New Roman" w:eastAsia="Times New Roman" w:hAnsi="Times New Roman" w:cs="Times New Roman"/>
          <w:b/>
          <w:bCs/>
          <w:color w:val="auto"/>
          <w:sz w:val="24"/>
          <w:szCs w:val="24"/>
        </w:rPr>
        <w:t xml:space="preserve">REFERENCES </w:t>
      </w:r>
    </w:p>
    <w:p w14:paraId="39CF1494" w14:textId="77777777" w:rsidR="001B341B" w:rsidRDefault="001B341B" w:rsidP="00896808">
      <w:pPr>
        <w:pStyle w:val="NormalWeb"/>
        <w:spacing w:before="0" w:beforeAutospacing="0" w:after="0" w:afterAutospacing="0"/>
        <w:rPr>
          <w:rFonts w:asciiTheme="minorHAnsi" w:eastAsiaTheme="minorHAnsi" w:hAnsiTheme="minorHAnsi" w:cstheme="minorBidi"/>
          <w:sz w:val="22"/>
          <w:szCs w:val="22"/>
        </w:rPr>
      </w:pPr>
    </w:p>
    <w:p w14:paraId="15B377B6" w14:textId="77777777" w:rsidR="00B611F7" w:rsidRPr="00896808" w:rsidRDefault="00B611F7" w:rsidP="00896808">
      <w:pPr>
        <w:pStyle w:val="NormalWeb"/>
        <w:spacing w:before="0" w:beforeAutospacing="0" w:after="0" w:afterAutospacing="0"/>
      </w:pPr>
      <w:proofErr w:type="spellStart"/>
      <w:r w:rsidRPr="00896808">
        <w:t>Abaje</w:t>
      </w:r>
      <w:proofErr w:type="spellEnd"/>
      <w:r w:rsidRPr="00896808">
        <w:t xml:space="preserve">, I. B., Sawa, B. A., &amp; Ati, O. F. (2020). Climate variability and change in northern </w:t>
      </w:r>
    </w:p>
    <w:p w14:paraId="21044FB8" w14:textId="77777777" w:rsidR="00B611F7" w:rsidRPr="00896808" w:rsidRDefault="00B611F7" w:rsidP="00896808">
      <w:pPr>
        <w:pStyle w:val="NormalWeb"/>
        <w:spacing w:before="0" w:beforeAutospacing="0" w:after="0" w:afterAutospacing="0"/>
        <w:ind w:left="720"/>
      </w:pPr>
      <w:r w:rsidRPr="00896808">
        <w:t xml:space="preserve">Nigeria: Implications for agricultural productivity. </w:t>
      </w:r>
      <w:r w:rsidRPr="00896808">
        <w:rPr>
          <w:rStyle w:val="Emphasis"/>
        </w:rPr>
        <w:t>Journal of Environmental Science and Management, 23</w:t>
      </w:r>
      <w:r w:rsidRPr="00896808">
        <w:t>(1), 1–15.</w:t>
      </w:r>
    </w:p>
    <w:p w14:paraId="3D730E13" w14:textId="77777777" w:rsidR="00B611F7" w:rsidRPr="00896808" w:rsidRDefault="00B611F7" w:rsidP="00896808">
      <w:pPr>
        <w:pStyle w:val="NormalWeb"/>
        <w:spacing w:before="0" w:beforeAutospacing="0" w:after="0" w:afterAutospacing="0"/>
        <w:ind w:left="720"/>
      </w:pPr>
    </w:p>
    <w:p w14:paraId="01EFCCA4" w14:textId="77777777" w:rsidR="00B611F7" w:rsidRPr="00896808" w:rsidRDefault="00B611F7" w:rsidP="00896808">
      <w:pPr>
        <w:pStyle w:val="NormalWeb"/>
        <w:spacing w:before="0" w:beforeAutospacing="0" w:after="0" w:afterAutospacing="0"/>
      </w:pPr>
      <w:proofErr w:type="spellStart"/>
      <w:r w:rsidRPr="00896808">
        <w:t>Abanigbe</w:t>
      </w:r>
      <w:proofErr w:type="spellEnd"/>
      <w:r w:rsidRPr="00896808">
        <w:t xml:space="preserve">, S., Ngidi, M., Ojo, T. O., Oyedeji-Amusa, M., </w:t>
      </w:r>
      <w:proofErr w:type="spellStart"/>
      <w:r w:rsidRPr="00896808">
        <w:t>Orowole</w:t>
      </w:r>
      <w:proofErr w:type="spellEnd"/>
      <w:r w:rsidRPr="00896808">
        <w:t>, P., Yusuf-</w:t>
      </w:r>
      <w:proofErr w:type="spellStart"/>
      <w:r w:rsidRPr="00896808">
        <w:t>Oshoala</w:t>
      </w:r>
      <w:proofErr w:type="spellEnd"/>
      <w:r w:rsidRPr="00896808">
        <w:t xml:space="preserve">, M., </w:t>
      </w:r>
    </w:p>
    <w:p w14:paraId="678A6BF8" w14:textId="77777777" w:rsidR="00B611F7" w:rsidRPr="00896808" w:rsidRDefault="00B611F7" w:rsidP="00896808">
      <w:pPr>
        <w:pStyle w:val="NormalWeb"/>
        <w:spacing w:before="0" w:beforeAutospacing="0" w:after="0" w:afterAutospacing="0"/>
        <w:ind w:left="720"/>
      </w:pPr>
      <w:r w:rsidRPr="00896808">
        <w:lastRenderedPageBreak/>
        <w:t xml:space="preserve">Adebayo, B., &amp; </w:t>
      </w:r>
      <w:proofErr w:type="spellStart"/>
      <w:r w:rsidRPr="00896808">
        <w:t>Thobani</w:t>
      </w:r>
      <w:proofErr w:type="spellEnd"/>
      <w:r w:rsidRPr="00896808">
        <w:t xml:space="preserve">, C. (2024). Adoption of climate change adaptation strategies and household food security of smallholder poultry farmers in Lagos and Ogun States, Nigeria. </w:t>
      </w:r>
      <w:r w:rsidRPr="00896808">
        <w:rPr>
          <w:rStyle w:val="Emphasis"/>
        </w:rPr>
        <w:t>Journal of Agricultural Extension, 28</w:t>
      </w:r>
      <w:r w:rsidRPr="00896808">
        <w:t>(4), 120–130.</w:t>
      </w:r>
    </w:p>
    <w:p w14:paraId="445CF25F" w14:textId="77777777" w:rsidR="00B611F7" w:rsidRPr="00896808" w:rsidRDefault="00B611F7" w:rsidP="00896808">
      <w:pPr>
        <w:pStyle w:val="NormalWeb"/>
        <w:spacing w:before="0" w:beforeAutospacing="0" w:after="0" w:afterAutospacing="0"/>
        <w:ind w:left="720"/>
      </w:pPr>
    </w:p>
    <w:p w14:paraId="3CCAF8DC" w14:textId="77777777" w:rsidR="00B611F7" w:rsidRPr="00896808" w:rsidRDefault="00B611F7" w:rsidP="00896808">
      <w:pPr>
        <w:pStyle w:val="NormalWeb"/>
        <w:spacing w:before="0" w:beforeAutospacing="0" w:after="0" w:afterAutospacing="0"/>
      </w:pPr>
      <w:r w:rsidRPr="00896808">
        <w:t xml:space="preserve">Adebayo, B., Omotayo, A. O., Olagunju, K. O., &amp; Ogunniyi, A. I. (2025). Climate-smart </w:t>
      </w:r>
    </w:p>
    <w:p w14:paraId="51B9DB4D" w14:textId="77777777" w:rsidR="00B611F7" w:rsidRPr="00896808" w:rsidRDefault="00B611F7" w:rsidP="00896808">
      <w:pPr>
        <w:pStyle w:val="NormalWeb"/>
        <w:spacing w:before="0" w:beforeAutospacing="0" w:after="0" w:afterAutospacing="0"/>
        <w:ind w:left="720"/>
      </w:pPr>
      <w:r w:rsidRPr="00896808">
        <w:t xml:space="preserve">agricultural practices and food–nutrition security outcomes: Insight from rural smallholder farmers. </w:t>
      </w:r>
      <w:r w:rsidRPr="00896808">
        <w:rPr>
          <w:rStyle w:val="Emphasis"/>
        </w:rPr>
        <w:t>Agriculture &amp; Food Security, 14</w:t>
      </w:r>
      <w:r w:rsidRPr="00896808">
        <w:t>, Article 28.</w:t>
      </w:r>
    </w:p>
    <w:p w14:paraId="621EE878" w14:textId="77777777" w:rsidR="00B611F7" w:rsidRPr="00896808" w:rsidRDefault="00B611F7" w:rsidP="00896808">
      <w:pPr>
        <w:pStyle w:val="NormalWeb"/>
        <w:spacing w:before="0" w:beforeAutospacing="0" w:after="0" w:afterAutospacing="0"/>
      </w:pPr>
    </w:p>
    <w:p w14:paraId="56C93915" w14:textId="77777777" w:rsidR="00B611F7" w:rsidRPr="00896808" w:rsidRDefault="00B611F7" w:rsidP="00896808">
      <w:pPr>
        <w:pStyle w:val="NormalWeb"/>
        <w:spacing w:before="0" w:beforeAutospacing="0" w:after="0" w:afterAutospacing="0"/>
      </w:pPr>
      <w:proofErr w:type="spellStart"/>
      <w:r w:rsidRPr="00896808">
        <w:t>Akinbile</w:t>
      </w:r>
      <w:proofErr w:type="spellEnd"/>
      <w:r w:rsidRPr="00896808">
        <w:t xml:space="preserve">, L. A., Olawuyi, O. S., &amp; Adepoju, A. O. (2021). Impact of climate change adaptation </w:t>
      </w:r>
    </w:p>
    <w:p w14:paraId="009FAD47" w14:textId="77777777" w:rsidR="00B611F7" w:rsidRPr="00896808" w:rsidRDefault="00B611F7" w:rsidP="00896808">
      <w:pPr>
        <w:pStyle w:val="NormalWeb"/>
        <w:spacing w:before="0" w:beforeAutospacing="0" w:after="0" w:afterAutospacing="0"/>
        <w:ind w:left="720"/>
      </w:pPr>
      <w:r w:rsidRPr="00896808">
        <w:t xml:space="preserve">on household food security in Nigeria: A difference-in-difference approach. </w:t>
      </w:r>
      <w:r w:rsidRPr="00896808">
        <w:rPr>
          <w:rStyle w:val="Emphasis"/>
        </w:rPr>
        <w:t>Sustainability, 13</w:t>
      </w:r>
      <w:r w:rsidRPr="00896808">
        <w:t xml:space="preserve">(3), 1444. </w:t>
      </w:r>
      <w:hyperlink r:id="rId11" w:history="1">
        <w:r w:rsidRPr="00896808">
          <w:rPr>
            <w:rStyle w:val="Hyperlink"/>
            <w:color w:val="auto"/>
            <w:u w:val="none"/>
          </w:rPr>
          <w:t>https://doi.org/10.3390/su13031444</w:t>
        </w:r>
      </w:hyperlink>
    </w:p>
    <w:p w14:paraId="08C73DAF" w14:textId="77777777" w:rsidR="00B611F7" w:rsidRPr="00896808" w:rsidRDefault="00B611F7" w:rsidP="00896808">
      <w:pPr>
        <w:pStyle w:val="NormalWeb"/>
        <w:spacing w:before="0" w:beforeAutospacing="0" w:after="0" w:afterAutospacing="0"/>
      </w:pPr>
    </w:p>
    <w:p w14:paraId="5E962197" w14:textId="77777777" w:rsidR="00B611F7" w:rsidRPr="00896808" w:rsidRDefault="00B611F7" w:rsidP="00896808">
      <w:pPr>
        <w:pStyle w:val="NormalWeb"/>
        <w:spacing w:before="0" w:beforeAutospacing="0" w:after="0" w:afterAutospacing="0"/>
      </w:pPr>
      <w:r w:rsidRPr="00BF4AEE">
        <w:t xml:space="preserve">Ali, A., </w:t>
      </w:r>
      <w:proofErr w:type="spellStart"/>
      <w:r w:rsidRPr="00BF4AEE">
        <w:t>Erenstein</w:t>
      </w:r>
      <w:proofErr w:type="spellEnd"/>
      <w:r w:rsidRPr="00BF4AEE">
        <w:t xml:space="preserve">, O., &amp; </w:t>
      </w:r>
      <w:proofErr w:type="spellStart"/>
      <w:r w:rsidRPr="00BF4AEE">
        <w:t>Rahut</w:t>
      </w:r>
      <w:proofErr w:type="spellEnd"/>
      <w:r w:rsidRPr="00BF4AEE">
        <w:t xml:space="preserve">, D. B. (2022). </w:t>
      </w:r>
      <w:r w:rsidRPr="00896808">
        <w:t xml:space="preserve">Climate change, agriculture and rural livelihoods: </w:t>
      </w:r>
    </w:p>
    <w:p w14:paraId="409379FB"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Evidence from sub-Saharan Africa. </w:t>
      </w:r>
      <w:r w:rsidRPr="00896808">
        <w:rPr>
          <w:rStyle w:val="Emphasis"/>
        </w:rPr>
        <w:t>Climate and Development, 14</w:t>
      </w:r>
      <w:r w:rsidRPr="00896808">
        <w:t xml:space="preserve">(6), 517–529. </w:t>
      </w:r>
      <w:hyperlink r:id="rId12" w:history="1">
        <w:r w:rsidRPr="00896808">
          <w:rPr>
            <w:rStyle w:val="Hyperlink"/>
            <w:color w:val="auto"/>
            <w:u w:val="none"/>
          </w:rPr>
          <w:t>https://doi.org/10.1080/17565529.2021.1930987</w:t>
        </w:r>
      </w:hyperlink>
    </w:p>
    <w:p w14:paraId="74BB655A" w14:textId="77777777" w:rsidR="00B611F7" w:rsidRPr="00896808" w:rsidRDefault="00B611F7" w:rsidP="00896808">
      <w:pPr>
        <w:pStyle w:val="NormalWeb"/>
        <w:spacing w:before="0" w:beforeAutospacing="0" w:after="0" w:afterAutospacing="0"/>
        <w:ind w:left="720"/>
      </w:pPr>
    </w:p>
    <w:p w14:paraId="542C1F5C" w14:textId="77777777" w:rsidR="00B611F7" w:rsidRPr="00896808" w:rsidRDefault="00B611F7" w:rsidP="00896808">
      <w:pPr>
        <w:pStyle w:val="NormalWeb"/>
        <w:spacing w:before="0" w:beforeAutospacing="0" w:after="0" w:afterAutospacing="0"/>
      </w:pPr>
      <w:r w:rsidRPr="00896808">
        <w:t xml:space="preserve">Antwi-Agyei, P., Dougill, A. J., Stringer, L. C., &amp; Codjoe, S. N. A. (2021). Adaptation </w:t>
      </w:r>
    </w:p>
    <w:p w14:paraId="3BBBFB64"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opportunities and maladaptive outcomes in climate vulnerability hotspots of northern Ghana. </w:t>
      </w:r>
      <w:r w:rsidRPr="00896808">
        <w:rPr>
          <w:rStyle w:val="Emphasis"/>
        </w:rPr>
        <w:t>Climate Risk Management, 32</w:t>
      </w:r>
      <w:r w:rsidRPr="00896808">
        <w:t xml:space="preserve">, 100275. </w:t>
      </w:r>
      <w:hyperlink r:id="rId13" w:history="1">
        <w:r w:rsidRPr="00896808">
          <w:rPr>
            <w:rStyle w:val="Hyperlink"/>
            <w:color w:val="auto"/>
            <w:u w:val="none"/>
          </w:rPr>
          <w:t>https://doi.org/10.1016/j.crm.2021.100275</w:t>
        </w:r>
      </w:hyperlink>
    </w:p>
    <w:p w14:paraId="35A8058B" w14:textId="77777777" w:rsidR="00B611F7" w:rsidRPr="00896808" w:rsidRDefault="00B611F7" w:rsidP="00896808">
      <w:pPr>
        <w:pStyle w:val="NormalWeb"/>
        <w:spacing w:before="0" w:beforeAutospacing="0" w:after="0" w:afterAutospacing="0"/>
        <w:ind w:left="720"/>
      </w:pPr>
    </w:p>
    <w:p w14:paraId="09E973A6" w14:textId="77777777" w:rsidR="00B611F7" w:rsidRPr="00896808" w:rsidRDefault="00B611F7" w:rsidP="00896808">
      <w:pPr>
        <w:pStyle w:val="NormalWeb"/>
        <w:spacing w:before="0" w:beforeAutospacing="0" w:after="0" w:afterAutospacing="0"/>
      </w:pPr>
      <w:r w:rsidRPr="00896808">
        <w:t xml:space="preserve">Challinor, A. J., Koehler, A. K., Ramirez-Villegas, J., Whitfield, S., &amp; Das, B. (2022). Current </w:t>
      </w:r>
    </w:p>
    <w:p w14:paraId="5C066C16" w14:textId="77777777" w:rsidR="00B611F7" w:rsidRPr="00896808" w:rsidRDefault="00B611F7" w:rsidP="00896808">
      <w:pPr>
        <w:pStyle w:val="NormalWeb"/>
        <w:spacing w:before="0" w:beforeAutospacing="0" w:after="0" w:afterAutospacing="0"/>
        <w:ind w:left="720"/>
        <w:rPr>
          <w:rStyle w:val="Hyperlink"/>
          <w:color w:val="auto"/>
          <w:u w:val="none"/>
        </w:rPr>
      </w:pPr>
      <w:r w:rsidRPr="00896808">
        <w:t xml:space="preserve">warming will reduce yields unless maize breeding and seed systems adapt immediately. </w:t>
      </w:r>
      <w:r w:rsidRPr="00896808">
        <w:rPr>
          <w:rStyle w:val="Emphasis"/>
        </w:rPr>
        <w:t>Nature Climate Change, 12</w:t>
      </w:r>
      <w:r w:rsidRPr="00896808">
        <w:t xml:space="preserve">, 1–7. </w:t>
      </w:r>
      <w:hyperlink r:id="rId14" w:history="1">
        <w:r w:rsidRPr="00896808">
          <w:rPr>
            <w:rStyle w:val="Hyperlink"/>
            <w:color w:val="auto"/>
            <w:u w:val="none"/>
          </w:rPr>
          <w:t>https://doi.org/10.1038/s41558-022-01364-4</w:t>
        </w:r>
      </w:hyperlink>
    </w:p>
    <w:p w14:paraId="7D6D7E73" w14:textId="77777777" w:rsidR="00B611F7" w:rsidRPr="00896808" w:rsidRDefault="00B611F7" w:rsidP="00896808">
      <w:pPr>
        <w:pStyle w:val="NormalWeb"/>
        <w:spacing w:before="0" w:beforeAutospacing="0" w:after="0" w:afterAutospacing="0"/>
        <w:ind w:left="720"/>
      </w:pPr>
    </w:p>
    <w:p w14:paraId="6C9908A5" w14:textId="77777777" w:rsidR="00B611F7" w:rsidRPr="00896808" w:rsidRDefault="00B611F7" w:rsidP="00896808">
      <w:pPr>
        <w:pStyle w:val="NormalWeb"/>
        <w:spacing w:before="0" w:beforeAutospacing="0" w:after="0" w:afterAutospacing="0"/>
      </w:pPr>
      <w:r w:rsidRPr="00896808">
        <w:t xml:space="preserve">Deressa, T. T., Hassan, R. M., &amp; Ringler, C. (2017). Smallholder farmers’ adaptation to climate </w:t>
      </w:r>
    </w:p>
    <w:p w14:paraId="45EDA058" w14:textId="77777777" w:rsidR="00B611F7" w:rsidRPr="00896808" w:rsidRDefault="00B611F7" w:rsidP="00896808">
      <w:pPr>
        <w:pStyle w:val="NormalWeb"/>
        <w:spacing w:before="0" w:beforeAutospacing="0" w:after="0" w:afterAutospacing="0"/>
        <w:ind w:left="720"/>
      </w:pPr>
      <w:r w:rsidRPr="00896808">
        <w:t xml:space="preserve">change and determinants of their adaptation decisions in the Central Rift Valley of Ethiopia. </w:t>
      </w:r>
      <w:r w:rsidRPr="00896808">
        <w:rPr>
          <w:rStyle w:val="Emphasis"/>
        </w:rPr>
        <w:t>Agriculture &amp; Food Security, 6</w:t>
      </w:r>
      <w:r w:rsidRPr="00896808">
        <w:t xml:space="preserve">, Article 24. </w:t>
      </w:r>
      <w:hyperlink r:id="rId15" w:history="1">
        <w:r w:rsidRPr="00896808">
          <w:rPr>
            <w:rStyle w:val="Hyperlink"/>
            <w:color w:val="auto"/>
            <w:u w:val="none"/>
          </w:rPr>
          <w:t>https://doi.org/10.1186/s40066-017-0100-1</w:t>
        </w:r>
      </w:hyperlink>
      <w:r w:rsidRPr="00896808">
        <w:rPr>
          <w:rStyle w:val="Hyperlink"/>
          <w:color w:val="auto"/>
          <w:u w:val="none"/>
        </w:rPr>
        <w:tab/>
      </w:r>
    </w:p>
    <w:p w14:paraId="482D3A4B" w14:textId="77777777" w:rsidR="00B611F7" w:rsidRPr="00896808" w:rsidRDefault="00B611F7" w:rsidP="00896808">
      <w:pPr>
        <w:pStyle w:val="NormalWeb"/>
        <w:spacing w:before="0" w:beforeAutospacing="0" w:after="0" w:afterAutospacing="0"/>
      </w:pPr>
    </w:p>
    <w:p w14:paraId="0A221F6C" w14:textId="77777777" w:rsidR="00B611F7" w:rsidRPr="00896808" w:rsidRDefault="00B611F7" w:rsidP="00896808">
      <w:pPr>
        <w:pStyle w:val="NormalWeb"/>
        <w:spacing w:before="0" w:beforeAutospacing="0" w:after="0" w:afterAutospacing="0"/>
      </w:pPr>
      <w:r w:rsidRPr="00896808">
        <w:t xml:space="preserve">Department for International Development. (1999). </w:t>
      </w:r>
      <w:r w:rsidRPr="00896808">
        <w:rPr>
          <w:rStyle w:val="Emphasis"/>
        </w:rPr>
        <w:t>Sustainable livelihoods guidance sheets</w:t>
      </w:r>
      <w:r w:rsidRPr="00896808">
        <w:t xml:space="preserve">. </w:t>
      </w:r>
    </w:p>
    <w:p w14:paraId="5A1C3359" w14:textId="77777777" w:rsidR="00B611F7" w:rsidRPr="00896808" w:rsidRDefault="00B611F7" w:rsidP="00896808">
      <w:pPr>
        <w:pStyle w:val="NormalWeb"/>
        <w:spacing w:before="0" w:beforeAutospacing="0" w:after="0" w:afterAutospacing="0"/>
      </w:pPr>
      <w:r w:rsidRPr="00896808">
        <w:tab/>
        <w:t>DFID.</w:t>
      </w:r>
    </w:p>
    <w:p w14:paraId="06EAB141" w14:textId="77777777" w:rsidR="00B611F7" w:rsidRPr="00896808" w:rsidRDefault="00B611F7" w:rsidP="00896808">
      <w:pPr>
        <w:pStyle w:val="NormalWeb"/>
        <w:spacing w:before="0" w:beforeAutospacing="0" w:after="0" w:afterAutospacing="0"/>
      </w:pPr>
    </w:p>
    <w:p w14:paraId="749ECEDF"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(2013). </w:t>
      </w:r>
      <w:r w:rsidRPr="00896808">
        <w:rPr>
          <w:rStyle w:val="Emphasis"/>
        </w:rPr>
        <w:t xml:space="preserve">Climate-smart agriculture </w:t>
      </w:r>
    </w:p>
    <w:p w14:paraId="0B732D10" w14:textId="77777777" w:rsidR="00B611F7" w:rsidRPr="00896808" w:rsidRDefault="00B611F7" w:rsidP="00896808">
      <w:pPr>
        <w:pStyle w:val="NormalWeb"/>
        <w:spacing w:before="0" w:beforeAutospacing="0" w:after="0" w:afterAutospacing="0"/>
      </w:pPr>
      <w:r w:rsidRPr="00896808">
        <w:rPr>
          <w:rStyle w:val="Emphasis"/>
        </w:rPr>
        <w:tab/>
        <w:t>sourcebook</w:t>
      </w:r>
      <w:r w:rsidRPr="00896808">
        <w:t>. FAO.</w:t>
      </w:r>
    </w:p>
    <w:p w14:paraId="5C946F97" w14:textId="77777777" w:rsidR="00B611F7" w:rsidRPr="00896808" w:rsidRDefault="00B611F7" w:rsidP="00896808">
      <w:pPr>
        <w:pStyle w:val="NormalWeb"/>
        <w:spacing w:before="0" w:beforeAutospacing="0" w:after="0" w:afterAutospacing="0"/>
      </w:pPr>
    </w:p>
    <w:p w14:paraId="4589D736" w14:textId="77777777" w:rsidR="00B611F7" w:rsidRPr="00896808" w:rsidRDefault="00B611F7" w:rsidP="00896808">
      <w:pPr>
        <w:pStyle w:val="NormalWeb"/>
        <w:spacing w:before="0" w:beforeAutospacing="0" w:after="0" w:afterAutospacing="0"/>
        <w:rPr>
          <w:rStyle w:val="Emphasis"/>
        </w:rPr>
      </w:pPr>
      <w:r w:rsidRPr="00896808">
        <w:t xml:space="preserve">Food and Agriculture Organization of the United Nations. (2022). </w:t>
      </w:r>
      <w:r w:rsidRPr="00896808">
        <w:rPr>
          <w:rStyle w:val="Emphasis"/>
        </w:rPr>
        <w:t xml:space="preserve">Climate-smart agriculture: </w:t>
      </w:r>
    </w:p>
    <w:p w14:paraId="541206E9" w14:textId="77777777" w:rsidR="00B611F7" w:rsidRPr="00896808" w:rsidRDefault="00B611F7" w:rsidP="00896808">
      <w:pPr>
        <w:pStyle w:val="NormalWeb"/>
        <w:spacing w:before="0" w:beforeAutospacing="0" w:after="0" w:afterAutospacing="0"/>
      </w:pPr>
      <w:r w:rsidRPr="00896808">
        <w:rPr>
          <w:rStyle w:val="Emphasis"/>
        </w:rPr>
        <w:tab/>
        <w:t>Building resilience to climate change</w:t>
      </w:r>
      <w:r w:rsidRPr="00896808">
        <w:t>. FAO.</w:t>
      </w:r>
    </w:p>
    <w:p w14:paraId="529FFFBF" w14:textId="77777777" w:rsidR="00B611F7" w:rsidRPr="00896808" w:rsidRDefault="00B611F7" w:rsidP="00896808">
      <w:pPr>
        <w:pStyle w:val="NormalWeb"/>
        <w:spacing w:before="0" w:beforeAutospacing="0" w:after="0" w:afterAutospacing="0"/>
      </w:pPr>
    </w:p>
    <w:p w14:paraId="5F2319D4" w14:textId="77777777" w:rsidR="00B611F7" w:rsidRPr="00896808" w:rsidRDefault="00B611F7" w:rsidP="00896808">
      <w:pPr>
        <w:pStyle w:val="NormalWeb"/>
        <w:spacing w:before="0" w:beforeAutospacing="0" w:after="0" w:afterAutospacing="0"/>
      </w:pPr>
      <w:r w:rsidRPr="00896808">
        <w:t xml:space="preserve">Food and Agriculture Organization of the United Nations, International Fund for Agricultural </w:t>
      </w:r>
    </w:p>
    <w:p w14:paraId="60A2B2E1" w14:textId="77777777" w:rsidR="00B611F7" w:rsidRPr="00896808" w:rsidRDefault="00B611F7" w:rsidP="00896808">
      <w:pPr>
        <w:pStyle w:val="NormalWeb"/>
        <w:spacing w:before="0" w:beforeAutospacing="0" w:after="0" w:afterAutospacing="0"/>
        <w:ind w:left="720"/>
      </w:pPr>
      <w:r w:rsidRPr="00896808">
        <w:t xml:space="preserve">Development, United Nations Children’s Fund, World Food </w:t>
      </w:r>
      <w:proofErr w:type="spellStart"/>
      <w:r w:rsidRPr="00896808">
        <w:t>Programme</w:t>
      </w:r>
      <w:proofErr w:type="spellEnd"/>
      <w:r w:rsidRPr="00896808">
        <w:t xml:space="preserve">, &amp; World Health Organization. (2023). </w:t>
      </w:r>
      <w:r w:rsidRPr="00896808">
        <w:rPr>
          <w:rStyle w:val="Emphasis"/>
        </w:rPr>
        <w:t>The state of food security and nutrition in the world 2023</w:t>
      </w:r>
      <w:r w:rsidRPr="00896808">
        <w:t>. FAO.</w:t>
      </w:r>
    </w:p>
    <w:p w14:paraId="5CB54BE9" w14:textId="77777777" w:rsidR="00B611F7" w:rsidRPr="00896808" w:rsidRDefault="00B611F7" w:rsidP="00896808">
      <w:pPr>
        <w:pStyle w:val="NormalWeb"/>
        <w:spacing w:before="0" w:beforeAutospacing="0" w:after="0" w:afterAutospacing="0"/>
        <w:ind w:left="720"/>
      </w:pPr>
    </w:p>
    <w:p w14:paraId="322E123F" w14:textId="77777777" w:rsidR="00B611F7" w:rsidRPr="00896808" w:rsidRDefault="00B611F7" w:rsidP="00896808">
      <w:pPr>
        <w:pStyle w:val="NormalWeb"/>
        <w:spacing w:before="0" w:beforeAutospacing="0" w:after="0" w:afterAutospacing="0"/>
      </w:pPr>
      <w:r w:rsidRPr="00896808">
        <w:t xml:space="preserve">Folke, C. (2006). Resilience: The emergence of a perspective for social–ecological systems </w:t>
      </w:r>
    </w:p>
    <w:p w14:paraId="2C7EC43E" w14:textId="77777777" w:rsidR="00B611F7" w:rsidRPr="00896808" w:rsidRDefault="00B611F7" w:rsidP="00896808">
      <w:pPr>
        <w:pStyle w:val="NormalWeb"/>
        <w:spacing w:before="0" w:beforeAutospacing="0" w:after="0" w:afterAutospacing="0"/>
        <w:ind w:left="720"/>
      </w:pPr>
      <w:r w:rsidRPr="00896808">
        <w:lastRenderedPageBreak/>
        <w:t xml:space="preserve">analyses. </w:t>
      </w:r>
      <w:r w:rsidRPr="00896808">
        <w:rPr>
          <w:rStyle w:val="Emphasis"/>
        </w:rPr>
        <w:t>Global Environmental Change, 16</w:t>
      </w:r>
      <w:r w:rsidRPr="00896808">
        <w:t xml:space="preserve">(3), 253–267. </w:t>
      </w:r>
      <w:hyperlink r:id="rId16" w:history="1">
        <w:r w:rsidRPr="00896808">
          <w:rPr>
            <w:rStyle w:val="Hyperlink"/>
            <w:color w:val="auto"/>
            <w:u w:val="none"/>
          </w:rPr>
          <w:t>https://doi.org/10.1016/j.gloenvcha.2006.04.002</w:t>
        </w:r>
      </w:hyperlink>
    </w:p>
    <w:p w14:paraId="163B51B2" w14:textId="77777777" w:rsidR="00B611F7" w:rsidRPr="00896808" w:rsidRDefault="00B611F7" w:rsidP="00896808">
      <w:pPr>
        <w:pStyle w:val="NormalWeb"/>
        <w:spacing w:before="0" w:beforeAutospacing="0" w:after="0" w:afterAutospacing="0"/>
      </w:pPr>
    </w:p>
    <w:p w14:paraId="7CB9E4F7" w14:textId="77777777" w:rsidR="00B611F7" w:rsidRPr="00896808" w:rsidRDefault="00B611F7" w:rsidP="00896808">
      <w:pPr>
        <w:pStyle w:val="NormalWeb"/>
        <w:spacing w:before="0" w:beforeAutospacing="0" w:after="0" w:afterAutospacing="0"/>
      </w:pPr>
      <w:r w:rsidRPr="00896808">
        <w:t xml:space="preserve">Intergovernmental Panel on Climate Change. (2023). </w:t>
      </w:r>
      <w:r w:rsidRPr="00896808">
        <w:rPr>
          <w:rStyle w:val="Emphasis"/>
        </w:rPr>
        <w:t>Climate change 2023: Synthesis report</w:t>
      </w:r>
      <w:r w:rsidRPr="00896808">
        <w:t>.</w:t>
      </w:r>
    </w:p>
    <w:p w14:paraId="0291C6A1" w14:textId="77777777" w:rsidR="00B611F7" w:rsidRPr="00896808" w:rsidRDefault="00B611F7" w:rsidP="00896808">
      <w:pPr>
        <w:pStyle w:val="NormalWeb"/>
        <w:spacing w:before="0" w:beforeAutospacing="0" w:after="0" w:afterAutospacing="0"/>
      </w:pPr>
      <w:r w:rsidRPr="00896808">
        <w:tab/>
        <w:t>IPCC.</w:t>
      </w:r>
    </w:p>
    <w:p w14:paraId="2D7DBB5F" w14:textId="77777777" w:rsidR="00B611F7" w:rsidRPr="00896808" w:rsidRDefault="00B611F7" w:rsidP="00896808">
      <w:pPr>
        <w:pStyle w:val="NormalWeb"/>
        <w:spacing w:before="0" w:beforeAutospacing="0" w:after="0" w:afterAutospacing="0"/>
      </w:pPr>
    </w:p>
    <w:p w14:paraId="4B89FDC9" w14:textId="77777777" w:rsidR="00B611F7" w:rsidRPr="00896808" w:rsidRDefault="00B611F7" w:rsidP="00896808">
      <w:pPr>
        <w:pStyle w:val="NormalWeb"/>
        <w:spacing w:before="0" w:beforeAutospacing="0" w:after="0" w:afterAutospacing="0"/>
      </w:pPr>
      <w:r w:rsidRPr="00896808">
        <w:t xml:space="preserve">Ishaya, S., Ahmed, Y. M., &amp; Tukur, A. L. (2021). Rainfall variability and flooding in the Upper </w:t>
      </w:r>
    </w:p>
    <w:p w14:paraId="07D9E370" w14:textId="77777777" w:rsidR="00B611F7" w:rsidRPr="00896808" w:rsidRDefault="00B611F7" w:rsidP="00896808">
      <w:pPr>
        <w:pStyle w:val="NormalWeb"/>
        <w:spacing w:before="0" w:beforeAutospacing="0" w:after="0" w:afterAutospacing="0"/>
      </w:pPr>
      <w:r w:rsidRPr="00896808">
        <w:tab/>
        <w:t xml:space="preserve">Benue Basin, Nigeria. </w:t>
      </w:r>
      <w:r w:rsidRPr="00896808">
        <w:rPr>
          <w:rStyle w:val="Emphasis"/>
        </w:rPr>
        <w:t>Journal of Geography and Natural Disasters, 11</w:t>
      </w:r>
      <w:r w:rsidRPr="00896808">
        <w:t>(2), 1–10.</w:t>
      </w:r>
    </w:p>
    <w:p w14:paraId="4CF6E3E1" w14:textId="77777777" w:rsidR="00B611F7" w:rsidRPr="00896808" w:rsidRDefault="00B611F7" w:rsidP="00896808">
      <w:pPr>
        <w:pStyle w:val="NormalWeb"/>
        <w:spacing w:before="0" w:beforeAutospacing="0" w:after="0" w:afterAutospacing="0"/>
      </w:pPr>
    </w:p>
    <w:p w14:paraId="3690FE50" w14:textId="77777777" w:rsidR="00B611F7" w:rsidRPr="00896808" w:rsidRDefault="00B611F7" w:rsidP="00896808">
      <w:pPr>
        <w:pStyle w:val="NormalWeb"/>
        <w:spacing w:before="0" w:beforeAutospacing="0" w:after="0" w:afterAutospacing="0"/>
      </w:pPr>
      <w:r w:rsidRPr="00896808">
        <w:t xml:space="preserve">Karimi, M., Ngetich, B. K., </w:t>
      </w:r>
      <w:proofErr w:type="spellStart"/>
      <w:r w:rsidRPr="00896808">
        <w:t>Chianu</w:t>
      </w:r>
      <w:proofErr w:type="spellEnd"/>
      <w:r w:rsidRPr="00896808">
        <w:t xml:space="preserve">, J., &amp; Mureithi, S. (2021). Smallholder farmers’ perception </w:t>
      </w:r>
    </w:p>
    <w:p w14:paraId="73791927" w14:textId="77777777" w:rsidR="00B611F7" w:rsidRPr="00896808" w:rsidRDefault="00B611F7" w:rsidP="00896808">
      <w:pPr>
        <w:pStyle w:val="NormalWeb"/>
        <w:spacing w:before="0" w:beforeAutospacing="0" w:after="0" w:afterAutospacing="0"/>
        <w:ind w:left="720"/>
      </w:pPr>
      <w:r w:rsidRPr="00896808">
        <w:t xml:space="preserve">of climate change and adoption of climate-smart agriculture practices in Masaba South Sub-County, Kisii, Kenya. </w:t>
      </w:r>
      <w:r w:rsidRPr="00896808">
        <w:rPr>
          <w:rStyle w:val="Emphasis"/>
        </w:rPr>
        <w:t>Journal of Agriculture and Environmental Sciences</w:t>
      </w:r>
      <w:r w:rsidRPr="00896808">
        <w:t>.</w:t>
      </w:r>
    </w:p>
    <w:p w14:paraId="07C6E20F" w14:textId="77777777" w:rsidR="00B611F7" w:rsidRPr="00896808" w:rsidRDefault="00B611F7" w:rsidP="00896808">
      <w:pPr>
        <w:pStyle w:val="NormalWeb"/>
        <w:spacing w:before="0" w:beforeAutospacing="0" w:after="0" w:afterAutospacing="0"/>
      </w:pPr>
    </w:p>
    <w:p w14:paraId="73DB1AB5" w14:textId="77777777" w:rsidR="00B611F7" w:rsidRPr="00896808" w:rsidRDefault="00B611F7" w:rsidP="00896808">
      <w:pPr>
        <w:pStyle w:val="NormalWeb"/>
        <w:spacing w:before="0" w:beforeAutospacing="0" w:after="0" w:afterAutospacing="0"/>
      </w:pPr>
      <w:r w:rsidRPr="00896808">
        <w:t xml:space="preserve">Lipper, L., Thornton, P., Campbell, B. M., Baedeker, T., </w:t>
      </w:r>
      <w:proofErr w:type="spellStart"/>
      <w:r w:rsidRPr="00896808">
        <w:t>Braimoh</w:t>
      </w:r>
      <w:proofErr w:type="spellEnd"/>
      <w:r w:rsidRPr="00896808">
        <w:t>, A., Bwalya, M.</w:t>
      </w:r>
    </w:p>
    <w:p w14:paraId="379C99F9" w14:textId="77777777" w:rsidR="00B611F7" w:rsidRPr="00896808" w:rsidRDefault="00B611F7" w:rsidP="00896808">
      <w:pPr>
        <w:pStyle w:val="NormalWeb"/>
        <w:spacing w:before="0" w:beforeAutospacing="0" w:after="0" w:afterAutospacing="0"/>
        <w:ind w:left="720"/>
      </w:pPr>
      <w:proofErr w:type="spellStart"/>
      <w:r w:rsidRPr="00896808">
        <w:t>Torquebiau</w:t>
      </w:r>
      <w:proofErr w:type="spellEnd"/>
      <w:r w:rsidRPr="00896808">
        <w:t xml:space="preserve">, E. (2014). Climate-smart agriculture for food security. </w:t>
      </w:r>
      <w:r w:rsidRPr="00896808">
        <w:rPr>
          <w:rStyle w:val="Emphasis"/>
        </w:rPr>
        <w:t>Nature Climate Change, 4</w:t>
      </w:r>
      <w:r w:rsidRPr="00896808">
        <w:t xml:space="preserve">(12), 1068–1072. </w:t>
      </w:r>
      <w:hyperlink r:id="rId17" w:history="1">
        <w:r w:rsidRPr="00896808">
          <w:rPr>
            <w:rStyle w:val="Hyperlink"/>
            <w:color w:val="auto"/>
            <w:u w:val="none"/>
          </w:rPr>
          <w:t>https://doi.org/10.1038/nclimate2437</w:t>
        </w:r>
      </w:hyperlink>
    </w:p>
    <w:p w14:paraId="0DCBC7FE" w14:textId="77777777" w:rsidR="00B611F7" w:rsidRPr="00896808" w:rsidRDefault="00B611F7" w:rsidP="00896808">
      <w:pPr>
        <w:pStyle w:val="NormalWeb"/>
        <w:spacing w:before="0" w:beforeAutospacing="0" w:after="0" w:afterAutospacing="0"/>
      </w:pPr>
    </w:p>
    <w:p w14:paraId="5DC40947" w14:textId="77777777" w:rsidR="00B611F7" w:rsidRPr="00896808" w:rsidRDefault="00B611F7" w:rsidP="00896808">
      <w:pPr>
        <w:pStyle w:val="NormalWeb"/>
        <w:spacing w:before="0" w:beforeAutospacing="0" w:after="0" w:afterAutospacing="0"/>
      </w:pPr>
      <w:r w:rsidRPr="00896808">
        <w:t xml:space="preserve">Mashi, A., et al. (2022). Factors affecting farmers’ familiarity with climate-smart agricultural </w:t>
      </w:r>
    </w:p>
    <w:p w14:paraId="44A4D6DD" w14:textId="77777777" w:rsidR="00B611F7" w:rsidRPr="00896808" w:rsidRDefault="00B611F7" w:rsidP="00896808">
      <w:pPr>
        <w:pStyle w:val="NormalWeb"/>
        <w:spacing w:before="0" w:beforeAutospacing="0" w:after="0" w:afterAutospacing="0"/>
      </w:pPr>
      <w:r w:rsidRPr="00896808">
        <w:tab/>
        <w:t xml:space="preserve">technologies in Nigeria. </w:t>
      </w:r>
      <w:r w:rsidRPr="00896808">
        <w:rPr>
          <w:rStyle w:val="Emphasis"/>
        </w:rPr>
        <w:t>[Comparative study reference]</w:t>
      </w:r>
      <w:r w:rsidRPr="00896808">
        <w:t>.</w:t>
      </w:r>
    </w:p>
    <w:p w14:paraId="02D3AF9C" w14:textId="77777777" w:rsidR="00B611F7" w:rsidRPr="00896808" w:rsidRDefault="00B611F7" w:rsidP="00896808">
      <w:pPr>
        <w:pStyle w:val="NormalWeb"/>
        <w:spacing w:before="0" w:beforeAutospacing="0" w:after="0" w:afterAutospacing="0"/>
      </w:pPr>
    </w:p>
    <w:p w14:paraId="1D41D815" w14:textId="45C6DEEC" w:rsidR="006E7245" w:rsidRDefault="006E7245" w:rsidP="006E7245">
      <w:pPr>
        <w:pStyle w:val="NormalWeb"/>
        <w:spacing w:after="0" w:afterAutospacing="0"/>
        <w:jc w:val="both"/>
      </w:pPr>
      <w:r>
        <w:t xml:space="preserve">Mshelia, S. S., Ibrahim, A. J., Mbaya, Y. A., &amp; Lawan, B. (2025). Building environmental </w:t>
      </w:r>
    </w:p>
    <w:p w14:paraId="7962E8F6" w14:textId="349138CC" w:rsidR="006E7245" w:rsidRDefault="006E7245" w:rsidP="006E7245">
      <w:pPr>
        <w:pStyle w:val="NormalWeb"/>
        <w:spacing w:before="0" w:beforeAutospacing="0" w:after="0" w:afterAutospacing="0"/>
        <w:ind w:left="720"/>
        <w:jc w:val="both"/>
      </w:pPr>
      <w:r>
        <w:t xml:space="preserve">resilience to climate change: Mitigation and adaptation in Yobe State, Nigeria. </w:t>
      </w:r>
      <w:r>
        <w:rPr>
          <w:rStyle w:val="Emphasis"/>
        </w:rPr>
        <w:t>Asian Journal of Geographical Research, 8</w:t>
      </w:r>
      <w:r>
        <w:t xml:space="preserve">(1), 29–45. </w:t>
      </w:r>
      <w:hyperlink r:id="rId18" w:history="1">
        <w:r>
          <w:rPr>
            <w:rStyle w:val="Hyperlink"/>
          </w:rPr>
          <w:t>https://doi.org/10.9734/ajgr/2025/v8i1254</w:t>
        </w:r>
      </w:hyperlink>
    </w:p>
    <w:p w14:paraId="020B5694" w14:textId="303612F3" w:rsidR="006E7245" w:rsidRDefault="006E7245" w:rsidP="006E7245">
      <w:pPr>
        <w:pStyle w:val="NormalWeb"/>
        <w:spacing w:after="0" w:afterAutospacing="0"/>
        <w:jc w:val="both"/>
      </w:pPr>
      <w:r>
        <w:t xml:space="preserve">Mshelia, S. S., Paschal, O. U., Andrew, R., &amp; Oyetunji, A. B. (2020). Environmental and health </w:t>
      </w:r>
    </w:p>
    <w:p w14:paraId="2581CDAB" w14:textId="74397AD8" w:rsidR="006E7245" w:rsidRDefault="006E7245" w:rsidP="006E7245">
      <w:pPr>
        <w:pStyle w:val="NormalWeb"/>
        <w:spacing w:before="0" w:beforeAutospacing="0" w:after="0" w:afterAutospacing="0"/>
        <w:ind w:left="720"/>
        <w:jc w:val="both"/>
      </w:pPr>
      <w:r>
        <w:t xml:space="preserve">effects of climate change in Kaduna metropolis. </w:t>
      </w:r>
      <w:r>
        <w:rPr>
          <w:rStyle w:val="Emphasis"/>
        </w:rPr>
        <w:t>International Journal of Advanced Academic Research, 6</w:t>
      </w:r>
      <w:r>
        <w:t xml:space="preserve">(12), 100–113. </w:t>
      </w:r>
      <w:hyperlink r:id="rId19" w:history="1">
        <w:r>
          <w:rPr>
            <w:rStyle w:val="Hyperlink"/>
          </w:rPr>
          <w:t>https://doi.org/10.46654/ij.24889849.e61233</w:t>
        </w:r>
      </w:hyperlink>
    </w:p>
    <w:p w14:paraId="79B7669E" w14:textId="77777777" w:rsidR="00A87C0B" w:rsidRPr="00A87C0B" w:rsidRDefault="00A87C0B" w:rsidP="00A87C0B">
      <w:pPr>
        <w:jc w:val="both"/>
        <w:rPr>
          <w:rFonts w:ascii="Times New Roman" w:hAnsi="Times New Roman" w:cs="Times New Roman"/>
          <w:sz w:val="2"/>
        </w:rPr>
      </w:pPr>
    </w:p>
    <w:p w14:paraId="2A6EDA3F" w14:textId="017E3497" w:rsidR="00A87C0B" w:rsidRDefault="00A87C0B" w:rsidP="00A87C0B">
      <w:pPr>
        <w:spacing w:after="0" w:line="240" w:lineRule="auto"/>
        <w:jc w:val="both"/>
        <w:rPr>
          <w:rFonts w:ascii="Times New Roman" w:hAnsi="Times New Roman" w:cs="Times New Roman"/>
          <w:sz w:val="24"/>
        </w:rPr>
      </w:pPr>
      <w:r w:rsidRPr="0094403D">
        <w:rPr>
          <w:rFonts w:ascii="Times New Roman" w:hAnsi="Times New Roman" w:cs="Times New Roman"/>
          <w:sz w:val="24"/>
        </w:rPr>
        <w:t xml:space="preserve">Udeh, E. L., &amp; Mshelia, S. S. (2026). Climate-Smart Agriculture Policy Interventions and </w:t>
      </w:r>
    </w:p>
    <w:p w14:paraId="61B43C00" w14:textId="411F0172" w:rsidR="00A87C0B" w:rsidRPr="0094403D" w:rsidRDefault="00A87C0B" w:rsidP="00A87C0B">
      <w:pPr>
        <w:spacing w:after="0" w:line="240" w:lineRule="auto"/>
        <w:ind w:left="720"/>
        <w:jc w:val="both"/>
        <w:rPr>
          <w:rFonts w:ascii="Times New Roman" w:hAnsi="Times New Roman" w:cs="Times New Roman"/>
          <w:sz w:val="24"/>
        </w:rPr>
      </w:pPr>
      <w:r w:rsidRPr="0094403D">
        <w:rPr>
          <w:rFonts w:ascii="Times New Roman" w:hAnsi="Times New Roman" w:cs="Times New Roman"/>
          <w:sz w:val="24"/>
        </w:rPr>
        <w:t xml:space="preserve">Environmental Resilience to Climate Change in Semi-Arid Nigeria: Evidence from Yobe State, Nigeria. </w:t>
      </w:r>
      <w:r w:rsidRPr="00A87C0B">
        <w:rPr>
          <w:rFonts w:ascii="Times New Roman" w:hAnsi="Times New Roman" w:cs="Times New Roman"/>
          <w:i/>
          <w:sz w:val="24"/>
        </w:rPr>
        <w:t>Journal of Global Agriculture and Ecology</w:t>
      </w:r>
      <w:r w:rsidRPr="0094403D">
        <w:rPr>
          <w:rFonts w:ascii="Times New Roman" w:hAnsi="Times New Roman" w:cs="Times New Roman"/>
          <w:sz w:val="24"/>
        </w:rPr>
        <w:t>, 18(2), 124–143. https://doi.org/10.56557/jogae/2026/v18i210593</w:t>
      </w:r>
    </w:p>
    <w:p w14:paraId="5CA975C4" w14:textId="77777777" w:rsidR="006E7245" w:rsidRPr="006E7245" w:rsidRDefault="006E7245" w:rsidP="00896808">
      <w:pPr>
        <w:pStyle w:val="NormalWeb"/>
        <w:spacing w:before="0" w:beforeAutospacing="0" w:after="0" w:afterAutospacing="0"/>
        <w:rPr>
          <w:sz w:val="16"/>
        </w:rPr>
      </w:pPr>
    </w:p>
    <w:p w14:paraId="0E04A68D" w14:textId="77777777" w:rsidR="00B611F7" w:rsidRPr="00896808" w:rsidRDefault="00B611F7" w:rsidP="00896808">
      <w:pPr>
        <w:pStyle w:val="NormalWeb"/>
        <w:spacing w:before="0" w:beforeAutospacing="0" w:after="0" w:afterAutospacing="0"/>
      </w:pPr>
      <w:r w:rsidRPr="00896808">
        <w:t xml:space="preserve">National Bureau of Statistics. (2022). </w:t>
      </w:r>
      <w:r w:rsidRPr="00896808">
        <w:rPr>
          <w:rStyle w:val="Emphasis"/>
        </w:rPr>
        <w:t>Nigeria poverty and inequality report 2022</w:t>
      </w:r>
      <w:r w:rsidRPr="00896808">
        <w:t>. NBS.</w:t>
      </w:r>
    </w:p>
    <w:p w14:paraId="63762F83" w14:textId="77777777" w:rsidR="00B611F7" w:rsidRPr="00A87C0B" w:rsidRDefault="00B611F7" w:rsidP="00896808">
      <w:pPr>
        <w:pStyle w:val="NormalWeb"/>
        <w:spacing w:before="0" w:beforeAutospacing="0" w:after="0" w:afterAutospacing="0"/>
        <w:rPr>
          <w:sz w:val="20"/>
        </w:rPr>
      </w:pPr>
    </w:p>
    <w:p w14:paraId="48099F96" w14:textId="77777777" w:rsidR="00B611F7" w:rsidRPr="00896808" w:rsidRDefault="00B611F7" w:rsidP="00896808">
      <w:pPr>
        <w:pStyle w:val="NormalWeb"/>
        <w:spacing w:before="0" w:beforeAutospacing="0" w:after="0" w:afterAutospacing="0"/>
      </w:pPr>
      <w:r w:rsidRPr="00896808">
        <w:t xml:space="preserve">Ojo, T. O., </w:t>
      </w:r>
      <w:proofErr w:type="spellStart"/>
      <w:r w:rsidRPr="00896808">
        <w:t>Baiyegunhi</w:t>
      </w:r>
      <w:proofErr w:type="spellEnd"/>
      <w:r w:rsidRPr="00896808">
        <w:t xml:space="preserve">, L. J. S., &amp; Salami, A. O. (2024). Climate change adaptation strategies </w:t>
      </w:r>
    </w:p>
    <w:p w14:paraId="343C2605" w14:textId="77777777" w:rsidR="00B611F7" w:rsidRPr="00896808" w:rsidRDefault="00B611F7" w:rsidP="00896808">
      <w:pPr>
        <w:pStyle w:val="NormalWeb"/>
        <w:spacing w:before="0" w:beforeAutospacing="0" w:after="0" w:afterAutospacing="0"/>
        <w:ind w:left="720"/>
      </w:pPr>
      <w:r w:rsidRPr="00896808">
        <w:t xml:space="preserve">and welfare effects among smallholder farmers in Nigeria. </w:t>
      </w:r>
      <w:r w:rsidRPr="00896808">
        <w:rPr>
          <w:rStyle w:val="Emphasis"/>
        </w:rPr>
        <w:t>Environmental Development, 49</w:t>
      </w:r>
      <w:r w:rsidRPr="00896808">
        <w:t xml:space="preserve">, 100921. </w:t>
      </w:r>
      <w:hyperlink r:id="rId20" w:history="1">
        <w:r w:rsidRPr="00896808">
          <w:rPr>
            <w:rStyle w:val="Hyperlink"/>
            <w:color w:val="auto"/>
            <w:u w:val="none"/>
          </w:rPr>
          <w:t>https://doi.org/10.1016/j.envdev.2023.100921</w:t>
        </w:r>
      </w:hyperlink>
    </w:p>
    <w:p w14:paraId="028B5035" w14:textId="77777777" w:rsidR="00B611F7" w:rsidRPr="00896808" w:rsidRDefault="00B611F7" w:rsidP="00896808">
      <w:pPr>
        <w:pStyle w:val="NormalWeb"/>
        <w:spacing w:before="0" w:beforeAutospacing="0" w:after="0" w:afterAutospacing="0"/>
      </w:pPr>
    </w:p>
    <w:p w14:paraId="3590B22F" w14:textId="77777777" w:rsidR="00B611F7" w:rsidRPr="00896808" w:rsidRDefault="00B611F7" w:rsidP="00896808">
      <w:pPr>
        <w:pStyle w:val="NormalWeb"/>
        <w:spacing w:before="0" w:beforeAutospacing="0" w:after="0" w:afterAutospacing="0"/>
      </w:pPr>
      <w:proofErr w:type="spellStart"/>
      <w:r w:rsidRPr="00896808">
        <w:t>Olayide</w:t>
      </w:r>
      <w:proofErr w:type="spellEnd"/>
      <w:r w:rsidRPr="00896808">
        <w:t xml:space="preserve">, O. E., Tetteh, I. K., &amp; Popoola, L. (2023). Differential impacts of climate change on </w:t>
      </w:r>
    </w:p>
    <w:p w14:paraId="0B108002" w14:textId="77777777" w:rsidR="00B611F7" w:rsidRPr="00896808" w:rsidRDefault="00B611F7" w:rsidP="00896808">
      <w:pPr>
        <w:pStyle w:val="NormalWeb"/>
        <w:spacing w:before="0" w:beforeAutospacing="0" w:after="0" w:afterAutospacing="0"/>
        <w:ind w:left="720"/>
      </w:pPr>
      <w:r w:rsidRPr="00896808">
        <w:t xml:space="preserve">crop yields in Nigeria. </w:t>
      </w:r>
      <w:r w:rsidRPr="00896808">
        <w:rPr>
          <w:rStyle w:val="Emphasis"/>
        </w:rPr>
        <w:t>Climate Services, 30</w:t>
      </w:r>
      <w:r w:rsidRPr="00896808">
        <w:t xml:space="preserve">, 100353. </w:t>
      </w:r>
      <w:hyperlink r:id="rId21" w:history="1">
        <w:r w:rsidRPr="00896808">
          <w:rPr>
            <w:rStyle w:val="Hyperlink"/>
            <w:color w:val="auto"/>
            <w:u w:val="none"/>
          </w:rPr>
          <w:t>https://doi.org/10.1016/j.cliser.2023.100353</w:t>
        </w:r>
      </w:hyperlink>
    </w:p>
    <w:p w14:paraId="130B896C" w14:textId="77777777" w:rsidR="00B611F7" w:rsidRPr="00896808" w:rsidRDefault="00B611F7" w:rsidP="00896808">
      <w:pPr>
        <w:pStyle w:val="NormalWeb"/>
        <w:spacing w:before="0" w:beforeAutospacing="0" w:after="0" w:afterAutospacing="0"/>
      </w:pPr>
    </w:p>
    <w:p w14:paraId="3CA3ACA8" w14:textId="77777777" w:rsidR="00B611F7" w:rsidRPr="00896808" w:rsidRDefault="00B611F7" w:rsidP="00896808">
      <w:pPr>
        <w:pStyle w:val="NormalWeb"/>
        <w:spacing w:before="0" w:beforeAutospacing="0" w:after="0" w:afterAutospacing="0"/>
      </w:pPr>
      <w:r w:rsidRPr="00896808">
        <w:t xml:space="preserve">Sultan, B., Defrance, D., &amp; </w:t>
      </w:r>
      <w:proofErr w:type="spellStart"/>
      <w:r w:rsidRPr="00896808">
        <w:t>Iizumi</w:t>
      </w:r>
      <w:proofErr w:type="spellEnd"/>
      <w:r w:rsidRPr="00896808">
        <w:t xml:space="preserve">, T. (2020). Evidence of crop production losses in West Africa </w:t>
      </w:r>
    </w:p>
    <w:p w14:paraId="6E237A40" w14:textId="77777777" w:rsidR="00B611F7" w:rsidRPr="00896808" w:rsidRDefault="00B611F7" w:rsidP="00896808">
      <w:pPr>
        <w:pStyle w:val="NormalWeb"/>
        <w:spacing w:before="0" w:beforeAutospacing="0" w:after="0" w:afterAutospacing="0"/>
        <w:ind w:left="720"/>
      </w:pPr>
      <w:r w:rsidRPr="00896808">
        <w:lastRenderedPageBreak/>
        <w:t xml:space="preserve">due to historical global warming. </w:t>
      </w:r>
      <w:r w:rsidRPr="00896808">
        <w:rPr>
          <w:rStyle w:val="Emphasis"/>
        </w:rPr>
        <w:t>Global Change Biology, 26</w:t>
      </w:r>
      <w:r w:rsidRPr="00896808">
        <w:t xml:space="preserve">(9), 4845–4856. </w:t>
      </w:r>
      <w:hyperlink r:id="rId22" w:history="1">
        <w:r w:rsidRPr="00896808">
          <w:rPr>
            <w:rStyle w:val="Hyperlink"/>
            <w:color w:val="auto"/>
            <w:u w:val="none"/>
          </w:rPr>
          <w:t>https://doi.org/10.1111/gcb.15142</w:t>
        </w:r>
      </w:hyperlink>
    </w:p>
    <w:p w14:paraId="6215E58E" w14:textId="77777777" w:rsidR="00B611F7" w:rsidRPr="00896808" w:rsidRDefault="00B611F7" w:rsidP="00896808">
      <w:pPr>
        <w:pStyle w:val="NormalWeb"/>
        <w:spacing w:before="0" w:beforeAutospacing="0" w:after="0" w:afterAutospacing="0"/>
      </w:pPr>
    </w:p>
    <w:p w14:paraId="7D145F9C" w14:textId="77777777" w:rsidR="00B611F7" w:rsidRPr="00896808" w:rsidRDefault="00B611F7" w:rsidP="00896808">
      <w:pPr>
        <w:pStyle w:val="NormalWeb"/>
        <w:spacing w:before="0" w:beforeAutospacing="0" w:after="0" w:afterAutospacing="0"/>
      </w:pPr>
      <w:r w:rsidRPr="00896808">
        <w:t xml:space="preserve">Thornton, P. K., </w:t>
      </w:r>
      <w:proofErr w:type="spellStart"/>
      <w:r w:rsidRPr="00896808">
        <w:t>Loboguerrero</w:t>
      </w:r>
      <w:proofErr w:type="spellEnd"/>
      <w:r w:rsidRPr="00896808">
        <w:t xml:space="preserve">, A. M., Campbell, B. M., Kavikumar, K. S., &amp; van de Steeg, J. </w:t>
      </w:r>
    </w:p>
    <w:p w14:paraId="11A4DA83" w14:textId="77777777" w:rsidR="00B611F7" w:rsidRPr="00896808" w:rsidRDefault="00B611F7" w:rsidP="00896808">
      <w:pPr>
        <w:pStyle w:val="NormalWeb"/>
        <w:spacing w:before="0" w:beforeAutospacing="0" w:after="0" w:afterAutospacing="0"/>
        <w:ind w:left="720"/>
      </w:pPr>
      <w:r w:rsidRPr="00896808">
        <w:t xml:space="preserve">(2022). Climate change and food systems in sub-Saharan Africa. </w:t>
      </w:r>
      <w:r w:rsidRPr="00896808">
        <w:rPr>
          <w:rStyle w:val="Emphasis"/>
        </w:rPr>
        <w:t>Annual Review of Environment and Resources, 47</w:t>
      </w:r>
      <w:r w:rsidRPr="00896808">
        <w:t xml:space="preserve">, 1–27. </w:t>
      </w:r>
      <w:hyperlink r:id="rId23" w:history="1">
        <w:r w:rsidRPr="00896808">
          <w:rPr>
            <w:rStyle w:val="Hyperlink"/>
            <w:color w:val="auto"/>
            <w:u w:val="none"/>
          </w:rPr>
          <w:t>https://doi.org/10.1146/annurev-environ-112420-095608</w:t>
        </w:r>
      </w:hyperlink>
    </w:p>
    <w:p w14:paraId="7C5F8A5C" w14:textId="77777777" w:rsidR="00B611F7" w:rsidRPr="00896808" w:rsidRDefault="00B611F7" w:rsidP="00896808">
      <w:pPr>
        <w:pStyle w:val="NormalWeb"/>
        <w:spacing w:before="0" w:beforeAutospacing="0" w:after="0" w:afterAutospacing="0"/>
      </w:pPr>
    </w:p>
    <w:p w14:paraId="784BE327" w14:textId="77777777" w:rsidR="00B611F7" w:rsidRPr="00896808" w:rsidRDefault="00B611F7" w:rsidP="00896808">
      <w:pPr>
        <w:pStyle w:val="NormalWeb"/>
        <w:spacing w:before="0" w:beforeAutospacing="0" w:after="0" w:afterAutospacing="0"/>
      </w:pPr>
      <w:r w:rsidRPr="00896808">
        <w:t xml:space="preserve">Thornton, P. K., Whitbread, A., Baedeker, T., Cairns, J., Claessens, L., Kumar, L., Keating, </w:t>
      </w:r>
    </w:p>
    <w:p w14:paraId="12565990" w14:textId="77777777" w:rsidR="00B611F7" w:rsidRPr="00896808" w:rsidRDefault="00B611F7" w:rsidP="00896808">
      <w:pPr>
        <w:pStyle w:val="NormalWeb"/>
        <w:spacing w:before="0" w:beforeAutospacing="0" w:after="0" w:afterAutospacing="0"/>
        <w:ind w:left="720"/>
      </w:pPr>
      <w:r w:rsidRPr="00896808">
        <w:t xml:space="preserve">B. (2018). A framework for priority-setting in climate-smart agriculture research. </w:t>
      </w:r>
      <w:r w:rsidRPr="00896808">
        <w:rPr>
          <w:rStyle w:val="Emphasis"/>
        </w:rPr>
        <w:t>Agricultural Systems, 167</w:t>
      </w:r>
      <w:r w:rsidRPr="00896808">
        <w:t xml:space="preserve">, 161–175. </w:t>
      </w:r>
      <w:hyperlink r:id="rId24" w:history="1">
        <w:r w:rsidRPr="00896808">
          <w:rPr>
            <w:rStyle w:val="Hyperlink"/>
            <w:color w:val="auto"/>
            <w:u w:val="none"/>
          </w:rPr>
          <w:t>https://doi.org/10.1016/j.agsy.2018.09.009</w:t>
        </w:r>
      </w:hyperlink>
    </w:p>
    <w:p w14:paraId="15B6AFAC" w14:textId="77777777" w:rsidR="00B611F7" w:rsidRPr="00896808" w:rsidRDefault="00B611F7" w:rsidP="00896808">
      <w:pPr>
        <w:pStyle w:val="NormalWeb"/>
        <w:spacing w:before="0" w:beforeAutospacing="0" w:after="0" w:afterAutospacing="0"/>
      </w:pPr>
    </w:p>
    <w:p w14:paraId="1C7E2278" w14:textId="77777777" w:rsidR="00B611F7" w:rsidRPr="00896808" w:rsidRDefault="00B611F7" w:rsidP="00896808">
      <w:pPr>
        <w:pStyle w:val="NormalWeb"/>
        <w:spacing w:before="0" w:beforeAutospacing="0" w:after="0" w:afterAutospacing="0"/>
      </w:pPr>
      <w:r w:rsidRPr="00896808">
        <w:t xml:space="preserve">Walker, B., Holling, C. S., Carpenter, S. R., &amp; Kinzig, A. (2004). Resilience, adaptability and </w:t>
      </w:r>
    </w:p>
    <w:p w14:paraId="2DFD05ED" w14:textId="77777777" w:rsidR="00B611F7" w:rsidRPr="00896808" w:rsidRDefault="00B611F7" w:rsidP="00896808">
      <w:pPr>
        <w:pStyle w:val="NormalWeb"/>
        <w:spacing w:before="0" w:beforeAutospacing="0" w:after="0" w:afterAutospacing="0"/>
      </w:pPr>
      <w:r w:rsidRPr="00896808">
        <w:tab/>
        <w:t xml:space="preserve">transformability in social–ecological systems. </w:t>
      </w:r>
      <w:r w:rsidRPr="00896808">
        <w:rPr>
          <w:rStyle w:val="Emphasis"/>
        </w:rPr>
        <w:t>Ecology and Society, 9</w:t>
      </w:r>
      <w:r w:rsidRPr="00896808">
        <w:t>(2), 5.</w:t>
      </w:r>
    </w:p>
    <w:p w14:paraId="5ED90EA4" w14:textId="77777777" w:rsidR="00E97D29" w:rsidRPr="00E97D29" w:rsidRDefault="00E97D29" w:rsidP="00896808">
      <w:pPr>
        <w:jc w:val="both"/>
        <w:rPr>
          <w:rFonts w:ascii="Times New Roman" w:hAnsi="Times New Roman" w:cs="Times New Roman"/>
          <w:sz w:val="28"/>
          <w:szCs w:val="24"/>
        </w:rPr>
      </w:pPr>
    </w:p>
    <w:sectPr w:rsidR="00E97D29" w:rsidRPr="00E97D29">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6-05-26T08:41:00Z" w:initials="u">
    <w:p w14:paraId="360E8704" w14:textId="53EE2E3C" w:rsidR="00DC059F" w:rsidRDefault="00DC059F">
      <w:pPr>
        <w:pStyle w:val="CommentText"/>
      </w:pPr>
      <w:r>
        <w:rPr>
          <w:rStyle w:val="CommentReference"/>
        </w:rPr>
        <w:annotationRef/>
      </w:r>
      <w:r>
        <w:t>IIMPACTS</w:t>
      </w:r>
    </w:p>
  </w:comment>
  <w:comment w:id="2" w:author="user" w:date="2026-05-26T03:14:00Z" w:initials="u">
    <w:p w14:paraId="4F1F1F23" w14:textId="7CC57A22" w:rsidR="008562FB" w:rsidRDefault="008562FB">
      <w:pPr>
        <w:pStyle w:val="CommentText"/>
      </w:pPr>
      <w:r>
        <w:rPr>
          <w:rStyle w:val="CommentReference"/>
        </w:rPr>
        <w:annotationRef/>
      </w:r>
      <w:proofErr w:type="gramStart"/>
      <w:r>
        <w:t>an</w:t>
      </w:r>
      <w:proofErr w:type="gramEnd"/>
      <w:r>
        <w:t xml:space="preserve"> </w:t>
      </w:r>
      <w:r w:rsidRPr="00AE0CCF">
        <w:rPr>
          <w:rFonts w:ascii="Times New Roman" w:hAnsi="Times New Roman" w:cs="Times New Roman"/>
          <w:sz w:val="24"/>
          <w:szCs w:val="24"/>
        </w:rPr>
        <w:t>unprecedented</w:t>
      </w:r>
      <w:r>
        <w:rPr>
          <w:rFonts w:ascii="Times New Roman" w:hAnsi="Times New Roman" w:cs="Times New Roman"/>
          <w:sz w:val="24"/>
          <w:szCs w:val="24"/>
        </w:rPr>
        <w:t xml:space="preserve"> threat </w:t>
      </w:r>
    </w:p>
  </w:comment>
  <w:comment w:id="3" w:author="user" w:date="2026-05-26T03:16:00Z" w:initials="u">
    <w:p w14:paraId="3EEB5C8B" w14:textId="2EA3BD8C" w:rsidR="008562FB" w:rsidRDefault="008562FB">
      <w:pPr>
        <w:pStyle w:val="CommentText"/>
      </w:pPr>
      <w:r>
        <w:rPr>
          <w:rStyle w:val="CommentReference"/>
        </w:rPr>
        <w:annotationRef/>
      </w:r>
      <w:proofErr w:type="gramStart"/>
      <w:r>
        <w:t>limitation</w:t>
      </w:r>
      <w:proofErr w:type="gramEnd"/>
    </w:p>
  </w:comment>
  <w:comment w:id="4" w:author="user" w:date="2026-05-26T03:19:00Z" w:initials="u">
    <w:p w14:paraId="5AAB6A97" w14:textId="768C8A89" w:rsidR="008562FB" w:rsidRDefault="008562FB">
      <w:pPr>
        <w:pStyle w:val="CommentText"/>
      </w:pPr>
      <w:r>
        <w:rPr>
          <w:rStyle w:val="CommentReference"/>
        </w:rPr>
        <w:annotationRef/>
      </w:r>
      <w:proofErr w:type="gramStart"/>
      <w:r>
        <w:t>not</w:t>
      </w:r>
      <w:proofErr w:type="gramEnd"/>
      <w:r>
        <w:t xml:space="preserve"> clear</w:t>
      </w:r>
    </w:p>
  </w:comment>
  <w:comment w:id="5" w:author="user" w:date="2026-05-26T08:32:00Z" w:initials="u">
    <w:p w14:paraId="08AB9B37" w14:textId="78C8DBEF" w:rsidR="008562FB" w:rsidRDefault="008562FB">
      <w:pPr>
        <w:pStyle w:val="CommentText"/>
      </w:pPr>
      <w:r>
        <w:rPr>
          <w:rStyle w:val="CommentReference"/>
        </w:rPr>
        <w:annotationRef/>
      </w:r>
      <w:proofErr w:type="gramStart"/>
      <w:r>
        <w:t>not</w:t>
      </w:r>
      <w:proofErr w:type="gramEnd"/>
      <w:r>
        <w:t xml:space="preserve"> </w:t>
      </w:r>
      <w:r w:rsidR="007F48E1">
        <w:t>clear</w:t>
      </w:r>
    </w:p>
  </w:comment>
  <w:comment w:id="6" w:author="user" w:date="2026-05-26T03:26:00Z" w:initials="u">
    <w:p w14:paraId="759C412F" w14:textId="237F6648" w:rsidR="008562FB" w:rsidRDefault="008562FB">
      <w:pPr>
        <w:pStyle w:val="CommentText"/>
      </w:pPr>
      <w:r>
        <w:rPr>
          <w:rStyle w:val="CommentReference"/>
        </w:rPr>
        <w:annotationRef/>
      </w:r>
      <w:proofErr w:type="gramStart"/>
      <w:r>
        <w:t>delete</w:t>
      </w:r>
      <w:proofErr w:type="gramEnd"/>
      <w:r>
        <w:t xml:space="preserve"> the comma </w:t>
      </w:r>
    </w:p>
  </w:comment>
  <w:comment w:id="7" w:author="user" w:date="2026-05-26T03:31:00Z" w:initials="u">
    <w:p w14:paraId="6983ADCC" w14:textId="1538C936" w:rsidR="008562FB" w:rsidRDefault="008562FB">
      <w:pPr>
        <w:pStyle w:val="CommentText"/>
      </w:pPr>
      <w:r>
        <w:rPr>
          <w:rStyle w:val="CommentReference"/>
        </w:rPr>
        <w:annotationRef/>
      </w:r>
      <w:r>
        <w:t>Much</w:t>
      </w:r>
    </w:p>
  </w:comment>
  <w:comment w:id="8" w:author="user" w:date="2026-05-26T04:40:00Z" w:initials="u">
    <w:p w14:paraId="63D151FA" w14:textId="6F08793D" w:rsidR="005F61F6" w:rsidRDefault="005F61F6">
      <w:pPr>
        <w:pStyle w:val="CommentText"/>
      </w:pPr>
      <w:r>
        <w:rPr>
          <w:rStyle w:val="CommentReference"/>
        </w:rPr>
        <w:annotationRef/>
      </w:r>
      <w:proofErr w:type="gramStart"/>
      <w:r>
        <w:t>not</w:t>
      </w:r>
      <w:proofErr w:type="gramEnd"/>
      <w:r>
        <w:t xml:space="preserve"> clear </w:t>
      </w:r>
    </w:p>
  </w:comment>
  <w:comment w:id="9" w:author="user" w:date="2026-05-26T04:46:00Z" w:initials="u">
    <w:p w14:paraId="5CF40407" w14:textId="017B6A52" w:rsidR="00DC5301" w:rsidRDefault="00DC5301">
      <w:pPr>
        <w:pStyle w:val="CommentText"/>
      </w:pPr>
      <w:r>
        <w:rPr>
          <w:rStyle w:val="CommentReference"/>
        </w:rPr>
        <w:annotationRef/>
      </w:r>
      <w:proofErr w:type="gramStart"/>
      <w:r w:rsidRPr="00F362F9">
        <w:t>human</w:t>
      </w:r>
      <w:r>
        <w:t>-</w:t>
      </w:r>
      <w:r w:rsidRPr="00F362F9">
        <w:t>environment</w:t>
      </w:r>
      <w:proofErr w:type="gramEnd"/>
    </w:p>
  </w:comment>
  <w:comment w:id="10" w:author="user" w:date="2026-05-26T06:59:00Z" w:initials="u">
    <w:p w14:paraId="21DBFD6B" w14:textId="44F5C211" w:rsidR="008C4422" w:rsidRDefault="008C4422">
      <w:pPr>
        <w:pStyle w:val="CommentText"/>
      </w:pPr>
      <w:r>
        <w:rPr>
          <w:rStyle w:val="CommentReference"/>
        </w:rPr>
        <w:annotationRef/>
      </w:r>
      <w:proofErr w:type="gramStart"/>
      <w:r>
        <w:t>provide</w:t>
      </w:r>
      <w:proofErr w:type="gramEnd"/>
      <w:r>
        <w:t xml:space="preserve"> source  for this whole information </w:t>
      </w:r>
    </w:p>
  </w:comment>
  <w:comment w:id="11" w:author="user" w:date="2026-05-26T07:50:00Z" w:initials="u">
    <w:p w14:paraId="1F3301B5" w14:textId="1068A579" w:rsidR="00184FF1" w:rsidRDefault="00184FF1">
      <w:pPr>
        <w:pStyle w:val="CommentText"/>
      </w:pPr>
      <w:r>
        <w:rPr>
          <w:rStyle w:val="CommentReference"/>
        </w:rPr>
        <w:annotationRef/>
      </w:r>
      <w:r>
        <w:t>???</w:t>
      </w:r>
    </w:p>
  </w:comment>
  <w:comment w:id="12" w:author="user" w:date="2026-05-26T08:15:00Z" w:initials="u">
    <w:p w14:paraId="0A63C2EC" w14:textId="4E0C903A" w:rsidR="008464E9" w:rsidRDefault="008464E9">
      <w:pPr>
        <w:pStyle w:val="CommentText"/>
      </w:pPr>
      <w:r>
        <w:rPr>
          <w:rStyle w:val="CommentReference"/>
        </w:rPr>
        <w:annotationRef/>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519BA" w14:textId="77777777" w:rsidR="00CC0592" w:rsidRDefault="00CC0592" w:rsidP="004D6BCD">
      <w:pPr>
        <w:spacing w:after="0" w:line="240" w:lineRule="auto"/>
      </w:pPr>
      <w:r>
        <w:separator/>
      </w:r>
    </w:p>
  </w:endnote>
  <w:endnote w:type="continuationSeparator" w:id="0">
    <w:p w14:paraId="24136E39" w14:textId="77777777" w:rsidR="00CC0592" w:rsidRDefault="00CC0592" w:rsidP="004D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FA91C" w14:textId="77777777" w:rsidR="008562FB" w:rsidRDefault="008562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1474D" w14:textId="77777777" w:rsidR="008562FB" w:rsidRDefault="008562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E0ADF" w14:textId="77777777" w:rsidR="008562FB" w:rsidRDefault="00856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9ACD0" w14:textId="77777777" w:rsidR="00CC0592" w:rsidRDefault="00CC0592" w:rsidP="004D6BCD">
      <w:pPr>
        <w:spacing w:after="0" w:line="240" w:lineRule="auto"/>
      </w:pPr>
      <w:r>
        <w:separator/>
      </w:r>
    </w:p>
  </w:footnote>
  <w:footnote w:type="continuationSeparator" w:id="0">
    <w:p w14:paraId="725D88D2" w14:textId="77777777" w:rsidR="00CC0592" w:rsidRDefault="00CC0592" w:rsidP="004D6B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7705B" w14:textId="4E1D3394" w:rsidR="008562FB" w:rsidRDefault="008562FB">
    <w:pPr>
      <w:pStyle w:val="Header"/>
    </w:pPr>
    <w:r>
      <w:rPr>
        <w:noProof/>
      </w:rPr>
      <w:pict w14:anchorId="64208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789BC" w14:textId="2B666D79" w:rsidR="008562FB" w:rsidRDefault="008562FB">
    <w:pPr>
      <w:pStyle w:val="Header"/>
    </w:pPr>
    <w:r>
      <w:rPr>
        <w:noProof/>
      </w:rPr>
      <w:pict w14:anchorId="10A880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C14CA" w14:textId="2E85B134" w:rsidR="008562FB" w:rsidRDefault="008562FB">
    <w:pPr>
      <w:pStyle w:val="Header"/>
    </w:pPr>
    <w:r>
      <w:rPr>
        <w:noProof/>
      </w:rPr>
      <w:pict w14:anchorId="595F0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5254"/>
    <w:multiLevelType w:val="hybridMultilevel"/>
    <w:tmpl w:val="624A0FA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AD63482"/>
    <w:multiLevelType w:val="hybridMultilevel"/>
    <w:tmpl w:val="27F6703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48A0AEA"/>
    <w:multiLevelType w:val="hybridMultilevel"/>
    <w:tmpl w:val="BCDCD2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5CA79CE"/>
    <w:multiLevelType w:val="multilevel"/>
    <w:tmpl w:val="40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500BE8"/>
    <w:multiLevelType w:val="hybridMultilevel"/>
    <w:tmpl w:val="8D4032F6"/>
    <w:lvl w:ilvl="0" w:tplc="5D7016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D24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EC0E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0D13F6"/>
    <w:multiLevelType w:val="hybridMultilevel"/>
    <w:tmpl w:val="066827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163F86"/>
    <w:multiLevelType w:val="hybridMultilevel"/>
    <w:tmpl w:val="64FA5F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D33E71"/>
    <w:multiLevelType w:val="multilevel"/>
    <w:tmpl w:val="6F12826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E644525"/>
    <w:multiLevelType w:val="multilevel"/>
    <w:tmpl w:val="ABF8ED0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5"/>
  </w:num>
  <w:num w:numId="4">
    <w:abstractNumId w:val="6"/>
  </w:num>
  <w:num w:numId="5">
    <w:abstractNumId w:val="10"/>
  </w:num>
  <w:num w:numId="6">
    <w:abstractNumId w:val="8"/>
  </w:num>
  <w:num w:numId="7">
    <w:abstractNumId w:val="3"/>
  </w:num>
  <w:num w:numId="8">
    <w:abstractNumId w:val="1"/>
  </w:num>
  <w:num w:numId="9">
    <w:abstractNumId w:val="9"/>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950"/>
    <w:rsid w:val="00106466"/>
    <w:rsid w:val="00147E26"/>
    <w:rsid w:val="00184FF1"/>
    <w:rsid w:val="001A0950"/>
    <w:rsid w:val="001B341B"/>
    <w:rsid w:val="001E2006"/>
    <w:rsid w:val="002064A5"/>
    <w:rsid w:val="00297082"/>
    <w:rsid w:val="002A79AF"/>
    <w:rsid w:val="002C0E5B"/>
    <w:rsid w:val="002D21D4"/>
    <w:rsid w:val="002F6827"/>
    <w:rsid w:val="00304E3B"/>
    <w:rsid w:val="00312260"/>
    <w:rsid w:val="00315D85"/>
    <w:rsid w:val="00321E17"/>
    <w:rsid w:val="00334004"/>
    <w:rsid w:val="003465E6"/>
    <w:rsid w:val="00352408"/>
    <w:rsid w:val="00380FB8"/>
    <w:rsid w:val="003C08B4"/>
    <w:rsid w:val="003D0CB5"/>
    <w:rsid w:val="00402129"/>
    <w:rsid w:val="00457200"/>
    <w:rsid w:val="00481DAC"/>
    <w:rsid w:val="00481F4E"/>
    <w:rsid w:val="004862D4"/>
    <w:rsid w:val="004D6BCD"/>
    <w:rsid w:val="004E294D"/>
    <w:rsid w:val="004F14E3"/>
    <w:rsid w:val="00541850"/>
    <w:rsid w:val="00563A4E"/>
    <w:rsid w:val="005D6C45"/>
    <w:rsid w:val="005F61F6"/>
    <w:rsid w:val="006066B5"/>
    <w:rsid w:val="00611692"/>
    <w:rsid w:val="00640B46"/>
    <w:rsid w:val="006C305F"/>
    <w:rsid w:val="006D296D"/>
    <w:rsid w:val="006E7245"/>
    <w:rsid w:val="007A7230"/>
    <w:rsid w:val="007B0BC9"/>
    <w:rsid w:val="007F48E1"/>
    <w:rsid w:val="007F7A4D"/>
    <w:rsid w:val="008464E9"/>
    <w:rsid w:val="008562FB"/>
    <w:rsid w:val="00862430"/>
    <w:rsid w:val="00881D5F"/>
    <w:rsid w:val="00896808"/>
    <w:rsid w:val="008B1761"/>
    <w:rsid w:val="008B18B8"/>
    <w:rsid w:val="008C4422"/>
    <w:rsid w:val="008C759A"/>
    <w:rsid w:val="008D5BAC"/>
    <w:rsid w:val="00902EE0"/>
    <w:rsid w:val="0091591D"/>
    <w:rsid w:val="0092191E"/>
    <w:rsid w:val="0095772D"/>
    <w:rsid w:val="009706EA"/>
    <w:rsid w:val="0098226B"/>
    <w:rsid w:val="009B4DF7"/>
    <w:rsid w:val="009B7C68"/>
    <w:rsid w:val="009E3BBB"/>
    <w:rsid w:val="009E6590"/>
    <w:rsid w:val="009F3392"/>
    <w:rsid w:val="009F5448"/>
    <w:rsid w:val="00A04809"/>
    <w:rsid w:val="00A2494A"/>
    <w:rsid w:val="00A35AE9"/>
    <w:rsid w:val="00A44AC3"/>
    <w:rsid w:val="00A87C0B"/>
    <w:rsid w:val="00AD0EAA"/>
    <w:rsid w:val="00AD67EE"/>
    <w:rsid w:val="00AE6B36"/>
    <w:rsid w:val="00B2606D"/>
    <w:rsid w:val="00B45B63"/>
    <w:rsid w:val="00B611F7"/>
    <w:rsid w:val="00B82484"/>
    <w:rsid w:val="00BD5ACF"/>
    <w:rsid w:val="00BF4AEE"/>
    <w:rsid w:val="00BF7578"/>
    <w:rsid w:val="00C41662"/>
    <w:rsid w:val="00C85BFD"/>
    <w:rsid w:val="00CA7EB6"/>
    <w:rsid w:val="00CC0592"/>
    <w:rsid w:val="00CC4606"/>
    <w:rsid w:val="00D31EB2"/>
    <w:rsid w:val="00D923F5"/>
    <w:rsid w:val="00DA551D"/>
    <w:rsid w:val="00DC059F"/>
    <w:rsid w:val="00DC4E9B"/>
    <w:rsid w:val="00DC5301"/>
    <w:rsid w:val="00DD6DED"/>
    <w:rsid w:val="00DE47AE"/>
    <w:rsid w:val="00DE68CD"/>
    <w:rsid w:val="00E04603"/>
    <w:rsid w:val="00E97D29"/>
    <w:rsid w:val="00EA3EF4"/>
    <w:rsid w:val="00EA6084"/>
    <w:rsid w:val="00EC1707"/>
    <w:rsid w:val="00EC6622"/>
    <w:rsid w:val="00EE67A9"/>
    <w:rsid w:val="00F362F9"/>
    <w:rsid w:val="00F66BF4"/>
    <w:rsid w:val="00F84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shapelayout v:ext="edit">
      <o:idmap v:ext="edit" data="1"/>
    </o:shapelayout>
  </w:shapeDefaults>
  <w:decimalSymbol w:val="."/>
  <w:listSeparator w:val=","/>
  <w14:docId w14:val="5A52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7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95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577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950"/>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1A095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A0950"/>
    <w:rPr>
      <w:b/>
      <w:bCs/>
    </w:rPr>
  </w:style>
  <w:style w:type="character" w:styleId="Emphasis">
    <w:name w:val="Emphasis"/>
    <w:basedOn w:val="DefaultParagraphFont"/>
    <w:uiPriority w:val="20"/>
    <w:qFormat/>
    <w:rsid w:val="004E294D"/>
    <w:rPr>
      <w:i/>
      <w:iCs/>
    </w:rPr>
  </w:style>
  <w:style w:type="paragraph" w:styleId="BalloonText">
    <w:name w:val="Balloon Text"/>
    <w:basedOn w:val="Normal"/>
    <w:link w:val="BalloonTextChar"/>
    <w:uiPriority w:val="99"/>
    <w:semiHidden/>
    <w:unhideWhenUsed/>
    <w:rsid w:val="0045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200"/>
    <w:rPr>
      <w:rFonts w:ascii="Tahoma" w:hAnsi="Tahoma" w:cs="Tahoma"/>
      <w:sz w:val="16"/>
      <w:szCs w:val="16"/>
    </w:rPr>
  </w:style>
  <w:style w:type="character" w:customStyle="1" w:styleId="Heading1Char">
    <w:name w:val="Heading 1 Char"/>
    <w:basedOn w:val="DefaultParagraphFont"/>
    <w:link w:val="Heading1"/>
    <w:uiPriority w:val="9"/>
    <w:rsid w:val="0095772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772D"/>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5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95772D"/>
    <w:rPr>
      <w:rFonts w:ascii="Courier New" w:eastAsiaTheme="minorEastAsia" w:hAnsi="Courier New" w:cs="Courier New"/>
      <w:sz w:val="20"/>
      <w:szCs w:val="20"/>
    </w:rPr>
  </w:style>
  <w:style w:type="character" w:styleId="HTMLCode">
    <w:name w:val="HTML Code"/>
    <w:basedOn w:val="DefaultParagraphFont"/>
    <w:uiPriority w:val="99"/>
    <w:semiHidden/>
    <w:unhideWhenUsed/>
    <w:rsid w:val="0095772D"/>
    <w:rPr>
      <w:rFonts w:ascii="Courier New" w:eastAsiaTheme="minorEastAsia" w:hAnsi="Courier New" w:cs="Courier New"/>
      <w:sz w:val="20"/>
      <w:szCs w:val="20"/>
    </w:rPr>
  </w:style>
  <w:style w:type="table" w:styleId="LightShading">
    <w:name w:val="Light Shading"/>
    <w:basedOn w:val="TableNormal"/>
    <w:uiPriority w:val="60"/>
    <w:rsid w:val="009577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C759A"/>
    <w:rPr>
      <w:color w:val="808080"/>
    </w:rPr>
  </w:style>
  <w:style w:type="character" w:customStyle="1" w:styleId="mo">
    <w:name w:val="mo"/>
    <w:basedOn w:val="DefaultParagraphFont"/>
    <w:rsid w:val="008C759A"/>
  </w:style>
  <w:style w:type="character" w:styleId="Hyperlink">
    <w:name w:val="Hyperlink"/>
    <w:basedOn w:val="DefaultParagraphFont"/>
    <w:uiPriority w:val="99"/>
    <w:unhideWhenUsed/>
    <w:rsid w:val="00B611F7"/>
    <w:rPr>
      <w:color w:val="0000FF"/>
      <w:u w:val="single"/>
    </w:rPr>
  </w:style>
  <w:style w:type="character" w:customStyle="1" w:styleId="Heading4Char">
    <w:name w:val="Heading 4 Char"/>
    <w:basedOn w:val="DefaultParagraphFont"/>
    <w:link w:val="Heading4"/>
    <w:uiPriority w:val="9"/>
    <w:semiHidden/>
    <w:rsid w:val="001E200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4D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BCD"/>
  </w:style>
  <w:style w:type="paragraph" w:styleId="Footer">
    <w:name w:val="footer"/>
    <w:basedOn w:val="Normal"/>
    <w:link w:val="FooterChar"/>
    <w:uiPriority w:val="99"/>
    <w:unhideWhenUsed/>
    <w:rsid w:val="004D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BCD"/>
  </w:style>
  <w:style w:type="paragraph" w:styleId="ListParagraph">
    <w:name w:val="List Paragraph"/>
    <w:basedOn w:val="Normal"/>
    <w:uiPriority w:val="34"/>
    <w:qFormat/>
    <w:rsid w:val="00D31EB2"/>
    <w:pPr>
      <w:ind w:left="720"/>
      <w:contextualSpacing/>
    </w:pPr>
  </w:style>
  <w:style w:type="character" w:customStyle="1" w:styleId="UnresolvedMention">
    <w:name w:val="Unresolved Mention"/>
    <w:basedOn w:val="DefaultParagraphFont"/>
    <w:uiPriority w:val="99"/>
    <w:semiHidden/>
    <w:unhideWhenUsed/>
    <w:rsid w:val="006066B5"/>
    <w:rPr>
      <w:color w:val="605E5C"/>
      <w:shd w:val="clear" w:color="auto" w:fill="E1DFDD"/>
    </w:rPr>
  </w:style>
  <w:style w:type="character" w:styleId="CommentReference">
    <w:name w:val="annotation reference"/>
    <w:basedOn w:val="DefaultParagraphFont"/>
    <w:uiPriority w:val="99"/>
    <w:semiHidden/>
    <w:unhideWhenUsed/>
    <w:rsid w:val="00DE68CD"/>
    <w:rPr>
      <w:sz w:val="16"/>
      <w:szCs w:val="16"/>
    </w:rPr>
  </w:style>
  <w:style w:type="paragraph" w:styleId="CommentText">
    <w:name w:val="annotation text"/>
    <w:basedOn w:val="Normal"/>
    <w:link w:val="CommentTextChar"/>
    <w:uiPriority w:val="99"/>
    <w:semiHidden/>
    <w:unhideWhenUsed/>
    <w:rsid w:val="00DE68CD"/>
    <w:pPr>
      <w:spacing w:line="240" w:lineRule="auto"/>
    </w:pPr>
    <w:rPr>
      <w:sz w:val="20"/>
      <w:szCs w:val="20"/>
    </w:rPr>
  </w:style>
  <w:style w:type="character" w:customStyle="1" w:styleId="CommentTextChar">
    <w:name w:val="Comment Text Char"/>
    <w:basedOn w:val="DefaultParagraphFont"/>
    <w:link w:val="CommentText"/>
    <w:uiPriority w:val="99"/>
    <w:semiHidden/>
    <w:rsid w:val="00DE68CD"/>
    <w:rPr>
      <w:sz w:val="20"/>
      <w:szCs w:val="20"/>
    </w:rPr>
  </w:style>
  <w:style w:type="paragraph" w:styleId="CommentSubject">
    <w:name w:val="annotation subject"/>
    <w:basedOn w:val="CommentText"/>
    <w:next w:val="CommentText"/>
    <w:link w:val="CommentSubjectChar"/>
    <w:uiPriority w:val="99"/>
    <w:semiHidden/>
    <w:unhideWhenUsed/>
    <w:rsid w:val="00DE68CD"/>
    <w:rPr>
      <w:b/>
      <w:bCs/>
    </w:rPr>
  </w:style>
  <w:style w:type="character" w:customStyle="1" w:styleId="CommentSubjectChar">
    <w:name w:val="Comment Subject Char"/>
    <w:basedOn w:val="CommentTextChar"/>
    <w:link w:val="CommentSubject"/>
    <w:uiPriority w:val="99"/>
    <w:semiHidden/>
    <w:rsid w:val="00DE68C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7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95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577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950"/>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1A095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A0950"/>
    <w:rPr>
      <w:b/>
      <w:bCs/>
    </w:rPr>
  </w:style>
  <w:style w:type="character" w:styleId="Emphasis">
    <w:name w:val="Emphasis"/>
    <w:basedOn w:val="DefaultParagraphFont"/>
    <w:uiPriority w:val="20"/>
    <w:qFormat/>
    <w:rsid w:val="004E294D"/>
    <w:rPr>
      <w:i/>
      <w:iCs/>
    </w:rPr>
  </w:style>
  <w:style w:type="paragraph" w:styleId="BalloonText">
    <w:name w:val="Balloon Text"/>
    <w:basedOn w:val="Normal"/>
    <w:link w:val="BalloonTextChar"/>
    <w:uiPriority w:val="99"/>
    <w:semiHidden/>
    <w:unhideWhenUsed/>
    <w:rsid w:val="0045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200"/>
    <w:rPr>
      <w:rFonts w:ascii="Tahoma" w:hAnsi="Tahoma" w:cs="Tahoma"/>
      <w:sz w:val="16"/>
      <w:szCs w:val="16"/>
    </w:rPr>
  </w:style>
  <w:style w:type="character" w:customStyle="1" w:styleId="Heading1Char">
    <w:name w:val="Heading 1 Char"/>
    <w:basedOn w:val="DefaultParagraphFont"/>
    <w:link w:val="Heading1"/>
    <w:uiPriority w:val="9"/>
    <w:rsid w:val="0095772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772D"/>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5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95772D"/>
    <w:rPr>
      <w:rFonts w:ascii="Courier New" w:eastAsiaTheme="minorEastAsia" w:hAnsi="Courier New" w:cs="Courier New"/>
      <w:sz w:val="20"/>
      <w:szCs w:val="20"/>
    </w:rPr>
  </w:style>
  <w:style w:type="character" w:styleId="HTMLCode">
    <w:name w:val="HTML Code"/>
    <w:basedOn w:val="DefaultParagraphFont"/>
    <w:uiPriority w:val="99"/>
    <w:semiHidden/>
    <w:unhideWhenUsed/>
    <w:rsid w:val="0095772D"/>
    <w:rPr>
      <w:rFonts w:ascii="Courier New" w:eastAsiaTheme="minorEastAsia" w:hAnsi="Courier New" w:cs="Courier New"/>
      <w:sz w:val="20"/>
      <w:szCs w:val="20"/>
    </w:rPr>
  </w:style>
  <w:style w:type="table" w:styleId="LightShading">
    <w:name w:val="Light Shading"/>
    <w:basedOn w:val="TableNormal"/>
    <w:uiPriority w:val="60"/>
    <w:rsid w:val="009577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C759A"/>
    <w:rPr>
      <w:color w:val="808080"/>
    </w:rPr>
  </w:style>
  <w:style w:type="character" w:customStyle="1" w:styleId="mo">
    <w:name w:val="mo"/>
    <w:basedOn w:val="DefaultParagraphFont"/>
    <w:rsid w:val="008C759A"/>
  </w:style>
  <w:style w:type="character" w:styleId="Hyperlink">
    <w:name w:val="Hyperlink"/>
    <w:basedOn w:val="DefaultParagraphFont"/>
    <w:uiPriority w:val="99"/>
    <w:unhideWhenUsed/>
    <w:rsid w:val="00B611F7"/>
    <w:rPr>
      <w:color w:val="0000FF"/>
      <w:u w:val="single"/>
    </w:rPr>
  </w:style>
  <w:style w:type="character" w:customStyle="1" w:styleId="Heading4Char">
    <w:name w:val="Heading 4 Char"/>
    <w:basedOn w:val="DefaultParagraphFont"/>
    <w:link w:val="Heading4"/>
    <w:uiPriority w:val="9"/>
    <w:semiHidden/>
    <w:rsid w:val="001E200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4D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BCD"/>
  </w:style>
  <w:style w:type="paragraph" w:styleId="Footer">
    <w:name w:val="footer"/>
    <w:basedOn w:val="Normal"/>
    <w:link w:val="FooterChar"/>
    <w:uiPriority w:val="99"/>
    <w:unhideWhenUsed/>
    <w:rsid w:val="004D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BCD"/>
  </w:style>
  <w:style w:type="paragraph" w:styleId="ListParagraph">
    <w:name w:val="List Paragraph"/>
    <w:basedOn w:val="Normal"/>
    <w:uiPriority w:val="34"/>
    <w:qFormat/>
    <w:rsid w:val="00D31EB2"/>
    <w:pPr>
      <w:ind w:left="720"/>
      <w:contextualSpacing/>
    </w:pPr>
  </w:style>
  <w:style w:type="character" w:customStyle="1" w:styleId="UnresolvedMention">
    <w:name w:val="Unresolved Mention"/>
    <w:basedOn w:val="DefaultParagraphFont"/>
    <w:uiPriority w:val="99"/>
    <w:semiHidden/>
    <w:unhideWhenUsed/>
    <w:rsid w:val="006066B5"/>
    <w:rPr>
      <w:color w:val="605E5C"/>
      <w:shd w:val="clear" w:color="auto" w:fill="E1DFDD"/>
    </w:rPr>
  </w:style>
  <w:style w:type="character" w:styleId="CommentReference">
    <w:name w:val="annotation reference"/>
    <w:basedOn w:val="DefaultParagraphFont"/>
    <w:uiPriority w:val="99"/>
    <w:semiHidden/>
    <w:unhideWhenUsed/>
    <w:rsid w:val="00DE68CD"/>
    <w:rPr>
      <w:sz w:val="16"/>
      <w:szCs w:val="16"/>
    </w:rPr>
  </w:style>
  <w:style w:type="paragraph" w:styleId="CommentText">
    <w:name w:val="annotation text"/>
    <w:basedOn w:val="Normal"/>
    <w:link w:val="CommentTextChar"/>
    <w:uiPriority w:val="99"/>
    <w:semiHidden/>
    <w:unhideWhenUsed/>
    <w:rsid w:val="00DE68CD"/>
    <w:pPr>
      <w:spacing w:line="240" w:lineRule="auto"/>
    </w:pPr>
    <w:rPr>
      <w:sz w:val="20"/>
      <w:szCs w:val="20"/>
    </w:rPr>
  </w:style>
  <w:style w:type="character" w:customStyle="1" w:styleId="CommentTextChar">
    <w:name w:val="Comment Text Char"/>
    <w:basedOn w:val="DefaultParagraphFont"/>
    <w:link w:val="CommentText"/>
    <w:uiPriority w:val="99"/>
    <w:semiHidden/>
    <w:rsid w:val="00DE68CD"/>
    <w:rPr>
      <w:sz w:val="20"/>
      <w:szCs w:val="20"/>
    </w:rPr>
  </w:style>
  <w:style w:type="paragraph" w:styleId="CommentSubject">
    <w:name w:val="annotation subject"/>
    <w:basedOn w:val="CommentText"/>
    <w:next w:val="CommentText"/>
    <w:link w:val="CommentSubjectChar"/>
    <w:uiPriority w:val="99"/>
    <w:semiHidden/>
    <w:unhideWhenUsed/>
    <w:rsid w:val="00DE68CD"/>
    <w:rPr>
      <w:b/>
      <w:bCs/>
    </w:rPr>
  </w:style>
  <w:style w:type="character" w:customStyle="1" w:styleId="CommentSubjectChar">
    <w:name w:val="Comment Subject Char"/>
    <w:basedOn w:val="CommentTextChar"/>
    <w:link w:val="CommentSubject"/>
    <w:uiPriority w:val="99"/>
    <w:semiHidden/>
    <w:rsid w:val="00DE68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16/j.crm.2021.100275" TargetMode="External"/><Relationship Id="rId18" Type="http://schemas.openxmlformats.org/officeDocument/2006/relationships/hyperlink" Target="https://doi.org/10.9734/ajgr/2025/v8i1254"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doi.org/10.1016/j.cliser.2023.100353" TargetMode="External"/><Relationship Id="rId7" Type="http://schemas.openxmlformats.org/officeDocument/2006/relationships/endnotes" Target="endnotes.xml"/><Relationship Id="rId12" Type="http://schemas.openxmlformats.org/officeDocument/2006/relationships/hyperlink" Target="https://doi.org/10.1080/17565529.2021.1930987" TargetMode="External"/><Relationship Id="rId17" Type="http://schemas.openxmlformats.org/officeDocument/2006/relationships/hyperlink" Target="https://doi.org/10.1038/nclimate243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16/j.gloenvcha.2006.04.002" TargetMode="External"/><Relationship Id="rId20" Type="http://schemas.openxmlformats.org/officeDocument/2006/relationships/hyperlink" Target="https://doi.org/10.1016/j.envdev.2023.100921"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390/su13031444" TargetMode="External"/><Relationship Id="rId24" Type="http://schemas.openxmlformats.org/officeDocument/2006/relationships/hyperlink" Target="https://doi.org/10.1016/j.agsy.2018.09.00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86/s40066-017-0100-1" TargetMode="External"/><Relationship Id="rId23" Type="http://schemas.openxmlformats.org/officeDocument/2006/relationships/hyperlink" Target="https://doi.org/10.1146/annurev-environ-112420-095608"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doi.org/10.46654/ij.24889849.e6123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38/s41558-022-01364-4" TargetMode="External"/><Relationship Id="rId22" Type="http://schemas.openxmlformats.org/officeDocument/2006/relationships/hyperlink" Target="https://doi.org/10.1111/gcb.15142"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7227</Words>
  <Characters>41198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2026-05-25T09:36:00Z</dcterms:created>
  <dcterms:modified xsi:type="dcterms:W3CDTF">2026-05-26T15:56:00Z</dcterms:modified>
</cp:coreProperties>
</file>