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F3485" w:rsidRPr="00526B4B" w14:paraId="1ED6C730" w14:textId="77777777" w:rsidTr="004F10F3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526B4B" w:rsidRDefault="004F10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526B4B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26B4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526B4B" w14:paraId="660FA0C3" w14:textId="77777777" w:rsidTr="004F10F3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526B4B" w:rsidRDefault="004F10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49762355" w:rsidR="006F3485" w:rsidRPr="00526B4B" w:rsidRDefault="00CE47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Ms_JIRMEPS_14877</w:t>
            </w:r>
          </w:p>
        </w:tc>
      </w:tr>
      <w:tr w:rsidR="006F3485" w:rsidRPr="00526B4B" w14:paraId="011C683C" w14:textId="77777777" w:rsidTr="004F10F3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526B4B" w:rsidRDefault="004F10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36293E72" w:rsidR="006F3485" w:rsidRPr="00526B4B" w:rsidRDefault="00CE470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Novel Drug Delivery Systems in Film-Forming Sprays: Formulation Principles, Polymeric Architectures, Therapeutic Applications, and Emerging Frontiers</w:t>
            </w:r>
          </w:p>
        </w:tc>
      </w:tr>
      <w:tr w:rsidR="006F3485" w:rsidRPr="00526B4B" w14:paraId="0FD76663" w14:textId="77777777" w:rsidTr="004F10F3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526B4B" w:rsidRDefault="004F10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526B4B" w:rsidRDefault="004F10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526B4B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57F9B7C" w14:textId="77777777" w:rsidR="006F3485" w:rsidRPr="00526B4B" w:rsidRDefault="006F348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7CD4BE" w14:textId="77777777" w:rsidR="006F3485" w:rsidRPr="00526B4B" w:rsidRDefault="006F3485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092D3F16" w14:textId="77777777" w:rsidR="006F3485" w:rsidRPr="00526B4B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526B4B" w:rsidRDefault="004F10F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26B4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526B4B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526B4B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26B4B" w14:paraId="5182FE95" w14:textId="77777777" w:rsidTr="004F10F3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526B4B" w:rsidRDefault="004F10F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26B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6B4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39206B68" w14:textId="77777777" w:rsidTr="004F10F3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526B4B" w:rsidRDefault="004F10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526B4B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2BD3E9E0" w:rsidR="006F3485" w:rsidRPr="00526B4B" w:rsidRDefault="00C95A9B" w:rsidP="002F465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26B4B">
              <w:rPr>
                <w:rFonts w:ascii="Arial" w:hAnsi="Arial" w:cs="Arial"/>
                <w:sz w:val="20"/>
                <w:szCs w:val="20"/>
              </w:rPr>
              <w:t>This appro</w:t>
            </w:r>
            <w:r w:rsidR="00874F19" w:rsidRPr="00526B4B">
              <w:rPr>
                <w:rFonts w:ascii="Arial" w:hAnsi="Arial" w:cs="Arial"/>
                <w:sz w:val="20"/>
                <w:szCs w:val="20"/>
              </w:rPr>
              <w:t xml:space="preserve">ach acts as a hybrid technology </w:t>
            </w:r>
            <w:r w:rsidRPr="00526B4B">
              <w:rPr>
                <w:rFonts w:ascii="Arial" w:hAnsi="Arial" w:cs="Arial"/>
                <w:sz w:val="20"/>
                <w:szCs w:val="20"/>
              </w:rPr>
              <w:t>combining the effortless application of a conventional spray with the sustained-release capabilities of a transdermal patch.</w:t>
            </w:r>
            <w:r w:rsidR="002F4651" w:rsidRPr="00526B4B">
              <w:rPr>
                <w:rFonts w:ascii="Arial" w:hAnsi="Arial" w:cs="Arial"/>
                <w:sz w:val="20"/>
                <w:szCs w:val="20"/>
              </w:rPr>
              <w:t xml:space="preserve"> It clearly establishes how FFS has evolved from a scientifically promising concept into a sophisticated platform that outperforms old-school creams and patches, especially on irregular skin surfaces.</w:t>
            </w:r>
          </w:p>
        </w:tc>
        <w:tc>
          <w:tcPr>
            <w:tcW w:w="1667" w:type="pct"/>
          </w:tcPr>
          <w:p w14:paraId="279C7AD1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C55990" w14:textId="77777777" w:rsidR="006F3485" w:rsidRPr="00526B4B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4D09A88D" w14:textId="77777777" w:rsidR="006F3485" w:rsidRPr="00526B4B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526B4B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6B4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526B4B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26B4B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77777777" w:rsidR="006F3485" w:rsidRPr="00526B4B" w:rsidRDefault="004F10F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26B4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F3485" w:rsidRPr="00526B4B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526B4B" w:rsidRDefault="004F10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18FBE33A" w:rsidR="006F3485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4648F4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3043A2" w14:textId="77777777" w:rsidR="006F3485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6EB51D9A" w14:textId="69AEE266" w:rsidR="00C66898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3D8133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194150" w14:textId="77777777" w:rsidR="006F3485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D92B34B" w14:textId="77777777" w:rsidR="00C66898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E76BB0" w14:textId="6F5511A4" w:rsidR="00C66898" w:rsidRPr="00526B4B" w:rsidRDefault="00C668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1B370D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E47C40" w14:textId="77777777" w:rsidR="006F3485" w:rsidRPr="00526B4B" w:rsidRDefault="00245E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6105DFA" w14:textId="5EB3B99C" w:rsidR="00245EB3" w:rsidRPr="00526B4B" w:rsidRDefault="00245E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20FFE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7E52B4" w14:textId="14C6B9D4" w:rsidR="00695CD3" w:rsidRPr="00526B4B" w:rsidRDefault="00B80C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E771FEB" w14:textId="6C00D87E" w:rsidR="006F3485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be stated more precisely</w:t>
            </w:r>
          </w:p>
          <w:p w14:paraId="12AEFB68" w14:textId="7BD6E75F" w:rsidR="00695CD3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EF6FDD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7ADB07" w14:textId="77777777" w:rsidR="006F3485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027D7C97" w14:textId="06A6A797" w:rsidR="00695CD3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practical research problems and limitations should be considered primarily.</w:t>
            </w:r>
          </w:p>
        </w:tc>
        <w:tc>
          <w:tcPr>
            <w:tcW w:w="1667" w:type="pct"/>
          </w:tcPr>
          <w:p w14:paraId="23215565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E7C02" w14:textId="173ADC2F" w:rsidR="006F3485" w:rsidRPr="00526B4B" w:rsidRDefault="00B80C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7517BF02" w14:textId="77777777" w:rsidR="00B80CB0" w:rsidRPr="00526B4B" w:rsidRDefault="00B80CB0" w:rsidP="00B80C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Citations Are Not Current</w:t>
            </w:r>
          </w:p>
          <w:p w14:paraId="481DC0BB" w14:textId="2B079D46" w:rsidR="00B80CB0" w:rsidRPr="00526B4B" w:rsidRDefault="00B80CB0" w:rsidP="00B80C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Several foundational references (Barry, 2001; Siepmann &amp; Peppas, 2001; Ritger &amp; Peppas, 1987; Müller et al., 2000) are heavily dated.</w:t>
            </w:r>
          </w:p>
          <w:p w14:paraId="1EF8959B" w14:textId="42053F46" w:rsidR="00B80CB0" w:rsidRPr="00526B4B" w:rsidRDefault="00B80C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Revisit the </w:t>
            </w:r>
            <w:proofErr w:type="spellStart"/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Nastiti</w:t>
            </w:r>
            <w:proofErr w:type="spellEnd"/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et al. (2017) citation and replace with a more directly relevant primary source for NLC-FFS permeation data.</w:t>
            </w:r>
          </w:p>
        </w:tc>
        <w:tc>
          <w:tcPr>
            <w:tcW w:w="1667" w:type="pct"/>
          </w:tcPr>
          <w:p w14:paraId="41903047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B74009" w14:textId="28AB9A36" w:rsidR="00695CD3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BF5F77F" w14:textId="272E1E15" w:rsidR="008F0527" w:rsidRPr="00526B4B" w:rsidRDefault="00695CD3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Step by step Systemic review process should be mentioned.</w:t>
            </w:r>
            <w:r w:rsidR="0016089D"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F0527"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proper scoping review or structured narrative review would require:</w:t>
            </w:r>
          </w:p>
          <w:p w14:paraId="66248B37" w14:textId="77777777" w:rsidR="008F0527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FDB325" w14:textId="77777777" w:rsidR="008F0527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PRISMA-</w:t>
            </w:r>
            <w:proofErr w:type="spellStart"/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ScR</w:t>
            </w:r>
            <w:proofErr w:type="spellEnd"/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(PRISMA for Scoping Reviews) flow diagram documenting the number of records identified, screened, excluded, and included at each stage.</w:t>
            </w:r>
          </w:p>
          <w:p w14:paraId="79CE5713" w14:textId="77777777" w:rsidR="008F0527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Pre-registration (e.g., PROSPERO or OSF) to minimise post-hoc bias.</w:t>
            </w:r>
          </w:p>
          <w:p w14:paraId="28B9AA6D" w14:textId="45BA6F59" w:rsidR="008F0527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explicit documentation of how the "priority" for including studies with "rigorous experimental methodology" was </w:t>
            </w: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operationalised.</w:t>
            </w:r>
          </w:p>
          <w:p w14:paraId="68EC7A0D" w14:textId="7F11F6D3" w:rsidR="008F0527" w:rsidRPr="00526B4B" w:rsidRDefault="008F0527" w:rsidP="008F05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Without these elements, the literature selection process remains opaque and the potential for cherry-picking of supportive studies cannot be ruled out.</w:t>
            </w:r>
          </w:p>
          <w:p w14:paraId="5AC21444" w14:textId="2522B5EE" w:rsidR="008F0527" w:rsidRPr="00526B4B" w:rsidRDefault="008F0527" w:rsidP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904EEA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4ABC41" w14:textId="77777777" w:rsidR="006F3485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E1C0E39" w14:textId="52ACC24B" w:rsidR="00695CD3" w:rsidRPr="00526B4B" w:rsidRDefault="00695C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‘No Restrictions on databases’ is not cleared why.</w:t>
            </w:r>
          </w:p>
        </w:tc>
        <w:tc>
          <w:tcPr>
            <w:tcW w:w="1667" w:type="pct"/>
          </w:tcPr>
          <w:p w14:paraId="055A6499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526B4B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BBB34EC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526B4B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1B5FD49D" w:rsidR="00033D46" w:rsidRPr="00526B4B" w:rsidRDefault="00033D4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C95833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688140DB" w:rsidR="006F3485" w:rsidRPr="00526B4B" w:rsidRDefault="00453EF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833D5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8C90AEE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2E042C" w14:textId="2988536A" w:rsidR="006F3485" w:rsidRPr="00526B4B" w:rsidRDefault="00B80CB0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468B25C8" w14:textId="64BBC284" w:rsidR="00B80CB0" w:rsidRPr="00526B4B" w:rsidRDefault="00B80CB0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Include a critical appraisal of the quality and limitations of key cited studies.</w:t>
            </w:r>
          </w:p>
          <w:p w14:paraId="725285C7" w14:textId="0292DCA5" w:rsidR="00B80CB0" w:rsidRPr="00526B4B" w:rsidRDefault="00B80CB0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Address propylene glycol systemic toxicity, inhalation risk, and ethanol concentration thresholds.</w:t>
            </w:r>
          </w:p>
        </w:tc>
        <w:tc>
          <w:tcPr>
            <w:tcW w:w="1667" w:type="pct"/>
          </w:tcPr>
          <w:p w14:paraId="62E3212C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526B4B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545E5B" w14:textId="697E4E8C" w:rsidR="006F3485" w:rsidRPr="00526B4B" w:rsidRDefault="0016089D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  <w:p w14:paraId="1E506ADD" w14:textId="411E5C3A" w:rsidR="00366B7A" w:rsidRPr="00526B4B" w:rsidRDefault="00366B7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&gt;50 references are expected in systematic review.</w:t>
            </w:r>
          </w:p>
        </w:tc>
        <w:tc>
          <w:tcPr>
            <w:tcW w:w="1667" w:type="pct"/>
          </w:tcPr>
          <w:p w14:paraId="0E205736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526B4B" w:rsidRDefault="004F10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25C52D" w14:textId="77777777" w:rsidR="006F3485" w:rsidRPr="00526B4B" w:rsidRDefault="00366B7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  <w:p w14:paraId="02DFD78E" w14:textId="77777777" w:rsidR="00366B7A" w:rsidRPr="00526B4B" w:rsidRDefault="00366B7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As per Author’s guidelines of JIRMEPS word limit of review article is 5000 to 9000.</w:t>
            </w:r>
          </w:p>
          <w:p w14:paraId="57132D64" w14:textId="58040651" w:rsidR="00366B7A" w:rsidRPr="00526B4B" w:rsidRDefault="00366B7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In this manuscript it is exceed.</w:t>
            </w:r>
          </w:p>
        </w:tc>
        <w:tc>
          <w:tcPr>
            <w:tcW w:w="1667" w:type="pct"/>
          </w:tcPr>
          <w:p w14:paraId="15C14BDE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526B4B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369BD1B" w14:textId="77777777" w:rsidR="006F3485" w:rsidRPr="00526B4B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526B4B" w:rsidRDefault="004F10F3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26B4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526B4B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526B4B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526B4B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526B4B" w:rsidRDefault="004F10F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26B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26B4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CFF9DD4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526B4B" w:rsidRDefault="004F10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526B4B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29C487CF" w:rsidR="006F3485" w:rsidRPr="00526B4B" w:rsidRDefault="00B80CB0" w:rsidP="00B80CB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4A46F0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526B4B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526B4B" w:rsidRDefault="004F10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6782652" w14:textId="77777777" w:rsidR="006F3485" w:rsidRPr="00526B4B" w:rsidRDefault="00B80CB0" w:rsidP="00B80CB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too long</w:t>
            </w:r>
          </w:p>
          <w:p w14:paraId="188E4A6C" w14:textId="04CB4EB0" w:rsidR="00B80CB0" w:rsidRPr="00526B4B" w:rsidRDefault="00B80CB0" w:rsidP="00B80CB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lists what is covered but does not signal any evaluative conclusions, unresolved controversies, or the authors' own position on key debates. </w:t>
            </w:r>
          </w:p>
        </w:tc>
        <w:tc>
          <w:tcPr>
            <w:tcW w:w="1667" w:type="pct"/>
          </w:tcPr>
          <w:p w14:paraId="25C9CBC1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526B4B" w:rsidRDefault="004F10F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26B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526B4B" w:rsidRDefault="004F10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0C4C00DB" w:rsidR="006F3485" w:rsidRPr="00526B4B" w:rsidRDefault="008F052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review largely summarises literature findings rather than critically evaluating the quality of evidence.</w:t>
            </w:r>
          </w:p>
        </w:tc>
        <w:tc>
          <w:tcPr>
            <w:tcW w:w="1667" w:type="pct"/>
          </w:tcPr>
          <w:p w14:paraId="04DD4AB5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526B4B" w:rsidRDefault="004F10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526B4B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526B4B" w:rsidRDefault="004F10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6D50B940" w:rsidR="006F3485" w:rsidRPr="00526B4B" w:rsidRDefault="00951C1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More </w:t>
            </w:r>
            <w:r w:rsidR="0016089D"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citations are</w:t>
            </w: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expected</w:t>
            </w:r>
            <w:r w:rsidR="00A268A1"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6D9BF7B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526B4B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526B4B" w:rsidRDefault="004F10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526B4B" w:rsidRDefault="004F10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526B4B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526B4B" w:rsidRDefault="004F10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526B4B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FAFF5B" w14:textId="2417ED51" w:rsidR="006F3485" w:rsidRPr="00526B4B" w:rsidRDefault="0048223E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219B1248" w14:textId="5BE08B8E" w:rsidR="0048223E" w:rsidRPr="00526B4B" w:rsidRDefault="0048223E" w:rsidP="008F052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As uncertainty is mentioned</w:t>
            </w:r>
            <w:r w:rsidR="008F0527"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“The acknowledgement that no FFS-specific guidance exists from either the EMA or FDA” </w:t>
            </w:r>
            <w:r w:rsidRPr="00526B4B">
              <w:rPr>
                <w:rFonts w:ascii="Arial" w:hAnsi="Arial" w:cs="Arial"/>
                <w:b/>
                <w:sz w:val="20"/>
                <w:szCs w:val="20"/>
                <w:lang w:val="en-GB"/>
              </w:rPr>
              <w:t>in regulatory gaps; safety, unknown toxicity, clinical trial exploitation and justice etc should be discussed.</w:t>
            </w:r>
          </w:p>
        </w:tc>
        <w:tc>
          <w:tcPr>
            <w:tcW w:w="1667" w:type="pct"/>
          </w:tcPr>
          <w:p w14:paraId="55191977" w14:textId="77777777" w:rsidR="006F3485" w:rsidRPr="00526B4B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72970D" w14:textId="77777777" w:rsidR="006F3485" w:rsidRPr="00526B4B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1B6657C9" w14:textId="77777777" w:rsidR="00526B4B" w:rsidRPr="00526B4B" w:rsidRDefault="00526B4B" w:rsidP="00526B4B">
      <w:pPr>
        <w:rPr>
          <w:rFonts w:ascii="Arial" w:hAnsi="Arial" w:cs="Arial"/>
          <w:b/>
          <w:sz w:val="20"/>
          <w:szCs w:val="20"/>
          <w:u w:val="single"/>
        </w:rPr>
      </w:pPr>
      <w:r w:rsidRPr="00526B4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7EA1058" w14:textId="77777777" w:rsidR="00526B4B" w:rsidRPr="00526B4B" w:rsidRDefault="00526B4B" w:rsidP="00526B4B">
      <w:pPr>
        <w:rPr>
          <w:rFonts w:ascii="Arial" w:hAnsi="Arial" w:cs="Arial"/>
          <w:b/>
          <w:sz w:val="20"/>
          <w:szCs w:val="20"/>
          <w:u w:val="single"/>
        </w:rPr>
      </w:pPr>
    </w:p>
    <w:p w14:paraId="40426FBF" w14:textId="77777777" w:rsidR="00526B4B" w:rsidRPr="00526B4B" w:rsidRDefault="00526B4B" w:rsidP="00526B4B">
      <w:pPr>
        <w:rPr>
          <w:rFonts w:ascii="Arial" w:hAnsi="Arial" w:cs="Arial"/>
          <w:sz w:val="20"/>
          <w:szCs w:val="20"/>
        </w:rPr>
      </w:pPr>
      <w:r w:rsidRPr="00526B4B">
        <w:rPr>
          <w:rFonts w:ascii="Arial" w:hAnsi="Arial" w:cs="Arial"/>
          <w:sz w:val="20"/>
          <w:szCs w:val="20"/>
        </w:rPr>
        <w:t>Prachi Dabhi, GAU, India</w:t>
      </w:r>
    </w:p>
    <w:p w14:paraId="3D20F999" w14:textId="77777777" w:rsidR="00616DBE" w:rsidRPr="00526B4B" w:rsidRDefault="00616DBE">
      <w:pPr>
        <w:rPr>
          <w:rFonts w:ascii="Arial" w:hAnsi="Arial" w:cs="Arial"/>
          <w:sz w:val="20"/>
          <w:szCs w:val="20"/>
        </w:rPr>
      </w:pPr>
    </w:p>
    <w:sectPr w:rsidR="00616DBE" w:rsidRPr="00526B4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7F8B" w14:textId="77777777" w:rsidR="00D801D5" w:rsidRDefault="00D801D5">
      <w:r>
        <w:separator/>
      </w:r>
    </w:p>
  </w:endnote>
  <w:endnote w:type="continuationSeparator" w:id="0">
    <w:p w14:paraId="47651E59" w14:textId="77777777" w:rsidR="00D801D5" w:rsidRDefault="00D8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43B0C8B3" w:rsidR="004F10F3" w:rsidRDefault="004F10F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16089D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16089D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4F10F3" w:rsidRDefault="004F10F3">
    <w:pPr>
      <w:pStyle w:val="Footer"/>
      <w:jc w:val="right"/>
    </w:pPr>
  </w:p>
  <w:p w14:paraId="61752A75" w14:textId="77777777" w:rsidR="004F10F3" w:rsidRDefault="004F10F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BDB3" w14:textId="77777777" w:rsidR="00D801D5" w:rsidRDefault="00D801D5">
      <w:r>
        <w:separator/>
      </w:r>
    </w:p>
  </w:footnote>
  <w:footnote w:type="continuationSeparator" w:id="0">
    <w:p w14:paraId="58AEF36C" w14:textId="77777777" w:rsidR="00D801D5" w:rsidRDefault="00D80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4F10F3" w:rsidRDefault="004F10F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4F10F3" w:rsidRDefault="004F10F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4157680">
    <w:abstractNumId w:val="4"/>
  </w:num>
  <w:num w:numId="2" w16cid:durableId="1121650968">
    <w:abstractNumId w:val="8"/>
  </w:num>
  <w:num w:numId="3" w16cid:durableId="908735005">
    <w:abstractNumId w:val="7"/>
  </w:num>
  <w:num w:numId="4" w16cid:durableId="596595169">
    <w:abstractNumId w:val="9"/>
  </w:num>
  <w:num w:numId="5" w16cid:durableId="1228538311">
    <w:abstractNumId w:val="6"/>
  </w:num>
  <w:num w:numId="6" w16cid:durableId="623729708">
    <w:abstractNumId w:val="0"/>
  </w:num>
  <w:num w:numId="7" w16cid:durableId="1545481788">
    <w:abstractNumId w:val="3"/>
  </w:num>
  <w:num w:numId="8" w16cid:durableId="888567133">
    <w:abstractNumId w:val="11"/>
  </w:num>
  <w:num w:numId="9" w16cid:durableId="1471096642">
    <w:abstractNumId w:val="10"/>
  </w:num>
  <w:num w:numId="10" w16cid:durableId="1284313565">
    <w:abstractNumId w:val="2"/>
  </w:num>
  <w:num w:numId="11" w16cid:durableId="278462786">
    <w:abstractNumId w:val="1"/>
  </w:num>
  <w:num w:numId="12" w16cid:durableId="566302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485"/>
    <w:rsid w:val="00033D46"/>
    <w:rsid w:val="000D5E92"/>
    <w:rsid w:val="0016089D"/>
    <w:rsid w:val="00193195"/>
    <w:rsid w:val="00245EB3"/>
    <w:rsid w:val="002512B3"/>
    <w:rsid w:val="002F4651"/>
    <w:rsid w:val="00366B7A"/>
    <w:rsid w:val="003E453E"/>
    <w:rsid w:val="00453EF8"/>
    <w:rsid w:val="0048223E"/>
    <w:rsid w:val="004F10F3"/>
    <w:rsid w:val="0050582B"/>
    <w:rsid w:val="00526B4B"/>
    <w:rsid w:val="00570414"/>
    <w:rsid w:val="005D0DFC"/>
    <w:rsid w:val="00616DBE"/>
    <w:rsid w:val="00695CD3"/>
    <w:rsid w:val="006B2EF5"/>
    <w:rsid w:val="006F3485"/>
    <w:rsid w:val="00727040"/>
    <w:rsid w:val="00823F9D"/>
    <w:rsid w:val="00874F19"/>
    <w:rsid w:val="008C4016"/>
    <w:rsid w:val="008F0527"/>
    <w:rsid w:val="00951C11"/>
    <w:rsid w:val="00A268A1"/>
    <w:rsid w:val="00A661F7"/>
    <w:rsid w:val="00B01890"/>
    <w:rsid w:val="00B73797"/>
    <w:rsid w:val="00B80CB0"/>
    <w:rsid w:val="00B93B76"/>
    <w:rsid w:val="00C66898"/>
    <w:rsid w:val="00C95A9B"/>
    <w:rsid w:val="00CE4709"/>
    <w:rsid w:val="00D450D0"/>
    <w:rsid w:val="00D801D5"/>
    <w:rsid w:val="00D94602"/>
    <w:rsid w:val="00D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A79EE878-5A8E-4BE5-846C-B2FC8422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D0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12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9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02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10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135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37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853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6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1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6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0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15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1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5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52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40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02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946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3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9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10</cp:revision>
  <dcterms:created xsi:type="dcterms:W3CDTF">2026-03-24T06:32:00Z</dcterms:created>
  <dcterms:modified xsi:type="dcterms:W3CDTF">2026-06-11T06:53:00Z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