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BC18" w14:textId="77777777" w:rsidR="007872DE" w:rsidRDefault="007872DE" w:rsidP="00D23D07">
      <w:pPr>
        <w:spacing w:line="240" w:lineRule="auto"/>
        <w:jc w:val="both"/>
        <w:rPr>
          <w:rFonts w:ascii="Arial" w:hAnsi="Arial" w:cs="Arial"/>
          <w:sz w:val="20"/>
          <w:szCs w:val="20"/>
          <w:u w:val="single"/>
          <w:lang w:val="en-GB"/>
        </w:rPr>
      </w:pPr>
      <w:bookmarkStart w:id="0" w:name="_Hlk230707788"/>
      <w:bookmarkEnd w:id="0"/>
    </w:p>
    <w:p w14:paraId="02601A0A" w14:textId="77777777" w:rsidR="00DA4FC5" w:rsidRDefault="00DA4FC5" w:rsidP="00D23D07">
      <w:pPr>
        <w:spacing w:line="240" w:lineRule="auto"/>
        <w:jc w:val="both"/>
        <w:rPr>
          <w:rFonts w:ascii="Arial" w:hAnsi="Arial" w:cs="Arial"/>
          <w:sz w:val="20"/>
          <w:szCs w:val="20"/>
          <w:u w:val="single"/>
          <w:lang w:val="en-GB"/>
        </w:rPr>
      </w:pPr>
    </w:p>
    <w:p w14:paraId="2CA809D6" w14:textId="77777777" w:rsidR="006567EE" w:rsidRPr="00A66B7B" w:rsidRDefault="009579C3" w:rsidP="006567EE">
      <w:pPr>
        <w:pStyle w:val="Author"/>
        <w:rPr>
          <w:rFonts w:ascii="Arial" w:hAnsi="Arial" w:cs="Arial"/>
          <w:bCs/>
          <w:i/>
          <w:iCs/>
          <w:sz w:val="20"/>
          <w:u w:val="single"/>
        </w:rPr>
      </w:pPr>
      <w:r>
        <w:rPr>
          <w:rFonts w:ascii="Arial" w:hAnsi="Arial" w:cs="Arial"/>
          <w:b w:val="0"/>
          <w:sz w:val="20"/>
          <w:lang w:val="en-GB"/>
        </w:rPr>
        <w:t xml:space="preserve">    </w:t>
      </w:r>
      <w:r w:rsidR="00DA4FC5">
        <w:rPr>
          <w:rFonts w:ascii="Arial" w:hAnsi="Arial" w:cs="Arial"/>
          <w:sz w:val="20"/>
          <w:u w:val="single"/>
          <w:lang w:val="en-GB"/>
        </w:rPr>
        <w:t xml:space="preserve"> </w:t>
      </w:r>
      <w:r w:rsidR="006567EE" w:rsidRPr="00A66B7B">
        <w:rPr>
          <w:rFonts w:ascii="Arial" w:hAnsi="Arial" w:cs="Arial"/>
          <w:bCs/>
          <w:i/>
          <w:iCs/>
          <w:sz w:val="20"/>
          <w:u w:val="single"/>
        </w:rPr>
        <w:t>Original Research Article</w:t>
      </w:r>
    </w:p>
    <w:p w14:paraId="3BD39EC7" w14:textId="458E2BF0" w:rsidR="009579C3" w:rsidRPr="00A66B7B" w:rsidRDefault="009579C3" w:rsidP="00DA4FC5">
      <w:pPr>
        <w:pStyle w:val="Author"/>
        <w:spacing w:line="240" w:lineRule="auto"/>
        <w:rPr>
          <w:rFonts w:ascii="Arial" w:hAnsi="Arial" w:cs="Arial"/>
          <w:bCs/>
          <w:iCs/>
          <w:kern w:val="28"/>
          <w:sz w:val="36"/>
        </w:rPr>
      </w:pPr>
      <w:r w:rsidRPr="00A66B7B">
        <w:rPr>
          <w:rFonts w:ascii="Arial" w:hAnsi="Arial" w:cs="Arial"/>
          <w:bCs/>
          <w:iCs/>
          <w:kern w:val="28"/>
          <w:sz w:val="36"/>
        </w:rPr>
        <w:t>Development and Characteri</w:t>
      </w:r>
      <w:r w:rsidR="00821E70" w:rsidRPr="00A66B7B">
        <w:rPr>
          <w:rFonts w:ascii="Arial" w:hAnsi="Arial" w:cs="Arial"/>
          <w:bCs/>
          <w:iCs/>
          <w:kern w:val="28"/>
          <w:sz w:val="36"/>
        </w:rPr>
        <w:t>z</w:t>
      </w:r>
      <w:r w:rsidRPr="00A66B7B">
        <w:rPr>
          <w:rFonts w:ascii="Arial" w:hAnsi="Arial" w:cs="Arial"/>
          <w:bCs/>
          <w:iCs/>
          <w:kern w:val="28"/>
          <w:sz w:val="36"/>
        </w:rPr>
        <w:t xml:space="preserve">ation of Apple-peel </w:t>
      </w:r>
    </w:p>
    <w:p w14:paraId="407F0FC6" w14:textId="77777777" w:rsidR="009579C3" w:rsidRPr="00A66B7B" w:rsidRDefault="009579C3" w:rsidP="00DA4FC5">
      <w:pPr>
        <w:pStyle w:val="Author"/>
        <w:spacing w:line="240" w:lineRule="auto"/>
        <w:rPr>
          <w:rFonts w:ascii="Arial" w:hAnsi="Arial" w:cs="Arial"/>
          <w:bCs/>
          <w:iCs/>
          <w:kern w:val="28"/>
          <w:sz w:val="36"/>
        </w:rPr>
      </w:pPr>
      <w:r w:rsidRPr="00A66B7B">
        <w:rPr>
          <w:rFonts w:ascii="Arial" w:hAnsi="Arial" w:cs="Arial"/>
          <w:bCs/>
          <w:iCs/>
          <w:kern w:val="28"/>
          <w:sz w:val="36"/>
        </w:rPr>
        <w:t xml:space="preserve">Herbal Infusion Enriched with </w:t>
      </w:r>
    </w:p>
    <w:p w14:paraId="658CFF10" w14:textId="77777777" w:rsidR="00DA4FC5" w:rsidRPr="00A66B7B" w:rsidRDefault="009579C3" w:rsidP="00DA4FC5">
      <w:pPr>
        <w:pStyle w:val="Author"/>
        <w:spacing w:line="240" w:lineRule="auto"/>
        <w:rPr>
          <w:rFonts w:ascii="Arial" w:hAnsi="Arial" w:cs="Arial"/>
          <w:bCs/>
          <w:iCs/>
          <w:kern w:val="28"/>
          <w:sz w:val="36"/>
        </w:rPr>
      </w:pPr>
      <w:r w:rsidRPr="00A66B7B">
        <w:rPr>
          <w:rFonts w:ascii="Arial" w:hAnsi="Arial" w:cs="Arial"/>
          <w:bCs/>
          <w:iCs/>
          <w:kern w:val="28"/>
          <w:sz w:val="36"/>
        </w:rPr>
        <w:t>Cinnamon and Cardamom</w:t>
      </w:r>
    </w:p>
    <w:p w14:paraId="6D21E45F" w14:textId="77777777" w:rsidR="00DA4FC5" w:rsidRPr="00A66B7B" w:rsidRDefault="00DA4FC5" w:rsidP="00DA4FC5">
      <w:pPr>
        <w:pStyle w:val="Author"/>
        <w:spacing w:line="240" w:lineRule="auto"/>
        <w:jc w:val="both"/>
        <w:rPr>
          <w:rFonts w:ascii="Arial" w:hAnsi="Arial" w:cs="Arial"/>
          <w:sz w:val="36"/>
        </w:rPr>
      </w:pPr>
    </w:p>
    <w:p w14:paraId="412BC0A9" w14:textId="1E94F023" w:rsidR="00DB3F4A" w:rsidRPr="00A66B7B" w:rsidRDefault="00DB3F4A" w:rsidP="00DA4FC5">
      <w:pPr>
        <w:pStyle w:val="Affiliation"/>
        <w:spacing w:after="0" w:line="240" w:lineRule="auto"/>
        <w:rPr>
          <w:rFonts w:ascii="Arial" w:hAnsi="Arial" w:cs="Arial"/>
          <w:i/>
        </w:rPr>
      </w:pPr>
    </w:p>
    <w:p w14:paraId="468AF57A" w14:textId="77777777" w:rsidR="00DA4FC5" w:rsidRPr="00A66B7B" w:rsidRDefault="00DA4FC5" w:rsidP="00DA4FC5">
      <w:pPr>
        <w:pStyle w:val="Affiliation"/>
        <w:spacing w:after="0" w:line="240" w:lineRule="auto"/>
        <w:rPr>
          <w:rFonts w:ascii="Arial" w:hAnsi="Arial" w:cs="Arial"/>
          <w:i/>
        </w:rPr>
      </w:pPr>
    </w:p>
    <w:p w14:paraId="5BF81A3E" w14:textId="77777777" w:rsidR="00DA4FC5" w:rsidRPr="00A66B7B" w:rsidRDefault="00DA4FC5" w:rsidP="00DA4FC5">
      <w:pPr>
        <w:pStyle w:val="Affiliation"/>
        <w:spacing w:after="0" w:line="240" w:lineRule="auto"/>
        <w:jc w:val="left"/>
        <w:rPr>
          <w:rFonts w:ascii="Arial" w:hAnsi="Arial" w:cs="Arial"/>
          <w:lang w:val="en-GB"/>
        </w:rPr>
      </w:pPr>
    </w:p>
    <w:p w14:paraId="5DF4023A" w14:textId="750653BE" w:rsidR="003A198F" w:rsidRDefault="003A198F" w:rsidP="00D23D07">
      <w:pPr>
        <w:spacing w:line="240" w:lineRule="auto"/>
        <w:jc w:val="both"/>
        <w:rPr>
          <w:rFonts w:ascii="Arial" w:hAnsi="Arial" w:cs="Arial"/>
          <w:sz w:val="20"/>
          <w:szCs w:val="20"/>
          <w:lang w:val="en-GB"/>
        </w:rPr>
      </w:pPr>
    </w:p>
    <w:p w14:paraId="007E1A4F" w14:textId="77777777" w:rsidR="002B7E5C" w:rsidRPr="00A66B7B" w:rsidRDefault="002B7E5C" w:rsidP="00D23D07">
      <w:pPr>
        <w:spacing w:line="240" w:lineRule="auto"/>
        <w:jc w:val="both"/>
        <w:rPr>
          <w:rFonts w:ascii="Arial" w:hAnsi="Arial" w:cs="Arial"/>
          <w:sz w:val="20"/>
          <w:szCs w:val="20"/>
          <w:lang w:val="en-GB"/>
        </w:rPr>
      </w:pPr>
    </w:p>
    <w:p w14:paraId="0EC796B7" w14:textId="77777777" w:rsidR="003A198F" w:rsidRPr="00A66B7B" w:rsidRDefault="003A198F" w:rsidP="00D23D07">
      <w:pPr>
        <w:spacing w:line="240" w:lineRule="auto"/>
        <w:jc w:val="both"/>
        <w:rPr>
          <w:rFonts w:ascii="Arial" w:hAnsi="Arial" w:cs="Arial"/>
          <w:sz w:val="20"/>
          <w:szCs w:val="20"/>
          <w:lang w:val="en-GB"/>
        </w:rPr>
      </w:pPr>
    </w:p>
    <w:p w14:paraId="633B8418" w14:textId="77777777" w:rsidR="00DA4FC5" w:rsidRPr="00A66B7B" w:rsidRDefault="00DA4FC5" w:rsidP="00D23D07">
      <w:pPr>
        <w:spacing w:line="240" w:lineRule="auto"/>
        <w:jc w:val="both"/>
        <w:rPr>
          <w:rFonts w:ascii="Arial" w:hAnsi="Arial" w:cs="Arial"/>
          <w:b/>
          <w:lang w:val="en-GB"/>
        </w:rPr>
      </w:pPr>
      <w:r w:rsidRPr="00A66B7B">
        <w:rPr>
          <w:rFonts w:ascii="Arial" w:hAnsi="Arial" w:cs="Arial"/>
          <w:b/>
          <w:lang w:val="en-GB"/>
        </w:rPr>
        <w:t>ABSTRACT</w:t>
      </w:r>
    </w:p>
    <w:p w14:paraId="7D4774DE" w14:textId="77777777" w:rsidR="00DA4FC5" w:rsidRPr="00A66B7B" w:rsidRDefault="00DA4FC5" w:rsidP="00DA4FC5">
      <w:pPr>
        <w:spacing w:line="240" w:lineRule="auto"/>
        <w:jc w:val="both"/>
        <w:rPr>
          <w:rFonts w:ascii="Arial" w:hAnsi="Arial" w:cs="Arial"/>
          <w:sz w:val="20"/>
          <w:szCs w:val="20"/>
          <w:lang w:val="en-GB"/>
        </w:rPr>
      </w:pPr>
      <w:r w:rsidRPr="00A66B7B">
        <w:rPr>
          <w:rFonts w:ascii="Arial" w:hAnsi="Arial" w:cs="Arial"/>
          <w:sz w:val="20"/>
          <w:szCs w:val="20"/>
          <w:lang w:val="en-GB"/>
        </w:rPr>
        <w:t xml:space="preserve">The current research aimed to create and assess a functional herbal infusion powder utilizing apple peel powder combined with selected spices. Various formulations were prepared and evaluated for sensory attributes, with the most preferred formulation (F2) chosen for additional analysis. The developed product underwent physicochemical, nutritional, antioxidant, </w:t>
      </w:r>
      <w:r w:rsidR="00307B22" w:rsidRPr="00A66B7B">
        <w:rPr>
          <w:rFonts w:ascii="Arial" w:hAnsi="Arial" w:cs="Arial"/>
          <w:sz w:val="20"/>
          <w:szCs w:val="20"/>
          <w:lang w:val="en-GB"/>
        </w:rPr>
        <w:t>colour</w:t>
      </w:r>
      <w:r w:rsidRPr="00A66B7B">
        <w:rPr>
          <w:rFonts w:ascii="Arial" w:hAnsi="Arial" w:cs="Arial"/>
          <w:sz w:val="20"/>
          <w:szCs w:val="20"/>
          <w:lang w:val="en-GB"/>
        </w:rPr>
        <w:t xml:space="preserve">, and microbiological assessments using </w:t>
      </w:r>
      <w:r w:rsidR="00307B22" w:rsidRPr="00A66B7B">
        <w:rPr>
          <w:rFonts w:ascii="Arial" w:hAnsi="Arial" w:cs="Arial"/>
          <w:sz w:val="20"/>
          <w:szCs w:val="20"/>
          <w:lang w:val="en-GB"/>
        </w:rPr>
        <w:t>standardised</w:t>
      </w:r>
      <w:r w:rsidRPr="00A66B7B">
        <w:rPr>
          <w:rFonts w:ascii="Arial" w:hAnsi="Arial" w:cs="Arial"/>
          <w:sz w:val="20"/>
          <w:szCs w:val="20"/>
          <w:lang w:val="en-GB"/>
        </w:rPr>
        <w:t xml:space="preserve"> analytical techniques. The herbal infusion formulation displayed a pH of 5.96, indicating a mildly acidic character, along </w:t>
      </w:r>
      <w:commentRangeStart w:id="1"/>
      <w:r w:rsidRPr="00A66B7B">
        <w:rPr>
          <w:rFonts w:ascii="Arial" w:hAnsi="Arial" w:cs="Arial"/>
          <w:sz w:val="20"/>
          <w:szCs w:val="20"/>
          <w:lang w:val="en-GB"/>
        </w:rPr>
        <w:t xml:space="preserve">with L*, a*, and b* </w:t>
      </w:r>
      <w:commentRangeEnd w:id="1"/>
      <w:r w:rsidR="009A6A52" w:rsidRPr="00A66B7B">
        <w:rPr>
          <w:rStyle w:val="CommentReference"/>
          <w:rFonts w:ascii="Arial" w:hAnsi="Arial" w:cs="Arial"/>
          <w:sz w:val="20"/>
          <w:szCs w:val="20"/>
          <w:lang w:val="en-GB"/>
        </w:rPr>
        <w:commentReference w:id="1"/>
      </w:r>
      <w:r w:rsidRPr="00A66B7B">
        <w:rPr>
          <w:rFonts w:ascii="Arial" w:hAnsi="Arial" w:cs="Arial"/>
          <w:sz w:val="20"/>
          <w:szCs w:val="20"/>
          <w:lang w:val="en-GB"/>
        </w:rPr>
        <w:t>values of 34.65, 6.36, and 12.98, respectively, reflecting a yellowish-brown hue. The product demonstrated notable levels of phenolic compounds, flavonoids, tannins, and DPPH radical scavenging activity, which confirmed its antioxidant capabilities.</w:t>
      </w:r>
      <w:r w:rsidR="00307B22" w:rsidRPr="00A66B7B">
        <w:rPr>
          <w:rFonts w:ascii="Arial" w:hAnsi="Arial" w:cs="Arial"/>
          <w:sz w:val="20"/>
          <w:szCs w:val="20"/>
          <w:lang w:val="en-GB"/>
        </w:rPr>
        <w:t xml:space="preserve"> </w:t>
      </w:r>
      <w:commentRangeStart w:id="2"/>
      <w:r w:rsidR="00307B22" w:rsidRPr="00A66B7B">
        <w:rPr>
          <w:rFonts w:ascii="Arial" w:hAnsi="Arial" w:cs="Arial"/>
          <w:sz w:val="20"/>
          <w:szCs w:val="20"/>
          <w:lang w:val="en-GB"/>
        </w:rPr>
        <w:t>Even though the formed sample's antioxidant activity was somewhat lower than the control</w:t>
      </w:r>
      <w:r w:rsidRPr="00A66B7B">
        <w:rPr>
          <w:rFonts w:ascii="Arial" w:hAnsi="Arial" w:cs="Arial"/>
          <w:sz w:val="20"/>
          <w:szCs w:val="20"/>
          <w:lang w:val="en-GB"/>
        </w:rPr>
        <w:t xml:space="preserve">. </w:t>
      </w:r>
      <w:commentRangeEnd w:id="2"/>
      <w:r w:rsidR="003C4FB1" w:rsidRPr="00A66B7B">
        <w:rPr>
          <w:rStyle w:val="CommentReference"/>
          <w:rFonts w:ascii="Arial" w:hAnsi="Arial" w:cs="Arial"/>
          <w:sz w:val="20"/>
          <w:szCs w:val="20"/>
          <w:lang w:val="en-GB"/>
        </w:rPr>
        <w:commentReference w:id="2"/>
      </w:r>
      <w:r w:rsidRPr="00A66B7B">
        <w:rPr>
          <w:rFonts w:ascii="Arial" w:hAnsi="Arial" w:cs="Arial"/>
          <w:sz w:val="20"/>
          <w:szCs w:val="20"/>
          <w:lang w:val="en-GB"/>
        </w:rPr>
        <w:t xml:space="preserve">Good hygienic quality and shelf stability were shown by microbiological examination, which revealed that the total plate count as well as the yeast and </w:t>
      </w:r>
      <w:r w:rsidR="00307B22" w:rsidRPr="00A66B7B">
        <w:rPr>
          <w:rFonts w:ascii="Arial" w:hAnsi="Arial" w:cs="Arial"/>
          <w:sz w:val="20"/>
          <w:szCs w:val="20"/>
          <w:lang w:val="en-GB"/>
        </w:rPr>
        <w:t>mould</w:t>
      </w:r>
      <w:r w:rsidRPr="00A66B7B">
        <w:rPr>
          <w:rFonts w:ascii="Arial" w:hAnsi="Arial" w:cs="Arial"/>
          <w:sz w:val="20"/>
          <w:szCs w:val="20"/>
          <w:lang w:val="en-GB"/>
        </w:rPr>
        <w:t xml:space="preserve"> counts were within permissible bounds. According to the study's findings, fruit processing by-products can be made more valuable by using apple peel powder to create a herbal infusion powder that is both nutritional and antioxidant-rich, with acceptable sensory and microbiological quality.</w:t>
      </w:r>
    </w:p>
    <w:p w14:paraId="395B54EC" w14:textId="77777777" w:rsidR="00DA4FC5" w:rsidRPr="00A66B7B" w:rsidRDefault="00DA4FC5" w:rsidP="00D23D07">
      <w:pPr>
        <w:spacing w:line="240" w:lineRule="auto"/>
        <w:jc w:val="both"/>
        <w:rPr>
          <w:rFonts w:ascii="Arial" w:hAnsi="Arial" w:cs="Arial"/>
          <w:i/>
          <w:sz w:val="20"/>
          <w:szCs w:val="20"/>
          <w:lang w:val="en-GB"/>
        </w:rPr>
      </w:pPr>
      <w:r w:rsidRPr="00A66B7B">
        <w:rPr>
          <w:rFonts w:ascii="Arial" w:hAnsi="Arial" w:cs="Arial"/>
          <w:i/>
          <w:sz w:val="20"/>
          <w:szCs w:val="20"/>
          <w:lang w:val="en-GB"/>
        </w:rPr>
        <w:t xml:space="preserve">Keywords: </w:t>
      </w:r>
      <w:r w:rsidRPr="00A66B7B">
        <w:rPr>
          <w:rFonts w:ascii="Arial" w:hAnsi="Arial" w:cs="Arial"/>
          <w:i/>
          <w:sz w:val="20"/>
          <w:szCs w:val="20"/>
        </w:rPr>
        <w:t>Apple peel powder; Herbal infusion; Antioxidant activity; Functional beverage; Sensory evaluation</w:t>
      </w:r>
    </w:p>
    <w:p w14:paraId="3CFE11CC" w14:textId="77881681" w:rsidR="00DA4FC5" w:rsidRPr="00A66B7B" w:rsidRDefault="00DA4FC5" w:rsidP="00D23D07">
      <w:pPr>
        <w:spacing w:line="240" w:lineRule="auto"/>
        <w:jc w:val="both"/>
        <w:rPr>
          <w:rFonts w:ascii="Arial" w:hAnsi="Arial" w:cs="Arial"/>
          <w:i/>
          <w:sz w:val="20"/>
          <w:szCs w:val="20"/>
          <w:u w:val="single"/>
          <w:lang w:val="en-GB"/>
        </w:rPr>
      </w:pPr>
    </w:p>
    <w:p w14:paraId="3AD455EA" w14:textId="77777777" w:rsidR="003A198F" w:rsidRPr="00A66B7B" w:rsidRDefault="003A198F" w:rsidP="00D23D07">
      <w:pPr>
        <w:spacing w:line="240" w:lineRule="auto"/>
        <w:jc w:val="both"/>
        <w:rPr>
          <w:rFonts w:ascii="Arial" w:hAnsi="Arial" w:cs="Arial"/>
          <w:sz w:val="20"/>
          <w:szCs w:val="20"/>
          <w:u w:val="single"/>
          <w:lang w:val="en-GB"/>
        </w:rPr>
      </w:pPr>
    </w:p>
    <w:p w14:paraId="66A56A2B" w14:textId="77777777" w:rsidR="00CE1587" w:rsidRPr="00A66B7B" w:rsidRDefault="00CE1587" w:rsidP="00D23D07">
      <w:pPr>
        <w:spacing w:line="240" w:lineRule="auto"/>
        <w:jc w:val="both"/>
        <w:rPr>
          <w:rFonts w:ascii="Arial" w:hAnsi="Arial" w:cs="Arial"/>
          <w:sz w:val="20"/>
          <w:szCs w:val="20"/>
          <w:lang w:val="en-GB"/>
        </w:rPr>
      </w:pPr>
    </w:p>
    <w:p w14:paraId="0ECDABE1" w14:textId="77777777" w:rsidR="00DA4FC5" w:rsidRPr="00A66B7B" w:rsidRDefault="00DA4FC5" w:rsidP="00D23D07">
      <w:pPr>
        <w:spacing w:line="240" w:lineRule="auto"/>
        <w:jc w:val="both"/>
        <w:rPr>
          <w:rFonts w:ascii="Arial" w:hAnsi="Arial" w:cs="Arial"/>
          <w:sz w:val="20"/>
          <w:szCs w:val="20"/>
          <w:u w:val="single"/>
          <w:lang w:val="en-GB"/>
        </w:rPr>
      </w:pPr>
    </w:p>
    <w:p w14:paraId="7502E9EF" w14:textId="77777777" w:rsidR="003A198F" w:rsidRPr="00A66B7B" w:rsidRDefault="003A198F" w:rsidP="00D23D07">
      <w:pPr>
        <w:spacing w:line="240" w:lineRule="auto"/>
        <w:jc w:val="both"/>
        <w:rPr>
          <w:rFonts w:ascii="Arial" w:hAnsi="Arial" w:cs="Arial"/>
          <w:sz w:val="20"/>
          <w:szCs w:val="20"/>
          <w:u w:val="single"/>
          <w:lang w:val="en-GB"/>
        </w:rPr>
      </w:pPr>
    </w:p>
    <w:p w14:paraId="16E43EE1" w14:textId="77777777" w:rsidR="003A198F" w:rsidRPr="00A66B7B" w:rsidRDefault="003A198F" w:rsidP="00D23D07">
      <w:pPr>
        <w:spacing w:line="240" w:lineRule="auto"/>
        <w:jc w:val="both"/>
        <w:rPr>
          <w:rFonts w:ascii="Arial" w:hAnsi="Arial" w:cs="Arial"/>
          <w:b/>
          <w:lang w:val="en-GB"/>
        </w:rPr>
      </w:pPr>
    </w:p>
    <w:p w14:paraId="1DA32793" w14:textId="77777777" w:rsidR="003A198F" w:rsidRPr="00A66B7B" w:rsidRDefault="003A198F" w:rsidP="00D23D07">
      <w:pPr>
        <w:spacing w:line="240" w:lineRule="auto"/>
        <w:jc w:val="both"/>
        <w:rPr>
          <w:rFonts w:ascii="Arial" w:hAnsi="Arial" w:cs="Arial"/>
          <w:b/>
          <w:lang w:val="en-GB"/>
        </w:rPr>
      </w:pPr>
    </w:p>
    <w:p w14:paraId="69C4FAB4" w14:textId="4D4CFD6D" w:rsidR="0014679B" w:rsidRPr="00A66B7B" w:rsidRDefault="00D23D07" w:rsidP="00D23D07">
      <w:pPr>
        <w:spacing w:line="240" w:lineRule="auto"/>
        <w:jc w:val="both"/>
        <w:rPr>
          <w:rFonts w:ascii="Arial" w:hAnsi="Arial" w:cs="Arial"/>
          <w:lang w:val="en-GB"/>
        </w:rPr>
      </w:pPr>
      <w:r w:rsidRPr="00A66B7B">
        <w:rPr>
          <w:rFonts w:ascii="Arial" w:hAnsi="Arial" w:cs="Arial"/>
          <w:b/>
          <w:lang w:val="en-GB"/>
        </w:rPr>
        <w:t xml:space="preserve">1. </w:t>
      </w:r>
      <w:commentRangeStart w:id="3"/>
      <w:r w:rsidRPr="00A66B7B">
        <w:rPr>
          <w:rFonts w:ascii="Arial" w:hAnsi="Arial" w:cs="Arial"/>
          <w:b/>
          <w:lang w:val="en-GB"/>
        </w:rPr>
        <w:t>INTRODUCTION</w:t>
      </w:r>
      <w:commentRangeEnd w:id="3"/>
      <w:r w:rsidR="00CA6C97" w:rsidRPr="00A66B7B">
        <w:rPr>
          <w:rStyle w:val="CommentReference"/>
          <w:rFonts w:ascii="Arial" w:hAnsi="Arial" w:cs="Arial"/>
          <w:sz w:val="22"/>
          <w:szCs w:val="22"/>
          <w:lang w:val="en-GB"/>
        </w:rPr>
        <w:commentReference w:id="3"/>
      </w:r>
    </w:p>
    <w:p w14:paraId="44D2B8B7" w14:textId="77777777" w:rsidR="008377C7" w:rsidRPr="00A66B7B" w:rsidRDefault="008377C7" w:rsidP="00D23D07">
      <w:pPr>
        <w:spacing w:line="240" w:lineRule="auto"/>
        <w:jc w:val="both"/>
        <w:rPr>
          <w:rFonts w:ascii="Arial" w:hAnsi="Arial" w:cs="Arial"/>
          <w:b/>
          <w:sz w:val="20"/>
          <w:szCs w:val="20"/>
          <w:u w:val="single"/>
          <w:lang w:val="en-GB"/>
        </w:rPr>
      </w:pPr>
    </w:p>
    <w:p w14:paraId="63050F7B" w14:textId="77777777" w:rsidR="00081684" w:rsidRPr="00A66B7B" w:rsidRDefault="00F76B48" w:rsidP="00D23D07">
      <w:pPr>
        <w:spacing w:line="240" w:lineRule="auto"/>
        <w:jc w:val="both"/>
        <w:rPr>
          <w:rFonts w:ascii="Arial" w:hAnsi="Arial" w:cs="Arial"/>
          <w:color w:val="000000" w:themeColor="text1"/>
          <w:sz w:val="20"/>
          <w:szCs w:val="20"/>
          <w:shd w:val="clear" w:color="auto" w:fill="FFFFFF"/>
        </w:rPr>
      </w:pPr>
      <w:bookmarkStart w:id="4" w:name="_Hlk229229231"/>
      <w:commentRangeStart w:id="5"/>
      <w:r w:rsidRPr="00A66B7B">
        <w:rPr>
          <w:rFonts w:ascii="Arial" w:hAnsi="Arial" w:cs="Arial"/>
          <w:color w:val="000000" w:themeColor="text1"/>
          <w:sz w:val="20"/>
          <w:szCs w:val="20"/>
          <w:shd w:val="clear" w:color="auto" w:fill="FFFFFF"/>
        </w:rPr>
        <w:t>T</w:t>
      </w:r>
      <w:r w:rsidR="00081684" w:rsidRPr="00A66B7B">
        <w:rPr>
          <w:rFonts w:ascii="Arial" w:hAnsi="Arial" w:cs="Arial"/>
          <w:color w:val="000000" w:themeColor="text1"/>
          <w:sz w:val="20"/>
          <w:szCs w:val="20"/>
          <w:shd w:val="clear" w:color="auto" w:fill="FFFFFF"/>
        </w:rPr>
        <w:t xml:space="preserve">he functional food and beverage market </w:t>
      </w:r>
      <w:r w:rsidR="009D2FC9" w:rsidRPr="00A66B7B">
        <w:rPr>
          <w:rFonts w:ascii="Arial" w:hAnsi="Arial" w:cs="Arial"/>
          <w:color w:val="000000" w:themeColor="text1"/>
          <w:sz w:val="20"/>
          <w:szCs w:val="20"/>
          <w:shd w:val="clear" w:color="auto" w:fill="FFFFFF"/>
        </w:rPr>
        <w:t xml:space="preserve">is </w:t>
      </w:r>
      <w:r w:rsidR="00081684" w:rsidRPr="00A66B7B">
        <w:rPr>
          <w:rFonts w:ascii="Arial" w:hAnsi="Arial" w:cs="Arial"/>
          <w:color w:val="000000" w:themeColor="text1"/>
          <w:sz w:val="20"/>
          <w:szCs w:val="20"/>
          <w:shd w:val="clear" w:color="auto" w:fill="FFFFFF"/>
        </w:rPr>
        <w:t>growing rapidly as consumers seek health beyond basic nutrition</w:t>
      </w:r>
      <w:commentRangeEnd w:id="5"/>
      <w:r w:rsidR="003C4FB1" w:rsidRPr="00A66B7B">
        <w:rPr>
          <w:rStyle w:val="CommentReference"/>
          <w:rFonts w:ascii="Arial" w:hAnsi="Arial" w:cs="Arial"/>
          <w:color w:val="000000" w:themeColor="text1"/>
          <w:sz w:val="20"/>
          <w:szCs w:val="20"/>
          <w:shd w:val="clear" w:color="auto" w:fill="FFFFFF"/>
        </w:rPr>
        <w:commentReference w:id="5"/>
      </w:r>
      <w:r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w:t>
      </w:r>
      <w:r w:rsidRPr="00A66B7B">
        <w:rPr>
          <w:rFonts w:ascii="Arial" w:hAnsi="Arial" w:cs="Arial"/>
          <w:color w:val="000000" w:themeColor="text1"/>
          <w:sz w:val="20"/>
          <w:szCs w:val="20"/>
          <w:shd w:val="clear" w:color="auto" w:fill="FFFFFF"/>
        </w:rPr>
        <w:t>T</w:t>
      </w:r>
      <w:r w:rsidR="00081684" w:rsidRPr="00A66B7B">
        <w:rPr>
          <w:rFonts w:ascii="Arial" w:hAnsi="Arial" w:cs="Arial"/>
          <w:color w:val="000000" w:themeColor="text1"/>
          <w:sz w:val="20"/>
          <w:szCs w:val="20"/>
          <w:shd w:val="clear" w:color="auto" w:fill="FFFFFF"/>
        </w:rPr>
        <w:t xml:space="preserve">he </w:t>
      </w:r>
      <w:r w:rsidRPr="00A66B7B">
        <w:rPr>
          <w:rFonts w:ascii="Arial" w:hAnsi="Arial" w:cs="Arial"/>
          <w:color w:val="000000" w:themeColor="text1"/>
          <w:sz w:val="20"/>
          <w:szCs w:val="20"/>
          <w:shd w:val="clear" w:color="auto" w:fill="FFFFFF"/>
        </w:rPr>
        <w:t>I</w:t>
      </w:r>
      <w:r w:rsidR="00081684" w:rsidRPr="00A66B7B">
        <w:rPr>
          <w:rFonts w:ascii="Arial" w:hAnsi="Arial" w:cs="Arial"/>
          <w:color w:val="000000" w:themeColor="text1"/>
          <w:sz w:val="20"/>
          <w:szCs w:val="20"/>
          <w:shd w:val="clear" w:color="auto" w:fill="FFFFFF"/>
        </w:rPr>
        <w:t xml:space="preserve">ndian functional beverages market size reached </w:t>
      </w:r>
      <w:r w:rsidRPr="00A66B7B">
        <w:rPr>
          <w:rFonts w:ascii="Arial" w:hAnsi="Arial" w:cs="Arial"/>
          <w:color w:val="000000" w:themeColor="text1"/>
          <w:sz w:val="20"/>
          <w:szCs w:val="20"/>
          <w:shd w:val="clear" w:color="auto" w:fill="FFFFFF"/>
        </w:rPr>
        <w:t>USD</w:t>
      </w:r>
      <w:r w:rsidR="00081684" w:rsidRPr="00A66B7B">
        <w:rPr>
          <w:rFonts w:ascii="Arial" w:hAnsi="Arial" w:cs="Arial"/>
          <w:color w:val="000000" w:themeColor="text1"/>
          <w:sz w:val="20"/>
          <w:szCs w:val="20"/>
          <w:shd w:val="clear" w:color="auto" w:fill="FFFFFF"/>
        </w:rPr>
        <w:t xml:space="preserve"> 69 billion in 2025</w:t>
      </w:r>
      <w:r w:rsidR="0064195F"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it is expected to reach </w:t>
      </w:r>
      <w:r w:rsidRPr="00A66B7B">
        <w:rPr>
          <w:rFonts w:ascii="Arial" w:hAnsi="Arial" w:cs="Arial"/>
          <w:color w:val="000000" w:themeColor="text1"/>
          <w:sz w:val="20"/>
          <w:szCs w:val="20"/>
          <w:shd w:val="clear" w:color="auto" w:fill="FFFFFF"/>
        </w:rPr>
        <w:t>USD</w:t>
      </w:r>
      <w:r w:rsidR="00081684" w:rsidRPr="00A66B7B">
        <w:rPr>
          <w:rFonts w:ascii="Arial" w:hAnsi="Arial" w:cs="Arial"/>
          <w:color w:val="000000" w:themeColor="text1"/>
          <w:sz w:val="20"/>
          <w:szCs w:val="20"/>
          <w:shd w:val="clear" w:color="auto" w:fill="FFFFFF"/>
        </w:rPr>
        <w:t xml:space="preserve"> 188 billion by 2034</w:t>
      </w:r>
      <w:r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exhibiting a</w:t>
      </w:r>
      <w:r w:rsidR="0064195F" w:rsidRPr="00A66B7B">
        <w:rPr>
          <w:rFonts w:ascii="Arial" w:hAnsi="Arial" w:cs="Arial"/>
          <w:color w:val="000000" w:themeColor="text1"/>
          <w:sz w:val="20"/>
          <w:szCs w:val="20"/>
          <w:shd w:val="clear" w:color="auto" w:fill="FFFFFF"/>
        </w:rPr>
        <w:t xml:space="preserve"> </w:t>
      </w:r>
      <w:commentRangeStart w:id="6"/>
      <w:r w:rsidRPr="00A66B7B">
        <w:rPr>
          <w:rFonts w:ascii="Arial" w:hAnsi="Arial" w:cs="Arial"/>
          <w:color w:val="000000" w:themeColor="text1"/>
          <w:sz w:val="20"/>
          <w:szCs w:val="20"/>
          <w:shd w:val="clear" w:color="auto" w:fill="FFFFFF"/>
        </w:rPr>
        <w:t>CAGR</w:t>
      </w:r>
      <w:commentRangeEnd w:id="6"/>
      <w:r w:rsidR="003C4FB1" w:rsidRPr="00A66B7B">
        <w:rPr>
          <w:rStyle w:val="CommentReference"/>
          <w:rFonts w:ascii="Arial" w:hAnsi="Arial" w:cs="Arial"/>
          <w:color w:val="000000" w:themeColor="text1"/>
          <w:sz w:val="20"/>
          <w:szCs w:val="20"/>
          <w:shd w:val="clear" w:color="auto" w:fill="FFFFFF"/>
        </w:rPr>
        <w:commentReference w:id="6"/>
      </w:r>
      <w:r w:rsidR="00081684" w:rsidRPr="00A66B7B">
        <w:rPr>
          <w:rFonts w:ascii="Arial" w:hAnsi="Arial" w:cs="Arial"/>
          <w:color w:val="000000" w:themeColor="text1"/>
          <w:sz w:val="20"/>
          <w:szCs w:val="20"/>
          <w:shd w:val="clear" w:color="auto" w:fill="FFFFFF"/>
        </w:rPr>
        <w:t xml:space="preserve"> of 10</w:t>
      </w:r>
      <w:r w:rsidR="00206365"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74 during 2026-2034</w:t>
      </w:r>
      <w:commentRangeStart w:id="7"/>
      <w:r w:rsidRPr="00A66B7B">
        <w:rPr>
          <w:rFonts w:ascii="Arial" w:hAnsi="Arial" w:cs="Arial"/>
          <w:b/>
          <w:color w:val="000000" w:themeColor="text1"/>
          <w:sz w:val="20"/>
          <w:szCs w:val="20"/>
          <w:shd w:val="clear" w:color="auto" w:fill="FFFFFF"/>
        </w:rPr>
        <w:t>(</w:t>
      </w:r>
      <w:r w:rsidR="006B6648" w:rsidRPr="00A66B7B">
        <w:rPr>
          <w:rFonts w:ascii="Arial" w:hAnsi="Arial" w:cs="Arial"/>
          <w:b/>
          <w:color w:val="000000" w:themeColor="text1"/>
          <w:sz w:val="20"/>
          <w:szCs w:val="20"/>
          <w:shd w:val="clear" w:color="auto" w:fill="FFFFFF"/>
        </w:rPr>
        <w:t>IMARC GROUP (2024</w:t>
      </w:r>
      <w:r w:rsidRPr="00A66B7B">
        <w:rPr>
          <w:rFonts w:ascii="Arial" w:hAnsi="Arial" w:cs="Arial"/>
          <w:b/>
          <w:color w:val="000000" w:themeColor="text1"/>
          <w:sz w:val="20"/>
          <w:szCs w:val="20"/>
          <w:shd w:val="clear" w:color="auto" w:fill="FFFFFF"/>
        </w:rPr>
        <w:t>)</w:t>
      </w:r>
      <w:commentRangeEnd w:id="7"/>
      <w:r w:rsidR="003C4FB1" w:rsidRPr="00A66B7B">
        <w:rPr>
          <w:rStyle w:val="CommentReference"/>
          <w:rFonts w:ascii="Arial" w:hAnsi="Arial" w:cs="Arial"/>
          <w:color w:val="000000" w:themeColor="text1"/>
          <w:sz w:val="20"/>
          <w:szCs w:val="20"/>
          <w:shd w:val="clear" w:color="auto" w:fill="FFFFFF"/>
        </w:rPr>
        <w:commentReference w:id="7"/>
      </w:r>
      <w:r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w:t>
      </w:r>
      <w:commentRangeStart w:id="8"/>
      <w:r w:rsidRPr="00A66B7B">
        <w:rPr>
          <w:rFonts w:ascii="Arial" w:hAnsi="Arial" w:cs="Arial"/>
          <w:color w:val="000000" w:themeColor="text1"/>
          <w:sz w:val="20"/>
          <w:szCs w:val="20"/>
          <w:shd w:val="clear" w:color="auto" w:fill="FFFFFF"/>
        </w:rPr>
        <w:t>F</w:t>
      </w:r>
      <w:r w:rsidR="00081684" w:rsidRPr="00A66B7B">
        <w:rPr>
          <w:rFonts w:ascii="Arial" w:hAnsi="Arial" w:cs="Arial"/>
          <w:color w:val="000000" w:themeColor="text1"/>
          <w:sz w:val="20"/>
          <w:szCs w:val="20"/>
          <w:shd w:val="clear" w:color="auto" w:fill="FFFFFF"/>
        </w:rPr>
        <w:t>unctional foods and beverages help improve overall health by supporting digestion</w:t>
      </w:r>
      <w:r w:rsidR="00976AAA"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weight management</w:t>
      </w:r>
      <w:r w:rsidR="00976AAA"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and bone and muscle strength</w:t>
      </w:r>
      <w:r w:rsidR="00B80BBF" w:rsidRPr="00A66B7B">
        <w:rPr>
          <w:rFonts w:ascii="Arial" w:hAnsi="Arial" w:cs="Arial"/>
          <w:color w:val="000000" w:themeColor="text1"/>
          <w:sz w:val="20"/>
          <w:szCs w:val="20"/>
          <w:shd w:val="clear" w:color="auto" w:fill="FFFFFF"/>
        </w:rPr>
        <w:t>,</w:t>
      </w:r>
      <w:r w:rsidR="00081684" w:rsidRPr="00A66B7B">
        <w:rPr>
          <w:rFonts w:ascii="Arial" w:hAnsi="Arial" w:cs="Arial"/>
          <w:color w:val="000000" w:themeColor="text1"/>
          <w:sz w:val="20"/>
          <w:szCs w:val="20"/>
          <w:shd w:val="clear" w:color="auto" w:fill="FFFFFF"/>
        </w:rPr>
        <w:t xml:space="preserve"> and </w:t>
      </w:r>
      <w:r w:rsidR="00E51CCB" w:rsidRPr="00A66B7B">
        <w:rPr>
          <w:rFonts w:ascii="Arial" w:hAnsi="Arial" w:cs="Arial"/>
          <w:color w:val="000000" w:themeColor="text1"/>
          <w:sz w:val="20"/>
          <w:szCs w:val="20"/>
          <w:shd w:val="clear" w:color="auto" w:fill="FFFFFF"/>
        </w:rPr>
        <w:t>by lowering the chance of developing long-term conditions like type 2 diabetes and heart problems</w:t>
      </w:r>
      <w:r w:rsidR="00307B22" w:rsidRPr="00A66B7B">
        <w:rPr>
          <w:rFonts w:ascii="Arial" w:hAnsi="Arial" w:cs="Arial"/>
          <w:color w:val="000000" w:themeColor="text1"/>
          <w:sz w:val="20"/>
          <w:szCs w:val="20"/>
          <w:shd w:val="clear" w:color="auto" w:fill="FFFFFF"/>
        </w:rPr>
        <w:t>.</w:t>
      </w:r>
      <w:commentRangeEnd w:id="8"/>
      <w:r w:rsidR="003C4FB1" w:rsidRPr="00A66B7B">
        <w:rPr>
          <w:rStyle w:val="CommentReference"/>
          <w:rFonts w:ascii="Arial" w:hAnsi="Arial" w:cs="Arial"/>
          <w:color w:val="000000" w:themeColor="text1"/>
          <w:sz w:val="20"/>
          <w:szCs w:val="20"/>
          <w:shd w:val="clear" w:color="auto" w:fill="FFFFFF"/>
        </w:rPr>
        <w:commentReference w:id="8"/>
      </w:r>
      <w:r w:rsidR="00307B22" w:rsidRPr="00A66B7B">
        <w:rPr>
          <w:rFonts w:ascii="Arial" w:hAnsi="Arial" w:cs="Arial"/>
          <w:color w:val="000000" w:themeColor="text1"/>
          <w:sz w:val="20"/>
          <w:szCs w:val="20"/>
          <w:shd w:val="clear" w:color="auto" w:fill="FFFFFF"/>
        </w:rPr>
        <w:t xml:space="preserve"> </w:t>
      </w:r>
      <w:commentRangeStart w:id="9"/>
      <w:r w:rsidR="00307B22" w:rsidRPr="00A66B7B">
        <w:rPr>
          <w:rFonts w:ascii="Arial" w:hAnsi="Arial" w:cs="Arial"/>
          <w:color w:val="000000" w:themeColor="text1"/>
          <w:sz w:val="20"/>
          <w:szCs w:val="20"/>
          <w:shd w:val="clear" w:color="auto" w:fill="FFFFFF"/>
        </w:rPr>
        <w:t>Tea is the most popular functional beverage.</w:t>
      </w:r>
      <w:commentRangeEnd w:id="9"/>
      <w:r w:rsidR="003C4FB1" w:rsidRPr="00A66B7B">
        <w:rPr>
          <w:rStyle w:val="CommentReference"/>
          <w:rFonts w:ascii="Arial" w:hAnsi="Arial" w:cs="Arial"/>
          <w:color w:val="000000" w:themeColor="text1"/>
          <w:sz w:val="20"/>
          <w:szCs w:val="20"/>
          <w:shd w:val="clear" w:color="auto" w:fill="FFFFFF"/>
        </w:rPr>
        <w:commentReference w:id="9"/>
      </w:r>
      <w:r w:rsidR="00307B22" w:rsidRPr="00A66B7B">
        <w:rPr>
          <w:rFonts w:ascii="Arial" w:hAnsi="Arial" w:cs="Arial"/>
          <w:color w:val="000000" w:themeColor="text1"/>
          <w:sz w:val="20"/>
          <w:szCs w:val="20"/>
          <w:shd w:val="clear" w:color="auto" w:fill="FFFFFF"/>
        </w:rPr>
        <w:t xml:space="preserve"> Herbal infusions, a kind of herbal tea, are made with flowers, herbs, spices, and dried fruits and are prepared in the same manner as ordinary tea, either loose or in bags.</w:t>
      </w:r>
      <w:r w:rsidR="006D32C4" w:rsidRPr="00A66B7B">
        <w:rPr>
          <w:rFonts w:ascii="Arial" w:hAnsi="Arial" w:cs="Arial"/>
          <w:color w:val="000000" w:themeColor="text1"/>
          <w:sz w:val="20"/>
          <w:szCs w:val="20"/>
          <w:shd w:val="clear" w:color="auto" w:fill="FFFFFF"/>
        </w:rPr>
        <w:t xml:space="preserve"> (</w:t>
      </w:r>
      <w:r w:rsidR="006D32C4" w:rsidRPr="00A66B7B">
        <w:rPr>
          <w:rFonts w:ascii="Arial" w:hAnsi="Arial" w:cs="Arial"/>
          <w:b/>
          <w:sz w:val="20"/>
          <w:szCs w:val="20"/>
          <w:shd w:val="clear" w:color="auto" w:fill="FFFFFF"/>
        </w:rPr>
        <w:t>Mensah</w:t>
      </w:r>
      <w:r w:rsidR="006D32C4" w:rsidRPr="00A66B7B">
        <w:rPr>
          <w:rFonts w:ascii="Arial" w:hAnsi="Arial" w:cs="Arial"/>
          <w:b/>
          <w:i/>
          <w:sz w:val="20"/>
          <w:szCs w:val="20"/>
          <w:shd w:val="clear" w:color="auto" w:fill="FFFFFF"/>
        </w:rPr>
        <w:t xml:space="preserve"> et</w:t>
      </w:r>
      <w:r w:rsidR="006D32C4" w:rsidRPr="00A66B7B">
        <w:rPr>
          <w:rFonts w:ascii="Arial" w:hAnsi="Arial" w:cs="Arial"/>
          <w:b/>
          <w:sz w:val="20"/>
          <w:szCs w:val="20"/>
          <w:shd w:val="clear" w:color="auto" w:fill="FFFFFF"/>
        </w:rPr>
        <w:t xml:space="preserve"> al., 2025)</w:t>
      </w:r>
      <w:r w:rsidR="006D32C4" w:rsidRPr="00A66B7B">
        <w:rPr>
          <w:rFonts w:ascii="Arial" w:eastAsia="Times New Roman" w:hAnsi="Arial" w:cs="Arial"/>
          <w:sz w:val="20"/>
          <w:szCs w:val="20"/>
          <w:lang w:eastAsia="en-IN"/>
        </w:rPr>
        <w:t xml:space="preserve"> </w:t>
      </w:r>
    </w:p>
    <w:p w14:paraId="542FDB11" w14:textId="77777777" w:rsidR="00B80BBF" w:rsidRPr="00A66B7B" w:rsidRDefault="00307B22" w:rsidP="00D23D07">
      <w:pPr>
        <w:spacing w:line="240" w:lineRule="auto"/>
        <w:jc w:val="both"/>
        <w:rPr>
          <w:rFonts w:ascii="Arial" w:hAnsi="Arial" w:cs="Arial"/>
          <w:sz w:val="20"/>
          <w:szCs w:val="20"/>
          <w:lang w:val="en-GB"/>
        </w:rPr>
      </w:pPr>
      <w:bookmarkStart w:id="10" w:name="_Hlk229229268"/>
      <w:bookmarkEnd w:id="4"/>
      <w:commentRangeStart w:id="11"/>
      <w:r w:rsidRPr="00A66B7B">
        <w:rPr>
          <w:rFonts w:ascii="Arial" w:hAnsi="Arial" w:cs="Arial"/>
          <w:color w:val="000000" w:themeColor="text1"/>
          <w:sz w:val="20"/>
          <w:szCs w:val="20"/>
          <w:lang w:val="en-GB"/>
        </w:rPr>
        <w:t>One important source of phenolic compounds in our diet is herbal infusions. One significant source of antioxidants that can be employed as a dietary defense against cancer is herbal infusions.</w:t>
      </w:r>
      <w:commentRangeEnd w:id="11"/>
      <w:r w:rsidR="003C4FB1" w:rsidRPr="00A66B7B">
        <w:rPr>
          <w:rStyle w:val="CommentReference"/>
          <w:rFonts w:ascii="Arial" w:hAnsi="Arial" w:cs="Arial"/>
          <w:color w:val="000000" w:themeColor="text1"/>
          <w:sz w:val="20"/>
          <w:szCs w:val="20"/>
          <w:lang w:val="en-GB"/>
        </w:rPr>
        <w:commentReference w:id="11"/>
      </w:r>
      <w:r w:rsidRPr="00A66B7B">
        <w:rPr>
          <w:rFonts w:ascii="Arial" w:hAnsi="Arial" w:cs="Arial"/>
          <w:color w:val="000000" w:themeColor="text1"/>
          <w:sz w:val="20"/>
          <w:szCs w:val="20"/>
          <w:lang w:val="en-GB"/>
        </w:rPr>
        <w:t xml:space="preserve"> </w:t>
      </w:r>
      <w:r w:rsidR="00A60D7D" w:rsidRPr="00A66B7B">
        <w:rPr>
          <w:rFonts w:ascii="Arial" w:hAnsi="Arial" w:cs="Arial"/>
          <w:color w:val="000000" w:themeColor="text1"/>
          <w:sz w:val="20"/>
          <w:szCs w:val="20"/>
          <w:lang w:val="en-GB"/>
        </w:rPr>
        <w:t>(</w:t>
      </w:r>
      <w:r w:rsidR="00A60D7D" w:rsidRPr="00A66B7B">
        <w:rPr>
          <w:rFonts w:ascii="Arial" w:hAnsi="Arial" w:cs="Arial"/>
          <w:b/>
          <w:sz w:val="20"/>
          <w:szCs w:val="20"/>
          <w:shd w:val="clear" w:color="auto" w:fill="FFFFFF"/>
        </w:rPr>
        <w:t>ATOUI. 2005)</w:t>
      </w:r>
      <w:r w:rsidR="007872DE" w:rsidRPr="00A66B7B">
        <w:rPr>
          <w:rFonts w:ascii="Arial" w:hAnsi="Arial" w:cs="Arial"/>
          <w:color w:val="000000" w:themeColor="text1"/>
          <w:sz w:val="20"/>
          <w:szCs w:val="20"/>
          <w:lang w:val="en-GB"/>
        </w:rPr>
        <w:t xml:space="preserve">. </w:t>
      </w:r>
      <w:commentRangeStart w:id="12"/>
      <w:r w:rsidR="007872DE" w:rsidRPr="00A66B7B">
        <w:rPr>
          <w:rFonts w:ascii="Arial" w:hAnsi="Arial" w:cs="Arial"/>
          <w:color w:val="000000" w:themeColor="text1"/>
          <w:sz w:val="20"/>
          <w:szCs w:val="20"/>
          <w:lang w:val="en-GB"/>
        </w:rPr>
        <w:t>Herbal infusions are beverages made from the infusion of any herbs, spices, or other plant material in water that is not derived from the tea plant Camelia sinensis and naturally caffeine -free.</w:t>
      </w:r>
      <w:commentRangeEnd w:id="12"/>
      <w:r w:rsidR="00CA6C97" w:rsidRPr="00A66B7B">
        <w:rPr>
          <w:rStyle w:val="CommentReference"/>
          <w:rFonts w:ascii="Arial" w:hAnsi="Arial" w:cs="Arial"/>
          <w:color w:val="000000" w:themeColor="text1"/>
          <w:sz w:val="20"/>
          <w:szCs w:val="20"/>
          <w:lang w:val="en-GB"/>
        </w:rPr>
        <w:commentReference w:id="12"/>
      </w:r>
      <w:r w:rsidR="007872DE" w:rsidRPr="00A66B7B">
        <w:rPr>
          <w:rFonts w:ascii="Arial" w:hAnsi="Arial" w:cs="Arial"/>
          <w:color w:val="000000" w:themeColor="text1"/>
          <w:sz w:val="20"/>
          <w:szCs w:val="20"/>
          <w:lang w:val="en-GB"/>
        </w:rPr>
        <w:t xml:space="preserve"> These are used for hydration, flavour and medicinal purposes. The global herbal tea market is expected to reach USD 6.18 billion by 2031 from USD 4.15 billion in 2024, showing a 6.2%</w:t>
      </w:r>
      <w:r w:rsidR="00976AAA" w:rsidRPr="00A66B7B">
        <w:rPr>
          <w:rFonts w:ascii="Arial" w:hAnsi="Arial" w:cs="Arial"/>
          <w:color w:val="000000" w:themeColor="text1"/>
          <w:sz w:val="20"/>
          <w:szCs w:val="20"/>
          <w:lang w:val="en-GB"/>
        </w:rPr>
        <w:t xml:space="preserve"> </w:t>
      </w:r>
      <w:r w:rsidR="007872DE" w:rsidRPr="00A66B7B">
        <w:rPr>
          <w:rFonts w:ascii="Arial" w:hAnsi="Arial" w:cs="Arial"/>
          <w:color w:val="000000" w:themeColor="text1"/>
          <w:sz w:val="20"/>
          <w:szCs w:val="20"/>
          <w:lang w:val="en-GB"/>
        </w:rPr>
        <w:t>CAGR</w:t>
      </w:r>
      <w:r w:rsidR="00976AAA" w:rsidRPr="00A66B7B">
        <w:rPr>
          <w:rFonts w:ascii="Arial" w:hAnsi="Arial" w:cs="Arial"/>
          <w:color w:val="000000" w:themeColor="text1"/>
          <w:sz w:val="20"/>
          <w:szCs w:val="20"/>
          <w:lang w:val="en-GB"/>
        </w:rPr>
        <w:t xml:space="preserve">. </w:t>
      </w:r>
      <w:r w:rsidR="007872DE" w:rsidRPr="00A66B7B">
        <w:rPr>
          <w:rFonts w:ascii="Arial" w:hAnsi="Arial" w:cs="Arial"/>
          <w:color w:val="000000" w:themeColor="text1"/>
          <w:sz w:val="20"/>
          <w:szCs w:val="20"/>
          <w:lang w:val="en-GB"/>
        </w:rPr>
        <w:lastRenderedPageBreak/>
        <w:t>Compared to apple flesh, apple peel is helpful in the inhibition of colon cancer. Cinnamon and cardamom blends increase the antioxidant activity of infusions; as a result, more people are opting to drink herbal infusions regularly.</w:t>
      </w:r>
      <w:r w:rsidR="009F3FCE" w:rsidRPr="00A66B7B">
        <w:rPr>
          <w:rFonts w:ascii="Arial" w:hAnsi="Arial" w:cs="Arial"/>
          <w:color w:val="000000" w:themeColor="text1"/>
          <w:sz w:val="20"/>
          <w:szCs w:val="20"/>
          <w:lang w:val="en-GB"/>
        </w:rPr>
        <w:t xml:space="preserve"> </w:t>
      </w:r>
      <w:r w:rsidR="008377C7" w:rsidRPr="00A66B7B">
        <w:rPr>
          <w:rFonts w:ascii="Arial" w:hAnsi="Arial" w:cs="Arial"/>
          <w:color w:val="000000" w:themeColor="text1"/>
          <w:sz w:val="20"/>
          <w:szCs w:val="20"/>
          <w:lang w:val="en-GB"/>
        </w:rPr>
        <w:t xml:space="preserve">To improve well-being, herbal infusions could </w:t>
      </w:r>
      <w:r w:rsidR="008377C7" w:rsidRPr="00A66B7B">
        <w:rPr>
          <w:rFonts w:ascii="Arial" w:hAnsi="Arial" w:cs="Arial"/>
          <w:sz w:val="20"/>
          <w:szCs w:val="20"/>
          <w:lang w:val="en-GB"/>
        </w:rPr>
        <w:t>provide a useful supplementary approach</w:t>
      </w:r>
      <w:bookmarkEnd w:id="10"/>
      <w:r w:rsidR="008377C7" w:rsidRPr="00A66B7B">
        <w:rPr>
          <w:rFonts w:ascii="Arial" w:hAnsi="Arial" w:cs="Arial"/>
          <w:sz w:val="20"/>
          <w:szCs w:val="20"/>
          <w:lang w:val="en-GB"/>
        </w:rPr>
        <w:t>.</w:t>
      </w:r>
    </w:p>
    <w:p w14:paraId="4AF3FEE8" w14:textId="77777777" w:rsidR="00BC0386" w:rsidRPr="00A66B7B" w:rsidRDefault="00473886" w:rsidP="00D23D07">
      <w:pPr>
        <w:spacing w:line="240" w:lineRule="auto"/>
        <w:jc w:val="both"/>
        <w:rPr>
          <w:rFonts w:ascii="Arial" w:hAnsi="Arial" w:cs="Arial"/>
          <w:sz w:val="20"/>
          <w:szCs w:val="20"/>
          <w:lang w:val="en-GB"/>
        </w:rPr>
      </w:pPr>
      <w:bookmarkStart w:id="13" w:name="_Hlk229229283"/>
      <w:r w:rsidRPr="00A66B7B">
        <w:rPr>
          <w:rFonts w:ascii="Arial" w:hAnsi="Arial" w:cs="Arial"/>
          <w:sz w:val="20"/>
          <w:szCs w:val="20"/>
          <w:shd w:val="clear" w:color="auto" w:fill="FFFFFF"/>
        </w:rPr>
        <w:t>Apple peel plays a crucial role in contemporary product development methods due to its polyphenol content, which helps reduce vascular endothelial dysfunction, insulin resistance, and lipid metabolism (</w:t>
      </w:r>
      <w:r w:rsidR="00A60D7D" w:rsidRPr="00A66B7B">
        <w:rPr>
          <w:rFonts w:ascii="Arial" w:eastAsia="Times New Roman" w:hAnsi="Arial" w:cs="Arial"/>
          <w:b/>
          <w:sz w:val="20"/>
          <w:szCs w:val="20"/>
          <w:lang w:eastAsia="en-IN"/>
        </w:rPr>
        <w:t xml:space="preserve">Kainat </w:t>
      </w:r>
      <w:r w:rsidR="00A60D7D" w:rsidRPr="00A66B7B">
        <w:rPr>
          <w:rFonts w:ascii="Arial" w:eastAsia="Times New Roman" w:hAnsi="Arial" w:cs="Arial"/>
          <w:b/>
          <w:i/>
          <w:sz w:val="20"/>
          <w:szCs w:val="20"/>
          <w:lang w:eastAsia="en-IN"/>
        </w:rPr>
        <w:t>et al.,</w:t>
      </w:r>
      <w:r w:rsidR="00A60D7D" w:rsidRPr="00A66B7B">
        <w:rPr>
          <w:rFonts w:ascii="Arial" w:eastAsia="Times New Roman" w:hAnsi="Arial" w:cs="Arial"/>
          <w:b/>
          <w:sz w:val="20"/>
          <w:szCs w:val="20"/>
          <w:lang w:eastAsia="en-IN"/>
        </w:rPr>
        <w:t>2024</w:t>
      </w:r>
      <w:r w:rsidRPr="00A66B7B">
        <w:rPr>
          <w:rFonts w:ascii="Arial" w:hAnsi="Arial" w:cs="Arial"/>
          <w:sz w:val="20"/>
          <w:szCs w:val="20"/>
          <w:shd w:val="clear" w:color="auto" w:fill="FFFFFF"/>
        </w:rPr>
        <w:t xml:space="preserve">). </w:t>
      </w:r>
      <w:r w:rsidR="00F7354C" w:rsidRPr="00A66B7B">
        <w:rPr>
          <w:rFonts w:ascii="Arial" w:hAnsi="Arial" w:cs="Arial"/>
          <w:sz w:val="20"/>
          <w:szCs w:val="20"/>
          <w:shd w:val="clear" w:color="auto" w:fill="FFFFFF"/>
        </w:rPr>
        <w:t>Polyphenols found in apple peel serve as strong antioxidants and anti-inflammatory substances in the gut, which may offer protective advantages against harmful intraluminal substances and thus bolster the body's natural defen</w:t>
      </w:r>
      <w:r w:rsidR="00976AAA" w:rsidRPr="00A66B7B">
        <w:rPr>
          <w:rFonts w:ascii="Arial" w:hAnsi="Arial" w:cs="Arial"/>
          <w:sz w:val="20"/>
          <w:szCs w:val="20"/>
          <w:shd w:val="clear" w:color="auto" w:fill="FFFFFF"/>
        </w:rPr>
        <w:t>ces</w:t>
      </w:r>
      <w:r w:rsidR="00F7354C" w:rsidRPr="00A66B7B">
        <w:rPr>
          <w:rFonts w:ascii="Arial" w:hAnsi="Arial" w:cs="Arial"/>
          <w:sz w:val="20"/>
          <w:szCs w:val="20"/>
          <w:shd w:val="clear" w:color="auto" w:fill="FFFFFF"/>
        </w:rPr>
        <w:t xml:space="preserve"> against various intestinal disorders, including IBD (5). The peel of red apples is rich in Cyanidin-3-O-galactoside, an important anthocyanin pigment that gives the fruit's peel its red colo</w:t>
      </w:r>
      <w:r w:rsidR="00976AAA" w:rsidRPr="00A66B7B">
        <w:rPr>
          <w:rFonts w:ascii="Arial" w:hAnsi="Arial" w:cs="Arial"/>
          <w:sz w:val="20"/>
          <w:szCs w:val="20"/>
          <w:shd w:val="clear" w:color="auto" w:fill="FFFFFF"/>
        </w:rPr>
        <w:t>u</w:t>
      </w:r>
      <w:r w:rsidR="00F7354C" w:rsidRPr="00A66B7B">
        <w:rPr>
          <w:rFonts w:ascii="Arial" w:hAnsi="Arial" w:cs="Arial"/>
          <w:sz w:val="20"/>
          <w:szCs w:val="20"/>
          <w:shd w:val="clear" w:color="auto" w:fill="FFFFFF"/>
        </w:rPr>
        <w:t xml:space="preserve">r and shows considerable antioxidant capabilities; however, high drying temperatures can reduce the effectiveness of this compound. </w:t>
      </w:r>
      <w:r w:rsidR="004D7063" w:rsidRPr="00A66B7B">
        <w:rPr>
          <w:rFonts w:ascii="Arial" w:hAnsi="Arial" w:cs="Arial"/>
          <w:sz w:val="20"/>
          <w:szCs w:val="20"/>
          <w:shd w:val="clear" w:color="auto" w:fill="FFFFFF"/>
        </w:rPr>
        <w:t>(6)</w:t>
      </w:r>
      <w:r w:rsidR="00976AAA" w:rsidRPr="00A66B7B">
        <w:rPr>
          <w:rFonts w:ascii="Arial" w:hAnsi="Arial" w:cs="Arial"/>
          <w:sz w:val="20"/>
          <w:szCs w:val="20"/>
          <w:lang w:val="en-GB"/>
        </w:rPr>
        <w:t>.</w:t>
      </w:r>
    </w:p>
    <w:p w14:paraId="0D86DB0F" w14:textId="77777777" w:rsidR="0080534F" w:rsidRPr="00A66B7B" w:rsidRDefault="009D2FC9" w:rsidP="00D23D07">
      <w:pPr>
        <w:spacing w:after="0" w:line="240" w:lineRule="auto"/>
        <w:jc w:val="both"/>
        <w:rPr>
          <w:rFonts w:ascii="Arial" w:eastAsia="Times New Roman" w:hAnsi="Arial" w:cs="Arial"/>
          <w:sz w:val="20"/>
          <w:szCs w:val="20"/>
          <w:lang w:eastAsia="en-IN"/>
        </w:rPr>
      </w:pPr>
      <w:bookmarkStart w:id="14" w:name="_Hlk229229295"/>
      <w:bookmarkEnd w:id="13"/>
      <w:r w:rsidRPr="00A66B7B">
        <w:rPr>
          <w:rFonts w:ascii="Arial" w:eastAsia="Times New Roman" w:hAnsi="Arial" w:cs="Arial"/>
          <w:sz w:val="20"/>
          <w:szCs w:val="20"/>
          <w:lang w:eastAsia="en-IN"/>
        </w:rPr>
        <w:t>Apple peel has nutritional value, but its use in the creation of herbal infusions is still restricted. Fruit processing by-products are underutilised since the majority of commercial goods employ apple pulp or extracts instead of apple peel powder</w:t>
      </w:r>
      <w:r w:rsidR="003238AE" w:rsidRPr="00A66B7B">
        <w:rPr>
          <w:rFonts w:ascii="Arial" w:eastAsia="Times New Roman" w:hAnsi="Arial" w:cs="Arial"/>
          <w:sz w:val="20"/>
          <w:szCs w:val="20"/>
          <w:lang w:eastAsia="en-IN"/>
        </w:rPr>
        <w:t xml:space="preserve">. </w:t>
      </w:r>
      <w:r w:rsidR="00976AAA" w:rsidRPr="00A66B7B">
        <w:rPr>
          <w:rFonts w:ascii="Arial" w:hAnsi="Arial" w:cs="Arial"/>
          <w:sz w:val="20"/>
          <w:szCs w:val="20"/>
          <w:shd w:val="clear" w:color="auto" w:fill="FFFFFF"/>
        </w:rPr>
        <w:t>Apple peel powder offers nutritional benefits along with value addition to fruit processing by-products. Flavouring apple peel beverages with natural spices had a high concentration of polyphenols and anti-diabetes and anti-inflammatory properties. While previous studies have characterised the incorporation of apple peel in food items, there are no specific studies on the development of apple peel herbal infusion, and none have consistently optimised synergistic blends with cinnamon and cardamom.</w:t>
      </w:r>
      <w:r w:rsidR="00C028C1" w:rsidRPr="00A66B7B">
        <w:rPr>
          <w:rFonts w:ascii="Arial" w:hAnsi="Arial" w:cs="Arial"/>
          <w:sz w:val="20"/>
          <w:szCs w:val="20"/>
          <w:shd w:val="clear" w:color="auto" w:fill="FFFFFF"/>
        </w:rPr>
        <w:t xml:space="preserve"> </w:t>
      </w:r>
      <w:r w:rsidR="00F57A52" w:rsidRPr="00A66B7B">
        <w:rPr>
          <w:rFonts w:ascii="Arial" w:hAnsi="Arial" w:cs="Arial"/>
          <w:sz w:val="20"/>
          <w:szCs w:val="20"/>
          <w:shd w:val="clear" w:color="auto" w:fill="FFFFFF"/>
        </w:rPr>
        <w:t>Therefore</w:t>
      </w:r>
      <w:r w:rsidR="00C028C1" w:rsidRPr="00A66B7B">
        <w:rPr>
          <w:rFonts w:ascii="Arial" w:hAnsi="Arial" w:cs="Arial"/>
          <w:sz w:val="20"/>
          <w:szCs w:val="20"/>
          <w:shd w:val="clear" w:color="auto" w:fill="FFFFFF"/>
        </w:rPr>
        <w:t>,</w:t>
      </w:r>
      <w:r w:rsidR="00F57A52" w:rsidRPr="00A66B7B">
        <w:rPr>
          <w:rFonts w:ascii="Arial" w:hAnsi="Arial" w:cs="Arial"/>
          <w:sz w:val="20"/>
          <w:szCs w:val="20"/>
          <w:shd w:val="clear" w:color="auto" w:fill="FFFFFF"/>
        </w:rPr>
        <w:t xml:space="preserve"> the present study was undertaken to formulate and characterise an </w:t>
      </w:r>
      <w:r w:rsidR="00C028C1" w:rsidRPr="00A66B7B">
        <w:rPr>
          <w:rFonts w:ascii="Arial" w:hAnsi="Arial" w:cs="Arial"/>
          <w:sz w:val="20"/>
          <w:szCs w:val="20"/>
          <w:shd w:val="clear" w:color="auto" w:fill="FFFFFF"/>
        </w:rPr>
        <w:t>apple-peel-based</w:t>
      </w:r>
      <w:r w:rsidR="00F57A52" w:rsidRPr="00A66B7B">
        <w:rPr>
          <w:rFonts w:ascii="Arial" w:hAnsi="Arial" w:cs="Arial"/>
          <w:sz w:val="20"/>
          <w:szCs w:val="20"/>
          <w:shd w:val="clear" w:color="auto" w:fill="FFFFFF"/>
        </w:rPr>
        <w:t xml:space="preserve"> herbal infusion enriched with cinnamon and cardamom and to </w:t>
      </w:r>
      <w:r w:rsidR="00307B22" w:rsidRPr="00A66B7B">
        <w:rPr>
          <w:rFonts w:ascii="Arial" w:hAnsi="Arial" w:cs="Arial"/>
          <w:sz w:val="20"/>
          <w:szCs w:val="20"/>
          <w:shd w:val="clear" w:color="auto" w:fill="FFFFFF"/>
        </w:rPr>
        <w:t>assess</w:t>
      </w:r>
      <w:r w:rsidR="00F57A52" w:rsidRPr="00A66B7B">
        <w:rPr>
          <w:rFonts w:ascii="Arial" w:hAnsi="Arial" w:cs="Arial"/>
          <w:sz w:val="20"/>
          <w:szCs w:val="20"/>
          <w:shd w:val="clear" w:color="auto" w:fill="FFFFFF"/>
        </w:rPr>
        <w:t xml:space="preserve"> its sensory </w:t>
      </w:r>
      <w:r w:rsidR="00C028C1" w:rsidRPr="00A66B7B">
        <w:rPr>
          <w:rFonts w:ascii="Arial" w:hAnsi="Arial" w:cs="Arial"/>
          <w:sz w:val="20"/>
          <w:szCs w:val="20"/>
          <w:shd w:val="clear" w:color="auto" w:fill="FFFFFF"/>
        </w:rPr>
        <w:t>and functional properties.</w:t>
      </w:r>
    </w:p>
    <w:bookmarkEnd w:id="14"/>
    <w:p w14:paraId="098E7A96" w14:textId="77777777" w:rsidR="003238AE" w:rsidRPr="00A66B7B" w:rsidRDefault="003238AE" w:rsidP="00D23D07">
      <w:pPr>
        <w:spacing w:after="0" w:line="240" w:lineRule="auto"/>
        <w:jc w:val="both"/>
        <w:rPr>
          <w:rFonts w:ascii="Arial" w:eastAsia="Times New Roman" w:hAnsi="Arial" w:cs="Arial"/>
          <w:sz w:val="20"/>
          <w:szCs w:val="20"/>
          <w:lang w:eastAsia="en-IN"/>
        </w:rPr>
      </w:pPr>
    </w:p>
    <w:p w14:paraId="3A017F72" w14:textId="77777777" w:rsidR="00976AAA" w:rsidRPr="00A66B7B" w:rsidRDefault="00976AAA" w:rsidP="00D23D07">
      <w:pPr>
        <w:spacing w:line="240" w:lineRule="auto"/>
        <w:jc w:val="both"/>
        <w:rPr>
          <w:rFonts w:ascii="Arial" w:hAnsi="Arial" w:cs="Arial"/>
          <w:sz w:val="20"/>
          <w:szCs w:val="20"/>
          <w:lang w:val="en-GB"/>
        </w:rPr>
      </w:pPr>
      <w:bookmarkStart w:id="15" w:name="_Hlk229229317"/>
      <w:r w:rsidRPr="00A66B7B">
        <w:rPr>
          <w:rFonts w:ascii="Arial" w:hAnsi="Arial" w:cs="Arial"/>
          <w:sz w:val="20"/>
          <w:szCs w:val="20"/>
          <w:lang w:val="en-GB"/>
        </w:rPr>
        <w:t>To maximise the health benefit of herbal infusion, adding cinnamon imparts a warm, sweet, spicy taste and cardamom gives a pleasant, aromatic, and sweet flavour. Both spices possess important bioactive compounds with antioxidant and antimicrobial properties</w:t>
      </w:r>
      <w:r w:rsidR="00C028C1" w:rsidRPr="00A66B7B">
        <w:rPr>
          <w:rFonts w:ascii="Arial" w:hAnsi="Arial" w:cs="Arial"/>
          <w:sz w:val="20"/>
          <w:szCs w:val="20"/>
          <w:lang w:val="en-GB"/>
        </w:rPr>
        <w:t>,</w:t>
      </w:r>
      <w:r w:rsidRPr="00A66B7B">
        <w:rPr>
          <w:rFonts w:ascii="Arial" w:hAnsi="Arial" w:cs="Arial"/>
          <w:sz w:val="20"/>
          <w:szCs w:val="20"/>
          <w:lang w:val="en-GB"/>
        </w:rPr>
        <w:t xml:space="preserve"> which enhance the functional value of the beverage. </w:t>
      </w:r>
      <w:r w:rsidR="00307B22" w:rsidRPr="00A66B7B">
        <w:rPr>
          <w:rFonts w:ascii="Arial" w:hAnsi="Arial" w:cs="Arial"/>
          <w:sz w:val="20"/>
          <w:szCs w:val="20"/>
        </w:rPr>
        <w:t>Cinnamon aids in digestion, promotes good circulation, and provides a relaxing effect</w:t>
      </w:r>
      <w:r w:rsidRPr="00A66B7B">
        <w:rPr>
          <w:rFonts w:ascii="Arial" w:hAnsi="Arial" w:cs="Arial"/>
          <w:sz w:val="20"/>
          <w:szCs w:val="20"/>
          <w:lang w:val="en-GB"/>
        </w:rPr>
        <w:t>, while cardamom helps in improving digestion, reducing bloating and gastric discomfort. Combining apple peel powder with cinnamon and cardamom improves both functional and therapeutic value</w:t>
      </w:r>
      <w:r w:rsidR="0080534F" w:rsidRPr="00A66B7B">
        <w:rPr>
          <w:rFonts w:ascii="Arial" w:hAnsi="Arial" w:cs="Arial"/>
          <w:sz w:val="20"/>
          <w:szCs w:val="20"/>
          <w:lang w:val="en-GB"/>
        </w:rPr>
        <w:t>.</w:t>
      </w:r>
    </w:p>
    <w:p w14:paraId="6682FFAB" w14:textId="77777777" w:rsidR="00D23D07" w:rsidRPr="00A66B7B" w:rsidRDefault="00ED0092" w:rsidP="00D23D07">
      <w:pPr>
        <w:spacing w:line="240" w:lineRule="auto"/>
        <w:jc w:val="both"/>
        <w:rPr>
          <w:rFonts w:ascii="Arial" w:hAnsi="Arial" w:cs="Arial"/>
          <w:sz w:val="20"/>
          <w:szCs w:val="20"/>
          <w:lang w:val="en-GB"/>
        </w:rPr>
      </w:pPr>
      <w:bookmarkStart w:id="16" w:name="_Hlk229229329"/>
      <w:bookmarkEnd w:id="15"/>
      <w:r w:rsidRPr="00A66B7B">
        <w:rPr>
          <w:rFonts w:ascii="Arial" w:hAnsi="Arial" w:cs="Arial"/>
          <w:sz w:val="20"/>
          <w:szCs w:val="20"/>
          <w:lang w:val="en-GB"/>
        </w:rPr>
        <w:t>This research highlights the effective use of apple peel</w:t>
      </w:r>
      <w:r w:rsidR="00C028C1" w:rsidRPr="00A66B7B">
        <w:rPr>
          <w:rFonts w:ascii="Arial" w:hAnsi="Arial" w:cs="Arial"/>
          <w:sz w:val="20"/>
          <w:szCs w:val="20"/>
          <w:lang w:val="en-GB"/>
        </w:rPr>
        <w:t>,</w:t>
      </w:r>
      <w:r w:rsidRPr="00A66B7B">
        <w:rPr>
          <w:rFonts w:ascii="Arial" w:hAnsi="Arial" w:cs="Arial"/>
          <w:sz w:val="20"/>
          <w:szCs w:val="20"/>
          <w:lang w:val="en-GB"/>
        </w:rPr>
        <w:t xml:space="preserve"> a by-product of fruit processing</w:t>
      </w:r>
      <w:r w:rsidR="00C028C1" w:rsidRPr="00A66B7B">
        <w:rPr>
          <w:rFonts w:ascii="Arial" w:hAnsi="Arial" w:cs="Arial"/>
          <w:sz w:val="20"/>
          <w:szCs w:val="20"/>
          <w:lang w:val="en-GB"/>
        </w:rPr>
        <w:t>,</w:t>
      </w:r>
      <w:r w:rsidRPr="00A66B7B">
        <w:rPr>
          <w:rFonts w:ascii="Arial" w:hAnsi="Arial" w:cs="Arial"/>
          <w:sz w:val="20"/>
          <w:szCs w:val="20"/>
          <w:lang w:val="en-GB"/>
        </w:rPr>
        <w:t xml:space="preserve"> along with cinnamon and cardamom in developing a functional herbal infusion with nutritional antioxidant properties for consumers. It also encourages sustainable by-product utilisation and creates scope for the food industry to produce innovative value-added beverage products. The objective of the study was to develop and characterise an apple peel herbal infusion enriched with cinnamon and cardamom.</w:t>
      </w:r>
      <w:bookmarkEnd w:id="16"/>
      <w:r w:rsidRPr="00A66B7B">
        <w:rPr>
          <w:rFonts w:ascii="Arial" w:hAnsi="Arial" w:cs="Arial"/>
          <w:sz w:val="20"/>
          <w:szCs w:val="20"/>
          <w:lang w:val="en-GB"/>
        </w:rPr>
        <w:t xml:space="preserve"> </w:t>
      </w:r>
    </w:p>
    <w:p w14:paraId="4A97395C" w14:textId="77777777" w:rsidR="00D23D07" w:rsidRPr="00A66B7B" w:rsidRDefault="00D23D07" w:rsidP="00D23D07">
      <w:pPr>
        <w:spacing w:line="240" w:lineRule="auto"/>
        <w:jc w:val="both"/>
        <w:rPr>
          <w:rFonts w:ascii="Arial" w:hAnsi="Arial" w:cs="Arial"/>
          <w:sz w:val="20"/>
          <w:szCs w:val="20"/>
          <w:lang w:val="en-GB"/>
        </w:rPr>
      </w:pPr>
    </w:p>
    <w:p w14:paraId="26804A07" w14:textId="77777777" w:rsidR="00D23D07" w:rsidRPr="00A66B7B" w:rsidRDefault="00D23D07" w:rsidP="00D23D07">
      <w:pPr>
        <w:spacing w:line="240" w:lineRule="auto"/>
        <w:jc w:val="both"/>
        <w:rPr>
          <w:rFonts w:ascii="Arial" w:hAnsi="Arial" w:cs="Arial"/>
          <w:sz w:val="20"/>
          <w:szCs w:val="20"/>
          <w:lang w:val="en-GB"/>
        </w:rPr>
      </w:pPr>
      <w:r w:rsidRPr="00A66B7B">
        <w:rPr>
          <w:rFonts w:ascii="Arial" w:hAnsi="Arial" w:cs="Arial"/>
          <w:b/>
        </w:rPr>
        <w:t xml:space="preserve"> 2. MATERIALS AND METHODS</w:t>
      </w:r>
    </w:p>
    <w:p w14:paraId="22A4AC96" w14:textId="77777777" w:rsidR="00D23D07" w:rsidRPr="00A66B7B" w:rsidRDefault="00D23D07" w:rsidP="00D23D07">
      <w:pPr>
        <w:pStyle w:val="NormalWeb"/>
        <w:jc w:val="both"/>
        <w:rPr>
          <w:rStyle w:val="Strong"/>
          <w:rFonts w:ascii="Arial" w:hAnsi="Arial" w:cs="Arial"/>
          <w:sz w:val="22"/>
          <w:szCs w:val="22"/>
        </w:rPr>
      </w:pPr>
      <w:r w:rsidRPr="00A66B7B">
        <w:rPr>
          <w:rStyle w:val="Strong"/>
          <w:rFonts w:ascii="Arial" w:hAnsi="Arial" w:cs="Arial"/>
          <w:sz w:val="22"/>
          <w:szCs w:val="22"/>
        </w:rPr>
        <w:t xml:space="preserve"> </w:t>
      </w:r>
      <w:bookmarkStart w:id="17" w:name="_Hlk229229441"/>
      <w:r w:rsidRPr="00A66B7B">
        <w:rPr>
          <w:rStyle w:val="Strong"/>
          <w:rFonts w:ascii="Arial" w:hAnsi="Arial" w:cs="Arial"/>
          <w:sz w:val="22"/>
          <w:szCs w:val="22"/>
        </w:rPr>
        <w:t xml:space="preserve">2.1 </w:t>
      </w:r>
      <w:r w:rsidR="00E51CCB" w:rsidRPr="00A66B7B">
        <w:rPr>
          <w:rStyle w:val="Strong"/>
          <w:rFonts w:ascii="Arial" w:hAnsi="Arial" w:cs="Arial"/>
          <w:sz w:val="22"/>
          <w:szCs w:val="22"/>
        </w:rPr>
        <w:t>Sample Preparation</w:t>
      </w:r>
    </w:p>
    <w:p w14:paraId="227DB941" w14:textId="77777777" w:rsidR="00D23D07" w:rsidRPr="00A66B7B" w:rsidRDefault="00D23D07" w:rsidP="00D23D07">
      <w:pPr>
        <w:pStyle w:val="NormalWeb"/>
        <w:jc w:val="both"/>
        <w:rPr>
          <w:rFonts w:ascii="Arial" w:hAnsi="Arial" w:cs="Arial"/>
          <w:b/>
          <w:bCs/>
          <w:sz w:val="22"/>
          <w:szCs w:val="22"/>
        </w:rPr>
      </w:pPr>
      <w:r w:rsidRPr="00A66B7B">
        <w:rPr>
          <w:rFonts w:ascii="Arial" w:hAnsi="Arial" w:cs="Arial"/>
          <w:b/>
          <w:sz w:val="20"/>
          <w:szCs w:val="20"/>
          <w:u w:val="single"/>
        </w:rPr>
        <w:t xml:space="preserve"> 2.1.1</w:t>
      </w:r>
      <w:r w:rsidR="00E51CCB" w:rsidRPr="00A66B7B">
        <w:rPr>
          <w:rFonts w:ascii="Arial" w:hAnsi="Arial" w:cs="Arial"/>
          <w:b/>
          <w:sz w:val="20"/>
          <w:szCs w:val="20"/>
          <w:u w:val="single"/>
        </w:rPr>
        <w:t xml:space="preserve"> </w:t>
      </w:r>
      <w:r w:rsidRPr="00A66B7B">
        <w:rPr>
          <w:rFonts w:ascii="Arial" w:hAnsi="Arial" w:cs="Arial"/>
          <w:b/>
          <w:sz w:val="20"/>
          <w:szCs w:val="20"/>
          <w:u w:val="single"/>
        </w:rPr>
        <w:t xml:space="preserve"> P</w:t>
      </w:r>
      <w:r w:rsidR="00307B22" w:rsidRPr="00A66B7B">
        <w:rPr>
          <w:rFonts w:ascii="Arial" w:hAnsi="Arial" w:cs="Arial"/>
          <w:b/>
          <w:sz w:val="20"/>
          <w:szCs w:val="20"/>
          <w:u w:val="single"/>
        </w:rPr>
        <w:t>rocessing</w:t>
      </w:r>
      <w:r w:rsidRPr="00A66B7B">
        <w:rPr>
          <w:rFonts w:ascii="Arial" w:hAnsi="Arial" w:cs="Arial"/>
          <w:b/>
          <w:sz w:val="20"/>
          <w:szCs w:val="20"/>
          <w:u w:val="single"/>
        </w:rPr>
        <w:t xml:space="preserve"> of Apple peel powder, cinnamon powder, and cardamom powder</w:t>
      </w:r>
    </w:p>
    <w:p w14:paraId="4C38C662" w14:textId="77777777" w:rsidR="00D23D07" w:rsidRPr="00A66B7B" w:rsidRDefault="00D23D07" w:rsidP="00D23D07">
      <w:pPr>
        <w:pStyle w:val="NormalWeb"/>
        <w:jc w:val="both"/>
        <w:rPr>
          <w:rFonts w:ascii="Arial" w:hAnsi="Arial" w:cs="Arial"/>
          <w:sz w:val="20"/>
          <w:szCs w:val="20"/>
        </w:rPr>
      </w:pPr>
      <w:commentRangeStart w:id="18"/>
      <w:r w:rsidRPr="00A66B7B">
        <w:rPr>
          <w:rFonts w:ascii="Arial" w:hAnsi="Arial" w:cs="Arial"/>
          <w:sz w:val="20"/>
          <w:szCs w:val="20"/>
        </w:rPr>
        <w:t>Apples</w:t>
      </w:r>
      <w:commentRangeEnd w:id="18"/>
      <w:r w:rsidR="00CA6C97" w:rsidRPr="00A66B7B">
        <w:rPr>
          <w:rStyle w:val="CommentReference"/>
          <w:rFonts w:ascii="Arial" w:hAnsi="Arial" w:cs="Arial"/>
          <w:sz w:val="20"/>
          <w:szCs w:val="20"/>
        </w:rPr>
        <w:commentReference w:id="18"/>
      </w:r>
      <w:r w:rsidRPr="00A66B7B">
        <w:rPr>
          <w:rFonts w:ascii="Arial" w:hAnsi="Arial" w:cs="Arial"/>
          <w:sz w:val="20"/>
          <w:szCs w:val="20"/>
        </w:rPr>
        <w:t xml:space="preserve"> were washed with clean water for the first time</w:t>
      </w:r>
      <w:r w:rsidR="00900E55" w:rsidRPr="00A66B7B">
        <w:rPr>
          <w:rFonts w:ascii="Arial" w:hAnsi="Arial" w:cs="Arial"/>
          <w:sz w:val="20"/>
          <w:szCs w:val="20"/>
        </w:rPr>
        <w:t xml:space="preserve">, then </w:t>
      </w:r>
      <w:r w:rsidRPr="00A66B7B">
        <w:rPr>
          <w:rFonts w:ascii="Arial" w:hAnsi="Arial" w:cs="Arial"/>
          <w:sz w:val="20"/>
          <w:szCs w:val="20"/>
        </w:rPr>
        <w:t xml:space="preserve">with distilled water, and their peels were removed. Apple peel powder (APP) was prepared by drying the apple peel in a dehydrator at 60°C for 10-12 hours. Cinnamon </w:t>
      </w:r>
      <w:r w:rsidR="00900E55" w:rsidRPr="00A66B7B">
        <w:rPr>
          <w:rFonts w:ascii="Arial" w:hAnsi="Arial" w:cs="Arial"/>
          <w:sz w:val="20"/>
          <w:szCs w:val="20"/>
        </w:rPr>
        <w:t xml:space="preserve">and cardamom powders were prepared by drying </w:t>
      </w:r>
      <w:commentRangeStart w:id="19"/>
      <w:r w:rsidR="00900E55" w:rsidRPr="00A66B7B">
        <w:rPr>
          <w:rFonts w:ascii="Arial" w:hAnsi="Arial" w:cs="Arial"/>
          <w:sz w:val="20"/>
          <w:szCs w:val="20"/>
        </w:rPr>
        <w:t>it</w:t>
      </w:r>
      <w:commentRangeEnd w:id="19"/>
      <w:r w:rsidR="00CA6C97" w:rsidRPr="00A66B7B">
        <w:rPr>
          <w:rStyle w:val="CommentReference"/>
          <w:rFonts w:ascii="Arial" w:hAnsi="Arial" w:cs="Arial"/>
          <w:sz w:val="20"/>
          <w:szCs w:val="20"/>
        </w:rPr>
        <w:commentReference w:id="19"/>
      </w:r>
      <w:r w:rsidR="00900E55" w:rsidRPr="00A66B7B">
        <w:rPr>
          <w:rFonts w:ascii="Arial" w:hAnsi="Arial" w:cs="Arial"/>
          <w:sz w:val="20"/>
          <w:szCs w:val="20"/>
        </w:rPr>
        <w:t xml:space="preserve"> in a dehydrator at a temperature of 50</w:t>
      </w:r>
      <w:r w:rsidR="00900E55" w:rsidRPr="00A66B7B">
        <w:rPr>
          <w:rFonts w:ascii="Courier New" w:hAnsi="Courier New" w:cs="Courier New"/>
          <w:sz w:val="20"/>
          <w:szCs w:val="20"/>
        </w:rPr>
        <w:t>°</w:t>
      </w:r>
      <w:r w:rsidR="00900E55" w:rsidRPr="00A66B7B">
        <w:rPr>
          <w:rFonts w:ascii="Arial" w:hAnsi="Arial" w:cs="Arial"/>
          <w:sz w:val="20"/>
          <w:szCs w:val="20"/>
        </w:rPr>
        <w:t>C (7).</w:t>
      </w:r>
    </w:p>
    <w:bookmarkEnd w:id="17"/>
    <w:p w14:paraId="391F7A4A" w14:textId="77777777" w:rsidR="00D23D07" w:rsidRPr="00A66B7B" w:rsidRDefault="00D23D07" w:rsidP="00D23D07">
      <w:pPr>
        <w:pStyle w:val="NormalWeb"/>
        <w:jc w:val="both"/>
        <w:rPr>
          <w:rFonts w:ascii="Arial" w:hAnsi="Arial" w:cs="Arial"/>
          <w:b/>
          <w:sz w:val="22"/>
          <w:szCs w:val="22"/>
        </w:rPr>
      </w:pPr>
    </w:p>
    <w:p w14:paraId="07A336D0" w14:textId="77777777" w:rsidR="00F724C8" w:rsidRPr="00A66B7B" w:rsidRDefault="00F724C8" w:rsidP="00D23D07">
      <w:pPr>
        <w:pStyle w:val="NormalWeb"/>
        <w:jc w:val="both"/>
        <w:rPr>
          <w:rFonts w:ascii="Arial" w:hAnsi="Arial" w:cs="Arial"/>
          <w:b/>
          <w:sz w:val="22"/>
          <w:szCs w:val="22"/>
        </w:rPr>
      </w:pPr>
      <w:bookmarkStart w:id="20" w:name="_Hlk229229460"/>
    </w:p>
    <w:p w14:paraId="1B7A7972" w14:textId="77777777" w:rsidR="00D23D07" w:rsidRPr="00A66B7B" w:rsidRDefault="00D23D07" w:rsidP="00D23D07">
      <w:pPr>
        <w:pStyle w:val="NormalWeb"/>
        <w:jc w:val="both"/>
        <w:rPr>
          <w:rFonts w:ascii="Arial" w:hAnsi="Arial" w:cs="Arial"/>
          <w:b/>
          <w:sz w:val="22"/>
          <w:szCs w:val="22"/>
        </w:rPr>
      </w:pPr>
      <w:r w:rsidRPr="00A66B7B">
        <w:rPr>
          <w:rFonts w:ascii="Arial" w:hAnsi="Arial" w:cs="Arial"/>
          <w:b/>
          <w:sz w:val="22"/>
          <w:szCs w:val="22"/>
        </w:rPr>
        <w:t>2.2 Formulation and Preparation of Herbal Infusion</w:t>
      </w:r>
    </w:p>
    <w:p w14:paraId="4491C083" w14:textId="77777777" w:rsidR="00D23D07" w:rsidRPr="00A66B7B" w:rsidRDefault="00D23D07" w:rsidP="00D23D07">
      <w:pPr>
        <w:pStyle w:val="NormalWeb"/>
        <w:jc w:val="both"/>
        <w:rPr>
          <w:rFonts w:ascii="Arial" w:hAnsi="Arial" w:cs="Arial"/>
          <w:b/>
          <w:sz w:val="20"/>
          <w:szCs w:val="20"/>
          <w:u w:val="single"/>
        </w:rPr>
      </w:pPr>
      <w:r w:rsidRPr="00A66B7B">
        <w:rPr>
          <w:rFonts w:ascii="Arial" w:hAnsi="Arial" w:cs="Arial"/>
          <w:b/>
          <w:sz w:val="20"/>
          <w:szCs w:val="20"/>
          <w:u w:val="single"/>
        </w:rPr>
        <w:t>2.2.1 Selection of Ingredients</w:t>
      </w:r>
    </w:p>
    <w:p w14:paraId="269340FA" w14:textId="77777777" w:rsidR="00D23D07" w:rsidRDefault="00D23D07" w:rsidP="00D23D07">
      <w:pPr>
        <w:spacing w:after="0" w:line="240" w:lineRule="auto"/>
        <w:jc w:val="both"/>
        <w:rPr>
          <w:rFonts w:ascii="Arial" w:eastAsia="Times New Roman" w:hAnsi="Arial" w:cs="Arial"/>
          <w:sz w:val="20"/>
          <w:szCs w:val="20"/>
          <w:lang w:eastAsia="en-IN"/>
        </w:rPr>
      </w:pPr>
      <w:commentRangeStart w:id="21"/>
      <w:r w:rsidRPr="00A66B7B">
        <w:rPr>
          <w:rFonts w:ascii="Arial" w:eastAsia="Times New Roman" w:hAnsi="Arial" w:cs="Arial"/>
          <w:sz w:val="20"/>
          <w:szCs w:val="20"/>
          <w:lang w:eastAsia="en-IN"/>
        </w:rPr>
        <w:t xml:space="preserve">The amounts of apple peel powder, cinnamon, and cardamom were varied to create several herbal infusion formulations. Selection of the ingredients is based on their nutritional and antioxidant properties. The raw materials used for the preparation of herbal infusion were collected from the local market of Lucknow and Kerala. To standardise the formulation based on sensory characteristics, preliminary trials were carried out. </w:t>
      </w:r>
      <w:commentRangeEnd w:id="21"/>
      <w:r w:rsidR="004A0260">
        <w:rPr>
          <w:rStyle w:val="CommentReference"/>
          <w:rFonts w:ascii="Arial" w:eastAsia="Times New Roman" w:hAnsi="Arial" w:cs="Arial"/>
          <w:sz w:val="20"/>
          <w:szCs w:val="20"/>
          <w:lang w:eastAsia="en-IN"/>
        </w:rPr>
        <w:commentReference w:id="21"/>
      </w:r>
    </w:p>
    <w:p w14:paraId="377EBC4B" w14:textId="77777777" w:rsidR="00DA473D" w:rsidRDefault="00DA473D" w:rsidP="00D23D07">
      <w:pPr>
        <w:spacing w:after="0" w:line="240" w:lineRule="auto"/>
        <w:jc w:val="both"/>
        <w:rPr>
          <w:rFonts w:ascii="Arial" w:eastAsia="Times New Roman" w:hAnsi="Arial" w:cs="Arial"/>
          <w:sz w:val="20"/>
          <w:szCs w:val="20"/>
          <w:lang w:eastAsia="en-IN"/>
        </w:rPr>
      </w:pPr>
    </w:p>
    <w:p w14:paraId="6AC2149B" w14:textId="77777777" w:rsidR="00DA473D" w:rsidRDefault="00DA473D" w:rsidP="00D23D07">
      <w:pPr>
        <w:spacing w:after="0" w:line="240" w:lineRule="auto"/>
        <w:jc w:val="both"/>
        <w:rPr>
          <w:rFonts w:ascii="Arial" w:eastAsia="Times New Roman" w:hAnsi="Arial" w:cs="Arial"/>
          <w:sz w:val="20"/>
          <w:szCs w:val="20"/>
          <w:lang w:eastAsia="en-IN"/>
        </w:rPr>
      </w:pPr>
    </w:p>
    <w:p w14:paraId="5C4AF8F2" w14:textId="77777777" w:rsidR="00DA473D" w:rsidRPr="00A66B7B" w:rsidRDefault="00DA473D" w:rsidP="00D23D07">
      <w:pPr>
        <w:spacing w:after="0" w:line="240" w:lineRule="auto"/>
        <w:jc w:val="both"/>
        <w:rPr>
          <w:rFonts w:ascii="Arial" w:eastAsia="Times New Roman" w:hAnsi="Arial" w:cs="Arial"/>
          <w:sz w:val="20"/>
          <w:szCs w:val="20"/>
          <w:lang w:eastAsia="en-IN"/>
        </w:rPr>
      </w:pPr>
    </w:p>
    <w:p w14:paraId="7A30730F" w14:textId="77777777" w:rsidR="00D23D07" w:rsidRPr="00A66B7B" w:rsidRDefault="00D23D07" w:rsidP="00D23D07">
      <w:pPr>
        <w:spacing w:after="0" w:line="240" w:lineRule="auto"/>
        <w:jc w:val="both"/>
        <w:rPr>
          <w:rFonts w:ascii="Arial" w:eastAsia="Times New Roman" w:hAnsi="Arial" w:cs="Arial"/>
          <w:b/>
          <w:sz w:val="20"/>
          <w:szCs w:val="20"/>
          <w:u w:val="single"/>
          <w:lang w:eastAsia="en-IN"/>
        </w:rPr>
      </w:pPr>
    </w:p>
    <w:p w14:paraId="2FBB0827" w14:textId="77777777" w:rsidR="00D23D07" w:rsidRPr="00A66B7B" w:rsidRDefault="00D23D07" w:rsidP="00D23D07">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lastRenderedPageBreak/>
        <w:t>2.2.2 Formulation of Herbal Infusion</w:t>
      </w:r>
    </w:p>
    <w:p w14:paraId="353483D4" w14:textId="77777777" w:rsidR="00D23D07" w:rsidRPr="00A66B7B" w:rsidRDefault="00D23D07" w:rsidP="00D23D07">
      <w:pPr>
        <w:spacing w:after="0" w:line="240" w:lineRule="auto"/>
        <w:jc w:val="both"/>
        <w:rPr>
          <w:rFonts w:ascii="Arial" w:eastAsia="Times New Roman" w:hAnsi="Arial" w:cs="Arial"/>
          <w:b/>
          <w:sz w:val="20"/>
          <w:szCs w:val="20"/>
          <w:u w:val="single"/>
          <w:lang w:eastAsia="en-IN"/>
        </w:rPr>
      </w:pPr>
    </w:p>
    <w:p w14:paraId="3AB236AE" w14:textId="77777777" w:rsidR="00D23D07" w:rsidRPr="00A66B7B" w:rsidRDefault="00D23D07" w:rsidP="00D23D07">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Different formulations of herbal infusion were prepared by varying the proportion of apple peel powder, cinnamon powder, and cardamom powder. To create homogenous blends, the ingredients were weighed in various ratios and thoroughly combined: APPs (100%-70%), cinnamon (20%-0%), and cardamom (10%-0%). Five different formulations were obtained from this and presented in Table 2.1.</w:t>
      </w:r>
    </w:p>
    <w:p w14:paraId="61E882CE" w14:textId="77777777" w:rsidR="00DB2147" w:rsidRPr="00A66B7B" w:rsidRDefault="00DB2147" w:rsidP="00D23D07">
      <w:pPr>
        <w:spacing w:after="0" w:line="240" w:lineRule="auto"/>
        <w:jc w:val="both"/>
        <w:rPr>
          <w:rFonts w:ascii="Arial" w:eastAsia="Times New Roman" w:hAnsi="Arial" w:cs="Arial"/>
          <w:sz w:val="20"/>
          <w:szCs w:val="20"/>
          <w:lang w:eastAsia="en-IN"/>
        </w:rPr>
      </w:pPr>
    </w:p>
    <w:p w14:paraId="2FEF119F" w14:textId="77777777" w:rsidR="00851A81" w:rsidRPr="00A66B7B" w:rsidRDefault="00DB2147" w:rsidP="00D23D07">
      <w:pPr>
        <w:spacing w:after="0" w:line="240" w:lineRule="auto"/>
        <w:jc w:val="both"/>
        <w:rPr>
          <w:rFonts w:ascii="Arial" w:eastAsia="Times New Roman" w:hAnsi="Arial" w:cs="Arial"/>
          <w:b/>
          <w:sz w:val="20"/>
          <w:szCs w:val="20"/>
          <w:lang w:eastAsia="en-IN"/>
        </w:rPr>
      </w:pPr>
      <w:r w:rsidRPr="00A66B7B">
        <w:rPr>
          <w:rFonts w:ascii="Arial" w:eastAsia="Times New Roman" w:hAnsi="Arial" w:cs="Arial"/>
          <w:b/>
          <w:sz w:val="20"/>
          <w:szCs w:val="20"/>
          <w:lang w:eastAsia="en-IN"/>
        </w:rPr>
        <w:t xml:space="preserve">              </w:t>
      </w:r>
      <w:r w:rsidR="00851A81" w:rsidRPr="00A66B7B">
        <w:rPr>
          <w:rFonts w:ascii="Arial" w:eastAsia="Times New Roman" w:hAnsi="Arial" w:cs="Arial"/>
          <w:b/>
          <w:sz w:val="20"/>
          <w:szCs w:val="20"/>
          <w:lang w:eastAsia="en-IN"/>
        </w:rPr>
        <w:t xml:space="preserve">                    </w:t>
      </w:r>
    </w:p>
    <w:p w14:paraId="0183D31D" w14:textId="77777777" w:rsidR="00D23D07" w:rsidRPr="00A66B7B" w:rsidRDefault="00851A81" w:rsidP="00D23D07">
      <w:pPr>
        <w:spacing w:after="0" w:line="240" w:lineRule="auto"/>
        <w:jc w:val="both"/>
        <w:rPr>
          <w:rFonts w:ascii="Arial" w:eastAsia="Times New Roman" w:hAnsi="Arial" w:cs="Arial"/>
          <w:b/>
          <w:sz w:val="20"/>
          <w:szCs w:val="20"/>
          <w:lang w:eastAsia="en-IN"/>
        </w:rPr>
      </w:pPr>
      <w:r w:rsidRPr="00A66B7B">
        <w:rPr>
          <w:rFonts w:ascii="Arial" w:eastAsia="Times New Roman" w:hAnsi="Arial" w:cs="Arial"/>
          <w:b/>
          <w:sz w:val="20"/>
          <w:szCs w:val="20"/>
          <w:lang w:eastAsia="en-IN"/>
        </w:rPr>
        <w:t xml:space="preserve">                                      </w:t>
      </w:r>
      <w:commentRangeStart w:id="22"/>
      <w:r w:rsidR="00DB2147" w:rsidRPr="00A66B7B">
        <w:rPr>
          <w:rFonts w:ascii="Arial" w:eastAsia="Times New Roman" w:hAnsi="Arial" w:cs="Arial"/>
          <w:b/>
          <w:sz w:val="20"/>
          <w:szCs w:val="20"/>
          <w:lang w:eastAsia="en-IN"/>
        </w:rPr>
        <w:t>Table</w:t>
      </w:r>
      <w:r w:rsidR="00FF4A8C" w:rsidRPr="00A66B7B">
        <w:rPr>
          <w:rFonts w:ascii="Arial" w:eastAsia="Times New Roman" w:hAnsi="Arial" w:cs="Arial"/>
          <w:b/>
          <w:sz w:val="20"/>
          <w:szCs w:val="20"/>
          <w:lang w:eastAsia="en-IN"/>
        </w:rPr>
        <w:t xml:space="preserve"> 1.     </w:t>
      </w:r>
      <w:r w:rsidR="00DB2147" w:rsidRPr="00A66B7B">
        <w:rPr>
          <w:rFonts w:ascii="Arial" w:eastAsia="Times New Roman" w:hAnsi="Arial" w:cs="Arial"/>
          <w:b/>
          <w:sz w:val="20"/>
          <w:szCs w:val="20"/>
          <w:lang w:eastAsia="en-IN"/>
        </w:rPr>
        <w:t xml:space="preserve"> Formulations of Herbal Infusion</w:t>
      </w:r>
      <w:bookmarkEnd w:id="20"/>
      <w:commentRangeEnd w:id="22"/>
      <w:r w:rsidR="004A0260" w:rsidRPr="00A66B7B">
        <w:rPr>
          <w:rStyle w:val="CommentReference"/>
          <w:rFonts w:ascii="Arial" w:eastAsia="Times New Roman" w:hAnsi="Arial" w:cs="Arial"/>
          <w:b/>
          <w:sz w:val="20"/>
          <w:szCs w:val="20"/>
          <w:lang w:eastAsia="en-IN"/>
        </w:rPr>
        <w:commentReference w:id="22"/>
      </w:r>
    </w:p>
    <w:p w14:paraId="3946A48D" w14:textId="77777777" w:rsidR="00851A81" w:rsidRPr="00A66B7B" w:rsidRDefault="00851A81">
      <w:pPr>
        <w:rPr>
          <w:rFonts w:ascii="Arial" w:hAnsi="Arial" w:cs="Arial"/>
          <w:sz w:val="20"/>
          <w:szCs w:val="20"/>
        </w:rPr>
      </w:pPr>
    </w:p>
    <w:tbl>
      <w:tblPr>
        <w:tblW w:w="6296" w:type="dxa"/>
        <w:tblInd w:w="1642" w:type="dxa"/>
        <w:tblBorders>
          <w:top w:val="single" w:sz="4" w:space="0" w:color="auto"/>
          <w:bottom w:val="single" w:sz="4" w:space="0" w:color="auto"/>
          <w:insideH w:val="single" w:sz="4" w:space="0" w:color="auto"/>
        </w:tblBorders>
        <w:tblLook w:val="01E0" w:firstRow="1" w:lastRow="1" w:firstColumn="1" w:lastColumn="1" w:noHBand="0" w:noVBand="0"/>
      </w:tblPr>
      <w:tblGrid>
        <w:gridCol w:w="1280"/>
        <w:gridCol w:w="1387"/>
        <w:gridCol w:w="94"/>
        <w:gridCol w:w="1292"/>
        <w:gridCol w:w="1366"/>
        <w:gridCol w:w="642"/>
        <w:gridCol w:w="235"/>
      </w:tblGrid>
      <w:tr w:rsidR="00206365" w:rsidRPr="00A66B7B" w14:paraId="08C7682F" w14:textId="77777777" w:rsidTr="00206365">
        <w:trPr>
          <w:trHeight w:val="561"/>
        </w:trPr>
        <w:tc>
          <w:tcPr>
            <w:tcW w:w="1290" w:type="dxa"/>
            <w:tcBorders>
              <w:bottom w:val="single" w:sz="4" w:space="0" w:color="auto"/>
            </w:tcBorders>
          </w:tcPr>
          <w:p w14:paraId="662384B9" w14:textId="77777777" w:rsidR="00B40AA2" w:rsidRPr="00A66B7B" w:rsidRDefault="00B40AA2" w:rsidP="003E2BB2">
            <w:pPr>
              <w:jc w:val="both"/>
              <w:rPr>
                <w:rFonts w:ascii="Arial" w:hAnsi="Arial"/>
                <w:b/>
                <w:bCs/>
              </w:rPr>
            </w:pPr>
            <w:r w:rsidRPr="00A66B7B">
              <w:rPr>
                <w:rFonts w:ascii="Arial" w:hAnsi="Arial"/>
                <w:b/>
                <w:bCs/>
              </w:rPr>
              <w:t>Samples</w:t>
            </w:r>
          </w:p>
        </w:tc>
        <w:tc>
          <w:tcPr>
            <w:tcW w:w="1518" w:type="dxa"/>
            <w:gridSpan w:val="2"/>
            <w:tcBorders>
              <w:bottom w:val="single" w:sz="4" w:space="0" w:color="auto"/>
            </w:tcBorders>
          </w:tcPr>
          <w:p w14:paraId="7BA787CB" w14:textId="77777777" w:rsidR="00B40AA2" w:rsidRPr="00A66B7B" w:rsidRDefault="00B40AA2" w:rsidP="003E2BB2">
            <w:pPr>
              <w:jc w:val="both"/>
              <w:rPr>
                <w:rFonts w:ascii="Arial" w:hAnsi="Arial"/>
                <w:b/>
                <w:bCs/>
              </w:rPr>
            </w:pPr>
            <w:r w:rsidRPr="00A66B7B">
              <w:rPr>
                <w:rFonts w:ascii="Arial" w:hAnsi="Arial"/>
                <w:b/>
                <w:bCs/>
              </w:rPr>
              <w:t>Apple</w:t>
            </w:r>
            <w:r w:rsidR="00206365" w:rsidRPr="00A66B7B">
              <w:rPr>
                <w:rFonts w:ascii="Arial" w:hAnsi="Arial"/>
                <w:b/>
                <w:bCs/>
              </w:rPr>
              <w:t>-</w:t>
            </w:r>
            <w:r w:rsidRPr="00A66B7B">
              <w:rPr>
                <w:rFonts w:ascii="Arial" w:hAnsi="Arial"/>
                <w:b/>
                <w:bCs/>
              </w:rPr>
              <w:t>peel (%)</w:t>
            </w:r>
          </w:p>
        </w:tc>
        <w:tc>
          <w:tcPr>
            <w:tcW w:w="1292" w:type="dxa"/>
            <w:tcBorders>
              <w:bottom w:val="single" w:sz="4" w:space="0" w:color="auto"/>
            </w:tcBorders>
          </w:tcPr>
          <w:p w14:paraId="651167BC" w14:textId="77777777" w:rsidR="00B40AA2" w:rsidRPr="00A66B7B" w:rsidRDefault="00B40AA2" w:rsidP="003E2BB2">
            <w:pPr>
              <w:jc w:val="both"/>
              <w:rPr>
                <w:rFonts w:ascii="Arial" w:hAnsi="Arial"/>
                <w:b/>
                <w:bCs/>
              </w:rPr>
            </w:pPr>
            <w:r w:rsidRPr="00A66B7B">
              <w:rPr>
                <w:rFonts w:ascii="Arial" w:hAnsi="Arial"/>
                <w:b/>
                <w:bCs/>
              </w:rPr>
              <w:t>Cinnamon (%)</w:t>
            </w:r>
          </w:p>
        </w:tc>
        <w:tc>
          <w:tcPr>
            <w:tcW w:w="1292" w:type="dxa"/>
            <w:tcBorders>
              <w:bottom w:val="single" w:sz="4" w:space="0" w:color="auto"/>
            </w:tcBorders>
          </w:tcPr>
          <w:p w14:paraId="67C59433" w14:textId="77777777" w:rsidR="00B40AA2" w:rsidRPr="00A66B7B" w:rsidRDefault="00206365" w:rsidP="003E2BB2">
            <w:pPr>
              <w:jc w:val="both"/>
              <w:rPr>
                <w:rFonts w:ascii="Arial" w:hAnsi="Arial"/>
                <w:b/>
                <w:bCs/>
              </w:rPr>
            </w:pPr>
            <w:r w:rsidRPr="00A66B7B">
              <w:rPr>
                <w:rFonts w:ascii="Arial" w:hAnsi="Arial"/>
                <w:b/>
                <w:bCs/>
              </w:rPr>
              <w:t>C</w:t>
            </w:r>
            <w:r w:rsidR="00733104" w:rsidRPr="00A66B7B">
              <w:rPr>
                <w:rFonts w:ascii="Arial" w:hAnsi="Arial"/>
                <w:b/>
                <w:bCs/>
              </w:rPr>
              <w:t>ardamom</w:t>
            </w:r>
            <w:r w:rsidRPr="00A66B7B">
              <w:rPr>
                <w:rFonts w:ascii="Arial" w:hAnsi="Arial"/>
                <w:b/>
                <w:bCs/>
              </w:rPr>
              <w:t xml:space="preserve"> (%)</w:t>
            </w:r>
          </w:p>
        </w:tc>
        <w:tc>
          <w:tcPr>
            <w:tcW w:w="668" w:type="dxa"/>
            <w:tcBorders>
              <w:bottom w:val="single" w:sz="4" w:space="0" w:color="auto"/>
            </w:tcBorders>
          </w:tcPr>
          <w:p w14:paraId="21D360DD" w14:textId="77777777" w:rsidR="00B40AA2" w:rsidRPr="00A66B7B" w:rsidRDefault="00B40AA2" w:rsidP="003E2BB2">
            <w:pPr>
              <w:jc w:val="both"/>
              <w:rPr>
                <w:rFonts w:ascii="Arial" w:hAnsi="Arial"/>
                <w:b/>
                <w:bCs/>
              </w:rPr>
            </w:pPr>
          </w:p>
        </w:tc>
        <w:tc>
          <w:tcPr>
            <w:tcW w:w="236" w:type="dxa"/>
            <w:tcBorders>
              <w:bottom w:val="single" w:sz="4" w:space="0" w:color="auto"/>
            </w:tcBorders>
          </w:tcPr>
          <w:p w14:paraId="4537CD2F" w14:textId="77777777" w:rsidR="00B40AA2" w:rsidRPr="00A66B7B" w:rsidRDefault="00B40AA2" w:rsidP="003E2BB2">
            <w:pPr>
              <w:jc w:val="both"/>
              <w:rPr>
                <w:rFonts w:ascii="Arial" w:hAnsi="Arial"/>
                <w:b/>
                <w:bCs/>
              </w:rPr>
            </w:pPr>
          </w:p>
        </w:tc>
      </w:tr>
      <w:tr w:rsidR="00206365" w:rsidRPr="00A66B7B" w14:paraId="34D9FB80" w14:textId="77777777" w:rsidTr="00206365">
        <w:trPr>
          <w:trHeight w:val="926"/>
          <w:hidden/>
        </w:trPr>
        <w:tc>
          <w:tcPr>
            <w:tcW w:w="1290" w:type="dxa"/>
            <w:tcBorders>
              <w:bottom w:val="nil"/>
            </w:tcBorders>
          </w:tcPr>
          <w:p w14:paraId="64F479F6" w14:textId="77777777" w:rsidR="00B40AA2" w:rsidRPr="00A66B7B" w:rsidRDefault="00B40AA2" w:rsidP="003E2BB2">
            <w:pPr>
              <w:jc w:val="both"/>
              <w:rPr>
                <w:rFonts w:ascii="Arial" w:hAnsi="Arial"/>
                <w:vanish/>
              </w:rPr>
            </w:pPr>
          </w:p>
          <w:p w14:paraId="11F7B6A0" w14:textId="77777777" w:rsidR="00B40AA2" w:rsidRPr="00A66B7B" w:rsidRDefault="00B40AA2" w:rsidP="003E2BB2">
            <w:pPr>
              <w:jc w:val="both"/>
              <w:rPr>
                <w:rFonts w:ascii="Arial" w:hAnsi="Arial"/>
              </w:rPr>
            </w:pPr>
            <w:r w:rsidRPr="00A66B7B">
              <w:rPr>
                <w:rFonts w:ascii="Arial" w:hAnsi="Arial"/>
              </w:rPr>
              <w:t>Control</w:t>
            </w:r>
          </w:p>
          <w:p w14:paraId="6725CCF3" w14:textId="77777777" w:rsidR="00B40AA2" w:rsidRPr="00A66B7B" w:rsidRDefault="00206365" w:rsidP="003E2BB2">
            <w:pPr>
              <w:jc w:val="both"/>
              <w:rPr>
                <w:rFonts w:ascii="Arial" w:hAnsi="Arial"/>
                <w:vanish/>
              </w:rPr>
            </w:pPr>
            <w:r w:rsidRPr="00A66B7B">
              <w:rPr>
                <w:rFonts w:ascii="Arial" w:hAnsi="Arial"/>
              </w:rPr>
              <w:t xml:space="preserve">  </w:t>
            </w:r>
          </w:p>
          <w:p w14:paraId="3034624A" w14:textId="77777777" w:rsidR="00B40AA2" w:rsidRPr="00A66B7B" w:rsidRDefault="00B40AA2" w:rsidP="003E2BB2">
            <w:pPr>
              <w:jc w:val="both"/>
              <w:rPr>
                <w:rFonts w:ascii="Arial" w:hAnsi="Arial"/>
              </w:rPr>
            </w:pPr>
            <w:r w:rsidRPr="00A66B7B">
              <w:rPr>
                <w:rFonts w:ascii="Arial" w:hAnsi="Arial"/>
              </w:rPr>
              <w:t>F1</w:t>
            </w:r>
          </w:p>
          <w:p w14:paraId="64AB8CD1" w14:textId="77777777" w:rsidR="00B40AA2" w:rsidRPr="00A66B7B" w:rsidRDefault="00206365" w:rsidP="003E2BB2">
            <w:pPr>
              <w:jc w:val="both"/>
              <w:rPr>
                <w:rFonts w:ascii="Arial" w:hAnsi="Arial"/>
                <w:bCs/>
              </w:rPr>
            </w:pPr>
            <w:r w:rsidRPr="00A66B7B">
              <w:rPr>
                <w:rFonts w:ascii="Arial" w:hAnsi="Arial"/>
                <w:bCs/>
              </w:rPr>
              <w:t xml:space="preserve">  </w:t>
            </w:r>
            <w:r w:rsidR="00B40AA2" w:rsidRPr="00A66B7B">
              <w:rPr>
                <w:rFonts w:ascii="Arial" w:hAnsi="Arial"/>
                <w:bCs/>
              </w:rPr>
              <w:t>F2</w:t>
            </w:r>
          </w:p>
        </w:tc>
        <w:tc>
          <w:tcPr>
            <w:tcW w:w="1419" w:type="dxa"/>
            <w:tcBorders>
              <w:bottom w:val="nil"/>
            </w:tcBorders>
          </w:tcPr>
          <w:p w14:paraId="24462942" w14:textId="77777777" w:rsidR="00B40AA2" w:rsidRPr="00A66B7B" w:rsidRDefault="00B40AA2" w:rsidP="003E2BB2">
            <w:pPr>
              <w:jc w:val="both"/>
              <w:rPr>
                <w:rFonts w:ascii="Arial" w:hAnsi="Arial"/>
              </w:rPr>
            </w:pPr>
            <w:r w:rsidRPr="00A66B7B">
              <w:rPr>
                <w:rFonts w:ascii="Arial" w:hAnsi="Arial"/>
              </w:rPr>
              <w:t>100</w:t>
            </w:r>
          </w:p>
          <w:p w14:paraId="32A9A211" w14:textId="77777777" w:rsidR="00B40AA2" w:rsidRPr="00A66B7B" w:rsidRDefault="00B40AA2" w:rsidP="003E2BB2">
            <w:pPr>
              <w:jc w:val="both"/>
              <w:rPr>
                <w:rFonts w:ascii="Arial" w:hAnsi="Arial"/>
              </w:rPr>
            </w:pPr>
            <w:r w:rsidRPr="00A66B7B">
              <w:rPr>
                <w:rFonts w:ascii="Arial" w:hAnsi="Arial"/>
              </w:rPr>
              <w:t>40</w:t>
            </w:r>
          </w:p>
          <w:p w14:paraId="30BB3EE4" w14:textId="77777777" w:rsidR="00B40AA2" w:rsidRPr="00A66B7B" w:rsidRDefault="00B40AA2" w:rsidP="003E2BB2">
            <w:pPr>
              <w:jc w:val="both"/>
              <w:rPr>
                <w:rFonts w:ascii="Arial" w:hAnsi="Arial"/>
                <w:bCs/>
              </w:rPr>
            </w:pPr>
            <w:r w:rsidRPr="00A66B7B">
              <w:rPr>
                <w:rFonts w:ascii="Arial" w:hAnsi="Arial"/>
                <w:bCs/>
              </w:rPr>
              <w:t>50</w:t>
            </w:r>
          </w:p>
        </w:tc>
        <w:tc>
          <w:tcPr>
            <w:tcW w:w="1391" w:type="dxa"/>
            <w:gridSpan w:val="2"/>
            <w:tcBorders>
              <w:bottom w:val="nil"/>
            </w:tcBorders>
          </w:tcPr>
          <w:p w14:paraId="1A688D11" w14:textId="77777777" w:rsidR="00B40AA2" w:rsidRPr="00A66B7B" w:rsidRDefault="00206365" w:rsidP="003E2BB2">
            <w:pPr>
              <w:jc w:val="both"/>
              <w:rPr>
                <w:rFonts w:ascii="Arial" w:hAnsi="Arial" w:cs="Arial"/>
              </w:rPr>
            </w:pPr>
            <w:r w:rsidRPr="00A66B7B">
              <w:rPr>
                <w:rFonts w:ascii="Arial" w:hAnsi="Arial" w:cs="Arial"/>
              </w:rPr>
              <w:t xml:space="preserve">     </w:t>
            </w:r>
            <w:r w:rsidR="00B40AA2" w:rsidRPr="00A66B7B">
              <w:rPr>
                <w:rFonts w:ascii="Arial" w:hAnsi="Arial" w:cs="Arial"/>
              </w:rPr>
              <w:t xml:space="preserve"> 0</w:t>
            </w:r>
          </w:p>
          <w:p w14:paraId="37F88FA8" w14:textId="77777777" w:rsidR="00B40AA2" w:rsidRPr="00A66B7B" w:rsidRDefault="00B40AA2" w:rsidP="003E2BB2">
            <w:pPr>
              <w:jc w:val="both"/>
              <w:rPr>
                <w:rFonts w:ascii="Arial" w:hAnsi="Arial"/>
                <w:bCs/>
              </w:rPr>
            </w:pPr>
            <w:r w:rsidRPr="00A66B7B">
              <w:rPr>
                <w:rFonts w:ascii="Arial" w:hAnsi="Arial"/>
                <w:bCs/>
              </w:rPr>
              <w:t xml:space="preserve"> </w:t>
            </w:r>
            <w:r w:rsidR="00206365" w:rsidRPr="00A66B7B">
              <w:rPr>
                <w:rFonts w:ascii="Arial" w:hAnsi="Arial"/>
                <w:bCs/>
              </w:rPr>
              <w:t xml:space="preserve">    </w:t>
            </w:r>
            <w:r w:rsidRPr="00A66B7B">
              <w:rPr>
                <w:rFonts w:ascii="Arial" w:hAnsi="Arial"/>
                <w:bCs/>
              </w:rPr>
              <w:t>35</w:t>
            </w:r>
          </w:p>
          <w:p w14:paraId="55ABE8A3" w14:textId="77777777" w:rsidR="00B40AA2" w:rsidRPr="00A66B7B" w:rsidRDefault="00206365" w:rsidP="003E2BB2">
            <w:pPr>
              <w:jc w:val="both"/>
              <w:rPr>
                <w:rFonts w:ascii="Arial" w:hAnsi="Arial"/>
                <w:bCs/>
              </w:rPr>
            </w:pPr>
            <w:r w:rsidRPr="00A66B7B">
              <w:rPr>
                <w:rFonts w:ascii="Arial" w:hAnsi="Arial"/>
                <w:bCs/>
              </w:rPr>
              <w:t xml:space="preserve">     </w:t>
            </w:r>
            <w:r w:rsidR="00B40AA2" w:rsidRPr="00A66B7B">
              <w:rPr>
                <w:rFonts w:ascii="Arial" w:hAnsi="Arial"/>
                <w:bCs/>
              </w:rPr>
              <w:t>30</w:t>
            </w:r>
          </w:p>
        </w:tc>
        <w:tc>
          <w:tcPr>
            <w:tcW w:w="1292" w:type="dxa"/>
            <w:tcBorders>
              <w:bottom w:val="nil"/>
            </w:tcBorders>
          </w:tcPr>
          <w:p w14:paraId="3F088F6E" w14:textId="77777777" w:rsidR="00B40AA2" w:rsidRPr="00A66B7B" w:rsidRDefault="00206365" w:rsidP="003E2BB2">
            <w:pPr>
              <w:jc w:val="both"/>
              <w:rPr>
                <w:rFonts w:ascii="Arial" w:hAnsi="Arial" w:cs="Arial"/>
              </w:rPr>
            </w:pPr>
            <w:r w:rsidRPr="00A66B7B">
              <w:rPr>
                <w:rFonts w:ascii="Arial" w:hAnsi="Arial" w:cs="Arial"/>
              </w:rPr>
              <w:t>0</w:t>
            </w:r>
          </w:p>
          <w:p w14:paraId="46733D1C" w14:textId="77777777" w:rsidR="00206365" w:rsidRPr="00A66B7B" w:rsidRDefault="00206365" w:rsidP="003E2BB2">
            <w:pPr>
              <w:jc w:val="both"/>
              <w:rPr>
                <w:rFonts w:ascii="Arial" w:hAnsi="Arial" w:cs="Arial"/>
              </w:rPr>
            </w:pPr>
            <w:r w:rsidRPr="00A66B7B">
              <w:rPr>
                <w:rFonts w:ascii="Arial" w:hAnsi="Arial" w:cs="Arial"/>
              </w:rPr>
              <w:t>25</w:t>
            </w:r>
          </w:p>
          <w:p w14:paraId="4DFC4652" w14:textId="77777777" w:rsidR="00206365" w:rsidRPr="00A66B7B" w:rsidRDefault="00206365" w:rsidP="003E2BB2">
            <w:pPr>
              <w:jc w:val="both"/>
              <w:rPr>
                <w:rFonts w:ascii="Arial" w:hAnsi="Arial" w:cs="Arial"/>
              </w:rPr>
            </w:pPr>
            <w:r w:rsidRPr="00A66B7B">
              <w:rPr>
                <w:rFonts w:ascii="Arial" w:hAnsi="Arial" w:cs="Arial"/>
              </w:rPr>
              <w:t>20</w:t>
            </w:r>
          </w:p>
        </w:tc>
        <w:tc>
          <w:tcPr>
            <w:tcW w:w="668" w:type="dxa"/>
            <w:tcBorders>
              <w:bottom w:val="nil"/>
            </w:tcBorders>
          </w:tcPr>
          <w:p w14:paraId="622287E3" w14:textId="77777777" w:rsidR="00B40AA2" w:rsidRPr="00A66B7B" w:rsidRDefault="00B40AA2" w:rsidP="003E2BB2">
            <w:pPr>
              <w:jc w:val="both"/>
              <w:rPr>
                <w:rFonts w:ascii="Arial" w:hAnsi="Arial" w:cs="Arial"/>
              </w:rPr>
            </w:pPr>
          </w:p>
        </w:tc>
        <w:tc>
          <w:tcPr>
            <w:tcW w:w="236" w:type="dxa"/>
            <w:tcBorders>
              <w:bottom w:val="nil"/>
            </w:tcBorders>
          </w:tcPr>
          <w:p w14:paraId="61C3EFF9" w14:textId="77777777" w:rsidR="00B40AA2" w:rsidRPr="00A66B7B" w:rsidRDefault="00B40AA2" w:rsidP="003E2BB2">
            <w:pPr>
              <w:jc w:val="both"/>
              <w:rPr>
                <w:rFonts w:ascii="Arial" w:hAnsi="Arial" w:cs="Arial"/>
              </w:rPr>
            </w:pPr>
          </w:p>
        </w:tc>
      </w:tr>
      <w:tr w:rsidR="00206365" w:rsidRPr="00A66B7B" w14:paraId="08C7A3EE" w14:textId="77777777" w:rsidTr="00206365">
        <w:trPr>
          <w:trHeight w:val="551"/>
        </w:trPr>
        <w:tc>
          <w:tcPr>
            <w:tcW w:w="1290" w:type="dxa"/>
            <w:tcBorders>
              <w:top w:val="nil"/>
              <w:bottom w:val="single" w:sz="4" w:space="0" w:color="auto"/>
            </w:tcBorders>
          </w:tcPr>
          <w:p w14:paraId="29922163" w14:textId="77777777" w:rsidR="00B40AA2" w:rsidRPr="00A66B7B" w:rsidRDefault="00206365" w:rsidP="003E2BB2">
            <w:pPr>
              <w:jc w:val="both"/>
              <w:rPr>
                <w:rFonts w:ascii="Arial" w:hAnsi="Arial" w:cs="Arial"/>
              </w:rPr>
            </w:pPr>
            <w:r w:rsidRPr="00A66B7B">
              <w:rPr>
                <w:rFonts w:ascii="Arial" w:hAnsi="Arial" w:cs="Arial"/>
              </w:rPr>
              <w:t xml:space="preserve">  </w:t>
            </w:r>
            <w:r w:rsidR="00B40AA2" w:rsidRPr="00A66B7B">
              <w:rPr>
                <w:rFonts w:ascii="Arial" w:hAnsi="Arial" w:cs="Arial"/>
              </w:rPr>
              <w:t>F3</w:t>
            </w:r>
          </w:p>
          <w:p w14:paraId="66179C2B" w14:textId="77777777" w:rsidR="00B40AA2" w:rsidRPr="00A66B7B" w:rsidRDefault="00206365" w:rsidP="003E2BB2">
            <w:pPr>
              <w:jc w:val="both"/>
              <w:rPr>
                <w:rFonts w:ascii="Arial" w:hAnsi="Arial" w:cs="Arial"/>
                <w:vanish/>
              </w:rPr>
            </w:pPr>
            <w:r w:rsidRPr="00A66B7B">
              <w:rPr>
                <w:rFonts w:ascii="Arial" w:hAnsi="Arial" w:cs="Arial"/>
              </w:rPr>
              <w:t xml:space="preserve">  </w:t>
            </w:r>
            <w:r w:rsidR="00B40AA2" w:rsidRPr="00A66B7B">
              <w:rPr>
                <w:rFonts w:ascii="Arial" w:hAnsi="Arial" w:cs="Arial"/>
              </w:rPr>
              <w:t>F4</w:t>
            </w:r>
          </w:p>
          <w:p w14:paraId="32CF0938" w14:textId="77777777" w:rsidR="00B40AA2" w:rsidRPr="00A66B7B" w:rsidRDefault="00B40AA2" w:rsidP="003E2BB2">
            <w:pPr>
              <w:jc w:val="both"/>
              <w:rPr>
                <w:rFonts w:ascii="Arial" w:hAnsi="Arial" w:cs="Arial"/>
                <w:vanish/>
              </w:rPr>
            </w:pPr>
            <w:r w:rsidRPr="00A66B7B">
              <w:rPr>
                <w:rFonts w:ascii="Arial" w:hAnsi="Arial" w:cs="Arial"/>
                <w:vanish/>
              </w:rPr>
              <w:t>F</w:t>
            </w:r>
          </w:p>
          <w:p w14:paraId="4BA17CE3" w14:textId="77777777" w:rsidR="00B40AA2" w:rsidRPr="00A66B7B" w:rsidRDefault="00B40AA2" w:rsidP="003E2BB2">
            <w:pPr>
              <w:jc w:val="both"/>
              <w:rPr>
                <w:rFonts w:ascii="Arial" w:hAnsi="Arial" w:cs="Arial"/>
                <w:vanish/>
              </w:rPr>
            </w:pPr>
          </w:p>
          <w:p w14:paraId="0D40FE9D" w14:textId="77777777" w:rsidR="00B40AA2" w:rsidRPr="00A66B7B" w:rsidRDefault="00B40AA2" w:rsidP="003E2BB2">
            <w:pPr>
              <w:jc w:val="both"/>
              <w:rPr>
                <w:rFonts w:ascii="Arial" w:hAnsi="Arial" w:cs="Arial"/>
              </w:rPr>
            </w:pPr>
          </w:p>
        </w:tc>
        <w:tc>
          <w:tcPr>
            <w:tcW w:w="1518" w:type="dxa"/>
            <w:gridSpan w:val="2"/>
            <w:tcBorders>
              <w:top w:val="nil"/>
              <w:bottom w:val="single" w:sz="4" w:space="0" w:color="auto"/>
            </w:tcBorders>
          </w:tcPr>
          <w:p w14:paraId="117480F7" w14:textId="77777777" w:rsidR="00B40AA2" w:rsidRPr="00A66B7B" w:rsidRDefault="00B40AA2" w:rsidP="003E2BB2">
            <w:pPr>
              <w:jc w:val="both"/>
              <w:rPr>
                <w:rFonts w:ascii="Arial" w:hAnsi="Arial" w:cs="Arial"/>
              </w:rPr>
            </w:pPr>
            <w:r w:rsidRPr="00A66B7B">
              <w:rPr>
                <w:rFonts w:ascii="Arial" w:hAnsi="Arial" w:cs="Arial"/>
              </w:rPr>
              <w:t>60</w:t>
            </w:r>
          </w:p>
          <w:p w14:paraId="3D84327C" w14:textId="77777777" w:rsidR="00B40AA2" w:rsidRPr="00A66B7B" w:rsidRDefault="00B40AA2" w:rsidP="003E2BB2">
            <w:pPr>
              <w:jc w:val="both"/>
              <w:rPr>
                <w:rFonts w:ascii="Arial" w:hAnsi="Arial" w:cs="Arial"/>
              </w:rPr>
            </w:pPr>
            <w:r w:rsidRPr="00A66B7B">
              <w:rPr>
                <w:rFonts w:ascii="Arial" w:hAnsi="Arial" w:cs="Arial"/>
              </w:rPr>
              <w:t>70</w:t>
            </w:r>
          </w:p>
        </w:tc>
        <w:tc>
          <w:tcPr>
            <w:tcW w:w="1292" w:type="dxa"/>
            <w:tcBorders>
              <w:top w:val="nil"/>
              <w:bottom w:val="single" w:sz="4" w:space="0" w:color="auto"/>
            </w:tcBorders>
          </w:tcPr>
          <w:p w14:paraId="1391A614" w14:textId="77777777" w:rsidR="00B40AA2" w:rsidRPr="00A66B7B" w:rsidRDefault="00206365" w:rsidP="003E2BB2">
            <w:pPr>
              <w:jc w:val="both"/>
              <w:rPr>
                <w:rFonts w:ascii="Arial" w:hAnsi="Arial" w:cs="Arial"/>
              </w:rPr>
            </w:pPr>
            <w:r w:rsidRPr="00A66B7B">
              <w:rPr>
                <w:rFonts w:ascii="Arial" w:hAnsi="Arial" w:cs="Arial"/>
              </w:rPr>
              <w:t xml:space="preserve">   </w:t>
            </w:r>
            <w:r w:rsidR="00B40AA2" w:rsidRPr="00A66B7B">
              <w:rPr>
                <w:rFonts w:ascii="Arial" w:hAnsi="Arial" w:cs="Arial"/>
              </w:rPr>
              <w:t>25</w:t>
            </w:r>
          </w:p>
          <w:p w14:paraId="559CF760" w14:textId="77777777" w:rsidR="00B40AA2" w:rsidRPr="00A66B7B" w:rsidRDefault="00206365" w:rsidP="003E2BB2">
            <w:pPr>
              <w:jc w:val="both"/>
              <w:rPr>
                <w:rFonts w:ascii="Arial" w:hAnsi="Arial" w:cs="Arial"/>
                <w:vanish/>
              </w:rPr>
            </w:pPr>
            <w:r w:rsidRPr="00A66B7B">
              <w:rPr>
                <w:rFonts w:ascii="Arial" w:hAnsi="Arial" w:cs="Arial"/>
              </w:rPr>
              <w:t xml:space="preserve">   </w:t>
            </w:r>
            <w:r w:rsidR="00B40AA2" w:rsidRPr="00A66B7B">
              <w:rPr>
                <w:rFonts w:ascii="Arial" w:hAnsi="Arial" w:cs="Arial"/>
              </w:rPr>
              <w:t>20</w:t>
            </w:r>
          </w:p>
          <w:p w14:paraId="01CAFADD" w14:textId="77777777" w:rsidR="00B40AA2" w:rsidRPr="00A66B7B" w:rsidRDefault="00B40AA2" w:rsidP="003E2BB2">
            <w:pPr>
              <w:jc w:val="both"/>
              <w:rPr>
                <w:rFonts w:ascii="Arial" w:hAnsi="Arial"/>
              </w:rPr>
            </w:pPr>
          </w:p>
        </w:tc>
        <w:tc>
          <w:tcPr>
            <w:tcW w:w="1292" w:type="dxa"/>
            <w:tcBorders>
              <w:top w:val="nil"/>
              <w:bottom w:val="single" w:sz="4" w:space="0" w:color="auto"/>
            </w:tcBorders>
          </w:tcPr>
          <w:p w14:paraId="6306B3B8" w14:textId="77777777" w:rsidR="00B40AA2" w:rsidRPr="00A66B7B" w:rsidRDefault="00206365" w:rsidP="003E2BB2">
            <w:pPr>
              <w:jc w:val="both"/>
              <w:rPr>
                <w:rFonts w:ascii="Arial" w:hAnsi="Arial" w:cs="Arial"/>
              </w:rPr>
            </w:pPr>
            <w:r w:rsidRPr="00A66B7B">
              <w:rPr>
                <w:rFonts w:ascii="Arial" w:hAnsi="Arial" w:cs="Arial"/>
              </w:rPr>
              <w:t>15</w:t>
            </w:r>
          </w:p>
          <w:p w14:paraId="132985F8" w14:textId="77777777" w:rsidR="00206365" w:rsidRPr="00A66B7B" w:rsidRDefault="00206365" w:rsidP="003E2BB2">
            <w:pPr>
              <w:jc w:val="both"/>
              <w:rPr>
                <w:rFonts w:ascii="Arial" w:hAnsi="Arial" w:cs="Arial"/>
              </w:rPr>
            </w:pPr>
            <w:r w:rsidRPr="00A66B7B">
              <w:rPr>
                <w:rFonts w:ascii="Arial" w:hAnsi="Arial" w:cs="Arial"/>
              </w:rPr>
              <w:t>10</w:t>
            </w:r>
          </w:p>
        </w:tc>
        <w:tc>
          <w:tcPr>
            <w:tcW w:w="668" w:type="dxa"/>
            <w:tcBorders>
              <w:top w:val="nil"/>
              <w:bottom w:val="single" w:sz="4" w:space="0" w:color="auto"/>
            </w:tcBorders>
          </w:tcPr>
          <w:p w14:paraId="3B0549B2" w14:textId="77777777" w:rsidR="00B40AA2" w:rsidRPr="00A66B7B" w:rsidRDefault="00B40AA2" w:rsidP="003E2BB2">
            <w:pPr>
              <w:jc w:val="both"/>
              <w:rPr>
                <w:rFonts w:ascii="Arial" w:hAnsi="Arial" w:cs="Arial"/>
              </w:rPr>
            </w:pPr>
          </w:p>
        </w:tc>
        <w:tc>
          <w:tcPr>
            <w:tcW w:w="236" w:type="dxa"/>
            <w:tcBorders>
              <w:top w:val="nil"/>
              <w:bottom w:val="single" w:sz="4" w:space="0" w:color="auto"/>
            </w:tcBorders>
          </w:tcPr>
          <w:p w14:paraId="54E8F9E5" w14:textId="77777777" w:rsidR="00B40AA2" w:rsidRPr="00A66B7B" w:rsidRDefault="00B40AA2" w:rsidP="003E2BB2">
            <w:pPr>
              <w:jc w:val="both"/>
              <w:rPr>
                <w:rFonts w:ascii="Arial" w:hAnsi="Arial" w:cs="Arial"/>
              </w:rPr>
            </w:pPr>
          </w:p>
        </w:tc>
      </w:tr>
    </w:tbl>
    <w:p w14:paraId="6DE89DDA" w14:textId="77777777" w:rsidR="00B40AA2" w:rsidRPr="00A66B7B" w:rsidRDefault="00206365">
      <w:pPr>
        <w:rPr>
          <w:rFonts w:ascii="Arial" w:hAnsi="Arial" w:cs="Arial"/>
          <w:sz w:val="20"/>
          <w:szCs w:val="20"/>
        </w:rPr>
      </w:pPr>
      <w:r w:rsidRPr="00A66B7B">
        <w:rPr>
          <w:rFonts w:ascii="Arial" w:hAnsi="Arial" w:cs="Arial"/>
          <w:sz w:val="20"/>
          <w:szCs w:val="20"/>
        </w:rPr>
        <w:t xml:space="preserve">                              </w:t>
      </w:r>
    </w:p>
    <w:p w14:paraId="0FFC9D79" w14:textId="77777777" w:rsidR="00DB2147" w:rsidRPr="00A66B7B" w:rsidRDefault="00244D85" w:rsidP="00D23D07">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t>
      </w:r>
    </w:p>
    <w:p w14:paraId="6931E65F" w14:textId="77777777" w:rsidR="00D23D07" w:rsidRPr="00A66B7B" w:rsidRDefault="00D23D07" w:rsidP="00D23D07">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2.3 Evaluation of Sensory Properties of the Formulated Herbal Infusion Samples</w:t>
      </w:r>
    </w:p>
    <w:p w14:paraId="3A5FCC4A" w14:textId="77777777" w:rsidR="00DB2147" w:rsidRPr="00A66B7B" w:rsidRDefault="00DB2147" w:rsidP="00D23D07">
      <w:pPr>
        <w:spacing w:after="0" w:line="240" w:lineRule="auto"/>
        <w:jc w:val="both"/>
        <w:rPr>
          <w:rFonts w:ascii="Arial" w:eastAsia="Times New Roman" w:hAnsi="Arial" w:cs="Arial"/>
          <w:b/>
          <w:lang w:eastAsia="en-IN"/>
        </w:rPr>
      </w:pPr>
    </w:p>
    <w:p w14:paraId="082CFD71" w14:textId="77777777" w:rsidR="007C7CC4" w:rsidRPr="00A66B7B" w:rsidRDefault="00D23D07" w:rsidP="007C7CC4">
      <w:pPr>
        <w:spacing w:after="0" w:line="240" w:lineRule="auto"/>
        <w:jc w:val="both"/>
        <w:rPr>
          <w:rFonts w:ascii="Arial" w:eastAsia="Times New Roman" w:hAnsi="Arial" w:cs="Arial"/>
          <w:sz w:val="20"/>
          <w:szCs w:val="20"/>
          <w:lang w:eastAsia="en-IN"/>
        </w:rPr>
      </w:pPr>
      <w:bookmarkStart w:id="23" w:name="_Hlk229234545"/>
      <w:r w:rsidRPr="00A66B7B">
        <w:rPr>
          <w:rFonts w:ascii="Arial" w:eastAsia="Times New Roman" w:hAnsi="Arial" w:cs="Arial"/>
          <w:sz w:val="20"/>
          <w:szCs w:val="20"/>
          <w:lang w:eastAsia="en-IN"/>
        </w:rPr>
        <w:t>About 30 untrained pane</w:t>
      </w:r>
      <w:r w:rsidR="00C80E6E" w:rsidRPr="00A66B7B">
        <w:rPr>
          <w:rFonts w:ascii="Arial" w:eastAsia="Times New Roman" w:hAnsi="Arial" w:cs="Arial"/>
          <w:sz w:val="20"/>
          <w:szCs w:val="20"/>
          <w:lang w:eastAsia="en-IN"/>
        </w:rPr>
        <w:t>l</w:t>
      </w:r>
      <w:r w:rsidRPr="00A66B7B">
        <w:rPr>
          <w:rFonts w:ascii="Arial" w:eastAsia="Times New Roman" w:hAnsi="Arial" w:cs="Arial"/>
          <w:sz w:val="20"/>
          <w:szCs w:val="20"/>
          <w:lang w:eastAsia="en-IN"/>
        </w:rPr>
        <w:t xml:space="preserve">lists from </w:t>
      </w:r>
      <w:commentRangeStart w:id="24"/>
      <w:r w:rsidRPr="00A66B7B">
        <w:rPr>
          <w:rFonts w:ascii="Arial" w:eastAsia="Times New Roman" w:hAnsi="Arial" w:cs="Arial"/>
          <w:sz w:val="20"/>
          <w:szCs w:val="20"/>
          <w:lang w:eastAsia="en-IN"/>
        </w:rPr>
        <w:t>BBAU</w:t>
      </w:r>
      <w:commentRangeEnd w:id="24"/>
      <w:r w:rsidR="004A0260" w:rsidRPr="00A66B7B">
        <w:rPr>
          <w:rStyle w:val="CommentReference"/>
          <w:rFonts w:ascii="Arial" w:eastAsia="Times New Roman" w:hAnsi="Arial" w:cs="Arial"/>
          <w:sz w:val="20"/>
          <w:szCs w:val="20"/>
          <w:lang w:eastAsia="en-IN"/>
        </w:rPr>
        <w:commentReference w:id="24"/>
      </w:r>
      <w:r w:rsidRPr="00A66B7B">
        <w:rPr>
          <w:rFonts w:ascii="Arial" w:eastAsia="Times New Roman" w:hAnsi="Arial" w:cs="Arial"/>
          <w:sz w:val="20"/>
          <w:szCs w:val="20"/>
          <w:lang w:eastAsia="en-IN"/>
        </w:rPr>
        <w:t xml:space="preserve">, including teachers and students, evaluated the consumer acceptability of the developed herbal infusion. </w:t>
      </w:r>
      <w:commentRangeStart w:id="25"/>
      <w:r w:rsidR="00C80E6E" w:rsidRPr="00A66B7B">
        <w:rPr>
          <w:rFonts w:ascii="Arial" w:eastAsia="Times New Roman" w:hAnsi="Arial" w:cs="Arial"/>
          <w:sz w:val="20"/>
          <w:szCs w:val="20"/>
          <w:lang w:eastAsia="en-IN"/>
        </w:rPr>
        <w:t>Whether or not they were familiar with herbal infusions</w:t>
      </w:r>
      <w:commentRangeEnd w:id="25"/>
      <w:r w:rsidR="004A0260" w:rsidRPr="00A66B7B">
        <w:rPr>
          <w:rStyle w:val="CommentReference"/>
          <w:rFonts w:ascii="Arial" w:eastAsia="Times New Roman" w:hAnsi="Arial" w:cs="Arial"/>
          <w:sz w:val="20"/>
          <w:szCs w:val="20"/>
          <w:lang w:eastAsia="en-IN"/>
        </w:rPr>
        <w:commentReference w:id="25"/>
      </w:r>
      <w:r w:rsidR="00C80E6E" w:rsidRPr="00A66B7B">
        <w:rPr>
          <w:rFonts w:ascii="Arial" w:eastAsia="Times New Roman" w:hAnsi="Arial" w:cs="Arial"/>
          <w:sz w:val="20"/>
          <w:szCs w:val="20"/>
          <w:lang w:eastAsia="en-IN"/>
        </w:rPr>
        <w:t xml:space="preserve">, panellists were selected based on their desire and dedication. Panellists were asked to rate their preferences for the sample based on appearance, colour, taste, flavour, and overall acceptability using a nine-point hedonic scale, with 1 denoting "dislike extremely" and 9 denoting "like extremely." The testing was done in a sensory evaluation room with controlled lighting, temperature, and few outside disturbances. </w:t>
      </w:r>
      <w:r w:rsidR="007C7CC4" w:rsidRPr="00A66B7B">
        <w:rPr>
          <w:rFonts w:ascii="Arial" w:eastAsia="Times New Roman" w:hAnsi="Arial" w:cs="Arial"/>
          <w:sz w:val="20"/>
          <w:szCs w:val="20"/>
          <w:lang w:eastAsia="en-IN"/>
        </w:rPr>
        <w:t>Sensory evaluation of data obtained were statistically analysed using SPSS software.</w:t>
      </w:r>
    </w:p>
    <w:p w14:paraId="41038143" w14:textId="77777777" w:rsidR="007C7CC4" w:rsidRPr="00A66B7B" w:rsidRDefault="007C7CC4" w:rsidP="007C7CC4">
      <w:pPr>
        <w:spacing w:after="0" w:line="240" w:lineRule="auto"/>
        <w:jc w:val="both"/>
        <w:rPr>
          <w:rFonts w:ascii="Arial" w:eastAsia="Times New Roman" w:hAnsi="Arial" w:cs="Arial"/>
          <w:b/>
          <w:lang w:eastAsia="en-IN"/>
        </w:rPr>
      </w:pPr>
    </w:p>
    <w:p w14:paraId="3E82BD6F" w14:textId="77777777" w:rsidR="007C7CC4" w:rsidRPr="00A66B7B" w:rsidRDefault="007C7CC4" w:rsidP="007C7CC4">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2.4 Proximate Analysis</w:t>
      </w:r>
    </w:p>
    <w:p w14:paraId="38AA19DA" w14:textId="77777777" w:rsidR="007C7CC4" w:rsidRPr="00A66B7B" w:rsidRDefault="007C7CC4" w:rsidP="007C7CC4">
      <w:pPr>
        <w:spacing w:after="0" w:line="240" w:lineRule="auto"/>
        <w:jc w:val="both"/>
        <w:rPr>
          <w:rFonts w:ascii="Arial" w:eastAsia="Times New Roman" w:hAnsi="Arial" w:cs="Arial"/>
          <w:b/>
          <w:sz w:val="20"/>
          <w:szCs w:val="20"/>
          <w:u w:val="single"/>
          <w:lang w:eastAsia="en-IN"/>
        </w:rPr>
      </w:pPr>
    </w:p>
    <w:p w14:paraId="70AE8175" w14:textId="77777777" w:rsidR="00D23D07" w:rsidRPr="00A66B7B" w:rsidRDefault="007C7CC4" w:rsidP="007C7CC4">
      <w:pPr>
        <w:spacing w:after="0" w:line="240" w:lineRule="auto"/>
        <w:jc w:val="both"/>
        <w:rPr>
          <w:rFonts w:ascii="Arial" w:eastAsia="Times New Roman" w:hAnsi="Arial" w:cs="Arial"/>
          <w:b/>
          <w:sz w:val="20"/>
          <w:szCs w:val="20"/>
          <w:lang w:eastAsia="en-IN"/>
        </w:rPr>
      </w:pPr>
      <w:r w:rsidRPr="00A66B7B">
        <w:rPr>
          <w:rFonts w:ascii="Arial" w:eastAsia="Times New Roman" w:hAnsi="Arial" w:cs="Arial"/>
          <w:sz w:val="20"/>
          <w:szCs w:val="20"/>
          <w:lang w:eastAsia="en-IN"/>
        </w:rPr>
        <w:t>Based on the sensory evaluation results, the most preferred formulation (F2) was selected for proximate analysis.</w:t>
      </w:r>
      <w:bookmarkEnd w:id="23"/>
      <w:r w:rsidR="00732D78" w:rsidRPr="00A66B7B">
        <w:rPr>
          <w:rFonts w:ascii="Arial" w:eastAsia="Times New Roman" w:hAnsi="Arial" w:cs="Arial"/>
          <w:sz w:val="20"/>
          <w:szCs w:val="20"/>
          <w:lang w:eastAsia="en-IN"/>
        </w:rPr>
        <w:t xml:space="preserve"> Moisture, ash, fat, protein, and fiber </w:t>
      </w:r>
      <w:r w:rsidR="00273F60" w:rsidRPr="00A66B7B">
        <w:rPr>
          <w:rFonts w:ascii="Arial" w:eastAsia="Times New Roman" w:hAnsi="Arial" w:cs="Arial"/>
          <w:sz w:val="20"/>
          <w:szCs w:val="20"/>
          <w:lang w:eastAsia="en-IN"/>
        </w:rPr>
        <w:t>w</w:t>
      </w:r>
      <w:r w:rsidR="0051546B" w:rsidRPr="00A66B7B">
        <w:rPr>
          <w:rFonts w:ascii="Arial" w:eastAsia="Times New Roman" w:hAnsi="Arial" w:cs="Arial"/>
          <w:sz w:val="20"/>
          <w:szCs w:val="20"/>
          <w:lang w:eastAsia="en-IN"/>
        </w:rPr>
        <w:t xml:space="preserve">as carried out using the methods described in </w:t>
      </w:r>
      <w:r w:rsidR="0051546B" w:rsidRPr="00A66B7B">
        <w:rPr>
          <w:rFonts w:ascii="Arial" w:eastAsia="Times New Roman" w:hAnsi="Arial" w:cs="Arial"/>
          <w:b/>
          <w:sz w:val="20"/>
          <w:szCs w:val="20"/>
          <w:lang w:eastAsia="en-IN"/>
        </w:rPr>
        <w:t xml:space="preserve">Ranganna (2005), </w:t>
      </w:r>
      <w:r w:rsidR="0051546B" w:rsidRPr="00A66B7B">
        <w:rPr>
          <w:rFonts w:ascii="Arial" w:eastAsia="Times New Roman" w:hAnsi="Arial" w:cs="Arial"/>
          <w:sz w:val="20"/>
          <w:szCs w:val="20"/>
          <w:lang w:eastAsia="en-IN"/>
        </w:rPr>
        <w:t>based on AOAC procedures</w:t>
      </w:r>
    </w:p>
    <w:p w14:paraId="71A9475C" w14:textId="77777777" w:rsidR="007C7CC4" w:rsidRPr="00A66B7B" w:rsidRDefault="007C7CC4" w:rsidP="007C7CC4">
      <w:pPr>
        <w:spacing w:after="0" w:line="240" w:lineRule="auto"/>
        <w:jc w:val="both"/>
        <w:rPr>
          <w:rFonts w:ascii="Arial" w:eastAsia="Times New Roman" w:hAnsi="Arial" w:cs="Arial"/>
          <w:sz w:val="20"/>
          <w:szCs w:val="20"/>
          <w:lang w:eastAsia="en-IN"/>
        </w:rPr>
      </w:pPr>
    </w:p>
    <w:p w14:paraId="062376F5" w14:textId="77777777" w:rsidR="007C7CC4" w:rsidRPr="00A66B7B" w:rsidRDefault="007C7CC4"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2.4.1 Moisture Content</w:t>
      </w:r>
    </w:p>
    <w:p w14:paraId="19974316" w14:textId="77777777" w:rsidR="0051546B" w:rsidRPr="00A66B7B" w:rsidRDefault="0051546B" w:rsidP="007C7CC4">
      <w:pPr>
        <w:spacing w:after="0" w:line="240" w:lineRule="auto"/>
        <w:jc w:val="both"/>
        <w:rPr>
          <w:rFonts w:ascii="Arial" w:eastAsia="Times New Roman" w:hAnsi="Arial" w:cs="Arial"/>
          <w:b/>
          <w:sz w:val="20"/>
          <w:szCs w:val="20"/>
          <w:u w:val="single"/>
          <w:lang w:eastAsia="en-IN"/>
        </w:rPr>
      </w:pPr>
    </w:p>
    <w:p w14:paraId="5AF571AA" w14:textId="77777777" w:rsidR="00F20F8C" w:rsidRPr="00A66B7B" w:rsidRDefault="00A419D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Weight of clean and dry petridish were set by 3 consecutive times after drying in hot air oven at 105</w:t>
      </w:r>
      <w:r w:rsidRPr="00A66B7B">
        <w:rPr>
          <w:rFonts w:ascii="Courier New" w:eastAsia="Times New Roman" w:hAnsi="Courier New" w:cs="Courier New"/>
          <w:sz w:val="20"/>
          <w:szCs w:val="20"/>
          <w:lang w:eastAsia="en-IN"/>
        </w:rPr>
        <w:t>°</w:t>
      </w:r>
      <w:r w:rsidRPr="00A66B7B">
        <w:rPr>
          <w:rFonts w:ascii="Arial" w:eastAsia="Times New Roman" w:hAnsi="Arial" w:cs="Arial"/>
          <w:sz w:val="20"/>
          <w:szCs w:val="20"/>
          <w:lang w:eastAsia="en-IN"/>
        </w:rPr>
        <w:t>C</w:t>
      </w:r>
      <w:commentRangeStart w:id="26"/>
      <w:r w:rsidRPr="00A66B7B">
        <w:rPr>
          <w:rFonts w:ascii="Arial" w:eastAsia="Times New Roman" w:hAnsi="Arial" w:cs="Arial"/>
          <w:sz w:val="20"/>
          <w:szCs w:val="20"/>
          <w:lang w:eastAsia="en-IN"/>
        </w:rPr>
        <w:t>. After that the weight of empty dish was taken with samples (W1 or initial weight) then again kept it in an oven for drying at 105</w:t>
      </w:r>
      <w:r w:rsidRPr="00A66B7B">
        <w:rPr>
          <w:rFonts w:ascii="Courier New" w:eastAsia="Times New Roman" w:hAnsi="Courier New" w:cs="Courier New"/>
          <w:sz w:val="20"/>
          <w:szCs w:val="20"/>
          <w:lang w:eastAsia="en-IN"/>
        </w:rPr>
        <w:t>°</w:t>
      </w:r>
      <w:r w:rsidRPr="00A66B7B">
        <w:rPr>
          <w:rFonts w:ascii="Arial" w:eastAsia="Times New Roman" w:hAnsi="Arial" w:cs="Arial"/>
          <w:sz w:val="20"/>
          <w:szCs w:val="20"/>
          <w:lang w:eastAsia="en-IN"/>
        </w:rPr>
        <w:t>C for 4 hours and the final weight (W2 or final weight</w:t>
      </w:r>
      <w:r w:rsidR="00C80E6E" w:rsidRPr="00A66B7B">
        <w:rPr>
          <w:rFonts w:ascii="Arial" w:eastAsia="Times New Roman" w:hAnsi="Arial" w:cs="Arial"/>
          <w:sz w:val="20"/>
          <w:szCs w:val="20"/>
          <w:lang w:eastAsia="en-IN"/>
        </w:rPr>
        <w:t>).</w:t>
      </w:r>
      <w:commentRangeEnd w:id="26"/>
      <w:r w:rsidR="004A0260" w:rsidRPr="00A66B7B">
        <w:rPr>
          <w:rStyle w:val="CommentReference"/>
          <w:rFonts w:ascii="Arial" w:eastAsia="Times New Roman" w:hAnsi="Arial" w:cs="Arial"/>
          <w:sz w:val="20"/>
          <w:szCs w:val="20"/>
          <w:lang w:eastAsia="en-IN"/>
        </w:rPr>
        <w:commentReference w:id="26"/>
      </w:r>
      <w:r w:rsidR="00C80E6E" w:rsidRPr="00A66B7B">
        <w:rPr>
          <w:rFonts w:ascii="Arial" w:eastAsia="Times New Roman" w:hAnsi="Arial" w:cs="Arial"/>
          <w:sz w:val="20"/>
          <w:szCs w:val="20"/>
          <w:lang w:eastAsia="en-IN"/>
        </w:rPr>
        <w:t xml:space="preserve"> Moisture content was computed as a percentage by deducting the dried weight from the sample weight.</w:t>
      </w:r>
    </w:p>
    <w:p w14:paraId="15167C53" w14:textId="77777777" w:rsidR="00C80E6E" w:rsidRPr="00A66B7B" w:rsidRDefault="00C80E6E" w:rsidP="007C7CC4">
      <w:pPr>
        <w:spacing w:after="0" w:line="240" w:lineRule="auto"/>
        <w:jc w:val="both"/>
        <w:rPr>
          <w:rFonts w:ascii="Arial" w:eastAsia="Times New Roman" w:hAnsi="Arial" w:cs="Arial"/>
          <w:sz w:val="20"/>
          <w:szCs w:val="20"/>
          <w:lang w:eastAsia="en-IN"/>
        </w:rPr>
      </w:pPr>
    </w:p>
    <w:p w14:paraId="1AAC2F68" w14:textId="77777777" w:rsidR="00F20F8C" w:rsidRPr="00A66B7B" w:rsidRDefault="00F20F8C"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Moisture content</w:t>
      </w:r>
      <w:r w:rsidR="00C80E6E" w:rsidRPr="00A66B7B">
        <w:rPr>
          <w:rFonts w:ascii="Arial" w:eastAsia="Times New Roman" w:hAnsi="Arial" w:cs="Arial"/>
          <w:sz w:val="20"/>
          <w:szCs w:val="20"/>
          <w:lang w:eastAsia="en-IN"/>
        </w:rPr>
        <w:t xml:space="preserve"> </w:t>
      </w:r>
      <w:r w:rsidRPr="00A66B7B">
        <w:rPr>
          <w:rFonts w:ascii="Arial" w:eastAsia="Times New Roman" w:hAnsi="Arial" w:cs="Arial"/>
          <w:sz w:val="20"/>
          <w:szCs w:val="20"/>
          <w:lang w:eastAsia="en-IN"/>
        </w:rPr>
        <w:t xml:space="preserve">(%) = </w:t>
      </w:r>
      <w:r w:rsidRPr="00A66B7B">
        <w:rPr>
          <w:rFonts w:ascii="Arial" w:eastAsia="Times New Roman" w:hAnsi="Arial" w:cs="Arial"/>
          <w:sz w:val="20"/>
          <w:szCs w:val="20"/>
          <w:u w:val="single"/>
          <w:lang w:eastAsia="en-IN"/>
        </w:rPr>
        <w:t xml:space="preserve">Initial </w:t>
      </w:r>
      <w:r w:rsidR="00A1457E" w:rsidRPr="00A66B7B">
        <w:rPr>
          <w:rFonts w:ascii="Arial" w:eastAsia="Times New Roman" w:hAnsi="Arial" w:cs="Arial"/>
          <w:sz w:val="20"/>
          <w:szCs w:val="20"/>
          <w:u w:val="single"/>
          <w:lang w:eastAsia="en-IN"/>
        </w:rPr>
        <w:t>W</w:t>
      </w:r>
      <w:r w:rsidRPr="00A66B7B">
        <w:rPr>
          <w:rFonts w:ascii="Arial" w:eastAsia="Times New Roman" w:hAnsi="Arial" w:cs="Arial"/>
          <w:sz w:val="20"/>
          <w:szCs w:val="20"/>
          <w:u w:val="single"/>
          <w:lang w:eastAsia="en-IN"/>
        </w:rPr>
        <w:t>t</w:t>
      </w:r>
      <w:r w:rsidR="00A1457E" w:rsidRPr="00A66B7B">
        <w:rPr>
          <w:rFonts w:ascii="Arial" w:eastAsia="Times New Roman" w:hAnsi="Arial" w:cs="Arial"/>
          <w:sz w:val="20"/>
          <w:szCs w:val="20"/>
          <w:u w:val="single"/>
          <w:lang w:eastAsia="en-IN"/>
        </w:rPr>
        <w:t xml:space="preserve">. </w:t>
      </w:r>
      <w:r w:rsidRPr="00A66B7B">
        <w:rPr>
          <w:rFonts w:ascii="Arial" w:eastAsia="Times New Roman" w:hAnsi="Arial" w:cs="Arial"/>
          <w:sz w:val="20"/>
          <w:szCs w:val="20"/>
          <w:u w:val="single"/>
          <w:lang w:eastAsia="en-IN"/>
        </w:rPr>
        <w:t xml:space="preserve">(W1)- Final </w:t>
      </w:r>
      <w:r w:rsidR="00A1457E" w:rsidRPr="00A66B7B">
        <w:rPr>
          <w:rFonts w:ascii="Arial" w:eastAsia="Times New Roman" w:hAnsi="Arial" w:cs="Arial"/>
          <w:sz w:val="20"/>
          <w:szCs w:val="20"/>
          <w:u w:val="single"/>
          <w:lang w:eastAsia="en-IN"/>
        </w:rPr>
        <w:t>Wt.</w:t>
      </w:r>
      <w:r w:rsidRPr="00A66B7B">
        <w:rPr>
          <w:rFonts w:ascii="Arial" w:eastAsia="Times New Roman" w:hAnsi="Arial" w:cs="Arial"/>
          <w:sz w:val="20"/>
          <w:szCs w:val="20"/>
          <w:u w:val="single"/>
          <w:lang w:eastAsia="en-IN"/>
        </w:rPr>
        <w:t>(W2) ×</w:t>
      </w:r>
      <w:r w:rsidRPr="00A66B7B">
        <w:rPr>
          <w:rFonts w:ascii="Arial" w:eastAsia="Times New Roman" w:hAnsi="Arial" w:cs="Arial"/>
          <w:sz w:val="20"/>
          <w:szCs w:val="20"/>
          <w:lang w:eastAsia="en-IN"/>
        </w:rPr>
        <w:t xml:space="preserve"> 100</w:t>
      </w:r>
    </w:p>
    <w:p w14:paraId="5AA3658C" w14:textId="77777777" w:rsidR="00E0023E" w:rsidRPr="00A66B7B" w:rsidRDefault="00F20F8C"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Weight of sample(W)</w:t>
      </w:r>
    </w:p>
    <w:p w14:paraId="497B919D" w14:textId="77777777" w:rsidR="005717EE" w:rsidRPr="00A66B7B" w:rsidRDefault="005717EE" w:rsidP="007C7CC4">
      <w:pPr>
        <w:spacing w:after="0" w:line="240" w:lineRule="auto"/>
        <w:jc w:val="both"/>
        <w:rPr>
          <w:rFonts w:ascii="Arial" w:eastAsia="Times New Roman" w:hAnsi="Arial" w:cs="Arial"/>
          <w:b/>
          <w:sz w:val="20"/>
          <w:szCs w:val="20"/>
          <w:u w:val="single"/>
          <w:lang w:eastAsia="en-IN"/>
        </w:rPr>
      </w:pPr>
    </w:p>
    <w:p w14:paraId="248E0123" w14:textId="77777777" w:rsidR="005717EE" w:rsidRPr="00A66B7B" w:rsidRDefault="005717EE" w:rsidP="007C7CC4">
      <w:pPr>
        <w:spacing w:after="0" w:line="240" w:lineRule="auto"/>
        <w:jc w:val="both"/>
        <w:rPr>
          <w:rFonts w:ascii="Arial" w:eastAsia="Times New Roman" w:hAnsi="Arial" w:cs="Arial"/>
          <w:b/>
          <w:sz w:val="20"/>
          <w:szCs w:val="20"/>
          <w:u w:val="single"/>
          <w:lang w:eastAsia="en-IN"/>
        </w:rPr>
      </w:pPr>
    </w:p>
    <w:p w14:paraId="76CE7207" w14:textId="77777777" w:rsidR="006D32C4" w:rsidRPr="00A66B7B" w:rsidRDefault="006D32C4" w:rsidP="007C7CC4">
      <w:pPr>
        <w:spacing w:after="0" w:line="240" w:lineRule="auto"/>
        <w:jc w:val="both"/>
        <w:rPr>
          <w:rFonts w:ascii="Arial" w:eastAsia="Times New Roman" w:hAnsi="Arial" w:cs="Arial"/>
          <w:b/>
          <w:sz w:val="20"/>
          <w:szCs w:val="20"/>
          <w:u w:val="single"/>
          <w:lang w:eastAsia="en-IN"/>
        </w:rPr>
      </w:pPr>
    </w:p>
    <w:p w14:paraId="68F98055" w14:textId="77777777" w:rsidR="006D32C4" w:rsidRPr="00A66B7B" w:rsidRDefault="006D32C4" w:rsidP="007C7CC4">
      <w:pPr>
        <w:spacing w:after="0" w:line="240" w:lineRule="auto"/>
        <w:jc w:val="both"/>
        <w:rPr>
          <w:rFonts w:ascii="Arial" w:eastAsia="Times New Roman" w:hAnsi="Arial" w:cs="Arial"/>
          <w:b/>
          <w:sz w:val="20"/>
          <w:szCs w:val="20"/>
          <w:u w:val="single"/>
          <w:lang w:eastAsia="en-IN"/>
        </w:rPr>
      </w:pPr>
    </w:p>
    <w:p w14:paraId="46BD3E94" w14:textId="77777777" w:rsidR="00F724C8" w:rsidRPr="00A66B7B" w:rsidRDefault="00F724C8" w:rsidP="007C7CC4">
      <w:pPr>
        <w:spacing w:after="0" w:line="240" w:lineRule="auto"/>
        <w:jc w:val="both"/>
        <w:rPr>
          <w:rFonts w:ascii="Arial" w:eastAsia="Times New Roman" w:hAnsi="Arial" w:cs="Arial"/>
          <w:b/>
          <w:sz w:val="20"/>
          <w:szCs w:val="20"/>
          <w:u w:val="single"/>
          <w:lang w:eastAsia="en-IN"/>
        </w:rPr>
      </w:pPr>
    </w:p>
    <w:p w14:paraId="65169DB6" w14:textId="77777777" w:rsidR="00273F60" w:rsidRPr="00A66B7B" w:rsidRDefault="00F20F8C"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2.4.2 Fat Content</w:t>
      </w:r>
    </w:p>
    <w:p w14:paraId="2FAD492D" w14:textId="77777777" w:rsidR="00F20F8C" w:rsidRPr="00A66B7B" w:rsidRDefault="00F20F8C" w:rsidP="007C7CC4">
      <w:pPr>
        <w:spacing w:after="0" w:line="240" w:lineRule="auto"/>
        <w:jc w:val="both"/>
        <w:rPr>
          <w:rFonts w:ascii="Arial" w:eastAsia="Times New Roman" w:hAnsi="Arial" w:cs="Arial"/>
          <w:b/>
          <w:sz w:val="20"/>
          <w:szCs w:val="20"/>
          <w:u w:val="single"/>
          <w:lang w:eastAsia="en-IN"/>
        </w:rPr>
      </w:pPr>
    </w:p>
    <w:p w14:paraId="25DD1911" w14:textId="77777777" w:rsidR="009F7D61" w:rsidRPr="00A66B7B" w:rsidRDefault="00A1457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The Soxhlet extraction method was used to assess the sample's fat content</w:t>
      </w:r>
      <w:commentRangeStart w:id="27"/>
      <w:r w:rsidRPr="00A66B7B">
        <w:rPr>
          <w:rFonts w:ascii="Arial" w:eastAsia="Times New Roman" w:hAnsi="Arial" w:cs="Arial"/>
          <w:sz w:val="20"/>
          <w:szCs w:val="20"/>
          <w:lang w:eastAsia="en-IN"/>
        </w:rPr>
        <w:t xml:space="preserve">. </w:t>
      </w:r>
      <w:commentRangeStart w:id="28"/>
      <w:r w:rsidRPr="00A66B7B">
        <w:rPr>
          <w:rFonts w:ascii="Arial" w:eastAsia="Times New Roman" w:hAnsi="Arial" w:cs="Arial"/>
          <w:sz w:val="20"/>
          <w:szCs w:val="20"/>
          <w:lang w:eastAsia="en-IN"/>
        </w:rPr>
        <w:t xml:space="preserve">Samples that were free of moisture </w:t>
      </w:r>
      <w:commentRangeEnd w:id="28"/>
      <w:r w:rsidR="00571FF0" w:rsidRPr="00A66B7B">
        <w:rPr>
          <w:rStyle w:val="CommentReference"/>
          <w:rFonts w:ascii="Arial" w:eastAsia="Times New Roman" w:hAnsi="Arial" w:cs="Arial"/>
          <w:sz w:val="20"/>
          <w:szCs w:val="20"/>
          <w:lang w:eastAsia="en-IN"/>
        </w:rPr>
        <w:commentReference w:id="28"/>
      </w:r>
      <w:commentRangeStart w:id="29"/>
      <w:r w:rsidRPr="00A66B7B">
        <w:rPr>
          <w:rFonts w:ascii="Arial" w:eastAsia="Times New Roman" w:hAnsi="Arial" w:cs="Arial"/>
          <w:sz w:val="20"/>
          <w:szCs w:val="20"/>
          <w:lang w:eastAsia="en-IN"/>
        </w:rPr>
        <w:t>were moved to</w:t>
      </w:r>
      <w:commentRangeEnd w:id="29"/>
      <w:r w:rsidR="00571FF0" w:rsidRPr="00A66B7B">
        <w:rPr>
          <w:rStyle w:val="CommentReference"/>
          <w:rFonts w:ascii="Arial" w:eastAsia="Times New Roman" w:hAnsi="Arial" w:cs="Arial"/>
          <w:sz w:val="20"/>
          <w:szCs w:val="20"/>
          <w:lang w:eastAsia="en-IN"/>
        </w:rPr>
        <w:commentReference w:id="29"/>
      </w:r>
      <w:r w:rsidRPr="00A66B7B">
        <w:rPr>
          <w:rFonts w:ascii="Arial" w:eastAsia="Times New Roman" w:hAnsi="Arial" w:cs="Arial"/>
          <w:sz w:val="20"/>
          <w:szCs w:val="20"/>
          <w:lang w:eastAsia="en-IN"/>
        </w:rPr>
        <w:t xml:space="preserve"> a thimble made of Whatman No. 42 filter paper, which was then mounted to a stand and moved to a Soxhlet beaker that had already been weighed. Petroleum ether was added to the beaker, which was then connected to the Soxhlet apparatus. The sample was extracted for two hours at 80°C in the first cycle, then for two hours at 120°C in the second and final cycle to aid in the ether's evaporation. Finally, the Soxhlet beaker was placed in a hot air oven set at 105°C for 30 minutes or as needed. The percentage of crude fat was computed as follows:</w:t>
      </w:r>
      <w:commentRangeEnd w:id="27"/>
      <w:r w:rsidR="00571FF0" w:rsidRPr="00A66B7B">
        <w:rPr>
          <w:rStyle w:val="CommentReference"/>
          <w:rFonts w:ascii="Arial" w:eastAsia="Times New Roman" w:hAnsi="Arial" w:cs="Arial"/>
          <w:sz w:val="20"/>
          <w:szCs w:val="20"/>
          <w:lang w:eastAsia="en-IN"/>
        </w:rPr>
        <w:commentReference w:id="27"/>
      </w:r>
    </w:p>
    <w:p w14:paraId="2E177339" w14:textId="77777777" w:rsidR="00A1457E" w:rsidRPr="00A66B7B" w:rsidRDefault="00A1457E" w:rsidP="007C7CC4">
      <w:pPr>
        <w:spacing w:after="0" w:line="240" w:lineRule="auto"/>
        <w:jc w:val="both"/>
        <w:rPr>
          <w:rFonts w:ascii="Arial" w:eastAsia="Times New Roman" w:hAnsi="Arial" w:cs="Arial"/>
          <w:sz w:val="20"/>
          <w:szCs w:val="20"/>
          <w:lang w:eastAsia="en-IN"/>
        </w:rPr>
      </w:pPr>
    </w:p>
    <w:p w14:paraId="54AC2793" w14:textId="77777777" w:rsidR="00273F60"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lastRenderedPageBreak/>
        <w:t xml:space="preserve">Crude fat (%) = </w:t>
      </w:r>
      <w:r w:rsidRPr="00A66B7B">
        <w:rPr>
          <w:rFonts w:ascii="Arial" w:eastAsia="Times New Roman" w:hAnsi="Arial" w:cs="Arial"/>
          <w:sz w:val="20"/>
          <w:szCs w:val="20"/>
          <w:u w:val="single"/>
          <w:lang w:eastAsia="en-IN"/>
        </w:rPr>
        <w:t>W2-W1</w:t>
      </w:r>
      <w:r w:rsidRPr="00A66B7B">
        <w:rPr>
          <w:rFonts w:ascii="Arial" w:eastAsia="Times New Roman" w:hAnsi="Arial" w:cs="Arial"/>
          <w:sz w:val="20"/>
          <w:szCs w:val="20"/>
          <w:lang w:eastAsia="en-IN"/>
        </w:rPr>
        <w:t>× 100</w:t>
      </w:r>
    </w:p>
    <w:p w14:paraId="6B771262"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w:t>
      </w:r>
    </w:p>
    <w:p w14:paraId="52092D97"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Where, </w:t>
      </w:r>
    </w:p>
    <w:p w14:paraId="4526DA97"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W1- </w:t>
      </w:r>
      <w:commentRangeStart w:id="30"/>
      <w:r w:rsidRPr="00A66B7B">
        <w:rPr>
          <w:rFonts w:ascii="Arial" w:eastAsia="Times New Roman" w:hAnsi="Arial" w:cs="Arial"/>
          <w:sz w:val="20"/>
          <w:szCs w:val="20"/>
          <w:lang w:eastAsia="en-IN"/>
        </w:rPr>
        <w:t>W</w:t>
      </w:r>
      <w:r w:rsidR="00E51CCB" w:rsidRPr="00A66B7B">
        <w:rPr>
          <w:rFonts w:ascii="Arial" w:eastAsia="Times New Roman" w:hAnsi="Arial" w:cs="Arial"/>
          <w:sz w:val="20"/>
          <w:szCs w:val="20"/>
          <w:lang w:eastAsia="en-IN"/>
        </w:rPr>
        <w:t>t</w:t>
      </w:r>
      <w:commentRangeEnd w:id="30"/>
      <w:r w:rsidR="00571FF0" w:rsidRPr="00A66B7B">
        <w:rPr>
          <w:rStyle w:val="CommentReference"/>
          <w:rFonts w:ascii="Arial" w:eastAsia="Times New Roman" w:hAnsi="Arial" w:cs="Arial"/>
          <w:sz w:val="20"/>
          <w:szCs w:val="20"/>
          <w:lang w:eastAsia="en-IN"/>
        </w:rPr>
        <w:commentReference w:id="30"/>
      </w:r>
      <w:r w:rsidRPr="00A66B7B">
        <w:rPr>
          <w:rFonts w:ascii="Arial" w:eastAsia="Times New Roman" w:hAnsi="Arial" w:cs="Arial"/>
          <w:sz w:val="20"/>
          <w:szCs w:val="20"/>
          <w:lang w:eastAsia="en-IN"/>
        </w:rPr>
        <w:t xml:space="preserve"> of round bottom flask</w:t>
      </w:r>
    </w:p>
    <w:p w14:paraId="7E9C996F"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W2- Wt of round bottom flask + fat</w:t>
      </w:r>
    </w:p>
    <w:p w14:paraId="58B73B92"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   Wt of sample</w:t>
      </w:r>
    </w:p>
    <w:p w14:paraId="087540CF" w14:textId="77777777" w:rsidR="009F7D61" w:rsidRPr="00A66B7B" w:rsidRDefault="009F7D61"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W2-W1 + Weight of ether </w:t>
      </w:r>
      <w:r w:rsidR="006F1C75" w:rsidRPr="00A66B7B">
        <w:rPr>
          <w:rFonts w:ascii="Arial" w:eastAsia="Times New Roman" w:hAnsi="Arial" w:cs="Arial"/>
          <w:sz w:val="20"/>
          <w:szCs w:val="20"/>
          <w:lang w:eastAsia="en-IN"/>
        </w:rPr>
        <w:t>soluble material</w:t>
      </w:r>
    </w:p>
    <w:p w14:paraId="154406D7" w14:textId="77777777" w:rsidR="006F1C75" w:rsidRPr="00A66B7B" w:rsidRDefault="006F1C75" w:rsidP="007C7CC4">
      <w:pPr>
        <w:spacing w:after="0" w:line="240" w:lineRule="auto"/>
        <w:jc w:val="both"/>
        <w:rPr>
          <w:rFonts w:ascii="Arial" w:eastAsia="Times New Roman" w:hAnsi="Arial" w:cs="Arial"/>
          <w:sz w:val="20"/>
          <w:szCs w:val="20"/>
          <w:lang w:eastAsia="en-IN"/>
        </w:rPr>
      </w:pPr>
    </w:p>
    <w:p w14:paraId="6DC71E13" w14:textId="77777777" w:rsidR="006F1C75" w:rsidRPr="00A66B7B" w:rsidRDefault="006F1C75"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2.4.3</w:t>
      </w:r>
      <w:r w:rsidR="000C4FCE" w:rsidRPr="00A66B7B">
        <w:rPr>
          <w:rFonts w:ascii="Arial" w:eastAsia="Times New Roman" w:hAnsi="Arial" w:cs="Arial"/>
          <w:b/>
          <w:sz w:val="20"/>
          <w:szCs w:val="20"/>
          <w:u w:val="single"/>
          <w:lang w:eastAsia="en-IN"/>
        </w:rPr>
        <w:t xml:space="preserve"> </w:t>
      </w:r>
      <w:r w:rsidRPr="00A66B7B">
        <w:rPr>
          <w:rFonts w:ascii="Arial" w:eastAsia="Times New Roman" w:hAnsi="Arial" w:cs="Arial"/>
          <w:b/>
          <w:sz w:val="20"/>
          <w:szCs w:val="20"/>
          <w:u w:val="single"/>
          <w:lang w:eastAsia="en-IN"/>
        </w:rPr>
        <w:t>Protein</w:t>
      </w:r>
      <w:r w:rsidR="000C4FCE" w:rsidRPr="00A66B7B">
        <w:rPr>
          <w:rFonts w:ascii="Arial" w:eastAsia="Times New Roman" w:hAnsi="Arial" w:cs="Arial"/>
          <w:b/>
          <w:sz w:val="20"/>
          <w:szCs w:val="20"/>
          <w:u w:val="single"/>
          <w:lang w:eastAsia="en-IN"/>
        </w:rPr>
        <w:t xml:space="preserve"> Content</w:t>
      </w:r>
    </w:p>
    <w:p w14:paraId="0AD9B30B" w14:textId="77777777" w:rsidR="006F1C75" w:rsidRPr="00A66B7B" w:rsidRDefault="006F1C75" w:rsidP="007C7CC4">
      <w:pPr>
        <w:spacing w:after="0" w:line="240" w:lineRule="auto"/>
        <w:jc w:val="both"/>
        <w:rPr>
          <w:rFonts w:ascii="Arial" w:eastAsia="Times New Roman" w:hAnsi="Arial" w:cs="Arial"/>
          <w:b/>
          <w:sz w:val="20"/>
          <w:szCs w:val="20"/>
          <w:u w:val="single"/>
          <w:lang w:eastAsia="en-IN"/>
        </w:rPr>
      </w:pPr>
    </w:p>
    <w:p w14:paraId="5CB67573" w14:textId="77777777" w:rsidR="006F1C75" w:rsidRPr="00A66B7B" w:rsidRDefault="006F1C75" w:rsidP="007C7CC4">
      <w:pPr>
        <w:spacing w:after="0" w:line="240" w:lineRule="auto"/>
        <w:jc w:val="both"/>
        <w:rPr>
          <w:rFonts w:ascii="Arial" w:eastAsia="Times New Roman" w:hAnsi="Arial" w:cs="Arial"/>
          <w:sz w:val="20"/>
          <w:szCs w:val="20"/>
          <w:lang w:eastAsia="en-IN"/>
        </w:rPr>
      </w:pPr>
      <w:commentRangeStart w:id="31"/>
      <w:r w:rsidRPr="00A66B7B">
        <w:rPr>
          <w:rFonts w:ascii="Arial" w:eastAsia="Times New Roman" w:hAnsi="Arial" w:cs="Arial"/>
          <w:sz w:val="20"/>
          <w:szCs w:val="20"/>
          <w:lang w:eastAsia="en-IN"/>
        </w:rPr>
        <w:t>The Kjeldahl method, which involves digestion, distillation, and titration, was used to determine the protein concentration. A bright greenish-blue solution was produced by digesting around 0.3 g of the sample with a catalyst mixture and concentrated sulfuric acid at 440°C for five to six hours. A 10 ml aliquot of the digest was distilled using 30% sodium hydroxide after it had been diluted to 100 ml. After being released</w:t>
      </w:r>
      <w:r w:rsidR="00A1457E" w:rsidRPr="00A66B7B">
        <w:rPr>
          <w:rFonts w:ascii="Arial" w:eastAsia="Times New Roman" w:hAnsi="Arial" w:cs="Arial"/>
          <w:sz w:val="20"/>
          <w:szCs w:val="20"/>
          <w:lang w:eastAsia="en-IN"/>
        </w:rPr>
        <w:t>, Using a mixed indicator, the ammonia was collected in boric acid and titrated against 0.1 N hydrochloric acid.</w:t>
      </w:r>
      <w:r w:rsidRPr="00A66B7B">
        <w:rPr>
          <w:rFonts w:ascii="Arial" w:eastAsia="Times New Roman" w:hAnsi="Arial" w:cs="Arial"/>
          <w:sz w:val="20"/>
          <w:szCs w:val="20"/>
          <w:lang w:eastAsia="en-IN"/>
        </w:rPr>
        <w:t xml:space="preserve"> The nitrogen value was used to compute the protein content of a blank that was likewise made in a similar manner.</w:t>
      </w:r>
      <w:commentRangeEnd w:id="31"/>
      <w:r w:rsidR="00571FF0" w:rsidRPr="00A66B7B">
        <w:rPr>
          <w:rStyle w:val="CommentReference"/>
          <w:rFonts w:ascii="Arial" w:eastAsia="Times New Roman" w:hAnsi="Arial" w:cs="Arial"/>
          <w:sz w:val="20"/>
          <w:szCs w:val="20"/>
          <w:lang w:eastAsia="en-IN"/>
        </w:rPr>
        <w:commentReference w:id="31"/>
      </w:r>
    </w:p>
    <w:p w14:paraId="5EC4AF6B" w14:textId="77777777" w:rsidR="006F1C75" w:rsidRPr="00A66B7B" w:rsidRDefault="006F1C75" w:rsidP="007C7CC4">
      <w:pPr>
        <w:spacing w:after="0" w:line="240" w:lineRule="auto"/>
        <w:jc w:val="both"/>
        <w:rPr>
          <w:rFonts w:ascii="Arial" w:eastAsia="Times New Roman" w:hAnsi="Arial" w:cs="Arial"/>
          <w:sz w:val="20"/>
          <w:szCs w:val="20"/>
          <w:lang w:eastAsia="en-IN"/>
        </w:rPr>
      </w:pPr>
    </w:p>
    <w:p w14:paraId="3A8A7244" w14:textId="77777777" w:rsidR="007C7CC4" w:rsidRPr="00A66B7B" w:rsidRDefault="006F1C75" w:rsidP="007C7CC4">
      <w:pPr>
        <w:spacing w:after="0" w:line="240" w:lineRule="auto"/>
        <w:jc w:val="both"/>
        <w:rPr>
          <w:rFonts w:ascii="Arial" w:eastAsia="Times New Roman" w:hAnsi="Arial" w:cs="Arial"/>
          <w:sz w:val="20"/>
          <w:szCs w:val="20"/>
          <w:u w:val="single"/>
          <w:lang w:eastAsia="en-IN"/>
        </w:rPr>
      </w:pPr>
      <w:r w:rsidRPr="00A66B7B">
        <w:rPr>
          <w:rFonts w:ascii="Arial" w:eastAsia="Times New Roman" w:hAnsi="Arial" w:cs="Arial"/>
          <w:sz w:val="20"/>
          <w:szCs w:val="20"/>
          <w:lang w:eastAsia="en-IN"/>
        </w:rPr>
        <w:t xml:space="preserve">Nitrogen (%) = </w:t>
      </w:r>
      <w:r w:rsidRPr="00A66B7B">
        <w:rPr>
          <w:rFonts w:ascii="Arial" w:eastAsia="Times New Roman" w:hAnsi="Arial" w:cs="Arial"/>
          <w:sz w:val="20"/>
          <w:szCs w:val="20"/>
          <w:u w:val="single"/>
          <w:lang w:eastAsia="en-IN"/>
        </w:rPr>
        <w:t xml:space="preserve">(Sample titre- Blank titre) × Normality of HCl × 14 × 100 </w:t>
      </w:r>
    </w:p>
    <w:p w14:paraId="6C4E5EBC" w14:textId="77777777" w:rsidR="000C4FCE" w:rsidRPr="00A66B7B" w:rsidRDefault="000C4FC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Weight of sample × 1000</w:t>
      </w:r>
    </w:p>
    <w:p w14:paraId="15954FCE" w14:textId="77777777" w:rsidR="000C4FCE" w:rsidRPr="00A66B7B" w:rsidRDefault="000C4FCE" w:rsidP="007C7CC4">
      <w:pPr>
        <w:spacing w:after="0" w:line="240" w:lineRule="auto"/>
        <w:jc w:val="both"/>
        <w:rPr>
          <w:rFonts w:ascii="Arial" w:eastAsia="Times New Roman" w:hAnsi="Arial" w:cs="Arial"/>
          <w:sz w:val="20"/>
          <w:szCs w:val="20"/>
          <w:lang w:eastAsia="en-IN"/>
        </w:rPr>
      </w:pPr>
    </w:p>
    <w:p w14:paraId="1C234EE8" w14:textId="77777777" w:rsidR="000C4FCE" w:rsidRPr="00A66B7B" w:rsidRDefault="000C4FC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Protein % = Nitrogen % × 6.25</w:t>
      </w:r>
    </w:p>
    <w:p w14:paraId="1196CF2F" w14:textId="77777777" w:rsidR="000C4FCE" w:rsidRPr="00A66B7B" w:rsidRDefault="000C4FCE" w:rsidP="007C7CC4">
      <w:pPr>
        <w:spacing w:after="0" w:line="240" w:lineRule="auto"/>
        <w:jc w:val="both"/>
        <w:rPr>
          <w:rFonts w:ascii="Arial" w:eastAsia="Times New Roman" w:hAnsi="Arial" w:cs="Arial"/>
          <w:sz w:val="20"/>
          <w:szCs w:val="20"/>
          <w:lang w:eastAsia="en-IN"/>
        </w:rPr>
      </w:pPr>
    </w:p>
    <w:p w14:paraId="6196FAB1" w14:textId="77777777" w:rsidR="000C4FCE" w:rsidRPr="00A66B7B" w:rsidRDefault="000C4FCE"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2.4.4 Ash Content</w:t>
      </w:r>
    </w:p>
    <w:p w14:paraId="781C301D" w14:textId="77777777" w:rsidR="000C4FCE" w:rsidRPr="00A66B7B" w:rsidRDefault="000C4FCE" w:rsidP="007C7CC4">
      <w:pPr>
        <w:spacing w:after="0" w:line="240" w:lineRule="auto"/>
        <w:jc w:val="both"/>
        <w:rPr>
          <w:rFonts w:ascii="Arial" w:eastAsia="Times New Roman" w:hAnsi="Arial" w:cs="Arial"/>
          <w:sz w:val="20"/>
          <w:szCs w:val="20"/>
          <w:lang w:eastAsia="en-IN"/>
        </w:rPr>
      </w:pPr>
    </w:p>
    <w:p w14:paraId="6C6EC43D" w14:textId="77777777" w:rsidR="000C4FCE" w:rsidRPr="00A66B7B" w:rsidRDefault="00A1457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The dry ashing method was used to determine the ash content. A silica crucible was heated to 105°C in a hot air oven until it reached a consistent weight. A crucible containing around 2 g of the sample was burned over a Bunsen burner until the odors stopped. After that, the sample was placed in a muffle furnace and heated to 550°C until clear ash was produced</w:t>
      </w:r>
      <w:r w:rsidR="0084403D" w:rsidRPr="00A66B7B">
        <w:rPr>
          <w:rFonts w:ascii="Arial" w:eastAsia="Times New Roman" w:hAnsi="Arial" w:cs="Arial"/>
          <w:sz w:val="20"/>
          <w:szCs w:val="20"/>
          <w:lang w:eastAsia="en-IN"/>
        </w:rPr>
        <w:t>. After cooling, the weight of residue was noted and was expressed as percentage.</w:t>
      </w:r>
    </w:p>
    <w:p w14:paraId="706B542A" w14:textId="77777777" w:rsidR="007C7CC4" w:rsidRPr="00A66B7B" w:rsidRDefault="007C7CC4" w:rsidP="007C7CC4">
      <w:pPr>
        <w:spacing w:after="0" w:line="240" w:lineRule="auto"/>
        <w:jc w:val="both"/>
        <w:rPr>
          <w:rFonts w:ascii="Arial" w:eastAsia="Times New Roman" w:hAnsi="Arial" w:cs="Arial"/>
          <w:sz w:val="20"/>
          <w:szCs w:val="20"/>
          <w:lang w:eastAsia="en-IN"/>
        </w:rPr>
      </w:pPr>
    </w:p>
    <w:p w14:paraId="6088C0C6"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Ash (%) = </w:t>
      </w:r>
      <w:r w:rsidRPr="00A66B7B">
        <w:rPr>
          <w:rFonts w:ascii="Arial" w:eastAsia="Times New Roman" w:hAnsi="Arial" w:cs="Arial"/>
          <w:sz w:val="20"/>
          <w:szCs w:val="20"/>
          <w:u w:val="single"/>
          <w:lang w:eastAsia="en-IN"/>
        </w:rPr>
        <w:t>W2 – W1 ×</w:t>
      </w:r>
      <w:r w:rsidRPr="00A66B7B">
        <w:rPr>
          <w:rFonts w:ascii="Arial" w:eastAsia="Times New Roman" w:hAnsi="Arial" w:cs="Arial"/>
          <w:sz w:val="20"/>
          <w:szCs w:val="20"/>
          <w:lang w:eastAsia="en-IN"/>
        </w:rPr>
        <w:t xml:space="preserve"> 100</w:t>
      </w:r>
    </w:p>
    <w:p w14:paraId="79584CF5"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w:t>
      </w:r>
    </w:p>
    <w:p w14:paraId="4B8D5BD3" w14:textId="77777777" w:rsidR="0084403D" w:rsidRPr="00A66B7B" w:rsidRDefault="0084403D" w:rsidP="007C7CC4">
      <w:pPr>
        <w:spacing w:after="0" w:line="240" w:lineRule="auto"/>
        <w:jc w:val="both"/>
        <w:rPr>
          <w:rFonts w:ascii="Arial" w:eastAsia="Times New Roman" w:hAnsi="Arial" w:cs="Arial"/>
          <w:sz w:val="20"/>
          <w:szCs w:val="20"/>
          <w:lang w:eastAsia="en-IN"/>
        </w:rPr>
      </w:pPr>
    </w:p>
    <w:p w14:paraId="09087B35"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Where,</w:t>
      </w:r>
    </w:p>
    <w:p w14:paraId="256B53A8"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t>
      </w:r>
    </w:p>
    <w:p w14:paraId="21751EBD"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W = W</w:t>
      </w:r>
      <w:r w:rsidR="00A1457E" w:rsidRPr="00A66B7B">
        <w:rPr>
          <w:rFonts w:ascii="Arial" w:eastAsia="Times New Roman" w:hAnsi="Arial" w:cs="Arial"/>
          <w:sz w:val="20"/>
          <w:szCs w:val="20"/>
          <w:lang w:eastAsia="en-IN"/>
        </w:rPr>
        <w:t xml:space="preserve">t </w:t>
      </w:r>
      <w:r w:rsidRPr="00A66B7B">
        <w:rPr>
          <w:rFonts w:ascii="Arial" w:eastAsia="Times New Roman" w:hAnsi="Arial" w:cs="Arial"/>
          <w:sz w:val="20"/>
          <w:szCs w:val="20"/>
          <w:lang w:eastAsia="en-IN"/>
        </w:rPr>
        <w:t>of sample</w:t>
      </w:r>
    </w:p>
    <w:p w14:paraId="2528EFCF" w14:textId="77777777" w:rsidR="0084403D" w:rsidRPr="00A66B7B" w:rsidRDefault="0084403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W1 – Constant </w:t>
      </w:r>
      <w:r w:rsidR="00A1457E" w:rsidRPr="00A66B7B">
        <w:rPr>
          <w:rFonts w:ascii="Arial" w:eastAsia="Times New Roman" w:hAnsi="Arial" w:cs="Arial"/>
          <w:sz w:val="20"/>
          <w:szCs w:val="20"/>
          <w:lang w:eastAsia="en-IN"/>
        </w:rPr>
        <w:t>Wt</w:t>
      </w:r>
    </w:p>
    <w:p w14:paraId="2E84A60D" w14:textId="77777777" w:rsidR="00F665F7" w:rsidRPr="00A66B7B" w:rsidRDefault="00F665F7"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W2 – Final weight of crucible + ash</w:t>
      </w:r>
    </w:p>
    <w:p w14:paraId="31E30FFF" w14:textId="77777777" w:rsidR="00F665F7" w:rsidRPr="00A66B7B" w:rsidRDefault="00F665F7" w:rsidP="007C7CC4">
      <w:pPr>
        <w:spacing w:after="0" w:line="240" w:lineRule="auto"/>
        <w:jc w:val="both"/>
        <w:rPr>
          <w:rFonts w:ascii="Arial" w:eastAsia="Times New Roman" w:hAnsi="Arial" w:cs="Arial"/>
          <w:sz w:val="20"/>
          <w:szCs w:val="20"/>
          <w:lang w:eastAsia="en-IN"/>
        </w:rPr>
      </w:pPr>
    </w:p>
    <w:p w14:paraId="6EE98A37" w14:textId="77777777" w:rsidR="006A45B6" w:rsidRPr="00A66B7B" w:rsidRDefault="00F665F7"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2.4.5</w:t>
      </w:r>
      <w:r w:rsidR="006A45B6" w:rsidRPr="00A66B7B">
        <w:rPr>
          <w:rFonts w:ascii="Arial" w:eastAsia="Times New Roman" w:hAnsi="Arial" w:cs="Arial"/>
          <w:b/>
          <w:sz w:val="20"/>
          <w:szCs w:val="20"/>
          <w:u w:val="single"/>
          <w:lang w:eastAsia="en-IN"/>
        </w:rPr>
        <w:t xml:space="preserve"> Fib</w:t>
      </w:r>
      <w:r w:rsidR="000C4480" w:rsidRPr="00A66B7B">
        <w:rPr>
          <w:rFonts w:ascii="Arial" w:eastAsia="Times New Roman" w:hAnsi="Arial" w:cs="Arial"/>
          <w:b/>
          <w:sz w:val="20"/>
          <w:szCs w:val="20"/>
          <w:u w:val="single"/>
          <w:lang w:eastAsia="en-IN"/>
        </w:rPr>
        <w:t xml:space="preserve">er </w:t>
      </w:r>
      <w:r w:rsidR="006A45B6" w:rsidRPr="00A66B7B">
        <w:rPr>
          <w:rFonts w:ascii="Arial" w:eastAsia="Times New Roman" w:hAnsi="Arial" w:cs="Arial"/>
          <w:b/>
          <w:sz w:val="20"/>
          <w:szCs w:val="20"/>
          <w:u w:val="single"/>
          <w:lang w:eastAsia="en-IN"/>
        </w:rPr>
        <w:t>Content</w:t>
      </w:r>
    </w:p>
    <w:p w14:paraId="1068655B" w14:textId="77777777" w:rsidR="003F39B2" w:rsidRPr="00A66B7B" w:rsidRDefault="003F39B2" w:rsidP="007C7CC4">
      <w:pPr>
        <w:spacing w:after="0" w:line="240" w:lineRule="auto"/>
        <w:jc w:val="both"/>
        <w:rPr>
          <w:rFonts w:ascii="Arial" w:eastAsia="Times New Roman" w:hAnsi="Arial" w:cs="Arial"/>
          <w:b/>
          <w:sz w:val="20"/>
          <w:szCs w:val="20"/>
          <w:u w:val="single"/>
          <w:lang w:eastAsia="en-IN"/>
        </w:rPr>
      </w:pPr>
    </w:p>
    <w:p w14:paraId="100513D3" w14:textId="77777777" w:rsidR="003F39B2" w:rsidRPr="00A66B7B" w:rsidRDefault="001C19AE"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Fibre content was determined by using a moisture and fat-free sample. </w:t>
      </w:r>
      <w:r w:rsidR="000C4480" w:rsidRPr="00A66B7B">
        <w:rPr>
          <w:rFonts w:ascii="Arial" w:eastAsia="Times New Roman" w:hAnsi="Arial" w:cs="Arial"/>
          <w:sz w:val="20"/>
          <w:szCs w:val="20"/>
          <w:lang w:eastAsia="en-IN"/>
        </w:rPr>
        <w:t xml:space="preserve">Sulphuric acid (1.25%) was added in 10g of sample. Then boiling for 30 minutes, the sample was digested. After that sample was filtered with filter paper and then washed with warm water to remove acid. Then the sample placed in abeaker. 10 mL of NaOH (1.25%)  was taken in beaker. </w:t>
      </w:r>
      <w:r w:rsidR="00A1457E" w:rsidRPr="00A66B7B">
        <w:rPr>
          <w:rFonts w:ascii="Arial" w:hAnsi="Arial" w:cs="Arial"/>
          <w:sz w:val="20"/>
          <w:szCs w:val="20"/>
        </w:rPr>
        <w:t>After adding distilled water</w:t>
      </w:r>
      <w:r w:rsidR="00A1457E" w:rsidRPr="00A66B7B">
        <w:rPr>
          <w:rFonts w:ascii="Times New Roman" w:hAnsi="Times New Roman" w:cs="Times New Roman"/>
          <w:sz w:val="24"/>
          <w:szCs w:val="24"/>
        </w:rPr>
        <w:t>, the sample was boiled for 40 minutes</w:t>
      </w:r>
      <w:r w:rsidR="000C4480" w:rsidRPr="00A66B7B">
        <w:rPr>
          <w:rFonts w:ascii="Arial" w:eastAsia="Times New Roman" w:hAnsi="Arial" w:cs="Arial"/>
          <w:sz w:val="20"/>
          <w:szCs w:val="20"/>
          <w:lang w:eastAsia="en-IN"/>
        </w:rPr>
        <w:t>.</w:t>
      </w:r>
      <w:r w:rsidR="00B250E9" w:rsidRPr="00A66B7B">
        <w:rPr>
          <w:rFonts w:ascii="Arial" w:eastAsia="Times New Roman" w:hAnsi="Arial" w:cs="Arial"/>
          <w:sz w:val="20"/>
          <w:szCs w:val="20"/>
          <w:lang w:eastAsia="en-IN"/>
        </w:rPr>
        <w:t xml:space="preserve"> </w:t>
      </w:r>
      <w:r w:rsidR="000C4480" w:rsidRPr="00A66B7B">
        <w:rPr>
          <w:rFonts w:ascii="Arial" w:eastAsia="Times New Roman" w:hAnsi="Arial" w:cs="Arial"/>
          <w:sz w:val="20"/>
          <w:szCs w:val="20"/>
          <w:lang w:eastAsia="en-IN"/>
        </w:rPr>
        <w:t>Again filter the sample and washed with hot water, now its alkali-free. The sample placed in a crucible and placed in oven at 85</w:t>
      </w:r>
      <w:r w:rsidR="000C4480" w:rsidRPr="00A66B7B">
        <w:rPr>
          <w:rFonts w:ascii="Courier New" w:eastAsia="Times New Roman" w:hAnsi="Courier New" w:cs="Courier New"/>
          <w:sz w:val="20"/>
          <w:szCs w:val="20"/>
          <w:lang w:eastAsia="en-IN"/>
        </w:rPr>
        <w:t>°</w:t>
      </w:r>
      <w:r w:rsidR="000C4480" w:rsidRPr="00A66B7B">
        <w:rPr>
          <w:rFonts w:ascii="Arial" w:eastAsia="Times New Roman" w:hAnsi="Arial" w:cs="Arial"/>
          <w:sz w:val="20"/>
          <w:szCs w:val="20"/>
          <w:lang w:eastAsia="en-IN"/>
        </w:rPr>
        <w:t>C. Temperature set for drying was 130</w:t>
      </w:r>
      <w:r w:rsidR="000C4480" w:rsidRPr="00A66B7B">
        <w:rPr>
          <w:rFonts w:ascii="Courier New" w:eastAsia="Times New Roman" w:hAnsi="Courier New" w:cs="Courier New"/>
          <w:sz w:val="20"/>
          <w:szCs w:val="20"/>
          <w:lang w:eastAsia="en-IN"/>
        </w:rPr>
        <w:t>°</w:t>
      </w:r>
      <w:r w:rsidR="000C4480" w:rsidRPr="00A66B7B">
        <w:rPr>
          <w:rFonts w:ascii="Arial" w:eastAsia="Times New Roman" w:hAnsi="Arial" w:cs="Arial"/>
          <w:sz w:val="20"/>
          <w:szCs w:val="20"/>
          <w:lang w:eastAsia="en-IN"/>
        </w:rPr>
        <w:t xml:space="preserve">C for 2 hours. The sample was weighed again, burned at 600°C, cooled, and washed again. For cooling kept it in a desiccator after charring and then weighed. Fiber weight in sample determined by the weight that was lost during charring. </w:t>
      </w:r>
    </w:p>
    <w:p w14:paraId="2DD64F3C" w14:textId="77777777" w:rsidR="000C4480" w:rsidRPr="00A66B7B" w:rsidRDefault="000C4480" w:rsidP="007C7CC4">
      <w:pPr>
        <w:spacing w:after="0" w:line="240" w:lineRule="auto"/>
        <w:jc w:val="both"/>
        <w:rPr>
          <w:rFonts w:ascii="Arial" w:eastAsia="Times New Roman" w:hAnsi="Arial" w:cs="Arial"/>
          <w:sz w:val="20"/>
          <w:szCs w:val="20"/>
          <w:lang w:eastAsia="en-IN"/>
        </w:rPr>
      </w:pPr>
    </w:p>
    <w:p w14:paraId="11AA7283" w14:textId="77777777" w:rsidR="000C4480" w:rsidRPr="00A66B7B" w:rsidRDefault="000C4480"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Fiber % = </w:t>
      </w:r>
      <w:r w:rsidRPr="00A66B7B">
        <w:rPr>
          <w:rFonts w:ascii="Arial" w:eastAsia="Times New Roman" w:hAnsi="Arial" w:cs="Arial"/>
          <w:sz w:val="20"/>
          <w:szCs w:val="20"/>
          <w:u w:val="single"/>
          <w:lang w:eastAsia="en-IN"/>
        </w:rPr>
        <w:t>Wt of dried sample before ashing – Wt of sample after ashing</w:t>
      </w:r>
      <w:r w:rsidRPr="00A66B7B">
        <w:rPr>
          <w:rFonts w:ascii="Arial" w:eastAsia="Times New Roman" w:hAnsi="Arial" w:cs="Arial"/>
          <w:sz w:val="20"/>
          <w:szCs w:val="20"/>
          <w:lang w:eastAsia="en-IN"/>
        </w:rPr>
        <w:t xml:space="preserve"> × 100 </w:t>
      </w:r>
    </w:p>
    <w:p w14:paraId="52F7CA87" w14:textId="77777777" w:rsidR="000C4480" w:rsidRPr="00A66B7B" w:rsidRDefault="000C4480"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Initial weight of sample</w:t>
      </w:r>
    </w:p>
    <w:p w14:paraId="07218D11" w14:textId="77777777" w:rsidR="006A45B6" w:rsidRPr="00A66B7B" w:rsidRDefault="006A45B6" w:rsidP="007C7CC4">
      <w:pPr>
        <w:spacing w:after="0" w:line="240" w:lineRule="auto"/>
        <w:jc w:val="both"/>
        <w:rPr>
          <w:rFonts w:ascii="Arial" w:eastAsia="Times New Roman" w:hAnsi="Arial" w:cs="Arial"/>
          <w:sz w:val="20"/>
          <w:szCs w:val="20"/>
          <w:lang w:eastAsia="en-IN"/>
        </w:rPr>
      </w:pPr>
    </w:p>
    <w:p w14:paraId="2D2D677F"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41E82DF5"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0337DA09"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10B4506E"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707E588A"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3A17890A"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33F1157B" w14:textId="77777777" w:rsidR="00F665F7" w:rsidRPr="00A66B7B" w:rsidRDefault="006A45B6"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2.4.6 Carbohydrate Content</w:t>
      </w:r>
    </w:p>
    <w:p w14:paraId="42D1E926" w14:textId="77777777" w:rsidR="006A45B6" w:rsidRPr="00A66B7B" w:rsidRDefault="006A45B6" w:rsidP="007C7CC4">
      <w:pPr>
        <w:spacing w:after="0" w:line="240" w:lineRule="auto"/>
        <w:jc w:val="both"/>
        <w:rPr>
          <w:rFonts w:ascii="Arial" w:eastAsia="Times New Roman" w:hAnsi="Arial" w:cs="Arial"/>
          <w:b/>
          <w:sz w:val="20"/>
          <w:szCs w:val="20"/>
          <w:u w:val="single"/>
          <w:lang w:eastAsia="en-IN"/>
        </w:rPr>
      </w:pPr>
    </w:p>
    <w:p w14:paraId="09EA2C00" w14:textId="77777777" w:rsidR="006A45B6" w:rsidRPr="00A66B7B" w:rsidRDefault="006A45B6"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The percent carbohydrate was calculated by difference method</w:t>
      </w:r>
    </w:p>
    <w:p w14:paraId="77A6C3A1" w14:textId="77777777" w:rsidR="006A45B6" w:rsidRPr="00A66B7B" w:rsidRDefault="006A45B6" w:rsidP="007C7CC4">
      <w:pPr>
        <w:spacing w:after="0" w:line="240" w:lineRule="auto"/>
        <w:jc w:val="both"/>
        <w:rPr>
          <w:rFonts w:ascii="Arial" w:eastAsia="Times New Roman" w:hAnsi="Arial" w:cs="Arial"/>
          <w:sz w:val="20"/>
          <w:szCs w:val="20"/>
          <w:lang w:eastAsia="en-IN"/>
        </w:rPr>
      </w:pPr>
    </w:p>
    <w:p w14:paraId="53ABEA34" w14:textId="77777777" w:rsidR="006A45B6" w:rsidRPr="00A66B7B" w:rsidRDefault="006A45B6"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Carbohydrate (%) = 100- (Moisture % + Protein % + fat % + Ash %)</w:t>
      </w:r>
    </w:p>
    <w:p w14:paraId="0544AA55" w14:textId="77777777" w:rsidR="000D2B06" w:rsidRPr="00A66B7B" w:rsidRDefault="000D2B06" w:rsidP="007C7CC4">
      <w:pPr>
        <w:spacing w:after="0" w:line="240" w:lineRule="auto"/>
        <w:jc w:val="both"/>
        <w:rPr>
          <w:rFonts w:ascii="Arial" w:eastAsia="Times New Roman" w:hAnsi="Arial" w:cs="Arial"/>
          <w:sz w:val="20"/>
          <w:szCs w:val="20"/>
          <w:lang w:eastAsia="en-IN"/>
        </w:rPr>
      </w:pPr>
    </w:p>
    <w:p w14:paraId="36471F66" w14:textId="77777777" w:rsidR="000D2B06" w:rsidRPr="00A66B7B" w:rsidRDefault="000D2B06" w:rsidP="007C7CC4">
      <w:pPr>
        <w:spacing w:after="0" w:line="240" w:lineRule="auto"/>
        <w:jc w:val="both"/>
        <w:rPr>
          <w:rFonts w:ascii="Arial" w:eastAsia="Times New Roman" w:hAnsi="Arial" w:cs="Arial"/>
          <w:sz w:val="20"/>
          <w:szCs w:val="20"/>
          <w:lang w:eastAsia="en-IN"/>
        </w:rPr>
      </w:pPr>
    </w:p>
    <w:p w14:paraId="618C5F73" w14:textId="77777777" w:rsidR="006A45B6" w:rsidRPr="00A66B7B" w:rsidRDefault="000D2B06" w:rsidP="007C7CC4">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2.5 Determination of Antioxidant properties of the formulated herbal infusion sample</w:t>
      </w:r>
    </w:p>
    <w:p w14:paraId="61369EFC" w14:textId="77777777" w:rsidR="000D2B06" w:rsidRPr="00A66B7B" w:rsidRDefault="000D2B06" w:rsidP="007C7CC4">
      <w:pPr>
        <w:spacing w:after="0" w:line="240" w:lineRule="auto"/>
        <w:jc w:val="both"/>
        <w:rPr>
          <w:rFonts w:ascii="Arial" w:eastAsia="Times New Roman" w:hAnsi="Arial" w:cs="Arial"/>
          <w:b/>
          <w:lang w:eastAsia="en-IN"/>
        </w:rPr>
      </w:pPr>
    </w:p>
    <w:p w14:paraId="077E0C15" w14:textId="77777777" w:rsidR="00E00664" w:rsidRPr="00A66B7B" w:rsidRDefault="00B250E9"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Spectrophotometric analysis was used to evaluate the extracts' capacity to scavenge the DPPH (2,2-Diphenyl-1-1-Picrylhydrazyl) radical. </w:t>
      </w:r>
      <w:commentRangeStart w:id="32"/>
      <w:r w:rsidRPr="00A66B7B">
        <w:rPr>
          <w:rFonts w:ascii="Arial" w:eastAsia="Times New Roman" w:hAnsi="Arial" w:cs="Arial"/>
          <w:sz w:val="20"/>
          <w:szCs w:val="20"/>
          <w:lang w:eastAsia="en-IN"/>
        </w:rPr>
        <w:t>Cover the tubes with brown paper and add 100 µl of DPPH solution (dissolve 4.3 mg DPPH reagent in 3.3 ml pure methanol and shield from light)</w:t>
      </w:r>
      <w:r w:rsidR="00E00664" w:rsidRPr="00A66B7B">
        <w:rPr>
          <w:rFonts w:ascii="Arial" w:eastAsia="Times New Roman" w:hAnsi="Arial" w:cs="Arial"/>
          <w:sz w:val="20"/>
          <w:szCs w:val="20"/>
          <w:lang w:eastAsia="en-IN"/>
        </w:rPr>
        <w:t>. Leave it for 20 min and take the absorbance at 515 nm by visual spectrophotometry. For control, pour 150 µl DPPH solutions in 3 ml of methanol, leave it 20 min and take the absorbance at 515 nm by visual spectrophotometry. For balnk use methanol</w:t>
      </w:r>
      <w:commentRangeEnd w:id="32"/>
      <w:r w:rsidR="00571FF0" w:rsidRPr="00A66B7B">
        <w:rPr>
          <w:rStyle w:val="CommentReference"/>
          <w:rFonts w:ascii="Arial" w:eastAsia="Times New Roman" w:hAnsi="Arial" w:cs="Arial"/>
          <w:sz w:val="20"/>
          <w:szCs w:val="20"/>
          <w:lang w:eastAsia="en-IN"/>
        </w:rPr>
        <w:commentReference w:id="32"/>
      </w:r>
      <w:r w:rsidR="00E00664" w:rsidRPr="00A66B7B">
        <w:rPr>
          <w:rFonts w:ascii="Arial" w:eastAsia="Times New Roman" w:hAnsi="Arial" w:cs="Arial"/>
          <w:sz w:val="20"/>
          <w:szCs w:val="20"/>
          <w:lang w:eastAsia="en-IN"/>
        </w:rPr>
        <w:t xml:space="preserve"> </w:t>
      </w:r>
      <w:r w:rsidR="00E00664" w:rsidRPr="00A66B7B">
        <w:rPr>
          <w:rFonts w:ascii="Arial" w:eastAsia="Times New Roman" w:hAnsi="Arial" w:cs="Arial"/>
          <w:b/>
          <w:color w:val="222222"/>
          <w:sz w:val="20"/>
          <w:szCs w:val="20"/>
          <w:lang w:eastAsia="en-IN"/>
        </w:rPr>
        <w:t>(Kenari et al. 2014)</w:t>
      </w:r>
    </w:p>
    <w:p w14:paraId="09A22FA3" w14:textId="77777777" w:rsidR="00E00664" w:rsidRPr="00A66B7B" w:rsidRDefault="00E00664" w:rsidP="007C7CC4">
      <w:pPr>
        <w:spacing w:after="0" w:line="240" w:lineRule="auto"/>
        <w:jc w:val="both"/>
        <w:rPr>
          <w:rFonts w:ascii="Arial" w:eastAsia="Times New Roman" w:hAnsi="Arial" w:cs="Arial"/>
          <w:sz w:val="20"/>
          <w:szCs w:val="20"/>
          <w:lang w:eastAsia="en-IN"/>
        </w:rPr>
      </w:pPr>
    </w:p>
    <w:p w14:paraId="2E0A47EC" w14:textId="77777777" w:rsidR="00E00664" w:rsidRPr="00A66B7B" w:rsidRDefault="00E00664"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Antiradical Activity (%) = </w:t>
      </w:r>
      <w:r w:rsidRPr="00A66B7B">
        <w:rPr>
          <w:rFonts w:ascii="Arial" w:eastAsia="Times New Roman" w:hAnsi="Arial" w:cs="Arial"/>
          <w:sz w:val="20"/>
          <w:szCs w:val="20"/>
          <w:u w:val="single"/>
          <w:lang w:eastAsia="en-IN"/>
        </w:rPr>
        <w:t>Control absorbance- sample absorbance</w:t>
      </w:r>
      <w:r w:rsidRPr="00A66B7B">
        <w:rPr>
          <w:rFonts w:ascii="Arial" w:eastAsia="Times New Roman" w:hAnsi="Arial" w:cs="Arial"/>
          <w:sz w:val="20"/>
          <w:szCs w:val="20"/>
          <w:lang w:eastAsia="en-IN"/>
        </w:rPr>
        <w:t xml:space="preserve"> × 100</w:t>
      </w:r>
    </w:p>
    <w:p w14:paraId="5B75FC0E" w14:textId="77777777" w:rsidR="000D2B06" w:rsidRPr="00A66B7B" w:rsidRDefault="00E00664"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Control absorbance</w:t>
      </w:r>
    </w:p>
    <w:p w14:paraId="58537E53" w14:textId="77777777" w:rsidR="00E00664" w:rsidRPr="00A66B7B" w:rsidRDefault="00E00664" w:rsidP="007C7CC4">
      <w:pPr>
        <w:spacing w:after="0" w:line="240" w:lineRule="auto"/>
        <w:jc w:val="both"/>
        <w:rPr>
          <w:rFonts w:ascii="Arial" w:eastAsia="Times New Roman" w:hAnsi="Arial" w:cs="Arial"/>
          <w:sz w:val="20"/>
          <w:szCs w:val="20"/>
          <w:lang w:eastAsia="en-IN"/>
        </w:rPr>
      </w:pPr>
    </w:p>
    <w:p w14:paraId="16221CCF" w14:textId="77777777" w:rsidR="00E00664" w:rsidRPr="00A66B7B" w:rsidRDefault="00E00664" w:rsidP="007C7CC4">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2.6 Determination of</w:t>
      </w:r>
      <w:r w:rsidR="007960AF" w:rsidRPr="00A66B7B">
        <w:rPr>
          <w:rFonts w:ascii="Arial" w:eastAsia="Times New Roman" w:hAnsi="Arial" w:cs="Arial"/>
          <w:b/>
          <w:lang w:eastAsia="en-IN"/>
        </w:rPr>
        <w:t xml:space="preserve"> Phytochemicals</w:t>
      </w:r>
    </w:p>
    <w:p w14:paraId="35B7DED5" w14:textId="77777777" w:rsidR="00E00664" w:rsidRPr="00A66B7B" w:rsidRDefault="00E00664" w:rsidP="007C7CC4">
      <w:pPr>
        <w:spacing w:after="0" w:line="240" w:lineRule="auto"/>
        <w:jc w:val="both"/>
        <w:rPr>
          <w:rFonts w:ascii="Arial" w:eastAsia="Times New Roman" w:hAnsi="Arial" w:cs="Arial"/>
          <w:b/>
          <w:sz w:val="20"/>
          <w:szCs w:val="20"/>
          <w:lang w:eastAsia="en-IN"/>
        </w:rPr>
      </w:pPr>
    </w:p>
    <w:p w14:paraId="69EC5C9B" w14:textId="77777777" w:rsidR="00E00664" w:rsidRPr="00A66B7B" w:rsidRDefault="00E00664"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2.6.1 Determination of Total Phenolic Contents</w:t>
      </w:r>
    </w:p>
    <w:p w14:paraId="2BA98E3C" w14:textId="77777777" w:rsidR="00E00664" w:rsidRPr="00A66B7B" w:rsidRDefault="00E00664" w:rsidP="007C7CC4">
      <w:pPr>
        <w:spacing w:after="0" w:line="240" w:lineRule="auto"/>
        <w:jc w:val="both"/>
        <w:rPr>
          <w:rFonts w:ascii="Arial" w:eastAsia="Times New Roman" w:hAnsi="Arial" w:cs="Arial"/>
          <w:b/>
          <w:sz w:val="20"/>
          <w:szCs w:val="20"/>
          <w:u w:val="single"/>
          <w:lang w:eastAsia="en-IN"/>
        </w:rPr>
      </w:pPr>
    </w:p>
    <w:p w14:paraId="22C26B2A" w14:textId="77777777" w:rsidR="00E00664" w:rsidRPr="00A66B7B" w:rsidRDefault="00E00664" w:rsidP="007C7CC4">
      <w:pPr>
        <w:spacing w:after="0" w:line="240" w:lineRule="auto"/>
        <w:jc w:val="both"/>
        <w:rPr>
          <w:rFonts w:ascii="Arial" w:hAnsi="Arial" w:cs="Arial"/>
          <w:sz w:val="20"/>
          <w:szCs w:val="20"/>
        </w:rPr>
      </w:pPr>
      <w:commentRangeStart w:id="33"/>
      <w:r w:rsidRPr="00A66B7B">
        <w:rPr>
          <w:rFonts w:ascii="Arial" w:eastAsia="Times New Roman" w:hAnsi="Arial" w:cs="Arial"/>
          <w:sz w:val="20"/>
          <w:szCs w:val="20"/>
          <w:lang w:eastAsia="en-IN"/>
        </w:rPr>
        <w:t>Total Phenolic Content (TPC) , the amount of phenolic compunds in the extract were</w:t>
      </w:r>
      <w:commentRangeEnd w:id="33"/>
      <w:r w:rsidR="00571FF0" w:rsidRPr="00A66B7B">
        <w:rPr>
          <w:rStyle w:val="CommentReference"/>
          <w:rFonts w:ascii="Arial" w:eastAsia="Times New Roman" w:hAnsi="Arial" w:cs="Arial"/>
          <w:sz w:val="20"/>
          <w:szCs w:val="20"/>
          <w:lang w:eastAsia="en-IN"/>
        </w:rPr>
        <w:commentReference w:id="33"/>
      </w:r>
      <w:r w:rsidRPr="00A66B7B">
        <w:rPr>
          <w:rFonts w:ascii="Arial" w:eastAsia="Times New Roman" w:hAnsi="Arial" w:cs="Arial"/>
          <w:sz w:val="20"/>
          <w:szCs w:val="20"/>
          <w:lang w:eastAsia="en-IN"/>
        </w:rPr>
        <w:t xml:space="preserve"> determined according to the Folin-Coicalteu method </w:t>
      </w:r>
      <w:r w:rsidRPr="00A66B7B">
        <w:rPr>
          <w:rFonts w:ascii="Arial" w:eastAsia="Times New Roman" w:hAnsi="Arial" w:cs="Arial"/>
          <w:b/>
          <w:sz w:val="20"/>
          <w:szCs w:val="20"/>
          <w:lang w:eastAsia="en-IN"/>
        </w:rPr>
        <w:t>(</w:t>
      </w:r>
      <w:r w:rsidRPr="00A66B7B">
        <w:rPr>
          <w:rFonts w:ascii="Arial" w:hAnsi="Arial" w:cs="Arial"/>
          <w:b/>
          <w:sz w:val="20"/>
          <w:szCs w:val="20"/>
        </w:rPr>
        <w:t xml:space="preserve">Pourmorad et al. 2006) </w:t>
      </w:r>
      <w:r w:rsidRPr="00A66B7B">
        <w:rPr>
          <w:rFonts w:ascii="Arial" w:hAnsi="Arial" w:cs="Arial"/>
          <w:sz w:val="20"/>
          <w:szCs w:val="20"/>
        </w:rPr>
        <w:t xml:space="preserve">and </w:t>
      </w:r>
      <w:r w:rsidR="00B250E9" w:rsidRPr="00A66B7B">
        <w:rPr>
          <w:rFonts w:ascii="Arial" w:hAnsi="Arial" w:cs="Arial"/>
          <w:sz w:val="20"/>
          <w:szCs w:val="20"/>
        </w:rPr>
        <w:t xml:space="preserve">Gallic acid equivalents (GAE) in milligrams per gram were used to express the results. 0.5 mL of each sample was combined with 2.5 mL of a 10-fold diluted Folin-Coicalteu reagent and 2 mL of a 7.5% sodium carbonate solution to create concentrations of 1 mg/mL of extract in their respective </w:t>
      </w:r>
      <w:commentRangeStart w:id="34"/>
      <w:r w:rsidR="00B250E9" w:rsidRPr="00A66B7B">
        <w:rPr>
          <w:rFonts w:ascii="Arial" w:hAnsi="Arial" w:cs="Arial"/>
          <w:sz w:val="20"/>
          <w:szCs w:val="20"/>
        </w:rPr>
        <w:t>splvents</w:t>
      </w:r>
      <w:commentRangeEnd w:id="34"/>
      <w:r w:rsidR="00571FF0" w:rsidRPr="00A66B7B">
        <w:rPr>
          <w:rStyle w:val="CommentReference"/>
          <w:rFonts w:ascii="Arial" w:hAnsi="Arial" w:cs="Arial"/>
          <w:sz w:val="20"/>
          <w:szCs w:val="20"/>
        </w:rPr>
        <w:commentReference w:id="34"/>
      </w:r>
      <w:r w:rsidR="00B250E9" w:rsidRPr="00A66B7B">
        <w:rPr>
          <w:rFonts w:ascii="Arial" w:hAnsi="Arial" w:cs="Arial"/>
          <w:sz w:val="20"/>
          <w:szCs w:val="20"/>
        </w:rPr>
        <w:t>. After the samples were stored at room temperature for 30 minutes, the absorbance was measured spectrometrically at 760 nm using a T80 + UV/VIS spectrophotometer.</w:t>
      </w:r>
    </w:p>
    <w:p w14:paraId="1795FC28" w14:textId="77777777" w:rsidR="00B250E9" w:rsidRPr="00A66B7B" w:rsidRDefault="00B250E9" w:rsidP="007C7CC4">
      <w:pPr>
        <w:spacing w:after="0" w:line="240" w:lineRule="auto"/>
        <w:jc w:val="both"/>
        <w:rPr>
          <w:rFonts w:ascii="Arial" w:eastAsia="Times New Roman" w:hAnsi="Arial" w:cs="Arial"/>
          <w:sz w:val="20"/>
          <w:szCs w:val="20"/>
          <w:lang w:eastAsia="en-IN"/>
        </w:rPr>
      </w:pPr>
    </w:p>
    <w:p w14:paraId="6FF75276" w14:textId="77777777" w:rsidR="00E00664" w:rsidRPr="00A66B7B" w:rsidRDefault="009104BD"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2.6.2 Determination of Total Flavonoid Content</w:t>
      </w:r>
    </w:p>
    <w:p w14:paraId="7E236117" w14:textId="77777777" w:rsidR="009104BD" w:rsidRPr="00A66B7B" w:rsidRDefault="009104BD" w:rsidP="007C7CC4">
      <w:pPr>
        <w:spacing w:after="0" w:line="240" w:lineRule="auto"/>
        <w:jc w:val="both"/>
        <w:rPr>
          <w:rFonts w:ascii="Arial" w:eastAsia="Times New Roman" w:hAnsi="Arial" w:cs="Arial"/>
          <w:b/>
          <w:sz w:val="20"/>
          <w:szCs w:val="20"/>
          <w:u w:val="single"/>
          <w:lang w:eastAsia="en-IN"/>
        </w:rPr>
      </w:pPr>
    </w:p>
    <w:p w14:paraId="2E50A2AC" w14:textId="77777777" w:rsidR="009104BD" w:rsidRPr="00A66B7B" w:rsidRDefault="009104BD" w:rsidP="007C7CC4">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The total flavonoid content was determined by the method of </w:t>
      </w:r>
      <w:r w:rsidRPr="00A66B7B">
        <w:rPr>
          <w:rFonts w:ascii="Arial" w:eastAsia="Times New Roman" w:hAnsi="Arial" w:cs="Arial"/>
          <w:b/>
          <w:sz w:val="20"/>
          <w:szCs w:val="20"/>
          <w:lang w:eastAsia="en-IN"/>
        </w:rPr>
        <w:t xml:space="preserve">(Boateng </w:t>
      </w:r>
      <w:r w:rsidRPr="00A66B7B">
        <w:rPr>
          <w:rFonts w:ascii="Arial" w:eastAsia="Times New Roman" w:hAnsi="Arial" w:cs="Arial"/>
          <w:b/>
          <w:i/>
          <w:sz w:val="20"/>
          <w:szCs w:val="20"/>
          <w:lang w:eastAsia="en-IN"/>
        </w:rPr>
        <w:t>et</w:t>
      </w:r>
      <w:r w:rsidRPr="00A66B7B">
        <w:rPr>
          <w:rFonts w:ascii="Arial" w:eastAsia="Times New Roman" w:hAnsi="Arial" w:cs="Arial"/>
          <w:b/>
          <w:sz w:val="20"/>
          <w:szCs w:val="20"/>
          <w:lang w:eastAsia="en-IN"/>
        </w:rPr>
        <w:t xml:space="preserve"> al., 2008). </w:t>
      </w:r>
      <w:r w:rsidR="00B250E9" w:rsidRPr="00A66B7B">
        <w:rPr>
          <w:rFonts w:ascii="Arial" w:eastAsia="Times New Roman" w:hAnsi="Arial" w:cs="Arial"/>
          <w:sz w:val="20"/>
          <w:szCs w:val="20"/>
          <w:lang w:eastAsia="en-IN"/>
        </w:rPr>
        <w:t>150 µL of 5% sodium nitrite (NaNO2) and 2 mL of ethanolic extract were combined, and the mixture was left for five minutes. After adding 150 µL of aluminum chloride (AlCl3), the mixture was incubated for ten minutes. Next, 1.2 mL of distilled water and 1 mL of 1M sodium hydroxide (NaOH) were added. A spectrophotometer was used to measure the absorbance at 510 nm after the solution had been well shaken and left for ten minutes. Quercetin (0.05-0.5 mg/mL) was used to produce a standard curve from which the results were computed. The outcome was given in milligrams of quercetin equivalents (QE) per gram of dry material.</w:t>
      </w:r>
    </w:p>
    <w:p w14:paraId="667D68F0" w14:textId="77777777" w:rsidR="009104BD" w:rsidRPr="00A66B7B" w:rsidRDefault="009104BD" w:rsidP="007C7CC4">
      <w:pPr>
        <w:spacing w:after="0" w:line="240" w:lineRule="auto"/>
        <w:jc w:val="both"/>
        <w:rPr>
          <w:rFonts w:ascii="Arial" w:eastAsia="Times New Roman" w:hAnsi="Arial" w:cs="Arial"/>
          <w:sz w:val="20"/>
          <w:szCs w:val="20"/>
          <w:lang w:eastAsia="en-IN"/>
        </w:rPr>
      </w:pPr>
    </w:p>
    <w:p w14:paraId="742FB1D3" w14:textId="77777777" w:rsidR="009104BD" w:rsidRPr="00A66B7B" w:rsidRDefault="009104BD" w:rsidP="007C7CC4">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2.6.3 Determination of Total Tannin Content</w:t>
      </w:r>
    </w:p>
    <w:p w14:paraId="64C5E868" w14:textId="77777777" w:rsidR="00B250E9" w:rsidRPr="00A66B7B" w:rsidRDefault="00B250E9" w:rsidP="009104BD">
      <w:pPr>
        <w:spacing w:after="0" w:line="240" w:lineRule="auto"/>
        <w:jc w:val="both"/>
        <w:rPr>
          <w:rFonts w:ascii="Arial" w:eastAsia="Times New Roman" w:hAnsi="Arial" w:cs="Arial"/>
          <w:sz w:val="20"/>
          <w:szCs w:val="20"/>
          <w:lang w:eastAsia="en-IN"/>
        </w:rPr>
      </w:pPr>
    </w:p>
    <w:p w14:paraId="1771C842" w14:textId="77777777" w:rsidR="00496C0C" w:rsidRPr="00A66B7B" w:rsidRDefault="00BE74FC" w:rsidP="009104BD">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Folin-denis method</w:t>
      </w:r>
      <w:r w:rsidR="00B250E9" w:rsidRPr="00A66B7B">
        <w:rPr>
          <w:rFonts w:ascii="Arial" w:eastAsia="Times New Roman" w:hAnsi="Arial" w:cs="Arial"/>
          <w:sz w:val="20"/>
          <w:szCs w:val="20"/>
          <w:lang w:eastAsia="en-IN"/>
        </w:rPr>
        <w:t xml:space="preserve"> is used to determine the total tannin content which </w:t>
      </w:r>
      <w:r w:rsidRPr="00A66B7B">
        <w:rPr>
          <w:rFonts w:ascii="Arial" w:eastAsia="Times New Roman" w:hAnsi="Arial" w:cs="Arial"/>
          <w:sz w:val="20"/>
          <w:szCs w:val="20"/>
          <w:lang w:eastAsia="en-IN"/>
        </w:rPr>
        <w:t xml:space="preserve">described by </w:t>
      </w:r>
      <w:r w:rsidRPr="00A66B7B">
        <w:rPr>
          <w:rFonts w:ascii="Arial" w:eastAsia="Times New Roman" w:hAnsi="Arial" w:cs="Arial"/>
          <w:b/>
          <w:sz w:val="20"/>
          <w:szCs w:val="20"/>
          <w:lang w:eastAsia="en-IN"/>
        </w:rPr>
        <w:t xml:space="preserve">(Saxena </w:t>
      </w:r>
      <w:r w:rsidRPr="00A66B7B">
        <w:rPr>
          <w:rFonts w:ascii="Arial" w:eastAsia="Times New Roman" w:hAnsi="Arial" w:cs="Arial"/>
          <w:b/>
          <w:i/>
          <w:sz w:val="20"/>
          <w:szCs w:val="20"/>
          <w:lang w:eastAsia="en-IN"/>
        </w:rPr>
        <w:t xml:space="preserve">et </w:t>
      </w:r>
      <w:r w:rsidRPr="00A66B7B">
        <w:rPr>
          <w:rFonts w:ascii="Arial" w:eastAsia="Times New Roman" w:hAnsi="Arial" w:cs="Arial"/>
          <w:b/>
          <w:sz w:val="20"/>
          <w:szCs w:val="20"/>
          <w:lang w:eastAsia="en-IN"/>
        </w:rPr>
        <w:t xml:space="preserve">al., 2015). </w:t>
      </w:r>
      <w:r w:rsidR="00B250E9" w:rsidRPr="00A66B7B">
        <w:rPr>
          <w:rFonts w:ascii="Arial" w:eastAsia="Times New Roman" w:hAnsi="Arial" w:cs="Arial"/>
          <w:sz w:val="20"/>
          <w:szCs w:val="20"/>
          <w:lang w:eastAsia="en-IN"/>
        </w:rPr>
        <w:t xml:space="preserve">0.5 g of powdered material was extracted by boiling it with 75 mL of distilled water for 30 minutes, centrifuging it for 20 minutes at 2000 rpm, and then making the supernatant up to 100 mL. For analysis, 10 mL of sodium carbonate solution and 5 mL of </w:t>
      </w:r>
      <w:r w:rsidR="00E51CCB" w:rsidRPr="00A66B7B">
        <w:rPr>
          <w:rFonts w:ascii="Arial" w:eastAsia="Times New Roman" w:hAnsi="Arial" w:cs="Arial"/>
          <w:sz w:val="20"/>
          <w:szCs w:val="20"/>
          <w:lang w:eastAsia="en-IN"/>
        </w:rPr>
        <w:t>F</w:t>
      </w:r>
      <w:r w:rsidR="00B250E9" w:rsidRPr="00A66B7B">
        <w:rPr>
          <w:rFonts w:ascii="Arial" w:eastAsia="Times New Roman" w:hAnsi="Arial" w:cs="Arial"/>
          <w:sz w:val="20"/>
          <w:szCs w:val="20"/>
          <w:lang w:eastAsia="en-IN"/>
        </w:rPr>
        <w:t>olin-Denis reagent were added to 1 mL of extract in a 100 mL volumetric flask with 75 mL of water. The volume was increased to 100 milliliters. After 30 minutes of shaking and incubation, the mixture's absorbance at 700 nm was measured in comparison to a blank. Tannic acid (100 mg/100 mL distilled water) was used to create a standard curve with the proper aliquots for calibration.</w:t>
      </w:r>
    </w:p>
    <w:p w14:paraId="031C43BA" w14:textId="77777777" w:rsidR="00B250E9" w:rsidRPr="00A66B7B" w:rsidRDefault="00B250E9" w:rsidP="009104BD">
      <w:pPr>
        <w:spacing w:after="0" w:line="240" w:lineRule="auto"/>
        <w:jc w:val="both"/>
        <w:rPr>
          <w:rFonts w:ascii="Arial" w:eastAsia="Times New Roman" w:hAnsi="Arial" w:cs="Arial"/>
          <w:sz w:val="20"/>
          <w:szCs w:val="20"/>
          <w:lang w:eastAsia="en-IN"/>
        </w:rPr>
      </w:pPr>
    </w:p>
    <w:p w14:paraId="6E5EEF70" w14:textId="77777777" w:rsidR="00496C0C" w:rsidRPr="00A66B7B" w:rsidRDefault="00496C0C" w:rsidP="009104BD">
      <w:pPr>
        <w:spacing w:after="0" w:line="240" w:lineRule="auto"/>
        <w:jc w:val="both"/>
        <w:rPr>
          <w:rFonts w:ascii="Arial" w:eastAsia="Times New Roman" w:hAnsi="Arial" w:cs="Arial"/>
          <w:b/>
          <w:lang w:eastAsia="en-IN"/>
        </w:rPr>
      </w:pPr>
      <w:r w:rsidRPr="00A66B7B">
        <w:rPr>
          <w:rFonts w:ascii="Arial" w:eastAsia="Times New Roman" w:hAnsi="Arial" w:cs="Arial"/>
          <w:b/>
          <w:lang w:eastAsia="en-IN"/>
        </w:rPr>
        <w:t xml:space="preserve">2.7 Physicochemical Property of </w:t>
      </w:r>
      <w:r w:rsidR="00180577" w:rsidRPr="00A66B7B">
        <w:rPr>
          <w:rFonts w:ascii="Arial" w:eastAsia="Times New Roman" w:hAnsi="Arial" w:cs="Arial"/>
          <w:b/>
          <w:lang w:eastAsia="en-IN"/>
        </w:rPr>
        <w:t>Formulated Infusion Sample</w:t>
      </w:r>
    </w:p>
    <w:p w14:paraId="4B1496B9" w14:textId="77777777" w:rsidR="007C4A76" w:rsidRPr="00A66B7B" w:rsidRDefault="007C4A76" w:rsidP="009104BD">
      <w:pPr>
        <w:spacing w:after="0" w:line="240" w:lineRule="auto"/>
        <w:jc w:val="both"/>
        <w:rPr>
          <w:rFonts w:ascii="Arial" w:eastAsia="Times New Roman" w:hAnsi="Arial" w:cs="Arial"/>
          <w:b/>
          <w:lang w:eastAsia="en-IN"/>
        </w:rPr>
      </w:pPr>
    </w:p>
    <w:p w14:paraId="6FE70B80" w14:textId="77777777" w:rsidR="007C4A76" w:rsidRPr="00A66B7B" w:rsidRDefault="007C4A76" w:rsidP="009104BD">
      <w:pPr>
        <w:spacing w:after="0" w:line="240" w:lineRule="auto"/>
        <w:jc w:val="both"/>
        <w:rPr>
          <w:rFonts w:ascii="Arial" w:eastAsia="Times New Roman" w:hAnsi="Arial" w:cs="Arial"/>
          <w:b/>
          <w:sz w:val="20"/>
          <w:szCs w:val="20"/>
          <w:u w:val="single"/>
          <w:lang w:eastAsia="en-IN"/>
        </w:rPr>
      </w:pPr>
      <w:r w:rsidRPr="00A66B7B">
        <w:rPr>
          <w:rFonts w:ascii="Arial" w:eastAsia="Times New Roman" w:hAnsi="Arial" w:cs="Arial"/>
          <w:b/>
          <w:sz w:val="20"/>
          <w:szCs w:val="20"/>
          <w:u w:val="single"/>
          <w:lang w:eastAsia="en-IN"/>
        </w:rPr>
        <w:t>2.7.1 Determination of pH</w:t>
      </w:r>
    </w:p>
    <w:p w14:paraId="0DB1149B" w14:textId="77777777" w:rsidR="007C4A76" w:rsidRPr="00A66B7B" w:rsidRDefault="007C4A76" w:rsidP="009104BD">
      <w:pPr>
        <w:spacing w:after="0" w:line="240" w:lineRule="auto"/>
        <w:jc w:val="both"/>
        <w:rPr>
          <w:rFonts w:ascii="Arial" w:eastAsia="Times New Roman" w:hAnsi="Arial" w:cs="Arial"/>
          <w:b/>
          <w:sz w:val="20"/>
          <w:szCs w:val="20"/>
          <w:u w:val="single"/>
          <w:lang w:eastAsia="en-IN"/>
        </w:rPr>
      </w:pPr>
    </w:p>
    <w:p w14:paraId="5D702F63" w14:textId="77777777" w:rsidR="00AA3C9A" w:rsidRDefault="00B250E9" w:rsidP="009104BD">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A digital pH meter that had been calibrated was used to measure the sample's pH</w:t>
      </w:r>
      <w:r w:rsidR="00AA3C9A" w:rsidRPr="00A66B7B">
        <w:rPr>
          <w:rFonts w:ascii="Arial" w:eastAsia="Times New Roman" w:hAnsi="Arial" w:cs="Arial"/>
          <w:sz w:val="20"/>
          <w:szCs w:val="20"/>
          <w:lang w:eastAsia="en-IN"/>
        </w:rPr>
        <w:t xml:space="preserve">. </w:t>
      </w:r>
      <w:r w:rsidRPr="00A66B7B">
        <w:rPr>
          <w:rFonts w:ascii="Arial" w:eastAsia="Times New Roman" w:hAnsi="Arial" w:cs="Arial"/>
          <w:sz w:val="20"/>
          <w:szCs w:val="20"/>
          <w:lang w:eastAsia="en-IN"/>
        </w:rPr>
        <w:t>Before analysis,</w:t>
      </w:r>
      <w:r w:rsidR="00AA3C9A" w:rsidRPr="00A66B7B">
        <w:rPr>
          <w:rFonts w:ascii="Arial" w:eastAsia="Times New Roman" w:hAnsi="Arial" w:cs="Arial"/>
          <w:sz w:val="20"/>
          <w:szCs w:val="20"/>
          <w:lang w:eastAsia="en-IN"/>
        </w:rPr>
        <w:t xml:space="preserve"> a buffer solution of pH 4.0 and 7.0</w:t>
      </w:r>
      <w:r w:rsidRPr="00A66B7B">
        <w:rPr>
          <w:rFonts w:ascii="Arial" w:eastAsia="Times New Roman" w:hAnsi="Arial" w:cs="Arial"/>
          <w:sz w:val="20"/>
          <w:szCs w:val="20"/>
          <w:lang w:eastAsia="en-IN"/>
        </w:rPr>
        <w:t xml:space="preserve"> was used to standardise the instrument</w:t>
      </w:r>
      <w:r w:rsidR="00AA3C9A" w:rsidRPr="00A66B7B">
        <w:rPr>
          <w:rFonts w:ascii="Arial" w:eastAsia="Times New Roman" w:hAnsi="Arial" w:cs="Arial"/>
          <w:sz w:val="20"/>
          <w:szCs w:val="20"/>
          <w:lang w:eastAsia="en-IN"/>
        </w:rPr>
        <w:t xml:space="preserve">. About 10 mL of the prepared sample was taken and the electrode was immersed directly into the solution for measurements. The pH value was </w:t>
      </w:r>
      <w:r w:rsidR="00D370D2" w:rsidRPr="00A66B7B">
        <w:rPr>
          <w:rFonts w:ascii="Arial" w:eastAsia="Times New Roman" w:hAnsi="Arial" w:cs="Arial"/>
          <w:sz w:val="20"/>
          <w:szCs w:val="20"/>
          <w:lang w:eastAsia="en-IN"/>
        </w:rPr>
        <w:t>recorded</w:t>
      </w:r>
      <w:r w:rsidR="00AA3C9A" w:rsidRPr="00A66B7B">
        <w:rPr>
          <w:rFonts w:ascii="Arial" w:eastAsia="Times New Roman" w:hAnsi="Arial" w:cs="Arial"/>
          <w:sz w:val="20"/>
          <w:szCs w:val="20"/>
          <w:lang w:eastAsia="en-IN"/>
        </w:rPr>
        <w:t xml:space="preserve"> at room temperature.</w:t>
      </w:r>
    </w:p>
    <w:p w14:paraId="6B4E9E84" w14:textId="77777777" w:rsidR="005111FF" w:rsidRDefault="005111FF" w:rsidP="009104BD">
      <w:pPr>
        <w:spacing w:after="0" w:line="240" w:lineRule="auto"/>
        <w:jc w:val="both"/>
        <w:rPr>
          <w:rFonts w:ascii="Arial" w:eastAsia="Times New Roman" w:hAnsi="Arial" w:cs="Arial"/>
          <w:sz w:val="20"/>
          <w:szCs w:val="20"/>
          <w:lang w:eastAsia="en-IN"/>
        </w:rPr>
      </w:pPr>
    </w:p>
    <w:p w14:paraId="7F39DB3A" w14:textId="77777777" w:rsidR="005111FF" w:rsidRDefault="005111FF" w:rsidP="009104BD">
      <w:pPr>
        <w:spacing w:after="0" w:line="240" w:lineRule="auto"/>
        <w:jc w:val="both"/>
        <w:rPr>
          <w:rFonts w:ascii="Arial" w:eastAsia="Times New Roman" w:hAnsi="Arial" w:cs="Arial"/>
          <w:sz w:val="20"/>
          <w:szCs w:val="20"/>
          <w:lang w:eastAsia="en-IN"/>
        </w:rPr>
      </w:pPr>
    </w:p>
    <w:p w14:paraId="27E50B6D" w14:textId="77777777" w:rsidR="005111FF" w:rsidRDefault="005111FF" w:rsidP="009104BD">
      <w:pPr>
        <w:spacing w:after="0" w:line="240" w:lineRule="auto"/>
        <w:jc w:val="both"/>
        <w:rPr>
          <w:rFonts w:ascii="Arial" w:eastAsia="Times New Roman" w:hAnsi="Arial" w:cs="Arial"/>
          <w:sz w:val="20"/>
          <w:szCs w:val="20"/>
          <w:lang w:eastAsia="en-IN"/>
        </w:rPr>
      </w:pPr>
    </w:p>
    <w:p w14:paraId="67DA908F" w14:textId="77777777" w:rsidR="005111FF" w:rsidRPr="00A66B7B" w:rsidRDefault="005111FF" w:rsidP="009104BD">
      <w:pPr>
        <w:spacing w:after="0" w:line="240" w:lineRule="auto"/>
        <w:jc w:val="both"/>
        <w:rPr>
          <w:rFonts w:ascii="Arial" w:eastAsia="Times New Roman" w:hAnsi="Arial" w:cs="Arial"/>
          <w:sz w:val="20"/>
          <w:szCs w:val="20"/>
          <w:lang w:eastAsia="en-IN"/>
        </w:rPr>
      </w:pPr>
    </w:p>
    <w:p w14:paraId="33D6C1D5" w14:textId="77777777" w:rsidR="00180577" w:rsidRPr="00A66B7B" w:rsidRDefault="00180577" w:rsidP="009104BD">
      <w:pPr>
        <w:spacing w:after="0" w:line="240" w:lineRule="auto"/>
        <w:jc w:val="both"/>
        <w:rPr>
          <w:rFonts w:ascii="Arial" w:eastAsia="Times New Roman" w:hAnsi="Arial" w:cs="Arial"/>
          <w:sz w:val="20"/>
          <w:szCs w:val="20"/>
          <w:lang w:eastAsia="en-IN"/>
        </w:rPr>
      </w:pPr>
    </w:p>
    <w:p w14:paraId="50D6CC30" w14:textId="77777777" w:rsidR="007C4A76" w:rsidRPr="00A66B7B" w:rsidRDefault="007C4A76" w:rsidP="009104BD">
      <w:pPr>
        <w:spacing w:after="0" w:line="240" w:lineRule="auto"/>
        <w:jc w:val="both"/>
        <w:rPr>
          <w:rFonts w:ascii="Arial" w:eastAsia="Times New Roman" w:hAnsi="Arial" w:cs="Arial"/>
          <w:sz w:val="20"/>
          <w:szCs w:val="20"/>
          <w:lang w:eastAsia="en-IN"/>
        </w:rPr>
      </w:pPr>
    </w:p>
    <w:p w14:paraId="5B643609"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2E79E6FD" w14:textId="77777777" w:rsidR="00496C0C" w:rsidRPr="00A66B7B" w:rsidRDefault="00496C0C" w:rsidP="009104BD">
      <w:pPr>
        <w:spacing w:after="0" w:line="240" w:lineRule="auto"/>
        <w:jc w:val="both"/>
        <w:rPr>
          <w:rFonts w:ascii="Arial" w:eastAsia="Times New Roman" w:hAnsi="Arial" w:cs="Arial"/>
          <w:sz w:val="20"/>
          <w:szCs w:val="20"/>
          <w:lang w:eastAsia="en-IN"/>
        </w:rPr>
      </w:pPr>
    </w:p>
    <w:p w14:paraId="159F4B15"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1B102FEF"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570BAC5B" w14:textId="77777777" w:rsidR="00496C0C" w:rsidRPr="00A66B7B" w:rsidRDefault="00496C0C" w:rsidP="009104BD">
      <w:pPr>
        <w:spacing w:after="0" w:line="240" w:lineRule="auto"/>
        <w:jc w:val="both"/>
        <w:rPr>
          <w:rFonts w:ascii="Arial" w:eastAsia="Times New Roman" w:hAnsi="Arial" w:cs="Arial"/>
          <w:b/>
          <w:sz w:val="20"/>
          <w:szCs w:val="20"/>
          <w:u w:val="single"/>
          <w:lang w:eastAsia="en-IN"/>
        </w:rPr>
      </w:pPr>
    </w:p>
    <w:p w14:paraId="75DFF24D" w14:textId="77777777" w:rsidR="00496C0C" w:rsidRPr="00A66B7B" w:rsidRDefault="00496C0C" w:rsidP="009104BD">
      <w:pPr>
        <w:spacing w:after="0" w:line="240" w:lineRule="auto"/>
        <w:jc w:val="both"/>
        <w:rPr>
          <w:rFonts w:ascii="Arial" w:eastAsia="Times New Roman" w:hAnsi="Arial" w:cs="Arial"/>
          <w:sz w:val="20"/>
          <w:szCs w:val="20"/>
          <w:lang w:eastAsia="en-IN"/>
        </w:rPr>
      </w:pPr>
    </w:p>
    <w:p w14:paraId="2B5F6C9C" w14:textId="77777777" w:rsidR="00A24D5F" w:rsidRPr="00A66B7B" w:rsidRDefault="00A24D5F" w:rsidP="009104BD">
      <w:pPr>
        <w:spacing w:after="0" w:line="240" w:lineRule="auto"/>
        <w:jc w:val="both"/>
        <w:rPr>
          <w:rFonts w:ascii="Arial" w:eastAsia="Times New Roman" w:hAnsi="Arial" w:cs="Arial"/>
          <w:sz w:val="20"/>
          <w:szCs w:val="20"/>
          <w:lang w:eastAsia="en-IN"/>
        </w:rPr>
      </w:pPr>
    </w:p>
    <w:p w14:paraId="06D6613C" w14:textId="77777777" w:rsidR="003238AE" w:rsidRPr="00A66B7B" w:rsidRDefault="00BE74FC" w:rsidP="009104BD">
      <w:pPr>
        <w:spacing w:after="0" w:line="240" w:lineRule="auto"/>
        <w:jc w:val="both"/>
        <w:rPr>
          <w:rFonts w:ascii="Arial" w:eastAsia="Times New Roman" w:hAnsi="Arial" w:cs="Arial"/>
          <w:sz w:val="20"/>
          <w:szCs w:val="20"/>
          <w:lang w:eastAsia="en-IN"/>
        </w:rPr>
      </w:pPr>
      <w:r w:rsidRPr="00A66B7B">
        <w:rPr>
          <w:rFonts w:ascii="Arial" w:eastAsia="Times New Roman" w:hAnsi="Arial" w:cs="Arial"/>
          <w:sz w:val="20"/>
          <w:szCs w:val="20"/>
          <w:lang w:eastAsia="en-IN"/>
        </w:rPr>
        <w:t xml:space="preserve"> </w:t>
      </w:r>
    </w:p>
    <w:p w14:paraId="695CF5FD" w14:textId="77777777" w:rsidR="00180577" w:rsidRPr="00A66B7B" w:rsidRDefault="00180577" w:rsidP="00D23D07">
      <w:pPr>
        <w:spacing w:line="240" w:lineRule="auto"/>
        <w:jc w:val="both"/>
        <w:rPr>
          <w:rFonts w:ascii="Arial" w:hAnsi="Arial" w:cs="Arial"/>
          <w:b/>
          <w:color w:val="000000" w:themeColor="text1"/>
          <w:sz w:val="20"/>
          <w:szCs w:val="20"/>
          <w:u w:val="single"/>
          <w:lang w:val="en-GB"/>
        </w:rPr>
      </w:pPr>
      <w:r w:rsidRPr="00A66B7B">
        <w:rPr>
          <w:rFonts w:ascii="Arial" w:hAnsi="Arial" w:cs="Arial"/>
          <w:b/>
          <w:color w:val="000000" w:themeColor="text1"/>
          <w:sz w:val="20"/>
          <w:szCs w:val="20"/>
          <w:u w:val="single"/>
          <w:lang w:val="en-GB"/>
        </w:rPr>
        <w:lastRenderedPageBreak/>
        <w:t xml:space="preserve">2.7.2 Determination of </w:t>
      </w:r>
      <w:r w:rsidR="0050655D" w:rsidRPr="00A66B7B">
        <w:rPr>
          <w:rFonts w:ascii="Arial" w:hAnsi="Arial" w:cs="Arial"/>
          <w:b/>
          <w:color w:val="000000" w:themeColor="text1"/>
          <w:sz w:val="20"/>
          <w:szCs w:val="20"/>
          <w:u w:val="single"/>
          <w:lang w:val="en-GB"/>
        </w:rPr>
        <w:t>Colour</w:t>
      </w:r>
    </w:p>
    <w:p w14:paraId="2E55D7C8" w14:textId="77777777" w:rsidR="00180577" w:rsidRPr="00A66B7B" w:rsidRDefault="00180577" w:rsidP="00D23D07">
      <w:pPr>
        <w:spacing w:line="240" w:lineRule="auto"/>
        <w:jc w:val="both"/>
        <w:rPr>
          <w:rFonts w:ascii="Arial" w:hAnsi="Arial" w:cs="Arial"/>
          <w:color w:val="000000" w:themeColor="text1"/>
          <w:sz w:val="20"/>
          <w:szCs w:val="20"/>
          <w:lang w:val="en-GB"/>
        </w:rPr>
      </w:pPr>
      <w:r w:rsidRPr="00A66B7B">
        <w:rPr>
          <w:rFonts w:ascii="Arial" w:hAnsi="Arial" w:cs="Arial"/>
          <w:color w:val="000000" w:themeColor="text1"/>
          <w:sz w:val="20"/>
          <w:szCs w:val="20"/>
          <w:lang w:val="en-GB"/>
        </w:rPr>
        <w:t xml:space="preserve">The colorimeter by Sensegood </w:t>
      </w:r>
      <w:r w:rsidR="00870309" w:rsidRPr="00A66B7B">
        <w:rPr>
          <w:rFonts w:ascii="Arial" w:hAnsi="Arial" w:cs="Arial"/>
          <w:color w:val="000000" w:themeColor="text1"/>
          <w:sz w:val="20"/>
          <w:szCs w:val="20"/>
          <w:lang w:val="en-GB"/>
        </w:rPr>
        <w:t>t</w:t>
      </w:r>
      <w:r w:rsidRPr="00A66B7B">
        <w:rPr>
          <w:rFonts w:ascii="Arial" w:hAnsi="Arial" w:cs="Arial"/>
          <w:color w:val="000000" w:themeColor="text1"/>
          <w:sz w:val="20"/>
          <w:szCs w:val="20"/>
          <w:lang w:val="en-GB"/>
        </w:rPr>
        <w:t xml:space="preserve">echnologies was used to measure the herbal infusion colour in the L * a * b system. </w:t>
      </w:r>
      <w:r w:rsidR="00870309" w:rsidRPr="00A66B7B">
        <w:rPr>
          <w:rFonts w:ascii="Arial" w:hAnsi="Arial" w:cs="Arial"/>
          <w:color w:val="000000" w:themeColor="text1"/>
          <w:sz w:val="20"/>
          <w:szCs w:val="20"/>
          <w:lang w:val="en-GB"/>
        </w:rPr>
        <w:t xml:space="preserve"> Where </w:t>
      </w:r>
      <w:r w:rsidR="00870309" w:rsidRPr="00A66B7B">
        <w:rPr>
          <w:rFonts w:ascii="Arial" w:hAnsi="Arial" w:cs="Arial"/>
          <w:b/>
          <w:color w:val="000000" w:themeColor="text1"/>
          <w:sz w:val="20"/>
          <w:szCs w:val="20"/>
          <w:lang w:val="en-GB"/>
        </w:rPr>
        <w:t>L,</w:t>
      </w:r>
      <w:r w:rsidR="00870309" w:rsidRPr="00A66B7B">
        <w:rPr>
          <w:rFonts w:ascii="Arial" w:hAnsi="Arial" w:cs="Arial"/>
          <w:color w:val="000000" w:themeColor="text1"/>
          <w:sz w:val="20"/>
          <w:szCs w:val="20"/>
          <w:lang w:val="en-GB"/>
        </w:rPr>
        <w:t xml:space="preserve"> value indicates lightness, ranges from 0 </w:t>
      </w:r>
      <w:r w:rsidR="00D370D2" w:rsidRPr="00A66B7B">
        <w:rPr>
          <w:rFonts w:ascii="Arial" w:hAnsi="Arial" w:cs="Arial"/>
          <w:color w:val="000000" w:themeColor="text1"/>
          <w:sz w:val="20"/>
          <w:szCs w:val="20"/>
          <w:lang w:val="en-GB"/>
        </w:rPr>
        <w:t>is</w:t>
      </w:r>
      <w:r w:rsidR="00870309" w:rsidRPr="00A66B7B">
        <w:rPr>
          <w:rFonts w:ascii="Arial" w:hAnsi="Arial" w:cs="Arial"/>
          <w:color w:val="000000" w:themeColor="text1"/>
          <w:sz w:val="20"/>
          <w:szCs w:val="20"/>
          <w:lang w:val="en-GB"/>
        </w:rPr>
        <w:t xml:space="preserve"> black to 100 </w:t>
      </w:r>
      <w:r w:rsidR="00D370D2" w:rsidRPr="00A66B7B">
        <w:rPr>
          <w:rFonts w:ascii="Arial" w:hAnsi="Arial" w:cs="Arial"/>
          <w:color w:val="000000" w:themeColor="text1"/>
          <w:sz w:val="20"/>
          <w:szCs w:val="20"/>
          <w:lang w:val="en-GB"/>
        </w:rPr>
        <w:t xml:space="preserve">is </w:t>
      </w:r>
      <w:r w:rsidR="00870309" w:rsidRPr="00A66B7B">
        <w:rPr>
          <w:rFonts w:ascii="Arial" w:hAnsi="Arial" w:cs="Arial"/>
          <w:color w:val="000000" w:themeColor="text1"/>
          <w:sz w:val="20"/>
          <w:szCs w:val="20"/>
          <w:lang w:val="en-GB"/>
        </w:rPr>
        <w:t xml:space="preserve">white, </w:t>
      </w:r>
      <w:r w:rsidR="00870309" w:rsidRPr="00A66B7B">
        <w:rPr>
          <w:rFonts w:ascii="Arial" w:hAnsi="Arial" w:cs="Arial"/>
          <w:b/>
          <w:color w:val="000000" w:themeColor="text1"/>
          <w:sz w:val="20"/>
          <w:szCs w:val="20"/>
          <w:lang w:val="en-GB"/>
        </w:rPr>
        <w:t>a*</w:t>
      </w:r>
      <w:r w:rsidR="00D370D2" w:rsidRPr="00A66B7B">
        <w:rPr>
          <w:rFonts w:ascii="Arial" w:hAnsi="Arial" w:cs="Arial"/>
          <w:b/>
          <w:color w:val="000000" w:themeColor="text1"/>
          <w:sz w:val="20"/>
          <w:szCs w:val="20"/>
          <w:lang w:val="en-GB"/>
        </w:rPr>
        <w:t xml:space="preserve"> </w:t>
      </w:r>
      <w:r w:rsidR="00870309" w:rsidRPr="00A66B7B">
        <w:rPr>
          <w:rFonts w:ascii="Arial" w:hAnsi="Arial" w:cs="Arial"/>
          <w:color w:val="000000" w:themeColor="text1"/>
          <w:sz w:val="20"/>
          <w:szCs w:val="20"/>
          <w:lang w:val="en-GB"/>
        </w:rPr>
        <w:t xml:space="preserve">measure the greenness /redness and </w:t>
      </w:r>
      <w:r w:rsidR="00D370D2" w:rsidRPr="00A66B7B">
        <w:rPr>
          <w:rFonts w:ascii="Arial" w:hAnsi="Arial" w:cs="Arial"/>
          <w:b/>
          <w:color w:val="000000" w:themeColor="text1"/>
          <w:sz w:val="20"/>
          <w:szCs w:val="20"/>
          <w:lang w:val="en-GB"/>
        </w:rPr>
        <w:t xml:space="preserve">b* </w:t>
      </w:r>
      <w:r w:rsidR="00870309" w:rsidRPr="00A66B7B">
        <w:rPr>
          <w:rFonts w:ascii="Arial" w:hAnsi="Arial" w:cs="Arial"/>
          <w:color w:val="000000" w:themeColor="text1"/>
          <w:sz w:val="20"/>
          <w:szCs w:val="20"/>
          <w:lang w:val="en-GB"/>
        </w:rPr>
        <w:t>blueness/yellowness respectively</w:t>
      </w:r>
      <w:r w:rsidR="0050655D" w:rsidRPr="00A66B7B">
        <w:rPr>
          <w:rFonts w:ascii="Arial" w:hAnsi="Arial" w:cs="Arial"/>
          <w:color w:val="000000" w:themeColor="text1"/>
          <w:sz w:val="20"/>
          <w:szCs w:val="20"/>
          <w:lang w:val="en-GB"/>
        </w:rPr>
        <w:t>.</w:t>
      </w:r>
    </w:p>
    <w:p w14:paraId="2E43EA93" w14:textId="77777777" w:rsidR="0050655D" w:rsidRPr="00A66B7B" w:rsidRDefault="0050655D" w:rsidP="00D23D07">
      <w:pPr>
        <w:spacing w:line="240" w:lineRule="auto"/>
        <w:jc w:val="both"/>
        <w:rPr>
          <w:rFonts w:ascii="Arial" w:hAnsi="Arial" w:cs="Arial"/>
          <w:color w:val="000000" w:themeColor="text1"/>
          <w:sz w:val="20"/>
          <w:szCs w:val="20"/>
          <w:lang w:val="en-GB"/>
        </w:rPr>
      </w:pPr>
      <w:r w:rsidRPr="00A66B7B">
        <w:rPr>
          <w:rFonts w:ascii="Arial" w:hAnsi="Arial" w:cs="Arial"/>
          <w:color w:val="000000" w:themeColor="text1"/>
          <w:sz w:val="20"/>
          <w:szCs w:val="20"/>
          <w:lang w:val="en-GB"/>
        </w:rPr>
        <w:t xml:space="preserve">Chroma = </w:t>
      </w:r>
      <m:oMath>
        <m:rad>
          <m:radPr>
            <m:degHide m:val="1"/>
            <m:ctrlPr>
              <w:rPr>
                <w:rFonts w:ascii="Cambria Math" w:hAnsi="Cambria Math" w:cs="Arial"/>
                <w:i/>
                <w:color w:val="000000" w:themeColor="text1"/>
                <w:sz w:val="20"/>
                <w:szCs w:val="20"/>
                <w:lang w:val="en-GB"/>
              </w:rPr>
            </m:ctrlPr>
          </m:radPr>
          <m:deg/>
          <m:e>
            <m:r>
              <w:rPr>
                <w:rFonts w:ascii="Cambria Math" w:hAnsi="Cambria Math" w:cs="Arial"/>
                <w:color w:val="000000" w:themeColor="text1"/>
                <w:sz w:val="20"/>
                <w:szCs w:val="20"/>
                <w:lang w:val="en-GB"/>
              </w:rPr>
              <m:t xml:space="preserve"> a</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 xml:space="preserve">  </m:t>
            </m:r>
          </m:e>
        </m:rad>
        <m:r>
          <w:rPr>
            <w:rFonts w:ascii="Cambria Math" w:hAnsi="Cambria Math" w:cs="Arial"/>
            <w:color w:val="000000" w:themeColor="text1"/>
            <w:sz w:val="20"/>
            <w:szCs w:val="20"/>
            <w:lang w:val="en-GB"/>
          </w:rPr>
          <m:t xml:space="preserve">    </m:t>
        </m:r>
      </m:oMath>
    </w:p>
    <w:p w14:paraId="7E8AD7D9" w14:textId="77777777" w:rsidR="0050655D" w:rsidRPr="00A66B7B" w:rsidRDefault="003F0D98" w:rsidP="00D23D07">
      <w:pPr>
        <w:spacing w:line="240" w:lineRule="auto"/>
        <w:jc w:val="both"/>
        <w:rPr>
          <w:rFonts w:ascii="Arial" w:hAnsi="Arial" w:cs="Arial"/>
          <w:color w:val="000000" w:themeColor="text1"/>
          <w:sz w:val="20"/>
          <w:szCs w:val="20"/>
          <w:lang w:val="en-GB"/>
        </w:rPr>
      </w:pPr>
      <w:r w:rsidRPr="00A66B7B">
        <w:rPr>
          <w:rFonts w:ascii="Arial" w:hAnsi="Arial" w:cs="Arial"/>
          <w:color w:val="000000" w:themeColor="text1"/>
          <w:sz w:val="20"/>
          <w:szCs w:val="20"/>
          <w:lang w:val="en-GB"/>
        </w:rPr>
        <w:t xml:space="preserve">Colour Intensity = </w:t>
      </w:r>
      <m:oMath>
        <m:rad>
          <m:radPr>
            <m:degHide m:val="1"/>
            <m:ctrlPr>
              <w:rPr>
                <w:rFonts w:ascii="Cambria Math" w:hAnsi="Cambria Math" w:cs="Arial"/>
                <w:i/>
                <w:color w:val="000000" w:themeColor="text1"/>
                <w:sz w:val="20"/>
                <w:szCs w:val="20"/>
                <w:lang w:val="en-GB"/>
              </w:rPr>
            </m:ctrlPr>
          </m:radPr>
          <m:deg/>
          <m:e>
            <m:r>
              <w:rPr>
                <w:rFonts w:ascii="Cambria Math" w:hAnsi="Cambria Math" w:cs="Arial"/>
                <w:color w:val="000000" w:themeColor="text1"/>
                <w:sz w:val="20"/>
                <w:szCs w:val="20"/>
                <w:lang w:val="en-GB"/>
              </w:rPr>
              <m:t>a</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+b</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r>
              <w:rPr>
                <w:rFonts w:ascii="Cambria Math" w:hAnsi="Cambria Math" w:cs="Arial"/>
                <w:color w:val="000000" w:themeColor="text1"/>
                <w:sz w:val="20"/>
                <w:szCs w:val="20"/>
                <w:lang w:val="en-GB"/>
              </w:rPr>
              <m:t>+L</m:t>
            </m:r>
            <m:sSup>
              <m:sSupPr>
                <m:ctrlPr>
                  <w:rPr>
                    <w:rFonts w:ascii="Cambria Math" w:hAnsi="Cambria Math" w:cs="Arial"/>
                    <w:i/>
                    <w:color w:val="000000" w:themeColor="text1"/>
                    <w:sz w:val="20"/>
                    <w:szCs w:val="20"/>
                    <w:lang w:val="en-GB"/>
                  </w:rPr>
                </m:ctrlPr>
              </m:sSupPr>
              <m:e>
                <m:r>
                  <w:rPr>
                    <w:rFonts w:ascii="Cambria Math" w:hAnsi="Cambria Math" w:cs="Arial"/>
                    <w:color w:val="000000" w:themeColor="text1"/>
                    <w:sz w:val="20"/>
                    <w:szCs w:val="20"/>
                    <w:lang w:val="en-GB"/>
                  </w:rPr>
                  <m:t>*</m:t>
                </m:r>
              </m:e>
              <m:sup>
                <m:r>
                  <w:rPr>
                    <w:rFonts w:ascii="Cambria Math" w:hAnsi="Cambria Math" w:cs="Arial"/>
                    <w:color w:val="000000" w:themeColor="text1"/>
                    <w:sz w:val="20"/>
                    <w:szCs w:val="20"/>
                    <w:lang w:val="en-GB"/>
                  </w:rPr>
                  <m:t>2</m:t>
                </m:r>
              </m:sup>
            </m:sSup>
          </m:e>
        </m:rad>
        <m:r>
          <w:rPr>
            <w:rFonts w:ascii="Cambria Math" w:hAnsi="Cambria Math" w:cs="Arial"/>
            <w:color w:val="000000" w:themeColor="text1"/>
            <w:sz w:val="20"/>
            <w:szCs w:val="20"/>
            <w:lang w:val="en-GB"/>
          </w:rPr>
          <m:t xml:space="preserve">   </m:t>
        </m:r>
      </m:oMath>
    </w:p>
    <w:p w14:paraId="2F87A6DB" w14:textId="77777777" w:rsidR="00212891" w:rsidRPr="00A66B7B" w:rsidRDefault="00212891" w:rsidP="00D23D07">
      <w:pPr>
        <w:spacing w:line="240" w:lineRule="auto"/>
        <w:jc w:val="both"/>
        <w:rPr>
          <w:rFonts w:ascii="Arial" w:eastAsiaTheme="minorEastAsia" w:hAnsi="Arial" w:cs="Arial"/>
          <w:color w:val="000000" w:themeColor="text1"/>
          <w:sz w:val="20"/>
          <w:szCs w:val="20"/>
          <w:vertAlign w:val="superscript"/>
          <w:lang w:val="en-GB"/>
        </w:rPr>
      </w:pPr>
      <w:r w:rsidRPr="00A66B7B">
        <w:rPr>
          <w:rFonts w:ascii="Arial" w:hAnsi="Arial" w:cs="Arial"/>
          <w:color w:val="000000" w:themeColor="text1"/>
          <w:sz w:val="20"/>
          <w:szCs w:val="20"/>
          <w:lang w:val="en-GB"/>
        </w:rPr>
        <w:t>Hue angle = tan</w:t>
      </w:r>
      <w:r w:rsidRPr="00A66B7B">
        <w:rPr>
          <w:rFonts w:ascii="Arial" w:hAnsi="Arial" w:cs="Arial"/>
          <w:color w:val="000000" w:themeColor="text1"/>
          <w:sz w:val="20"/>
          <w:szCs w:val="20"/>
          <w:vertAlign w:val="superscript"/>
          <w:lang w:val="en-GB"/>
        </w:rPr>
        <w:t xml:space="preserve">-1 </w:t>
      </w:r>
      <m:oMath>
        <m:d>
          <m:dPr>
            <m:ctrlPr>
              <w:rPr>
                <w:rFonts w:ascii="Cambria Math" w:hAnsi="Cambria Math" w:cs="Arial"/>
                <w:i/>
                <w:color w:val="000000" w:themeColor="text1"/>
                <w:sz w:val="20"/>
                <w:szCs w:val="20"/>
                <w:vertAlign w:val="superscript"/>
                <w:lang w:val="en-GB"/>
              </w:rPr>
            </m:ctrlPr>
          </m:dPr>
          <m:e>
            <m:f>
              <m:fPr>
                <m:ctrlPr>
                  <w:rPr>
                    <w:rFonts w:ascii="Cambria Math" w:hAnsi="Cambria Math" w:cs="Arial"/>
                    <w:i/>
                    <w:color w:val="000000" w:themeColor="text1"/>
                    <w:sz w:val="20"/>
                    <w:szCs w:val="20"/>
                    <w:vertAlign w:val="superscript"/>
                    <w:lang w:val="en-GB"/>
                  </w:rPr>
                </m:ctrlPr>
              </m:fPr>
              <m:num>
                <m:r>
                  <w:rPr>
                    <w:rFonts w:ascii="Cambria Math" w:hAnsi="Cambria Math" w:cs="Arial"/>
                    <w:color w:val="000000" w:themeColor="text1"/>
                    <w:sz w:val="20"/>
                    <w:szCs w:val="20"/>
                    <w:vertAlign w:val="superscript"/>
                    <w:lang w:val="en-GB"/>
                  </w:rPr>
                  <m:t>b*</m:t>
                </m:r>
              </m:num>
              <m:den>
                <m:r>
                  <w:rPr>
                    <w:rFonts w:ascii="Cambria Math" w:hAnsi="Cambria Math" w:cs="Arial"/>
                    <w:color w:val="000000" w:themeColor="text1"/>
                    <w:sz w:val="20"/>
                    <w:szCs w:val="20"/>
                    <w:vertAlign w:val="superscript"/>
                    <w:lang w:val="en-GB"/>
                  </w:rPr>
                  <m:t>a*</m:t>
                </m:r>
              </m:den>
            </m:f>
          </m:e>
        </m:d>
      </m:oMath>
    </w:p>
    <w:p w14:paraId="0218DF54" w14:textId="77777777" w:rsidR="009A159B" w:rsidRPr="00A66B7B" w:rsidRDefault="00212891"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 xml:space="preserve">2.8 </w:t>
      </w:r>
      <w:r w:rsidR="007C00CD" w:rsidRPr="00A66B7B">
        <w:rPr>
          <w:rFonts w:ascii="Arial" w:eastAsiaTheme="minorEastAsia" w:hAnsi="Arial" w:cs="Arial"/>
          <w:b/>
          <w:color w:val="000000" w:themeColor="text1"/>
          <w:lang w:val="en-GB"/>
        </w:rPr>
        <w:t>Microbial</w:t>
      </w:r>
      <w:r w:rsidR="00D370D2" w:rsidRPr="00A66B7B">
        <w:rPr>
          <w:rFonts w:ascii="Arial" w:eastAsiaTheme="minorEastAsia" w:hAnsi="Arial" w:cs="Arial"/>
          <w:b/>
          <w:color w:val="000000" w:themeColor="text1"/>
          <w:lang w:val="en-GB"/>
        </w:rPr>
        <w:t xml:space="preserve"> Evaluation </w:t>
      </w:r>
      <w:r w:rsidR="007C00CD" w:rsidRPr="00A66B7B">
        <w:rPr>
          <w:rFonts w:ascii="Arial" w:eastAsiaTheme="minorEastAsia" w:hAnsi="Arial" w:cs="Arial"/>
          <w:b/>
          <w:color w:val="000000" w:themeColor="text1"/>
          <w:lang w:val="en-GB"/>
        </w:rPr>
        <w:t>of Formulated Infusion Sample</w:t>
      </w:r>
    </w:p>
    <w:p w14:paraId="0F3C3CBC" w14:textId="77777777" w:rsidR="00212891" w:rsidRPr="00A66B7B" w:rsidRDefault="007C00CD"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 xml:space="preserve">2.8.1 Determination of </w:t>
      </w:r>
      <w:r w:rsidR="009A159B" w:rsidRPr="00A66B7B">
        <w:rPr>
          <w:rFonts w:ascii="Arial" w:eastAsiaTheme="minorEastAsia" w:hAnsi="Arial" w:cs="Arial"/>
          <w:b/>
          <w:color w:val="000000" w:themeColor="text1"/>
          <w:sz w:val="20"/>
          <w:szCs w:val="20"/>
          <w:u w:val="single"/>
          <w:lang w:val="en-GB"/>
        </w:rPr>
        <w:t>Total Plate Count</w:t>
      </w:r>
      <w:r w:rsidRPr="00A66B7B">
        <w:rPr>
          <w:rFonts w:ascii="Arial" w:eastAsiaTheme="minorEastAsia" w:hAnsi="Arial" w:cs="Arial"/>
          <w:b/>
          <w:color w:val="000000" w:themeColor="text1"/>
          <w:sz w:val="20"/>
          <w:szCs w:val="20"/>
          <w:u w:val="single"/>
          <w:lang w:val="en-GB"/>
        </w:rPr>
        <w:t xml:space="preserve"> (</w:t>
      </w:r>
      <w:r w:rsidR="009A159B" w:rsidRPr="00A66B7B">
        <w:rPr>
          <w:rFonts w:ascii="Arial" w:eastAsiaTheme="minorEastAsia" w:hAnsi="Arial" w:cs="Arial"/>
          <w:b/>
          <w:color w:val="000000" w:themeColor="text1"/>
          <w:sz w:val="20"/>
          <w:szCs w:val="20"/>
          <w:u w:val="single"/>
          <w:lang w:val="en-GB"/>
        </w:rPr>
        <w:t>T</w:t>
      </w:r>
      <w:r w:rsidRPr="00A66B7B">
        <w:rPr>
          <w:rFonts w:ascii="Arial" w:eastAsiaTheme="minorEastAsia" w:hAnsi="Arial" w:cs="Arial"/>
          <w:b/>
          <w:color w:val="000000" w:themeColor="text1"/>
          <w:sz w:val="20"/>
          <w:szCs w:val="20"/>
          <w:u w:val="single"/>
          <w:lang w:val="en-GB"/>
        </w:rPr>
        <w:t>PC)</w:t>
      </w:r>
    </w:p>
    <w:p w14:paraId="14F2BA04" w14:textId="77777777" w:rsidR="009A159B" w:rsidRPr="00A66B7B" w:rsidRDefault="007C00CD" w:rsidP="00211A04">
      <w:pPr>
        <w:spacing w:before="240"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The aerobic plate count of sample was done according to the method </w:t>
      </w:r>
      <w:r w:rsidR="00211A04" w:rsidRPr="00A66B7B">
        <w:rPr>
          <w:rFonts w:ascii="Arial" w:eastAsiaTheme="minorEastAsia" w:hAnsi="Arial" w:cs="Arial"/>
          <w:b/>
          <w:color w:val="000000" w:themeColor="text1"/>
          <w:sz w:val="20"/>
          <w:szCs w:val="20"/>
          <w:lang w:val="en-GB"/>
        </w:rPr>
        <w:t>(</w:t>
      </w:r>
      <w:r w:rsidRPr="00A66B7B">
        <w:rPr>
          <w:rFonts w:ascii="Arial" w:eastAsiaTheme="minorEastAsia" w:hAnsi="Arial" w:cs="Arial"/>
          <w:b/>
          <w:color w:val="000000" w:themeColor="text1"/>
          <w:sz w:val="20"/>
          <w:szCs w:val="20"/>
          <w:lang w:val="en-GB"/>
        </w:rPr>
        <w:t>IS 5402:2012</w:t>
      </w:r>
      <w:r w:rsidR="00211A04" w:rsidRPr="00A66B7B">
        <w:rPr>
          <w:rFonts w:ascii="Arial" w:eastAsiaTheme="minorEastAsia" w:hAnsi="Arial" w:cs="Arial"/>
          <w:b/>
          <w:color w:val="000000" w:themeColor="text1"/>
          <w:sz w:val="20"/>
          <w:szCs w:val="20"/>
          <w:lang w:val="en-GB"/>
        </w:rPr>
        <w:t>)</w:t>
      </w:r>
      <w:r w:rsidRPr="00A66B7B">
        <w:rPr>
          <w:rFonts w:ascii="Arial" w:eastAsiaTheme="minorEastAsia" w:hAnsi="Arial" w:cs="Arial"/>
          <w:color w:val="000000" w:themeColor="text1"/>
          <w:sz w:val="20"/>
          <w:szCs w:val="20"/>
          <w:lang w:val="en-GB"/>
        </w:rPr>
        <w:t xml:space="preserve">. Water sample was tested with the </w:t>
      </w:r>
      <w:r w:rsidR="009A159B" w:rsidRPr="00A66B7B">
        <w:rPr>
          <w:rFonts w:ascii="Arial" w:eastAsiaTheme="minorEastAsia" w:hAnsi="Arial" w:cs="Arial"/>
          <w:color w:val="000000" w:themeColor="text1"/>
          <w:sz w:val="20"/>
          <w:szCs w:val="20"/>
          <w:lang w:val="en-GB"/>
        </w:rPr>
        <w:t>help of pour plate technique by plating it with Plate count Agar medium. The plate were incubated at 37</w:t>
      </w:r>
      <w:r w:rsidR="009A159B" w:rsidRPr="00A66B7B">
        <w:rPr>
          <w:rFonts w:ascii="Courier New" w:eastAsiaTheme="minorEastAsia" w:hAnsi="Courier New" w:cs="Courier New"/>
          <w:color w:val="000000" w:themeColor="text1"/>
          <w:sz w:val="20"/>
          <w:szCs w:val="20"/>
          <w:lang w:val="en-GB"/>
        </w:rPr>
        <w:t>°</w:t>
      </w:r>
      <w:r w:rsidR="009A159B" w:rsidRPr="00A66B7B">
        <w:rPr>
          <w:rFonts w:ascii="Arial" w:eastAsiaTheme="minorEastAsia" w:hAnsi="Arial" w:cs="Arial"/>
          <w:color w:val="000000" w:themeColor="text1"/>
          <w:sz w:val="20"/>
          <w:szCs w:val="20"/>
          <w:lang w:val="en-GB"/>
        </w:rPr>
        <w:t>C for 24 h</w:t>
      </w:r>
      <w:r w:rsidR="00D370D2" w:rsidRPr="00A66B7B">
        <w:rPr>
          <w:rFonts w:ascii="Arial" w:eastAsiaTheme="minorEastAsia" w:hAnsi="Arial" w:cs="Arial"/>
          <w:color w:val="000000" w:themeColor="text1"/>
          <w:sz w:val="20"/>
          <w:szCs w:val="20"/>
          <w:lang w:val="en-GB"/>
        </w:rPr>
        <w:t>rs</w:t>
      </w:r>
      <w:r w:rsidR="009A159B" w:rsidRPr="00A66B7B">
        <w:rPr>
          <w:rFonts w:ascii="Arial" w:eastAsiaTheme="minorEastAsia" w:hAnsi="Arial" w:cs="Arial"/>
          <w:color w:val="000000" w:themeColor="text1"/>
          <w:sz w:val="20"/>
          <w:szCs w:val="20"/>
          <w:lang w:val="en-GB"/>
        </w:rPr>
        <w:t xml:space="preserve">. </w:t>
      </w:r>
      <w:r w:rsidR="00D370D2" w:rsidRPr="00A66B7B">
        <w:rPr>
          <w:rFonts w:ascii="Arial" w:eastAsiaTheme="minorEastAsia" w:hAnsi="Arial" w:cs="Arial"/>
          <w:color w:val="000000" w:themeColor="text1"/>
          <w:sz w:val="20"/>
          <w:szCs w:val="20"/>
          <w:lang w:val="en-GB"/>
        </w:rPr>
        <w:t xml:space="preserve">After incubation with the help of a colony counter, the colonies were counted. </w:t>
      </w:r>
    </w:p>
    <w:p w14:paraId="3ED6DB08" w14:textId="77777777" w:rsidR="009A159B" w:rsidRPr="00A66B7B" w:rsidRDefault="009A159B"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2.8.2 Determination of Yeast and Mould</w:t>
      </w:r>
    </w:p>
    <w:p w14:paraId="539DA8DB" w14:textId="77777777" w:rsidR="009A159B" w:rsidRPr="00A66B7B" w:rsidRDefault="009A159B"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The enumeration of Yeast and Mould count in sample was done according to the method </w:t>
      </w:r>
      <w:r w:rsidRPr="00A66B7B">
        <w:rPr>
          <w:rFonts w:ascii="Arial" w:eastAsiaTheme="minorEastAsia" w:hAnsi="Arial" w:cs="Arial"/>
          <w:b/>
          <w:color w:val="000000" w:themeColor="text1"/>
          <w:sz w:val="20"/>
          <w:szCs w:val="20"/>
          <w:lang w:val="en-GB"/>
        </w:rPr>
        <w:t xml:space="preserve">IS 5402:1999. </w:t>
      </w:r>
      <w:r w:rsidRPr="00A66B7B">
        <w:rPr>
          <w:rFonts w:ascii="Arial" w:eastAsiaTheme="minorEastAsia" w:hAnsi="Arial" w:cs="Arial"/>
          <w:color w:val="000000" w:themeColor="text1"/>
          <w:sz w:val="20"/>
          <w:szCs w:val="20"/>
          <w:lang w:val="en-GB"/>
        </w:rPr>
        <w:t>Water sample was tested with the help of pour plate technique by plating it with Yeast glucose chloramphenicol agar medium.</w:t>
      </w:r>
      <w:r w:rsidR="00D370D2" w:rsidRPr="00A66B7B">
        <w:rPr>
          <w:rFonts w:ascii="Arial" w:eastAsiaTheme="minorEastAsia" w:hAnsi="Arial" w:cs="Arial"/>
          <w:color w:val="000000" w:themeColor="text1"/>
          <w:sz w:val="20"/>
          <w:szCs w:val="20"/>
          <w:lang w:val="en-GB"/>
        </w:rPr>
        <w:t xml:space="preserve"> For three to five days, the plates were incubated at 25°C. Following incubation, the colonies were counted using a colony counter.</w:t>
      </w:r>
    </w:p>
    <w:p w14:paraId="6263C96D" w14:textId="77777777" w:rsidR="00F724C8" w:rsidRPr="00A66B7B" w:rsidRDefault="00F724C8" w:rsidP="00D23D07">
      <w:pPr>
        <w:spacing w:line="240" w:lineRule="auto"/>
        <w:jc w:val="both"/>
        <w:rPr>
          <w:rFonts w:ascii="Arial" w:eastAsiaTheme="minorEastAsia" w:hAnsi="Arial" w:cs="Arial"/>
          <w:color w:val="000000" w:themeColor="text1"/>
          <w:sz w:val="20"/>
          <w:szCs w:val="20"/>
          <w:lang w:val="en-GB"/>
        </w:rPr>
      </w:pPr>
    </w:p>
    <w:p w14:paraId="29333BB5" w14:textId="77777777" w:rsidR="00F724C8" w:rsidRPr="00A66B7B" w:rsidRDefault="00F724C8"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 RESULT AND DISCUSSION</w:t>
      </w:r>
    </w:p>
    <w:p w14:paraId="2D8651D1" w14:textId="77777777" w:rsidR="003E6202" w:rsidRPr="00A66B7B" w:rsidRDefault="003E6202"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3.1 Sensory Evaluation</w:t>
      </w:r>
    </w:p>
    <w:p w14:paraId="14FD8835" w14:textId="77777777" w:rsidR="00E25AEA" w:rsidRPr="00A66B7B" w:rsidRDefault="00E25AEA"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Figure 2 </w:t>
      </w:r>
      <w:r w:rsidR="00D370D2" w:rsidRPr="00A66B7B">
        <w:rPr>
          <w:rFonts w:ascii="Arial" w:eastAsiaTheme="minorEastAsia" w:hAnsi="Arial" w:cs="Arial"/>
          <w:color w:val="000000" w:themeColor="text1"/>
          <w:sz w:val="20"/>
          <w:szCs w:val="20"/>
          <w:lang w:val="en-GB"/>
        </w:rPr>
        <w:t>displays the control and prepared herbal infusion samples' consumer approval ratings. The panellists' preference for the herbal infusion ranged from "like moderately" to "like very much," as indicated by the mean appearance score of 7.36 to 8.46.</w:t>
      </w:r>
      <w:r w:rsidR="00A14099" w:rsidRPr="00A66B7B">
        <w:rPr>
          <w:rFonts w:ascii="Arial" w:eastAsiaTheme="minorEastAsia" w:hAnsi="Arial" w:cs="Arial"/>
          <w:color w:val="000000" w:themeColor="text1"/>
          <w:sz w:val="20"/>
          <w:szCs w:val="20"/>
          <w:lang w:val="en-GB"/>
        </w:rPr>
        <w:t xml:space="preserve">. The most preferred sample in terms of appearance was F2 (8.46) followed by </w:t>
      </w:r>
      <w:r w:rsidR="005E66F0" w:rsidRPr="00A66B7B">
        <w:rPr>
          <w:rFonts w:ascii="Arial" w:eastAsiaTheme="minorEastAsia" w:hAnsi="Arial" w:cs="Arial"/>
          <w:color w:val="000000" w:themeColor="text1"/>
          <w:sz w:val="20"/>
          <w:szCs w:val="20"/>
          <w:lang w:val="en-GB"/>
        </w:rPr>
        <w:t>C (8.30)</w:t>
      </w:r>
      <w:r w:rsidR="00A14099" w:rsidRPr="00A66B7B">
        <w:rPr>
          <w:rFonts w:ascii="Arial" w:eastAsiaTheme="minorEastAsia" w:hAnsi="Arial" w:cs="Arial"/>
          <w:color w:val="000000" w:themeColor="text1"/>
          <w:sz w:val="20"/>
          <w:szCs w:val="20"/>
          <w:lang w:val="en-GB"/>
        </w:rPr>
        <w:t>,</w:t>
      </w:r>
      <w:r w:rsidR="005E66F0" w:rsidRPr="00A66B7B">
        <w:rPr>
          <w:rFonts w:ascii="Arial" w:eastAsiaTheme="minorEastAsia" w:hAnsi="Arial" w:cs="Arial"/>
          <w:color w:val="000000" w:themeColor="text1"/>
          <w:sz w:val="20"/>
          <w:szCs w:val="20"/>
          <w:lang w:val="en-GB"/>
        </w:rPr>
        <w:t xml:space="preserve"> </w:t>
      </w:r>
      <w:r w:rsidR="00A14099" w:rsidRPr="00A66B7B">
        <w:rPr>
          <w:rFonts w:ascii="Arial" w:eastAsiaTheme="minorEastAsia" w:hAnsi="Arial" w:cs="Arial"/>
          <w:color w:val="000000" w:themeColor="text1"/>
          <w:sz w:val="20"/>
          <w:szCs w:val="20"/>
          <w:lang w:val="en-GB"/>
        </w:rPr>
        <w:t xml:space="preserve"> F1</w:t>
      </w:r>
      <w:r w:rsidR="005E66F0" w:rsidRPr="00A66B7B">
        <w:rPr>
          <w:rFonts w:ascii="Arial" w:eastAsiaTheme="minorEastAsia" w:hAnsi="Arial" w:cs="Arial"/>
          <w:color w:val="000000" w:themeColor="text1"/>
          <w:sz w:val="20"/>
          <w:szCs w:val="20"/>
          <w:lang w:val="en-GB"/>
        </w:rPr>
        <w:t xml:space="preserve"> (7.56)</w:t>
      </w:r>
      <w:r w:rsidR="00A14099" w:rsidRPr="00A66B7B">
        <w:rPr>
          <w:rFonts w:ascii="Arial" w:eastAsiaTheme="minorEastAsia" w:hAnsi="Arial" w:cs="Arial"/>
          <w:color w:val="000000" w:themeColor="text1"/>
          <w:sz w:val="20"/>
          <w:szCs w:val="20"/>
          <w:lang w:val="en-GB"/>
        </w:rPr>
        <w:t>,</w:t>
      </w:r>
      <w:r w:rsidR="005E66F0" w:rsidRPr="00A66B7B">
        <w:rPr>
          <w:rFonts w:ascii="Arial" w:eastAsiaTheme="minorEastAsia" w:hAnsi="Arial" w:cs="Arial"/>
          <w:color w:val="000000" w:themeColor="text1"/>
          <w:sz w:val="20"/>
          <w:szCs w:val="20"/>
          <w:lang w:val="en-GB"/>
        </w:rPr>
        <w:t xml:space="preserve"> F3 (7.70)</w:t>
      </w:r>
      <w:r w:rsidR="00A14099" w:rsidRPr="00A66B7B">
        <w:rPr>
          <w:rFonts w:ascii="Arial" w:eastAsiaTheme="minorEastAsia" w:hAnsi="Arial" w:cs="Arial"/>
          <w:color w:val="000000" w:themeColor="text1"/>
          <w:sz w:val="20"/>
          <w:szCs w:val="20"/>
          <w:lang w:val="en-GB"/>
        </w:rPr>
        <w:t>, and F4</w:t>
      </w:r>
      <w:r w:rsidR="005E66F0" w:rsidRPr="00A66B7B">
        <w:rPr>
          <w:rFonts w:ascii="Arial" w:eastAsiaTheme="minorEastAsia" w:hAnsi="Arial" w:cs="Arial"/>
          <w:color w:val="000000" w:themeColor="text1"/>
          <w:sz w:val="20"/>
          <w:szCs w:val="20"/>
          <w:lang w:val="en-GB"/>
        </w:rPr>
        <w:t xml:space="preserve"> (7.36).</w:t>
      </w:r>
    </w:p>
    <w:p w14:paraId="5D5F2574" w14:textId="77777777" w:rsidR="00A14099" w:rsidRPr="00A66B7B" w:rsidRDefault="00A14099"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In terms of colour for the control and formulations, the average scores ranged from 7.56 to 8.33, showing th</w:t>
      </w:r>
      <w:r w:rsidR="00D370D2" w:rsidRPr="00A66B7B">
        <w:rPr>
          <w:rFonts w:ascii="Arial" w:eastAsiaTheme="minorEastAsia" w:hAnsi="Arial" w:cs="Arial"/>
          <w:color w:val="000000" w:themeColor="text1"/>
          <w:sz w:val="20"/>
          <w:szCs w:val="20"/>
          <w:lang w:val="en-GB"/>
        </w:rPr>
        <w:t>e</w:t>
      </w:r>
      <w:r w:rsidRPr="00A66B7B">
        <w:rPr>
          <w:rFonts w:ascii="Arial" w:eastAsiaTheme="minorEastAsia" w:hAnsi="Arial" w:cs="Arial"/>
          <w:color w:val="000000" w:themeColor="text1"/>
          <w:sz w:val="20"/>
          <w:szCs w:val="20"/>
          <w:lang w:val="en-GB"/>
        </w:rPr>
        <w:t xml:space="preserve"> panellist’s </w:t>
      </w:r>
      <w:r w:rsidR="007220D4" w:rsidRPr="00A66B7B">
        <w:rPr>
          <w:rFonts w:ascii="Arial" w:eastAsiaTheme="minorEastAsia" w:hAnsi="Arial" w:cs="Arial"/>
          <w:color w:val="000000" w:themeColor="text1"/>
          <w:sz w:val="20"/>
          <w:szCs w:val="20"/>
          <w:lang w:val="en-GB"/>
        </w:rPr>
        <w:t>preference from ‘like moderately’ to ‘like very much’ For</w:t>
      </w:r>
      <w:r w:rsidR="00D370D2" w:rsidRPr="00A66B7B">
        <w:rPr>
          <w:rFonts w:ascii="Arial" w:eastAsiaTheme="minorEastAsia" w:hAnsi="Arial" w:cs="Arial"/>
          <w:color w:val="000000" w:themeColor="text1"/>
          <w:sz w:val="20"/>
          <w:szCs w:val="20"/>
          <w:lang w:val="en-GB"/>
        </w:rPr>
        <w:t xml:space="preserve"> colour</w:t>
      </w:r>
      <w:r w:rsidR="007220D4" w:rsidRPr="00A66B7B">
        <w:rPr>
          <w:rFonts w:ascii="Arial" w:eastAsiaTheme="minorEastAsia" w:hAnsi="Arial" w:cs="Arial"/>
          <w:color w:val="000000" w:themeColor="text1"/>
          <w:sz w:val="20"/>
          <w:szCs w:val="20"/>
          <w:lang w:val="en-GB"/>
        </w:rPr>
        <w:t xml:space="preserve"> sample </w:t>
      </w:r>
      <w:r w:rsidR="00D370D2" w:rsidRPr="00A66B7B">
        <w:rPr>
          <w:rFonts w:ascii="Arial" w:eastAsiaTheme="minorEastAsia" w:hAnsi="Arial" w:cs="Arial"/>
          <w:color w:val="000000" w:themeColor="text1"/>
          <w:sz w:val="20"/>
          <w:szCs w:val="20"/>
          <w:lang w:val="en-GB"/>
        </w:rPr>
        <w:t>C was the most preferred sample</w:t>
      </w:r>
      <w:r w:rsidR="007220D4" w:rsidRPr="00A66B7B">
        <w:rPr>
          <w:rFonts w:ascii="Arial" w:eastAsiaTheme="minorEastAsia" w:hAnsi="Arial" w:cs="Arial"/>
          <w:color w:val="000000" w:themeColor="text1"/>
          <w:sz w:val="20"/>
          <w:szCs w:val="20"/>
          <w:lang w:val="en-GB"/>
        </w:rPr>
        <w:t xml:space="preserve"> (8.33), while </w:t>
      </w:r>
      <w:r w:rsidR="00D370D2" w:rsidRPr="00A66B7B">
        <w:rPr>
          <w:rFonts w:ascii="Arial" w:eastAsiaTheme="minorEastAsia" w:hAnsi="Arial" w:cs="Arial"/>
          <w:color w:val="000000" w:themeColor="text1"/>
          <w:sz w:val="20"/>
          <w:szCs w:val="20"/>
          <w:lang w:val="en-GB"/>
        </w:rPr>
        <w:t xml:space="preserve">the </w:t>
      </w:r>
      <w:r w:rsidR="007220D4" w:rsidRPr="00A66B7B">
        <w:rPr>
          <w:rFonts w:ascii="Arial" w:eastAsiaTheme="minorEastAsia" w:hAnsi="Arial" w:cs="Arial"/>
          <w:color w:val="000000" w:themeColor="text1"/>
          <w:sz w:val="20"/>
          <w:szCs w:val="20"/>
          <w:lang w:val="en-GB"/>
        </w:rPr>
        <w:t xml:space="preserve">least preferred sample </w:t>
      </w:r>
      <w:r w:rsidR="00D370D2" w:rsidRPr="00A66B7B">
        <w:rPr>
          <w:rFonts w:ascii="Arial" w:eastAsiaTheme="minorEastAsia" w:hAnsi="Arial" w:cs="Arial"/>
          <w:color w:val="000000" w:themeColor="text1"/>
          <w:sz w:val="20"/>
          <w:szCs w:val="20"/>
          <w:lang w:val="en-GB"/>
        </w:rPr>
        <w:t>was F3 (</w:t>
      </w:r>
      <w:r w:rsidR="007220D4" w:rsidRPr="00A66B7B">
        <w:rPr>
          <w:rFonts w:ascii="Arial" w:eastAsiaTheme="minorEastAsia" w:hAnsi="Arial" w:cs="Arial"/>
          <w:color w:val="000000" w:themeColor="text1"/>
          <w:sz w:val="20"/>
          <w:szCs w:val="20"/>
          <w:lang w:val="en-GB"/>
        </w:rPr>
        <w:t>7.56). The control sample showed better colour characteristic because of the natural pigments and polyphenol compounds present in apple peel.</w:t>
      </w:r>
    </w:p>
    <w:p w14:paraId="262CC8EE" w14:textId="77777777" w:rsidR="007220D4" w:rsidRPr="00A66B7B" w:rsidRDefault="00D370D2" w:rsidP="00D23D07">
      <w:pPr>
        <w:spacing w:line="240" w:lineRule="auto"/>
        <w:jc w:val="both"/>
        <w:rPr>
          <w:rFonts w:ascii="Arial" w:eastAsiaTheme="minorEastAsia" w:hAnsi="Arial" w:cs="Arial"/>
          <w:color w:val="000000" w:themeColor="text1"/>
          <w:sz w:val="20"/>
          <w:szCs w:val="20"/>
          <w:lang w:val="en-GB"/>
        </w:rPr>
      </w:pPr>
      <w:r w:rsidRPr="00A66B7B">
        <w:rPr>
          <w:rFonts w:ascii="Arial" w:hAnsi="Arial" w:cs="Arial"/>
          <w:color w:val="000000" w:themeColor="text1"/>
          <w:sz w:val="20"/>
          <w:szCs w:val="20"/>
          <w:shd w:val="clear" w:color="auto" w:fill="FFFFFF"/>
        </w:rPr>
        <w:t>An infusion's origin and quality can be determined by its aroma, which is the smell or odor detected through the nose</w:t>
      </w:r>
      <w:r w:rsidRPr="00A66B7B">
        <w:rPr>
          <w:rFonts w:ascii="Arial" w:hAnsi="Arial" w:cs="Arial"/>
          <w:b/>
          <w:color w:val="000000" w:themeColor="text1"/>
          <w:sz w:val="20"/>
          <w:szCs w:val="20"/>
          <w:shd w:val="clear" w:color="auto" w:fill="FFFFFF"/>
        </w:rPr>
        <w:t xml:space="preserve"> </w:t>
      </w:r>
      <w:r w:rsidR="00397484" w:rsidRPr="00A66B7B">
        <w:rPr>
          <w:rFonts w:ascii="Arial" w:hAnsi="Arial" w:cs="Arial"/>
          <w:b/>
          <w:color w:val="000000" w:themeColor="text1"/>
          <w:sz w:val="20"/>
          <w:szCs w:val="20"/>
          <w:shd w:val="clear" w:color="auto" w:fill="FFFFFF"/>
        </w:rPr>
        <w:t>(Pohl et al., 2012).</w:t>
      </w:r>
      <w:r w:rsidR="00397484" w:rsidRPr="00A66B7B">
        <w:rPr>
          <w:rFonts w:ascii="Arial" w:hAnsi="Arial" w:cs="Arial"/>
          <w:color w:val="000000" w:themeColor="text1"/>
          <w:sz w:val="20"/>
          <w:szCs w:val="20"/>
          <w:shd w:val="clear" w:color="auto" w:fill="FFFFFF"/>
        </w:rPr>
        <w:t xml:space="preserve"> The average scores for the aroma of samples ranged from 6.73 to 8.50, showing that </w:t>
      </w:r>
      <w:r w:rsidR="00DB2110" w:rsidRPr="00A66B7B">
        <w:rPr>
          <w:rFonts w:ascii="Arial" w:hAnsi="Arial" w:cs="Arial"/>
          <w:color w:val="000000" w:themeColor="text1"/>
          <w:sz w:val="20"/>
          <w:szCs w:val="20"/>
          <w:shd w:val="clear" w:color="auto" w:fill="FFFFFF"/>
        </w:rPr>
        <w:t>panellists’ preferences</w:t>
      </w:r>
      <w:r w:rsidR="00397484" w:rsidRPr="00A66B7B">
        <w:rPr>
          <w:rFonts w:ascii="Arial" w:hAnsi="Arial" w:cs="Arial"/>
          <w:color w:val="000000" w:themeColor="text1"/>
          <w:sz w:val="20"/>
          <w:szCs w:val="20"/>
          <w:shd w:val="clear" w:color="auto" w:fill="FFFFFF"/>
        </w:rPr>
        <w:t xml:space="preserve"> were from ‘like slightly’ to ‘ like </w:t>
      </w:r>
      <w:r w:rsidR="005E66F0" w:rsidRPr="00A66B7B">
        <w:rPr>
          <w:rFonts w:ascii="Arial" w:hAnsi="Arial" w:cs="Arial"/>
          <w:color w:val="000000" w:themeColor="text1"/>
          <w:sz w:val="20"/>
          <w:szCs w:val="20"/>
          <w:shd w:val="clear" w:color="auto" w:fill="FFFFFF"/>
        </w:rPr>
        <w:t xml:space="preserve">very much’. For aroma most preferred sample was F2 (8.50), while C (6.73) is the least preferred sample. </w:t>
      </w:r>
    </w:p>
    <w:p w14:paraId="1F251A9F" w14:textId="77777777" w:rsidR="007C00CD" w:rsidRPr="00A66B7B" w:rsidRDefault="00AA3C9A"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In terms of taste</w:t>
      </w:r>
      <w:r w:rsidR="005121A3" w:rsidRPr="00A66B7B">
        <w:rPr>
          <w:rFonts w:ascii="Arial" w:eastAsiaTheme="minorEastAsia" w:hAnsi="Arial" w:cs="Arial"/>
          <w:color w:val="000000" w:themeColor="text1"/>
          <w:sz w:val="20"/>
          <w:szCs w:val="20"/>
          <w:lang w:val="en-GB"/>
        </w:rPr>
        <w:t xml:space="preserve">, the average scores ranged from 6.86 to 8.63, showing that </w:t>
      </w:r>
      <w:r w:rsidR="00DB2110" w:rsidRPr="00A66B7B">
        <w:rPr>
          <w:rFonts w:ascii="Arial" w:eastAsiaTheme="minorEastAsia" w:hAnsi="Arial" w:cs="Arial"/>
          <w:color w:val="000000" w:themeColor="text1"/>
          <w:sz w:val="20"/>
          <w:szCs w:val="20"/>
          <w:lang w:val="en-GB"/>
        </w:rPr>
        <w:t>panellists’ preferences</w:t>
      </w:r>
      <w:r w:rsidR="005121A3" w:rsidRPr="00A66B7B">
        <w:rPr>
          <w:rFonts w:ascii="Arial" w:eastAsiaTheme="minorEastAsia" w:hAnsi="Arial" w:cs="Arial"/>
          <w:color w:val="000000" w:themeColor="text1"/>
          <w:sz w:val="20"/>
          <w:szCs w:val="20"/>
          <w:lang w:val="en-GB"/>
        </w:rPr>
        <w:t xml:space="preserve"> were from ‘like slightly’ to ‘like very much’. For taste most preferred sample was F2 (8.63), and least preferred sample is C (6.86).</w:t>
      </w:r>
    </w:p>
    <w:p w14:paraId="6D7AF62A" w14:textId="77777777" w:rsidR="005121A3" w:rsidRPr="00A66B7B" w:rsidRDefault="005121A3"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Finally</w:t>
      </w:r>
      <w:r w:rsidR="00DB2110" w:rsidRPr="00A66B7B">
        <w:rPr>
          <w:rFonts w:ascii="Arial" w:eastAsiaTheme="minorEastAsia" w:hAnsi="Arial" w:cs="Arial"/>
          <w:color w:val="000000" w:themeColor="text1"/>
          <w:sz w:val="20"/>
          <w:szCs w:val="20"/>
          <w:lang w:val="en-GB"/>
        </w:rPr>
        <w:t>, the samples' overall acceptability mean scores varied from 7.40 to 8.50, with preferences ranging from "like moderately" to "like very much." The panellists picked F2 (8.50) as their favourite sample, followed by F1 (7.63), F3 (7.60), F4 (7.50), and C (7.40). It indicates that the apple-peel-only infusion would be the least acceptable overall. However, the preference for the overall acceptability of the formed samples increased when both cardamom and cinnamon were added.</w:t>
      </w:r>
    </w:p>
    <w:p w14:paraId="21429023"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11A05154"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4E5CC959"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58A54042"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569F1784"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3056003D"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6E540377" w14:textId="77777777" w:rsidR="00284C3E" w:rsidRPr="00A66B7B" w:rsidRDefault="00284C3E" w:rsidP="00D23D07">
      <w:pPr>
        <w:spacing w:line="240" w:lineRule="auto"/>
        <w:jc w:val="both"/>
        <w:rPr>
          <w:rFonts w:ascii="Arial" w:eastAsiaTheme="minorEastAsia" w:hAnsi="Arial" w:cs="Arial"/>
          <w:color w:val="000000" w:themeColor="text1"/>
          <w:sz w:val="20"/>
          <w:szCs w:val="20"/>
          <w:lang w:val="en-GB"/>
        </w:rPr>
      </w:pPr>
    </w:p>
    <w:p w14:paraId="2815EE3C" w14:textId="77777777" w:rsidR="009579C3" w:rsidRPr="00A66B7B" w:rsidRDefault="009579C3" w:rsidP="00D23D07">
      <w:pPr>
        <w:spacing w:line="240" w:lineRule="auto"/>
        <w:jc w:val="both"/>
        <w:rPr>
          <w:rFonts w:ascii="Arial" w:eastAsiaTheme="minorEastAsia" w:hAnsi="Arial" w:cs="Arial"/>
          <w:color w:val="000000" w:themeColor="text1"/>
          <w:sz w:val="20"/>
          <w:szCs w:val="20"/>
          <w:lang w:val="en-GB"/>
        </w:rPr>
      </w:pPr>
    </w:p>
    <w:p w14:paraId="6C612CF7" w14:textId="77777777" w:rsidR="009579C3" w:rsidRPr="00A66B7B" w:rsidRDefault="009579C3" w:rsidP="00D23D07">
      <w:pPr>
        <w:spacing w:line="240" w:lineRule="auto"/>
        <w:jc w:val="both"/>
        <w:rPr>
          <w:rFonts w:ascii="Arial" w:eastAsiaTheme="minorEastAsia" w:hAnsi="Arial" w:cs="Arial"/>
          <w:color w:val="000000" w:themeColor="text1"/>
          <w:sz w:val="20"/>
          <w:szCs w:val="20"/>
          <w:lang w:val="en-GB"/>
        </w:rPr>
      </w:pPr>
    </w:p>
    <w:p w14:paraId="6706F045" w14:textId="126EE6BF" w:rsidR="00284C3E" w:rsidRPr="00A66B7B" w:rsidRDefault="00284C3E"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                         </w:t>
      </w:r>
      <w:r w:rsidR="003A198F" w:rsidRPr="00A66B7B">
        <w:rPr>
          <w:noProof/>
        </w:rPr>
        <w:drawing>
          <wp:inline distT="0" distB="0" distL="0" distR="0" wp14:anchorId="4396DB18" wp14:editId="0D5FF9EB">
            <wp:extent cx="4856843" cy="3981904"/>
            <wp:effectExtent l="0" t="0" r="1270" b="0"/>
            <wp:docPr id="1" name="Chart 1">
              <a:extLst xmlns:a="http://schemas.openxmlformats.org/drawingml/2006/main">
                <a:ext uri="{FF2B5EF4-FFF2-40B4-BE49-F238E27FC236}">
                  <a16:creationId xmlns:a16="http://schemas.microsoft.com/office/drawing/2014/main" id="{99C7D7B8-EAE7-4668-9A50-EB4E684EA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3C80AE" w14:textId="77777777" w:rsidR="00212891" w:rsidRPr="00A66B7B" w:rsidRDefault="001463BD" w:rsidP="00D23D07">
      <w:pPr>
        <w:spacing w:line="240" w:lineRule="auto"/>
        <w:jc w:val="both"/>
        <w:rPr>
          <w:rFonts w:ascii="Arial" w:eastAsiaTheme="minorEastAsia" w:hAnsi="Arial" w:cs="Arial"/>
          <w:b/>
          <w:color w:val="000000" w:themeColor="text1"/>
          <w:sz w:val="20"/>
          <w:szCs w:val="20"/>
          <w:lang w:val="en-GB"/>
        </w:rPr>
      </w:pPr>
      <w:commentRangeStart w:id="35"/>
      <w:r w:rsidRPr="00A66B7B">
        <w:rPr>
          <w:rFonts w:ascii="Arial" w:eastAsiaTheme="minorEastAsia" w:hAnsi="Arial" w:cs="Arial"/>
          <w:color w:val="000000" w:themeColor="text1"/>
          <w:sz w:val="20"/>
          <w:szCs w:val="20"/>
          <w:lang w:val="en-GB"/>
        </w:rPr>
        <w:t xml:space="preserve">                                                   </w:t>
      </w:r>
      <w:r w:rsidRPr="00A66B7B">
        <w:rPr>
          <w:rFonts w:ascii="Arial" w:eastAsiaTheme="minorEastAsia" w:hAnsi="Arial" w:cs="Arial"/>
          <w:b/>
          <w:color w:val="000000" w:themeColor="text1"/>
          <w:sz w:val="20"/>
          <w:szCs w:val="20"/>
          <w:lang w:val="en-GB"/>
        </w:rPr>
        <w:t>Fig. 1. Sensory evaluation of herbal infusion</w:t>
      </w:r>
      <w:commentRangeEnd w:id="35"/>
      <w:r w:rsidR="00CD7BA6" w:rsidRPr="00A66B7B">
        <w:rPr>
          <w:rStyle w:val="CommentReference"/>
          <w:rFonts w:ascii="Arial" w:eastAsiaTheme="minorEastAsia" w:hAnsi="Arial" w:cs="Arial"/>
          <w:b/>
          <w:color w:val="000000" w:themeColor="text1"/>
          <w:sz w:val="20"/>
          <w:szCs w:val="20"/>
          <w:lang w:val="en-GB"/>
        </w:rPr>
        <w:commentReference w:id="35"/>
      </w:r>
    </w:p>
    <w:p w14:paraId="7C213F1E" w14:textId="77777777" w:rsidR="001463BD" w:rsidRPr="00A66B7B" w:rsidRDefault="001463BD" w:rsidP="00D23D07">
      <w:pPr>
        <w:spacing w:line="240" w:lineRule="auto"/>
        <w:jc w:val="both"/>
        <w:rPr>
          <w:rFonts w:ascii="Arial" w:eastAsiaTheme="minorEastAsia" w:hAnsi="Arial" w:cs="Arial"/>
          <w:b/>
          <w:color w:val="000000" w:themeColor="text1"/>
          <w:sz w:val="20"/>
          <w:szCs w:val="20"/>
          <w:lang w:val="en-GB"/>
        </w:rPr>
      </w:pPr>
    </w:p>
    <w:p w14:paraId="227F4CAC" w14:textId="77777777" w:rsidR="001463BD" w:rsidRPr="00A66B7B" w:rsidRDefault="001463BD"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 xml:space="preserve">3.2 </w:t>
      </w:r>
      <w:r w:rsidR="00063852" w:rsidRPr="00A66B7B">
        <w:rPr>
          <w:rFonts w:ascii="Arial" w:eastAsiaTheme="minorEastAsia" w:hAnsi="Arial" w:cs="Arial"/>
          <w:b/>
          <w:color w:val="000000" w:themeColor="text1"/>
          <w:lang w:val="en-GB"/>
        </w:rPr>
        <w:t>Proximate Analysis</w:t>
      </w:r>
      <w:r w:rsidR="00E76B31" w:rsidRPr="00A66B7B">
        <w:rPr>
          <w:rFonts w:ascii="Arial" w:eastAsiaTheme="minorEastAsia" w:hAnsi="Arial" w:cs="Arial"/>
          <w:b/>
          <w:color w:val="000000" w:themeColor="text1"/>
          <w:lang w:val="en-GB"/>
        </w:rPr>
        <w:t xml:space="preserve"> of formulated herbal infusion</w:t>
      </w:r>
    </w:p>
    <w:p w14:paraId="08AD362F" w14:textId="77777777" w:rsidR="00063852" w:rsidRPr="00A66B7B" w:rsidRDefault="00063852" w:rsidP="00D23D07">
      <w:pPr>
        <w:spacing w:line="240" w:lineRule="auto"/>
        <w:jc w:val="both"/>
      </w:pPr>
      <w:r w:rsidRPr="00A66B7B">
        <w:rPr>
          <w:rFonts w:ascii="Arial" w:eastAsiaTheme="minorEastAsia" w:hAnsi="Arial" w:cs="Arial"/>
          <w:color w:val="000000" w:themeColor="text1"/>
          <w:lang w:val="en-GB"/>
        </w:rPr>
        <w:t xml:space="preserve">Figure </w:t>
      </w:r>
      <w:r w:rsidR="00DB2110" w:rsidRPr="00A66B7B">
        <w:rPr>
          <w:rFonts w:ascii="Arial" w:eastAsiaTheme="minorEastAsia" w:hAnsi="Arial" w:cs="Arial"/>
          <w:color w:val="000000" w:themeColor="text1"/>
          <w:lang w:val="en-GB"/>
        </w:rPr>
        <w:t>2</w:t>
      </w:r>
      <w:r w:rsidRPr="00A66B7B">
        <w:rPr>
          <w:rFonts w:ascii="Arial" w:eastAsiaTheme="minorEastAsia" w:hAnsi="Arial" w:cs="Arial"/>
          <w:color w:val="000000" w:themeColor="text1"/>
          <w:lang w:val="en-GB"/>
        </w:rPr>
        <w:t>.</w:t>
      </w:r>
      <w:r w:rsidR="00DB2110" w:rsidRPr="00A66B7B">
        <w:rPr>
          <w:rFonts w:ascii="Arial" w:eastAsiaTheme="minorEastAsia" w:hAnsi="Arial" w:cs="Arial"/>
          <w:color w:val="000000" w:themeColor="text1"/>
          <w:lang w:val="en-GB"/>
        </w:rPr>
        <w:t xml:space="preserve"> demonstrates the most appropriate herbal infusion formulation's approximate composition on a dry matter basis. The F2 formulation powder had a moisture level of 1.56%. The shelf life of the product is positively connected with the moisture content of the herbal infusion. </w:t>
      </w:r>
      <w:r w:rsidRPr="00A66B7B">
        <w:rPr>
          <w:rFonts w:ascii="Arial" w:eastAsiaTheme="minorEastAsia" w:hAnsi="Arial" w:cs="Arial"/>
          <w:color w:val="000000" w:themeColor="text1"/>
          <w:lang w:val="en-GB"/>
        </w:rPr>
        <w:t>Lower moisture content helps reduce the growth of bacterial and fungi, thereby improving the shelf stability and overall quality of the</w:t>
      </w:r>
      <w:r w:rsidR="00DB2110" w:rsidRPr="00A66B7B">
        <w:rPr>
          <w:rFonts w:ascii="Arial" w:eastAsiaTheme="minorEastAsia" w:hAnsi="Arial" w:cs="Arial"/>
          <w:color w:val="000000" w:themeColor="text1"/>
          <w:lang w:val="en-GB"/>
        </w:rPr>
        <w:t xml:space="preserve"> </w:t>
      </w:r>
      <w:r w:rsidRPr="00A66B7B">
        <w:rPr>
          <w:rFonts w:ascii="Arial" w:eastAsiaTheme="minorEastAsia" w:hAnsi="Arial" w:cs="Arial"/>
          <w:color w:val="000000" w:themeColor="text1"/>
          <w:lang w:val="en-GB"/>
        </w:rPr>
        <w:t>product.</w:t>
      </w:r>
      <w:r w:rsidRPr="00A66B7B">
        <w:t xml:space="preserve"> </w:t>
      </w:r>
      <w:r w:rsidRPr="00A66B7B">
        <w:rPr>
          <w:rFonts w:ascii="Arial" w:hAnsi="Arial" w:cs="Arial"/>
        </w:rPr>
        <w:t xml:space="preserve">It is </w:t>
      </w:r>
      <w:r w:rsidR="00DB2110" w:rsidRPr="00A66B7B">
        <w:rPr>
          <w:rFonts w:ascii="Arial" w:hAnsi="Arial" w:cs="Arial"/>
        </w:rPr>
        <w:t>advised</w:t>
      </w:r>
      <w:r w:rsidRPr="00A66B7B">
        <w:rPr>
          <w:rFonts w:ascii="Arial" w:hAnsi="Arial" w:cs="Arial"/>
        </w:rPr>
        <w:t xml:space="preserve"> that herbal infusions be dried to a moisture level less than 4% </w:t>
      </w:r>
      <w:r w:rsidR="00DB2110" w:rsidRPr="00A66B7B">
        <w:rPr>
          <w:rFonts w:ascii="Arial" w:hAnsi="Arial" w:cs="Arial"/>
        </w:rPr>
        <w:t xml:space="preserve">to guarantee good preservation properties, as long as moisture absorption is limited during distribution and storage </w:t>
      </w:r>
      <w:r w:rsidR="006D3D9B" w:rsidRPr="00A66B7B">
        <w:rPr>
          <w:rFonts w:ascii="Arial" w:hAnsi="Arial" w:cs="Arial"/>
          <w:b/>
          <w:shd w:val="clear" w:color="auto" w:fill="FFFFFF"/>
        </w:rPr>
        <w:t>(Kumadoh et al., 2022)</w:t>
      </w:r>
    </w:p>
    <w:p w14:paraId="7804586D" w14:textId="77777777" w:rsidR="006D3D9B" w:rsidRPr="00A66B7B" w:rsidRDefault="006D3D9B"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The protein</w:t>
      </w:r>
      <w:r w:rsidR="00F41729" w:rsidRPr="00A66B7B">
        <w:rPr>
          <w:rFonts w:ascii="Arial" w:eastAsiaTheme="minorEastAsia" w:hAnsi="Arial" w:cs="Arial"/>
          <w:color w:val="000000" w:themeColor="text1"/>
          <w:sz w:val="20"/>
          <w:szCs w:val="20"/>
          <w:lang w:val="en-GB"/>
        </w:rPr>
        <w:t xml:space="preserve"> </w:t>
      </w:r>
      <w:commentRangeStart w:id="36"/>
      <w:r w:rsidR="00F41729" w:rsidRPr="00A66B7B">
        <w:rPr>
          <w:rFonts w:ascii="Arial" w:eastAsiaTheme="minorEastAsia" w:hAnsi="Arial" w:cs="Arial"/>
          <w:color w:val="000000" w:themeColor="text1"/>
          <w:sz w:val="20"/>
          <w:szCs w:val="20"/>
          <w:lang w:val="en-GB"/>
        </w:rPr>
        <w:t>contetn</w:t>
      </w:r>
      <w:commentRangeEnd w:id="36"/>
      <w:r w:rsidR="00CD7BA6" w:rsidRPr="00A66B7B">
        <w:rPr>
          <w:rStyle w:val="CommentReference"/>
          <w:rFonts w:ascii="Arial" w:eastAsiaTheme="minorEastAsia" w:hAnsi="Arial" w:cs="Arial"/>
          <w:color w:val="000000" w:themeColor="text1"/>
          <w:sz w:val="20"/>
          <w:szCs w:val="20"/>
          <w:lang w:val="en-GB"/>
        </w:rPr>
        <w:commentReference w:id="36"/>
      </w:r>
      <w:r w:rsidR="00E43214" w:rsidRPr="00A66B7B">
        <w:rPr>
          <w:rFonts w:ascii="Arial" w:eastAsiaTheme="minorEastAsia" w:hAnsi="Arial" w:cs="Arial"/>
          <w:color w:val="000000" w:themeColor="text1"/>
          <w:sz w:val="20"/>
          <w:szCs w:val="20"/>
          <w:lang w:val="en-GB"/>
        </w:rPr>
        <w:t xml:space="preserve"> </w:t>
      </w:r>
      <w:r w:rsidR="00F41729" w:rsidRPr="00A66B7B">
        <w:rPr>
          <w:rFonts w:ascii="Arial" w:eastAsiaTheme="minorEastAsia" w:hAnsi="Arial" w:cs="Arial"/>
          <w:color w:val="000000" w:themeColor="text1"/>
          <w:sz w:val="20"/>
          <w:szCs w:val="20"/>
          <w:lang w:val="en-GB"/>
        </w:rPr>
        <w:t xml:space="preserve">of the F2 formulation powder were 7.57%. </w:t>
      </w:r>
      <w:r w:rsidR="00F41729" w:rsidRPr="00A66B7B">
        <w:rPr>
          <w:rFonts w:ascii="Arial" w:hAnsi="Arial" w:cs="Arial"/>
        </w:rPr>
        <w:t>The presence of protein in the formulation may be attributed to the</w:t>
      </w:r>
      <w:commentRangeStart w:id="37"/>
      <w:r w:rsidR="00F41729" w:rsidRPr="00A66B7B">
        <w:rPr>
          <w:rFonts w:ascii="Arial" w:hAnsi="Arial" w:cs="Arial"/>
        </w:rPr>
        <w:t xml:space="preserve"> incorporation of plant-based ingredients and spices</w:t>
      </w:r>
      <w:commentRangeEnd w:id="37"/>
      <w:r w:rsidR="00CD7BA6" w:rsidRPr="00A66B7B">
        <w:rPr>
          <w:rStyle w:val="CommentReference"/>
          <w:rFonts w:ascii="Arial" w:hAnsi="Arial" w:cs="Arial"/>
          <w:sz w:val="22"/>
          <w:szCs w:val="22"/>
        </w:rPr>
        <w:commentReference w:id="37"/>
      </w:r>
      <w:r w:rsidR="00F41729" w:rsidRPr="00A66B7B">
        <w:rPr>
          <w:rFonts w:ascii="Arial" w:hAnsi="Arial" w:cs="Arial"/>
        </w:rPr>
        <w:t xml:space="preserve"> used during product development. Herbal infusions are generally not known for high protein levels, so this value indicates an appreciable nutritional contribution.</w:t>
      </w:r>
      <w:r w:rsidR="000F478B" w:rsidRPr="00A66B7B">
        <w:rPr>
          <w:rFonts w:ascii="Arial" w:hAnsi="Arial" w:cs="Arial"/>
        </w:rPr>
        <w:t xml:space="preserve"> Crude fiber (21.79%) indicating that the product is rich source of dietary fiber. </w:t>
      </w:r>
      <w:r w:rsidR="00DB2110" w:rsidRPr="00A66B7B">
        <w:rPr>
          <w:rFonts w:ascii="Arial" w:hAnsi="Arial" w:cs="Arial"/>
        </w:rPr>
        <w:t xml:space="preserve">Improving digestive health is mostly dependent on dietary fiber. </w:t>
      </w:r>
      <w:r w:rsidR="000F478B" w:rsidRPr="00A66B7B">
        <w:rPr>
          <w:rFonts w:ascii="Arial" w:hAnsi="Arial" w:cs="Arial"/>
        </w:rPr>
        <w:t>and enhancing the functional properties of the beverage. Crude fat (1.97%) indicating a low fat composition in the product. The low fat content makes the beverage suitable for health-conscious consumers and may contribute to better shelf stability. Carbohydrate content (85.51%) indicating that carbohydrates constitute the major component of the formulation. The high carbohydrate content may be a</w:t>
      </w:r>
      <w:r w:rsidR="00DB2110" w:rsidRPr="00A66B7B">
        <w:rPr>
          <w:rFonts w:ascii="Arial" w:hAnsi="Arial" w:cs="Arial"/>
        </w:rPr>
        <w:t>ssociated</w:t>
      </w:r>
      <w:r w:rsidR="000F478B" w:rsidRPr="00A66B7B">
        <w:rPr>
          <w:rFonts w:ascii="Arial" w:hAnsi="Arial" w:cs="Arial"/>
        </w:rPr>
        <w:t xml:space="preserve"> to the presence of natural sugars, dietary fiber, and other plant-derived constituents from the ingredients used. Carbohydrates contribute significantly to the energy value and overall nutritional composition of the beverage. Energy value is 390.05 Kcal, indicating that the product can serve as a good source of energy. </w:t>
      </w:r>
      <w:r w:rsidR="0057585E" w:rsidRPr="00A66B7B">
        <w:rPr>
          <w:rFonts w:ascii="Arial" w:hAnsi="Arial" w:cs="Arial"/>
        </w:rPr>
        <w:t>Total ash content of F2 powder is (3.39%) higher ash content.</w:t>
      </w:r>
    </w:p>
    <w:p w14:paraId="59C14602" w14:textId="77777777" w:rsidR="00212891" w:rsidRPr="00A66B7B" w:rsidRDefault="00212891" w:rsidP="00D23D07">
      <w:pPr>
        <w:spacing w:line="240" w:lineRule="auto"/>
        <w:jc w:val="both"/>
        <w:rPr>
          <w:rFonts w:ascii="Arial" w:eastAsiaTheme="minorEastAsia" w:hAnsi="Arial" w:cs="Arial"/>
          <w:color w:val="000000" w:themeColor="text1"/>
          <w:sz w:val="20"/>
          <w:szCs w:val="20"/>
          <w:u w:val="single"/>
          <w:lang w:val="en-GB"/>
        </w:rPr>
      </w:pPr>
    </w:p>
    <w:p w14:paraId="66A790AB"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4565D713"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6EF8BD68"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57871FE3"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75DF30E3"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3EDEBC0A" w14:textId="77777777" w:rsidR="009579C3" w:rsidRPr="00A66B7B" w:rsidRDefault="009579C3" w:rsidP="00D23D07">
      <w:pPr>
        <w:spacing w:line="240" w:lineRule="auto"/>
        <w:jc w:val="both"/>
        <w:rPr>
          <w:rFonts w:ascii="Arial" w:eastAsiaTheme="minorEastAsia" w:hAnsi="Arial" w:cs="Arial"/>
          <w:color w:val="000000" w:themeColor="text1"/>
          <w:sz w:val="20"/>
          <w:szCs w:val="20"/>
          <w:u w:val="single"/>
          <w:lang w:val="en-GB"/>
        </w:rPr>
      </w:pPr>
    </w:p>
    <w:p w14:paraId="01E0B1EA" w14:textId="77777777" w:rsidR="009579C3" w:rsidRPr="00A66B7B" w:rsidRDefault="009579C3" w:rsidP="00D23D07">
      <w:pPr>
        <w:spacing w:line="240" w:lineRule="auto"/>
        <w:jc w:val="both"/>
        <w:rPr>
          <w:rFonts w:ascii="Arial" w:eastAsiaTheme="minorEastAsia" w:hAnsi="Arial" w:cs="Arial"/>
          <w:color w:val="000000" w:themeColor="text1"/>
          <w:sz w:val="20"/>
          <w:szCs w:val="20"/>
          <w:u w:val="single"/>
          <w:lang w:val="en-GB"/>
        </w:rPr>
      </w:pPr>
    </w:p>
    <w:p w14:paraId="24160F2A" w14:textId="77777777" w:rsidR="0057585E" w:rsidRPr="00A66B7B" w:rsidRDefault="004C5570"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 xml:space="preserve">                  </w:t>
      </w:r>
      <w:r w:rsidRPr="00A66B7B">
        <w:rPr>
          <w:noProof/>
        </w:rPr>
        <w:drawing>
          <wp:inline distT="0" distB="0" distL="0" distR="0" wp14:anchorId="4609B66B" wp14:editId="310219DC">
            <wp:extent cx="4832010" cy="2756319"/>
            <wp:effectExtent l="0" t="0" r="6985" b="6350"/>
            <wp:docPr id="2" name="Chart 2">
              <a:extLst xmlns:a="http://schemas.openxmlformats.org/drawingml/2006/main">
                <a:ext uri="{FF2B5EF4-FFF2-40B4-BE49-F238E27FC236}">
                  <a16:creationId xmlns:a16="http://schemas.microsoft.com/office/drawing/2014/main" id="{2E66ED00-9197-48BB-B375-329A61C4A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5077BA" w14:textId="77777777" w:rsidR="004C5570" w:rsidRPr="00A66B7B" w:rsidRDefault="004C5570" w:rsidP="00D23D07">
      <w:pPr>
        <w:spacing w:line="240" w:lineRule="auto"/>
        <w:jc w:val="both"/>
        <w:rPr>
          <w:rFonts w:ascii="Arial" w:eastAsiaTheme="minorEastAsia" w:hAnsi="Arial" w:cs="Arial"/>
          <w:b/>
          <w:color w:val="000000" w:themeColor="text1"/>
          <w:sz w:val="20"/>
          <w:szCs w:val="20"/>
          <w:lang w:val="en-GB"/>
        </w:rPr>
      </w:pPr>
      <w:r w:rsidRPr="00A66B7B">
        <w:rPr>
          <w:rFonts w:ascii="Arial" w:eastAsiaTheme="minorEastAsia" w:hAnsi="Arial" w:cs="Arial"/>
          <w:color w:val="000000" w:themeColor="text1"/>
          <w:sz w:val="20"/>
          <w:szCs w:val="20"/>
          <w:u w:val="single"/>
          <w:lang w:val="en-GB"/>
        </w:rPr>
        <w:t xml:space="preserve"> </w:t>
      </w:r>
      <w:r w:rsidRPr="00A66B7B">
        <w:rPr>
          <w:rFonts w:ascii="Arial" w:eastAsiaTheme="minorEastAsia" w:hAnsi="Arial" w:cs="Arial"/>
          <w:color w:val="000000" w:themeColor="text1"/>
          <w:sz w:val="20"/>
          <w:szCs w:val="20"/>
          <w:lang w:val="en-GB"/>
        </w:rPr>
        <w:t xml:space="preserve">                    </w:t>
      </w:r>
      <w:r w:rsidR="00E76B31" w:rsidRPr="00A66B7B">
        <w:rPr>
          <w:rFonts w:ascii="Arial" w:eastAsiaTheme="minorEastAsia" w:hAnsi="Arial" w:cs="Arial"/>
          <w:b/>
          <w:color w:val="000000" w:themeColor="text1"/>
          <w:sz w:val="20"/>
          <w:szCs w:val="20"/>
          <w:lang w:val="en-GB"/>
        </w:rPr>
        <w:t>Fig. 2. Proximate analysis of most preferred formulated sample of herbal infusion</w:t>
      </w:r>
    </w:p>
    <w:p w14:paraId="130E17A1" w14:textId="77777777" w:rsidR="00E76B31" w:rsidRPr="00A66B7B" w:rsidRDefault="00E76B31" w:rsidP="00D23D07">
      <w:pPr>
        <w:spacing w:line="240" w:lineRule="auto"/>
        <w:jc w:val="both"/>
        <w:rPr>
          <w:rFonts w:ascii="Arial" w:eastAsiaTheme="minorEastAsia" w:hAnsi="Arial" w:cs="Arial"/>
          <w:b/>
          <w:color w:val="000000" w:themeColor="text1"/>
          <w:sz w:val="20"/>
          <w:szCs w:val="20"/>
          <w:lang w:val="en-GB"/>
        </w:rPr>
      </w:pPr>
    </w:p>
    <w:p w14:paraId="1EAD351C" w14:textId="77777777" w:rsidR="00E76B31" w:rsidRPr="00A66B7B" w:rsidRDefault="00E76B31"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w:t>
      </w:r>
      <w:r w:rsidR="002E5E1F" w:rsidRPr="00A66B7B">
        <w:rPr>
          <w:rFonts w:ascii="Arial" w:eastAsiaTheme="minorEastAsia" w:hAnsi="Arial" w:cs="Arial"/>
          <w:b/>
          <w:color w:val="000000" w:themeColor="text1"/>
          <w:lang w:val="en-GB"/>
        </w:rPr>
        <w:t>3</w:t>
      </w:r>
      <w:r w:rsidRPr="00A66B7B">
        <w:rPr>
          <w:rFonts w:ascii="Arial" w:eastAsiaTheme="minorEastAsia" w:hAnsi="Arial" w:cs="Arial"/>
          <w:b/>
          <w:color w:val="000000" w:themeColor="text1"/>
          <w:lang w:val="en-GB"/>
        </w:rPr>
        <w:t xml:space="preserve"> </w:t>
      </w:r>
      <w:r w:rsidR="007960AF" w:rsidRPr="00A66B7B">
        <w:rPr>
          <w:rFonts w:ascii="Arial" w:eastAsiaTheme="minorEastAsia" w:hAnsi="Arial" w:cs="Arial"/>
          <w:b/>
          <w:color w:val="000000" w:themeColor="text1"/>
          <w:lang w:val="en-GB"/>
        </w:rPr>
        <w:t>Physico</w:t>
      </w:r>
      <w:r w:rsidR="00DB2110" w:rsidRPr="00A66B7B">
        <w:rPr>
          <w:rFonts w:ascii="Arial" w:eastAsiaTheme="minorEastAsia" w:hAnsi="Arial" w:cs="Arial"/>
          <w:b/>
          <w:color w:val="000000" w:themeColor="text1"/>
          <w:lang w:val="en-GB"/>
        </w:rPr>
        <w:t>-</w:t>
      </w:r>
      <w:r w:rsidR="007960AF" w:rsidRPr="00A66B7B">
        <w:rPr>
          <w:rFonts w:ascii="Arial" w:eastAsiaTheme="minorEastAsia" w:hAnsi="Arial" w:cs="Arial"/>
          <w:b/>
          <w:color w:val="000000" w:themeColor="text1"/>
          <w:lang w:val="en-GB"/>
        </w:rPr>
        <w:t xml:space="preserve">chemical Properties of </w:t>
      </w:r>
      <w:r w:rsidR="00DB2110" w:rsidRPr="00A66B7B">
        <w:rPr>
          <w:rFonts w:ascii="Arial" w:eastAsiaTheme="minorEastAsia" w:hAnsi="Arial" w:cs="Arial"/>
          <w:b/>
          <w:color w:val="000000" w:themeColor="text1"/>
          <w:lang w:val="en-GB"/>
        </w:rPr>
        <w:t>Formulated Herbal Infusion</w:t>
      </w:r>
      <w:r w:rsidR="007960AF" w:rsidRPr="00A66B7B">
        <w:rPr>
          <w:rFonts w:ascii="Arial" w:eastAsiaTheme="minorEastAsia" w:hAnsi="Arial" w:cs="Arial"/>
          <w:b/>
          <w:color w:val="000000" w:themeColor="text1"/>
          <w:lang w:val="en-GB"/>
        </w:rPr>
        <w:t xml:space="preserve"> (F2)</w:t>
      </w:r>
      <w:r w:rsidR="00411D83" w:rsidRPr="00A66B7B">
        <w:rPr>
          <w:rFonts w:ascii="Arial" w:eastAsiaTheme="minorEastAsia" w:hAnsi="Arial" w:cs="Arial"/>
          <w:b/>
          <w:color w:val="000000" w:themeColor="text1"/>
          <w:lang w:val="en-GB"/>
        </w:rPr>
        <w:t xml:space="preserve"> Powder</w:t>
      </w:r>
    </w:p>
    <w:p w14:paraId="75DB40CB" w14:textId="77777777" w:rsidR="0057585E" w:rsidRPr="00A66B7B" w:rsidRDefault="00DB2110"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Measurements of physical and chemical characteristics, such as pH and color, for the most suitable herbal infusion formulation</w:t>
      </w:r>
      <w:r w:rsidR="008768D4" w:rsidRPr="00A66B7B">
        <w:rPr>
          <w:rFonts w:ascii="Arial" w:eastAsiaTheme="minorEastAsia" w:hAnsi="Arial" w:cs="Arial"/>
          <w:color w:val="000000" w:themeColor="text1"/>
          <w:sz w:val="20"/>
          <w:szCs w:val="20"/>
          <w:lang w:val="en-GB"/>
        </w:rPr>
        <w:t xml:space="preserve"> is</w:t>
      </w:r>
      <w:r w:rsidR="007960AF" w:rsidRPr="00A66B7B">
        <w:rPr>
          <w:rFonts w:ascii="Arial" w:eastAsiaTheme="minorEastAsia" w:hAnsi="Arial" w:cs="Arial"/>
          <w:color w:val="000000" w:themeColor="text1"/>
          <w:sz w:val="20"/>
          <w:szCs w:val="20"/>
          <w:lang w:val="en-GB"/>
        </w:rPr>
        <w:t xml:space="preserve"> (F2). pH level significantly affects how functional drinks are processed and influences the appearance of various products</w:t>
      </w:r>
      <w:r w:rsidR="00147864" w:rsidRPr="00A66B7B">
        <w:rPr>
          <w:rFonts w:ascii="Arial" w:eastAsiaTheme="minorEastAsia" w:hAnsi="Arial" w:cs="Arial"/>
          <w:color w:val="000000" w:themeColor="text1"/>
          <w:sz w:val="20"/>
          <w:szCs w:val="20"/>
          <w:lang w:val="en-GB"/>
        </w:rPr>
        <w:t xml:space="preserve"> </w:t>
      </w:r>
      <w:r w:rsidR="00147864" w:rsidRPr="00A66B7B">
        <w:rPr>
          <w:rFonts w:ascii="Arial" w:hAnsi="Arial" w:cs="Arial"/>
          <w:b/>
          <w:sz w:val="20"/>
          <w:szCs w:val="20"/>
        </w:rPr>
        <w:t>(Vázquez-Cabral et al., 2014)</w:t>
      </w:r>
      <w:r w:rsidR="00B46245" w:rsidRPr="00A66B7B">
        <w:rPr>
          <w:rFonts w:ascii="Arial" w:eastAsiaTheme="minorEastAsia" w:hAnsi="Arial" w:cs="Arial"/>
          <w:b/>
          <w:color w:val="000000" w:themeColor="text1"/>
          <w:sz w:val="20"/>
          <w:szCs w:val="20"/>
          <w:lang w:val="en-GB"/>
        </w:rPr>
        <w:t>.</w:t>
      </w:r>
      <w:r w:rsidR="00B46245" w:rsidRPr="00A66B7B">
        <w:rPr>
          <w:rFonts w:ascii="Arial" w:eastAsiaTheme="minorEastAsia" w:hAnsi="Arial" w:cs="Arial"/>
          <w:color w:val="000000" w:themeColor="text1"/>
          <w:sz w:val="20"/>
          <w:szCs w:val="20"/>
          <w:lang w:val="en-GB"/>
        </w:rPr>
        <w:t xml:space="preserve"> The pH of the F2 formulated powder was 5.96</w:t>
      </w:r>
      <w:r w:rsidR="00664C33" w:rsidRPr="00A66B7B">
        <w:rPr>
          <w:rFonts w:ascii="Arial" w:eastAsiaTheme="minorEastAsia" w:hAnsi="Arial" w:cs="Arial"/>
          <w:color w:val="000000" w:themeColor="text1"/>
          <w:sz w:val="20"/>
          <w:szCs w:val="20"/>
          <w:lang w:val="en-GB"/>
        </w:rPr>
        <w:t xml:space="preserve">, indicates slightly acidic </w:t>
      </w:r>
      <w:commentRangeStart w:id="38"/>
      <w:r w:rsidR="00664C33" w:rsidRPr="00A66B7B">
        <w:rPr>
          <w:rFonts w:ascii="Arial" w:eastAsiaTheme="minorEastAsia" w:hAnsi="Arial" w:cs="Arial"/>
          <w:color w:val="000000" w:themeColor="text1"/>
          <w:sz w:val="20"/>
          <w:szCs w:val="20"/>
          <w:lang w:val="en-GB"/>
        </w:rPr>
        <w:t>this pH range is generally considered acceptable</w:t>
      </w:r>
      <w:commentRangeEnd w:id="38"/>
      <w:r w:rsidR="00F56BC7" w:rsidRPr="00A66B7B">
        <w:rPr>
          <w:rStyle w:val="CommentReference"/>
          <w:rFonts w:ascii="Arial" w:eastAsiaTheme="minorEastAsia" w:hAnsi="Arial" w:cs="Arial"/>
          <w:color w:val="000000" w:themeColor="text1"/>
          <w:sz w:val="20"/>
          <w:szCs w:val="20"/>
          <w:lang w:val="en-GB"/>
        </w:rPr>
        <w:commentReference w:id="38"/>
      </w:r>
      <w:r w:rsidR="00664C33" w:rsidRPr="00A66B7B">
        <w:rPr>
          <w:rFonts w:ascii="Arial" w:eastAsiaTheme="minorEastAsia" w:hAnsi="Arial" w:cs="Arial"/>
          <w:color w:val="000000" w:themeColor="text1"/>
          <w:sz w:val="20"/>
          <w:szCs w:val="20"/>
          <w:lang w:val="en-GB"/>
        </w:rPr>
        <w:t>. Bacterial contamination may be high at neutral or higher pH levels, but it may be low when a herbal medicine has a low pH because of the presence of acidic chemicals</w:t>
      </w:r>
      <w:r w:rsidR="00147864" w:rsidRPr="00A66B7B">
        <w:rPr>
          <w:rFonts w:ascii="Arial" w:eastAsiaTheme="minorEastAsia" w:hAnsi="Arial" w:cs="Arial"/>
          <w:color w:val="000000" w:themeColor="text1"/>
          <w:sz w:val="20"/>
          <w:szCs w:val="20"/>
          <w:lang w:val="en-GB"/>
        </w:rPr>
        <w:t xml:space="preserve"> </w:t>
      </w:r>
      <w:r w:rsidR="00147864" w:rsidRPr="00A66B7B">
        <w:rPr>
          <w:rFonts w:ascii="Arial" w:hAnsi="Arial" w:cs="Arial"/>
          <w:b/>
          <w:sz w:val="20"/>
          <w:szCs w:val="20"/>
          <w:shd w:val="clear" w:color="auto" w:fill="FFFFFF"/>
        </w:rPr>
        <w:t>(Kumadoh et al., 2024</w:t>
      </w:r>
      <w:r w:rsidR="00147864" w:rsidRPr="00A66B7B">
        <w:rPr>
          <w:rFonts w:ascii="Arial" w:hAnsi="Arial" w:cs="Arial"/>
          <w:b/>
          <w:shd w:val="clear" w:color="auto" w:fill="FFFFFF"/>
        </w:rPr>
        <w:t>)</w:t>
      </w:r>
      <w:r w:rsidR="00FD4768" w:rsidRPr="00A66B7B">
        <w:rPr>
          <w:rFonts w:ascii="Arial" w:eastAsiaTheme="minorEastAsia" w:hAnsi="Arial" w:cs="Arial"/>
          <w:color w:val="000000" w:themeColor="text1"/>
          <w:sz w:val="20"/>
          <w:szCs w:val="20"/>
          <w:lang w:val="en-GB"/>
        </w:rPr>
        <w:t>. Perception of color is directly correlated with chroma and hue angle</w:t>
      </w:r>
      <w:r w:rsidR="008768D4" w:rsidRPr="00A66B7B">
        <w:rPr>
          <w:rFonts w:ascii="Arial" w:eastAsiaTheme="minorEastAsia" w:hAnsi="Arial" w:cs="Arial"/>
          <w:color w:val="000000" w:themeColor="text1"/>
          <w:sz w:val="20"/>
          <w:szCs w:val="20"/>
          <w:lang w:val="en-GB"/>
        </w:rPr>
        <w:t xml:space="preserve"> of the product</w:t>
      </w:r>
      <w:r w:rsidR="00FD4768" w:rsidRPr="00A66B7B">
        <w:rPr>
          <w:rFonts w:ascii="Arial" w:eastAsiaTheme="minorEastAsia" w:hAnsi="Arial" w:cs="Arial"/>
          <w:color w:val="000000" w:themeColor="text1"/>
          <w:sz w:val="20"/>
          <w:szCs w:val="20"/>
          <w:lang w:val="en-GB"/>
        </w:rPr>
        <w:t>, while the colo</w:t>
      </w:r>
      <w:r w:rsidR="008768D4" w:rsidRPr="00A66B7B">
        <w:rPr>
          <w:rFonts w:ascii="Arial" w:eastAsiaTheme="minorEastAsia" w:hAnsi="Arial" w:cs="Arial"/>
          <w:color w:val="000000" w:themeColor="text1"/>
          <w:sz w:val="20"/>
          <w:szCs w:val="20"/>
          <w:lang w:val="en-GB"/>
        </w:rPr>
        <w:t>u</w:t>
      </w:r>
      <w:r w:rsidR="00FD4768" w:rsidRPr="00A66B7B">
        <w:rPr>
          <w:rFonts w:ascii="Arial" w:eastAsiaTheme="minorEastAsia" w:hAnsi="Arial" w:cs="Arial"/>
          <w:color w:val="000000" w:themeColor="text1"/>
          <w:sz w:val="20"/>
          <w:szCs w:val="20"/>
          <w:lang w:val="en-GB"/>
        </w:rPr>
        <w:t xml:space="preserve">r intensity parameter can be utilized to monitor sample color variations </w:t>
      </w:r>
      <w:r w:rsidR="00147864" w:rsidRPr="00A66B7B">
        <w:rPr>
          <w:rFonts w:ascii="Arial" w:eastAsiaTheme="minorEastAsia" w:hAnsi="Arial" w:cs="Arial"/>
          <w:b/>
          <w:color w:val="000000" w:themeColor="text1"/>
          <w:sz w:val="20"/>
          <w:szCs w:val="20"/>
          <w:lang w:val="en-GB"/>
        </w:rPr>
        <w:t>(</w:t>
      </w:r>
      <w:r w:rsidR="00147864" w:rsidRPr="00A66B7B">
        <w:rPr>
          <w:rFonts w:ascii="Arial" w:hAnsi="Arial" w:cs="Arial"/>
          <w:b/>
          <w:sz w:val="20"/>
          <w:szCs w:val="20"/>
        </w:rPr>
        <w:t>Delgado-Ospina et al., 2022)</w:t>
      </w:r>
      <w:r w:rsidR="00FD4768" w:rsidRPr="00A66B7B">
        <w:rPr>
          <w:rFonts w:ascii="Arial" w:eastAsiaTheme="minorEastAsia" w:hAnsi="Arial" w:cs="Arial"/>
          <w:color w:val="000000" w:themeColor="text1"/>
          <w:sz w:val="20"/>
          <w:szCs w:val="20"/>
          <w:lang w:val="en-GB"/>
        </w:rPr>
        <w:t xml:space="preserve">. The chroma </w:t>
      </w:r>
      <w:r w:rsidR="002E5E1F" w:rsidRPr="00A66B7B">
        <w:rPr>
          <w:rFonts w:ascii="Arial" w:eastAsiaTheme="minorEastAsia" w:hAnsi="Arial" w:cs="Arial"/>
          <w:color w:val="000000" w:themeColor="text1"/>
          <w:sz w:val="20"/>
          <w:szCs w:val="20"/>
          <w:lang w:val="en-GB"/>
        </w:rPr>
        <w:t>of the powder was 14.45, colour intensity was 37.54, and hue angle is 63.9</w:t>
      </w:r>
      <w:r w:rsidR="002E5E1F" w:rsidRPr="00A66B7B">
        <w:rPr>
          <w:rFonts w:ascii="Courier New" w:eastAsiaTheme="minorEastAsia" w:hAnsi="Courier New" w:cs="Courier New"/>
          <w:color w:val="000000" w:themeColor="text1"/>
          <w:sz w:val="20"/>
          <w:szCs w:val="20"/>
          <w:lang w:val="en-GB"/>
        </w:rPr>
        <w:t>°</w:t>
      </w:r>
      <w:r w:rsidR="002E5E1F" w:rsidRPr="00A66B7B">
        <w:rPr>
          <w:rFonts w:ascii="Arial" w:eastAsiaTheme="minorEastAsia" w:hAnsi="Arial" w:cs="Arial"/>
          <w:color w:val="000000" w:themeColor="text1"/>
          <w:sz w:val="20"/>
          <w:szCs w:val="20"/>
          <w:lang w:val="en-GB"/>
        </w:rPr>
        <w:t xml:space="preserve">which indicates a yellowish-brown colour tone of the herbal infusion. </w:t>
      </w:r>
    </w:p>
    <w:p w14:paraId="7751B2D7" w14:textId="77777777" w:rsidR="002E5E1F" w:rsidRPr="00A66B7B" w:rsidRDefault="002E5E1F" w:rsidP="00D23D07">
      <w:pPr>
        <w:spacing w:line="240" w:lineRule="auto"/>
        <w:jc w:val="both"/>
        <w:rPr>
          <w:rFonts w:ascii="Arial" w:eastAsiaTheme="minorEastAsia" w:hAnsi="Arial" w:cs="Arial"/>
          <w:color w:val="000000" w:themeColor="text1"/>
          <w:sz w:val="20"/>
          <w:szCs w:val="20"/>
          <w:lang w:val="en-GB"/>
        </w:rPr>
      </w:pPr>
    </w:p>
    <w:p w14:paraId="1446CF21" w14:textId="77777777" w:rsidR="002E5E1F" w:rsidRPr="00A66B7B" w:rsidRDefault="002E5E1F"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3.4 Antioxidant and Phytochemical Properties</w:t>
      </w:r>
    </w:p>
    <w:p w14:paraId="7B84E38D" w14:textId="77777777" w:rsidR="002E5E1F" w:rsidRPr="00A66B7B" w:rsidRDefault="002E5E1F"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3.4.1 Antioxidant Properties of control and fomulated herbal infusion (F2)</w:t>
      </w:r>
      <w:r w:rsidR="00411D83" w:rsidRPr="00A66B7B">
        <w:rPr>
          <w:rFonts w:ascii="Arial" w:eastAsiaTheme="minorEastAsia" w:hAnsi="Arial" w:cs="Arial"/>
          <w:b/>
          <w:color w:val="000000" w:themeColor="text1"/>
          <w:sz w:val="20"/>
          <w:szCs w:val="20"/>
          <w:u w:val="single"/>
          <w:lang w:val="en-GB"/>
        </w:rPr>
        <w:t xml:space="preserve"> Powder</w:t>
      </w:r>
    </w:p>
    <w:p w14:paraId="341A8BC3" w14:textId="77777777" w:rsidR="002E5E1F" w:rsidRPr="00A66B7B" w:rsidRDefault="002E5E1F" w:rsidP="00D23D07">
      <w:pPr>
        <w:spacing w:line="240" w:lineRule="auto"/>
        <w:jc w:val="both"/>
        <w:rPr>
          <w:rFonts w:ascii="Arial" w:hAnsi="Arial" w:cs="Arial"/>
          <w:sz w:val="20"/>
          <w:szCs w:val="20"/>
        </w:rPr>
      </w:pPr>
      <w:r w:rsidRPr="00A66B7B">
        <w:rPr>
          <w:rFonts w:ascii="Arial" w:eastAsiaTheme="minorEastAsia" w:hAnsi="Arial" w:cs="Arial"/>
          <w:color w:val="000000" w:themeColor="text1"/>
          <w:sz w:val="20"/>
          <w:szCs w:val="20"/>
          <w:lang w:val="en-GB"/>
        </w:rPr>
        <w:t xml:space="preserve">The </w:t>
      </w:r>
      <w:r w:rsidR="00A51881" w:rsidRPr="00A66B7B">
        <w:rPr>
          <w:rFonts w:ascii="Arial" w:eastAsiaTheme="minorEastAsia" w:hAnsi="Arial" w:cs="Arial"/>
          <w:color w:val="000000" w:themeColor="text1"/>
          <w:sz w:val="20"/>
          <w:szCs w:val="20"/>
          <w:lang w:val="en-GB"/>
        </w:rPr>
        <w:t xml:space="preserve">radical scavenging activity of </w:t>
      </w:r>
      <w:commentRangeStart w:id="39"/>
      <w:r w:rsidR="00A51881" w:rsidRPr="00A66B7B">
        <w:rPr>
          <w:rFonts w:ascii="Arial" w:eastAsiaTheme="minorEastAsia" w:hAnsi="Arial" w:cs="Arial"/>
          <w:color w:val="000000" w:themeColor="text1"/>
          <w:sz w:val="20"/>
          <w:szCs w:val="20"/>
          <w:lang w:val="en-GB"/>
        </w:rPr>
        <w:t>C</w:t>
      </w:r>
      <w:commentRangeEnd w:id="39"/>
      <w:r w:rsidR="00F56BC7" w:rsidRPr="00A66B7B">
        <w:rPr>
          <w:rStyle w:val="CommentReference"/>
          <w:rFonts w:ascii="Arial" w:eastAsiaTheme="minorEastAsia" w:hAnsi="Arial" w:cs="Arial"/>
          <w:color w:val="000000" w:themeColor="text1"/>
          <w:sz w:val="20"/>
          <w:szCs w:val="20"/>
          <w:lang w:val="en-GB"/>
        </w:rPr>
        <w:commentReference w:id="39"/>
      </w:r>
      <w:r w:rsidR="00A51881" w:rsidRPr="00A66B7B">
        <w:rPr>
          <w:rFonts w:ascii="Arial" w:eastAsiaTheme="minorEastAsia" w:hAnsi="Arial" w:cs="Arial"/>
          <w:color w:val="000000" w:themeColor="text1"/>
          <w:sz w:val="20"/>
          <w:szCs w:val="20"/>
          <w:lang w:val="en-GB"/>
        </w:rPr>
        <w:t xml:space="preserve"> was 508.4mg/gm Ascorbic acid equivalent and F2 was 401.86mg/gm Ascorbic acid equivalent. </w:t>
      </w:r>
      <w:r w:rsidR="00A51881" w:rsidRPr="00A66B7B">
        <w:rPr>
          <w:rFonts w:ascii="Arial" w:hAnsi="Arial" w:cs="Arial"/>
          <w:sz w:val="20"/>
          <w:szCs w:val="20"/>
        </w:rPr>
        <w:t>The antioxidant activity of the formulated herbal infusion was observed to be lower than that of the control sample. The reduction in antioxidant activity may be due to processing conditions, dilution during infusion preparation, and possible degradation of heat-sensitive phenolic compounds</w:t>
      </w:r>
      <w:r w:rsidR="00A51881" w:rsidRPr="00A66B7B">
        <w:t xml:space="preserve">. </w:t>
      </w:r>
      <w:r w:rsidR="00A51881" w:rsidRPr="00A66B7B">
        <w:rPr>
          <w:rFonts w:ascii="Arial" w:hAnsi="Arial" w:cs="Arial"/>
          <w:sz w:val="20"/>
          <w:szCs w:val="20"/>
        </w:rPr>
        <w:t xml:space="preserve">Despite </w:t>
      </w:r>
      <w:commentRangeStart w:id="40"/>
      <w:r w:rsidR="00A51881" w:rsidRPr="00A66B7B">
        <w:rPr>
          <w:rFonts w:ascii="Arial" w:hAnsi="Arial" w:cs="Arial"/>
          <w:sz w:val="20"/>
          <w:szCs w:val="20"/>
        </w:rPr>
        <w:t>this</w:t>
      </w:r>
      <w:commentRangeEnd w:id="40"/>
      <w:r w:rsidR="00F56BC7" w:rsidRPr="00A66B7B">
        <w:rPr>
          <w:rStyle w:val="CommentReference"/>
          <w:rFonts w:ascii="Arial" w:hAnsi="Arial" w:cs="Arial"/>
          <w:sz w:val="20"/>
          <w:szCs w:val="20"/>
        </w:rPr>
        <w:commentReference w:id="40"/>
      </w:r>
      <w:r w:rsidR="00A51881" w:rsidRPr="00A66B7B">
        <w:rPr>
          <w:rFonts w:ascii="Arial" w:hAnsi="Arial" w:cs="Arial"/>
          <w:sz w:val="20"/>
          <w:szCs w:val="20"/>
        </w:rPr>
        <w:t xml:space="preserve"> the powdered sample exhibited high antioxidant activity.</w:t>
      </w:r>
    </w:p>
    <w:p w14:paraId="79709546" w14:textId="77777777" w:rsidR="0045332A" w:rsidRPr="00A66B7B" w:rsidRDefault="00A51881" w:rsidP="00D23D07">
      <w:pPr>
        <w:spacing w:line="240" w:lineRule="auto"/>
        <w:jc w:val="both"/>
        <w:rPr>
          <w:rFonts w:ascii="Arial" w:eastAsiaTheme="minorEastAsia" w:hAnsi="Arial" w:cs="Arial"/>
          <w:b/>
          <w:color w:val="000000" w:themeColor="text1"/>
          <w:sz w:val="20"/>
          <w:szCs w:val="20"/>
          <w:u w:val="single"/>
          <w:lang w:val="en-GB"/>
        </w:rPr>
      </w:pPr>
      <w:r w:rsidRPr="00A66B7B">
        <w:rPr>
          <w:rFonts w:ascii="Arial" w:eastAsiaTheme="minorEastAsia" w:hAnsi="Arial" w:cs="Arial"/>
          <w:b/>
          <w:color w:val="000000" w:themeColor="text1"/>
          <w:sz w:val="20"/>
          <w:szCs w:val="20"/>
          <w:u w:val="single"/>
          <w:lang w:val="en-GB"/>
        </w:rPr>
        <w:t>3.4.2 Phytochemical Properties of control and formulated herbal infusion (F2)</w:t>
      </w:r>
      <w:r w:rsidR="00411D83" w:rsidRPr="00A66B7B">
        <w:rPr>
          <w:rFonts w:ascii="Arial" w:eastAsiaTheme="minorEastAsia" w:hAnsi="Arial" w:cs="Arial"/>
          <w:b/>
          <w:color w:val="000000" w:themeColor="text1"/>
          <w:sz w:val="20"/>
          <w:szCs w:val="20"/>
          <w:u w:val="single"/>
          <w:lang w:val="en-GB"/>
        </w:rPr>
        <w:t xml:space="preserve"> Powder</w:t>
      </w:r>
    </w:p>
    <w:p w14:paraId="6F1B8BAC" w14:textId="77777777" w:rsidR="0045332A" w:rsidRPr="00A66B7B" w:rsidRDefault="0045332A" w:rsidP="00821E70">
      <w:pPr>
        <w:pStyle w:val="NormalWeb"/>
      </w:pPr>
      <w:r w:rsidRPr="00A66B7B">
        <w:rPr>
          <w:rFonts w:ascii="Arial" w:eastAsiaTheme="minorEastAsia" w:hAnsi="Arial" w:cs="Arial"/>
          <w:color w:val="000000" w:themeColor="text1"/>
          <w:sz w:val="20"/>
          <w:szCs w:val="20"/>
          <w:lang w:val="en-GB"/>
        </w:rPr>
        <w:t xml:space="preserve">Total phenolic content of control sample (17.33mg GAE/gm) found to be slightly higher than F2 (17.29 mg GAE/gm). The difference between two samples was minimal, indicating that F2 retained a comparable level of phenolic contents. Total flavonoid content of control sample (15.669 mg/QE/gm) found to be slightly higher than F2 (11.02 mg QE/gm). </w:t>
      </w:r>
      <w:r w:rsidRPr="00A66B7B">
        <w:rPr>
          <w:rFonts w:ascii="Arial" w:hAnsi="Arial" w:cs="Arial"/>
          <w:sz w:val="20"/>
          <w:szCs w:val="20"/>
        </w:rPr>
        <w:t xml:space="preserve">However, the formulated sample still exhibited appreciable flavonoid content, </w:t>
      </w:r>
      <w:r w:rsidR="008768D4" w:rsidRPr="00A66B7B">
        <w:rPr>
          <w:rFonts w:ascii="Arial" w:hAnsi="Arial" w:cs="Arial"/>
          <w:sz w:val="20"/>
          <w:szCs w:val="20"/>
        </w:rPr>
        <w:t>indicating that the antioxidant qualities were due to the presence of bioactive substances</w:t>
      </w:r>
      <w:r w:rsidRPr="00A66B7B">
        <w:rPr>
          <w:rFonts w:ascii="Arial" w:hAnsi="Arial" w:cs="Arial"/>
          <w:sz w:val="20"/>
          <w:szCs w:val="20"/>
        </w:rPr>
        <w:t>.</w:t>
      </w:r>
      <w:r w:rsidR="007D6CE8" w:rsidRPr="00A66B7B">
        <w:rPr>
          <w:rFonts w:ascii="Arial" w:hAnsi="Arial" w:cs="Arial"/>
          <w:sz w:val="20"/>
          <w:szCs w:val="20"/>
        </w:rPr>
        <w:t xml:space="preserve"> Total tannin content of F2 sample (1.14 mg/gm) was found to be</w:t>
      </w:r>
      <w:r w:rsidR="008768D4" w:rsidRPr="00A66B7B">
        <w:rPr>
          <w:rFonts w:ascii="Arial" w:hAnsi="Arial" w:cs="Arial"/>
          <w:sz w:val="20"/>
          <w:szCs w:val="20"/>
        </w:rPr>
        <w:t xml:space="preserve"> greater </w:t>
      </w:r>
      <w:r w:rsidR="007D6CE8" w:rsidRPr="00A66B7B">
        <w:rPr>
          <w:rFonts w:ascii="Arial" w:hAnsi="Arial" w:cs="Arial"/>
          <w:sz w:val="20"/>
          <w:szCs w:val="20"/>
        </w:rPr>
        <w:t>than the control sample (1.03 mg/gm). The combination of cinnamon and cardamom flavours balance bitterness, sweetness</w:t>
      </w:r>
      <w:r w:rsidR="00411D83" w:rsidRPr="00A66B7B">
        <w:rPr>
          <w:rFonts w:ascii="Arial" w:hAnsi="Arial" w:cs="Arial"/>
          <w:sz w:val="20"/>
          <w:szCs w:val="20"/>
        </w:rPr>
        <w:t>, improving palatability. Additionally</w:t>
      </w:r>
      <w:r w:rsidR="008768D4" w:rsidRPr="00A66B7B">
        <w:rPr>
          <w:rFonts w:ascii="Arial" w:hAnsi="Arial" w:cs="Arial"/>
          <w:sz w:val="20"/>
          <w:szCs w:val="20"/>
        </w:rPr>
        <w:t>,</w:t>
      </w:r>
      <w:r w:rsidR="00411D83" w:rsidRPr="00A66B7B">
        <w:rPr>
          <w:rFonts w:ascii="Arial" w:hAnsi="Arial" w:cs="Arial"/>
          <w:sz w:val="20"/>
          <w:szCs w:val="20"/>
        </w:rPr>
        <w:t xml:space="preserve"> the interaction of apple peel, cinnamon and cardamom may boost bioavailabilty and cardiovascular </w:t>
      </w:r>
      <w:r w:rsidR="00821E70" w:rsidRPr="00A66B7B">
        <w:rPr>
          <w:rFonts w:ascii="Arial" w:hAnsi="Arial" w:cs="Arial"/>
          <w:sz w:val="20"/>
          <w:szCs w:val="20"/>
        </w:rPr>
        <w:t>benefit</w:t>
      </w:r>
      <w:r w:rsidR="00821E70" w:rsidRPr="00A66B7B">
        <w:rPr>
          <w:rFonts w:ascii="Arial" w:hAnsi="Arial" w:cs="Arial"/>
          <w:b/>
          <w:sz w:val="20"/>
          <w:szCs w:val="20"/>
        </w:rPr>
        <w:t xml:space="preserve"> </w:t>
      </w:r>
      <w:r w:rsidR="00821E70" w:rsidRPr="00A66B7B">
        <w:rPr>
          <w:rFonts w:ascii="Arial" w:hAnsi="Arial" w:cs="Arial"/>
          <w:sz w:val="20"/>
          <w:szCs w:val="20"/>
        </w:rPr>
        <w:t>(</w:t>
      </w:r>
      <w:r w:rsidR="00821E70" w:rsidRPr="00A66B7B">
        <w:rPr>
          <w:rStyle w:val="Strong"/>
          <w:rFonts w:ascii="Arial" w:hAnsi="Arial" w:cs="Arial"/>
          <w:sz w:val="20"/>
          <w:szCs w:val="20"/>
        </w:rPr>
        <w:t>Maqsood et al., 2014).</w:t>
      </w:r>
    </w:p>
    <w:p w14:paraId="0ECA3F65" w14:textId="77777777" w:rsidR="00411D83" w:rsidRPr="00A66B7B" w:rsidRDefault="00411D83" w:rsidP="00D23D07">
      <w:pPr>
        <w:spacing w:line="240" w:lineRule="auto"/>
        <w:jc w:val="both"/>
        <w:rPr>
          <w:rFonts w:ascii="Arial" w:eastAsiaTheme="minorEastAsia" w:hAnsi="Arial" w:cs="Arial"/>
          <w:color w:val="000000" w:themeColor="text1"/>
          <w:sz w:val="20"/>
          <w:szCs w:val="20"/>
          <w:lang w:val="en-GB"/>
        </w:rPr>
      </w:pPr>
    </w:p>
    <w:p w14:paraId="7A0C6855" w14:textId="77777777" w:rsidR="00821E70" w:rsidRPr="00A66B7B" w:rsidRDefault="00821E70" w:rsidP="00D23D07">
      <w:pPr>
        <w:spacing w:line="240" w:lineRule="auto"/>
        <w:jc w:val="both"/>
        <w:rPr>
          <w:rFonts w:ascii="Arial" w:eastAsiaTheme="minorEastAsia" w:hAnsi="Arial" w:cs="Arial"/>
          <w:b/>
          <w:color w:val="000000" w:themeColor="text1"/>
          <w:lang w:val="en-GB"/>
        </w:rPr>
      </w:pPr>
    </w:p>
    <w:p w14:paraId="7F6FD7FA" w14:textId="77777777" w:rsidR="003A198F" w:rsidRPr="00A66B7B" w:rsidRDefault="003A198F" w:rsidP="00D23D07">
      <w:pPr>
        <w:spacing w:line="240" w:lineRule="auto"/>
        <w:jc w:val="both"/>
        <w:rPr>
          <w:rFonts w:ascii="Arial" w:eastAsiaTheme="minorEastAsia" w:hAnsi="Arial" w:cs="Arial"/>
          <w:b/>
          <w:color w:val="000000" w:themeColor="text1"/>
          <w:lang w:val="en-GB"/>
        </w:rPr>
      </w:pPr>
    </w:p>
    <w:p w14:paraId="01F134DE" w14:textId="77777777" w:rsidR="003A198F" w:rsidRPr="00A66B7B" w:rsidRDefault="003A198F" w:rsidP="00D23D07">
      <w:pPr>
        <w:spacing w:line="240" w:lineRule="auto"/>
        <w:jc w:val="both"/>
        <w:rPr>
          <w:rFonts w:ascii="Arial" w:eastAsiaTheme="minorEastAsia" w:hAnsi="Arial" w:cs="Arial"/>
          <w:b/>
          <w:color w:val="000000" w:themeColor="text1"/>
          <w:lang w:val="en-GB"/>
        </w:rPr>
      </w:pPr>
    </w:p>
    <w:p w14:paraId="490B6FF4" w14:textId="00BD8703" w:rsidR="00411D83" w:rsidRPr="00A66B7B" w:rsidRDefault="00411D83"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3.5 Microbial Quality of Formulated Herbal Infusion F2 powder</w:t>
      </w:r>
    </w:p>
    <w:p w14:paraId="56D2ACD8" w14:textId="77777777" w:rsidR="00A51881" w:rsidRPr="00A66B7B" w:rsidRDefault="00411D83" w:rsidP="00D23D07">
      <w:pPr>
        <w:spacing w:line="240" w:lineRule="auto"/>
        <w:jc w:val="both"/>
        <w:rPr>
          <w:rFonts w:ascii="Arial" w:eastAsiaTheme="minorEastAsia" w:hAnsi="Arial" w:cs="Arial"/>
          <w:color w:val="000000" w:themeColor="text1"/>
          <w:sz w:val="20"/>
          <w:szCs w:val="20"/>
          <w:lang w:val="en-GB"/>
        </w:rPr>
      </w:pPr>
      <w:r w:rsidRPr="00A66B7B">
        <w:rPr>
          <w:rFonts w:ascii="Arial" w:eastAsiaTheme="minorEastAsia" w:hAnsi="Arial" w:cs="Arial"/>
          <w:color w:val="000000" w:themeColor="text1"/>
          <w:sz w:val="20"/>
          <w:szCs w:val="20"/>
          <w:lang w:val="en-GB"/>
        </w:rPr>
        <w:t>Total plate count of the F2 powder is 9.02×10</w:t>
      </w:r>
      <w:r w:rsidRPr="00A66B7B">
        <w:rPr>
          <w:rFonts w:ascii="Arial" w:eastAsiaTheme="minorEastAsia" w:hAnsi="Arial" w:cs="Arial"/>
          <w:color w:val="000000" w:themeColor="text1"/>
          <w:sz w:val="20"/>
          <w:szCs w:val="20"/>
          <w:vertAlign w:val="superscript"/>
          <w:lang w:val="en-GB"/>
        </w:rPr>
        <w:t>2</w:t>
      </w:r>
      <w:r w:rsidRPr="00A66B7B">
        <w:rPr>
          <w:rFonts w:ascii="Arial" w:eastAsiaTheme="minorEastAsia" w:hAnsi="Arial" w:cs="Arial"/>
          <w:color w:val="000000" w:themeColor="text1"/>
          <w:sz w:val="20"/>
          <w:szCs w:val="20"/>
          <w:lang w:val="en-GB"/>
        </w:rPr>
        <w:t>cfu/gm, which was within the</w:t>
      </w:r>
      <w:r w:rsidR="00FA05D7" w:rsidRPr="00A66B7B">
        <w:rPr>
          <w:rFonts w:ascii="Arial" w:eastAsiaTheme="minorEastAsia" w:hAnsi="Arial" w:cs="Arial"/>
          <w:color w:val="000000" w:themeColor="text1"/>
          <w:sz w:val="20"/>
          <w:szCs w:val="20"/>
          <w:lang w:val="en-GB"/>
        </w:rPr>
        <w:t xml:space="preserve"> acceptable microbiological limit (</w:t>
      </w:r>
      <w:r w:rsidR="00FA05D7" w:rsidRPr="00A66B7B">
        <w:rPr>
          <w:rFonts w:ascii="Arial" w:hAnsi="Arial" w:cs="Arial"/>
          <w:sz w:val="20"/>
          <w:szCs w:val="20"/>
        </w:rPr>
        <w:t>10</w:t>
      </w:r>
      <w:r w:rsidR="00FA05D7" w:rsidRPr="00A66B7B">
        <w:rPr>
          <w:rFonts w:ascii="Arial" w:hAnsi="Arial" w:cs="Arial"/>
          <w:sz w:val="20"/>
          <w:szCs w:val="20"/>
          <w:vertAlign w:val="superscript"/>
        </w:rPr>
        <w:t>4</w:t>
      </w:r>
      <w:r w:rsidR="00FA05D7" w:rsidRPr="00A66B7B">
        <w:rPr>
          <w:rFonts w:ascii="Arial" w:hAnsi="Arial" w:cs="Arial"/>
          <w:sz w:val="20"/>
          <w:szCs w:val="20"/>
        </w:rPr>
        <w:t xml:space="preserve"> to 10</w:t>
      </w:r>
      <w:r w:rsidR="00FA05D7" w:rsidRPr="00A66B7B">
        <w:rPr>
          <w:rFonts w:ascii="Arial" w:hAnsi="Arial" w:cs="Arial"/>
          <w:sz w:val="20"/>
          <w:szCs w:val="20"/>
          <w:vertAlign w:val="superscript"/>
        </w:rPr>
        <w:t>5</w:t>
      </w:r>
      <w:r w:rsidR="00FA05D7" w:rsidRPr="00A66B7B">
        <w:rPr>
          <w:rFonts w:ascii="Arial" w:hAnsi="Arial" w:cs="Arial"/>
          <w:sz w:val="20"/>
          <w:szCs w:val="20"/>
        </w:rPr>
        <w:t xml:space="preserve"> CFU/g)</w:t>
      </w:r>
      <w:r w:rsidR="00FA05D7" w:rsidRPr="00A66B7B">
        <w:rPr>
          <w:rFonts w:ascii="Arial" w:eastAsiaTheme="minorEastAsia" w:hAnsi="Arial" w:cs="Arial"/>
          <w:color w:val="000000" w:themeColor="text1"/>
          <w:sz w:val="20"/>
          <w:szCs w:val="20"/>
          <w:lang w:val="en-GB"/>
        </w:rPr>
        <w:t xml:space="preserve">, </w:t>
      </w:r>
      <w:r w:rsidRPr="00A66B7B">
        <w:rPr>
          <w:rFonts w:ascii="Arial" w:eastAsiaTheme="minorEastAsia" w:hAnsi="Arial" w:cs="Arial"/>
          <w:color w:val="000000" w:themeColor="text1"/>
          <w:sz w:val="20"/>
          <w:szCs w:val="20"/>
          <w:lang w:val="en-GB"/>
        </w:rPr>
        <w:t xml:space="preserve">indicating low microbial load and. </w:t>
      </w:r>
      <w:r w:rsidR="008768D4" w:rsidRPr="00A66B7B">
        <w:rPr>
          <w:rFonts w:ascii="Arial" w:eastAsiaTheme="minorEastAsia" w:hAnsi="Arial" w:cs="Arial"/>
          <w:color w:val="000000" w:themeColor="text1"/>
          <w:sz w:val="20"/>
          <w:szCs w:val="20"/>
          <w:lang w:val="en-GB"/>
        </w:rPr>
        <w:t>A low microbial count improves the herbal infusion's shelf stability by preventing the formation of spoiling germs.</w:t>
      </w:r>
      <w:r w:rsidRPr="00A66B7B">
        <w:rPr>
          <w:rFonts w:ascii="Arial" w:eastAsiaTheme="minorEastAsia" w:hAnsi="Arial" w:cs="Arial"/>
          <w:color w:val="000000" w:themeColor="text1"/>
          <w:sz w:val="20"/>
          <w:szCs w:val="20"/>
          <w:lang w:val="en-GB"/>
        </w:rPr>
        <w:t>.</w:t>
      </w:r>
      <w:r w:rsidR="00FA05D7" w:rsidRPr="00A66B7B">
        <w:rPr>
          <w:rFonts w:ascii="Arial" w:eastAsiaTheme="minorEastAsia" w:hAnsi="Arial" w:cs="Arial"/>
          <w:color w:val="000000" w:themeColor="text1"/>
          <w:sz w:val="20"/>
          <w:szCs w:val="20"/>
          <w:lang w:val="en-GB"/>
        </w:rPr>
        <w:t xml:space="preserve"> Yeast and mould count is 9.09×10cfu/mg within the acceptable limit (</w:t>
      </w:r>
      <w:r w:rsidR="00FA05D7" w:rsidRPr="00A66B7B">
        <w:rPr>
          <w:rStyle w:val="mrel"/>
          <w:rFonts w:ascii="Arial" w:hAnsi="Arial" w:cs="Arial"/>
          <w:sz w:val="20"/>
          <w:szCs w:val="20"/>
        </w:rPr>
        <w:t>≤</w:t>
      </w:r>
      <w:r w:rsidR="00FA05D7" w:rsidRPr="00A66B7B">
        <w:rPr>
          <w:rStyle w:val="mord"/>
          <w:rFonts w:ascii="Arial" w:hAnsi="Arial" w:cs="Arial"/>
          <w:sz w:val="20"/>
          <w:szCs w:val="20"/>
        </w:rPr>
        <w:t>10</w:t>
      </w:r>
      <w:r w:rsidR="00FA05D7" w:rsidRPr="00A66B7B">
        <w:rPr>
          <w:rStyle w:val="mord"/>
          <w:rFonts w:ascii="Arial" w:hAnsi="Arial" w:cs="Arial"/>
          <w:sz w:val="20"/>
          <w:szCs w:val="20"/>
          <w:vertAlign w:val="superscript"/>
        </w:rPr>
        <w:t>3</w:t>
      </w:r>
      <w:r w:rsidR="00FA05D7" w:rsidRPr="00A66B7B">
        <w:rPr>
          <w:rStyle w:val="mord"/>
          <w:rFonts w:ascii="Arial" w:hAnsi="Arial" w:cs="Arial"/>
          <w:sz w:val="20"/>
          <w:szCs w:val="20"/>
        </w:rPr>
        <w:t> CFU/g), indicating a low level of fungal contamination in the product.</w:t>
      </w:r>
    </w:p>
    <w:p w14:paraId="6B3DC610" w14:textId="77777777" w:rsidR="0057585E" w:rsidRPr="00A66B7B" w:rsidRDefault="0057585E" w:rsidP="00D23D07">
      <w:pPr>
        <w:spacing w:line="240" w:lineRule="auto"/>
        <w:jc w:val="both"/>
        <w:rPr>
          <w:rFonts w:ascii="Arial" w:eastAsiaTheme="minorEastAsia" w:hAnsi="Arial" w:cs="Arial"/>
          <w:color w:val="000000" w:themeColor="text1"/>
          <w:sz w:val="20"/>
          <w:szCs w:val="20"/>
          <w:u w:val="single"/>
          <w:lang w:val="en-GB"/>
        </w:rPr>
      </w:pPr>
    </w:p>
    <w:p w14:paraId="3BE44DB9" w14:textId="77777777" w:rsidR="00FA05D7" w:rsidRPr="00A66B7B" w:rsidRDefault="00733104" w:rsidP="00D23D07">
      <w:pPr>
        <w:spacing w:line="240" w:lineRule="auto"/>
        <w:jc w:val="both"/>
        <w:rPr>
          <w:rFonts w:ascii="Arial" w:eastAsiaTheme="minorEastAsia" w:hAnsi="Arial" w:cs="Arial"/>
          <w:b/>
          <w:color w:val="000000" w:themeColor="text1"/>
          <w:lang w:val="en-GB"/>
        </w:rPr>
      </w:pPr>
      <w:r w:rsidRPr="00A66B7B">
        <w:rPr>
          <w:rFonts w:ascii="Arial" w:eastAsiaTheme="minorEastAsia" w:hAnsi="Arial" w:cs="Arial"/>
          <w:b/>
          <w:color w:val="000000" w:themeColor="text1"/>
          <w:lang w:val="en-GB"/>
        </w:rPr>
        <w:t>4. CONCLUSION</w:t>
      </w:r>
    </w:p>
    <w:p w14:paraId="40867A10" w14:textId="77777777" w:rsidR="00966399" w:rsidRPr="00A66B7B" w:rsidRDefault="00733104" w:rsidP="00D23D07">
      <w:pPr>
        <w:spacing w:line="240" w:lineRule="auto"/>
        <w:jc w:val="both"/>
        <w:rPr>
          <w:rFonts w:ascii="Arial" w:eastAsiaTheme="minorEastAsia" w:hAnsi="Arial" w:cs="Arial"/>
          <w:color w:val="000000" w:themeColor="text1"/>
          <w:sz w:val="20"/>
          <w:szCs w:val="20"/>
          <w:lang w:val="en-GB"/>
        </w:rPr>
      </w:pPr>
      <w:commentRangeStart w:id="41"/>
      <w:r w:rsidRPr="00A66B7B">
        <w:rPr>
          <w:rFonts w:ascii="Arial" w:eastAsiaTheme="minorEastAsia" w:hAnsi="Arial" w:cs="Arial"/>
          <w:color w:val="000000" w:themeColor="text1"/>
          <w:sz w:val="20"/>
          <w:szCs w:val="20"/>
          <w:lang w:val="en-GB"/>
        </w:rPr>
        <w:t>F2 formulation</w:t>
      </w:r>
      <w:r w:rsidR="008768D4" w:rsidRPr="00A66B7B">
        <w:rPr>
          <w:rFonts w:ascii="Arial" w:eastAsiaTheme="minorEastAsia" w:hAnsi="Arial" w:cs="Arial"/>
          <w:color w:val="000000" w:themeColor="text1"/>
          <w:sz w:val="20"/>
          <w:szCs w:val="20"/>
          <w:lang w:val="en-GB"/>
        </w:rPr>
        <w:t xml:space="preserve"> is the most acceptable one,</w:t>
      </w:r>
      <w:r w:rsidRPr="00A66B7B">
        <w:rPr>
          <w:rFonts w:ascii="Arial" w:eastAsiaTheme="minorEastAsia" w:hAnsi="Arial" w:cs="Arial"/>
          <w:color w:val="000000" w:themeColor="text1"/>
          <w:sz w:val="20"/>
          <w:szCs w:val="20"/>
          <w:lang w:val="en-GB"/>
        </w:rPr>
        <w:t xml:space="preserve"> with 50% APP, 30% cinnamon, and 20% cardamom composition. Increasing cinnamon and cardamom</w:t>
      </w:r>
      <w:r w:rsidR="008768D4" w:rsidRPr="00A66B7B">
        <w:rPr>
          <w:rFonts w:ascii="Arial" w:eastAsiaTheme="minorEastAsia" w:hAnsi="Arial" w:cs="Arial"/>
          <w:color w:val="000000" w:themeColor="text1"/>
          <w:sz w:val="20"/>
          <w:szCs w:val="20"/>
          <w:lang w:val="en-GB"/>
        </w:rPr>
        <w:t xml:space="preserve"> aid in</w:t>
      </w:r>
      <w:r w:rsidRPr="00A66B7B">
        <w:rPr>
          <w:rFonts w:ascii="Arial" w:eastAsiaTheme="minorEastAsia" w:hAnsi="Arial" w:cs="Arial"/>
          <w:color w:val="000000" w:themeColor="text1"/>
          <w:sz w:val="20"/>
          <w:szCs w:val="20"/>
          <w:lang w:val="en-GB"/>
        </w:rPr>
        <w:t xml:space="preserve"> an improvement in appearance, clour, aroma and taste.</w:t>
      </w:r>
      <w:r w:rsidR="009A0861" w:rsidRPr="00A66B7B">
        <w:rPr>
          <w:rFonts w:ascii="Arial" w:eastAsiaTheme="minorEastAsia" w:hAnsi="Arial" w:cs="Arial"/>
          <w:color w:val="000000" w:themeColor="text1"/>
          <w:sz w:val="20"/>
          <w:szCs w:val="20"/>
          <w:lang w:val="en-GB"/>
        </w:rPr>
        <w:t xml:space="preserve"> Moisture content and crude fat content of F2 is less, while crude fiber and carbohydrate content is higher, total ash content showing slightly high amount .Compared to control sample F2 powder shows low phenolic and flavonoid content. Even though</w:t>
      </w:r>
      <w:r w:rsidRPr="00A66B7B">
        <w:rPr>
          <w:rFonts w:ascii="Arial" w:eastAsiaTheme="minorEastAsia" w:hAnsi="Arial" w:cs="Arial"/>
          <w:color w:val="000000" w:themeColor="text1"/>
          <w:sz w:val="20"/>
          <w:szCs w:val="20"/>
          <w:lang w:val="en-GB"/>
        </w:rPr>
        <w:t xml:space="preserve"> F2 </w:t>
      </w:r>
      <w:r w:rsidR="009A0861" w:rsidRPr="00A66B7B">
        <w:rPr>
          <w:rFonts w:ascii="Arial" w:eastAsiaTheme="minorEastAsia" w:hAnsi="Arial" w:cs="Arial"/>
          <w:color w:val="000000" w:themeColor="text1"/>
          <w:sz w:val="20"/>
          <w:szCs w:val="20"/>
          <w:lang w:val="en-GB"/>
        </w:rPr>
        <w:t>powder exhibits significantly higher phenolic and flavonoid content. Infused F2 formulation had highest tannin content compared to control sample, radical scavenging activity</w:t>
      </w:r>
      <w:r w:rsidR="00966399" w:rsidRPr="00A66B7B">
        <w:rPr>
          <w:rFonts w:ascii="Arial" w:eastAsiaTheme="minorEastAsia" w:hAnsi="Arial" w:cs="Arial"/>
          <w:color w:val="000000" w:themeColor="text1"/>
          <w:sz w:val="20"/>
          <w:szCs w:val="20"/>
          <w:lang w:val="en-GB"/>
        </w:rPr>
        <w:t xml:space="preserve"> of F2 powder is less compared to control</w:t>
      </w:r>
      <w:r w:rsidR="009A0861" w:rsidRPr="00A66B7B">
        <w:rPr>
          <w:rFonts w:ascii="Arial" w:eastAsiaTheme="minorEastAsia" w:hAnsi="Arial" w:cs="Arial"/>
          <w:color w:val="000000" w:themeColor="text1"/>
          <w:sz w:val="20"/>
          <w:szCs w:val="20"/>
          <w:lang w:val="en-GB"/>
        </w:rPr>
        <w:t xml:space="preserve"> but the product still exhibits a considerable antioxidant potential fo</w:t>
      </w:r>
      <w:r w:rsidR="00966399" w:rsidRPr="00A66B7B">
        <w:rPr>
          <w:rFonts w:ascii="Arial" w:eastAsiaTheme="minorEastAsia" w:hAnsi="Arial" w:cs="Arial"/>
          <w:color w:val="000000" w:themeColor="text1"/>
          <w:sz w:val="20"/>
          <w:szCs w:val="20"/>
          <w:lang w:val="en-GB"/>
        </w:rPr>
        <w:t>r a</w:t>
      </w:r>
      <w:r w:rsidR="009A0861" w:rsidRPr="00A66B7B">
        <w:rPr>
          <w:rFonts w:ascii="Arial" w:eastAsiaTheme="minorEastAsia" w:hAnsi="Arial" w:cs="Arial"/>
          <w:color w:val="000000" w:themeColor="text1"/>
          <w:sz w:val="20"/>
          <w:szCs w:val="20"/>
          <w:lang w:val="en-GB"/>
        </w:rPr>
        <w:t xml:space="preserve"> herbal infusion beverage. pH of the F2 powder</w:t>
      </w:r>
      <w:r w:rsidR="00966399" w:rsidRPr="00A66B7B">
        <w:rPr>
          <w:rFonts w:ascii="Arial" w:eastAsiaTheme="minorEastAsia" w:hAnsi="Arial" w:cs="Arial"/>
          <w:color w:val="000000" w:themeColor="text1"/>
          <w:sz w:val="20"/>
          <w:szCs w:val="20"/>
          <w:lang w:val="en-GB"/>
        </w:rPr>
        <w:t xml:space="preserve"> is </w:t>
      </w:r>
      <w:r w:rsidR="009A0861" w:rsidRPr="00A66B7B">
        <w:rPr>
          <w:rFonts w:ascii="Arial" w:eastAsiaTheme="minorEastAsia" w:hAnsi="Arial" w:cs="Arial"/>
          <w:color w:val="000000" w:themeColor="text1"/>
          <w:sz w:val="20"/>
          <w:szCs w:val="20"/>
          <w:lang w:val="en-GB"/>
        </w:rPr>
        <w:t>slightly acidic</w:t>
      </w:r>
      <w:r w:rsidR="00966399" w:rsidRPr="00A66B7B">
        <w:rPr>
          <w:rFonts w:ascii="Arial" w:eastAsiaTheme="minorEastAsia" w:hAnsi="Arial" w:cs="Arial"/>
          <w:color w:val="000000" w:themeColor="text1"/>
          <w:sz w:val="20"/>
          <w:szCs w:val="20"/>
          <w:lang w:val="en-GB"/>
        </w:rPr>
        <w:t xml:space="preserve"> and the range is generally acceptable for herbal infusions</w:t>
      </w:r>
      <w:r w:rsidR="008768D4" w:rsidRPr="00A66B7B">
        <w:rPr>
          <w:rFonts w:ascii="Arial" w:eastAsiaTheme="minorEastAsia" w:hAnsi="Arial" w:cs="Arial"/>
          <w:color w:val="000000" w:themeColor="text1"/>
          <w:sz w:val="20"/>
          <w:szCs w:val="20"/>
          <w:lang w:val="en-GB"/>
        </w:rPr>
        <w:t>. Yeast and mold, as well as the overall plate count, were within the acceptable quality range. Present it as a functional beverage that supports metabolic health and has economic potential due to its high antioxidant and low microbial content.</w:t>
      </w:r>
      <w:commentRangeEnd w:id="41"/>
      <w:r w:rsidR="00F56BC7" w:rsidRPr="00A66B7B">
        <w:rPr>
          <w:rStyle w:val="CommentReference"/>
          <w:rFonts w:ascii="Arial" w:eastAsiaTheme="minorEastAsia" w:hAnsi="Arial" w:cs="Arial"/>
          <w:color w:val="000000" w:themeColor="text1"/>
          <w:sz w:val="20"/>
          <w:szCs w:val="20"/>
          <w:lang w:val="en-GB"/>
        </w:rPr>
        <w:commentReference w:id="41"/>
      </w:r>
    </w:p>
    <w:p w14:paraId="32036F19" w14:textId="77777777" w:rsidR="006E7835" w:rsidRDefault="006E7835" w:rsidP="00384E1D">
      <w:pPr>
        <w:pStyle w:val="ReferHead"/>
        <w:spacing w:after="0"/>
        <w:jc w:val="both"/>
        <w:rPr>
          <w:rFonts w:ascii="Arial" w:hAnsi="Arial" w:cs="Arial"/>
          <w:b w:val="0"/>
          <w:caps w:val="0"/>
          <w:sz w:val="20"/>
        </w:rPr>
      </w:pPr>
    </w:p>
    <w:p w14:paraId="69967604" w14:textId="77777777" w:rsidR="00DC402C" w:rsidRPr="00A66B7B" w:rsidRDefault="00DC402C" w:rsidP="00384E1D">
      <w:pPr>
        <w:pStyle w:val="ReferHead"/>
        <w:spacing w:after="0"/>
        <w:jc w:val="both"/>
        <w:rPr>
          <w:rFonts w:ascii="Arial" w:hAnsi="Arial" w:cs="Arial"/>
          <w:b w:val="0"/>
          <w:caps w:val="0"/>
          <w:sz w:val="20"/>
        </w:rPr>
      </w:pPr>
    </w:p>
    <w:p w14:paraId="48C9CED9" w14:textId="77777777" w:rsidR="006E7835" w:rsidRPr="00A66B7B" w:rsidRDefault="006E7835" w:rsidP="00384E1D">
      <w:pPr>
        <w:pStyle w:val="ReferHead"/>
        <w:spacing w:after="0"/>
        <w:jc w:val="both"/>
        <w:rPr>
          <w:rFonts w:ascii="Arial" w:hAnsi="Arial" w:cs="Arial"/>
          <w:caps w:val="0"/>
          <w:szCs w:val="22"/>
        </w:rPr>
      </w:pPr>
      <w:r w:rsidRPr="00A66B7B">
        <w:rPr>
          <w:rFonts w:ascii="Arial" w:hAnsi="Arial" w:cs="Arial"/>
          <w:caps w:val="0"/>
          <w:szCs w:val="22"/>
        </w:rPr>
        <w:t>REFERENCES</w:t>
      </w:r>
    </w:p>
    <w:p w14:paraId="01114097" w14:textId="77777777" w:rsidR="00AC061F" w:rsidRPr="00A66B7B" w:rsidRDefault="00AC061F" w:rsidP="00384E1D">
      <w:pPr>
        <w:pStyle w:val="ReferHead"/>
        <w:spacing w:after="0"/>
        <w:jc w:val="both"/>
        <w:rPr>
          <w:rFonts w:ascii="Arial" w:hAnsi="Arial" w:cs="Arial"/>
          <w:caps w:val="0"/>
          <w:szCs w:val="22"/>
        </w:rPr>
      </w:pPr>
    </w:p>
    <w:p w14:paraId="0DE78799" w14:textId="77777777" w:rsidR="00384E1D" w:rsidRPr="00A66B7B" w:rsidRDefault="006B6648" w:rsidP="00384E1D">
      <w:pPr>
        <w:pStyle w:val="ReferHead"/>
        <w:spacing w:after="0"/>
        <w:jc w:val="both"/>
        <w:rPr>
          <w:rFonts w:ascii="Arial" w:hAnsi="Arial" w:cs="Arial"/>
          <w:b w:val="0"/>
          <w:caps w:val="0"/>
          <w:sz w:val="20"/>
        </w:rPr>
      </w:pPr>
      <w:commentRangeStart w:id="42"/>
      <w:r w:rsidRPr="00A66B7B">
        <w:rPr>
          <w:rFonts w:ascii="Arial" w:hAnsi="Arial" w:cs="Arial"/>
          <w:b w:val="0"/>
          <w:sz w:val="20"/>
        </w:rPr>
        <w:t>IMARC Group. (2024).</w:t>
      </w:r>
      <w:r w:rsidRPr="00A66B7B">
        <w:rPr>
          <w:rFonts w:ascii="Arial" w:hAnsi="Arial" w:cs="Arial"/>
          <w:sz w:val="20"/>
        </w:rPr>
        <w:t xml:space="preserve"> </w:t>
      </w:r>
      <w:r w:rsidRPr="00A66B7B">
        <w:rPr>
          <w:rStyle w:val="Emphasis"/>
          <w:rFonts w:ascii="Arial" w:hAnsi="Arial" w:cs="Arial"/>
          <w:b w:val="0"/>
          <w:i w:val="0"/>
          <w:sz w:val="20"/>
        </w:rPr>
        <w:t>India functional beverages market size, share, trends and forecast by type, distribution channel, end user, and region</w:t>
      </w:r>
      <w:r w:rsidRPr="00A66B7B">
        <w:rPr>
          <w:rStyle w:val="Emphasis"/>
          <w:rFonts w:ascii="Arial" w:hAnsi="Arial" w:cs="Arial"/>
          <w:sz w:val="20"/>
        </w:rPr>
        <w:t xml:space="preserve">, </w:t>
      </w:r>
      <w:r w:rsidRPr="00A66B7B">
        <w:rPr>
          <w:rStyle w:val="Emphasis"/>
          <w:rFonts w:ascii="Arial" w:hAnsi="Arial" w:cs="Arial"/>
          <w:b w:val="0"/>
          <w:sz w:val="20"/>
        </w:rPr>
        <w:t>2026–2034</w:t>
      </w:r>
      <w:r w:rsidRPr="00A66B7B">
        <w:rPr>
          <w:rFonts w:ascii="Arial" w:hAnsi="Arial" w:cs="Arial"/>
          <w:b w:val="0"/>
          <w:sz w:val="20"/>
        </w:rPr>
        <w:t>. IMARC Group.</w:t>
      </w:r>
      <w:commentRangeEnd w:id="42"/>
      <w:r w:rsidR="00F56BC7" w:rsidRPr="00A66B7B">
        <w:rPr>
          <w:rStyle w:val="CommentReference"/>
          <w:rFonts w:ascii="Arial" w:hAnsi="Arial" w:cs="Arial"/>
          <w:b w:val="0"/>
          <w:caps w:val="0"/>
          <w:sz w:val="20"/>
          <w:szCs w:val="20"/>
        </w:rPr>
        <w:commentReference w:id="42"/>
      </w:r>
    </w:p>
    <w:p w14:paraId="0649A88B" w14:textId="77777777" w:rsidR="006B6648" w:rsidRPr="00A66B7B" w:rsidRDefault="006B6648" w:rsidP="00D23D07">
      <w:pPr>
        <w:spacing w:line="240" w:lineRule="auto"/>
        <w:jc w:val="both"/>
        <w:rPr>
          <w:rFonts w:ascii="Arial" w:eastAsiaTheme="minorEastAsia" w:hAnsi="Arial" w:cs="Arial"/>
          <w:b/>
          <w:color w:val="000000" w:themeColor="text1"/>
          <w:lang w:val="en-GB"/>
        </w:rPr>
      </w:pPr>
    </w:p>
    <w:p w14:paraId="52D37EB3"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Mensah, G. A., Aryeetey, E., &amp; Lutterodt, H. E. (2025). Nutritional and Nutraceutical Properties of Cocoa Shell–Based Herbal Infusion. </w:t>
      </w:r>
      <w:r w:rsidRPr="00A66B7B">
        <w:rPr>
          <w:rFonts w:ascii="Arial" w:hAnsi="Arial" w:cs="Arial"/>
          <w:i/>
          <w:iCs/>
          <w:color w:val="222222"/>
          <w:sz w:val="20"/>
          <w:szCs w:val="20"/>
          <w:shd w:val="clear" w:color="auto" w:fill="FFFFFF"/>
        </w:rPr>
        <w:t>Journal of Food Quality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2025</w:t>
      </w:r>
      <w:r w:rsidRPr="00A66B7B">
        <w:rPr>
          <w:rFonts w:ascii="Arial" w:hAnsi="Arial" w:cs="Arial"/>
          <w:color w:val="222222"/>
          <w:sz w:val="20"/>
          <w:szCs w:val="20"/>
          <w:shd w:val="clear" w:color="auto" w:fill="FFFFFF"/>
        </w:rPr>
        <w:t>(1), 6696124.</w:t>
      </w:r>
    </w:p>
    <w:p w14:paraId="16B082F1"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Atoui, A. K., Mansouri, A., Boskou, G., &amp; Kefalas, P. (2005). Tea and herbal infusions: their antioxidant activity and phenolic profile. </w:t>
      </w:r>
      <w:r w:rsidRPr="00A66B7B">
        <w:rPr>
          <w:rFonts w:ascii="Arial" w:hAnsi="Arial" w:cs="Arial"/>
          <w:i/>
          <w:iCs/>
          <w:color w:val="222222"/>
          <w:sz w:val="20"/>
          <w:szCs w:val="20"/>
          <w:shd w:val="clear" w:color="auto" w:fill="FFFFFF"/>
        </w:rPr>
        <w:t>Food chemistry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89</w:t>
      </w:r>
      <w:r w:rsidRPr="00A66B7B">
        <w:rPr>
          <w:rFonts w:ascii="Arial" w:hAnsi="Arial" w:cs="Arial"/>
          <w:color w:val="222222"/>
          <w:sz w:val="20"/>
          <w:szCs w:val="20"/>
          <w:shd w:val="clear" w:color="auto" w:fill="FFFFFF"/>
        </w:rPr>
        <w:t>(1), 27-36.</w:t>
      </w:r>
    </w:p>
    <w:p w14:paraId="0C9C148C"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Denis, M. C., Furtos, A., Dudonne, S., Montoudis, A., Garofalo, C., Desjardins, Y., ... &amp; Levy, E. (2013). Apple peel polyphenols and their beneficial actions on oxidative stress and inflammation. </w:t>
      </w:r>
      <w:r w:rsidRPr="00A66B7B">
        <w:rPr>
          <w:rFonts w:ascii="Arial" w:hAnsi="Arial" w:cs="Arial"/>
          <w:i/>
          <w:iCs/>
          <w:color w:val="222222"/>
          <w:sz w:val="20"/>
          <w:szCs w:val="20"/>
          <w:shd w:val="clear" w:color="auto" w:fill="FFFFFF"/>
        </w:rPr>
        <w:t>PLoS One</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8</w:t>
      </w:r>
      <w:r w:rsidRPr="00A66B7B">
        <w:rPr>
          <w:rFonts w:ascii="Arial" w:hAnsi="Arial" w:cs="Arial"/>
          <w:color w:val="222222"/>
          <w:sz w:val="20"/>
          <w:szCs w:val="20"/>
          <w:shd w:val="clear" w:color="auto" w:fill="FFFFFF"/>
        </w:rPr>
        <w:t>(1), e53725.</w:t>
      </w:r>
    </w:p>
    <w:p w14:paraId="5ACCECCA"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Rupasinghe, H. P., Huber, G. M., Embree, C., &amp; Forsline, P. L. (2010). Red-fleshed apple as a source for functional beverages. </w:t>
      </w:r>
      <w:r w:rsidRPr="00A66B7B">
        <w:rPr>
          <w:rFonts w:ascii="Arial" w:hAnsi="Arial" w:cs="Arial"/>
          <w:i/>
          <w:iCs/>
          <w:color w:val="222222"/>
          <w:sz w:val="20"/>
          <w:szCs w:val="20"/>
          <w:shd w:val="clear" w:color="auto" w:fill="FFFFFF"/>
        </w:rPr>
        <w:t>Canadian Journal of Plant Science</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90</w:t>
      </w:r>
      <w:r w:rsidRPr="00A66B7B">
        <w:rPr>
          <w:rFonts w:ascii="Arial" w:hAnsi="Arial" w:cs="Arial"/>
          <w:color w:val="222222"/>
          <w:sz w:val="20"/>
          <w:szCs w:val="20"/>
          <w:shd w:val="clear" w:color="auto" w:fill="FFFFFF"/>
        </w:rPr>
        <w:t>(1), 95-100.</w:t>
      </w:r>
    </w:p>
    <w:p w14:paraId="02A4E87D" w14:textId="77777777" w:rsidR="006B6648" w:rsidRPr="00A66B7B" w:rsidRDefault="006B6648" w:rsidP="00D23D07">
      <w:pPr>
        <w:spacing w:line="240" w:lineRule="auto"/>
        <w:jc w:val="both"/>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Mardiana, M., Sativa, N., Hariadi, H., Triandita, N., &amp; Putri, N. E. (2020). Optimation and sensory profile of functional drink from cinnamon and cardamom. </w:t>
      </w:r>
      <w:r w:rsidRPr="00A66B7B">
        <w:rPr>
          <w:rFonts w:ascii="Arial" w:hAnsi="Arial" w:cs="Arial"/>
          <w:i/>
          <w:iCs/>
          <w:color w:val="222222"/>
          <w:sz w:val="20"/>
          <w:szCs w:val="20"/>
          <w:shd w:val="clear" w:color="auto" w:fill="FFFFFF"/>
        </w:rPr>
        <w:t>Journal of Applied Agricultural Science and Technology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w:t>
      </w:r>
      <w:r w:rsidRPr="00A66B7B">
        <w:rPr>
          <w:rFonts w:ascii="Arial" w:hAnsi="Arial" w:cs="Arial"/>
          <w:color w:val="222222"/>
          <w:sz w:val="20"/>
          <w:szCs w:val="20"/>
          <w:shd w:val="clear" w:color="auto" w:fill="FFFFFF"/>
        </w:rPr>
        <w:t>(2), 189-195.</w:t>
      </w:r>
    </w:p>
    <w:p w14:paraId="0B77B47E" w14:textId="77777777" w:rsidR="000A5388" w:rsidRPr="00A66B7B" w:rsidRDefault="000A5388" w:rsidP="000A5388">
      <w:pPr>
        <w:spacing w:before="100" w:beforeAutospacing="1" w:after="100" w:afterAutospacing="1" w:line="240" w:lineRule="auto"/>
        <w:rPr>
          <w:rFonts w:ascii="Times New Roman" w:eastAsia="Times New Roman" w:hAnsi="Times New Roman" w:cs="Times New Roman"/>
          <w:bCs/>
          <w:sz w:val="24"/>
          <w:szCs w:val="24"/>
          <w:lang w:eastAsia="en-IN"/>
        </w:rPr>
      </w:pPr>
      <w:r w:rsidRPr="00A66B7B">
        <w:rPr>
          <w:rFonts w:ascii="Arial" w:eastAsia="Times New Roman" w:hAnsi="Arial" w:cs="Arial"/>
          <w:bCs/>
          <w:sz w:val="20"/>
          <w:szCs w:val="20"/>
          <w:lang w:eastAsia="en-IN"/>
        </w:rPr>
        <w:t>Ranganna, S. (2005). Handbook of analysis and quality control for fruit and vegetable products (2nd ed.). Tata McGraw-Hill Publishing Company, New Delhi</w:t>
      </w:r>
      <w:r w:rsidRPr="00A66B7B">
        <w:rPr>
          <w:rFonts w:ascii="Times New Roman" w:eastAsia="Times New Roman" w:hAnsi="Times New Roman" w:cs="Times New Roman"/>
          <w:bCs/>
          <w:sz w:val="24"/>
          <w:szCs w:val="24"/>
          <w:lang w:eastAsia="en-IN"/>
        </w:rPr>
        <w:t>.</w:t>
      </w:r>
    </w:p>
    <w:p w14:paraId="0A53F848" w14:textId="77777777" w:rsidR="000A5388"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Esmaeilzadeh Kenari, R., Mohsenzadeh, F., &amp; Amiri, Z. R. (2014). Antioxidant activity and total phenolic compounds of Dezful sesame cake extracts obtained by classical and ultrasound</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assisted extraction methods. </w:t>
      </w:r>
      <w:r w:rsidRPr="00A66B7B">
        <w:rPr>
          <w:rFonts w:ascii="Arial" w:hAnsi="Arial" w:cs="Arial"/>
          <w:i/>
          <w:iCs/>
          <w:color w:val="222222"/>
          <w:sz w:val="20"/>
          <w:szCs w:val="20"/>
          <w:shd w:val="clear" w:color="auto" w:fill="FFFFFF"/>
        </w:rPr>
        <w:t>Food science &amp; nutrition</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2</w:t>
      </w:r>
      <w:r w:rsidRPr="00A66B7B">
        <w:rPr>
          <w:rFonts w:ascii="Arial" w:hAnsi="Arial" w:cs="Arial"/>
          <w:color w:val="222222"/>
          <w:sz w:val="20"/>
          <w:szCs w:val="20"/>
          <w:shd w:val="clear" w:color="auto" w:fill="FFFFFF"/>
        </w:rPr>
        <w:t>(4), 426-435.</w:t>
      </w:r>
    </w:p>
    <w:p w14:paraId="52689699" w14:textId="77777777" w:rsidR="00BD312A"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Pourmorad, F. M., Hosseinimehr, S. J., &amp; Shahabimajd, N. (2006). Antioxidant activity, phenol and flavonoid contents of some selected Iranian medicinal plants. </w:t>
      </w:r>
      <w:r w:rsidRPr="00A66B7B">
        <w:rPr>
          <w:rFonts w:ascii="Arial" w:hAnsi="Arial" w:cs="Arial"/>
          <w:i/>
          <w:iCs/>
          <w:color w:val="222222"/>
          <w:sz w:val="20"/>
          <w:szCs w:val="20"/>
          <w:shd w:val="clear" w:color="auto" w:fill="FFFFFF"/>
        </w:rPr>
        <w:t>African journal of biotechnology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5</w:t>
      </w:r>
      <w:r w:rsidRPr="00A66B7B">
        <w:rPr>
          <w:rFonts w:ascii="Arial" w:hAnsi="Arial" w:cs="Arial"/>
          <w:color w:val="222222"/>
          <w:sz w:val="20"/>
          <w:szCs w:val="20"/>
          <w:shd w:val="clear" w:color="auto" w:fill="FFFFFF"/>
        </w:rPr>
        <w:t>(11).</w:t>
      </w:r>
    </w:p>
    <w:p w14:paraId="11663BDD" w14:textId="77777777" w:rsidR="007971CE" w:rsidRPr="00A66B7B" w:rsidRDefault="007971CE" w:rsidP="000A5388">
      <w:pPr>
        <w:spacing w:before="100" w:beforeAutospacing="1" w:after="100" w:afterAutospacing="1" w:line="240" w:lineRule="auto"/>
        <w:rPr>
          <w:rFonts w:ascii="Arial" w:hAnsi="Arial" w:cs="Arial"/>
          <w:color w:val="222222"/>
          <w:sz w:val="20"/>
          <w:szCs w:val="20"/>
          <w:shd w:val="clear" w:color="auto" w:fill="FFFFFF"/>
        </w:rPr>
      </w:pPr>
    </w:p>
    <w:p w14:paraId="1A13366C" w14:textId="77777777" w:rsidR="00BD312A"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lastRenderedPageBreak/>
        <w:t>Boateng, J., Verghese, M., Walker, L. T., &amp; Ogutu, S. (2008). Effect of processing on antioxidant contents in selected dry beans (Phaseolus spp. L.). </w:t>
      </w:r>
      <w:r w:rsidRPr="00A66B7B">
        <w:rPr>
          <w:rFonts w:ascii="Arial" w:hAnsi="Arial" w:cs="Arial"/>
          <w:i/>
          <w:iCs/>
          <w:color w:val="222222"/>
          <w:sz w:val="20"/>
          <w:szCs w:val="20"/>
          <w:shd w:val="clear" w:color="auto" w:fill="FFFFFF"/>
        </w:rPr>
        <w:t>LWT-Food Science and Technology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41</w:t>
      </w:r>
      <w:r w:rsidRPr="00A66B7B">
        <w:rPr>
          <w:rFonts w:ascii="Arial" w:hAnsi="Arial" w:cs="Arial"/>
          <w:color w:val="222222"/>
          <w:sz w:val="20"/>
          <w:szCs w:val="20"/>
          <w:shd w:val="clear" w:color="auto" w:fill="FFFFFF"/>
        </w:rPr>
        <w:t>(9), 1541-1547.</w:t>
      </w:r>
    </w:p>
    <w:p w14:paraId="6E1B9C5B" w14:textId="77777777" w:rsidR="00BD312A" w:rsidRPr="00A66B7B" w:rsidRDefault="00BD312A"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Saxena, H. O., Parihar, S., &amp; Das, A. (2023). Assessment of Variations in Phytochemical Components in Stem and Root Bark of Dillenia pentagyna from different Locations of Madhya Pradesh. In </w:t>
      </w:r>
      <w:r w:rsidRPr="00A66B7B">
        <w:rPr>
          <w:rFonts w:ascii="Arial" w:hAnsi="Arial" w:cs="Arial"/>
          <w:i/>
          <w:iCs/>
          <w:color w:val="222222"/>
          <w:sz w:val="20"/>
          <w:szCs w:val="20"/>
          <w:shd w:val="clear" w:color="auto" w:fill="FFFFFF"/>
        </w:rPr>
        <w:t>Biological Forum-An International Journal</w:t>
      </w:r>
      <w:r w:rsidRPr="00A66B7B">
        <w:rPr>
          <w:rFonts w:ascii="Arial" w:hAnsi="Arial" w:cs="Arial"/>
          <w:color w:val="222222"/>
          <w:sz w:val="20"/>
          <w:szCs w:val="20"/>
          <w:shd w:val="clear" w:color="auto" w:fill="FFFFFF"/>
        </w:rPr>
        <w:t> (Vol. 15, No. 2, pp. 185-190).</w:t>
      </w:r>
    </w:p>
    <w:p w14:paraId="344A4812" w14:textId="77777777" w:rsidR="00211A04" w:rsidRPr="00A66B7B" w:rsidRDefault="00BD312A" w:rsidP="000A5388">
      <w:pPr>
        <w:spacing w:before="100" w:beforeAutospacing="1" w:after="100" w:afterAutospacing="1" w:line="240" w:lineRule="auto"/>
        <w:rPr>
          <w:rFonts w:ascii="Arial" w:hAnsi="Arial" w:cs="Arial"/>
          <w:sz w:val="20"/>
          <w:szCs w:val="20"/>
        </w:rPr>
      </w:pPr>
      <w:r w:rsidRPr="00A66B7B">
        <w:rPr>
          <w:rFonts w:ascii="Arial" w:hAnsi="Arial" w:cs="Arial"/>
          <w:sz w:val="20"/>
          <w:szCs w:val="20"/>
        </w:rPr>
        <w:t xml:space="preserve">bureau of indian standards. (2012). </w:t>
      </w:r>
      <w:r w:rsidRPr="00A66B7B">
        <w:rPr>
          <w:rStyle w:val="Emphasis"/>
          <w:rFonts w:ascii="Arial" w:hAnsi="Arial" w:cs="Arial"/>
          <w:sz w:val="20"/>
          <w:szCs w:val="20"/>
        </w:rPr>
        <w:t>is 5402:2012 microbiology of food and animal feeding stuffs — horizontal method for the enumeration of microorganisms (colony-count technique at 30°c)</w:t>
      </w:r>
      <w:r w:rsidRPr="00A66B7B">
        <w:rPr>
          <w:rFonts w:ascii="Arial" w:hAnsi="Arial" w:cs="Arial"/>
          <w:sz w:val="20"/>
          <w:szCs w:val="20"/>
        </w:rPr>
        <w:t>. bureau of indian standards, New Delhi, india.</w:t>
      </w:r>
    </w:p>
    <w:p w14:paraId="20BB9B81" w14:textId="77777777" w:rsidR="00BD312A" w:rsidRPr="00A66B7B" w:rsidRDefault="00E32115"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lang w:val="de-DE"/>
        </w:rPr>
        <w:t xml:space="preserve">Pohl, P., Stelmach, E., Welna, M., &amp; Szymczycha-Madeja, A. (2013). </w:t>
      </w:r>
      <w:r w:rsidRPr="00A66B7B">
        <w:rPr>
          <w:rFonts w:ascii="Arial" w:hAnsi="Arial" w:cs="Arial"/>
          <w:color w:val="222222"/>
          <w:sz w:val="20"/>
          <w:szCs w:val="20"/>
          <w:shd w:val="clear" w:color="auto" w:fill="FFFFFF"/>
        </w:rPr>
        <w:t>Determination of the elemental composition of coffee using instrumental methods. </w:t>
      </w:r>
      <w:r w:rsidRPr="00A66B7B">
        <w:rPr>
          <w:rFonts w:ascii="Arial" w:hAnsi="Arial" w:cs="Arial"/>
          <w:i/>
          <w:iCs/>
          <w:color w:val="222222"/>
          <w:sz w:val="20"/>
          <w:szCs w:val="20"/>
          <w:shd w:val="clear" w:color="auto" w:fill="FFFFFF"/>
        </w:rPr>
        <w:t>Food analytical methods</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6</w:t>
      </w:r>
      <w:r w:rsidRPr="00A66B7B">
        <w:rPr>
          <w:rFonts w:ascii="Arial" w:hAnsi="Arial" w:cs="Arial"/>
          <w:color w:val="222222"/>
          <w:sz w:val="20"/>
          <w:szCs w:val="20"/>
          <w:shd w:val="clear" w:color="auto" w:fill="FFFFFF"/>
        </w:rPr>
        <w:t>(2), 598-613.</w:t>
      </w:r>
    </w:p>
    <w:p w14:paraId="584969D8" w14:textId="77777777" w:rsidR="00147864" w:rsidRPr="00A66B7B" w:rsidRDefault="00147864"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Kumadoh, D., Archer, M. A., Kyene, M. O., Yeboah, G. N., Adi-Dako, O., Osei-Asare, C., ... &amp; Appiah, A. A. (2022). Approaches for the elimination of microbial contaminants from lippia multiflora mold. Leaves intended for tea bagging and evaluation of formulation. </w:t>
      </w:r>
      <w:r w:rsidRPr="00A66B7B">
        <w:rPr>
          <w:rFonts w:ascii="Arial" w:hAnsi="Arial" w:cs="Arial"/>
          <w:i/>
          <w:iCs/>
          <w:color w:val="222222"/>
          <w:sz w:val="20"/>
          <w:szCs w:val="20"/>
          <w:shd w:val="clear" w:color="auto" w:fill="FFFFFF"/>
        </w:rPr>
        <w:t>Advances in Pharmacological and Pharmaceutical Sciences</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2022</w:t>
      </w:r>
      <w:r w:rsidRPr="00A66B7B">
        <w:rPr>
          <w:rFonts w:ascii="Arial" w:hAnsi="Arial" w:cs="Arial"/>
          <w:color w:val="222222"/>
          <w:sz w:val="20"/>
          <w:szCs w:val="20"/>
          <w:shd w:val="clear" w:color="auto" w:fill="FFFFFF"/>
        </w:rPr>
        <w:t>(1), 7235489.</w:t>
      </w:r>
    </w:p>
    <w:p w14:paraId="136E7656" w14:textId="77777777" w:rsidR="00E32115" w:rsidRPr="00A66B7B" w:rsidRDefault="00211A04" w:rsidP="000A5388">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Vázquez-Cabral, B. D., Rocha-Guzmán, N. E., Gallegos-Infante, J. A., González-Herrera, S. M., González-Laredo, R. F., Moreno-Jiménez, M. R., &amp; Córdova-Moreno, I. T. (2014). Chemical and sensory evaluation of a functional beverage obtained from infusions of oak leaves (Quercus resinosa) inoculated with the kombucha consortium under different processing conditions. </w:t>
      </w:r>
      <w:r w:rsidRPr="00A66B7B">
        <w:rPr>
          <w:rFonts w:ascii="Arial" w:hAnsi="Arial" w:cs="Arial"/>
          <w:i/>
          <w:iCs/>
          <w:color w:val="222222"/>
          <w:sz w:val="20"/>
          <w:szCs w:val="20"/>
          <w:shd w:val="clear" w:color="auto" w:fill="FFFFFF"/>
        </w:rPr>
        <w:t>Nutrafoods</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13</w:t>
      </w:r>
      <w:r w:rsidRPr="00A66B7B">
        <w:rPr>
          <w:rFonts w:ascii="Arial" w:hAnsi="Arial" w:cs="Arial"/>
          <w:color w:val="222222"/>
          <w:sz w:val="20"/>
          <w:szCs w:val="20"/>
          <w:shd w:val="clear" w:color="auto" w:fill="FFFFFF"/>
        </w:rPr>
        <w:t>(4), 169-178.</w:t>
      </w:r>
    </w:p>
    <w:p w14:paraId="0FBE862E" w14:textId="77777777" w:rsidR="00211A04" w:rsidRPr="00A66B7B" w:rsidRDefault="00211A04" w:rsidP="00211A04">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Kumadoh, D., Amekyeh, H., Archer, M. A., Kyene, M. O., Yeboah, G. N., Brew-Daniels, H., ... &amp; Appiah, A. A. (2024). Determination of consistency in pH of some commercial herbal formulations in Ghana. </w:t>
      </w:r>
      <w:r w:rsidRPr="00A66B7B">
        <w:rPr>
          <w:rFonts w:ascii="Arial" w:hAnsi="Arial" w:cs="Arial"/>
          <w:i/>
          <w:iCs/>
          <w:color w:val="222222"/>
          <w:sz w:val="20"/>
          <w:szCs w:val="20"/>
          <w:shd w:val="clear" w:color="auto" w:fill="FFFFFF"/>
        </w:rPr>
        <w:t>Journal of Herbal Medicine</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45</w:t>
      </w:r>
      <w:r w:rsidRPr="00A66B7B">
        <w:rPr>
          <w:rFonts w:ascii="Arial" w:hAnsi="Arial" w:cs="Arial"/>
          <w:color w:val="222222"/>
          <w:sz w:val="20"/>
          <w:szCs w:val="20"/>
          <w:shd w:val="clear" w:color="auto" w:fill="FFFFFF"/>
        </w:rPr>
        <w:t>, 100876.</w:t>
      </w:r>
    </w:p>
    <w:p w14:paraId="1B2E4A63" w14:textId="77777777" w:rsidR="00211A04" w:rsidRPr="00A66B7B" w:rsidRDefault="00211A04" w:rsidP="00211A04">
      <w:pPr>
        <w:spacing w:before="100" w:beforeAutospacing="1" w:after="100" w:afterAutospacing="1" w:line="240" w:lineRule="auto"/>
        <w:rPr>
          <w:rFonts w:ascii="Arial" w:hAnsi="Arial" w:cs="Arial"/>
          <w:color w:val="222222"/>
          <w:sz w:val="20"/>
          <w:szCs w:val="20"/>
          <w:shd w:val="clear" w:color="auto" w:fill="FFFFFF"/>
        </w:rPr>
      </w:pPr>
      <w:r w:rsidRPr="00A66B7B">
        <w:rPr>
          <w:rFonts w:ascii="Arial" w:hAnsi="Arial" w:cs="Arial"/>
          <w:color w:val="222222"/>
          <w:sz w:val="20"/>
          <w:szCs w:val="20"/>
          <w:shd w:val="clear" w:color="auto" w:fill="FFFFFF"/>
        </w:rPr>
        <w:t>Delgado</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Ospina, J., Lucas</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González, R., Viuda</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Martos, M., Fernández</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López, J., Pérez</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Álvarez, J. Á., Martuscelli, M., &amp; Chaves</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López, C. (2022). Potential of the cocoa shell to improve the quality properties of a burger</w:t>
      </w:r>
      <w:r w:rsidRPr="00A66B7B">
        <w:rPr>
          <w:rFonts w:ascii="Cambria Math" w:hAnsi="Cambria Math" w:cs="Cambria Math"/>
          <w:color w:val="222222"/>
          <w:sz w:val="20"/>
          <w:szCs w:val="20"/>
          <w:shd w:val="clear" w:color="auto" w:fill="FFFFFF"/>
        </w:rPr>
        <w:t>‐</w:t>
      </w:r>
      <w:r w:rsidRPr="00A66B7B">
        <w:rPr>
          <w:rFonts w:ascii="Arial" w:hAnsi="Arial" w:cs="Arial"/>
          <w:color w:val="222222"/>
          <w:sz w:val="20"/>
          <w:szCs w:val="20"/>
          <w:shd w:val="clear" w:color="auto" w:fill="FFFFFF"/>
        </w:rPr>
        <w:t>like meat product. </w:t>
      </w:r>
      <w:r w:rsidRPr="00A66B7B">
        <w:rPr>
          <w:rFonts w:ascii="Arial" w:hAnsi="Arial" w:cs="Arial"/>
          <w:i/>
          <w:iCs/>
          <w:color w:val="222222"/>
          <w:sz w:val="20"/>
          <w:szCs w:val="20"/>
          <w:shd w:val="clear" w:color="auto" w:fill="FFFFFF"/>
        </w:rPr>
        <w:t>Journal of Food Processing and Preservation</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46</w:t>
      </w:r>
      <w:r w:rsidRPr="00A66B7B">
        <w:rPr>
          <w:rFonts w:ascii="Arial" w:hAnsi="Arial" w:cs="Arial"/>
          <w:color w:val="222222"/>
          <w:sz w:val="20"/>
          <w:szCs w:val="20"/>
          <w:shd w:val="clear" w:color="auto" w:fill="FFFFFF"/>
        </w:rPr>
        <w:t>(8), e16752.</w:t>
      </w:r>
    </w:p>
    <w:p w14:paraId="59E869DE" w14:textId="77777777" w:rsidR="0057585E" w:rsidRPr="00211A04" w:rsidRDefault="00211A04" w:rsidP="00211A04">
      <w:pPr>
        <w:autoSpaceDE w:val="0"/>
        <w:autoSpaceDN w:val="0"/>
        <w:adjustRightInd w:val="0"/>
        <w:spacing w:after="0" w:line="240" w:lineRule="auto"/>
        <w:rPr>
          <w:rFonts w:ascii="MinionPro-Regular" w:eastAsia="MinionPro-Regular" w:cs="MinionPro-Regular"/>
          <w:sz w:val="18"/>
          <w:szCs w:val="18"/>
        </w:rPr>
      </w:pPr>
      <w:r w:rsidRPr="00A66B7B">
        <w:rPr>
          <w:rFonts w:ascii="Arial" w:hAnsi="Arial" w:cs="Arial"/>
          <w:color w:val="222222"/>
          <w:sz w:val="20"/>
          <w:szCs w:val="20"/>
          <w:shd w:val="clear" w:color="auto" w:fill="FFFFFF"/>
        </w:rPr>
        <w:t>Maqsood, S., Benjakul, S., Abushelaibi, A., &amp; Alam, A. (2014). Phenolic compounds and plant phenolic extracts as natural antioxidants in prevention of lipid oxidation in seafood: A detailed review. </w:t>
      </w:r>
      <w:r w:rsidRPr="00A66B7B">
        <w:rPr>
          <w:rFonts w:ascii="Arial" w:hAnsi="Arial" w:cs="Arial"/>
          <w:i/>
          <w:iCs/>
          <w:color w:val="222222"/>
          <w:sz w:val="20"/>
          <w:szCs w:val="20"/>
          <w:shd w:val="clear" w:color="auto" w:fill="FFFFFF"/>
        </w:rPr>
        <w:t>Comprehensive Reviews in Food Science and Food Safety</w:t>
      </w:r>
      <w:r w:rsidRPr="00A66B7B">
        <w:rPr>
          <w:rFonts w:ascii="Arial" w:hAnsi="Arial" w:cs="Arial"/>
          <w:color w:val="222222"/>
          <w:sz w:val="20"/>
          <w:szCs w:val="20"/>
          <w:shd w:val="clear" w:color="auto" w:fill="FFFFFF"/>
        </w:rPr>
        <w:t>, </w:t>
      </w:r>
      <w:r w:rsidRPr="00A66B7B">
        <w:rPr>
          <w:rFonts w:ascii="Arial" w:hAnsi="Arial" w:cs="Arial"/>
          <w:i/>
          <w:iCs/>
          <w:color w:val="222222"/>
          <w:sz w:val="20"/>
          <w:szCs w:val="20"/>
          <w:shd w:val="clear" w:color="auto" w:fill="FFFFFF"/>
        </w:rPr>
        <w:t>13</w:t>
      </w:r>
      <w:r w:rsidRPr="00A66B7B">
        <w:rPr>
          <w:rFonts w:ascii="Arial" w:hAnsi="Arial" w:cs="Arial"/>
          <w:color w:val="222222"/>
          <w:sz w:val="20"/>
          <w:szCs w:val="20"/>
          <w:shd w:val="clear" w:color="auto" w:fill="FFFFFF"/>
        </w:rPr>
        <w:t>(6), 1125-1140.</w:t>
      </w:r>
    </w:p>
    <w:p w14:paraId="44324270" w14:textId="77777777" w:rsidR="0050655D" w:rsidRPr="00180577" w:rsidRDefault="0050655D" w:rsidP="00D23D07">
      <w:pPr>
        <w:spacing w:line="240" w:lineRule="auto"/>
        <w:jc w:val="both"/>
        <w:rPr>
          <w:rFonts w:ascii="Arial" w:hAnsi="Arial" w:cs="Arial"/>
          <w:color w:val="000000" w:themeColor="text1"/>
          <w:sz w:val="20"/>
          <w:szCs w:val="20"/>
          <w:lang w:val="en-GB"/>
        </w:rPr>
      </w:pPr>
    </w:p>
    <w:p w14:paraId="572BA5E4" w14:textId="77777777" w:rsidR="00081684" w:rsidRPr="003238AE" w:rsidRDefault="00081684" w:rsidP="00D23D07">
      <w:pPr>
        <w:spacing w:line="240" w:lineRule="auto"/>
        <w:jc w:val="both"/>
        <w:rPr>
          <w:rFonts w:ascii="Arial" w:hAnsi="Arial" w:cs="Arial"/>
          <w:sz w:val="20"/>
          <w:szCs w:val="20"/>
          <w:lang w:val="en-GB"/>
        </w:rPr>
      </w:pPr>
    </w:p>
    <w:p w14:paraId="4088088D" w14:textId="77777777" w:rsidR="00081684" w:rsidRPr="003238AE" w:rsidRDefault="00081684" w:rsidP="00D23D07">
      <w:pPr>
        <w:spacing w:line="240" w:lineRule="auto"/>
        <w:jc w:val="both"/>
        <w:rPr>
          <w:rFonts w:ascii="Arial" w:hAnsi="Arial" w:cs="Arial"/>
          <w:sz w:val="20"/>
          <w:szCs w:val="20"/>
          <w:lang w:val="en-GB"/>
        </w:rPr>
      </w:pPr>
    </w:p>
    <w:p w14:paraId="3DBCD234" w14:textId="77777777" w:rsidR="00081684" w:rsidRPr="003238AE" w:rsidRDefault="00081684" w:rsidP="00D23D07">
      <w:pPr>
        <w:spacing w:line="240" w:lineRule="auto"/>
        <w:jc w:val="both"/>
        <w:rPr>
          <w:rFonts w:ascii="Arial" w:hAnsi="Arial" w:cs="Arial"/>
          <w:sz w:val="20"/>
          <w:szCs w:val="20"/>
          <w:lang w:val="en-GB"/>
        </w:rPr>
      </w:pPr>
    </w:p>
    <w:p w14:paraId="0FD8EB96" w14:textId="77777777" w:rsidR="00081684" w:rsidRPr="003238AE" w:rsidRDefault="00081684" w:rsidP="00D23D07">
      <w:pPr>
        <w:spacing w:line="240" w:lineRule="auto"/>
        <w:jc w:val="both"/>
        <w:rPr>
          <w:rFonts w:ascii="Arial" w:hAnsi="Arial" w:cs="Arial"/>
          <w:sz w:val="20"/>
          <w:szCs w:val="20"/>
          <w:lang w:val="en-GB"/>
        </w:rPr>
      </w:pPr>
    </w:p>
    <w:p w14:paraId="0FD2930A" w14:textId="77777777" w:rsidR="00081684" w:rsidRPr="003238AE" w:rsidRDefault="00081684" w:rsidP="00D23D07">
      <w:pPr>
        <w:spacing w:line="240" w:lineRule="auto"/>
        <w:jc w:val="both"/>
        <w:rPr>
          <w:rFonts w:ascii="Arial" w:hAnsi="Arial" w:cs="Arial"/>
          <w:sz w:val="20"/>
          <w:szCs w:val="20"/>
          <w:lang w:val="en-GB"/>
        </w:rPr>
      </w:pPr>
    </w:p>
    <w:p w14:paraId="1C5FAD4B" w14:textId="77777777" w:rsidR="00081684" w:rsidRPr="003238AE" w:rsidRDefault="00081684" w:rsidP="00D23D07">
      <w:pPr>
        <w:spacing w:line="240" w:lineRule="auto"/>
        <w:jc w:val="both"/>
        <w:rPr>
          <w:rFonts w:ascii="Arial" w:hAnsi="Arial" w:cs="Arial"/>
          <w:sz w:val="20"/>
          <w:szCs w:val="20"/>
          <w:lang w:val="en-GB"/>
        </w:rPr>
      </w:pPr>
    </w:p>
    <w:p w14:paraId="1D87D4BD" w14:textId="77777777" w:rsidR="00A64A38" w:rsidRPr="003238AE" w:rsidRDefault="00A64A38" w:rsidP="00D23D07">
      <w:pPr>
        <w:spacing w:line="240" w:lineRule="auto"/>
        <w:jc w:val="both"/>
        <w:rPr>
          <w:rFonts w:ascii="Arial" w:hAnsi="Arial" w:cs="Arial"/>
          <w:sz w:val="20"/>
          <w:szCs w:val="20"/>
          <w:lang w:val="en-GB"/>
        </w:rPr>
      </w:pPr>
    </w:p>
    <w:sectPr w:rsidR="00A64A38" w:rsidRPr="003238AE" w:rsidSect="007872DE">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bolanle Ilori" w:date="2026-05-30T16:51:00Z" w:initials="AI">
    <w:p w14:paraId="51BD70A1" w14:textId="77777777" w:rsidR="009A6A52" w:rsidRDefault="009A6A52" w:rsidP="009A6A52">
      <w:pPr>
        <w:pStyle w:val="CommentText"/>
      </w:pPr>
      <w:r>
        <w:rPr>
          <w:rStyle w:val="CommentReference"/>
        </w:rPr>
        <w:annotationRef/>
      </w:r>
      <w:r>
        <w:t>What are L, a and b indicating? This is the first time they are mentioned in this write up, so they need to be well defined at this point. Abbreviations can then be used afterwards.</w:t>
      </w:r>
    </w:p>
  </w:comment>
  <w:comment w:id="2" w:author="Abolanle Ilori" w:date="2026-05-30T16:55:00Z" w:initials="AI">
    <w:p w14:paraId="7597BC3E" w14:textId="77777777" w:rsidR="003C4FB1" w:rsidRDefault="003C4FB1" w:rsidP="003C4FB1">
      <w:pPr>
        <w:pStyle w:val="CommentText"/>
      </w:pPr>
      <w:r>
        <w:rPr>
          <w:rStyle w:val="CommentReference"/>
        </w:rPr>
        <w:annotationRef/>
      </w:r>
      <w:r>
        <w:t xml:space="preserve">This is an incomplete sentence. Starting a sentence with </w:t>
      </w:r>
      <w:r>
        <w:rPr>
          <w:b/>
          <w:bCs/>
        </w:rPr>
        <w:t>"even though"</w:t>
      </w:r>
      <w:r>
        <w:t xml:space="preserve"> indicates that a </w:t>
      </w:r>
      <w:r>
        <w:rPr>
          <w:b/>
          <w:bCs/>
        </w:rPr>
        <w:t>complex sentence</w:t>
      </w:r>
      <w:r>
        <w:t xml:space="preserve"> is about to be used. EVEN THOUGH something happened, bla bla bla happened. Fix this grammatical mistake. If the ‘even though is a part of the preceeding sentence, the ‘antioxidant capabilities should be followed by a comma, not a full stop, with ‘even though’ starting with a lower case ‘e’</w:t>
      </w:r>
    </w:p>
  </w:comment>
  <w:comment w:id="3" w:author="Abolanle Ilori" w:date="2026-05-30T17:08:00Z" w:initials="AI">
    <w:p w14:paraId="00D8C48F" w14:textId="77777777" w:rsidR="00CA6C97" w:rsidRDefault="00CA6C97" w:rsidP="00CA6C97">
      <w:pPr>
        <w:pStyle w:val="CommentText"/>
      </w:pPr>
      <w:r>
        <w:rPr>
          <w:rStyle w:val="CommentReference"/>
        </w:rPr>
        <w:annotationRef/>
      </w:r>
      <w:r>
        <w:t xml:space="preserve">You tried using the funnel-down approach for this part, but it wasn’t well done. The ideas are scattered and not seamlessly done, making this introduction part very confusing to reach, especially the second paragraph.  You started talking about phenolic compounds, and abruptly (in the same paragraph), start talking about apple, cinnamon and cardamon. Can we have different paragraphs for these ideas? </w:t>
      </w:r>
    </w:p>
  </w:comment>
  <w:comment w:id="5" w:author="Abolanle Ilori" w:date="2026-05-30T16:57:00Z" w:initials="AI">
    <w:p w14:paraId="631D8D43" w14:textId="77777777" w:rsidR="003C4FB1" w:rsidRDefault="003C4FB1" w:rsidP="003C4FB1">
      <w:pPr>
        <w:pStyle w:val="CommentText"/>
      </w:pPr>
      <w:r>
        <w:rPr>
          <w:rStyle w:val="CommentReference"/>
        </w:rPr>
        <w:annotationRef/>
      </w:r>
      <w:r>
        <w:t>The ‘consumer seeks health basic nutrition’ sounds factual, and as such, needs to be referenced.</w:t>
      </w:r>
    </w:p>
  </w:comment>
  <w:comment w:id="6" w:author="Abolanle Ilori" w:date="2026-05-30T16:57:00Z" w:initials="AI">
    <w:p w14:paraId="4684217F" w14:textId="77777777" w:rsidR="003C4FB1" w:rsidRDefault="003C4FB1" w:rsidP="003C4FB1">
      <w:pPr>
        <w:pStyle w:val="CommentText"/>
      </w:pPr>
      <w:r>
        <w:rPr>
          <w:rStyle w:val="CommentReference"/>
        </w:rPr>
        <w:annotationRef/>
      </w:r>
      <w:r>
        <w:t>What does CAGR mean? Define it, then you can have CAGR in a bracket.</w:t>
      </w:r>
    </w:p>
  </w:comment>
  <w:comment w:id="7" w:author="Abolanle Ilori" w:date="2026-05-30T16:58:00Z" w:initials="AI">
    <w:p w14:paraId="3867A327" w14:textId="77777777" w:rsidR="003C4FB1" w:rsidRDefault="003C4FB1" w:rsidP="003C4FB1">
      <w:pPr>
        <w:pStyle w:val="CommentText"/>
      </w:pPr>
      <w:r>
        <w:rPr>
          <w:rStyle w:val="CommentReference"/>
        </w:rPr>
        <w:annotationRef/>
      </w:r>
      <w:r>
        <w:t>Since you opened IMARC GROUP with a brakcet, and you did the same for 2024, you should have two closing bracket signs too.</w:t>
      </w:r>
    </w:p>
  </w:comment>
  <w:comment w:id="8" w:author="Abolanle Ilori" w:date="2026-05-30T16:59:00Z" w:initials="AI">
    <w:p w14:paraId="70449BFD" w14:textId="77777777" w:rsidR="003C4FB1" w:rsidRDefault="003C4FB1" w:rsidP="003C4FB1">
      <w:pPr>
        <w:pStyle w:val="CommentText"/>
      </w:pPr>
      <w:r>
        <w:rPr>
          <w:rStyle w:val="CommentReference"/>
        </w:rPr>
        <w:annotationRef/>
      </w:r>
      <w:r>
        <w:t>Reference this.</w:t>
      </w:r>
    </w:p>
  </w:comment>
  <w:comment w:id="9" w:author="Abolanle Ilori" w:date="2026-05-30T16:59:00Z" w:initials="AI">
    <w:p w14:paraId="363CC1AD" w14:textId="77777777" w:rsidR="003C4FB1" w:rsidRDefault="003C4FB1" w:rsidP="003C4FB1">
      <w:pPr>
        <w:pStyle w:val="CommentText"/>
      </w:pPr>
      <w:r>
        <w:rPr>
          <w:rStyle w:val="CommentReference"/>
        </w:rPr>
        <w:annotationRef/>
      </w:r>
      <w:r>
        <w:t>Reference this</w:t>
      </w:r>
    </w:p>
  </w:comment>
  <w:comment w:id="11" w:author="Abolanle Ilori" w:date="2026-05-30T17:01:00Z" w:initials="AI">
    <w:p w14:paraId="2DD99169" w14:textId="77777777" w:rsidR="003C4FB1" w:rsidRDefault="003C4FB1" w:rsidP="003C4FB1">
      <w:pPr>
        <w:pStyle w:val="CommentText"/>
      </w:pPr>
      <w:r>
        <w:rPr>
          <w:rStyle w:val="CommentReference"/>
        </w:rPr>
        <w:annotationRef/>
      </w:r>
      <w:r>
        <w:t>These two sentences sounds like tautology (repetition of the same idea), so I’d advise you stick to one, preferably the second one, since it speaks about ‘antioxidants’, which phenolic compounds are an example of.</w:t>
      </w:r>
    </w:p>
  </w:comment>
  <w:comment w:id="12" w:author="Abolanle Ilori" w:date="2026-05-30T17:04:00Z" w:initials="AI">
    <w:p w14:paraId="2A5F752D" w14:textId="77777777" w:rsidR="00CA6C97" w:rsidRDefault="00CA6C97" w:rsidP="00CA6C97">
      <w:pPr>
        <w:pStyle w:val="CommentText"/>
      </w:pPr>
      <w:r>
        <w:rPr>
          <w:rStyle w:val="CommentReference"/>
        </w:rPr>
        <w:annotationRef/>
      </w:r>
      <w:r>
        <w:t>This sentence is a bit confusing. Does it mean that beverages from Camelia sinensis are exempted from ‘herbal infusions’?</w:t>
      </w:r>
    </w:p>
  </w:comment>
  <w:comment w:id="18" w:author="Abolanle Ilori" w:date="2026-05-30T17:10:00Z" w:initials="AI">
    <w:p w14:paraId="2E61B214" w14:textId="77777777" w:rsidR="00CA6C97" w:rsidRDefault="00CA6C97" w:rsidP="00CA6C97">
      <w:pPr>
        <w:pStyle w:val="CommentText"/>
      </w:pPr>
      <w:r>
        <w:rPr>
          <w:rStyle w:val="CommentReference"/>
        </w:rPr>
        <w:annotationRef/>
      </w:r>
      <w:r>
        <w:t>What kind of apple did you use for the research? Green? Red?</w:t>
      </w:r>
    </w:p>
  </w:comment>
  <w:comment w:id="19" w:author="Abolanle Ilori" w:date="2026-05-30T17:11:00Z" w:initials="AI">
    <w:p w14:paraId="3D80B3A7" w14:textId="77777777" w:rsidR="00CA6C97" w:rsidRDefault="00CA6C97" w:rsidP="00CA6C97">
      <w:pPr>
        <w:pStyle w:val="CommentText"/>
      </w:pPr>
      <w:r>
        <w:rPr>
          <w:rStyle w:val="CommentReference"/>
        </w:rPr>
        <w:annotationRef/>
      </w:r>
      <w:r>
        <w:t>It? For cinnamon and cardamom? No. Cinnamon and cardamom powders were prepared by drying ‘cinnamon and cardamom’ respectively...</w:t>
      </w:r>
    </w:p>
  </w:comment>
  <w:comment w:id="21" w:author="Abolanle Ilori" w:date="2026-05-30T17:15:00Z" w:initials="AI">
    <w:p w14:paraId="4FA5961C" w14:textId="77777777" w:rsidR="004A0260" w:rsidRDefault="004A0260" w:rsidP="004A0260">
      <w:pPr>
        <w:pStyle w:val="CommentText"/>
      </w:pPr>
      <w:r>
        <w:rPr>
          <w:rStyle w:val="CommentReference"/>
        </w:rPr>
        <w:annotationRef/>
      </w:r>
      <w:r>
        <w:t>The first sentence would be better suited for sub-section 2.2.2</w:t>
      </w:r>
    </w:p>
  </w:comment>
  <w:comment w:id="22" w:author="Abolanle Ilori" w:date="2026-05-30T17:16:00Z" w:initials="AI">
    <w:p w14:paraId="0E6F6087" w14:textId="77777777" w:rsidR="004A0260" w:rsidRDefault="004A0260" w:rsidP="004A0260">
      <w:pPr>
        <w:pStyle w:val="CommentText"/>
      </w:pPr>
      <w:r>
        <w:rPr>
          <w:rStyle w:val="CommentReference"/>
        </w:rPr>
        <w:annotationRef/>
      </w:r>
      <w:r>
        <w:t>Is there any scholarly references for the formulation?</w:t>
      </w:r>
    </w:p>
  </w:comment>
  <w:comment w:id="24" w:author="Abolanle Ilori" w:date="2026-05-30T17:17:00Z" w:initials="AI">
    <w:p w14:paraId="657C5ECB" w14:textId="77777777" w:rsidR="004A0260" w:rsidRDefault="004A0260" w:rsidP="004A0260">
      <w:pPr>
        <w:pStyle w:val="CommentText"/>
      </w:pPr>
      <w:r>
        <w:rPr>
          <w:rStyle w:val="CommentReference"/>
        </w:rPr>
        <w:annotationRef/>
      </w:r>
      <w:r>
        <w:t>What is BBAU?</w:t>
      </w:r>
    </w:p>
  </w:comment>
  <w:comment w:id="25" w:author="Abolanle Ilori" w:date="2026-05-30T17:20:00Z" w:initials="AI">
    <w:p w14:paraId="34FA2AD3" w14:textId="77777777" w:rsidR="004A0260" w:rsidRDefault="004A0260" w:rsidP="004A0260">
      <w:pPr>
        <w:pStyle w:val="CommentText"/>
      </w:pPr>
      <w:r>
        <w:rPr>
          <w:rStyle w:val="CommentReference"/>
        </w:rPr>
        <w:annotationRef/>
      </w:r>
      <w:r>
        <w:t xml:space="preserve">This is scientifically not correct. Matter of fact, it negates the ethics guiding sensory evaluation. Panelists should generally </w:t>
      </w:r>
      <w:r>
        <w:rPr>
          <w:b/>
          <w:bCs/>
        </w:rPr>
        <w:t>not</w:t>
      </w:r>
      <w:r>
        <w:t xml:space="preserve"> know what specific product or brand they are tasting to prevent psychological bias. Therefore, the integrity of this research work has become highly questionable because of this phrase.</w:t>
      </w:r>
    </w:p>
  </w:comment>
  <w:comment w:id="26" w:author="Abolanle Ilori" w:date="2026-05-30T17:24:00Z" w:initials="AI">
    <w:p w14:paraId="2F03716A" w14:textId="77777777" w:rsidR="004A0260" w:rsidRDefault="004A0260" w:rsidP="004A0260">
      <w:pPr>
        <w:pStyle w:val="CommentText"/>
      </w:pPr>
      <w:r>
        <w:rPr>
          <w:rStyle w:val="CommentReference"/>
        </w:rPr>
        <w:annotationRef/>
      </w:r>
      <w:r>
        <w:t>There is no part of this sentence where a mention of adding the weighed samples to the petridish is mentioned. So, what was weighed? Empty petridish before and after drying? So much sloppiness in this work.</w:t>
      </w:r>
    </w:p>
  </w:comment>
  <w:comment w:id="28" w:author="Abolanle Ilori" w:date="2026-05-30T17:24:00Z" w:initials="AI">
    <w:p w14:paraId="0369A80A" w14:textId="77777777" w:rsidR="00571FF0" w:rsidRDefault="00571FF0" w:rsidP="00571FF0">
      <w:pPr>
        <w:pStyle w:val="CommentText"/>
      </w:pPr>
      <w:r>
        <w:rPr>
          <w:rStyle w:val="CommentReference"/>
        </w:rPr>
        <w:annotationRef/>
      </w:r>
      <w:r>
        <w:t>Simply put, dried sample.</w:t>
      </w:r>
    </w:p>
  </w:comment>
  <w:comment w:id="29" w:author="Abolanle Ilori" w:date="2026-05-30T17:25:00Z" w:initials="AI">
    <w:p w14:paraId="6B8767CA" w14:textId="77777777" w:rsidR="00571FF0" w:rsidRDefault="00571FF0" w:rsidP="00571FF0">
      <w:pPr>
        <w:pStyle w:val="CommentText"/>
      </w:pPr>
      <w:r>
        <w:rPr>
          <w:rStyle w:val="CommentReference"/>
        </w:rPr>
        <w:annotationRef/>
      </w:r>
      <w:r>
        <w:t xml:space="preserve">Were moved to? </w:t>
      </w:r>
    </w:p>
  </w:comment>
  <w:comment w:id="27" w:author="Abolanle Ilori" w:date="2026-05-30T17:26:00Z" w:initials="AI">
    <w:p w14:paraId="0474D261" w14:textId="77777777" w:rsidR="00571FF0" w:rsidRDefault="00571FF0" w:rsidP="00571FF0">
      <w:pPr>
        <w:pStyle w:val="CommentText"/>
      </w:pPr>
      <w:r>
        <w:rPr>
          <w:rStyle w:val="CommentReference"/>
        </w:rPr>
        <w:annotationRef/>
      </w:r>
      <w:r>
        <w:t>Please consult other articles where this process is well described and the use of English top notch. Rephrase this please.</w:t>
      </w:r>
    </w:p>
  </w:comment>
  <w:comment w:id="30" w:author="Abolanle Ilori" w:date="2026-05-30T17:29:00Z" w:initials="AI">
    <w:p w14:paraId="6C42FAA8" w14:textId="77777777" w:rsidR="00571FF0" w:rsidRDefault="00571FF0" w:rsidP="00571FF0">
      <w:pPr>
        <w:pStyle w:val="CommentText"/>
      </w:pPr>
      <w:r>
        <w:rPr>
          <w:rStyle w:val="CommentReference"/>
        </w:rPr>
        <w:annotationRef/>
      </w:r>
      <w:r>
        <w:t>Weight, not wt. Do this for everywhere you have used wt. inappropriately.</w:t>
      </w:r>
    </w:p>
  </w:comment>
  <w:comment w:id="31" w:author="Abolanle Ilori" w:date="2026-05-30T17:28:00Z" w:initials="AI">
    <w:p w14:paraId="574920F0" w14:textId="77777777" w:rsidR="00571FF0" w:rsidRDefault="00571FF0" w:rsidP="00571FF0">
      <w:pPr>
        <w:pStyle w:val="CommentText"/>
      </w:pPr>
      <w:r>
        <w:rPr>
          <w:rStyle w:val="CommentReference"/>
        </w:rPr>
        <w:annotationRef/>
      </w:r>
      <w:r>
        <w:t xml:space="preserve">Your use of words is HIGHLY SLOPY. Fix up please. </w:t>
      </w:r>
    </w:p>
  </w:comment>
  <w:comment w:id="32" w:author="Abolanle Ilori" w:date="2026-05-30T17:31:00Z" w:initials="AI">
    <w:p w14:paraId="74D36544" w14:textId="77777777" w:rsidR="00571FF0" w:rsidRDefault="00571FF0" w:rsidP="00571FF0">
      <w:pPr>
        <w:pStyle w:val="CommentText"/>
      </w:pPr>
      <w:r>
        <w:rPr>
          <w:rStyle w:val="CommentReference"/>
        </w:rPr>
        <w:annotationRef/>
      </w:r>
      <w:r>
        <w:t>Is this a ‘copy and paste’? This should be reported, since you did the work.</w:t>
      </w:r>
    </w:p>
  </w:comment>
  <w:comment w:id="33" w:author="Abolanle Ilori" w:date="2026-05-30T17:32:00Z" w:initials="AI">
    <w:p w14:paraId="0854DC4D" w14:textId="77777777" w:rsidR="00571FF0" w:rsidRDefault="00571FF0" w:rsidP="00571FF0">
      <w:pPr>
        <w:pStyle w:val="CommentText"/>
      </w:pPr>
      <w:r>
        <w:rPr>
          <w:rStyle w:val="CommentReference"/>
        </w:rPr>
        <w:annotationRef/>
      </w:r>
      <w:r>
        <w:t>This should be ‘Total Phenolic Content (TPC), the amount of phenolic compounds in the extract, were…’</w:t>
      </w:r>
    </w:p>
  </w:comment>
  <w:comment w:id="34" w:author="Abolanle Ilori" w:date="2026-05-30T17:33:00Z" w:initials="AI">
    <w:p w14:paraId="7BB37565" w14:textId="77777777" w:rsidR="00571FF0" w:rsidRDefault="00571FF0" w:rsidP="00571FF0">
      <w:pPr>
        <w:pStyle w:val="CommentText"/>
      </w:pPr>
      <w:r>
        <w:rPr>
          <w:rStyle w:val="CommentReference"/>
        </w:rPr>
        <w:annotationRef/>
      </w:r>
      <w:r>
        <w:t>Solvents, not splvents.</w:t>
      </w:r>
    </w:p>
  </w:comment>
  <w:comment w:id="35" w:author="Abolanle Ilori" w:date="2026-05-30T17:39:00Z" w:initials="AI">
    <w:p w14:paraId="2D5C83B5" w14:textId="77777777" w:rsidR="00CD7BA6" w:rsidRDefault="00CD7BA6" w:rsidP="00CD7BA6">
      <w:pPr>
        <w:pStyle w:val="CommentText"/>
      </w:pPr>
      <w:r>
        <w:rPr>
          <w:rStyle w:val="CommentReference"/>
        </w:rPr>
        <w:annotationRef/>
      </w:r>
      <w:r>
        <w:t xml:space="preserve">The main concern is not the data itself but the lack of statistical significance indicators and the unclear meaning of the error bars. </w:t>
      </w:r>
    </w:p>
  </w:comment>
  <w:comment w:id="36" w:author="Abolanle Ilori" w:date="2026-05-30T17:41:00Z" w:initials="AI">
    <w:p w14:paraId="2FDA747B" w14:textId="77777777" w:rsidR="00CD7BA6" w:rsidRDefault="00CD7BA6" w:rsidP="00CD7BA6">
      <w:pPr>
        <w:pStyle w:val="CommentText"/>
      </w:pPr>
      <w:r>
        <w:rPr>
          <w:rStyle w:val="CommentReference"/>
        </w:rPr>
        <w:annotationRef/>
      </w:r>
      <w:r>
        <w:t>Content, not contetn.</w:t>
      </w:r>
    </w:p>
  </w:comment>
  <w:comment w:id="37" w:author="Abolanle Ilori" w:date="2026-05-30T17:43:00Z" w:initials="AI">
    <w:p w14:paraId="2651FE0C" w14:textId="77777777" w:rsidR="00CD7BA6" w:rsidRDefault="00CD7BA6" w:rsidP="00CD7BA6">
      <w:pPr>
        <w:pStyle w:val="CommentText"/>
      </w:pPr>
      <w:r>
        <w:rPr>
          <w:rStyle w:val="CommentReference"/>
        </w:rPr>
        <w:annotationRef/>
      </w:r>
      <w:r>
        <w:t>Which ingredients and spices? And at what point of the write-up did you tell us that they were added?</w:t>
      </w:r>
    </w:p>
  </w:comment>
  <w:comment w:id="38" w:author="Abolanle Ilori" w:date="2026-05-30T17:45:00Z" w:initials="AI">
    <w:p w14:paraId="0B240690" w14:textId="77777777" w:rsidR="00F56BC7" w:rsidRDefault="00F56BC7" w:rsidP="00F56BC7">
      <w:pPr>
        <w:pStyle w:val="CommentText"/>
      </w:pPr>
      <w:r>
        <w:rPr>
          <w:rStyle w:val="CommentReference"/>
        </w:rPr>
        <w:annotationRef/>
      </w:r>
      <w:r>
        <w:t>This should be a sentence on its own, started with ‘This’, not ‘this’.</w:t>
      </w:r>
    </w:p>
  </w:comment>
  <w:comment w:id="39" w:author="Abolanle Ilori" w:date="2026-05-30T17:46:00Z" w:initials="AI">
    <w:p w14:paraId="0FCAE528" w14:textId="77777777" w:rsidR="00F56BC7" w:rsidRDefault="00F56BC7" w:rsidP="00F56BC7">
      <w:pPr>
        <w:pStyle w:val="CommentText"/>
      </w:pPr>
      <w:r>
        <w:rPr>
          <w:rStyle w:val="CommentReference"/>
        </w:rPr>
        <w:annotationRef/>
      </w:r>
      <w:r>
        <w:t>What is ‘C’?</w:t>
      </w:r>
    </w:p>
  </w:comment>
  <w:comment w:id="40" w:author="Abolanle Ilori" w:date="2026-05-30T17:46:00Z" w:initials="AI">
    <w:p w14:paraId="6940F1FF" w14:textId="77777777" w:rsidR="00F56BC7" w:rsidRDefault="00F56BC7" w:rsidP="00F56BC7">
      <w:pPr>
        <w:pStyle w:val="CommentText"/>
      </w:pPr>
      <w:r>
        <w:rPr>
          <w:rStyle w:val="CommentReference"/>
        </w:rPr>
        <w:annotationRef/>
      </w:r>
      <w:r>
        <w:t>Follow this with a comma.</w:t>
      </w:r>
    </w:p>
  </w:comment>
  <w:comment w:id="41" w:author="Abolanle Ilori" w:date="2026-05-30T17:49:00Z" w:initials="AI">
    <w:p w14:paraId="0511940B" w14:textId="77777777" w:rsidR="00F56BC7" w:rsidRDefault="00F56BC7" w:rsidP="00F56BC7">
      <w:pPr>
        <w:pStyle w:val="CommentText"/>
      </w:pPr>
      <w:r>
        <w:rPr>
          <w:rStyle w:val="CommentReference"/>
        </w:rPr>
        <w:annotationRef/>
      </w:r>
      <w:r>
        <w:t>Check other articles for how this part of the work should be properly crafted.</w:t>
      </w:r>
    </w:p>
  </w:comment>
  <w:comment w:id="42" w:author="Abolanle Ilori" w:date="2026-05-30T17:49:00Z" w:initials="AI">
    <w:p w14:paraId="7F472AA4" w14:textId="77777777" w:rsidR="00F56BC7" w:rsidRDefault="00F56BC7" w:rsidP="00F56BC7">
      <w:pPr>
        <w:pStyle w:val="CommentText"/>
      </w:pPr>
      <w:r>
        <w:rPr>
          <w:rStyle w:val="CommentReference"/>
        </w:rPr>
        <w:annotationRef/>
      </w:r>
      <w:r>
        <w:t>Why is this in caps?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BD70A1" w15:done="0"/>
  <w15:commentEx w15:paraId="7597BC3E" w15:done="0"/>
  <w15:commentEx w15:paraId="00D8C48F" w15:done="0"/>
  <w15:commentEx w15:paraId="631D8D43" w15:done="0"/>
  <w15:commentEx w15:paraId="4684217F" w15:done="0"/>
  <w15:commentEx w15:paraId="3867A327" w15:done="0"/>
  <w15:commentEx w15:paraId="70449BFD" w15:done="0"/>
  <w15:commentEx w15:paraId="363CC1AD" w15:done="0"/>
  <w15:commentEx w15:paraId="2DD99169" w15:done="0"/>
  <w15:commentEx w15:paraId="2A5F752D" w15:done="0"/>
  <w15:commentEx w15:paraId="2E61B214" w15:done="0"/>
  <w15:commentEx w15:paraId="3D80B3A7" w15:done="0"/>
  <w15:commentEx w15:paraId="4FA5961C" w15:done="0"/>
  <w15:commentEx w15:paraId="0E6F6087" w15:done="0"/>
  <w15:commentEx w15:paraId="657C5ECB" w15:done="0"/>
  <w15:commentEx w15:paraId="34FA2AD3" w15:done="0"/>
  <w15:commentEx w15:paraId="2F03716A" w15:done="0"/>
  <w15:commentEx w15:paraId="0369A80A" w15:done="0"/>
  <w15:commentEx w15:paraId="6B8767CA" w15:done="0"/>
  <w15:commentEx w15:paraId="0474D261" w15:done="0"/>
  <w15:commentEx w15:paraId="6C42FAA8" w15:done="0"/>
  <w15:commentEx w15:paraId="574920F0" w15:done="0"/>
  <w15:commentEx w15:paraId="74D36544" w15:done="0"/>
  <w15:commentEx w15:paraId="0854DC4D" w15:done="0"/>
  <w15:commentEx w15:paraId="7BB37565" w15:done="0"/>
  <w15:commentEx w15:paraId="2D5C83B5" w15:done="0"/>
  <w15:commentEx w15:paraId="2FDA747B" w15:done="0"/>
  <w15:commentEx w15:paraId="2651FE0C" w15:done="0"/>
  <w15:commentEx w15:paraId="0B240690" w15:done="0"/>
  <w15:commentEx w15:paraId="0FCAE528" w15:done="0"/>
  <w15:commentEx w15:paraId="6940F1FF" w15:done="0"/>
  <w15:commentEx w15:paraId="0511940B" w15:done="0"/>
  <w15:commentEx w15:paraId="7F472A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D6D57C" w16cex:dateUtc="2026-05-30T15:51:00Z"/>
  <w16cex:commentExtensible w16cex:durableId="4A234C3B" w16cex:dateUtc="2026-05-30T15:55:00Z"/>
  <w16cex:commentExtensible w16cex:durableId="5630D8C9" w16cex:dateUtc="2026-05-30T16:08:00Z"/>
  <w16cex:commentExtensible w16cex:durableId="1F0C7B0F" w16cex:dateUtc="2026-05-30T15:57:00Z"/>
  <w16cex:commentExtensible w16cex:durableId="1318D5AC" w16cex:dateUtc="2026-05-30T15:57:00Z"/>
  <w16cex:commentExtensible w16cex:durableId="48A21EC8" w16cex:dateUtc="2026-05-30T15:58:00Z"/>
  <w16cex:commentExtensible w16cex:durableId="0C957143" w16cex:dateUtc="2026-05-30T15:59:00Z"/>
  <w16cex:commentExtensible w16cex:durableId="770D6AC2" w16cex:dateUtc="2026-05-30T15:59:00Z"/>
  <w16cex:commentExtensible w16cex:durableId="1D6887E1" w16cex:dateUtc="2026-05-30T16:01:00Z"/>
  <w16cex:commentExtensible w16cex:durableId="6A156EE0" w16cex:dateUtc="2026-05-30T16:04:00Z"/>
  <w16cex:commentExtensible w16cex:durableId="4C727CB3" w16cex:dateUtc="2026-05-30T16:10:00Z"/>
  <w16cex:commentExtensible w16cex:durableId="5CA8A819" w16cex:dateUtc="2026-05-30T16:11:00Z"/>
  <w16cex:commentExtensible w16cex:durableId="74090838" w16cex:dateUtc="2026-05-30T16:15:00Z"/>
  <w16cex:commentExtensible w16cex:durableId="03EAB073" w16cex:dateUtc="2026-05-30T16:16:00Z"/>
  <w16cex:commentExtensible w16cex:durableId="2455E200" w16cex:dateUtc="2026-05-30T16:17:00Z"/>
  <w16cex:commentExtensible w16cex:durableId="21BBD177" w16cex:dateUtc="2026-05-30T16:20:00Z"/>
  <w16cex:commentExtensible w16cex:durableId="7F18A87F" w16cex:dateUtc="2026-05-30T16:24:00Z"/>
  <w16cex:commentExtensible w16cex:durableId="60B88D7E" w16cex:dateUtc="2026-05-30T16:24:00Z"/>
  <w16cex:commentExtensible w16cex:durableId="02086CCC" w16cex:dateUtc="2026-05-30T16:25:00Z"/>
  <w16cex:commentExtensible w16cex:durableId="71A85B56" w16cex:dateUtc="2026-05-30T16:26:00Z"/>
  <w16cex:commentExtensible w16cex:durableId="79DF20C6" w16cex:dateUtc="2026-05-30T16:29:00Z"/>
  <w16cex:commentExtensible w16cex:durableId="71E64C8F" w16cex:dateUtc="2026-05-30T16:28:00Z"/>
  <w16cex:commentExtensible w16cex:durableId="1D192F68" w16cex:dateUtc="2026-05-30T16:31:00Z"/>
  <w16cex:commentExtensible w16cex:durableId="40939A69" w16cex:dateUtc="2026-05-30T16:32:00Z"/>
  <w16cex:commentExtensible w16cex:durableId="113CC2AC" w16cex:dateUtc="2026-05-30T16:33:00Z"/>
  <w16cex:commentExtensible w16cex:durableId="28695BDA" w16cex:dateUtc="2026-05-30T16:39:00Z"/>
  <w16cex:commentExtensible w16cex:durableId="4EDC2D6A" w16cex:dateUtc="2026-05-30T16:41:00Z"/>
  <w16cex:commentExtensible w16cex:durableId="7B84B830" w16cex:dateUtc="2026-05-30T16:43:00Z"/>
  <w16cex:commentExtensible w16cex:durableId="10C97EDF" w16cex:dateUtc="2026-05-30T16:45:00Z"/>
  <w16cex:commentExtensible w16cex:durableId="6ACC58DC" w16cex:dateUtc="2026-05-30T16:46:00Z"/>
  <w16cex:commentExtensible w16cex:durableId="08A73BEE" w16cex:dateUtc="2026-05-30T16:46:00Z"/>
  <w16cex:commentExtensible w16cex:durableId="4F50F14E" w16cex:dateUtc="2026-05-30T16:49:00Z"/>
  <w16cex:commentExtensible w16cex:durableId="21DAC304" w16cex:dateUtc="2026-05-30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BD70A1" w16cid:durableId="75D6D57C"/>
  <w16cid:commentId w16cid:paraId="7597BC3E" w16cid:durableId="4A234C3B"/>
  <w16cid:commentId w16cid:paraId="00D8C48F" w16cid:durableId="5630D8C9"/>
  <w16cid:commentId w16cid:paraId="631D8D43" w16cid:durableId="1F0C7B0F"/>
  <w16cid:commentId w16cid:paraId="4684217F" w16cid:durableId="1318D5AC"/>
  <w16cid:commentId w16cid:paraId="3867A327" w16cid:durableId="48A21EC8"/>
  <w16cid:commentId w16cid:paraId="70449BFD" w16cid:durableId="0C957143"/>
  <w16cid:commentId w16cid:paraId="363CC1AD" w16cid:durableId="770D6AC2"/>
  <w16cid:commentId w16cid:paraId="2DD99169" w16cid:durableId="1D6887E1"/>
  <w16cid:commentId w16cid:paraId="2A5F752D" w16cid:durableId="6A156EE0"/>
  <w16cid:commentId w16cid:paraId="2E61B214" w16cid:durableId="4C727CB3"/>
  <w16cid:commentId w16cid:paraId="3D80B3A7" w16cid:durableId="5CA8A819"/>
  <w16cid:commentId w16cid:paraId="4FA5961C" w16cid:durableId="74090838"/>
  <w16cid:commentId w16cid:paraId="0E6F6087" w16cid:durableId="03EAB073"/>
  <w16cid:commentId w16cid:paraId="657C5ECB" w16cid:durableId="2455E200"/>
  <w16cid:commentId w16cid:paraId="34FA2AD3" w16cid:durableId="21BBD177"/>
  <w16cid:commentId w16cid:paraId="2F03716A" w16cid:durableId="7F18A87F"/>
  <w16cid:commentId w16cid:paraId="0369A80A" w16cid:durableId="60B88D7E"/>
  <w16cid:commentId w16cid:paraId="6B8767CA" w16cid:durableId="02086CCC"/>
  <w16cid:commentId w16cid:paraId="0474D261" w16cid:durableId="71A85B56"/>
  <w16cid:commentId w16cid:paraId="6C42FAA8" w16cid:durableId="79DF20C6"/>
  <w16cid:commentId w16cid:paraId="574920F0" w16cid:durableId="71E64C8F"/>
  <w16cid:commentId w16cid:paraId="74D36544" w16cid:durableId="1D192F68"/>
  <w16cid:commentId w16cid:paraId="0854DC4D" w16cid:durableId="40939A69"/>
  <w16cid:commentId w16cid:paraId="7BB37565" w16cid:durableId="113CC2AC"/>
  <w16cid:commentId w16cid:paraId="2D5C83B5" w16cid:durableId="28695BDA"/>
  <w16cid:commentId w16cid:paraId="2FDA747B" w16cid:durableId="4EDC2D6A"/>
  <w16cid:commentId w16cid:paraId="2651FE0C" w16cid:durableId="7B84B830"/>
  <w16cid:commentId w16cid:paraId="0B240690" w16cid:durableId="10C97EDF"/>
  <w16cid:commentId w16cid:paraId="0FCAE528" w16cid:durableId="6ACC58DC"/>
  <w16cid:commentId w16cid:paraId="6940F1FF" w16cid:durableId="08A73BEE"/>
  <w16cid:commentId w16cid:paraId="0511940B" w16cid:durableId="4F50F14E"/>
  <w16cid:commentId w16cid:paraId="7F472AA4" w16cid:durableId="21DAC3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10E3F" w14:textId="77777777" w:rsidR="00424300" w:rsidRDefault="00424300" w:rsidP="00DA4FC5">
      <w:pPr>
        <w:spacing w:after="0" w:line="240" w:lineRule="auto"/>
      </w:pPr>
      <w:r>
        <w:separator/>
      </w:r>
    </w:p>
  </w:endnote>
  <w:endnote w:type="continuationSeparator" w:id="0">
    <w:p w14:paraId="7C4F828B" w14:textId="77777777" w:rsidR="00424300" w:rsidRDefault="00424300" w:rsidP="00DA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F879" w14:textId="77777777" w:rsidR="007C27C6" w:rsidRDefault="007C2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AB6E" w14:textId="77777777" w:rsidR="007C27C6" w:rsidRDefault="007C2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EE72" w14:textId="77777777" w:rsidR="007C27C6" w:rsidRDefault="007C2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4E8D2" w14:textId="77777777" w:rsidR="00424300" w:rsidRDefault="00424300" w:rsidP="00DA4FC5">
      <w:pPr>
        <w:spacing w:after="0" w:line="240" w:lineRule="auto"/>
      </w:pPr>
      <w:r>
        <w:separator/>
      </w:r>
    </w:p>
  </w:footnote>
  <w:footnote w:type="continuationSeparator" w:id="0">
    <w:p w14:paraId="2F2A2DCA" w14:textId="77777777" w:rsidR="00424300" w:rsidRDefault="00424300" w:rsidP="00DA4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8619" w14:textId="1B46814C" w:rsidR="007C27C6" w:rsidRDefault="00000000">
    <w:pPr>
      <w:pStyle w:val="Header"/>
    </w:pPr>
    <w:r>
      <w:rPr>
        <w:noProof/>
      </w:rPr>
      <w:pict w14:anchorId="57C42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4" o:spid="_x0000_s1026" type="#_x0000_t136" style="position:absolute;margin-left:0;margin-top:0;width:621.3pt;height:116.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DFAD" w14:textId="5AD35B6A" w:rsidR="007C27C6" w:rsidRDefault="00000000">
    <w:pPr>
      <w:pStyle w:val="Header"/>
    </w:pPr>
    <w:r>
      <w:rPr>
        <w:noProof/>
      </w:rPr>
      <w:pict w14:anchorId="7E6A9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5" o:spid="_x0000_s1027" type="#_x0000_t136" style="position:absolute;margin-left:0;margin-top:0;width:621.3pt;height:116.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A613" w14:textId="29912759" w:rsidR="007C27C6" w:rsidRDefault="00000000">
    <w:pPr>
      <w:pStyle w:val="Header"/>
    </w:pPr>
    <w:r>
      <w:rPr>
        <w:noProof/>
      </w:rPr>
      <w:pict w14:anchorId="664CC0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28593" o:spid="_x0000_s1025" type="#_x0000_t136" style="position:absolute;margin-left:0;margin-top:0;width:621.3pt;height:116.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E1B4D"/>
    <w:multiLevelType w:val="hybridMultilevel"/>
    <w:tmpl w:val="A772454E"/>
    <w:lvl w:ilvl="0" w:tplc="8AA0C1A6">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635271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olanle Ilori">
    <w15:presenceInfo w15:providerId="Windows Live" w15:userId="89e58a3502798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A5"/>
    <w:rsid w:val="00053861"/>
    <w:rsid w:val="00055940"/>
    <w:rsid w:val="00063852"/>
    <w:rsid w:val="00065E4E"/>
    <w:rsid w:val="00081684"/>
    <w:rsid w:val="000A5388"/>
    <w:rsid w:val="000C4480"/>
    <w:rsid w:val="000C4FCE"/>
    <w:rsid w:val="000D2B06"/>
    <w:rsid w:val="000E7AE0"/>
    <w:rsid w:val="000F478B"/>
    <w:rsid w:val="00106692"/>
    <w:rsid w:val="0014108C"/>
    <w:rsid w:val="001463BD"/>
    <w:rsid w:val="0014679B"/>
    <w:rsid w:val="00147864"/>
    <w:rsid w:val="00180577"/>
    <w:rsid w:val="00190375"/>
    <w:rsid w:val="001C19AE"/>
    <w:rsid w:val="00206365"/>
    <w:rsid w:val="00211A04"/>
    <w:rsid w:val="00212891"/>
    <w:rsid w:val="0024200E"/>
    <w:rsid w:val="00244D85"/>
    <w:rsid w:val="0025791B"/>
    <w:rsid w:val="00273F60"/>
    <w:rsid w:val="00284C3E"/>
    <w:rsid w:val="002B7E5C"/>
    <w:rsid w:val="002E5E1F"/>
    <w:rsid w:val="00300270"/>
    <w:rsid w:val="003064FB"/>
    <w:rsid w:val="00307B22"/>
    <w:rsid w:val="003238AE"/>
    <w:rsid w:val="0038101D"/>
    <w:rsid w:val="00384E1D"/>
    <w:rsid w:val="003960D5"/>
    <w:rsid w:val="00397484"/>
    <w:rsid w:val="003A198F"/>
    <w:rsid w:val="003B1394"/>
    <w:rsid w:val="003C4FB1"/>
    <w:rsid w:val="003E3A78"/>
    <w:rsid w:val="003E6202"/>
    <w:rsid w:val="003F0D98"/>
    <w:rsid w:val="003F39B2"/>
    <w:rsid w:val="00411D83"/>
    <w:rsid w:val="00424300"/>
    <w:rsid w:val="00427C33"/>
    <w:rsid w:val="0045332A"/>
    <w:rsid w:val="00465BAE"/>
    <w:rsid w:val="00473886"/>
    <w:rsid w:val="00473C16"/>
    <w:rsid w:val="00496C0C"/>
    <w:rsid w:val="004977E8"/>
    <w:rsid w:val="004A0260"/>
    <w:rsid w:val="004C5570"/>
    <w:rsid w:val="004D7063"/>
    <w:rsid w:val="0050655D"/>
    <w:rsid w:val="005111FF"/>
    <w:rsid w:val="005121A3"/>
    <w:rsid w:val="0051546B"/>
    <w:rsid w:val="00536E3E"/>
    <w:rsid w:val="00547897"/>
    <w:rsid w:val="005717EE"/>
    <w:rsid w:val="00571FF0"/>
    <w:rsid w:val="0057585E"/>
    <w:rsid w:val="00581597"/>
    <w:rsid w:val="005E66F0"/>
    <w:rsid w:val="00640E19"/>
    <w:rsid w:val="0064195F"/>
    <w:rsid w:val="006567EE"/>
    <w:rsid w:val="00664C33"/>
    <w:rsid w:val="00682830"/>
    <w:rsid w:val="006A45B6"/>
    <w:rsid w:val="006B6648"/>
    <w:rsid w:val="006D32C4"/>
    <w:rsid w:val="006D3D9B"/>
    <w:rsid w:val="006E7835"/>
    <w:rsid w:val="006F1C75"/>
    <w:rsid w:val="007220D4"/>
    <w:rsid w:val="00727666"/>
    <w:rsid w:val="00732D78"/>
    <w:rsid w:val="00733104"/>
    <w:rsid w:val="007838E6"/>
    <w:rsid w:val="007872DE"/>
    <w:rsid w:val="007960AF"/>
    <w:rsid w:val="007971CE"/>
    <w:rsid w:val="007C00CD"/>
    <w:rsid w:val="007C27C6"/>
    <w:rsid w:val="007C4A76"/>
    <w:rsid w:val="007C7CC4"/>
    <w:rsid w:val="007D6CE8"/>
    <w:rsid w:val="0080534F"/>
    <w:rsid w:val="00821E70"/>
    <w:rsid w:val="008377C7"/>
    <w:rsid w:val="0084403D"/>
    <w:rsid w:val="00851A81"/>
    <w:rsid w:val="00855153"/>
    <w:rsid w:val="00870309"/>
    <w:rsid w:val="008768D4"/>
    <w:rsid w:val="008A77B8"/>
    <w:rsid w:val="008F2B8A"/>
    <w:rsid w:val="00900E55"/>
    <w:rsid w:val="009104BD"/>
    <w:rsid w:val="009437D3"/>
    <w:rsid w:val="00957239"/>
    <w:rsid w:val="009579C3"/>
    <w:rsid w:val="00966399"/>
    <w:rsid w:val="00976AAA"/>
    <w:rsid w:val="009A0861"/>
    <w:rsid w:val="009A159B"/>
    <w:rsid w:val="009A6A52"/>
    <w:rsid w:val="009C53B1"/>
    <w:rsid w:val="009D2FC9"/>
    <w:rsid w:val="009E7E1E"/>
    <w:rsid w:val="009F3FCE"/>
    <w:rsid w:val="009F7D61"/>
    <w:rsid w:val="00A14099"/>
    <w:rsid w:val="00A1457E"/>
    <w:rsid w:val="00A24D5F"/>
    <w:rsid w:val="00A419DD"/>
    <w:rsid w:val="00A51881"/>
    <w:rsid w:val="00A60D7D"/>
    <w:rsid w:val="00A64A38"/>
    <w:rsid w:val="00A66B7B"/>
    <w:rsid w:val="00AA3C9A"/>
    <w:rsid w:val="00AB341F"/>
    <w:rsid w:val="00AB74FA"/>
    <w:rsid w:val="00AC061F"/>
    <w:rsid w:val="00AD5F47"/>
    <w:rsid w:val="00AF1352"/>
    <w:rsid w:val="00B250E9"/>
    <w:rsid w:val="00B40AA2"/>
    <w:rsid w:val="00B46245"/>
    <w:rsid w:val="00B63691"/>
    <w:rsid w:val="00B80BBF"/>
    <w:rsid w:val="00BC0386"/>
    <w:rsid w:val="00BD312A"/>
    <w:rsid w:val="00BE74FC"/>
    <w:rsid w:val="00C028C1"/>
    <w:rsid w:val="00C80E6E"/>
    <w:rsid w:val="00CA37FD"/>
    <w:rsid w:val="00CA6C97"/>
    <w:rsid w:val="00CA7CBA"/>
    <w:rsid w:val="00CD7BA6"/>
    <w:rsid w:val="00CE1587"/>
    <w:rsid w:val="00D15005"/>
    <w:rsid w:val="00D23D07"/>
    <w:rsid w:val="00D370D2"/>
    <w:rsid w:val="00DA473D"/>
    <w:rsid w:val="00DA4FC5"/>
    <w:rsid w:val="00DB2110"/>
    <w:rsid w:val="00DB2147"/>
    <w:rsid w:val="00DB3F4A"/>
    <w:rsid w:val="00DB6AC9"/>
    <w:rsid w:val="00DC402C"/>
    <w:rsid w:val="00E0023E"/>
    <w:rsid w:val="00E00664"/>
    <w:rsid w:val="00E25AEA"/>
    <w:rsid w:val="00E26B1D"/>
    <w:rsid w:val="00E32115"/>
    <w:rsid w:val="00E43214"/>
    <w:rsid w:val="00E51CCB"/>
    <w:rsid w:val="00E71E1C"/>
    <w:rsid w:val="00E76B31"/>
    <w:rsid w:val="00E95550"/>
    <w:rsid w:val="00ED0092"/>
    <w:rsid w:val="00F042B4"/>
    <w:rsid w:val="00F20F8C"/>
    <w:rsid w:val="00F32597"/>
    <w:rsid w:val="00F41729"/>
    <w:rsid w:val="00F56BC7"/>
    <w:rsid w:val="00F57A52"/>
    <w:rsid w:val="00F665F7"/>
    <w:rsid w:val="00F724C8"/>
    <w:rsid w:val="00F7354C"/>
    <w:rsid w:val="00F73A88"/>
    <w:rsid w:val="00F76B48"/>
    <w:rsid w:val="00FA05D7"/>
    <w:rsid w:val="00FC2EA5"/>
    <w:rsid w:val="00FD4768"/>
    <w:rsid w:val="00FF4A8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B2D28"/>
  <w15:chartTrackingRefBased/>
  <w15:docId w15:val="{D976CF74-1948-4A60-870A-4D03DAD7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A88"/>
    <w:rPr>
      <w:color w:val="0563C1" w:themeColor="hyperlink"/>
      <w:u w:val="single"/>
    </w:rPr>
  </w:style>
  <w:style w:type="character" w:styleId="UnresolvedMention">
    <w:name w:val="Unresolved Mention"/>
    <w:basedOn w:val="DefaultParagraphFont"/>
    <w:uiPriority w:val="99"/>
    <w:semiHidden/>
    <w:unhideWhenUsed/>
    <w:rsid w:val="00F73A88"/>
    <w:rPr>
      <w:color w:val="605E5C"/>
      <w:shd w:val="clear" w:color="auto" w:fill="E1DFDD"/>
    </w:rPr>
  </w:style>
  <w:style w:type="paragraph" w:styleId="NormalWeb">
    <w:name w:val="Normal (Web)"/>
    <w:basedOn w:val="Normal"/>
    <w:uiPriority w:val="99"/>
    <w:unhideWhenUsed/>
    <w:rsid w:val="00D23D0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23D07"/>
    <w:rPr>
      <w:b/>
      <w:bCs/>
    </w:rPr>
  </w:style>
  <w:style w:type="table" w:styleId="TableGrid">
    <w:name w:val="Table Grid"/>
    <w:basedOn w:val="TableNormal"/>
    <w:uiPriority w:val="39"/>
    <w:rsid w:val="00D23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851A81"/>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851A81"/>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851A81"/>
    <w:rPr>
      <w:rFonts w:eastAsiaTheme="minorEastAsia" w:cs="Times New Roman"/>
      <w:sz w:val="20"/>
      <w:szCs w:val="20"/>
      <w:lang w:val="en-US"/>
    </w:rPr>
  </w:style>
  <w:style w:type="character" w:styleId="SubtleEmphasis">
    <w:name w:val="Subtle Emphasis"/>
    <w:basedOn w:val="DefaultParagraphFont"/>
    <w:uiPriority w:val="19"/>
    <w:qFormat/>
    <w:rsid w:val="00851A81"/>
    <w:rPr>
      <w:i/>
      <w:iCs/>
    </w:rPr>
  </w:style>
  <w:style w:type="table" w:styleId="LightShading-Accent1">
    <w:name w:val="Light Shading Accent 1"/>
    <w:basedOn w:val="TableNormal"/>
    <w:uiPriority w:val="60"/>
    <w:rsid w:val="00851A81"/>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MediumShading2-Accent5">
    <w:name w:val="Medium Shading 2 Accent 5"/>
    <w:basedOn w:val="TableNormal"/>
    <w:uiPriority w:val="64"/>
    <w:rsid w:val="0005594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7Colorful-Accent3">
    <w:name w:val="Grid Table 7 Colorful Accent 3"/>
    <w:basedOn w:val="TableNormal"/>
    <w:uiPriority w:val="52"/>
    <w:rsid w:val="00FF4A8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2">
    <w:name w:val="Grid Table 7 Colorful Accent 2"/>
    <w:basedOn w:val="TableNormal"/>
    <w:uiPriority w:val="52"/>
    <w:rsid w:val="00FF4A8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1Light">
    <w:name w:val="List Table 1 Light"/>
    <w:basedOn w:val="TableNormal"/>
    <w:uiPriority w:val="46"/>
    <w:rsid w:val="00FF4A8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B40A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B40AA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
    <w:name w:val="Grid Table 3"/>
    <w:basedOn w:val="TableNormal"/>
    <w:uiPriority w:val="48"/>
    <w:rsid w:val="00B40A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B40AA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40AA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40A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20F8C"/>
    <w:rPr>
      <w:color w:val="808080"/>
    </w:rPr>
  </w:style>
  <w:style w:type="character" w:customStyle="1" w:styleId="mrel">
    <w:name w:val="mrel"/>
    <w:basedOn w:val="DefaultParagraphFont"/>
    <w:rsid w:val="00FA05D7"/>
  </w:style>
  <w:style w:type="character" w:customStyle="1" w:styleId="mord">
    <w:name w:val="mord"/>
    <w:basedOn w:val="DefaultParagraphFont"/>
    <w:rsid w:val="00FA05D7"/>
  </w:style>
  <w:style w:type="paragraph" w:styleId="Header">
    <w:name w:val="header"/>
    <w:basedOn w:val="Normal"/>
    <w:link w:val="HeaderChar"/>
    <w:uiPriority w:val="99"/>
    <w:unhideWhenUsed/>
    <w:rsid w:val="00DA4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FC5"/>
  </w:style>
  <w:style w:type="paragraph" w:styleId="Footer">
    <w:name w:val="footer"/>
    <w:basedOn w:val="Normal"/>
    <w:link w:val="FooterChar"/>
    <w:uiPriority w:val="99"/>
    <w:unhideWhenUsed/>
    <w:rsid w:val="00DA4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FC5"/>
  </w:style>
  <w:style w:type="paragraph" w:customStyle="1" w:styleId="Author">
    <w:name w:val="Author"/>
    <w:basedOn w:val="Normal"/>
    <w:rsid w:val="00DA4FC5"/>
    <w:pPr>
      <w:spacing w:after="0" w:line="280" w:lineRule="exact"/>
      <w:jc w:val="right"/>
    </w:pPr>
    <w:rPr>
      <w:rFonts w:ascii="Helvetica" w:eastAsia="Times New Roman" w:hAnsi="Helvetica" w:cs="Times New Roman"/>
      <w:b/>
      <w:sz w:val="24"/>
      <w:szCs w:val="20"/>
      <w:lang w:val="en-US"/>
    </w:rPr>
  </w:style>
  <w:style w:type="paragraph" w:customStyle="1" w:styleId="Affiliation">
    <w:name w:val="Affiliation"/>
    <w:basedOn w:val="Normal"/>
    <w:rsid w:val="00DA4FC5"/>
    <w:pPr>
      <w:spacing w:after="240" w:line="240" w:lineRule="exact"/>
      <w:jc w:val="right"/>
    </w:pPr>
    <w:rPr>
      <w:rFonts w:ascii="Helvetica" w:eastAsia="Times New Roman" w:hAnsi="Helvetica" w:cs="Times New Roman"/>
      <w:sz w:val="20"/>
      <w:szCs w:val="20"/>
      <w:lang w:val="en-US"/>
    </w:rPr>
  </w:style>
  <w:style w:type="paragraph" w:customStyle="1" w:styleId="ReferHead">
    <w:name w:val="Refer Head"/>
    <w:basedOn w:val="Normal"/>
    <w:rsid w:val="00384E1D"/>
    <w:pPr>
      <w:keepNext/>
      <w:spacing w:after="240" w:line="240" w:lineRule="auto"/>
    </w:pPr>
    <w:rPr>
      <w:rFonts w:ascii="Helvetica" w:eastAsia="Times New Roman" w:hAnsi="Helvetica" w:cs="Times New Roman"/>
      <w:b/>
      <w:caps/>
      <w:szCs w:val="20"/>
      <w:lang w:val="en-US"/>
    </w:rPr>
  </w:style>
  <w:style w:type="character" w:styleId="Emphasis">
    <w:name w:val="Emphasis"/>
    <w:basedOn w:val="DefaultParagraphFont"/>
    <w:uiPriority w:val="20"/>
    <w:qFormat/>
    <w:rsid w:val="00AC061F"/>
    <w:rPr>
      <w:i/>
      <w:iCs/>
    </w:rPr>
  </w:style>
  <w:style w:type="paragraph" w:styleId="ListParagraph">
    <w:name w:val="List Paragraph"/>
    <w:basedOn w:val="Normal"/>
    <w:uiPriority w:val="34"/>
    <w:qFormat/>
    <w:rsid w:val="00CE1587"/>
    <w:pPr>
      <w:ind w:left="720"/>
      <w:contextualSpacing/>
    </w:pPr>
  </w:style>
  <w:style w:type="paragraph" w:styleId="NoSpacing">
    <w:name w:val="No Spacing"/>
    <w:uiPriority w:val="1"/>
    <w:qFormat/>
    <w:rsid w:val="00CE1587"/>
    <w:pPr>
      <w:spacing w:after="0" w:line="240" w:lineRule="auto"/>
    </w:pPr>
  </w:style>
  <w:style w:type="character" w:styleId="CommentReference">
    <w:name w:val="annotation reference"/>
    <w:basedOn w:val="DefaultParagraphFont"/>
    <w:uiPriority w:val="99"/>
    <w:semiHidden/>
    <w:unhideWhenUsed/>
    <w:rsid w:val="009A6A52"/>
    <w:rPr>
      <w:sz w:val="16"/>
      <w:szCs w:val="16"/>
    </w:rPr>
  </w:style>
  <w:style w:type="paragraph" w:styleId="CommentText">
    <w:name w:val="annotation text"/>
    <w:basedOn w:val="Normal"/>
    <w:link w:val="CommentTextChar"/>
    <w:uiPriority w:val="99"/>
    <w:unhideWhenUsed/>
    <w:rsid w:val="009A6A52"/>
    <w:pPr>
      <w:spacing w:line="240" w:lineRule="auto"/>
    </w:pPr>
    <w:rPr>
      <w:sz w:val="20"/>
      <w:szCs w:val="20"/>
    </w:rPr>
  </w:style>
  <w:style w:type="character" w:customStyle="1" w:styleId="CommentTextChar">
    <w:name w:val="Comment Text Char"/>
    <w:basedOn w:val="DefaultParagraphFont"/>
    <w:link w:val="CommentText"/>
    <w:uiPriority w:val="99"/>
    <w:rsid w:val="009A6A52"/>
    <w:rPr>
      <w:sz w:val="20"/>
      <w:szCs w:val="20"/>
    </w:rPr>
  </w:style>
  <w:style w:type="paragraph" w:styleId="CommentSubject">
    <w:name w:val="annotation subject"/>
    <w:basedOn w:val="CommentText"/>
    <w:next w:val="CommentText"/>
    <w:link w:val="CommentSubjectChar"/>
    <w:uiPriority w:val="99"/>
    <w:semiHidden/>
    <w:unhideWhenUsed/>
    <w:rsid w:val="009A6A52"/>
    <w:rPr>
      <w:b/>
      <w:bCs/>
    </w:rPr>
  </w:style>
  <w:style w:type="character" w:customStyle="1" w:styleId="CommentSubjectChar">
    <w:name w:val="Comment Subject Char"/>
    <w:basedOn w:val="CommentTextChar"/>
    <w:link w:val="CommentSubject"/>
    <w:uiPriority w:val="99"/>
    <w:semiHidden/>
    <w:rsid w:val="009A6A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20763">
      <w:bodyDiv w:val="1"/>
      <w:marLeft w:val="0"/>
      <w:marRight w:val="0"/>
      <w:marTop w:val="0"/>
      <w:marBottom w:val="0"/>
      <w:divBdr>
        <w:top w:val="none" w:sz="0" w:space="0" w:color="auto"/>
        <w:left w:val="none" w:sz="0" w:space="0" w:color="auto"/>
        <w:bottom w:val="none" w:sz="0" w:space="0" w:color="auto"/>
        <w:right w:val="none" w:sz="0" w:space="0" w:color="auto"/>
      </w:divBdr>
    </w:div>
    <w:div w:id="1074931706">
      <w:bodyDiv w:val="1"/>
      <w:marLeft w:val="0"/>
      <w:marRight w:val="0"/>
      <w:marTop w:val="0"/>
      <w:marBottom w:val="0"/>
      <w:divBdr>
        <w:top w:val="none" w:sz="0" w:space="0" w:color="auto"/>
        <w:left w:val="none" w:sz="0" w:space="0" w:color="auto"/>
        <w:bottom w:val="none" w:sz="0" w:space="0" w:color="auto"/>
        <w:right w:val="none" w:sz="0" w:space="0" w:color="auto"/>
      </w:divBdr>
    </w:div>
    <w:div w:id="1111513052">
      <w:bodyDiv w:val="1"/>
      <w:marLeft w:val="0"/>
      <w:marRight w:val="0"/>
      <w:marTop w:val="0"/>
      <w:marBottom w:val="0"/>
      <w:divBdr>
        <w:top w:val="none" w:sz="0" w:space="0" w:color="auto"/>
        <w:left w:val="none" w:sz="0" w:space="0" w:color="auto"/>
        <w:bottom w:val="none" w:sz="0" w:space="0" w:color="auto"/>
        <w:right w:val="none" w:sz="0" w:space="0" w:color="auto"/>
      </w:divBdr>
    </w:div>
    <w:div w:id="1921675736">
      <w:bodyDiv w:val="1"/>
      <w:marLeft w:val="0"/>
      <w:marRight w:val="0"/>
      <w:marTop w:val="0"/>
      <w:marBottom w:val="0"/>
      <w:divBdr>
        <w:top w:val="none" w:sz="0" w:space="0" w:color="auto"/>
        <w:left w:val="none" w:sz="0" w:space="0" w:color="auto"/>
        <w:bottom w:val="none" w:sz="0" w:space="0" w:color="auto"/>
        <w:right w:val="none" w:sz="0" w:space="0" w:color="auto"/>
      </w:divBdr>
      <w:divsChild>
        <w:div w:id="2119331824">
          <w:marLeft w:val="0"/>
          <w:marRight w:val="0"/>
          <w:marTop w:val="0"/>
          <w:marBottom w:val="0"/>
          <w:divBdr>
            <w:top w:val="none" w:sz="0" w:space="0" w:color="auto"/>
            <w:left w:val="none" w:sz="0" w:space="0" w:color="auto"/>
            <w:bottom w:val="none" w:sz="0" w:space="0" w:color="auto"/>
            <w:right w:val="none" w:sz="0" w:space="0" w:color="auto"/>
          </w:divBdr>
          <w:divsChild>
            <w:div w:id="743071680">
              <w:marLeft w:val="0"/>
              <w:marRight w:val="0"/>
              <w:marTop w:val="0"/>
              <w:marBottom w:val="0"/>
              <w:divBdr>
                <w:top w:val="none" w:sz="0" w:space="0" w:color="auto"/>
                <w:left w:val="none" w:sz="0" w:space="0" w:color="auto"/>
                <w:bottom w:val="none" w:sz="0" w:space="0" w:color="auto"/>
                <w:right w:val="none" w:sz="0" w:space="0" w:color="auto"/>
              </w:divBdr>
              <w:divsChild>
                <w:div w:id="299112541">
                  <w:marLeft w:val="0"/>
                  <w:marRight w:val="0"/>
                  <w:marTop w:val="0"/>
                  <w:marBottom w:val="0"/>
                  <w:divBdr>
                    <w:top w:val="none" w:sz="0" w:space="0" w:color="auto"/>
                    <w:left w:val="none" w:sz="0" w:space="0" w:color="auto"/>
                    <w:bottom w:val="none" w:sz="0" w:space="0" w:color="auto"/>
                    <w:right w:val="none" w:sz="0" w:space="0" w:color="auto"/>
                  </w:divBdr>
                  <w:divsChild>
                    <w:div w:id="782846338">
                      <w:marLeft w:val="0"/>
                      <w:marRight w:val="0"/>
                      <w:marTop w:val="0"/>
                      <w:marBottom w:val="0"/>
                      <w:divBdr>
                        <w:top w:val="none" w:sz="0" w:space="0" w:color="auto"/>
                        <w:left w:val="none" w:sz="0" w:space="0" w:color="auto"/>
                        <w:bottom w:val="none" w:sz="0" w:space="0" w:color="auto"/>
                        <w:right w:val="none" w:sz="0" w:space="0" w:color="auto"/>
                      </w:divBdr>
                      <w:divsChild>
                        <w:div w:id="853231078">
                          <w:marLeft w:val="0"/>
                          <w:marRight w:val="0"/>
                          <w:marTop w:val="0"/>
                          <w:marBottom w:val="0"/>
                          <w:divBdr>
                            <w:top w:val="none" w:sz="0" w:space="0" w:color="auto"/>
                            <w:left w:val="none" w:sz="0" w:space="0" w:color="auto"/>
                            <w:bottom w:val="none" w:sz="0" w:space="0" w:color="auto"/>
                            <w:right w:val="none" w:sz="0" w:space="0" w:color="auto"/>
                          </w:divBdr>
                          <w:divsChild>
                            <w:div w:id="61952984">
                              <w:marLeft w:val="0"/>
                              <w:marRight w:val="0"/>
                              <w:marTop w:val="0"/>
                              <w:marBottom w:val="0"/>
                              <w:divBdr>
                                <w:top w:val="none" w:sz="0" w:space="0" w:color="auto"/>
                                <w:left w:val="none" w:sz="0" w:space="0" w:color="auto"/>
                                <w:bottom w:val="none" w:sz="0" w:space="0" w:color="auto"/>
                                <w:right w:val="none" w:sz="0" w:space="0" w:color="auto"/>
                              </w:divBdr>
                              <w:divsChild>
                                <w:div w:id="709450552">
                                  <w:marLeft w:val="0"/>
                                  <w:marRight w:val="0"/>
                                  <w:marTop w:val="0"/>
                                  <w:marBottom w:val="0"/>
                                  <w:divBdr>
                                    <w:top w:val="none" w:sz="0" w:space="0" w:color="auto"/>
                                    <w:left w:val="none" w:sz="0" w:space="0" w:color="auto"/>
                                    <w:bottom w:val="none" w:sz="0" w:space="0" w:color="auto"/>
                                    <w:right w:val="none" w:sz="0" w:space="0" w:color="auto"/>
                                  </w:divBdr>
                                  <w:divsChild>
                                    <w:div w:id="1005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56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data%20of%20bar%20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F2%20proximate%20char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Sensory Evaluation of</a:t>
            </a:r>
            <a:r>
              <a:rPr lang="en-IN" baseline="0"/>
              <a:t> Samples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Sheet1!$B$4</c:f>
              <c:strCache>
                <c:ptCount val="1"/>
                <c:pt idx="0">
                  <c:v>Appearance</c:v>
                </c:pt>
              </c:strCache>
            </c:strRef>
          </c:tx>
          <c:spPr>
            <a:solidFill>
              <a:schemeClr val="accent1">
                <a:lumMod val="20000"/>
                <a:lumOff val="80000"/>
              </a:schemeClr>
            </a:solidFill>
            <a:ln w="9525">
              <a:solidFill>
                <a:schemeClr val="accent1">
                  <a:lumMod val="75000"/>
                </a:schemeClr>
              </a:solidFill>
            </a:ln>
            <a:effectLst/>
          </c:spPr>
          <c:invertIfNegative val="0"/>
          <c:errBars>
            <c:errBarType val="both"/>
            <c:errValType val="cust"/>
            <c:noEndCap val="0"/>
            <c:plus>
              <c:numRef>
                <c:f>Sheet1!$B$13:$G$13</c:f>
                <c:numCache>
                  <c:formatCode>General</c:formatCode>
                  <c:ptCount val="5"/>
                  <c:pt idx="0">
                    <c:v>0.47</c:v>
                  </c:pt>
                  <c:pt idx="1">
                    <c:v>0.5</c:v>
                  </c:pt>
                  <c:pt idx="2">
                    <c:v>0.51</c:v>
                  </c:pt>
                  <c:pt idx="3">
                    <c:v>0.6</c:v>
                  </c:pt>
                  <c:pt idx="4">
                    <c:v>0.49</c:v>
                  </c:pt>
                </c:numCache>
                <c:extLst/>
              </c:numRef>
            </c:plus>
            <c:minus>
              <c:numRef>
                <c:f>Sheet1!$B$13:$G$13</c:f>
                <c:numCache>
                  <c:formatCode>General</c:formatCode>
                  <c:ptCount val="5"/>
                  <c:pt idx="0">
                    <c:v>0.47</c:v>
                  </c:pt>
                  <c:pt idx="1">
                    <c:v>0.5</c:v>
                  </c:pt>
                  <c:pt idx="2">
                    <c:v>0.51</c:v>
                  </c:pt>
                  <c:pt idx="3">
                    <c:v>0.6</c:v>
                  </c:pt>
                  <c:pt idx="4">
                    <c:v>0.49</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Sheet1!$B$4:$G$4</c:f>
              <c:numCache>
                <c:formatCode>General</c:formatCode>
                <c:ptCount val="5"/>
                <c:pt idx="0">
                  <c:v>8.3000000000000007</c:v>
                </c:pt>
                <c:pt idx="1">
                  <c:v>7.57</c:v>
                </c:pt>
                <c:pt idx="2">
                  <c:v>8.4700000000000006</c:v>
                </c:pt>
                <c:pt idx="3">
                  <c:v>7.7</c:v>
                </c:pt>
                <c:pt idx="4">
                  <c:v>7.37</c:v>
                </c:pt>
              </c:numCache>
              <c:extLst/>
            </c:numRef>
          </c:val>
          <c:extLst>
            <c:ext xmlns:c16="http://schemas.microsoft.com/office/drawing/2014/chart" uri="{C3380CC4-5D6E-409C-BE32-E72D297353CC}">
              <c16:uniqueId val="{00000000-E772-43C0-BEBC-09D34712BCAB}"/>
            </c:ext>
          </c:extLst>
        </c:ser>
        <c:ser>
          <c:idx val="1"/>
          <c:order val="1"/>
          <c:tx>
            <c:strRef>
              <c:f>Sheet1!$B$5</c:f>
              <c:strCache>
                <c:ptCount val="1"/>
                <c:pt idx="0">
                  <c:v>Colour</c:v>
                </c:pt>
              </c:strCache>
            </c:strRef>
          </c:tx>
          <c:spPr>
            <a:solidFill>
              <a:schemeClr val="accent1">
                <a:lumMod val="40000"/>
                <a:lumOff val="60000"/>
              </a:schemeClr>
            </a:solidFill>
            <a:ln>
              <a:solidFill>
                <a:schemeClr val="accent1">
                  <a:lumMod val="60000"/>
                  <a:lumOff val="40000"/>
                </a:schemeClr>
              </a:solidFill>
            </a:ln>
            <a:effectLst/>
          </c:spPr>
          <c:invertIfNegative val="0"/>
          <c:errBars>
            <c:errBarType val="both"/>
            <c:errValType val="cust"/>
            <c:noEndCap val="0"/>
            <c:plus>
              <c:numRef>
                <c:f>Sheet1!$B$14:$G$14</c:f>
                <c:numCache>
                  <c:formatCode>General</c:formatCode>
                  <c:ptCount val="5"/>
                  <c:pt idx="0">
                    <c:v>0.48</c:v>
                  </c:pt>
                  <c:pt idx="1">
                    <c:v>0.61</c:v>
                  </c:pt>
                  <c:pt idx="2">
                    <c:v>0.52</c:v>
                  </c:pt>
                  <c:pt idx="3">
                    <c:v>0.5</c:v>
                  </c:pt>
                  <c:pt idx="4">
                    <c:v>0.47</c:v>
                  </c:pt>
                </c:numCache>
                <c:extLst/>
              </c:numRef>
            </c:plus>
            <c:minus>
              <c:numRef>
                <c:f>Sheet1!$B$14:$G$14</c:f>
                <c:numCache>
                  <c:formatCode>General</c:formatCode>
                  <c:ptCount val="5"/>
                  <c:pt idx="0">
                    <c:v>0.48</c:v>
                  </c:pt>
                  <c:pt idx="1">
                    <c:v>0.61</c:v>
                  </c:pt>
                  <c:pt idx="2">
                    <c:v>0.52</c:v>
                  </c:pt>
                  <c:pt idx="3">
                    <c:v>0.5</c:v>
                  </c:pt>
                  <c:pt idx="4">
                    <c:v>0.47</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Sheet1!$B$5:$G$5</c:f>
              <c:numCache>
                <c:formatCode>General</c:formatCode>
                <c:ptCount val="5"/>
                <c:pt idx="0">
                  <c:v>8.33</c:v>
                </c:pt>
                <c:pt idx="1">
                  <c:v>8.1999999999999993</c:v>
                </c:pt>
                <c:pt idx="2">
                  <c:v>8.27</c:v>
                </c:pt>
                <c:pt idx="3">
                  <c:v>7.57</c:v>
                </c:pt>
                <c:pt idx="4">
                  <c:v>7.7</c:v>
                </c:pt>
              </c:numCache>
              <c:extLst/>
            </c:numRef>
          </c:val>
          <c:extLst>
            <c:ext xmlns:c16="http://schemas.microsoft.com/office/drawing/2014/chart" uri="{C3380CC4-5D6E-409C-BE32-E72D297353CC}">
              <c16:uniqueId val="{00000001-E772-43C0-BEBC-09D34712BCAB}"/>
            </c:ext>
          </c:extLst>
        </c:ser>
        <c:ser>
          <c:idx val="2"/>
          <c:order val="2"/>
          <c:tx>
            <c:strRef>
              <c:f>Sheet1!$B$6</c:f>
              <c:strCache>
                <c:ptCount val="1"/>
                <c:pt idx="0">
                  <c:v>Aroma</c:v>
                </c:pt>
              </c:strCache>
            </c:strRef>
          </c:tx>
          <c:spPr>
            <a:solidFill>
              <a:schemeClr val="accent1">
                <a:lumMod val="60000"/>
                <a:lumOff val="40000"/>
              </a:schemeClr>
            </a:solidFill>
            <a:ln>
              <a:noFill/>
            </a:ln>
            <a:effectLst/>
          </c:spPr>
          <c:invertIfNegative val="0"/>
          <c:errBars>
            <c:errBarType val="both"/>
            <c:errValType val="cust"/>
            <c:noEndCap val="0"/>
            <c:plus>
              <c:numRef>
                <c:f>Sheet1!$B$15:$G$15</c:f>
                <c:numCache>
                  <c:formatCode>General</c:formatCode>
                  <c:ptCount val="5"/>
                  <c:pt idx="0">
                    <c:v>0.52</c:v>
                  </c:pt>
                  <c:pt idx="1">
                    <c:v>0.48</c:v>
                  </c:pt>
                  <c:pt idx="2">
                    <c:v>0.51</c:v>
                  </c:pt>
                  <c:pt idx="3">
                    <c:v>0.48</c:v>
                  </c:pt>
                  <c:pt idx="4">
                    <c:v>0.5</c:v>
                  </c:pt>
                </c:numCache>
                <c:extLst/>
              </c:numRef>
            </c:plus>
            <c:minus>
              <c:numRef>
                <c:f>Sheet1!$B$15:$G$15</c:f>
                <c:numCache>
                  <c:formatCode>General</c:formatCode>
                  <c:ptCount val="5"/>
                  <c:pt idx="0">
                    <c:v>0.52</c:v>
                  </c:pt>
                  <c:pt idx="1">
                    <c:v>0.48</c:v>
                  </c:pt>
                  <c:pt idx="2">
                    <c:v>0.51</c:v>
                  </c:pt>
                  <c:pt idx="3">
                    <c:v>0.48</c:v>
                  </c:pt>
                  <c:pt idx="4">
                    <c:v>0.5</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Sheet1!$B$6:$G$6</c:f>
              <c:numCache>
                <c:formatCode>General</c:formatCode>
                <c:ptCount val="5"/>
                <c:pt idx="0">
                  <c:v>6.73</c:v>
                </c:pt>
                <c:pt idx="1">
                  <c:v>7.33</c:v>
                </c:pt>
                <c:pt idx="2">
                  <c:v>8.5</c:v>
                </c:pt>
                <c:pt idx="3">
                  <c:v>7.67</c:v>
                </c:pt>
                <c:pt idx="4">
                  <c:v>7.43</c:v>
                </c:pt>
              </c:numCache>
              <c:extLst/>
            </c:numRef>
          </c:val>
          <c:extLst>
            <c:ext xmlns:c16="http://schemas.microsoft.com/office/drawing/2014/chart" uri="{C3380CC4-5D6E-409C-BE32-E72D297353CC}">
              <c16:uniqueId val="{00000002-E772-43C0-BEBC-09D34712BCAB}"/>
            </c:ext>
          </c:extLst>
        </c:ser>
        <c:ser>
          <c:idx val="3"/>
          <c:order val="3"/>
          <c:tx>
            <c:strRef>
              <c:f>Sheet1!$B$7</c:f>
              <c:strCache>
                <c:ptCount val="1"/>
                <c:pt idx="0">
                  <c:v>Taste</c:v>
                </c:pt>
              </c:strCache>
            </c:strRef>
          </c:tx>
          <c:spPr>
            <a:solidFill>
              <a:schemeClr val="accent1">
                <a:lumMod val="75000"/>
              </a:schemeClr>
            </a:solidFill>
            <a:ln>
              <a:noFill/>
            </a:ln>
            <a:effectLst/>
          </c:spPr>
          <c:invertIfNegative val="0"/>
          <c:errBars>
            <c:errBarType val="both"/>
            <c:errValType val="cust"/>
            <c:noEndCap val="0"/>
            <c:plus>
              <c:numRef>
                <c:f>Sheet1!$B$16:$G$16</c:f>
                <c:numCache>
                  <c:formatCode>General</c:formatCode>
                  <c:ptCount val="5"/>
                  <c:pt idx="0">
                    <c:v>0.56999999999999995</c:v>
                  </c:pt>
                  <c:pt idx="1">
                    <c:v>0.5</c:v>
                  </c:pt>
                  <c:pt idx="2">
                    <c:v>0.49</c:v>
                  </c:pt>
                  <c:pt idx="3">
                    <c:v>0.5</c:v>
                  </c:pt>
                  <c:pt idx="4">
                    <c:v>0.49</c:v>
                  </c:pt>
                </c:numCache>
                <c:extLst/>
              </c:numRef>
            </c:plus>
            <c:minus>
              <c:numRef>
                <c:f>Sheet1!$B$16:$G$16</c:f>
                <c:numCache>
                  <c:formatCode>General</c:formatCode>
                  <c:ptCount val="5"/>
                  <c:pt idx="0">
                    <c:v>0.56999999999999995</c:v>
                  </c:pt>
                  <c:pt idx="1">
                    <c:v>0.5</c:v>
                  </c:pt>
                  <c:pt idx="2">
                    <c:v>0.49</c:v>
                  </c:pt>
                  <c:pt idx="3">
                    <c:v>0.5</c:v>
                  </c:pt>
                  <c:pt idx="4">
                    <c:v>0.49</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Sheet1!$B$7:$G$7</c:f>
              <c:numCache>
                <c:formatCode>General</c:formatCode>
                <c:ptCount val="5"/>
                <c:pt idx="0">
                  <c:v>6.87</c:v>
                </c:pt>
                <c:pt idx="1">
                  <c:v>7.4</c:v>
                </c:pt>
                <c:pt idx="2">
                  <c:v>8.6300000000000008</c:v>
                </c:pt>
                <c:pt idx="3">
                  <c:v>7.43</c:v>
                </c:pt>
                <c:pt idx="4">
                  <c:v>7.37</c:v>
                </c:pt>
              </c:numCache>
              <c:extLst/>
            </c:numRef>
          </c:val>
          <c:extLst>
            <c:ext xmlns:c16="http://schemas.microsoft.com/office/drawing/2014/chart" uri="{C3380CC4-5D6E-409C-BE32-E72D297353CC}">
              <c16:uniqueId val="{00000003-E772-43C0-BEBC-09D34712BCAB}"/>
            </c:ext>
          </c:extLst>
        </c:ser>
        <c:ser>
          <c:idx val="4"/>
          <c:order val="4"/>
          <c:tx>
            <c:strRef>
              <c:f>Sheet1!$B$8</c:f>
              <c:strCache>
                <c:ptCount val="1"/>
                <c:pt idx="0">
                  <c:v>overall acceptability</c:v>
                </c:pt>
              </c:strCache>
            </c:strRef>
          </c:tx>
          <c:spPr>
            <a:solidFill>
              <a:schemeClr val="accent1">
                <a:lumMod val="50000"/>
              </a:schemeClr>
            </a:solidFill>
            <a:ln>
              <a:noFill/>
            </a:ln>
            <a:effectLst/>
          </c:spPr>
          <c:invertIfNegative val="0"/>
          <c:errBars>
            <c:errBarType val="both"/>
            <c:errValType val="cust"/>
            <c:noEndCap val="0"/>
            <c:plus>
              <c:numRef>
                <c:f>Sheet1!$B$17:$G$17</c:f>
                <c:numCache>
                  <c:formatCode>General</c:formatCode>
                  <c:ptCount val="5"/>
                  <c:pt idx="0">
                    <c:v>0.49</c:v>
                  </c:pt>
                  <c:pt idx="1">
                    <c:v>0.49</c:v>
                  </c:pt>
                  <c:pt idx="2">
                    <c:v>0.5</c:v>
                  </c:pt>
                  <c:pt idx="3">
                    <c:v>0.49</c:v>
                  </c:pt>
                  <c:pt idx="4">
                    <c:v>0.5</c:v>
                  </c:pt>
                </c:numCache>
                <c:extLst/>
              </c:numRef>
            </c:plus>
            <c:minus>
              <c:numRef>
                <c:f>Sheet1!$B$17:$G$17</c:f>
                <c:numCache>
                  <c:formatCode>General</c:formatCode>
                  <c:ptCount val="5"/>
                  <c:pt idx="0">
                    <c:v>0.49</c:v>
                  </c:pt>
                  <c:pt idx="1">
                    <c:v>0.49</c:v>
                  </c:pt>
                  <c:pt idx="2">
                    <c:v>0.5</c:v>
                  </c:pt>
                  <c:pt idx="3">
                    <c:v>0.49</c:v>
                  </c:pt>
                  <c:pt idx="4">
                    <c:v>0.5</c:v>
                  </c:pt>
                </c:numCache>
                <c:extLst/>
              </c:numRef>
            </c:minus>
            <c:spPr>
              <a:noFill/>
              <a:ln w="9525" cap="flat" cmpd="sng" algn="ctr">
                <a:solidFill>
                  <a:schemeClr val="tx1">
                    <a:lumMod val="65000"/>
                    <a:lumOff val="35000"/>
                  </a:schemeClr>
                </a:solidFill>
                <a:round/>
              </a:ln>
              <a:effectLst/>
            </c:spPr>
          </c:errBars>
          <c:cat>
            <c:strRef>
              <c:f>Sheet1!$B$3:$G$3</c:f>
              <c:strCache>
                <c:ptCount val="5"/>
                <c:pt idx="0">
                  <c:v>C</c:v>
                </c:pt>
                <c:pt idx="1">
                  <c:v>F1</c:v>
                </c:pt>
                <c:pt idx="2">
                  <c:v>F2</c:v>
                </c:pt>
                <c:pt idx="3">
                  <c:v>F3</c:v>
                </c:pt>
                <c:pt idx="4">
                  <c:v>F4</c:v>
                </c:pt>
              </c:strCache>
              <c:extLst/>
            </c:strRef>
          </c:cat>
          <c:val>
            <c:numRef>
              <c:f>Sheet1!$B$8:$G$8</c:f>
              <c:numCache>
                <c:formatCode>General</c:formatCode>
                <c:ptCount val="5"/>
                <c:pt idx="0">
                  <c:v>7.4</c:v>
                </c:pt>
                <c:pt idx="1">
                  <c:v>7.63</c:v>
                </c:pt>
                <c:pt idx="2">
                  <c:v>8.5</c:v>
                </c:pt>
                <c:pt idx="3">
                  <c:v>7.6</c:v>
                </c:pt>
                <c:pt idx="4">
                  <c:v>7.5</c:v>
                </c:pt>
              </c:numCache>
              <c:extLst/>
            </c:numRef>
          </c:val>
          <c:extLst>
            <c:ext xmlns:c16="http://schemas.microsoft.com/office/drawing/2014/chart" uri="{C3380CC4-5D6E-409C-BE32-E72D297353CC}">
              <c16:uniqueId val="{00000004-E772-43C0-BEBC-09D34712BCAB}"/>
            </c:ext>
          </c:extLst>
        </c:ser>
        <c:dLbls>
          <c:showLegendKey val="0"/>
          <c:showVal val="0"/>
          <c:showCatName val="0"/>
          <c:showSerName val="0"/>
          <c:showPercent val="0"/>
          <c:showBubbleSize val="0"/>
        </c:dLbls>
        <c:gapWidth val="219"/>
        <c:axId val="1221325776"/>
        <c:axId val="1218013936"/>
      </c:barChart>
      <c:catAx>
        <c:axId val="1221325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013936"/>
        <c:crosses val="autoZero"/>
        <c:auto val="1"/>
        <c:lblAlgn val="ctr"/>
        <c:lblOffset val="100"/>
        <c:noMultiLvlLbl val="0"/>
      </c:catAx>
      <c:valAx>
        <c:axId val="1218013936"/>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 sensory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32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solidFill>
                  <a:schemeClr val="tx1"/>
                </a:solidFill>
                <a:latin typeface="Times New Roman" panose="02020603050405020304" pitchFamily="18" charset="0"/>
                <a:cs typeface="Times New Roman" panose="02020603050405020304" pitchFamily="18" charset="0"/>
              </a:rPr>
              <a:t>Proximate Analysis for F2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Sheet1!$C$6</c:f>
              <c:strCache>
                <c:ptCount val="1"/>
                <c:pt idx="0">
                  <c:v>         Moisture</c:v>
                </c:pt>
              </c:strCache>
            </c:strRef>
          </c:tx>
          <c:spPr>
            <a:solidFill>
              <a:schemeClr val="accent1"/>
            </a:solidFill>
            <a:ln>
              <a:noFill/>
            </a:ln>
            <a:effectLst/>
          </c:spPr>
          <c:invertIfNegative val="0"/>
          <c:cat>
            <c:numRef>
              <c:f>Sheet1!$B$5:$B$11</c:f>
              <c:numCache>
                <c:formatCode>General</c:formatCode>
                <c:ptCount val="7"/>
              </c:numCache>
            </c:numRef>
          </c:cat>
          <c:val>
            <c:numRef>
              <c:f>Sheet1!$C$5:$C$11</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116-4F03-9969-664848448FC6}"/>
            </c:ext>
          </c:extLst>
        </c:ser>
        <c:ser>
          <c:idx val="1"/>
          <c:order val="1"/>
          <c:tx>
            <c:strRef>
              <c:f>Sheet1!$C$7</c:f>
              <c:strCache>
                <c:ptCount val="1"/>
                <c:pt idx="0">
                  <c:v>           Ash</c:v>
                </c:pt>
              </c:strCache>
            </c:strRef>
          </c:tx>
          <c:spPr>
            <a:solidFill>
              <a:schemeClr val="accent6">
                <a:lumMod val="75000"/>
              </a:schemeClr>
            </a:solidFill>
            <a:ln>
              <a:solidFill>
                <a:schemeClr val="accent6">
                  <a:lumMod val="75000"/>
                </a:schemeClr>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2-5116-4F03-9969-664848448FC6}"/>
              </c:ext>
            </c:extLst>
          </c:dPt>
          <c:dPt>
            <c:idx val="3"/>
            <c:invertIfNegative val="0"/>
            <c:bubble3D val="0"/>
            <c:spPr>
              <a:solidFill>
                <a:schemeClr val="accent6">
                  <a:lumMod val="60000"/>
                  <a:lumOff val="40000"/>
                </a:schemeClr>
              </a:solidFill>
              <a:ln>
                <a:solidFill>
                  <a:schemeClr val="accent6">
                    <a:lumMod val="60000"/>
                    <a:lumOff val="40000"/>
                  </a:schemeClr>
                </a:solidFill>
              </a:ln>
              <a:effectLst/>
            </c:spPr>
            <c:extLst>
              <c:ext xmlns:c16="http://schemas.microsoft.com/office/drawing/2014/chart" uri="{C3380CC4-5D6E-409C-BE32-E72D297353CC}">
                <c16:uniqueId val="{00000004-5116-4F03-9969-664848448FC6}"/>
              </c:ext>
            </c:extLst>
          </c:dPt>
          <c:dPt>
            <c:idx val="4"/>
            <c:invertIfNegative val="0"/>
            <c:bubble3D val="0"/>
            <c:spPr>
              <a:solidFill>
                <a:schemeClr val="accent6"/>
              </a:solidFill>
              <a:ln>
                <a:solidFill>
                  <a:schemeClr val="accent6">
                    <a:lumMod val="75000"/>
                  </a:schemeClr>
                </a:solidFill>
              </a:ln>
              <a:effectLst/>
            </c:spPr>
            <c:extLst>
              <c:ext xmlns:c16="http://schemas.microsoft.com/office/drawing/2014/chart" uri="{C3380CC4-5D6E-409C-BE32-E72D297353CC}">
                <c16:uniqueId val="{00000006-5116-4F03-9969-664848448FC6}"/>
              </c:ext>
            </c:extLst>
          </c:dPt>
          <c:dPt>
            <c:idx val="5"/>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8-5116-4F03-9969-664848448FC6}"/>
              </c:ext>
            </c:extLst>
          </c:dPt>
          <c:dPt>
            <c:idx val="6"/>
            <c:invertIfNegative val="0"/>
            <c:bubble3D val="0"/>
            <c:spPr>
              <a:solidFill>
                <a:srgbClr val="FF0000"/>
              </a:solidFill>
              <a:ln>
                <a:solidFill>
                  <a:srgbClr val="FF0000"/>
                </a:solidFill>
              </a:ln>
              <a:effectLst/>
            </c:spPr>
            <c:extLst>
              <c:ext xmlns:c16="http://schemas.microsoft.com/office/drawing/2014/chart" uri="{C3380CC4-5D6E-409C-BE32-E72D297353CC}">
                <c16:uniqueId val="{0000000A-5116-4F03-9969-664848448F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Sheet1!$B$5:$B$11</c:f>
              <c:numCache>
                <c:formatCode>General</c:formatCode>
                <c:ptCount val="7"/>
              </c:numCache>
            </c:numRef>
          </c:cat>
          <c:val>
            <c:numRef>
              <c:f>Sheet1!$D$5:$D$11</c:f>
              <c:numCache>
                <c:formatCode>General</c:formatCode>
                <c:ptCount val="7"/>
                <c:pt idx="0">
                  <c:v>0</c:v>
                </c:pt>
                <c:pt idx="1">
                  <c:v>1.56</c:v>
                </c:pt>
                <c:pt idx="2">
                  <c:v>3.39</c:v>
                </c:pt>
                <c:pt idx="3">
                  <c:v>1.97</c:v>
                </c:pt>
                <c:pt idx="4">
                  <c:v>21.79</c:v>
                </c:pt>
                <c:pt idx="5">
                  <c:v>7.57</c:v>
                </c:pt>
                <c:pt idx="6">
                  <c:v>85.51</c:v>
                </c:pt>
              </c:numCache>
            </c:numRef>
          </c:val>
          <c:extLst>
            <c:ext xmlns:c16="http://schemas.microsoft.com/office/drawing/2014/chart" uri="{C3380CC4-5D6E-409C-BE32-E72D297353CC}">
              <c16:uniqueId val="{0000000B-5116-4F03-9969-664848448FC6}"/>
            </c:ext>
          </c:extLst>
        </c:ser>
        <c:ser>
          <c:idx val="2"/>
          <c:order val="2"/>
          <c:tx>
            <c:strRef>
              <c:f>Sheet1!$C$8</c:f>
              <c:strCache>
                <c:ptCount val="1"/>
                <c:pt idx="0">
                  <c:v>       Crude Fat </c:v>
                </c:pt>
              </c:strCache>
            </c:strRef>
          </c:tx>
          <c:spPr>
            <a:solidFill>
              <a:schemeClr val="accent6">
                <a:lumMod val="60000"/>
                <a:lumOff val="40000"/>
              </a:schemeClr>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C-5116-4F03-9969-664848448FC6}"/>
            </c:ext>
          </c:extLst>
        </c:ser>
        <c:ser>
          <c:idx val="3"/>
          <c:order val="3"/>
          <c:tx>
            <c:strRef>
              <c:f>Sheet1!$C$9</c:f>
              <c:strCache>
                <c:ptCount val="1"/>
                <c:pt idx="0">
                  <c:v>       Crude Fiber </c:v>
                </c:pt>
              </c:strCache>
            </c:strRef>
          </c:tx>
          <c:spPr>
            <a:solidFill>
              <a:schemeClr val="accent6"/>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D-5116-4F03-9969-664848448FC6}"/>
            </c:ext>
          </c:extLst>
        </c:ser>
        <c:ser>
          <c:idx val="4"/>
          <c:order val="4"/>
          <c:tx>
            <c:strRef>
              <c:f>Sheet1!$C$10</c:f>
              <c:strCache>
                <c:ptCount val="1"/>
                <c:pt idx="0">
                  <c:v>       Protein</c:v>
                </c:pt>
              </c:strCache>
            </c:strRef>
          </c:tx>
          <c:spPr>
            <a:solidFill>
              <a:schemeClr val="accent2"/>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E-5116-4F03-9969-664848448FC6}"/>
            </c:ext>
          </c:extLst>
        </c:ser>
        <c:ser>
          <c:idx val="5"/>
          <c:order val="5"/>
          <c:tx>
            <c:strRef>
              <c:f>Sheet1!$C$11</c:f>
              <c:strCache>
                <c:ptCount val="1"/>
                <c:pt idx="0">
                  <c:v>       Carbohydrates</c:v>
                </c:pt>
              </c:strCache>
            </c:strRef>
          </c:tx>
          <c:spPr>
            <a:solidFill>
              <a:srgbClr val="FF0000"/>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F-5116-4F03-9969-664848448FC6}"/>
            </c:ext>
          </c:extLst>
        </c:ser>
        <c:dLbls>
          <c:showLegendKey val="0"/>
          <c:showVal val="0"/>
          <c:showCatName val="0"/>
          <c:showSerName val="0"/>
          <c:showPercent val="0"/>
          <c:showBubbleSize val="0"/>
        </c:dLbls>
        <c:gapWidth val="219"/>
        <c:overlap val="-27"/>
        <c:axId val="367318719"/>
        <c:axId val="672584143"/>
      </c:barChart>
      <c:catAx>
        <c:axId val="36731871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Samples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584143"/>
        <c:crosses val="autoZero"/>
        <c:auto val="1"/>
        <c:lblAlgn val="ctr"/>
        <c:lblOffset val="100"/>
        <c:noMultiLvlLbl val="0"/>
      </c:catAx>
      <c:valAx>
        <c:axId val="672584143"/>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sz="1200"/>
                  <a:t> </a:t>
                </a:r>
                <a:r>
                  <a:rPr lang="en-IN" sz="1200">
                    <a:latin typeface="Times New Roman" panose="02020603050405020304" pitchFamily="18" charset="0"/>
                    <a:cs typeface="Times New Roman" panose="02020603050405020304" pitchFamily="18" charset="0"/>
                  </a:rPr>
                  <a:t>Mean</a:t>
                </a:r>
                <a:r>
                  <a:rPr lang="en-IN" sz="1200" baseline="0">
                    <a:latin typeface="Times New Roman" panose="02020603050405020304" pitchFamily="18" charset="0"/>
                    <a:cs typeface="Times New Roman" panose="02020603050405020304" pitchFamily="18" charset="0"/>
                  </a:rPr>
                  <a:t> Sensory Score</a:t>
                </a:r>
                <a:endParaRPr lang="en-IN"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31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5F4C-C758-44EF-8110-AEE96DC7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4520</Words>
  <Characters>25767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Abolanle Ilori</cp:lastModifiedBy>
  <cp:revision>33</cp:revision>
  <dcterms:created xsi:type="dcterms:W3CDTF">2026-05-27T17:19:00Z</dcterms:created>
  <dcterms:modified xsi:type="dcterms:W3CDTF">2026-05-30T16:49:00Z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2bbd7598-f873-42f7-bb8c-2ee3c75e74b0</vt:lpwstr>
  </property>
</Properties>
</file>