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60521" w:rsidRPr="00702E7D" w14:paraId="61589C11" w14:textId="77777777">
        <w:trPr>
          <w:trHeight w:val="20"/>
          <w:jc w:val="center"/>
        </w:trPr>
        <w:tc>
          <w:tcPr>
            <w:tcW w:w="1186" w:type="pct"/>
          </w:tcPr>
          <w:p w14:paraId="678F9102" w14:textId="77777777" w:rsidR="00560521" w:rsidRPr="00702E7D" w:rsidRDefault="00D862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9BAE10E" w14:textId="77777777" w:rsidR="00560521" w:rsidRPr="00702E7D" w:rsidRDefault="00D862D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02E7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560521" w:rsidRPr="00702E7D" w14:paraId="38B1CD7F" w14:textId="77777777">
        <w:trPr>
          <w:trHeight w:val="20"/>
          <w:jc w:val="center"/>
        </w:trPr>
        <w:tc>
          <w:tcPr>
            <w:tcW w:w="1186" w:type="pct"/>
          </w:tcPr>
          <w:p w14:paraId="1F682B0B" w14:textId="77777777" w:rsidR="00560521" w:rsidRPr="00702E7D" w:rsidRDefault="00D862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A4809ED" w14:textId="77777777" w:rsidR="00560521" w:rsidRPr="00702E7D" w:rsidRDefault="00FB728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Ms_AJOMCOR_15133</w:t>
            </w:r>
          </w:p>
        </w:tc>
      </w:tr>
      <w:tr w:rsidR="00560521" w:rsidRPr="00702E7D" w14:paraId="0459475B" w14:textId="77777777">
        <w:trPr>
          <w:trHeight w:val="20"/>
          <w:jc w:val="center"/>
        </w:trPr>
        <w:tc>
          <w:tcPr>
            <w:tcW w:w="1186" w:type="pct"/>
          </w:tcPr>
          <w:p w14:paraId="1825597B" w14:textId="77777777" w:rsidR="00560521" w:rsidRPr="00702E7D" w:rsidRDefault="00D862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BE67D14" w14:textId="77777777" w:rsidR="00560521" w:rsidRPr="00702E7D" w:rsidRDefault="007A54DF" w:rsidP="007A54D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On Computing the Lower and Upper Bounds of -Graphs via Some </w:t>
            </w:r>
            <w:proofErr w:type="spellStart"/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TopologicalIndices</w:t>
            </w:r>
            <w:proofErr w:type="spellEnd"/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</w:tr>
      <w:tr w:rsidR="00560521" w:rsidRPr="00702E7D" w14:paraId="42F357C6" w14:textId="77777777">
        <w:trPr>
          <w:trHeight w:val="20"/>
          <w:jc w:val="center"/>
        </w:trPr>
        <w:tc>
          <w:tcPr>
            <w:tcW w:w="1186" w:type="pct"/>
          </w:tcPr>
          <w:p w14:paraId="70130E80" w14:textId="77777777" w:rsidR="00560521" w:rsidRPr="00702E7D" w:rsidRDefault="00D862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620374B" w14:textId="77777777" w:rsidR="00560521" w:rsidRPr="00702E7D" w:rsidRDefault="00D862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F5F636" w14:textId="77777777" w:rsidR="00560521" w:rsidRPr="00702E7D" w:rsidRDefault="005605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D02EC89" w14:textId="77777777" w:rsidR="00560521" w:rsidRPr="00702E7D" w:rsidRDefault="00560521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43944DE" w14:textId="77777777" w:rsidR="00560521" w:rsidRPr="00702E7D" w:rsidRDefault="00D862D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702E7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413F7A7" w14:textId="77777777" w:rsidR="00560521" w:rsidRPr="00702E7D" w:rsidRDefault="0056052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60521" w:rsidRPr="00702E7D" w14:paraId="5D0217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109704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7E23A9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22ACE82" w14:textId="77777777" w:rsidR="00560521" w:rsidRPr="00702E7D" w:rsidRDefault="00D862D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02E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F4108F9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162186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53B5F9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78CEAD" w14:textId="77777777" w:rsidR="00560521" w:rsidRPr="00702E7D" w:rsidRDefault="00D862D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79D85AF" w14:textId="77777777" w:rsidR="00560521" w:rsidRPr="00702E7D" w:rsidRDefault="00E911F4" w:rsidP="00E911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2E7D">
              <w:rPr>
                <w:rStyle w:val="ng-star-inserted"/>
                <w:rFonts w:ascii="Arial" w:eastAsia="MS Mincho" w:hAnsi="Arial" w:cs="Arial"/>
                <w:color w:val="000000"/>
                <w:sz w:val="20"/>
                <w:szCs w:val="20"/>
              </w:rPr>
              <w:t>This manuscript establishes bounds for key topological indices on </w:t>
            </w:r>
            <w:r w:rsidRPr="00702E7D">
              <w:rPr>
                <w:rStyle w:val="mord"/>
                <w:rFonts w:ascii="Arial" w:hAnsi="Arial" w:cs="Arial"/>
                <w:sz w:val="20"/>
                <w:szCs w:val="20"/>
              </w:rPr>
              <w:t>Γ</w:t>
            </w:r>
            <w:r w:rsidRPr="00702E7D">
              <w:rPr>
                <w:rStyle w:val="ng-star-inserted"/>
                <w:rFonts w:ascii="Arial" w:eastAsia="MS Mincho" w:hAnsi="Arial" w:cs="Arial"/>
                <w:color w:val="000000"/>
                <w:sz w:val="20"/>
                <w:szCs w:val="20"/>
              </w:rPr>
              <w:t xml:space="preserve">-graphs using an edge-partitioning framework. By providing illustrative examples for indices like Zagreb and </w:t>
            </w:r>
            <w:proofErr w:type="spellStart"/>
            <w:r w:rsidRPr="00702E7D">
              <w:rPr>
                <w:rStyle w:val="ng-star-inserted"/>
                <w:rFonts w:ascii="Arial" w:eastAsia="MS Mincho" w:hAnsi="Arial" w:cs="Arial"/>
                <w:color w:val="000000"/>
                <w:sz w:val="20"/>
                <w:szCs w:val="20"/>
              </w:rPr>
              <w:t>Sombor</w:t>
            </w:r>
            <w:proofErr w:type="spellEnd"/>
            <w:r w:rsidRPr="00702E7D">
              <w:rPr>
                <w:rStyle w:val="ng-star-inserted"/>
                <w:rFonts w:ascii="Arial" w:eastAsia="MS Mincho" w:hAnsi="Arial" w:cs="Arial"/>
                <w:color w:val="000000"/>
                <w:sz w:val="20"/>
                <w:szCs w:val="20"/>
              </w:rPr>
              <w:t>, the work offers valuable insights for QSPR/QSAR modeling in mathematical chemistry.</w:t>
            </w:r>
          </w:p>
        </w:tc>
        <w:tc>
          <w:tcPr>
            <w:tcW w:w="1667" w:type="pct"/>
          </w:tcPr>
          <w:p w14:paraId="511E6550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29C41B" w14:textId="77777777" w:rsidR="00560521" w:rsidRPr="00702E7D" w:rsidRDefault="00560521">
      <w:pPr>
        <w:rPr>
          <w:rFonts w:ascii="Arial" w:hAnsi="Arial" w:cs="Arial"/>
          <w:sz w:val="20"/>
          <w:szCs w:val="20"/>
          <w:lang w:val="en-GB"/>
        </w:rPr>
      </w:pPr>
    </w:p>
    <w:p w14:paraId="165507AB" w14:textId="77777777" w:rsidR="00560521" w:rsidRPr="00702E7D" w:rsidRDefault="00D862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02E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13E603" w14:textId="77777777" w:rsidR="00560521" w:rsidRPr="00702E7D" w:rsidRDefault="0056052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0521" w:rsidRPr="00702E7D" w14:paraId="3DEFE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6BF874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6273B2E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A1620A9" w14:textId="77777777" w:rsidR="00560521" w:rsidRPr="00702E7D" w:rsidRDefault="00D862D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560521" w:rsidRPr="00702E7D" w14:paraId="21DB2D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C3448A" w14:textId="77777777" w:rsidR="00560521" w:rsidRPr="00702E7D" w:rsidRDefault="00D862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C292437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F5A20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11591D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947F0E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535F3B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7CCD75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E2F9D6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977C27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D649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637A80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14DACA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680357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C54CFE3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B8028C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46687C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233CA7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7CFD9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8B15B0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ACBC5A5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A3A6F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5098F3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08A063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4E0486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A25983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750D153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7B5C14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886015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DABFFF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7D43B3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ABEB7B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4758FFF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21F9F5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7F216B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731D19F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1D316B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3ACD54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FE3E41C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B2E2C8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B2FFFB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12F443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25B278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E3F0B2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2958786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CF59E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E7BBB7" w14:textId="77777777" w:rsidR="00560521" w:rsidRPr="00702E7D" w:rsidRDefault="008E56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192522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01C325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C19C06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08B6A26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73F0B8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E6B689" w14:textId="77777777" w:rsidR="00560521" w:rsidRPr="00702E7D" w:rsidRDefault="008E5645" w:rsidP="008E5645">
            <w:pPr>
              <w:ind w:firstLine="36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F5762B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60E9DC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87CC23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AF201B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6F5791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7F3283" w14:textId="77777777" w:rsidR="00560521" w:rsidRPr="00702E7D" w:rsidRDefault="005605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7C1A774" w14:textId="77777777" w:rsidR="00560521" w:rsidRPr="00702E7D" w:rsidRDefault="005605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41DB23" w14:textId="77777777" w:rsidR="00560521" w:rsidRPr="00702E7D" w:rsidRDefault="008E5645" w:rsidP="008E5645">
            <w:pPr>
              <w:ind w:firstLine="36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80D14A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29C074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B25678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2ABF252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BD429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6EE5B" w14:textId="77777777" w:rsidR="00560521" w:rsidRPr="00702E7D" w:rsidRDefault="003D48FA" w:rsidP="003D48FA">
            <w:pPr>
              <w:ind w:firstLine="36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72F226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03B653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42EE8D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3DC68811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EBCC9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7D1EDF" w14:textId="77777777" w:rsidR="00560521" w:rsidRPr="00702E7D" w:rsidRDefault="003D48FA" w:rsidP="003D48FA">
            <w:pPr>
              <w:ind w:firstLine="36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8161F29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353A1D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C9D40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74941F9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7496E5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CD93D4" w14:textId="77777777" w:rsidR="00560521" w:rsidRPr="00702E7D" w:rsidRDefault="003D48FA" w:rsidP="003D48FA">
            <w:pPr>
              <w:ind w:firstLine="36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0ACEE2D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396FF3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7B1F87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B75308C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2EAC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0F3EB8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E6088F" w14:textId="77777777" w:rsidR="00560521" w:rsidRPr="00702E7D" w:rsidRDefault="003D48FA" w:rsidP="003D48FA">
            <w:pPr>
              <w:ind w:firstLine="36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E34F8E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0B6489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D575FD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61C3A69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F99D45" w14:textId="77777777" w:rsidR="00560521" w:rsidRPr="00702E7D" w:rsidRDefault="00D862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A1332B7" w14:textId="77777777" w:rsidR="00560521" w:rsidRPr="00702E7D" w:rsidRDefault="00D862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8D575E" w14:textId="77777777" w:rsidR="00560521" w:rsidRPr="00702E7D" w:rsidRDefault="003D48FA" w:rsidP="003D48FA">
            <w:pPr>
              <w:ind w:firstLine="36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25D9686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05D9C5" w14:textId="77777777" w:rsidR="00560521" w:rsidRPr="00702E7D" w:rsidRDefault="0056052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4802113" w14:textId="77777777" w:rsidR="00560521" w:rsidRPr="00702E7D" w:rsidRDefault="00D862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02E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281ACD2" w14:textId="77777777" w:rsidR="00560521" w:rsidRPr="00702E7D" w:rsidRDefault="0056052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0521" w:rsidRPr="00702E7D" w14:paraId="6ED44B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CFC2BD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6EAD51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4FBE267" w14:textId="77777777" w:rsidR="00560521" w:rsidRPr="00702E7D" w:rsidRDefault="005605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296B6D" w14:textId="77777777" w:rsidR="00560521" w:rsidRPr="00702E7D" w:rsidRDefault="00D862D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02E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02E7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60AFE8E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703C69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6BE1FD" w14:textId="77777777" w:rsidR="00560521" w:rsidRPr="00702E7D" w:rsidRDefault="00D862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C998E1" w14:textId="77777777" w:rsidR="00560521" w:rsidRPr="00702E7D" w:rsidRDefault="005605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FAADC8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E9946B" w14:textId="77777777" w:rsidR="00560521" w:rsidRPr="00702E7D" w:rsidRDefault="0056052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4EFB7A3" w14:textId="77777777" w:rsidR="00560521" w:rsidRPr="00702E7D" w:rsidRDefault="009D2FDE" w:rsidP="00A742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2E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YES.</w:t>
            </w:r>
            <w:r w:rsidRPr="00702E7D">
              <w:rPr>
                <w:rFonts w:ascii="Arial" w:hAnsi="Arial" w:cs="Arial"/>
                <w:color w:val="000000"/>
                <w:sz w:val="20"/>
                <w:szCs w:val="20"/>
              </w:rPr>
              <w:t> However, in some versions of the text (e.g., OCR), the </w:t>
            </w:r>
            <w:r w:rsidRPr="00702E7D">
              <w:rPr>
                <w:rFonts w:ascii="Arial" w:hAnsi="Arial" w:cs="Arial"/>
                <w:sz w:val="20"/>
                <w:szCs w:val="20"/>
              </w:rPr>
              <w:t xml:space="preserve">Γ </w:t>
            </w:r>
            <w:r w:rsidRPr="00702E7D">
              <w:rPr>
                <w:rFonts w:ascii="Arial" w:hAnsi="Arial" w:cs="Arial"/>
                <w:color w:val="000000"/>
                <w:sz w:val="20"/>
                <w:szCs w:val="20"/>
              </w:rPr>
              <w:t>symbol appeared as a dash. The author should ensure the Greek letter is properly typeset throughout.</w:t>
            </w:r>
          </w:p>
        </w:tc>
        <w:tc>
          <w:tcPr>
            <w:tcW w:w="1667" w:type="pct"/>
          </w:tcPr>
          <w:p w14:paraId="4B64AC8D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4C4225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B6893F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DBC0BD4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21EAAF7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91B5BF" w14:textId="77777777" w:rsidR="00560521" w:rsidRPr="00702E7D" w:rsidRDefault="005605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F64F6E" w14:textId="77777777" w:rsidR="00560521" w:rsidRPr="00702E7D" w:rsidRDefault="009D2FDE" w:rsidP="00A7423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Style w:val="ng-star-inserted"/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  <w:t>YES.</w:t>
            </w:r>
            <w:r w:rsidRPr="00702E7D">
              <w:rPr>
                <w:rStyle w:val="ng-star-inserted"/>
                <w:rFonts w:ascii="Arial" w:eastAsia="Arial Unicode MS" w:hAnsi="Arial" w:cs="Arial"/>
                <w:color w:val="000000"/>
                <w:sz w:val="20"/>
                <w:szCs w:val="20"/>
              </w:rPr>
              <w:t> It lists the specific indices covered and the general approach taken.</w:t>
            </w:r>
          </w:p>
        </w:tc>
        <w:tc>
          <w:tcPr>
            <w:tcW w:w="1667" w:type="pct"/>
          </w:tcPr>
          <w:p w14:paraId="29521025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05E25B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A4581E" w14:textId="77777777" w:rsidR="00560521" w:rsidRPr="00702E7D" w:rsidRDefault="00D862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02E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D54379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F8A6B3A" w14:textId="77777777" w:rsidR="00560521" w:rsidRPr="00702E7D" w:rsidRDefault="00D862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C4043A0" w14:textId="77777777" w:rsidR="00560521" w:rsidRPr="00702E7D" w:rsidRDefault="009D2FDE" w:rsidP="00A742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2E7D">
              <w:rPr>
                <w:rStyle w:val="ng-star-inserted"/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  <w:t>YES.</w:t>
            </w:r>
            <w:r w:rsidRPr="00702E7D">
              <w:rPr>
                <w:rStyle w:val="ng-star-inserted"/>
                <w:rFonts w:ascii="Arial" w:eastAsia="Arial Unicode MS" w:hAnsi="Arial" w:cs="Arial"/>
                <w:color w:val="000000"/>
                <w:sz w:val="20"/>
                <w:szCs w:val="20"/>
              </w:rPr>
              <w:t> The calculations for the examples (e.g., the first Zagreb index </w:t>
            </w:r>
            <w:r w:rsidRPr="00702E7D">
              <w:rPr>
                <w:rStyle w:val="mord"/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702E7D">
              <w:rPr>
                <w:rStyle w:val="mord"/>
                <w:rFonts w:ascii="Arial" w:hAnsi="Arial" w:cs="Arial"/>
                <w:sz w:val="20"/>
                <w:szCs w:val="20"/>
              </w:rPr>
              <w:t>1</w:t>
            </w:r>
            <w:r w:rsidRPr="00702E7D">
              <w:rPr>
                <w:rStyle w:val="vlist-s"/>
                <w:rFonts w:ascii="Arial" w:hAnsi="Arial" w:cs="Arial"/>
                <w:sz w:val="20"/>
                <w:szCs w:val="20"/>
              </w:rPr>
              <w:t>​</w:t>
            </w:r>
            <w:r w:rsidRPr="00702E7D">
              <w:rPr>
                <w:rStyle w:val="mopen"/>
                <w:rFonts w:ascii="Arial" w:hAnsi="Arial" w:cs="Arial"/>
                <w:sz w:val="20"/>
                <w:szCs w:val="20"/>
              </w:rPr>
              <w:t>[</w:t>
            </w:r>
            <w:r w:rsidRPr="00702E7D">
              <w:rPr>
                <w:rStyle w:val="mord"/>
                <w:rFonts w:ascii="Arial" w:hAnsi="Arial" w:cs="Arial"/>
                <w:sz w:val="20"/>
                <w:szCs w:val="20"/>
              </w:rPr>
              <w:t>Γ</w:t>
            </w:r>
            <w:r w:rsidRPr="00702E7D">
              <w:rPr>
                <w:rStyle w:val="mclose"/>
                <w:rFonts w:ascii="Arial" w:hAnsi="Arial" w:cs="Arial"/>
                <w:sz w:val="20"/>
                <w:szCs w:val="20"/>
              </w:rPr>
              <w:t>]</w:t>
            </w:r>
            <w:r w:rsidRPr="00702E7D">
              <w:rPr>
                <w:rStyle w:val="mrel"/>
                <w:rFonts w:ascii="Arial" w:hAnsi="Arial" w:cs="Arial"/>
                <w:sz w:val="20"/>
                <w:szCs w:val="20"/>
              </w:rPr>
              <w:t>=</w:t>
            </w:r>
            <w:r w:rsidRPr="00702E7D">
              <w:rPr>
                <w:rStyle w:val="mord"/>
                <w:rFonts w:ascii="Arial" w:hAnsi="Arial" w:cs="Arial"/>
                <w:sz w:val="20"/>
                <w:szCs w:val="20"/>
              </w:rPr>
              <w:t>100</w:t>
            </w:r>
            <w:r w:rsidRPr="00702E7D">
              <w:rPr>
                <w:rStyle w:val="ng-star-inserted"/>
                <w:rFonts w:ascii="Arial" w:eastAsia="Arial Unicode MS" w:hAnsi="Arial" w:cs="Arial"/>
                <w:color w:val="000000"/>
                <w:sz w:val="20"/>
                <w:szCs w:val="20"/>
              </w:rPr>
              <w:t>) align with the provided graph parameters and the edge partition method.</w:t>
            </w:r>
          </w:p>
        </w:tc>
        <w:tc>
          <w:tcPr>
            <w:tcW w:w="1667" w:type="pct"/>
          </w:tcPr>
          <w:p w14:paraId="686F0366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5B962E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E43D89" w14:textId="77777777" w:rsidR="00560521" w:rsidRPr="00702E7D" w:rsidRDefault="00D862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A199F5D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4039085" w14:textId="77777777" w:rsidR="00560521" w:rsidRPr="00702E7D" w:rsidRDefault="005605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CC2112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1D98F6" w14:textId="77777777" w:rsidR="00560521" w:rsidRPr="00702E7D" w:rsidRDefault="005605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20502" w14:textId="77777777" w:rsidR="009D2FDE" w:rsidRPr="00702E7D" w:rsidRDefault="009D2FDE" w:rsidP="00A74239">
            <w:pPr>
              <w:spacing w:before="100" w:beforeAutospacing="1" w:after="245" w:line="285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2E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YES.</w:t>
            </w:r>
            <w:r w:rsidRPr="00702E7D">
              <w:rPr>
                <w:rFonts w:ascii="Arial" w:hAnsi="Arial" w:cs="Arial"/>
                <w:color w:val="000000"/>
                <w:sz w:val="20"/>
                <w:szCs w:val="20"/>
              </w:rPr>
              <w:t> The references cover classical works (Wiener, 1947) as well as very recent developments (2021-2023).</w:t>
            </w:r>
          </w:p>
          <w:p w14:paraId="5E071071" w14:textId="77777777" w:rsidR="00560521" w:rsidRPr="00702E7D" w:rsidRDefault="00560521" w:rsidP="00A74239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0E9C7C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0521" w:rsidRPr="00702E7D" w14:paraId="2A08B2E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7AC6A5" w14:textId="77777777" w:rsidR="00560521" w:rsidRPr="00702E7D" w:rsidRDefault="00D862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02361CA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86B3E8E" w14:textId="77777777" w:rsidR="00560521" w:rsidRPr="00702E7D" w:rsidRDefault="005605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4B7B98" w14:textId="77777777" w:rsidR="00560521" w:rsidRPr="00702E7D" w:rsidRDefault="00D862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BD13DEE" w14:textId="77777777" w:rsidR="00560521" w:rsidRPr="00702E7D" w:rsidRDefault="005605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41806A" w14:textId="77777777" w:rsidR="00560521" w:rsidRPr="00702E7D" w:rsidRDefault="009D2FDE" w:rsidP="00A74239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2E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CE8621C" w14:textId="77777777" w:rsidR="00560521" w:rsidRPr="00702E7D" w:rsidRDefault="005605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54F20C" w14:textId="77777777" w:rsidR="00FC4344" w:rsidRPr="00702E7D" w:rsidRDefault="00FC4344" w:rsidP="00FC4344">
      <w:pPr>
        <w:rPr>
          <w:rFonts w:ascii="Arial" w:hAnsi="Arial" w:cs="Arial"/>
          <w:b/>
          <w:sz w:val="20"/>
          <w:szCs w:val="20"/>
          <w:u w:val="single"/>
        </w:rPr>
      </w:pPr>
      <w:r w:rsidRPr="00702E7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CD67812" w14:textId="77777777" w:rsidR="00FC4344" w:rsidRPr="00702E7D" w:rsidRDefault="00FC4344" w:rsidP="00FC4344">
      <w:pPr>
        <w:rPr>
          <w:rFonts w:ascii="Arial" w:hAnsi="Arial" w:cs="Arial"/>
          <w:sz w:val="20"/>
          <w:szCs w:val="20"/>
        </w:rPr>
      </w:pPr>
    </w:p>
    <w:p w14:paraId="2AC92FD8" w14:textId="77777777" w:rsidR="00FC4344" w:rsidRPr="00702E7D" w:rsidRDefault="00FC4344" w:rsidP="00FC4344">
      <w:pPr>
        <w:rPr>
          <w:rFonts w:ascii="Arial" w:hAnsi="Arial" w:cs="Arial"/>
          <w:sz w:val="20"/>
          <w:szCs w:val="20"/>
        </w:rPr>
      </w:pPr>
      <w:proofErr w:type="spellStart"/>
      <w:r w:rsidRPr="00702E7D">
        <w:rPr>
          <w:rFonts w:ascii="Arial" w:hAnsi="Arial" w:cs="Arial"/>
          <w:color w:val="000000"/>
          <w:sz w:val="20"/>
          <w:szCs w:val="20"/>
        </w:rPr>
        <w:t>P.Rajarajeswari</w:t>
      </w:r>
      <w:proofErr w:type="spellEnd"/>
      <w:r w:rsidRPr="00702E7D">
        <w:rPr>
          <w:rFonts w:ascii="Arial" w:hAnsi="Arial" w:cs="Arial"/>
          <w:color w:val="000000"/>
          <w:sz w:val="20"/>
          <w:szCs w:val="20"/>
        </w:rPr>
        <w:t xml:space="preserve">, Government Arts College </w:t>
      </w:r>
      <w:r w:rsidRPr="00702E7D">
        <w:rPr>
          <w:rFonts w:ascii="Arial" w:hAnsi="Arial" w:cs="Arial"/>
          <w:sz w:val="20"/>
          <w:szCs w:val="20"/>
        </w:rPr>
        <w:t xml:space="preserve">, </w:t>
      </w:r>
      <w:r w:rsidRPr="00702E7D">
        <w:rPr>
          <w:rFonts w:ascii="Arial" w:hAnsi="Arial" w:cs="Arial"/>
          <w:color w:val="000000"/>
          <w:sz w:val="20"/>
          <w:szCs w:val="20"/>
        </w:rPr>
        <w:t>India</w:t>
      </w:r>
    </w:p>
    <w:p w14:paraId="1E04DC84" w14:textId="77777777" w:rsidR="00560521" w:rsidRPr="00702E7D" w:rsidRDefault="00560521" w:rsidP="00FC434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560521" w:rsidRPr="00702E7D" w:rsidSect="0019537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E416" w14:textId="77777777" w:rsidR="00273C6C" w:rsidRDefault="00273C6C">
      <w:r>
        <w:separator/>
      </w:r>
    </w:p>
  </w:endnote>
  <w:endnote w:type="continuationSeparator" w:id="0">
    <w:p w14:paraId="109B5FA2" w14:textId="77777777" w:rsidR="00273C6C" w:rsidRDefault="0027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5787" w14:textId="77777777" w:rsidR="00560521" w:rsidRDefault="00560521">
    <w:pPr>
      <w:pStyle w:val="Footer"/>
      <w:jc w:val="right"/>
    </w:pPr>
  </w:p>
  <w:p w14:paraId="23A1BB46" w14:textId="77777777" w:rsidR="00560521" w:rsidRDefault="00D862D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19537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195375">
      <w:rPr>
        <w:b/>
        <w:sz w:val="20"/>
      </w:rPr>
      <w:fldChar w:fldCharType="separate"/>
    </w:r>
    <w:r w:rsidR="00E911F4">
      <w:rPr>
        <w:b/>
        <w:noProof/>
        <w:sz w:val="20"/>
      </w:rPr>
      <w:t>1</w:t>
    </w:r>
    <w:r w:rsidR="00195375">
      <w:rPr>
        <w:b/>
        <w:sz w:val="20"/>
      </w:rPr>
      <w:fldChar w:fldCharType="end"/>
    </w:r>
    <w:r>
      <w:rPr>
        <w:sz w:val="20"/>
      </w:rPr>
      <w:t xml:space="preserve"> of </w:t>
    </w:r>
    <w:r w:rsidR="0019537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195375">
      <w:rPr>
        <w:b/>
        <w:sz w:val="20"/>
      </w:rPr>
      <w:fldChar w:fldCharType="separate"/>
    </w:r>
    <w:r w:rsidR="00E911F4">
      <w:rPr>
        <w:b/>
        <w:noProof/>
        <w:sz w:val="20"/>
      </w:rPr>
      <w:t>3</w:t>
    </w:r>
    <w:r w:rsidR="00195375">
      <w:rPr>
        <w:b/>
        <w:sz w:val="20"/>
      </w:rPr>
      <w:fldChar w:fldCharType="end"/>
    </w:r>
  </w:p>
  <w:p w14:paraId="0E9A2F1F" w14:textId="77777777" w:rsidR="00560521" w:rsidRDefault="00D862D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C0E5EB3" w14:textId="77777777" w:rsidR="00560521" w:rsidRDefault="00560521">
    <w:pPr>
      <w:pStyle w:val="Footer"/>
      <w:jc w:val="right"/>
    </w:pPr>
  </w:p>
  <w:p w14:paraId="5E53D9D5" w14:textId="77777777" w:rsidR="00560521" w:rsidRDefault="0056052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A4EC0" w14:textId="77777777" w:rsidR="00273C6C" w:rsidRDefault="00273C6C">
      <w:r>
        <w:separator/>
      </w:r>
    </w:p>
  </w:footnote>
  <w:footnote w:type="continuationSeparator" w:id="0">
    <w:p w14:paraId="7138B0AE" w14:textId="77777777" w:rsidR="00273C6C" w:rsidRDefault="0027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3BB3" w14:textId="77777777" w:rsidR="00560521" w:rsidRDefault="0056052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6146CD" w14:textId="77777777" w:rsidR="00560521" w:rsidRDefault="00D862D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1300088">
    <w:abstractNumId w:val="4"/>
  </w:num>
  <w:num w:numId="2" w16cid:durableId="1155953059">
    <w:abstractNumId w:val="8"/>
  </w:num>
  <w:num w:numId="3" w16cid:durableId="1161000563">
    <w:abstractNumId w:val="7"/>
  </w:num>
  <w:num w:numId="4" w16cid:durableId="1966614051">
    <w:abstractNumId w:val="9"/>
  </w:num>
  <w:num w:numId="5" w16cid:durableId="793133484">
    <w:abstractNumId w:val="6"/>
  </w:num>
  <w:num w:numId="6" w16cid:durableId="802846675">
    <w:abstractNumId w:val="0"/>
  </w:num>
  <w:num w:numId="7" w16cid:durableId="923149784">
    <w:abstractNumId w:val="3"/>
  </w:num>
  <w:num w:numId="8" w16cid:durableId="1926528867">
    <w:abstractNumId w:val="11"/>
  </w:num>
  <w:num w:numId="9" w16cid:durableId="1705401144">
    <w:abstractNumId w:val="10"/>
  </w:num>
  <w:num w:numId="10" w16cid:durableId="803043595">
    <w:abstractNumId w:val="2"/>
  </w:num>
  <w:num w:numId="11" w16cid:durableId="320155195">
    <w:abstractNumId w:val="1"/>
  </w:num>
  <w:num w:numId="12" w16cid:durableId="1834878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521"/>
    <w:rsid w:val="000971B3"/>
    <w:rsid w:val="000F70AB"/>
    <w:rsid w:val="00195375"/>
    <w:rsid w:val="00225FC5"/>
    <w:rsid w:val="00260E1A"/>
    <w:rsid w:val="00273C6C"/>
    <w:rsid w:val="003D48FA"/>
    <w:rsid w:val="00514475"/>
    <w:rsid w:val="00527E69"/>
    <w:rsid w:val="00530BAF"/>
    <w:rsid w:val="00531FCE"/>
    <w:rsid w:val="00535331"/>
    <w:rsid w:val="00560521"/>
    <w:rsid w:val="00702E7D"/>
    <w:rsid w:val="00782A80"/>
    <w:rsid w:val="007A54DF"/>
    <w:rsid w:val="00853158"/>
    <w:rsid w:val="00884737"/>
    <w:rsid w:val="008E5645"/>
    <w:rsid w:val="009D2FDE"/>
    <w:rsid w:val="00A74239"/>
    <w:rsid w:val="00AE0202"/>
    <w:rsid w:val="00B85C30"/>
    <w:rsid w:val="00CF1196"/>
    <w:rsid w:val="00D862D8"/>
    <w:rsid w:val="00E316AD"/>
    <w:rsid w:val="00E911F4"/>
    <w:rsid w:val="00FB7286"/>
    <w:rsid w:val="00FC4344"/>
    <w:rsid w:val="00FF5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90542"/>
  <w15:docId w15:val="{8036FAF2-433C-4715-BF14-4F524926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37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9537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19537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9537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19537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195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9537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19537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1953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953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537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9537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1953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5375"/>
    <w:pPr>
      <w:ind w:left="720"/>
      <w:contextualSpacing/>
    </w:pPr>
  </w:style>
  <w:style w:type="paragraph" w:styleId="Revision">
    <w:name w:val="Revision"/>
    <w:hidden/>
    <w:uiPriority w:val="99"/>
    <w:semiHidden/>
    <w:rsid w:val="00195375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195375"/>
    <w:rPr>
      <w:color w:val="800080"/>
      <w:u w:val="single"/>
    </w:rPr>
  </w:style>
  <w:style w:type="table" w:styleId="TableGrid">
    <w:name w:val="Table Grid"/>
    <w:basedOn w:val="TableNormal"/>
    <w:uiPriority w:val="59"/>
    <w:rsid w:val="0019537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19537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195375"/>
    <w:rPr>
      <w:color w:val="605E5C"/>
      <w:shd w:val="clear" w:color="auto" w:fill="E1DFDD"/>
    </w:rPr>
  </w:style>
  <w:style w:type="character" w:customStyle="1" w:styleId="ng-star-inserted">
    <w:name w:val="ng-star-inserted"/>
    <w:basedOn w:val="DefaultParagraphFont"/>
    <w:rsid w:val="009D2FD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2F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2FDE"/>
    <w:rPr>
      <w:rFonts w:ascii="Courier New" w:eastAsia="Times New Roman" w:hAnsi="Courier New" w:cs="Courier New"/>
    </w:rPr>
  </w:style>
  <w:style w:type="character" w:customStyle="1" w:styleId="katex-mathml">
    <w:name w:val="katex-mathml"/>
    <w:basedOn w:val="DefaultParagraphFont"/>
    <w:rsid w:val="009D2FDE"/>
  </w:style>
  <w:style w:type="character" w:customStyle="1" w:styleId="mord">
    <w:name w:val="mord"/>
    <w:basedOn w:val="DefaultParagraphFont"/>
    <w:rsid w:val="009D2FDE"/>
  </w:style>
  <w:style w:type="character" w:customStyle="1" w:styleId="vlist-s">
    <w:name w:val="vlist-s"/>
    <w:basedOn w:val="DefaultParagraphFont"/>
    <w:rsid w:val="009D2FDE"/>
  </w:style>
  <w:style w:type="character" w:customStyle="1" w:styleId="mopen">
    <w:name w:val="mopen"/>
    <w:basedOn w:val="DefaultParagraphFont"/>
    <w:rsid w:val="009D2FDE"/>
  </w:style>
  <w:style w:type="character" w:customStyle="1" w:styleId="mclose">
    <w:name w:val="mclose"/>
    <w:basedOn w:val="DefaultParagraphFont"/>
    <w:rsid w:val="009D2FDE"/>
  </w:style>
  <w:style w:type="character" w:customStyle="1" w:styleId="mrel">
    <w:name w:val="mrel"/>
    <w:basedOn w:val="DefaultParagraphFont"/>
    <w:rsid w:val="009D2FDE"/>
  </w:style>
  <w:style w:type="character" w:customStyle="1" w:styleId="ng-star-inserted1">
    <w:name w:val="ng-star-inserted1"/>
    <w:basedOn w:val="DefaultParagraphFont"/>
    <w:rsid w:val="009D2FDE"/>
  </w:style>
  <w:style w:type="character" w:styleId="UnresolvedMention">
    <w:name w:val="Unresolved Mention"/>
    <w:basedOn w:val="DefaultParagraphFont"/>
    <w:uiPriority w:val="99"/>
    <w:semiHidden/>
    <w:unhideWhenUsed/>
    <w:rsid w:val="00530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2026-06-15T10:50:00Z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