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FBF25" w14:textId="77777777" w:rsidR="00FF228A" w:rsidRPr="00FF228A" w:rsidRDefault="00FF228A" w:rsidP="00FF228A">
      <w:pPr>
        <w:spacing w:line="360" w:lineRule="auto"/>
        <w:jc w:val="center"/>
        <w:rPr>
          <w:rFonts w:ascii="Times New Roman" w:eastAsia="Times New Roman" w:hAnsi="Times New Roman" w:cs="Times New Roman"/>
          <w:b/>
          <w:bCs/>
          <w:i/>
          <w:iCs/>
          <w:sz w:val="40"/>
          <w:szCs w:val="40"/>
          <w:u w:val="single"/>
          <w:lang w:val="en-US"/>
        </w:rPr>
      </w:pPr>
      <w:r w:rsidRPr="00FF228A">
        <w:rPr>
          <w:rFonts w:ascii="Times New Roman" w:eastAsia="Times New Roman" w:hAnsi="Times New Roman" w:cs="Times New Roman"/>
          <w:b/>
          <w:bCs/>
          <w:i/>
          <w:iCs/>
          <w:sz w:val="40"/>
          <w:szCs w:val="40"/>
          <w:u w:val="single"/>
          <w:lang w:val="en-US"/>
        </w:rPr>
        <w:t>Review Article</w:t>
      </w:r>
    </w:p>
    <w:p w14:paraId="1326E626" w14:textId="77777777" w:rsidR="003D6891" w:rsidRDefault="00447EBD">
      <w:pPr>
        <w:spacing w:line="36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Genetic and Genomic Approaches in Hybrid Breeding of Vegetable Crops: Mechanisms and Applications</w:t>
      </w:r>
    </w:p>
    <w:p w14:paraId="7D6CC4E6" w14:textId="77777777" w:rsidR="004B2CC6" w:rsidRDefault="004B2CC6">
      <w:pPr>
        <w:spacing w:line="360" w:lineRule="auto"/>
        <w:jc w:val="both"/>
        <w:rPr>
          <w:rFonts w:ascii="Times New Roman" w:eastAsia="Times New Roman" w:hAnsi="Times New Roman" w:cs="Times New Roman"/>
          <w:sz w:val="24"/>
          <w:szCs w:val="24"/>
        </w:rPr>
      </w:pPr>
    </w:p>
    <w:p w14:paraId="01FE3247" w14:textId="7BE0E2E1"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Abstract:</w:t>
      </w:r>
    </w:p>
    <w:p w14:paraId="0FDB82C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Hybrid breeding has become an essential approach for enhancing yield, and resilience in vegetable crops by utilizing hybrid vigor. First-generation hybrids generally outperform their parental lines in productivity, uniformity, and tolerance to environmental stresses. However, the large-amount production of hybrid seeds remains challenging due to high labor requirements and the need for strict pollination control. To address these issues, several biological mechanisms are employed. Self-incompatibility prevents self-fertilization and encourages cross-pollination, while male sterility systems such as genic, cytoplasmic, and cytoplasmic-genic types facilitate hybrid seed production by eliminating viable pollen formation. Gynoecism, particularly in cucurbit crops, improves seed production efficiency by increasing the number of female flowers. The expression of hybrid vigor is influenced by complex genetic interactions, including dominance and gene complementation effects. Recent progress in molecular breeding, including the use of DNA markers, genomic analysis, and gene editing technologies, has enabled more precise manipulation of traits associated with fertility and hybrid performance. Despite these developments, issues such as environmental sensitivity of sterility systems and high implementation costs continue to limit efficiency. Future efforts should aim to develop stable and economical breeding strategies. Integrating conventional breeding with advanced genomic tools will be crucial for achieving sustainable improvements in vegetable production.</w:t>
      </w:r>
    </w:p>
    <w:p w14:paraId="3A6E737E" w14:textId="289907EE" w:rsidR="004C58B6" w:rsidRPr="00781FEA" w:rsidRDefault="00781FEA">
      <w:pPr>
        <w:spacing w:line="360" w:lineRule="auto"/>
        <w:jc w:val="both"/>
        <w:rPr>
          <w:rFonts w:ascii="Times New Roman" w:eastAsia="Times New Roman" w:hAnsi="Times New Roman" w:cs="Times New Roman"/>
          <w:sz w:val="24"/>
          <w:szCs w:val="24"/>
        </w:rPr>
      </w:pPr>
      <w:r w:rsidRPr="00B138EA">
        <w:rPr>
          <w:rFonts w:ascii="Times New Roman" w:eastAsia="Times New Roman" w:hAnsi="Times New Roman" w:cs="Times New Roman"/>
          <w:b/>
          <w:bCs/>
          <w:sz w:val="24"/>
          <w:szCs w:val="24"/>
        </w:rPr>
        <w:t>Keyword:</w:t>
      </w:r>
      <w:r>
        <w:rPr>
          <w:rFonts w:ascii="Times New Roman" w:eastAsia="Times New Roman" w:hAnsi="Times New Roman" w:cs="Times New Roman"/>
          <w:b/>
          <w:bCs/>
          <w:sz w:val="24"/>
          <w:szCs w:val="24"/>
        </w:rPr>
        <w:t xml:space="preserve"> </w:t>
      </w:r>
      <w:r w:rsidRPr="00781FEA">
        <w:rPr>
          <w:rFonts w:ascii="Times New Roman" w:eastAsia="Times New Roman" w:hAnsi="Times New Roman" w:cs="Times New Roman"/>
          <w:sz w:val="24"/>
          <w:szCs w:val="24"/>
        </w:rPr>
        <w:t>Vegetable</w:t>
      </w:r>
      <w:r w:rsidR="00683C0B" w:rsidRPr="00781FEA">
        <w:rPr>
          <w:rFonts w:ascii="Times New Roman" w:eastAsia="Times New Roman" w:hAnsi="Times New Roman" w:cs="Times New Roman"/>
          <w:sz w:val="24"/>
          <w:szCs w:val="24"/>
        </w:rPr>
        <w:t xml:space="preserve"> </w:t>
      </w:r>
      <w:r w:rsidRPr="00781FEA">
        <w:rPr>
          <w:rFonts w:ascii="Times New Roman" w:eastAsia="Times New Roman" w:hAnsi="Times New Roman" w:cs="Times New Roman"/>
          <w:sz w:val="24"/>
          <w:szCs w:val="24"/>
        </w:rPr>
        <w:t>Breeding, Hybrid Crops</w:t>
      </w:r>
    </w:p>
    <w:p w14:paraId="73348327"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Introduction</w:t>
      </w:r>
    </w:p>
    <w:p w14:paraId="409859DE"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Vegetable crops are a fundamental part of global agriculture and human nutrition, supplying essential vitamins, minerals, antioxidants, and dietary fiber required for a balanced diet. In addition to their nutritional importance, vegetables contribute significantly to farm income and employment, particularly in developing countries. With the global population </w:t>
      </w:r>
      <w:r>
        <w:rPr>
          <w:rFonts w:ascii="Times New Roman" w:eastAsia="Times New Roman" w:hAnsi="Times New Roman" w:cs="Times New Roman"/>
          <w:sz w:val="24"/>
          <w:szCs w:val="24"/>
        </w:rPr>
        <w:lastRenderedPageBreak/>
        <w:t>increasing rapidly and challenges such as land degradation climate change, and water scarcity intensifying, improving vegetable productivity and quality has become critical for ensuring both nutritional and food security (Keatinge et al., 2011; Schreinemachers et al., 2018).</w:t>
      </w:r>
    </w:p>
    <w:p w14:paraId="2FBC664D"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Hybrid breeding has emerged as one of the most effective methods to enhance yield potential and quality in vegetable crops. This approach exploits heterosis, or hybrid vigor, wherein the first-generation (F₁) hybrids exhibit superior performance compare to their parental lines. The benefits of heterosis include increased yield, uniformity, adaptability, stress tolerance, and improved marketable traits such as size, colour, and shelf life (Duvick, 1999; Rai &amp; Rai, 2006). Commercial success of hybrid varieties in crops such as tomato, cabbage, cauliflower, onion, and cucurbits demonstrates the significant contribution of hybrid breeding to modern vegetable production systems. Although the genetic basis of heterosis is complex, involving dominance, overdominance, and epistatic interactions, its practical utility in crop improvement is well established (Chen, 2013).</w:t>
      </w:r>
    </w:p>
    <w:p w14:paraId="69AD6AD7"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Despite these advantages, hybrid seed production is often associated with high costs and technical challenges. In many vegetable crops, manual emasculation and controlled pollination are required to prevent self-fertilization, making the process labour-intensive and economically demanding. Furthermore, maintaining genetic purity and ensuring same timing of flowering between parental lines adds to the difficulty of hybrid seed production (Singh, 2005). Therefore, the development and utilization of efficient genetic mechanisms that facilitate natural cross-pollination are essential for reducing production costs and improving the scalability of hybrid seed systems.</w:t>
      </w:r>
    </w:p>
    <w:p w14:paraId="3CE8B643"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vegetable breeding, various genetic mechanisms are utilized to overcome reproductive barriers. Self-incompatibility (SI) is a precise genetic system that inhibits self-fertilization by recognizing and rejecting self-pollen, thereby enforcing cross-pollination (Bedinger et al., 2016; Muñoz-Sanz et al., 2020). This mechanism is commercially exploited to produce hybrid seeds in crops like cabbage, cauliflower, and radish (Watanabe et al., 2012). However, SI is a sensitive biological process that can be disrupted by environmental factors such as temperature and humidity, which may lead to "pseudo compatibility" and compromise the genetic purity of the resulting seeds (Do Canto et al., 2016).</w:t>
      </w:r>
    </w:p>
    <w:p w14:paraId="46A5015B"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its utility, the reliability of SI is not absolute. External environmental factors, particularly fluctuations in humidity and temperature, can interfere with the mechanism. These conditions may lead to a temporary failure of the incompatibility barrier, potentially resulting </w:t>
      </w:r>
      <w:r>
        <w:rPr>
          <w:rFonts w:ascii="Times New Roman" w:eastAsia="Times New Roman" w:hAnsi="Times New Roman" w:cs="Times New Roman"/>
          <w:sz w:val="24"/>
          <w:szCs w:val="24"/>
        </w:rPr>
        <w:lastRenderedPageBreak/>
        <w:t>in self-pollination and a subsequent reduction in the genetic purity of the seed lot (de Nettancourt, 2001).</w:t>
      </w:r>
    </w:p>
    <w:p w14:paraId="4331D1CE"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critical strategy in modern vegetable breeding is the utilization of male sterility, a physiological state that prevents the development or release of functional pollen, thereby bypassing the labour-intensive requirement for manual emasculation (Vasupalli et al., 2025). These reproductive systems are traditionally classified into three distinct categories based on their genetic architecture: Genetic Male Sterility (GMS): Regulated by genes located within the cell nucleus, GMS is frequently observed as a recessive trait across various vegetable species (Thakur et al., 2024).Cytoplasmic Male Sterility (CMS): This form is governed by the mitochondrial genome and is inherited maternally, ensuring that the progeny of a sterile plant remains sterile unless nuclear intervention occurs (Thakur et al., 2024; Vasupalli et al., 2025).Cytoplasmic-Genetic Male Sterility (CGMS): Often referred to as the "three-line system," CGMS involves a complex interaction between mitochondrial sterility factors and nuclear "restorer of fertility" (Rf) genes (Hanson, 2004; Thakur et al., 2024).Among these strategies, CGMS is the preferred mechanism for large-scale hybrid production in crops such as chili, onion, and carrot due to its high stability and the streamlined maintenance of parental lines using specific maintainer and restorer genotypes (Bhattacharya et al., 2024; Thakur et al., 2024). Recent advancements in crop genomics have significantly deepened our understanding of the mitochondrial chimeric genes that drive these mechanisms, facilitating more precise molecular manipulation for the next generation of hybrid vegetable varieties (Bhattacharya et al., 2024; Vasupalli et al., 2025).</w:t>
      </w:r>
    </w:p>
    <w:p w14:paraId="694AAC31"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SI and male sterility, gynoecism has proven to be an effective trait in hybrid breeding, particularly in cucurbitaceous vegetables. Gynoecious lines produce only female flowers, thereby increasing the efficiency of hybrid seed production by maximizing fruit set and reducing the need for labour-intensive operations. This trait has been successfully utilized in crops like cucumber and bitter gourd to improve hybrid seed yield and cost-effectiveness (Robinson &amp; Decker-Walters, 1997). The integration of these genetic mechanisms has significantly advanced hybrid breeding programs in vegetables, allowing large-scale production of high-quality hybrid seeds. However, each system has its own limitations related to environmental sensitivity, genetic stability, and maintenance requirements. As a result, a thorough understanding of these mechanisms is required for their successful implementation in various crops and agro-climatic settings.</w:t>
      </w:r>
    </w:p>
    <w:p w14:paraId="70BCC444" w14:textId="77777777" w:rsidR="003D6891" w:rsidRDefault="00447EBD" w:rsidP="00D9098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objective of this review is to critically examine the major genetic mechanisms used in hybrid breeding of vegetable crops, including self-incompatibility, male sterility systems (GMS, CMS, and CGMS), and gynoecism. The review also aims to highlight recent advances in molecular and genomic tools that enhance the efficiency of these systems, as well as the challenges and future prospects in hybrid seed production.</w:t>
      </w:r>
    </w:p>
    <w:p w14:paraId="14C25732"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Heterosis in Vegetable Crops</w:t>
      </w:r>
    </w:p>
    <w:p w14:paraId="7E97E19E"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Heterosis Concept</w:t>
      </w:r>
    </w:p>
    <w:p w14:paraId="23B75D0A" w14:textId="77777777" w:rsidR="003D6891" w:rsidRDefault="00447EBD" w:rsidP="00D9098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term </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heterosis</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was first introduced in 1914 by the American geneticist George Harrison Shull during his landmark corn research in Cold Spring Harbor (Shull, 1952; Hill, 1982). Often referred to as hybrid vigor, heterosis describes the phenomenon where $F_1$ hybrid progeny exhibit performance superior to that of their best-performing parents. In vegetable breeding, this biological advantage is leveraged to achieve substantial gains in yield, vegetative growth rate, and fruit size, alongside improvements in shelf life, precociousness, and resilience to both biotic and abiotic stressors. Beyond physiological enhancements, heterosis breeding remains one of the most effective strategies for boosting global agricultural productivity and grain output (Schnable &amp; Springer, 2013). Its application is particularly vital in mitigating the impacts of climate change, specifically in addressing the growing challenges of food and nutritional insecurity. While heterosis is more prominently utilized in cross-pollinated species compared to self-pollinated crops, it allows breeders to efficiently integrate diverse traits—such as plant architecture, fruit pigmentation, and disease resistance—into a single commercial variety (Singh et al., 2017). Furthermore, the hybrid nature of these crops provides a built-in mechanism for protecting intellectual property rights, as the specific parental lines remain proprietary to the breeder. The increasing volume of genomic and phenotypic data on vegetable hybrids continues to drive the development of more economically viable seed production systems and the exploration of the complex genetic pathways underlying this phenomenon (Singh et al., 2023).</w:t>
      </w:r>
    </w:p>
    <w:p w14:paraId="4C791F2D"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Importance in Vegetable Breeding</w:t>
      </w:r>
    </w:p>
    <w:p w14:paraId="5DADD351"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Rapid adoption of hybrid vegetable by farmers because of high yield, earliness and adaptable to biotic and abiotic stresses. Increasing land pressure from urbanisation and industrialization renders it impractical to expand the area dedicated to vegetable cultivation to meet our demand; therefore, enhancing yield per unit area has become more crucial than ever. This is where hybrids establish a distinct advantage over non-hybrids (Singh et al ,2017).</w:t>
      </w:r>
    </w:p>
    <w:p w14:paraId="7090BFB0"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Heterosis in Eggplant</w:t>
      </w:r>
    </w:p>
    <w:p w14:paraId="7C16A70A"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Heterosis is a phenomenon that appears in the F1 generation, depicts itself by rapid growth and development, higher productivity, greater vitality, resistance, and uniformity. In fact, in the case of eggplant, exploitation of heterosis or hybrid vigor has become an important tool for overall improvement in eggplant reported from the very beginning (Dhankhar et al,1980, Chadha et al ,1982).</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sz w:val="24"/>
          <w:szCs w:val="24"/>
        </w:rPr>
        <w:t>There is an immediate increase in size and weight of eggplant due to increment in embryo size reported by (Kakizaki,1931). Despite its economic and nutritional importance, breeding efforts in eggplant are still limited, resulting in lesser productivity when compared to other solanaceous crops (Mistry et al ,2018). First and foremost, the goal of eggplant is to create high-yielding cultivars, primarily F1 hybrids, with a high level of stress resistance (Daunay et al 2012). Although it is not possible to create a single variety with improved tolerance to diverse conditions and consumer preferences. As a result, heterosis breeding is mostly used to produce suitable regionally adapted hybrids with chosen fruit traits that have high yield and adaption (Ansari et al 2016, Ramya et al 2018). In eggplant, (Mistry et al. ,2018) discovered considerably positive heterobeltiosis for fruit volume, fruit length, and fruit production per plant, indicating that hybrid vigor can be employed on a commercial scale for these parameters. (Singh and Kumar ,1988) reported the highest fruit production heterosis (162.5%) compared to the better parent. (Das and Barua ,2021) found that the majority of eggplant crosses had a high level of heterosis for yield and contributing characteristics. (Patil et al.,2001) discovered heterotic effects owing to fruit weight (150.27 g), seed percentage (9.57%), fruit length (13.22 cm), and fruit production (3.19 kg/plant), providing significant evidence for the commercial application of heterosis.</w:t>
      </w:r>
    </w:p>
    <w:p w14:paraId="0C131E40"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1. Heterosis in cultivated eggplant for important morphological and fruit biochemical traits</w:t>
      </w:r>
    </w:p>
    <w:tbl>
      <w:tblPr>
        <w:tblStyle w:val="a"/>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8"/>
        <w:gridCol w:w="2385"/>
        <w:gridCol w:w="1171"/>
        <w:gridCol w:w="3202"/>
      </w:tblGrid>
      <w:tr w:rsidR="003D6891" w14:paraId="1588B436" w14:textId="77777777">
        <w:tc>
          <w:tcPr>
            <w:tcW w:w="2258" w:type="dxa"/>
          </w:tcPr>
          <w:p w14:paraId="547C3B37" w14:textId="77777777" w:rsidR="003D6891" w:rsidRDefault="00447EBD">
            <w:pPr>
              <w:spacing w:line="360" w:lineRule="auto"/>
              <w:jc w:val="both"/>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Trait</w:t>
            </w:r>
          </w:p>
        </w:tc>
        <w:tc>
          <w:tcPr>
            <w:tcW w:w="2385" w:type="dxa"/>
          </w:tcPr>
          <w:p w14:paraId="3CF88F23" w14:textId="77777777" w:rsidR="003D6891" w:rsidRDefault="00447EBD">
            <w:pPr>
              <w:spacing w:line="360" w:lineRule="auto"/>
              <w:jc w:val="both"/>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Types of Crosses</w:t>
            </w:r>
          </w:p>
        </w:tc>
        <w:tc>
          <w:tcPr>
            <w:tcW w:w="1171" w:type="dxa"/>
          </w:tcPr>
          <w:p w14:paraId="2698099C" w14:textId="77777777" w:rsidR="003D6891" w:rsidRDefault="00447EBD">
            <w:pPr>
              <w:spacing w:line="360" w:lineRule="auto"/>
              <w:jc w:val="both"/>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Range</w:t>
            </w:r>
          </w:p>
        </w:tc>
        <w:tc>
          <w:tcPr>
            <w:tcW w:w="3202" w:type="dxa"/>
          </w:tcPr>
          <w:p w14:paraId="31B55B9F" w14:textId="77777777" w:rsidR="003D6891" w:rsidRDefault="00447EBD">
            <w:pPr>
              <w:spacing w:line="360" w:lineRule="auto"/>
              <w:jc w:val="both"/>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References</w:t>
            </w:r>
          </w:p>
        </w:tc>
      </w:tr>
      <w:tr w:rsidR="003D6891" w14:paraId="5562620D" w14:textId="77777777">
        <w:tc>
          <w:tcPr>
            <w:tcW w:w="2258" w:type="dxa"/>
          </w:tcPr>
          <w:p w14:paraId="3876401A"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Fruit Yield (q </w:t>
            </w:r>
            <w:r>
              <w:rPr>
                <w:rFonts w:ascii="Times New Roman" w:eastAsia="Times New Roman" w:hAnsi="Times New Roman" w:cs="Times New Roman"/>
                <w:color w:val="222222"/>
                <w:sz w:val="24"/>
                <w:szCs w:val="24"/>
                <w:vertAlign w:val="superscript"/>
              </w:rPr>
              <w:t>ha-1</w:t>
            </w:r>
            <w:r>
              <w:rPr>
                <w:rFonts w:ascii="Times New Roman" w:eastAsia="Times New Roman" w:hAnsi="Times New Roman" w:cs="Times New Roman"/>
                <w:color w:val="222222"/>
                <w:sz w:val="24"/>
                <w:szCs w:val="24"/>
              </w:rPr>
              <w:t>)</w:t>
            </w:r>
          </w:p>
        </w:tc>
        <w:tc>
          <w:tcPr>
            <w:tcW w:w="2385" w:type="dxa"/>
          </w:tcPr>
          <w:p w14:paraId="2B860009"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diallel,</w:t>
            </w:r>
          </w:p>
        </w:tc>
        <w:tc>
          <w:tcPr>
            <w:tcW w:w="1171" w:type="dxa"/>
          </w:tcPr>
          <w:p w14:paraId="4EBC23E6"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50.48–62.20</w:t>
            </w:r>
          </w:p>
        </w:tc>
        <w:tc>
          <w:tcPr>
            <w:tcW w:w="3202" w:type="dxa"/>
          </w:tcPr>
          <w:p w14:paraId="22BA0519"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Hamada et al, Akpan et al</w:t>
            </w:r>
            <w:r>
              <w:rPr>
                <w:rFonts w:ascii="Times New Roman" w:eastAsia="Times New Roman" w:hAnsi="Times New Roman" w:cs="Times New Roman"/>
                <w:color w:val="222222"/>
                <w:sz w:val="24"/>
                <w:szCs w:val="24"/>
              </w:rPr>
              <w:t xml:space="preserve"> </w:t>
            </w:r>
          </w:p>
        </w:tc>
      </w:tr>
      <w:tr w:rsidR="003D6891" w14:paraId="67BAC32E" w14:textId="77777777">
        <w:tc>
          <w:tcPr>
            <w:tcW w:w="2258" w:type="dxa"/>
          </w:tcPr>
          <w:p w14:paraId="3A5881FC"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Plant Height (cm)</w:t>
            </w:r>
          </w:p>
        </w:tc>
        <w:tc>
          <w:tcPr>
            <w:tcW w:w="2385" w:type="dxa"/>
          </w:tcPr>
          <w:p w14:paraId="707F84A6"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diallel, Line × Tester, F</w:t>
            </w:r>
            <w:r>
              <w:rPr>
                <w:rFonts w:ascii="Times New Roman" w:eastAsia="Times New Roman" w:hAnsi="Times New Roman" w:cs="Times New Roman"/>
                <w:color w:val="222222"/>
                <w:sz w:val="24"/>
                <w:szCs w:val="24"/>
                <w:vertAlign w:val="subscript"/>
              </w:rPr>
              <w:t>1</w:t>
            </w:r>
            <w:r>
              <w:rPr>
                <w:rFonts w:ascii="Times New Roman" w:eastAsia="Times New Roman" w:hAnsi="Times New Roman" w:cs="Times New Roman"/>
                <w:color w:val="222222"/>
                <w:sz w:val="24"/>
                <w:szCs w:val="24"/>
              </w:rPr>
              <w:t> Crosses</w:t>
            </w:r>
          </w:p>
        </w:tc>
        <w:tc>
          <w:tcPr>
            <w:tcW w:w="1171" w:type="dxa"/>
          </w:tcPr>
          <w:p w14:paraId="6710C7EB"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6.09–57.77</w:t>
            </w:r>
          </w:p>
        </w:tc>
        <w:tc>
          <w:tcPr>
            <w:tcW w:w="3202" w:type="dxa"/>
          </w:tcPr>
          <w:p w14:paraId="09D266B4"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Mistry et al,</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sz w:val="24"/>
                <w:szCs w:val="24"/>
              </w:rPr>
              <w:t>Hamada et al, Akpan et al, Shahjahan et al</w:t>
            </w:r>
          </w:p>
        </w:tc>
      </w:tr>
      <w:tr w:rsidR="003D6891" w14:paraId="4F237770" w14:textId="77777777">
        <w:tc>
          <w:tcPr>
            <w:tcW w:w="2258" w:type="dxa"/>
          </w:tcPr>
          <w:p w14:paraId="02DEB9F8"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Fruit Yield/ Plant(kg)</w:t>
            </w:r>
          </w:p>
        </w:tc>
        <w:tc>
          <w:tcPr>
            <w:tcW w:w="2385" w:type="dxa"/>
          </w:tcPr>
          <w:p w14:paraId="3591150B"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half diallel, Line × Tester, F</w:t>
            </w:r>
            <w:r>
              <w:rPr>
                <w:rFonts w:ascii="Times New Roman" w:eastAsia="Times New Roman" w:hAnsi="Times New Roman" w:cs="Times New Roman"/>
                <w:color w:val="222222"/>
                <w:sz w:val="24"/>
                <w:szCs w:val="24"/>
                <w:vertAlign w:val="subscript"/>
              </w:rPr>
              <w:t>1</w:t>
            </w:r>
            <w:r>
              <w:rPr>
                <w:rFonts w:ascii="Times New Roman" w:eastAsia="Times New Roman" w:hAnsi="Times New Roman" w:cs="Times New Roman"/>
                <w:color w:val="222222"/>
                <w:sz w:val="24"/>
                <w:szCs w:val="24"/>
              </w:rPr>
              <w:t> Crosses</w:t>
            </w:r>
          </w:p>
        </w:tc>
        <w:tc>
          <w:tcPr>
            <w:tcW w:w="1171" w:type="dxa"/>
          </w:tcPr>
          <w:p w14:paraId="19E11873"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28.95–63.54</w:t>
            </w:r>
          </w:p>
        </w:tc>
        <w:tc>
          <w:tcPr>
            <w:tcW w:w="3202" w:type="dxa"/>
          </w:tcPr>
          <w:p w14:paraId="6B73A8E6"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Mistry et al,</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sz w:val="24"/>
                <w:szCs w:val="24"/>
              </w:rPr>
              <w:t>Akpan et al,</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sz w:val="24"/>
                <w:szCs w:val="24"/>
              </w:rPr>
              <w:t>Kalaiyarasi et al, Patel et al</w:t>
            </w:r>
          </w:p>
        </w:tc>
      </w:tr>
      <w:tr w:rsidR="003D6891" w14:paraId="669390DC" w14:textId="77777777">
        <w:tc>
          <w:tcPr>
            <w:tcW w:w="2258" w:type="dxa"/>
          </w:tcPr>
          <w:p w14:paraId="1EA9F582"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Number of Fruits/Plant</w:t>
            </w:r>
          </w:p>
        </w:tc>
        <w:tc>
          <w:tcPr>
            <w:tcW w:w="2385" w:type="dxa"/>
          </w:tcPr>
          <w:p w14:paraId="793C2C54"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half diallel, Line × Tester, F</w:t>
            </w:r>
            <w:r>
              <w:rPr>
                <w:rFonts w:ascii="Times New Roman" w:eastAsia="Times New Roman" w:hAnsi="Times New Roman" w:cs="Times New Roman"/>
                <w:color w:val="222222"/>
                <w:sz w:val="24"/>
                <w:szCs w:val="24"/>
                <w:vertAlign w:val="subscript"/>
              </w:rPr>
              <w:t>1</w:t>
            </w:r>
            <w:r>
              <w:rPr>
                <w:rFonts w:ascii="Times New Roman" w:eastAsia="Times New Roman" w:hAnsi="Times New Roman" w:cs="Times New Roman"/>
                <w:color w:val="222222"/>
                <w:sz w:val="24"/>
                <w:szCs w:val="24"/>
              </w:rPr>
              <w:t> Crosses</w:t>
            </w:r>
          </w:p>
        </w:tc>
        <w:tc>
          <w:tcPr>
            <w:tcW w:w="1171" w:type="dxa"/>
          </w:tcPr>
          <w:p w14:paraId="147D83E3"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14.56–158.90</w:t>
            </w:r>
          </w:p>
        </w:tc>
        <w:tc>
          <w:tcPr>
            <w:tcW w:w="3202" w:type="dxa"/>
          </w:tcPr>
          <w:p w14:paraId="2E394833"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Mistry et al,</w:t>
            </w:r>
            <w:r>
              <w:rPr>
                <w:rFonts w:ascii="Times New Roman" w:eastAsia="Times New Roman" w:hAnsi="Times New Roman" w:cs="Times New Roman"/>
                <w:color w:val="222222"/>
                <w:sz w:val="24"/>
                <w:szCs w:val="24"/>
              </w:rPr>
              <w:t xml:space="preserve"> Akpan</w:t>
            </w:r>
            <w:r>
              <w:rPr>
                <w:rFonts w:ascii="Times New Roman" w:eastAsia="Times New Roman" w:hAnsi="Times New Roman" w:cs="Times New Roman"/>
                <w:sz w:val="24"/>
                <w:szCs w:val="24"/>
              </w:rPr>
              <w:t xml:space="preserve"> et al,</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sz w:val="24"/>
                <w:szCs w:val="24"/>
              </w:rPr>
              <w:t>Kalaiyarasi et al</w:t>
            </w:r>
          </w:p>
        </w:tc>
      </w:tr>
      <w:tr w:rsidR="003D6891" w14:paraId="0978FFE2" w14:textId="77777777">
        <w:tc>
          <w:tcPr>
            <w:tcW w:w="2258" w:type="dxa"/>
          </w:tcPr>
          <w:p w14:paraId="46293AF0"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Fruit Weight (g)</w:t>
            </w:r>
          </w:p>
        </w:tc>
        <w:tc>
          <w:tcPr>
            <w:tcW w:w="2385" w:type="dxa"/>
          </w:tcPr>
          <w:p w14:paraId="36C6DC0F"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w:t>
            </w:r>
            <w:r>
              <w:rPr>
                <w:rFonts w:ascii="Times New Roman" w:eastAsia="Times New Roman" w:hAnsi="Times New Roman" w:cs="Times New Roman"/>
                <w:color w:val="222222"/>
                <w:sz w:val="24"/>
                <w:szCs w:val="24"/>
                <w:vertAlign w:val="subscript"/>
              </w:rPr>
              <w:t>1</w:t>
            </w:r>
            <w:r>
              <w:rPr>
                <w:rFonts w:ascii="Times New Roman" w:eastAsia="Times New Roman" w:hAnsi="Times New Roman" w:cs="Times New Roman"/>
                <w:color w:val="222222"/>
                <w:sz w:val="24"/>
                <w:szCs w:val="24"/>
              </w:rPr>
              <w:t> Crosses</w:t>
            </w:r>
          </w:p>
        </w:tc>
        <w:tc>
          <w:tcPr>
            <w:tcW w:w="1171" w:type="dxa"/>
          </w:tcPr>
          <w:p w14:paraId="05F5013F"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19.8</w:t>
            </w:r>
          </w:p>
        </w:tc>
        <w:tc>
          <w:tcPr>
            <w:tcW w:w="3202" w:type="dxa"/>
          </w:tcPr>
          <w:p w14:paraId="233D808A"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Mistry et al</w:t>
            </w:r>
          </w:p>
        </w:tc>
      </w:tr>
      <w:tr w:rsidR="003D6891" w14:paraId="20D250E0" w14:textId="77777777">
        <w:tc>
          <w:tcPr>
            <w:tcW w:w="2258" w:type="dxa"/>
          </w:tcPr>
          <w:p w14:paraId="01FD3B1A"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Fruit Length (cm)</w:t>
            </w:r>
          </w:p>
        </w:tc>
        <w:tc>
          <w:tcPr>
            <w:tcW w:w="2385" w:type="dxa"/>
          </w:tcPr>
          <w:p w14:paraId="6AD0F82F"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Line × Tester, F</w:t>
            </w:r>
            <w:r>
              <w:rPr>
                <w:rFonts w:ascii="Times New Roman" w:eastAsia="Times New Roman" w:hAnsi="Times New Roman" w:cs="Times New Roman"/>
                <w:color w:val="222222"/>
                <w:sz w:val="24"/>
                <w:szCs w:val="24"/>
                <w:vertAlign w:val="subscript"/>
              </w:rPr>
              <w:t>1</w:t>
            </w:r>
            <w:r>
              <w:rPr>
                <w:rFonts w:ascii="Times New Roman" w:eastAsia="Times New Roman" w:hAnsi="Times New Roman" w:cs="Times New Roman"/>
                <w:color w:val="222222"/>
                <w:sz w:val="24"/>
                <w:szCs w:val="24"/>
              </w:rPr>
              <w:t> Crosses</w:t>
            </w:r>
          </w:p>
        </w:tc>
        <w:tc>
          <w:tcPr>
            <w:tcW w:w="1171" w:type="dxa"/>
          </w:tcPr>
          <w:p w14:paraId="6DCE1591"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21.81–47.08</w:t>
            </w:r>
          </w:p>
        </w:tc>
        <w:tc>
          <w:tcPr>
            <w:tcW w:w="3202" w:type="dxa"/>
          </w:tcPr>
          <w:p w14:paraId="161E3B36"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Mistry et al,</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sz w:val="24"/>
                <w:szCs w:val="24"/>
              </w:rPr>
              <w:t>Kalaiyarasi et al</w:t>
            </w:r>
          </w:p>
        </w:tc>
      </w:tr>
      <w:tr w:rsidR="003D6891" w14:paraId="3064D0C8" w14:textId="77777777">
        <w:tc>
          <w:tcPr>
            <w:tcW w:w="2258" w:type="dxa"/>
          </w:tcPr>
          <w:p w14:paraId="3F755513"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Fruit Girth (cm)</w:t>
            </w:r>
          </w:p>
        </w:tc>
        <w:tc>
          <w:tcPr>
            <w:tcW w:w="2385" w:type="dxa"/>
          </w:tcPr>
          <w:p w14:paraId="134DA07B"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Line × Tester, F</w:t>
            </w:r>
            <w:r>
              <w:rPr>
                <w:rFonts w:ascii="Times New Roman" w:eastAsia="Times New Roman" w:hAnsi="Times New Roman" w:cs="Times New Roman"/>
                <w:color w:val="222222"/>
                <w:sz w:val="24"/>
                <w:szCs w:val="24"/>
                <w:vertAlign w:val="subscript"/>
              </w:rPr>
              <w:t>1</w:t>
            </w:r>
            <w:r>
              <w:rPr>
                <w:rFonts w:ascii="Times New Roman" w:eastAsia="Times New Roman" w:hAnsi="Times New Roman" w:cs="Times New Roman"/>
                <w:color w:val="222222"/>
                <w:sz w:val="24"/>
                <w:szCs w:val="24"/>
              </w:rPr>
              <w:t> Crosses</w:t>
            </w:r>
          </w:p>
        </w:tc>
        <w:tc>
          <w:tcPr>
            <w:tcW w:w="1171" w:type="dxa"/>
          </w:tcPr>
          <w:p w14:paraId="24125BB6"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19.15–29.05</w:t>
            </w:r>
          </w:p>
        </w:tc>
        <w:tc>
          <w:tcPr>
            <w:tcW w:w="3202" w:type="dxa"/>
          </w:tcPr>
          <w:p w14:paraId="6F552477"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Mistry et al,</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sz w:val="24"/>
                <w:szCs w:val="24"/>
              </w:rPr>
              <w:t>Kalaiyarasi et al</w:t>
            </w:r>
          </w:p>
        </w:tc>
      </w:tr>
      <w:tr w:rsidR="003D6891" w14:paraId="20802729" w14:textId="77777777">
        <w:tc>
          <w:tcPr>
            <w:tcW w:w="2258" w:type="dxa"/>
          </w:tcPr>
          <w:p w14:paraId="26AA63B2"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Ascorbic acid content (mg/100)</w:t>
            </w:r>
          </w:p>
        </w:tc>
        <w:tc>
          <w:tcPr>
            <w:tcW w:w="2385" w:type="dxa"/>
          </w:tcPr>
          <w:p w14:paraId="71BF71BD"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half diallel</w:t>
            </w:r>
          </w:p>
        </w:tc>
        <w:tc>
          <w:tcPr>
            <w:tcW w:w="1171" w:type="dxa"/>
          </w:tcPr>
          <w:p w14:paraId="587B43D7"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22.39</w:t>
            </w:r>
          </w:p>
        </w:tc>
        <w:tc>
          <w:tcPr>
            <w:tcW w:w="3202" w:type="dxa"/>
          </w:tcPr>
          <w:p w14:paraId="0BE66367"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Patel et al</w:t>
            </w:r>
          </w:p>
        </w:tc>
      </w:tr>
      <w:tr w:rsidR="003D6891" w14:paraId="30E2101A" w14:textId="77777777">
        <w:tc>
          <w:tcPr>
            <w:tcW w:w="2258" w:type="dxa"/>
          </w:tcPr>
          <w:p w14:paraId="6F6B00F8"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Total Phenolic Content (mg/100)</w:t>
            </w:r>
          </w:p>
        </w:tc>
        <w:tc>
          <w:tcPr>
            <w:tcW w:w="2385" w:type="dxa"/>
          </w:tcPr>
          <w:p w14:paraId="77112952"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half diallel</w:t>
            </w:r>
          </w:p>
        </w:tc>
        <w:tc>
          <w:tcPr>
            <w:tcW w:w="1171" w:type="dxa"/>
          </w:tcPr>
          <w:p w14:paraId="686B191C"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7.97</w:t>
            </w:r>
          </w:p>
        </w:tc>
        <w:tc>
          <w:tcPr>
            <w:tcW w:w="3202" w:type="dxa"/>
          </w:tcPr>
          <w:p w14:paraId="6FAF3DC8" w14:textId="77777777" w:rsidR="003D6891" w:rsidRDefault="00447EBD">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Patel et al</w:t>
            </w:r>
          </w:p>
        </w:tc>
      </w:tr>
    </w:tbl>
    <w:p w14:paraId="6B908564" w14:textId="77777777" w:rsidR="003D6891" w:rsidRDefault="003D6891">
      <w:pPr>
        <w:spacing w:line="360" w:lineRule="auto"/>
        <w:jc w:val="both"/>
        <w:rPr>
          <w:rFonts w:ascii="Times New Roman" w:eastAsia="Times New Roman" w:hAnsi="Times New Roman" w:cs="Times New Roman"/>
          <w:sz w:val="24"/>
          <w:szCs w:val="24"/>
        </w:rPr>
      </w:pPr>
    </w:p>
    <w:p w14:paraId="225A4644"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Heterosis in Cucurbitaceous Crops</w:t>
      </w:r>
    </w:p>
    <w:p w14:paraId="7C4658C5"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Cucurbitaceous crops, India's largest vegetable crop family, require cautious replacement of unrecognized inferior types that are low-yielding, barren, and pest and disease-prone. Crop improvement programs can help address these issues. Heterosis breeding improves crop yield and quality. (Kennedy et al. ,1995) analysed sixty bitter gourd hybrids from four lines and fifteen testers to study heterosis. They found significant heterosis across all traits studied. The hybrid Pusa Vishesh x MC 13 outperformed the standard and better parents with 65.74 and 49.00% heterosis, respectively. (Rajeswari and Natarajan,1999) studied bitter gourd heterosis using six parental lines and 30 hybrids in a full diallel fashion. They found that cross combinations Preethi x MDU-1, Preethi x CO-1, and Arka Harit x Preethi had the highest heterosis for fruit weight and yield-1. Jansi et al conducted study on Cucurbita moschata (pumpkin) investigated heterosis utilizing four generations (P₁, P₂, F₁, and F₂) of crosses involving Odisha local, Ambili, Rajasthan local, and Pusa Viswas. Significant negative heterosis was discovered for variables such as days to first female flower, vine length, and fruit size, whereas positive heterosis was found for number of fruits per vine. The cross between Rajasthan local and Pusa Viswas resulted in significant beneficial heterobeltiosis for fruit yield and related features.</w:t>
      </w:r>
    </w:p>
    <w:p w14:paraId="31C87501"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Genetic Basis of Heterosis</w:t>
      </w:r>
    </w:p>
    <w:p w14:paraId="723D6F84"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nearly a century, researchers have sought to understand the genetic basis of heterosis. Two notions are commonly used to explain the heterosis phenomenon: dominance </w:t>
      </w:r>
      <w:r>
        <w:rPr>
          <w:rFonts w:ascii="Times New Roman" w:eastAsia="Times New Roman" w:hAnsi="Times New Roman" w:cs="Times New Roman"/>
          <w:sz w:val="24"/>
          <w:szCs w:val="24"/>
        </w:rPr>
        <w:lastRenderedPageBreak/>
        <w:t>and over-dominance hypothesis. According to the dominance hypothesis, heterosis results from the complementation of detrimental alleles found in inbred parental line. In contrast, the over-dominance hypothesis interpretation states that the hybrids allelic interactions are such that the heterozygous alleles in the hybrid combination outperform either of the homozygous ones. (Birchler 2006,2010, Luo 2001)</w:t>
      </w:r>
    </w:p>
    <w:p w14:paraId="39EC1816"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Genetic Mechanisms</w:t>
      </w:r>
    </w:p>
    <w:p w14:paraId="3164C4A8"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optimize hybrid seed production, several methodologies have been developed based on specific emasculation and pollination control techniques. Among these, the integration of inherent genetic mechanisms stands out as a premier strategy for reducing production costs while simultaneously safeguarding the genetic integrity of the seed lot. Biological pathways such as self-incompatibility (SI), male sterility, and gynoecism (the development of exclusively female flowers) have emerged as highly reliable and commercially efficient alternatives to manual hybridization methods. The economic viability and consistency of these systems have led to their widespread adoption among contemporary plant breeders as the preferred tools for large-scale hybrid development (Singh et al., 2023).</w:t>
      </w:r>
    </w:p>
    <w:p w14:paraId="01D93182"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Self-Incompatibility (SI) Mechanism</w:t>
      </w:r>
    </w:p>
    <w:p w14:paraId="044CFEDA"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phenomenon of self-incompatibility (SI) was first recorded by Koelreuter in the mid-18th century, though it was Charles Darwin’s 1877 discussion that catalysed formal scientific interest in the subject. The specific terminology of "self-incompatibility" was later established by Stout in 1917. Our modern understanding of the genetic architecture and molecular products governing SI traits was significantly advanced by Bateman’s seminal reports on incompatibility within the Brassicaceae family—specifically in </w:t>
      </w:r>
      <w:r>
        <w:rPr>
          <w:rFonts w:ascii="Times New Roman" w:eastAsia="Times New Roman" w:hAnsi="Times New Roman" w:cs="Times New Roman"/>
          <w:i/>
          <w:iCs/>
          <w:sz w:val="24"/>
          <w:szCs w:val="24"/>
        </w:rPr>
        <w:t>Iberis amara</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Raphanus sativus</w:t>
      </w:r>
      <w:r>
        <w:rPr>
          <w:rFonts w:ascii="Times New Roman" w:eastAsia="Times New Roman" w:hAnsi="Times New Roman" w:cs="Times New Roman"/>
          <w:sz w:val="24"/>
          <w:szCs w:val="24"/>
        </w:rPr>
        <w:t xml:space="preserve"> L., and </w:t>
      </w:r>
      <w:r>
        <w:rPr>
          <w:rFonts w:ascii="Times New Roman" w:eastAsia="Times New Roman" w:hAnsi="Times New Roman" w:cs="Times New Roman"/>
          <w:i/>
          <w:iCs/>
          <w:sz w:val="24"/>
          <w:szCs w:val="24"/>
        </w:rPr>
        <w:t>Brassica campestris</w:t>
      </w:r>
      <w:r>
        <w:rPr>
          <w:rFonts w:ascii="Times New Roman" w:eastAsia="Times New Roman" w:hAnsi="Times New Roman" w:cs="Times New Roman"/>
          <w:sz w:val="24"/>
          <w:szCs w:val="24"/>
        </w:rPr>
        <w:t xml:space="preserve"> L. (Dodds et al., 1997).</w:t>
      </w:r>
    </w:p>
    <w:p w14:paraId="18D9B4A3"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its core, SI describes a reproductive barrier in hermaphroditic flowers where; despite producing functional male and female gametes, self-pollination fails to result in fertilization (Muthuselvi et al., 2019). This mechanism is a vital evolutionary strategy employed by various angiosperms to inhibit self-fertilization, thereby promoting cross-pollination and maintaining high levels of genetic diversity within a population (de Nettancourt, 2001).</w:t>
      </w:r>
    </w:p>
    <w:p w14:paraId="72F3879A"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biological response of SI relies on a sophisticated "self" and "non-self" recognition system between the pollen and the pistil. This recognition is followed by the selective inhibition of self-pollen germination or pollen tube elongation. In the majority of species, this </w:t>
      </w:r>
      <w:r>
        <w:rPr>
          <w:rFonts w:ascii="Times New Roman" w:eastAsia="Times New Roman" w:hAnsi="Times New Roman" w:cs="Times New Roman"/>
          <w:sz w:val="24"/>
          <w:szCs w:val="24"/>
        </w:rPr>
        <w:lastRenderedPageBreak/>
        <w:t>identification process is regulated by a single, multiallelic genomic region known as the S-locus. Pollen rejection occurs specifically when the S-allele specificity expressed by the pollen matches that of the pistil (Takayama &amp; Isogai, 2005).</w:t>
      </w:r>
    </w:p>
    <w:p w14:paraId="03A60AF5"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Main features of self-incompatibility</w:t>
      </w:r>
    </w:p>
    <w:p w14:paraId="13FF195F" w14:textId="77777777" w:rsidR="003D6891" w:rsidRDefault="00447EBD">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Self-incompatible species do not develop seeds during self-pollination, but cross-pollination produces normal seed sets.</w:t>
      </w:r>
    </w:p>
    <w:p w14:paraId="3C7D061D" w14:textId="77777777" w:rsidR="003D6891" w:rsidRDefault="00447EBD">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Self-incompatibility is a key outbreeding mechanism that prevents autogamy and promotes allogamy.</w:t>
      </w:r>
    </w:p>
    <w:p w14:paraId="23604DA5" w14:textId="77777777" w:rsidR="003D6891" w:rsidRDefault="00447EBD">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Self-incompatibility can be caused by various factors, including morphology, genetics, physiological, and biochemistry.</w:t>
      </w:r>
    </w:p>
    <w:p w14:paraId="408F74E1" w14:textId="77777777" w:rsidR="003D6891" w:rsidRDefault="00447EBD">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Outbreeding keeps a species' heterozygosity high, while eliminating inbreeding or selfing diminishes homozygosity.</w:t>
      </w:r>
    </w:p>
    <w:p w14:paraId="5A83AF95" w14:textId="77777777" w:rsidR="003D6891" w:rsidRDefault="00447EBD">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Self-incompatibility reaction can occur at any point between pollination and fertilization. (Muthuselvi </w:t>
      </w:r>
      <w:r>
        <w:rPr>
          <w:rFonts w:ascii="Times New Roman" w:eastAsia="Times New Roman" w:hAnsi="Times New Roman" w:cs="Times New Roman"/>
          <w:i/>
          <w:iCs/>
          <w:color w:val="000000"/>
          <w:sz w:val="24"/>
          <w:szCs w:val="24"/>
        </w:rPr>
        <w:t>et al</w:t>
      </w:r>
      <w:r>
        <w:rPr>
          <w:rFonts w:ascii="Times New Roman" w:eastAsia="Times New Roman" w:hAnsi="Times New Roman" w:cs="Times New Roman"/>
          <w:color w:val="000000"/>
          <w:sz w:val="24"/>
          <w:szCs w:val="24"/>
        </w:rPr>
        <w:t xml:space="preserve"> ,2019).</w:t>
      </w:r>
    </w:p>
    <w:p w14:paraId="08F3CACA"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Classification of self-incompatibility</w:t>
      </w:r>
    </w:p>
    <w:p w14:paraId="0BB74AD4"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Complementary system of Self Incompatibility</w:t>
      </w:r>
    </w:p>
    <w:p w14:paraId="11BE5746"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system is also known as stimulatory type of SI. Bateman gave this concept in 1952. This idea suggests that incompatibility occurs when pistils do not stimulate pollen growth in similar genotypes (S1 S2 X S1 S2). Self-incompatibility occurs when the pistil or pollen lacks essential substances for pollen tube penetration during selfing. This occurs when the pollen and/or pistil fail to produce the substance required for pollen germination or tube growth in the style and ovary. The complementary system relies on the combination of unlike alleles in pollen and style. The combination of alleles produces a stimulant for pollen tube growth or an antidote to the inhibition already present in the style (Muthuselvi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2019), Verma et al 2018).</w:t>
      </w:r>
    </w:p>
    <w:p w14:paraId="4E26CB01"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Oppositional system of self-incompatibility: </w:t>
      </w:r>
    </w:p>
    <w:p w14:paraId="4146D681"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Oppositional system of self-incompatibility is also called as inhibitory type of SI. According to this concept, the interaction of like alleles (S1 S2 X S1 S2) produces an inhibitor that suppresses the formation of pollen tubes in pistils. In other words, the interaction of similar alleles in pollen and pistil produces a chemical that disrupts the normal metabolism of the pollen grain or tube. The inhibitor can act in three different ways: 1) through inhibit an enzyme </w:t>
      </w:r>
      <w:r>
        <w:rPr>
          <w:rFonts w:ascii="Times New Roman" w:eastAsia="Times New Roman" w:hAnsi="Times New Roman" w:cs="Times New Roman"/>
          <w:sz w:val="24"/>
          <w:szCs w:val="24"/>
        </w:rPr>
        <w:lastRenderedPageBreak/>
        <w:t xml:space="preserve">necessary for the penetration of style. 2)it inhibits an enzyme necessary for pollen tube growth.3) it block pollen tube membrane (Muthuselvi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xml:space="preserve"> 2019), Verma et al 2018).</w:t>
      </w:r>
    </w:p>
    <w:p w14:paraId="559FF757"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2: Classification of self-incompatibility</w:t>
      </w:r>
    </w:p>
    <w:tbl>
      <w:tblPr>
        <w:tblStyle w:val="a0"/>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3005"/>
        <w:gridCol w:w="3006"/>
      </w:tblGrid>
      <w:tr w:rsidR="003D6891" w14:paraId="5DDB4FFE" w14:textId="77777777">
        <w:tc>
          <w:tcPr>
            <w:tcW w:w="3005" w:type="dxa"/>
          </w:tcPr>
          <w:p w14:paraId="74E0B4B2"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Basis of classification</w:t>
            </w:r>
          </w:p>
        </w:tc>
        <w:tc>
          <w:tcPr>
            <w:tcW w:w="3005" w:type="dxa"/>
          </w:tcPr>
          <w:p w14:paraId="6B8106AC"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Type of self-incompatibility</w:t>
            </w:r>
          </w:p>
        </w:tc>
        <w:tc>
          <w:tcPr>
            <w:tcW w:w="3006" w:type="dxa"/>
          </w:tcPr>
          <w:p w14:paraId="4FE9F7FC"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Brief description</w:t>
            </w:r>
          </w:p>
        </w:tc>
      </w:tr>
      <w:tr w:rsidR="003D6891" w14:paraId="20791332" w14:textId="77777777">
        <w:tc>
          <w:tcPr>
            <w:tcW w:w="3005" w:type="dxa"/>
            <w:vMerge w:val="restart"/>
          </w:tcPr>
          <w:p w14:paraId="4198AE1F"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1.Flower morphology</w:t>
            </w:r>
          </w:p>
        </w:tc>
        <w:tc>
          <w:tcPr>
            <w:tcW w:w="3005" w:type="dxa"/>
          </w:tcPr>
          <w:p w14:paraId="195CB5DA"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heteromorphic</w:t>
            </w:r>
          </w:p>
        </w:tc>
        <w:tc>
          <w:tcPr>
            <w:tcW w:w="3006" w:type="dxa"/>
          </w:tcPr>
          <w:p w14:paraId="14B936D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is associated with differences in flower morphology.</w:t>
            </w:r>
          </w:p>
        </w:tc>
      </w:tr>
      <w:tr w:rsidR="003D6891" w14:paraId="16575955" w14:textId="77777777">
        <w:tc>
          <w:tcPr>
            <w:tcW w:w="3005" w:type="dxa"/>
            <w:vMerge/>
          </w:tcPr>
          <w:p w14:paraId="5FE23722"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05" w:type="dxa"/>
          </w:tcPr>
          <w:p w14:paraId="046A089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i)distyly</w:t>
            </w:r>
          </w:p>
        </w:tc>
        <w:tc>
          <w:tcPr>
            <w:tcW w:w="3006" w:type="dxa"/>
          </w:tcPr>
          <w:p w14:paraId="72D9532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Styles and stamens are of two types, i.e., short and long</w:t>
            </w:r>
          </w:p>
        </w:tc>
      </w:tr>
      <w:tr w:rsidR="003D6891" w14:paraId="6C4F0AC3" w14:textId="77777777">
        <w:tc>
          <w:tcPr>
            <w:tcW w:w="3005" w:type="dxa"/>
            <w:vMerge/>
          </w:tcPr>
          <w:p w14:paraId="300ACFD9"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05" w:type="dxa"/>
          </w:tcPr>
          <w:p w14:paraId="29D473A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ii)Tristyly</w:t>
            </w:r>
          </w:p>
        </w:tc>
        <w:tc>
          <w:tcPr>
            <w:tcW w:w="3006" w:type="dxa"/>
          </w:tcPr>
          <w:p w14:paraId="5664990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Styles and stamens have three positions, i.e., short, medium and long.</w:t>
            </w:r>
          </w:p>
        </w:tc>
      </w:tr>
      <w:tr w:rsidR="003D6891" w14:paraId="59126DFF" w14:textId="77777777">
        <w:tc>
          <w:tcPr>
            <w:tcW w:w="3005" w:type="dxa"/>
            <w:vMerge/>
          </w:tcPr>
          <w:p w14:paraId="2F5CD2A7"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05" w:type="dxa"/>
          </w:tcPr>
          <w:p w14:paraId="170A153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Homomorphic</w:t>
            </w:r>
          </w:p>
        </w:tc>
        <w:tc>
          <w:tcPr>
            <w:tcW w:w="3006" w:type="dxa"/>
          </w:tcPr>
          <w:p w14:paraId="78DD33A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flowers do not differ in Morphology</w:t>
            </w:r>
          </w:p>
        </w:tc>
      </w:tr>
      <w:tr w:rsidR="003D6891" w14:paraId="542BF35A" w14:textId="77777777">
        <w:tc>
          <w:tcPr>
            <w:tcW w:w="3005" w:type="dxa"/>
            <w:vMerge/>
          </w:tcPr>
          <w:p w14:paraId="3312A6A1"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05" w:type="dxa"/>
          </w:tcPr>
          <w:p w14:paraId="6D8F43E7"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i)Sporophytic</w:t>
            </w:r>
          </w:p>
        </w:tc>
        <w:tc>
          <w:tcPr>
            <w:tcW w:w="3006" w:type="dxa"/>
          </w:tcPr>
          <w:p w14:paraId="2C2CF7D2"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is governed by genotype of pollen producing plant.</w:t>
            </w:r>
          </w:p>
        </w:tc>
      </w:tr>
      <w:tr w:rsidR="003D6891" w14:paraId="7611E6B4" w14:textId="77777777">
        <w:tc>
          <w:tcPr>
            <w:tcW w:w="3005" w:type="dxa"/>
            <w:vMerge/>
          </w:tcPr>
          <w:p w14:paraId="3523A926"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05" w:type="dxa"/>
          </w:tcPr>
          <w:p w14:paraId="341CEE6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ii)Gametophytic</w:t>
            </w:r>
          </w:p>
        </w:tc>
        <w:tc>
          <w:tcPr>
            <w:tcW w:w="3006" w:type="dxa"/>
          </w:tcPr>
          <w:p w14:paraId="54F27F7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is governed by the genetic constitution of gametes.</w:t>
            </w:r>
          </w:p>
        </w:tc>
      </w:tr>
      <w:tr w:rsidR="003D6891" w14:paraId="3803E782" w14:textId="77777777">
        <w:tc>
          <w:tcPr>
            <w:tcW w:w="3005" w:type="dxa"/>
            <w:vMerge w:val="restart"/>
          </w:tcPr>
          <w:p w14:paraId="27CC70B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site of expression</w:t>
            </w:r>
          </w:p>
        </w:tc>
        <w:tc>
          <w:tcPr>
            <w:tcW w:w="3005" w:type="dxa"/>
          </w:tcPr>
          <w:p w14:paraId="690DEB7C"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Stigmatic</w:t>
            </w:r>
          </w:p>
        </w:tc>
        <w:tc>
          <w:tcPr>
            <w:tcW w:w="3006" w:type="dxa"/>
          </w:tcPr>
          <w:p w14:paraId="560FD24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genes express on the stigma</w:t>
            </w:r>
          </w:p>
        </w:tc>
      </w:tr>
      <w:tr w:rsidR="003D6891" w14:paraId="680BAFC9" w14:textId="77777777">
        <w:tc>
          <w:tcPr>
            <w:tcW w:w="3005" w:type="dxa"/>
            <w:vMerge/>
          </w:tcPr>
          <w:p w14:paraId="08D532A8"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05" w:type="dxa"/>
          </w:tcPr>
          <w:p w14:paraId="760514F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stylar</w:t>
            </w:r>
          </w:p>
        </w:tc>
        <w:tc>
          <w:tcPr>
            <w:tcW w:w="3006" w:type="dxa"/>
          </w:tcPr>
          <w:p w14:paraId="3C035CC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genes express in the style.</w:t>
            </w:r>
          </w:p>
        </w:tc>
      </w:tr>
      <w:tr w:rsidR="003D6891" w14:paraId="34FF734E" w14:textId="77777777">
        <w:tc>
          <w:tcPr>
            <w:tcW w:w="3005" w:type="dxa"/>
            <w:vMerge/>
          </w:tcPr>
          <w:p w14:paraId="23639C45"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05" w:type="dxa"/>
          </w:tcPr>
          <w:p w14:paraId="3F6ECC4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Ovarian</w:t>
            </w:r>
          </w:p>
        </w:tc>
        <w:tc>
          <w:tcPr>
            <w:tcW w:w="3006" w:type="dxa"/>
          </w:tcPr>
          <w:p w14:paraId="189F5EA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genes express in the ovary</w:t>
            </w:r>
          </w:p>
        </w:tc>
      </w:tr>
      <w:tr w:rsidR="003D6891" w14:paraId="59AC789C" w14:textId="77777777">
        <w:tc>
          <w:tcPr>
            <w:tcW w:w="3005" w:type="dxa"/>
            <w:vMerge w:val="restart"/>
          </w:tcPr>
          <w:p w14:paraId="46F73F1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Pollen Cytology</w:t>
            </w:r>
          </w:p>
        </w:tc>
        <w:tc>
          <w:tcPr>
            <w:tcW w:w="3005" w:type="dxa"/>
          </w:tcPr>
          <w:p w14:paraId="163D3C3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Binucleate</w:t>
            </w:r>
          </w:p>
        </w:tc>
        <w:tc>
          <w:tcPr>
            <w:tcW w:w="3006" w:type="dxa"/>
          </w:tcPr>
          <w:p w14:paraId="463AD28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pollen grains have two nuclei</w:t>
            </w:r>
          </w:p>
        </w:tc>
      </w:tr>
      <w:tr w:rsidR="003D6891" w14:paraId="2004EEA2" w14:textId="77777777">
        <w:tc>
          <w:tcPr>
            <w:tcW w:w="3005" w:type="dxa"/>
            <w:vMerge/>
          </w:tcPr>
          <w:p w14:paraId="489BEF82"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05" w:type="dxa"/>
          </w:tcPr>
          <w:p w14:paraId="21402B37"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Trinucleate</w:t>
            </w:r>
          </w:p>
        </w:tc>
        <w:tc>
          <w:tcPr>
            <w:tcW w:w="3006" w:type="dxa"/>
          </w:tcPr>
          <w:p w14:paraId="35C6A06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pollen grains have three nuclei</w:t>
            </w:r>
          </w:p>
        </w:tc>
      </w:tr>
      <w:tr w:rsidR="003D6891" w14:paraId="19E42844" w14:textId="77777777">
        <w:tc>
          <w:tcPr>
            <w:tcW w:w="3005" w:type="dxa"/>
            <w:vMerge w:val="restart"/>
          </w:tcPr>
          <w:p w14:paraId="78437472"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Gene involved</w:t>
            </w:r>
          </w:p>
        </w:tc>
        <w:tc>
          <w:tcPr>
            <w:tcW w:w="3005" w:type="dxa"/>
          </w:tcPr>
          <w:p w14:paraId="4ED7311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Monoallelic</w:t>
            </w:r>
          </w:p>
        </w:tc>
        <w:tc>
          <w:tcPr>
            <w:tcW w:w="3006" w:type="dxa"/>
          </w:tcPr>
          <w:p w14:paraId="308282E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is controlled by a single gene</w:t>
            </w:r>
          </w:p>
        </w:tc>
      </w:tr>
      <w:tr w:rsidR="003D6891" w14:paraId="0DE6BA0D" w14:textId="77777777">
        <w:tc>
          <w:tcPr>
            <w:tcW w:w="3005" w:type="dxa"/>
            <w:vMerge/>
          </w:tcPr>
          <w:p w14:paraId="60E97E76"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05" w:type="dxa"/>
          </w:tcPr>
          <w:p w14:paraId="78A552D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diallelic</w:t>
            </w:r>
          </w:p>
        </w:tc>
        <w:tc>
          <w:tcPr>
            <w:tcW w:w="3006" w:type="dxa"/>
          </w:tcPr>
          <w:p w14:paraId="7967604F"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is governed by two genes.</w:t>
            </w:r>
          </w:p>
        </w:tc>
      </w:tr>
      <w:tr w:rsidR="003D6891" w14:paraId="5F5637FD" w14:textId="77777777">
        <w:tc>
          <w:tcPr>
            <w:tcW w:w="3005" w:type="dxa"/>
            <w:vMerge/>
          </w:tcPr>
          <w:p w14:paraId="677C483B"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05" w:type="dxa"/>
          </w:tcPr>
          <w:p w14:paraId="25EBF28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Polyallelic</w:t>
            </w:r>
          </w:p>
        </w:tc>
        <w:tc>
          <w:tcPr>
            <w:tcW w:w="3006" w:type="dxa"/>
          </w:tcPr>
          <w:p w14:paraId="67C3D88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is governed by several genes</w:t>
            </w:r>
          </w:p>
        </w:tc>
      </w:tr>
    </w:tbl>
    <w:p w14:paraId="09AEBE4E" w14:textId="77777777" w:rsidR="003D6891" w:rsidRDefault="003D6891">
      <w:pPr>
        <w:spacing w:line="360" w:lineRule="auto"/>
        <w:jc w:val="both"/>
        <w:rPr>
          <w:rFonts w:ascii="Times New Roman" w:eastAsia="Times New Roman" w:hAnsi="Times New Roman" w:cs="Times New Roman"/>
          <w:sz w:val="24"/>
          <w:szCs w:val="24"/>
        </w:rPr>
      </w:pPr>
    </w:p>
    <w:p w14:paraId="0FC75E33" w14:textId="0065051D" w:rsidR="003D6891" w:rsidRDefault="0088541F">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Fig 1 : </w:t>
      </w:r>
      <w:r w:rsidR="00447EBD">
        <w:rPr>
          <w:rFonts w:ascii="Times New Roman" w:eastAsia="Times New Roman" w:hAnsi="Times New Roman" w:cs="Times New Roman"/>
          <w:b/>
          <w:bCs/>
          <w:sz w:val="24"/>
          <w:szCs w:val="24"/>
        </w:rPr>
        <w:t>According to Lewis (1954) the self-incompatibility is classified as follows</w:t>
      </w:r>
    </w:p>
    <w:p w14:paraId="1C6E6D7A" w14:textId="77777777" w:rsidR="00E754A3" w:rsidRDefault="008A26F1">
      <w:pPr>
        <w:spacing w:line="360" w:lineRule="auto"/>
        <w:jc w:val="both"/>
        <w:rPr>
          <w:rFonts w:ascii="Times New Roman" w:eastAsia="Times New Roman" w:hAnsi="Times New Roman" w:cs="Times New Roman"/>
          <w:sz w:val="24"/>
          <w:szCs w:val="24"/>
        </w:rPr>
      </w:pPr>
      <w:r>
        <w:rPr>
          <w:noProof/>
        </w:rPr>
        <w:drawing>
          <wp:inline distT="0" distB="0" distL="0" distR="0" wp14:anchorId="66CE0AD5" wp14:editId="7BEF7112">
            <wp:extent cx="5731510" cy="4326890"/>
            <wp:effectExtent l="0" t="0" r="2540" b="0"/>
            <wp:docPr id="1718376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376578" name=""/>
                    <pic:cNvPicPr/>
                  </pic:nvPicPr>
                  <pic:blipFill>
                    <a:blip r:embed="rId7"/>
                    <a:stretch>
                      <a:fillRect/>
                    </a:stretch>
                  </pic:blipFill>
                  <pic:spPr>
                    <a:xfrm>
                      <a:off x="0" y="0"/>
                      <a:ext cx="5731510" cy="4326890"/>
                    </a:xfrm>
                    <a:prstGeom prst="rect">
                      <a:avLst/>
                    </a:prstGeom>
                  </pic:spPr>
                </pic:pic>
              </a:graphicData>
            </a:graphic>
          </wp:inline>
        </w:drawing>
      </w:r>
    </w:p>
    <w:p w14:paraId="732731EC" w14:textId="6B18407A" w:rsidR="008A26F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AAD17EF" w14:textId="56721F4A" w:rsidR="003D6891" w:rsidRPr="008A26F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Heteromorphic system</w:t>
      </w:r>
    </w:p>
    <w:p w14:paraId="0D7C2656"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self-incompatibility is because of differences in floral morphology, it is called as heteromorphic system. In this system, self-incompatibility occurs because of variations in style length and stamen. For example, in eggplant and primula sp; there are kind of flowers namely THRUM and PIN.THRUM flowers have short style and long stamens but in PIN flower have long style and short stamens. This type of variation is called as Distyly. A single gene, S/s, determines the relative position of anthers. Recessive ss creates PIN, while heterozygous Ss produces THRUM. This system found in sweet potato. When style has three different positions, it is known as Tristyly. In this system style and anthers have three positions in the flowers, viz long, medium, short. tristyly is mostly found in the family Lythraceae. Two genes, Ss and mm, govern the three style positions. The long style represented by s and medium by s and M, short style by S.</w:t>
      </w:r>
    </w:p>
    <w:p w14:paraId="6ED7640B"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Homomorphic system</w:t>
      </w:r>
    </w:p>
    <w:p w14:paraId="5825D9AE"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Homomorphic system approach, incompatibility is not caused by physical differences between flowers. In this system the plants do not have differences in the length of stamens and style or other flower parts. This system mostly found in self-incompatible species. The incompatibility reaction of pollen may be governed by its own genotype (gametophytic control) or by the plant on which it is produced (gametophytic control.</w:t>
      </w:r>
    </w:p>
    <w:p w14:paraId="3F1CC067" w14:textId="77777777" w:rsidR="003D6891" w:rsidRDefault="00447EBD">
      <w:pPr>
        <w:spacing w:line="360" w:lineRule="auto"/>
        <w:jc w:val="both"/>
        <w:rPr>
          <w:rFonts w:ascii="Times New Roman" w:eastAsia="Times New Roman" w:hAnsi="Times New Roman" w:cs="Times New Roman"/>
          <w:b/>
          <w:bCs/>
          <w:sz w:val="24"/>
          <w:szCs w:val="24"/>
        </w:rPr>
      </w:pPr>
      <w:bookmarkStart w:id="0" w:name="_9ney10hh353u" w:colFirst="0" w:colLast="0"/>
      <w:bookmarkEnd w:id="0"/>
      <w:r>
        <w:rPr>
          <w:rFonts w:ascii="Times New Roman" w:eastAsia="Times New Roman" w:hAnsi="Times New Roman" w:cs="Times New Roman"/>
          <w:b/>
          <w:bCs/>
          <w:sz w:val="24"/>
          <w:szCs w:val="24"/>
        </w:rPr>
        <w:t>Gametophytic system</w:t>
      </w:r>
    </w:p>
    <w:p w14:paraId="4D0E013D"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East and Mangelsdorf made the first discovery in Nicotiana sanderae in 1925. This form of pollen incompatibility reaction is dictated by its genotype as a result of biochemical compounds involved in the pollen's SI reaction after meiosis.</w:t>
      </w:r>
    </w:p>
    <w:p w14:paraId="2D52687D"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Main Feature of gametophytic system </w:t>
      </w:r>
    </w:p>
    <w:p w14:paraId="4D7F4965"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most species, self-incompatibility is determined by a single gene S which has several alleles (Sobotka, 2000) e.g. Lycopersicon, Solanum. Except for Gramineae, all gametophytic systems use wet stigma surfaces. Germination occurs in a shared fluid medium, without direct interaction between pollen grains and surface cells (Heslop-Harrison, 1975). Plant species with a gametophytic self-incompatibility mechanism produce binucleate pollen. This system gives rise to three kinds of pollination:1) fully incompatible (S1S2 X S1S2)2) half the pollen compatible (S1S2 X S1S3)3) fully fertile (S1S2 X S3S4).</w:t>
      </w:r>
    </w:p>
    <w:p w14:paraId="272F7432"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Sporophytic system: </w:t>
      </w:r>
    </w:p>
    <w:p w14:paraId="62896719"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Hughes and Babcock (1950) discovered Sporophytic system</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system in Crepis foetida, while Gerstel (1950) found it in Parthenium argentatum (Guayule). The sporophytic system is found in Spinach, Cabbage, Cauliflower and radish. This type of incompatibility is controlled by a single gene S with multiple alleles. </w:t>
      </w:r>
    </w:p>
    <w:p w14:paraId="4C45081E"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Main feature of sporophytic system:</w:t>
      </w:r>
    </w:p>
    <w:p w14:paraId="0F553F2B"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Sporophytic system contains a different kind of dominance in which S1 is dominant over S2, S3, S4; S2 dominant over S3, S4 expect S1; S3 dominant over S4 and so on (S1&gt;S2&gt;S3&gt;S4). Incompatibility is caused by a biological component that occurs prior to pollen development in the sporophtic system (Nasrallah, 1993). A family can consist of three incompatibility classes and an incompatibility class may contain two genotypes (Lewis1954).</w:t>
      </w:r>
    </w:p>
    <w:p w14:paraId="5465070C"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Mechanism of Self incompatibility:</w:t>
      </w:r>
    </w:p>
    <w:p w14:paraId="42CC3A91"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Pollen tube-style interaction</w:t>
      </w:r>
    </w:p>
    <w:p w14:paraId="2FEF9309" w14:textId="77777777" w:rsidR="003D6891" w:rsidRDefault="00447EBD" w:rsidP="00983C3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Pollen grains germinate, and the pollen tube enters the stigmatic surface. </w:t>
      </w:r>
      <w:r>
        <w:rPr>
          <w:rFonts w:ascii="Times New Roman" w:eastAsia="Times New Roman" w:hAnsi="Times New Roman" w:cs="Times New Roman"/>
          <w:sz w:val="24"/>
          <w:szCs w:val="24"/>
        </w:rPr>
        <w:br/>
        <w:t>But in incompatible combinations; the proper growth of pollen tube is not happened in the style.</w:t>
      </w:r>
    </w:p>
    <w:p w14:paraId="14E88941" w14:textId="77777777" w:rsidR="003D6891" w:rsidRDefault="003D6891">
      <w:pPr>
        <w:spacing w:line="360" w:lineRule="auto"/>
        <w:jc w:val="both"/>
        <w:rPr>
          <w:rFonts w:ascii="Times New Roman" w:eastAsia="Times New Roman" w:hAnsi="Times New Roman" w:cs="Times New Roman"/>
          <w:sz w:val="24"/>
          <w:szCs w:val="24"/>
        </w:rPr>
      </w:pPr>
    </w:p>
    <w:p w14:paraId="37E632F1"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Pollen Tube-Ovule interaction</w:t>
      </w:r>
    </w:p>
    <w:p w14:paraId="153D2776" w14:textId="77777777" w:rsidR="003D6891" w:rsidRDefault="00447EBD" w:rsidP="00C7759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category pollen tube reaches the ovule and fertilization happen but the embryo degenerates later because of some biochemical reaction.</w:t>
      </w:r>
    </w:p>
    <w:p w14:paraId="661FA086"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Pollen-Stigma Interaction</w:t>
      </w:r>
    </w:p>
    <w:p w14:paraId="665E1988" w14:textId="78C3F06E" w:rsidR="003D6891" w:rsidRDefault="00447EBD" w:rsidP="00C7759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category the pollen grains reach the stigma but not able to germinate. In the sporophytic system; the stigma is </w:t>
      </w:r>
      <w:r w:rsidR="00C77592">
        <w:rPr>
          <w:rFonts w:ascii="Times New Roman" w:eastAsia="Times New Roman" w:hAnsi="Times New Roman" w:cs="Times New Roman"/>
          <w:sz w:val="24"/>
          <w:szCs w:val="24"/>
        </w:rPr>
        <w:t>papillated</w:t>
      </w:r>
      <w:r>
        <w:rPr>
          <w:rFonts w:ascii="Times New Roman" w:eastAsia="Times New Roman" w:hAnsi="Times New Roman" w:cs="Times New Roman"/>
          <w:sz w:val="24"/>
          <w:szCs w:val="24"/>
        </w:rPr>
        <w:t>, dry and enclosed with hydrated layer of protein called as pellicle. This pellicle is taking part in incompatibility reaction. Pollen releases protein or glycerol exudates shortly after reaching the stigmatic surface. This reacts with the pellicle and causes callose development, preventing pollen tube growth.</w:t>
      </w:r>
    </w:p>
    <w:p w14:paraId="430662FA"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Practical Application in Vegetables</w:t>
      </w:r>
    </w:p>
    <w:p w14:paraId="26DDDB47" w14:textId="2EDB1477" w:rsidR="00C2004D"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Brassicaceae type of self-incompatibility</w:t>
      </w:r>
      <w:r w:rsidR="00C2004D">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p>
    <w:p w14:paraId="670FF23A" w14:textId="76DA117D" w:rsidR="003D6891" w:rsidRDefault="00447EBD" w:rsidP="00C2004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Brassicaceae vegetable crops, self-incompatibility is of the sporophytic type. It is controlled by the multiallelic S-locus, where the stigma-expressed S-locus receptor kinase (SRK) interacts specifically with the pollen coat ligand SCR/SP11. When self-pollen lands on the stigma, this allele-specific recognition activates downstream signalling components such as MLPK and ARC1, leading to rejection of self-pollen. Because this system prevents self-fertilization and promotes outcrossing, it is widely exploited in Brassica vegetable breeding for economical hybrid seed production and better utilization of heterosis (Kitashiba &amp; Nasrallah, 2014; Murase et al., 2024; Singh et al., 2023; Wang et al., 2023).</w:t>
      </w:r>
    </w:p>
    <w:p w14:paraId="1FFC587A" w14:textId="77777777" w:rsidR="00C2004D"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Solanaceae type of self-incompatibility</w:t>
      </w:r>
      <w:r>
        <w:rPr>
          <w:rFonts w:ascii="Times New Roman" w:eastAsia="Times New Roman" w:hAnsi="Times New Roman" w:cs="Times New Roman"/>
          <w:sz w:val="24"/>
          <w:szCs w:val="24"/>
        </w:rPr>
        <w:t xml:space="preserve">: </w:t>
      </w:r>
    </w:p>
    <w:p w14:paraId="69CC7A01" w14:textId="2831F7CE" w:rsidR="003D6891" w:rsidRDefault="00447EBD" w:rsidP="00C2004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Solanaceae family, self-incompatibility is characterized by a Gametophytic (GSI) system. This mechanism is governed by a multiallelic S-locus, which utilizes a distinct "lock-and-key" biochemical interaction: the pistil's determinant is an enzyme known as S-RNase, while the pollen's specificity is determined by S-locus F-box proteins (SLF/SFB). The </w:t>
      </w:r>
      <w:r>
        <w:rPr>
          <w:rFonts w:ascii="Times New Roman" w:eastAsia="Times New Roman" w:hAnsi="Times New Roman" w:cs="Times New Roman"/>
          <w:sz w:val="24"/>
          <w:szCs w:val="24"/>
        </w:rPr>
        <w:lastRenderedPageBreak/>
        <w:t>physiological rejection occurs during the elongation of the pollen tube within the style. When self-pollen is recognized, S-RNases penetrate the pollen tube and catalyze the degradation of its ribosomal RNA. This cytotoxic action effectively halts pollen tube growth, thereby preventing self-fertilization (McClure, 2011; Williams et al., 2015). By enforcing an outcrossing reproductive strategy, GSI serves as a critical biological tool in hybrid breeding programs and is fundamental to preserving the genetic breadth of Solanaceous vegetable species (Xue et al., 2025; Singh et al., 2023)</w:t>
      </w:r>
    </w:p>
    <w:p w14:paraId="64715785" w14:textId="77777777" w:rsidR="003D6891" w:rsidRDefault="003D6891">
      <w:pPr>
        <w:spacing w:line="360" w:lineRule="auto"/>
        <w:jc w:val="both"/>
        <w:rPr>
          <w:rFonts w:ascii="Times New Roman" w:eastAsia="Times New Roman" w:hAnsi="Times New Roman" w:cs="Times New Roman"/>
          <w:b/>
          <w:bCs/>
          <w:sz w:val="24"/>
          <w:szCs w:val="24"/>
        </w:rPr>
      </w:pPr>
    </w:p>
    <w:p w14:paraId="6B377D61"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Uses of Self incompatibility in cultivar development:</w:t>
      </w:r>
    </w:p>
    <w:p w14:paraId="4AD1D9F0" w14:textId="77777777" w:rsidR="003D6891" w:rsidRDefault="00447EBD" w:rsidP="00C2004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method basically uses for development of F1 hybrid by utilizing two inbred lines in which commercial exploitation of heterosis occur. Also, development of large scale F1 seed possible with this method. Sporophytic self-incompatibility is used to produce hybrid seeds for Cole crops such as broccoli, cauliflower and cabbage in several places including India (Singh, 2000). To develop seedless commercial hybrid as per demand of market. To develop pure line which use in hybridization program.  This method reduces time of breeding program by eliminating process of manual emasculation which is time consuming. </w:t>
      </w:r>
    </w:p>
    <w:p w14:paraId="6FA2B502"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3: Public sector hybrids developed by utilizing Self-incompatibility in vegetable crops</w:t>
      </w:r>
    </w:p>
    <w:tbl>
      <w:tblPr>
        <w:tblStyle w:val="a1"/>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2092"/>
        <w:gridCol w:w="3468"/>
        <w:gridCol w:w="1897"/>
      </w:tblGrid>
      <w:tr w:rsidR="003D6891" w14:paraId="5F1BB32D" w14:textId="77777777">
        <w:tc>
          <w:tcPr>
            <w:tcW w:w="1559" w:type="dxa"/>
          </w:tcPr>
          <w:p w14:paraId="50071259"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Crops</w:t>
            </w:r>
          </w:p>
        </w:tc>
        <w:tc>
          <w:tcPr>
            <w:tcW w:w="2092" w:type="dxa"/>
          </w:tcPr>
          <w:p w14:paraId="3A57CDA7"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Name of hybrids</w:t>
            </w:r>
          </w:p>
        </w:tc>
        <w:tc>
          <w:tcPr>
            <w:tcW w:w="3468" w:type="dxa"/>
          </w:tcPr>
          <w:p w14:paraId="55795A08"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Parentage</w:t>
            </w:r>
          </w:p>
        </w:tc>
        <w:tc>
          <w:tcPr>
            <w:tcW w:w="1897" w:type="dxa"/>
          </w:tcPr>
          <w:p w14:paraId="2B7FC0FF"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Sources</w:t>
            </w:r>
          </w:p>
        </w:tc>
      </w:tr>
      <w:tr w:rsidR="003D6891" w14:paraId="35111625" w14:textId="77777777">
        <w:tc>
          <w:tcPr>
            <w:tcW w:w="1559" w:type="dxa"/>
          </w:tcPr>
          <w:p w14:paraId="44B5BC8F"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Cauliflower</w:t>
            </w:r>
          </w:p>
        </w:tc>
        <w:tc>
          <w:tcPr>
            <w:tcW w:w="2092" w:type="dxa"/>
          </w:tcPr>
          <w:p w14:paraId="0B0F936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Pusa Hybrid-2</w:t>
            </w:r>
          </w:p>
          <w:p w14:paraId="6F971EB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Pusa Kartik Shanker</w:t>
            </w:r>
          </w:p>
        </w:tc>
        <w:tc>
          <w:tcPr>
            <w:tcW w:w="3468" w:type="dxa"/>
          </w:tcPr>
          <w:p w14:paraId="1381A70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Self-incompatibility</w:t>
            </w:r>
          </w:p>
          <w:p w14:paraId="6FF15D87"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(Pusa Hybrid-2=CC-35 X 18-19</w:t>
            </w:r>
          </w:p>
          <w:p w14:paraId="199E07C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(Pusa Kartik Shanker=CC-14 X 41-5</w:t>
            </w:r>
          </w:p>
          <w:p w14:paraId="5E9CD0A1" w14:textId="77777777" w:rsidR="003D6891" w:rsidRDefault="003D6891">
            <w:pPr>
              <w:spacing w:line="360" w:lineRule="auto"/>
              <w:jc w:val="both"/>
              <w:rPr>
                <w:rFonts w:ascii="Times New Roman" w:eastAsia="Times New Roman" w:hAnsi="Times New Roman" w:cs="Times New Roman"/>
                <w:sz w:val="24"/>
                <w:szCs w:val="24"/>
              </w:rPr>
            </w:pPr>
          </w:p>
        </w:tc>
        <w:tc>
          <w:tcPr>
            <w:tcW w:w="1897" w:type="dxa"/>
          </w:tcPr>
          <w:p w14:paraId="40FC95F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IAR, New Delhi</w:t>
            </w:r>
          </w:p>
        </w:tc>
      </w:tr>
      <w:tr w:rsidR="003D6891" w14:paraId="5A6E28C0" w14:textId="77777777">
        <w:tc>
          <w:tcPr>
            <w:tcW w:w="1559" w:type="dxa"/>
          </w:tcPr>
          <w:p w14:paraId="6B8B49E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Cabbage</w:t>
            </w:r>
          </w:p>
        </w:tc>
        <w:tc>
          <w:tcPr>
            <w:tcW w:w="2092" w:type="dxa"/>
          </w:tcPr>
          <w:p w14:paraId="599E1EA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KGMR-1</w:t>
            </w:r>
          </w:p>
          <w:p w14:paraId="220B6F8C"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H-43</w:t>
            </w:r>
          </w:p>
          <w:p w14:paraId="2BC3172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H-44</w:t>
            </w:r>
          </w:p>
          <w:p w14:paraId="765B8C47"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H-46</w:t>
            </w:r>
          </w:p>
        </w:tc>
        <w:tc>
          <w:tcPr>
            <w:tcW w:w="3468" w:type="dxa"/>
          </w:tcPr>
          <w:p w14:paraId="3121759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Self-incompatibility</w:t>
            </w:r>
          </w:p>
          <w:p w14:paraId="6BA89D4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(KGMR-1+83-1-621 X GA-111)</w:t>
            </w:r>
          </w:p>
          <w:p w14:paraId="3EA6D049"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(H-43=S2S2 X Pusa Mukta)</w:t>
            </w:r>
          </w:p>
          <w:p w14:paraId="2091678C"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(H-44=S2S2 X Cormell 83-6)</w:t>
            </w:r>
          </w:p>
          <w:p w14:paraId="053E365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(H-46=Cormell 83-23 X Golden acre</w:t>
            </w:r>
          </w:p>
          <w:p w14:paraId="3EB737DE" w14:textId="77777777" w:rsidR="003D6891" w:rsidRDefault="003D6891">
            <w:pPr>
              <w:spacing w:line="360" w:lineRule="auto"/>
              <w:jc w:val="both"/>
              <w:rPr>
                <w:rFonts w:ascii="Times New Roman" w:eastAsia="Times New Roman" w:hAnsi="Times New Roman" w:cs="Times New Roman"/>
                <w:sz w:val="24"/>
                <w:szCs w:val="24"/>
              </w:rPr>
            </w:pPr>
          </w:p>
        </w:tc>
        <w:tc>
          <w:tcPr>
            <w:tcW w:w="1897" w:type="dxa"/>
          </w:tcPr>
          <w:p w14:paraId="15E7031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IARI, Regional station Katrain, Himachal Pradesh</w:t>
            </w:r>
          </w:p>
        </w:tc>
      </w:tr>
      <w:tr w:rsidR="003D6891" w14:paraId="2CCEA745" w14:textId="77777777">
        <w:tc>
          <w:tcPr>
            <w:tcW w:w="1559" w:type="dxa"/>
          </w:tcPr>
          <w:p w14:paraId="4F1E2BB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Cauliflower</w:t>
            </w:r>
          </w:p>
        </w:tc>
        <w:tc>
          <w:tcPr>
            <w:tcW w:w="2092" w:type="dxa"/>
          </w:tcPr>
          <w:p w14:paraId="537FB66A"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Xiahua 6 (heat resistant)</w:t>
            </w:r>
          </w:p>
        </w:tc>
        <w:tc>
          <w:tcPr>
            <w:tcW w:w="3468" w:type="dxa"/>
          </w:tcPr>
          <w:p w14:paraId="6585DD6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Self-incompatibility</w:t>
            </w:r>
          </w:p>
        </w:tc>
        <w:tc>
          <w:tcPr>
            <w:tcW w:w="1897" w:type="dxa"/>
          </w:tcPr>
          <w:p w14:paraId="5B8C34B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Xiamen Agricultural Research Institute of Sciences, China, 2006</w:t>
            </w:r>
          </w:p>
        </w:tc>
      </w:tr>
      <w:tr w:rsidR="003D6891" w14:paraId="6F4F3F8D" w14:textId="77777777">
        <w:tc>
          <w:tcPr>
            <w:tcW w:w="1559" w:type="dxa"/>
          </w:tcPr>
          <w:p w14:paraId="0EF3DFA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Radish</w:t>
            </w:r>
          </w:p>
        </w:tc>
        <w:tc>
          <w:tcPr>
            <w:tcW w:w="2092" w:type="dxa"/>
          </w:tcPr>
          <w:p w14:paraId="3CD7DE7D"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Harumaki Minowase</w:t>
            </w:r>
          </w:p>
        </w:tc>
        <w:tc>
          <w:tcPr>
            <w:tcW w:w="3468" w:type="dxa"/>
          </w:tcPr>
          <w:p w14:paraId="407F2C9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Self-incompatibility</w:t>
            </w:r>
          </w:p>
        </w:tc>
        <w:tc>
          <w:tcPr>
            <w:tcW w:w="1897" w:type="dxa"/>
          </w:tcPr>
          <w:p w14:paraId="69DD714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Japan, 1961</w:t>
            </w:r>
          </w:p>
        </w:tc>
      </w:tr>
    </w:tbl>
    <w:p w14:paraId="4E45FC1B" w14:textId="77777777" w:rsidR="003D6891" w:rsidRDefault="003D6891">
      <w:pPr>
        <w:spacing w:line="360" w:lineRule="auto"/>
        <w:jc w:val="both"/>
        <w:rPr>
          <w:rFonts w:ascii="Times New Roman" w:eastAsia="Times New Roman" w:hAnsi="Times New Roman" w:cs="Times New Roman"/>
          <w:b/>
          <w:bCs/>
          <w:sz w:val="24"/>
          <w:szCs w:val="24"/>
        </w:rPr>
      </w:pPr>
    </w:p>
    <w:p w14:paraId="6DE5899F"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Male Sterility Systems</w:t>
      </w:r>
    </w:p>
    <w:p w14:paraId="19DD9598"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male sterility system, which is common in angiosperms, describes a plant's inability to produce viable pollen, male gametophytes, or microspores (Prakash et al. 2009a; Chen and Liu 2014). In 1763, German botanist Kolreuter documented male sterility in flowering plants (Mayr 1986), and this characteristic was later acknowledged as the essential phenomenon for producing hybrid seeds at a profit. Over 610 flowering plant species exhibit male sterility (Kaul 1988; Chen and Liu 2014) including vegetables like capsicum, onion and carrot. According to Kaul (1988), there are two types of male sterility: genetic (either spontaneous or induced) and non-genetic (induced). Male sterility is classified into three types: sporogenous, structural, and functional. Non-genetic male sterility is classified as chemical, physiological, and ecological male sterility (Kaul 1988). Based on genetic control, male sterility has been classified into three categories: genic male sterility, cytoplasmic male sterility, and cytoplasmic–genic male sterility (Kaul, 1988).</w:t>
      </w:r>
    </w:p>
    <w:p w14:paraId="64C0B35F"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Genetic Male Sterility (GMS) </w:t>
      </w:r>
    </w:p>
    <w:p w14:paraId="4FAE2478"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Genetic male sterility (GMS) is a widespread reproductive phenomenon that has been identified in approximately 175 different plant species, encompassing a broad range of high-value vegetable crops (Kaul, 1988). As the name indicates, this sterility is strictly regulated by genes located within the cell nucleus. The inheritance patterns of GMS typically follow a recessive model, whether the mutations occur spontaneously in nature or are induced through breeding techniques. However, notable exceptions exist; dominant GMS alleles have been identified in various cole crops, including broccoli and cabbage (Kaul, 1988). Furthermore, dominant male sterility is frequently a characteristic of lines developed through modern genetic engineering approaches (Williams et al., 1997).</w:t>
      </w:r>
    </w:p>
    <w:p w14:paraId="66B9EB14"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predominance of recessive inheritance suggests that GMS generally arises due to mutations in genes involved in key reproductive processes, including microsporogenesis (pollen formation), stamen development, or microgametogenesis (development of male gametes). As a result, the phenotypic expression of GMS can vary depending on the specific genetic disruption involved.</w:t>
      </w:r>
    </w:p>
    <w:p w14:paraId="057C5628"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transgenic male sterile lines developed so far fall under genetic male sterility (GMS), as they are produced through the introduction of male sterility–inducing gene constructs into the nuclear genome. In addition, certain mutants, despite producing viable pollen, are unable to achieve self-fertilization due to factors such as failure of anther dehiscence or particular floral structures. These are commonly referred to as functionally male sterile types. Examples include genotypes exhibiting exerted stigma in tomato and similar cases reported in brinjal and other vegetable crops (Georgiev, 1991; Kaul, 1988).</w:t>
      </w:r>
    </w:p>
    <w:p w14:paraId="0E01E1A0"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Cytoplasmic Male Sterility (CMS)</w:t>
      </w:r>
    </w:p>
    <w:p w14:paraId="7939673A"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Cytoplasmic male sterility (CMS) has been identified in approximately 150 plant species and is widely used for large-scale hybrid seed production in several vegetable crops (Kaul, 1988). This trait is maternally inherited because its expression is governed by mitochondrial DNA, and mitochondria are generally not transmitted through pollen during fertilization. However, an exception has been reported in </w:t>
      </w:r>
      <w:r>
        <w:rPr>
          <w:rFonts w:ascii="Times New Roman" w:eastAsia="Times New Roman" w:hAnsi="Times New Roman" w:cs="Times New Roman"/>
          <w:i/>
          <w:iCs/>
          <w:sz w:val="24"/>
          <w:szCs w:val="24"/>
        </w:rPr>
        <w:t>Plumbago zeylanica</w:t>
      </w:r>
      <w:r>
        <w:rPr>
          <w:rFonts w:ascii="Times New Roman" w:eastAsia="Times New Roman" w:hAnsi="Times New Roman" w:cs="Times New Roman"/>
          <w:sz w:val="24"/>
          <w:szCs w:val="24"/>
        </w:rPr>
        <w:t>, where mitochondria are present in pollen and can enter the embryo sac, though in a reduced form (Russell, 1980).</w:t>
      </w:r>
    </w:p>
    <w:p w14:paraId="2A3A0D70"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a dominant nuclear gene responsible for restoring fertility is identified in a CMS system, the mechanism is referred to as cytoplasmic-genic male sterility. In such systems, male sterility results from the interaction between sterile cytoplasm (S-cytoplasm) and recessive alleles (r) in the nuclear genome, while fertility is restored by the dominant restorer allele (R). Based on how the restorer gene functions, CMS systems are classified into two types: gametophytic and sporophytic.</w:t>
      </w:r>
    </w:p>
    <w:p w14:paraId="102254C9"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Fertility restoration in male sterile systems is primarily classified into gametophytic and sporophytic types, distinguished by whether the pollen's phenotype is governed by its own genetic makeup or that of the mother plant.</w:t>
      </w:r>
    </w:p>
    <w:p w14:paraId="67D1EC33" w14:textId="77777777" w:rsidR="001B498F"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Gametophytic Restoration:</w:t>
      </w:r>
      <w:r>
        <w:rPr>
          <w:rFonts w:ascii="Times New Roman" w:eastAsia="Times New Roman" w:hAnsi="Times New Roman" w:cs="Times New Roman"/>
          <w:sz w:val="24"/>
          <w:szCs w:val="24"/>
        </w:rPr>
        <w:t xml:space="preserve"> </w:t>
      </w:r>
    </w:p>
    <w:p w14:paraId="101B675B" w14:textId="34BD938A" w:rsidR="003D6891" w:rsidRDefault="00447EBD" w:rsidP="001B498F">
      <w:pPr>
        <w:spacing w:line="36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lastRenderedPageBreak/>
        <w:t>In the gametophytic system, the fertility of each pollen grain is independent and determined by its own specific genotype. For instance, in crops such as rice and maize, a heterozygous restorer plant with the genotype $Rr$ will produce a pollen population that is 50% fertile (carrying the $R$ allele) and 50% sterile (carrying the $r$ allele). Consequently, when this heterozygous plant is used to pollinate a male sterile line ($rr$), the resulting progeny will continue to exhibit this 1:1 segregation of fertile and sterile pollen (Pearson, 1981).</w:t>
      </w:r>
    </w:p>
    <w:p w14:paraId="0FB0B56D" w14:textId="77777777" w:rsidR="001B498F"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Sporophytic Restoration: </w:t>
      </w:r>
    </w:p>
    <w:p w14:paraId="0658DAB7" w14:textId="7B5F3CE9" w:rsidR="003D6891" w:rsidRDefault="00447EBD" w:rsidP="001B498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contrast, the sporophytic system which is more prevalent in vegetable crops dictates that the fertility status of all pollen grains is determined by the diploid genotype of the parent plant (the sporophyte). In this scenario, a heterozygous $Rr$ plant produces a pollen load that is 100% fertile, regardless of which allele an individual grain carries. Upon crossing this restorer with a sterile $rr$ line, the offspring will segregate into a phenotypic ratio of 50% fully male-fertile plants and 50% male-sterile plants (Pearson, 1981).</w:t>
      </w:r>
    </w:p>
    <w:p w14:paraId="19CB4AFE" w14:textId="77777777" w:rsidR="003D6891" w:rsidRDefault="00447EBD" w:rsidP="001B498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Cytoplasmic male sterility (CMS) can arise through wide hybridization, including interspecific or intergeneric crosses, and may also be induced artificially using mutagens or antibiotics that affect cytoplasmic genetic components (Kaul, 1988). In addition, CMS lines have been successfully developed in several vegetable crops through protoplast fusion techniques (Pelletier et al., 1995). With further advancements in biotechnology, particularly in mitochondrial genome transformation, the development of genetically engineered CMS systems is expected to become feasible in the future.</w:t>
      </w:r>
    </w:p>
    <w:p w14:paraId="2708A1B4"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Cytoplasmic-Genic Male Sterility (CGMS)</w:t>
      </w:r>
    </w:p>
    <w:p w14:paraId="11304F69"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Cytoplasmic–genic male sterility (CMS) is recognized when a dominant fertility restorer gene (Rf), located in the nuclear genome, is identified for a cytoplasmically male-sterile line. In such systems, male sterility results from the interaction between sterile cytoplasm (S-type mitochondrial genome) and recessive nuclear alleles (r). Neither the cytoplasmic component nor the nuclear genes alone can control sterility; rather, it is their combined effect that determines the expression of male sterility (Kaul, 1988). Fertility restoration occurs only when the dominant restorer gene is present in a homozygous condition (RfRf), whether in sterile (S) or normal (N) cytoplasm, which is essential for hybrid seed production.</w:t>
      </w:r>
    </w:p>
    <w:p w14:paraId="05631A88"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genetic architecture governing cytoplasmic-linked male sterility exhibits significant diversity across vegetable species. In many high-value crops, such as onion, radish, chili, sweet pepper, and cruciferous vegetables like cabbage and cauliflower, sterility is typically maintained by a single recessive nuclear gene (msms). However, other species follow more complex inheritance models; for example, sterility in beet is regulated by the interaction of two recessive loci (xxzz), whereas in carrot, the trait is frequently controlled by a dominant allele (Ms) (Kaul, 1988).</w:t>
      </w:r>
    </w:p>
    <w:p w14:paraId="45FD8D67"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persistent challenge in hybrid breeding programs particularly within carrot and beet is the phenotypic instability of sterile lines. This instability is often attributed to the influence of minor modifying genes that can shift the expression of sterility (Kaul, 1988). Furthermore, contemporary research emphasizes that the reliability of cyto-nuclear systems is highly dependent on environmental consistency.</w:t>
      </w:r>
    </w:p>
    <w:p w14:paraId="2B267286" w14:textId="77777777" w:rsidR="003D6891" w:rsidRDefault="00447EBD" w:rsidP="001B498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Recent studies have shown that fluctuations in temperature and photoperiod can disrupt mitochondrial-nuclear signalling, leading to unintended fertility restoration (Chen &amp; Liu, 2014). This "leakage" of fertility is a primary cause of genetic contamination in commercial hybrid seed production, as even partial pollen formation can significantly degrade the genetic purity of the resulting seed lots (Singh et al., 2023; Varshney et al., 2021).</w:t>
      </w:r>
    </w:p>
    <w:p w14:paraId="7D044ACE"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Environmentally Sensitive GMS (EGMS)</w:t>
      </w:r>
    </w:p>
    <w:p w14:paraId="28B6AFA8"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Certain genetic male sterile (GMS) genotypes function as conditional mutants, where the manifestation of the sterile phenotype is strictly dependent on specific external stimuli. In the absence of these environmental triggers, these lines often revert to a fully fertile state (Vasupalli et al., 2025). When the underlying drivers typically fluctuations in temperature or changes in photoperiod are clearly defined, these lines are formally classified as temperature-sensitive genic male sterile (TGMS) or photoperiod-sensitive genic male sterile (PGMS) (Kumar et al., 2000).</w:t>
      </w:r>
    </w:p>
    <w:p w14:paraId="037D8C63"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Broadly termed Environment-sensitive Genic Male Sterility (EGMS), these systems are predominantly influenced by temperature and have been identified across a diverse range of high-value vegetable crops. Notable examples include tomato, carrot, chili, sweet pepper, and various cole crops such as broccoli, cabbage, and Brussels sprouts (Kumar et al., 2000; Singh et al., 2023). Historically, many of these genotypes were mistakenly identified as standard, stable GMS lines until their environmental plasticity was uncovered through rigorous field and controlled-climate observations (Chen &amp; Liu, 2014).</w:t>
      </w:r>
    </w:p>
    <w:p w14:paraId="027F68F7"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Some genetic male sterile (GMS) lines behave as conditional mutants, where the expression of male sterility depends on specific environmental conditions. In the absence of these conditions, such plants may revert to fertility. Once the critical environmental factors—commonly temperature or photoperiod—governing sterility and fertility are identified, these mutants are categorized as temperature-sensitive genic male sterile (TGMS) or photoperiod-sensitive genic male sterile (PGMS) lines.</w:t>
      </w:r>
    </w:p>
    <w:p w14:paraId="6CEA8BA4"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Initially, environment-sensitive genic male sterile (EGMS) lines were regarded as having limited practical utility due to their instability under varying environmental conditions. However, they are now considered one of the most efficient systems for hybrid seed production. From an applied perspective, it is essential to determine the precise environmental thresholds such as critical temperature in temperature-sensitive lines and specific photoperiod in photoperiod-sensitive lines that regulate the expression of fertility and sterility.</w:t>
      </w:r>
    </w:p>
    <w:p w14:paraId="7CFC1075"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Male Sterility in Vegetables</w:t>
      </w:r>
    </w:p>
    <w:p w14:paraId="6D104F6A"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Tomato</w:t>
      </w:r>
    </w:p>
    <w:p w14:paraId="25C3798A"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Five distinct forms of male sterility have been identified in tomatoes, hybrid seed production primarily leverages sporogenic (pollen abortive) and functional sterility. Other types are generally avoided in commercial breeding because they often correlate with suboptimal fruit development in the resulting hybrids (Georgiev, 1991). The genetic foundation of tomato male sterility is diverse, with over 55 distinct male sterile (ms) alleles identified to date. These alleles manifest as structural, functional, or sporogenous abnormalities (Kaul, 1988). The catalog of these mutants continues to expand through both spontaneous isolation and artificial induction, as evidenced by the characterization of three novel induced sterile mutants by Masuda et al. (1998). Despite this abundance, only a select few mutants possess the physiological stability required for commercial-scale seed production, such as the ms-10^ {35} line (Georgiev, 1991).</w:t>
      </w:r>
    </w:p>
    <w:p w14:paraId="571A697D"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defining characteristic of several tomato GMS lines is their plasticity in response to ambient temperature. Notable examples include the stamenless mutants, sl-1and sl-2. Under low-temperature regimes, these genotypes can produce flowers with abnormal stamens that occasionally contain viable pollen; conversely, higher temperatures result in a complete absence of stamens (Sawhney, 1983). Similar temperature-dependent fertility restoration has been documented in the ms-15 and ms-33 mutants, where temperatures around 30°C have been associated with a reversion to fertility (Sawhney, 1983; Kumar et al., 2000).</w:t>
      </w:r>
    </w:p>
    <w:p w14:paraId="2B4DCFC1"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Contemporary research suggests that leveraging these temperature-sensitive genic male sterile (TGMS) lines could simplify parental line maintenance by utilizing specific "pollen-shedding" windows under controlled climatic conditions (Farinati et al., 2023; Singh et al., 2023). Tomatoes have five types of male sterility, but only pollen abortive (sporogenic) and functional sterility have been used to produce hybrid seeds. Other male sterility mechanisms can lead to poor fruit development in hybrids.</w:t>
      </w:r>
    </w:p>
    <w:p w14:paraId="6327F5CE" w14:textId="77777777" w:rsidR="003D6891" w:rsidRDefault="00447EBD" w:rsidP="00B60A9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CMS: The development of cytoplasmic male sterility (CMS) in tomatoes (</w:t>
      </w:r>
      <w:r>
        <w:rPr>
          <w:rFonts w:ascii="Times New Roman" w:eastAsia="Times New Roman" w:hAnsi="Times New Roman" w:cs="Times New Roman"/>
          <w:i/>
          <w:iCs/>
          <w:sz w:val="24"/>
          <w:szCs w:val="24"/>
        </w:rPr>
        <w:t>Solanum lycopersicum</w:t>
      </w:r>
      <w:r>
        <w:rPr>
          <w:rFonts w:ascii="Times New Roman" w:eastAsia="Times New Roman" w:hAnsi="Times New Roman" w:cs="Times New Roman"/>
          <w:sz w:val="24"/>
          <w:szCs w:val="24"/>
        </w:rPr>
        <w:t xml:space="preserve">) has been significantly advanced through somatic hybridization and distant crosses. Protoplast fusion between </w:t>
      </w:r>
      <w:r>
        <w:rPr>
          <w:rFonts w:ascii="Times New Roman" w:eastAsia="Times New Roman" w:hAnsi="Times New Roman" w:cs="Times New Roman"/>
          <w:i/>
          <w:iCs/>
          <w:sz w:val="24"/>
          <w:szCs w:val="24"/>
        </w:rPr>
        <w:t>L. esculentum</w:t>
      </w:r>
      <w:r>
        <w:rPr>
          <w:rFonts w:ascii="Times New Roman" w:eastAsia="Times New Roman" w:hAnsi="Times New Roman" w:cs="Times New Roman"/>
          <w:sz w:val="24"/>
          <w:szCs w:val="24"/>
        </w:rPr>
        <w:t xml:space="preserve"> and wild relatives, such as </w:t>
      </w:r>
      <w:r>
        <w:rPr>
          <w:rFonts w:ascii="Times New Roman" w:eastAsia="Times New Roman" w:hAnsi="Times New Roman" w:cs="Times New Roman"/>
          <w:i/>
          <w:iCs/>
          <w:sz w:val="24"/>
          <w:szCs w:val="24"/>
        </w:rPr>
        <w:t>Solanum acaule</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S. tuberosum</w:t>
      </w:r>
      <w:r>
        <w:rPr>
          <w:rFonts w:ascii="Times New Roman" w:eastAsia="Times New Roman" w:hAnsi="Times New Roman" w:cs="Times New Roman"/>
          <w:sz w:val="24"/>
          <w:szCs w:val="24"/>
        </w:rPr>
        <w:t>, has yielded hybrid plants that exhibit distinct flower morphologies and stable male sterility (Kuwabara et al., 2021). These asymmetric cell fusions combine the cultivated tomato's nucleus with the donor's cytoplasm, creating a unique nucleo-cytoplasmic interaction that disrupts functional pollen development (Iki et al., 2025).</w:t>
      </w:r>
    </w:p>
    <w:p w14:paraId="0F0DBFBF" w14:textId="77777777" w:rsidR="003D6891" w:rsidRDefault="00447EBD" w:rsidP="00B60A9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Recent breeding efforts have also successfully transferred sterile cytoplasm from </w:t>
      </w:r>
      <w:r>
        <w:rPr>
          <w:rFonts w:ascii="Times New Roman" w:eastAsia="Times New Roman" w:hAnsi="Times New Roman" w:cs="Times New Roman"/>
          <w:i/>
          <w:iCs/>
          <w:sz w:val="24"/>
          <w:szCs w:val="24"/>
        </w:rPr>
        <w:t>L. peruvianum</w:t>
      </w:r>
      <w:r>
        <w:rPr>
          <w:rFonts w:ascii="Times New Roman" w:eastAsia="Times New Roman" w:hAnsi="Times New Roman" w:cs="Times New Roman"/>
          <w:sz w:val="24"/>
          <w:szCs w:val="24"/>
        </w:rPr>
        <w:t xml:space="preserve"> into </w:t>
      </w:r>
      <w:r>
        <w:rPr>
          <w:rFonts w:ascii="Times New Roman" w:eastAsia="Times New Roman" w:hAnsi="Times New Roman" w:cs="Times New Roman"/>
          <w:i/>
          <w:iCs/>
          <w:sz w:val="24"/>
          <w:szCs w:val="24"/>
        </w:rPr>
        <w:t>L. pennellii</w:t>
      </w:r>
      <w:r>
        <w:rPr>
          <w:rFonts w:ascii="Times New Roman" w:eastAsia="Times New Roman" w:hAnsi="Times New Roman" w:cs="Times New Roman"/>
          <w:sz w:val="24"/>
          <w:szCs w:val="24"/>
        </w:rPr>
        <w:t xml:space="preserve">. This "CMS </w:t>
      </w:r>
      <w:r>
        <w:rPr>
          <w:rFonts w:ascii="Times New Roman" w:eastAsia="Times New Roman" w:hAnsi="Times New Roman" w:cs="Times New Roman"/>
          <w:i/>
          <w:iCs/>
          <w:sz w:val="24"/>
          <w:szCs w:val="24"/>
        </w:rPr>
        <w:t>pennellii</w:t>
      </w:r>
      <w:r>
        <w:rPr>
          <w:rFonts w:ascii="Times New Roman" w:eastAsia="Times New Roman" w:hAnsi="Times New Roman" w:cs="Times New Roman"/>
          <w:sz w:val="24"/>
          <w:szCs w:val="24"/>
        </w:rPr>
        <w:t xml:space="preserve">" was subsequently crossed with </w:t>
      </w:r>
      <w:r>
        <w:rPr>
          <w:rFonts w:ascii="Times New Roman" w:eastAsia="Times New Roman" w:hAnsi="Times New Roman" w:cs="Times New Roman"/>
          <w:i/>
          <w:iCs/>
          <w:sz w:val="24"/>
          <w:szCs w:val="24"/>
        </w:rPr>
        <w:t>L. esculentum</w:t>
      </w:r>
      <w:r>
        <w:rPr>
          <w:rFonts w:ascii="Times New Roman" w:eastAsia="Times New Roman" w:hAnsi="Times New Roman" w:cs="Times New Roman"/>
          <w:sz w:val="24"/>
          <w:szCs w:val="24"/>
        </w:rPr>
        <w:t xml:space="preserve">, establishing a robust biological foundation for a CMS system in tomatoes derived entirely from the </w:t>
      </w:r>
      <w:r>
        <w:rPr>
          <w:rFonts w:ascii="Times New Roman" w:eastAsia="Times New Roman" w:hAnsi="Times New Roman" w:cs="Times New Roman"/>
          <w:i/>
          <w:iCs/>
          <w:sz w:val="24"/>
          <w:szCs w:val="24"/>
        </w:rPr>
        <w:t>peruvianum</w:t>
      </w:r>
      <w:r>
        <w:rPr>
          <w:rFonts w:ascii="Times New Roman" w:eastAsia="Times New Roman" w:hAnsi="Times New Roman" w:cs="Times New Roman"/>
          <w:sz w:val="24"/>
          <w:szCs w:val="24"/>
        </w:rPr>
        <w:t xml:space="preserve"> cytoplasm (Kuwabara et al., 2021). Despite these successful transfers, the practical commercial application of these CMS systems remains largely dependent on the discovery of effective fertility restorer (Rf) genes within the tomato genome.</w:t>
      </w:r>
    </w:p>
    <w:p w14:paraId="1D81C90C"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Ongoing genomic research has identified several potentials Rfloci in wild relatives, such as </w:t>
      </w:r>
      <w:r>
        <w:rPr>
          <w:rFonts w:ascii="Times New Roman" w:eastAsia="Times New Roman" w:hAnsi="Times New Roman" w:cs="Times New Roman"/>
          <w:i/>
          <w:iCs/>
          <w:sz w:val="24"/>
          <w:szCs w:val="24"/>
        </w:rPr>
        <w:t>S. cheesmaniae</w:t>
      </w:r>
      <w:r>
        <w:rPr>
          <w:rFonts w:ascii="Times New Roman" w:eastAsia="Times New Roman" w:hAnsi="Times New Roman" w:cs="Times New Roman"/>
          <w:sz w:val="24"/>
          <w:szCs w:val="24"/>
        </w:rPr>
        <w:t>, which may eventually be introgressed into cultivated lines to complete the "three-line" breeding system (Iki et al., 2025; Xu et al., 2022).</w:t>
      </w:r>
    </w:p>
    <w:p w14:paraId="170A8FDA" w14:textId="77777777" w:rsidR="003D6891" w:rsidRDefault="003D6891">
      <w:pPr>
        <w:spacing w:line="360" w:lineRule="auto"/>
        <w:jc w:val="both"/>
        <w:rPr>
          <w:rFonts w:ascii="Times New Roman" w:eastAsia="Times New Roman" w:hAnsi="Times New Roman" w:cs="Times New Roman"/>
          <w:sz w:val="24"/>
          <w:szCs w:val="24"/>
        </w:rPr>
      </w:pPr>
    </w:p>
    <w:p w14:paraId="5DD21CD0"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Chilli (</w:t>
      </w:r>
      <w:r>
        <w:rPr>
          <w:rFonts w:ascii="Times New Roman" w:eastAsia="Times New Roman" w:hAnsi="Times New Roman" w:cs="Times New Roman"/>
          <w:b/>
          <w:bCs/>
          <w:i/>
          <w:iCs/>
          <w:sz w:val="24"/>
          <w:szCs w:val="24"/>
        </w:rPr>
        <w:t>Capsicum annuum</w:t>
      </w:r>
      <w:r>
        <w:rPr>
          <w:rFonts w:ascii="Times New Roman" w:eastAsia="Times New Roman" w:hAnsi="Times New Roman" w:cs="Times New Roman"/>
          <w:b/>
          <w:bCs/>
          <w:sz w:val="24"/>
          <w:szCs w:val="24"/>
        </w:rPr>
        <w:t>)</w:t>
      </w:r>
    </w:p>
    <w:p w14:paraId="60A83D8A"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development of the chili hybrid industry in India has historically relied on two primary pollination control systems: Genetic Male Sterility (GMS) and Cytoplasmic-Genetic Male Sterility (CGMS).</w:t>
      </w:r>
    </w:p>
    <w:p w14:paraId="314DD025"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GMS: Genetic male sterility serves as a cornerstone for cost-effective hybrid seed production in chili. A significant milestone was the introduction of the French-induced male sterile allele, ms-10, which was subsequently utilized by Punjab Agricultural University (PAU) to develop stable sterile lines. Through systematic backcrossing, the ms-10 allele was </w:t>
      </w:r>
      <w:r>
        <w:rPr>
          <w:rFonts w:ascii="Times New Roman" w:eastAsia="Times New Roman" w:hAnsi="Times New Roman" w:cs="Times New Roman"/>
          <w:sz w:val="24"/>
          <w:szCs w:val="24"/>
        </w:rPr>
        <w:lastRenderedPageBreak/>
        <w:t>introgressed into the 'Punjab Lal' cultivar to create the landmark line MS-12. This line, along with others like MS-13 and MS-41, formed the maternal foundation for India’s first generation of high-yielding chili hybrids, including CH-1 (MS-12 X LLS), CH-3 (MS-12 X 2025), and CH-27 (MS-12 X S-343) (Dhall, 2011; Singh &amp; Kaur, 1986).</w:t>
      </w:r>
    </w:p>
    <w:p w14:paraId="1136DC55"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CGMS: While CGMS in </w:t>
      </w:r>
      <w:r>
        <w:rPr>
          <w:rFonts w:ascii="Times New Roman" w:eastAsia="Times New Roman" w:hAnsi="Times New Roman" w:cs="Times New Roman"/>
          <w:i/>
          <w:iCs/>
          <w:sz w:val="24"/>
          <w:szCs w:val="24"/>
        </w:rPr>
        <w:t>Capsicum</w:t>
      </w:r>
      <w:r>
        <w:rPr>
          <w:rFonts w:ascii="Times New Roman" w:eastAsia="Times New Roman" w:hAnsi="Times New Roman" w:cs="Times New Roman"/>
          <w:sz w:val="24"/>
          <w:szCs w:val="24"/>
        </w:rPr>
        <w:t xml:space="preserve"> was first identified by Peterson in 1958 from an Indian accession, its early commercial adoption was hindered by phenotypic instability under varying temperatures and low natural outcrossing rates (Kumar et al., 2007). However, the World Vegetable Center (AVRDC) in Taiwan revitalized this system by identifying CGMS lines CCA-4759 and CCA-4757, which maintain consistent sterility even when night temperatures drop below 15°C (Liu &amp; Gniffke, 2004).</w:t>
      </w:r>
    </w:p>
    <w:p w14:paraId="00AF67E6"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Indian context, the introduction of the AVRDC line CCA-4261 at the Indian Institute of Vegetable Research (IIVR) has been pivotal. This germplasm has been instrumental in the development of contemporary CGMS-based hybrids such as Kashi Surkh (CCH-2) and Kashi Early (CCH-3), representing a shift toward more technologically advanced "three-line" hybrid systems (Singh et al., 2023; Varshney et al., 2021).</w:t>
      </w:r>
    </w:p>
    <w:p w14:paraId="64318CD0"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Radish (</w:t>
      </w:r>
      <w:r>
        <w:rPr>
          <w:rFonts w:ascii="Times New Roman" w:eastAsia="Times New Roman" w:hAnsi="Times New Roman" w:cs="Times New Roman"/>
          <w:b/>
          <w:bCs/>
          <w:i/>
          <w:iCs/>
          <w:sz w:val="24"/>
          <w:szCs w:val="24"/>
        </w:rPr>
        <w:t>Raphanus sativus L.</w:t>
      </w:r>
      <w:r>
        <w:rPr>
          <w:rFonts w:ascii="Times New Roman" w:eastAsia="Times New Roman" w:hAnsi="Times New Roman" w:cs="Times New Roman"/>
          <w:b/>
          <w:bCs/>
          <w:sz w:val="24"/>
          <w:szCs w:val="24"/>
        </w:rPr>
        <w:t>)</w:t>
      </w:r>
    </w:p>
    <w:p w14:paraId="5BF3F27C"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GMS: Male sterile mutants occur often in cultivated fields in North India (Kaul, 1988). Male sterile plants were isolated in a Japanese radish variety (Tokihashi) (Tokumasu, 1951. Male sterility in spontaneous isolated mutants is controlled by a single recessive gene (Kaul, 1988).</w:t>
      </w:r>
    </w:p>
    <w:p w14:paraId="38AA6C11"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CMS: In the Brassicaceae, Ogura (1968) discovered the first sterile cytoplasm in a Japanese population of radish. Extensive work has been done to transfer the Ogura cytoplasm to several Brassica oleracea cultivars through inter-specific and interparietal crosses. They successfully identified the maintainer of Ogura cytoplasm and transferred sterile cytoplasm into newly identified maintainer lines (Nieuwhof, 1990; Hawaldar et al., 1997). The restorer allele (R) is extensively distributed in wild radish, European, and Chinese cultivars, while the maintenance allele is more common in Japanese cultivars. likewise, three separate sources' restorer alleles were determined to be allelic (Yamagishi, 1998). According to Nieuwhof (1990), male sterility in most populations is stable, with the exception of few populations experiencing a reversible temperature impact. Male sterility in line 64 A was linked to tapetum abortion and cytoplasmic vacuolation, resulting in hypertrophy (Su et al., 1995).</w:t>
      </w:r>
    </w:p>
    <w:p w14:paraId="7D00AD07"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Carrot (</w:t>
      </w:r>
      <w:r>
        <w:rPr>
          <w:rFonts w:ascii="Times New Roman" w:eastAsia="Times New Roman" w:hAnsi="Times New Roman" w:cs="Times New Roman"/>
          <w:b/>
          <w:bCs/>
          <w:i/>
          <w:iCs/>
          <w:sz w:val="24"/>
          <w:szCs w:val="24"/>
        </w:rPr>
        <w:t>Daucus carota</w:t>
      </w:r>
      <w:r>
        <w:rPr>
          <w:rFonts w:ascii="Times New Roman" w:eastAsia="Times New Roman" w:hAnsi="Times New Roman" w:cs="Times New Roman"/>
          <w:b/>
          <w:bCs/>
          <w:sz w:val="24"/>
          <w:szCs w:val="24"/>
        </w:rPr>
        <w:t xml:space="preserve"> L.)</w:t>
      </w:r>
    </w:p>
    <w:p w14:paraId="1DFAD21E"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GMS: Male sterility was observed in this species as early as 1885(Kaul, 1988). Welch and Grimball (1947) isolated a male sterile plant from the commercial cultivar Tendersweet. Several genic male sterile mutants have been reported (Kaul, 1988). However, carrot has a more efficient CMS system, hence none of these have been used for commercial seed production.</w:t>
      </w:r>
    </w:p>
    <w:p w14:paraId="3A5B8404"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CMS: In this crop, two distinct forms of cytoplasmic male sterility (CMS) have been identified: the petaloid type and the brown anther type (Welch &amp; Grimball, 1947; Morelock, 1974). Detailed anatomical and cytological studies of male-sterile lines have been conducted (Struckmeyer &amp; Simon, 1986). In brown anther lines, meiosis does not take place. Instead, all anther tissues, including the sporogenous cells, exhibit abnormal enlargement (hypertrophy), ultimately leading to degeneration of these cells and failure of pollen formation.</w:t>
      </w:r>
    </w:p>
    <w:p w14:paraId="63E4735B"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genetic control of fertility restoration is complex. Studies have indicated the involvement of two duplicate genes—one dominant and one recessive—along with two complementary</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dominant restorer genes (Banga et al., 1964). In the case of petaloid sterility, at least two dominant duplicate loci have been reported to regulate the trait (Thomson, 1961). However, the overall mechanism of fertility restoration remains unclear due to limited characterization of the nuclear genes responsible for male sterility (Peterson &amp; Simon, 1986). Additionally, significant variability in mitochondrial DNA (mtDNA) structure across species contributes to this complexity (Bonte et al., 1984; Scheike et al., 1992; Ronfort et al., 1995)</w:t>
      </w:r>
    </w:p>
    <w:p w14:paraId="4E2A4519"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commercial F₁ hybrid developed using CMS was released in 1982 by the Taki Seed Company in Japan (Pelletier et al., 1995). In the United States, most hybrid varieties have been derived from a single source known as the Cornell cytoplasm. However, excessive reliance on a single cytoplasmic source raises concerns about increased susceptibility to diseases. To address this issue, the USDA introduced a new petaloid CMS line derived from the Wisconsin cytoplasm, thereby enhancing cytoplasmic diversity in hybrid breeding programs (Morelock et al., 1996).</w:t>
      </w:r>
    </w:p>
    <w:p w14:paraId="46A99E28"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Onion </w:t>
      </w:r>
      <w:r>
        <w:rPr>
          <w:rFonts w:ascii="Times New Roman" w:eastAsia="Times New Roman" w:hAnsi="Times New Roman" w:cs="Times New Roman"/>
          <w:b/>
          <w:bCs/>
          <w:i/>
          <w:iCs/>
          <w:sz w:val="24"/>
          <w:szCs w:val="24"/>
        </w:rPr>
        <w:t>(Allium cepa L.)</w:t>
      </w:r>
    </w:p>
    <w:p w14:paraId="742548B5"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CMS:</w:t>
      </w:r>
      <w:r>
        <w:rPr>
          <w:rFonts w:ascii="Times New Roman" w:eastAsia="Times New Roman" w:hAnsi="Times New Roman" w:cs="Times New Roman"/>
          <w:sz w:val="24"/>
          <w:szCs w:val="24"/>
        </w:rPr>
        <w:t xml:space="preserve"> The first report of male sterility in onion was observed in the progeny of the cultivar </w:t>
      </w:r>
      <w:r>
        <w:rPr>
          <w:rFonts w:ascii="Times New Roman" w:eastAsia="Times New Roman" w:hAnsi="Times New Roman" w:cs="Times New Roman"/>
          <w:i/>
          <w:iCs/>
          <w:sz w:val="24"/>
          <w:szCs w:val="24"/>
        </w:rPr>
        <w:t>Italian Red</w:t>
      </w:r>
      <w:r>
        <w:rPr>
          <w:rFonts w:ascii="Times New Roman" w:eastAsia="Times New Roman" w:hAnsi="Times New Roman" w:cs="Times New Roman"/>
          <w:sz w:val="24"/>
          <w:szCs w:val="24"/>
        </w:rPr>
        <w:t xml:space="preserve"> by Jones and Emsweller in 1936. This sterility was found to be cytoplasmically inherited and regulated by a single recessive nuclear gene responsible for </w:t>
      </w:r>
      <w:r>
        <w:rPr>
          <w:rFonts w:ascii="Times New Roman" w:eastAsia="Times New Roman" w:hAnsi="Times New Roman" w:cs="Times New Roman"/>
          <w:sz w:val="24"/>
          <w:szCs w:val="24"/>
        </w:rPr>
        <w:lastRenderedPageBreak/>
        <w:t>fertility restoration (Jones &amp; Clarke, 1943). Male sterile plants are naturally present in onion populations, although their frequency fluctuates depending on environmental conditions such as location and season. For instance, certain A-line populations exhibit complete male sterility at lower temperatures (14°C), while showing partial to full fertility at higher temperatures (23°C), indicating temperature sensitivity (Van Der Meer, 1969).</w:t>
      </w:r>
    </w:p>
    <w:p w14:paraId="55634256"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 advancements were made when Berninger (1965) identified a novel sterile cytoplasm, termed T-cytoplasm, in the French cultivar </w:t>
      </w:r>
      <w:r>
        <w:rPr>
          <w:rFonts w:ascii="Times New Roman" w:eastAsia="Times New Roman" w:hAnsi="Times New Roman" w:cs="Times New Roman"/>
          <w:i/>
          <w:iCs/>
          <w:sz w:val="24"/>
          <w:szCs w:val="24"/>
        </w:rPr>
        <w:t>Jaune Paille des Vertus</w:t>
      </w:r>
      <w:r>
        <w:rPr>
          <w:rFonts w:ascii="Times New Roman" w:eastAsia="Times New Roman" w:hAnsi="Times New Roman" w:cs="Times New Roman"/>
          <w:sz w:val="24"/>
          <w:szCs w:val="24"/>
        </w:rPr>
        <w:t>. Unlike S-cytoplasm, fertility restoration in T-cytoplasm is governed by three independent nuclear genes (Schweisguth, 1973). Morphologically, anthers in S-cytoplasm male sterile lines appear normal but remain small, green, and fail to dehisce during anthesis. In contrast, T-cytoplasm lines show significant abnormalities in anther structure (Kaul, 1988).</w:t>
      </w:r>
    </w:p>
    <w:p w14:paraId="5BF4BD60" w14:textId="77777777" w:rsidR="003D6891" w:rsidRDefault="00447EBD" w:rsidP="00672065">
      <w:pPr>
        <w:spacing w:line="36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At the molecular level, Sato (1998) identified a specific RAPD marker associated with mitochondrial DNA of S-cytoplasm. Such molecular markers are valuable tools for distinguishing and characterizing different sterile cytoplasms, especially during cytoplasmic diversification. Despite challenges such as environmental sensitivity affecting sterility expression, S-cytoplasm remains extensively used in hybrid seed production programs</w:t>
      </w:r>
      <w:r>
        <w:rPr>
          <w:rFonts w:ascii="Times New Roman" w:eastAsia="Times New Roman" w:hAnsi="Times New Roman" w:cs="Times New Roman"/>
          <w:b/>
          <w:bCs/>
          <w:sz w:val="24"/>
          <w:szCs w:val="24"/>
        </w:rPr>
        <w:t>.</w:t>
      </w:r>
    </w:p>
    <w:p w14:paraId="5711E770"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Globally, more than half of the onion cultivars presently grown are F₁ hybrids developed using S-cytoplasm (Pelletier et al., 1995). In contrast, in India, no commercially released hybrids from the public sector have been formally recommended yet. However, in certain regions, farmers are cultivating hybrids based on male sterility that have been developed and distributed by private seed companies.</w:t>
      </w:r>
    </w:p>
    <w:p w14:paraId="64E88C2D"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Okra [</w:t>
      </w:r>
      <w:r>
        <w:rPr>
          <w:rFonts w:ascii="Times New Roman" w:eastAsia="Times New Roman" w:hAnsi="Times New Roman" w:cs="Times New Roman"/>
          <w:b/>
          <w:bCs/>
          <w:i/>
          <w:iCs/>
          <w:sz w:val="24"/>
          <w:szCs w:val="24"/>
        </w:rPr>
        <w:t>Abelmoschus esculetus (L.) Moench</w:t>
      </w:r>
      <w:r>
        <w:rPr>
          <w:rFonts w:ascii="Times New Roman" w:eastAsia="Times New Roman" w:hAnsi="Times New Roman" w:cs="Times New Roman"/>
          <w:b/>
          <w:bCs/>
          <w:sz w:val="24"/>
          <w:szCs w:val="24"/>
        </w:rPr>
        <w:t>.]</w:t>
      </w:r>
    </w:p>
    <w:p w14:paraId="4856880B"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commercial landscape of F-1hybrid production for okra in India has traditionally been dominated by manual emasculation and hand pollination. This conventional approach is remarkably resource-heavy, representing approximately 70% of the total labor and time investment required for cultivation. Such high operational costs have necessitated the exploration of genetic alternatives to streamline seed production.</w:t>
      </w:r>
    </w:p>
    <w:p w14:paraId="3AADE4D7"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pivotal development in this field was the release of the MS-1 genetic male sterile (GMS) line by the Division of Vegetable Crops at the Indian Institute of Horticultural Research (IIHR). In okra, this male sterility is regulated by a single locus with a recessive inheritance pattern. The sterile phenotype is manifested exclusively in the homozygous recessive state </w:t>
      </w:r>
      <w:r>
        <w:rPr>
          <w:rFonts w:ascii="Times New Roman" w:eastAsia="Times New Roman" w:hAnsi="Times New Roman" w:cs="Times New Roman"/>
          <w:sz w:val="24"/>
          <w:szCs w:val="24"/>
        </w:rPr>
        <w:lastRenderedPageBreak/>
        <w:t>(ms1ms1), providing a stable and reliable maternal foundation for the large-scale production of commercial hybrids.</w:t>
      </w:r>
    </w:p>
    <w:p w14:paraId="3C30D396"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integration of GMS lines like MS-1 not only reduces the dependency on manual labor but also ensures a higher degree of genetic purity by eliminating the human error associated with manual emasculation (Dhall, 2011; Singh et al., 2023). Furthermore, modern genomic studies are currently focused on identifying molecular markers linked to the ms1 gene to facilitate marker-assisted selection (MAS) for even more rapid deployment of sterile lines in breeding programs (Varshney et al., 2021).</w:t>
      </w:r>
    </w:p>
    <w:p w14:paraId="38320646"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Unlike some crops, natural occurrence of male sterility in okra has not been reported; however, it has been successfully induced through gamma irradiation (Dutta, 1971). The sterility trait was found to be stable and unaffected by environmental conditions. Although flowering (anthesis) occurs normally, anther dehiscence is incomplete. Cytological studies indicate that microsporogenesis proceeds normally up to the tetrad stage. These characteristics highlight the strong potential of utilizing male sterility in heterosis breeding programs for efficient hybrid seed production in okra (Pitchaimuthu et al., 2012).</w:t>
      </w:r>
    </w:p>
    <w:p w14:paraId="72276AAB"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Male sterility prevents self-fertilization by disrupting pollen formation, enabling cost-efficient hybrid seed production without emasculation.</w:t>
      </w:r>
    </w:p>
    <w:p w14:paraId="6D3407A6"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Gynoecism and Sex Manipulation</w:t>
      </w:r>
    </w:p>
    <w:p w14:paraId="001649F1"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Gynoecism</w:t>
      </w:r>
    </w:p>
    <w:p w14:paraId="721F65E9"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Gynoecism refers to the condition in which plants produce exclusively or predominantly female (pistillate) flowers. This trait is particularly significant in cucurbit crops such as cucumber (</w:t>
      </w:r>
      <w:r>
        <w:rPr>
          <w:rFonts w:ascii="Times New Roman" w:eastAsia="Times New Roman" w:hAnsi="Times New Roman" w:cs="Times New Roman"/>
          <w:i/>
          <w:iCs/>
          <w:sz w:val="24"/>
          <w:szCs w:val="24"/>
        </w:rPr>
        <w:t>Cucumis sativus</w:t>
      </w:r>
      <w:r>
        <w:rPr>
          <w:rFonts w:ascii="Times New Roman" w:eastAsia="Times New Roman" w:hAnsi="Times New Roman" w:cs="Times New Roman"/>
          <w:sz w:val="24"/>
          <w:szCs w:val="24"/>
        </w:rPr>
        <w:t>) and bitter gourd (</w:t>
      </w:r>
      <w:r>
        <w:rPr>
          <w:rFonts w:ascii="Times New Roman" w:eastAsia="Times New Roman" w:hAnsi="Times New Roman" w:cs="Times New Roman"/>
          <w:i/>
          <w:iCs/>
          <w:sz w:val="24"/>
          <w:szCs w:val="24"/>
        </w:rPr>
        <w:t>Momordica charantia</w:t>
      </w:r>
      <w:r>
        <w:rPr>
          <w:rFonts w:ascii="Times New Roman" w:eastAsia="Times New Roman" w:hAnsi="Times New Roman" w:cs="Times New Roman"/>
          <w:sz w:val="24"/>
          <w:szCs w:val="24"/>
        </w:rPr>
        <w:t>), where sex expression plays a critical role in determining yield and reproductive efficiency. In cucurbits, diverse sex forms exist, including monoecious, gynoecious, and andromonoecious types, reflecting the evolutionary plasticity of floral biology in this family (Dhall et al., 2023; MDPI, 2023).</w:t>
      </w:r>
    </w:p>
    <w:p w14:paraId="399580CD"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Gynoecious plants are advantageous because they produce only female flowers, which directly contribute to fruit formation. As a result, these genotypes often exhibit higher yield potential and early fruiting compared to monoecious types. The increased proportion of pistillate flowers ensures a greater number of fruits per plant, making gynoecism a valuable trait in vegetable breeding programs (Dhall et al., 2023).</w:t>
      </w:r>
    </w:p>
    <w:p w14:paraId="377B01FA"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Historically, gynoecious lines in cucumber were difficult to maintain because the absence of male flowers prevented self-pollination. However, this limitation was overcome through the use of plant growth regulators such as gibberellic acid and silver-based chemicals, which induce temporary male flower formation, allowing seed multiplication (Wehner, n.d.; Hormuzdi &amp; More, 1989).</w:t>
      </w:r>
    </w:p>
    <w:p w14:paraId="0507B4E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Overall, gynoecism has become a cornerstone trait in modern cucurbit breeding due to its direct association with enhanced productivity and its utility in hybrid seed production systems.</w:t>
      </w:r>
    </w:p>
    <w:p w14:paraId="13B4D186"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Genetic Control</w:t>
      </w:r>
    </w:p>
    <w:p w14:paraId="1AD6CAF6"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genetic regulation of gynoecism is complex and involves interactions among multiple genes as well as environmental influences. In cucumber, sex expression is controlled by a set of major genes along with modifying factors. Studies have identified both recessive and dominant genetic systems governing gynoecy (Boualem et al., 2015; Dhall et al., 2023).</w:t>
      </w:r>
    </w:p>
    <w:p w14:paraId="3D350B92"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well-characterized mechanisms involves a recessive gene responsible for gynoecious expression, whose effect is enhanced by dominant modifier or intensifier genes such as </w:t>
      </w:r>
      <w:r>
        <w:rPr>
          <w:rFonts w:ascii="Times New Roman" w:eastAsia="Times New Roman" w:hAnsi="Times New Roman" w:cs="Times New Roman"/>
          <w:i/>
          <w:iCs/>
          <w:sz w:val="24"/>
          <w:szCs w:val="24"/>
        </w:rPr>
        <w:t>In-F</w:t>
      </w:r>
      <w:r>
        <w:rPr>
          <w:rFonts w:ascii="Times New Roman" w:eastAsia="Times New Roman" w:hAnsi="Times New Roman" w:cs="Times New Roman"/>
          <w:sz w:val="24"/>
          <w:szCs w:val="24"/>
        </w:rPr>
        <w:t xml:space="preserve">. The interaction between these genes determines the degree of femaleness in the plant (MDPI, 2023). Additionally, other genes such as </w:t>
      </w:r>
      <w:r>
        <w:rPr>
          <w:rFonts w:ascii="Times New Roman" w:eastAsia="Times New Roman" w:hAnsi="Times New Roman" w:cs="Times New Roman"/>
          <w:i/>
          <w:iCs/>
          <w:sz w:val="24"/>
          <w:szCs w:val="24"/>
        </w:rPr>
        <w:t>Acr/acr</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M/m</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A/a</w:t>
      </w:r>
      <w:r>
        <w:rPr>
          <w:rFonts w:ascii="Times New Roman" w:eastAsia="Times New Roman" w:hAnsi="Times New Roman" w:cs="Times New Roman"/>
          <w:sz w:val="24"/>
          <w:szCs w:val="24"/>
        </w:rPr>
        <w:t xml:space="preserve"> are known to influence sex expression patterns in cucurbits, contributing to variability in floral phenotype (Robinson, 2008).</w:t>
      </w:r>
    </w:p>
    <w:p w14:paraId="3709AF77"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Importantly, the expression of gynoecism is not solely governed by genetic factors. Environmental conditions such as temperature, photoperiod, and hormonal balance significantly influence sex expression. For instance, high temperatures and long day conditions may reduce the expression of femaleness, while certain growth regulators can enhance it (Springer, 2022).</w:t>
      </w:r>
    </w:p>
    <w:p w14:paraId="099D3064"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recent advances in molecular genetics and genomics have enabled the identification of quantitative trait loci (QTLs) and molecular markers associated with gynoecy. These tools facilitate marker-assisted selection, allowing breeders to efficiently transfer gynoecious traits into elite lines and accelerate hybrid development (Dhall et al., 2023).</w:t>
      </w:r>
    </w:p>
    <w:p w14:paraId="6E561CB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Thus, gynoecism is controlled by a combination of major genes, modifiers, and environmental interactions, making it a quantitatively influenced but highly exploitable trait in plant breeding.</w:t>
      </w:r>
    </w:p>
    <w:p w14:paraId="789918CF"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Practical Hybrid Seed Production</w:t>
      </w:r>
    </w:p>
    <w:p w14:paraId="2459A62D"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the improvement of cucurbitaceous crops, the utilization of gynoecious lines serves as a transformative strategy for pollination control. The fundamental advantage of these lines is their specialized reproductive morphology, characterized by the exclusive production of female flowers. This trait inherently eliminates the technical necessity for manual emasculation, which is otherwise the most resource-intensive phase of hybridization (Singh et al., 2023).</w:t>
      </w:r>
    </w:p>
    <w:p w14:paraId="1E48D242"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By utilizing gynoecious maternal parents, breeders can significantly streamline hybrid seed production, drastically lowering labor expenditures while increasing the speed and volume of output. This biological efficiency has made gynoecious systems the preferred standard for large-scale commercial seed production in crops such as cucumber and bitter gourd (Dhall et al., 2023). Furthermore, the stability of these lines allows for 100% hybridity in the resulting seed lots, ensuring maximum genetic purity and consistent performance for growers (Singh et al., 2023).</w:t>
      </w:r>
    </w:p>
    <w:p w14:paraId="6AB6F382"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commercial hybrid seed production, gynoecious lines are typically used as the female parent and are crossed with monoecious or other male-bearing lines. A common planting ratio (e.g., 4:1 female to male rows) is maintained to ensure effective pollination, usually facilitated by insect pollinators such as honeybees (Springer, 2022). This approach ensures high seed set and improved hybrid seed yield.</w:t>
      </w:r>
    </w:p>
    <w:p w14:paraId="07A8B1A6"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use of gynoecious lines also leads to increased uniformity and earliness in hybrid crops. Since all flowers on the female parent are capable of producing fruits, the efficiency of hybrid seed production is maximized. Additionally, hybrids derived from gynoecious lines often exhibit superior yield performance and better fruit quality due to heterosis (Wehner, n.d.).</w:t>
      </w:r>
    </w:p>
    <w:p w14:paraId="6DB3E499" w14:textId="77777777" w:rsidR="003D6891" w:rsidRDefault="003D6891">
      <w:pPr>
        <w:spacing w:line="360" w:lineRule="auto"/>
        <w:jc w:val="both"/>
        <w:rPr>
          <w:rFonts w:ascii="Times New Roman" w:eastAsia="Times New Roman" w:hAnsi="Times New Roman" w:cs="Times New Roman"/>
          <w:sz w:val="24"/>
          <w:szCs w:val="24"/>
        </w:rPr>
      </w:pPr>
    </w:p>
    <w:p w14:paraId="2955C3BC" w14:textId="5D97EE12"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w:t>
      </w:r>
      <w:r w:rsidR="00DD00A3">
        <w:rPr>
          <w:rFonts w:ascii="Times New Roman" w:eastAsia="Times New Roman" w:hAnsi="Times New Roman" w:cs="Times New Roman"/>
          <w:sz w:val="24"/>
          <w:szCs w:val="24"/>
        </w:rPr>
        <w:t>4</w:t>
      </w:r>
      <w:r>
        <w:rPr>
          <w:rFonts w:ascii="Times New Roman" w:eastAsia="Times New Roman" w:hAnsi="Times New Roman" w:cs="Times New Roman"/>
          <w:sz w:val="24"/>
          <w:szCs w:val="24"/>
        </w:rPr>
        <w:t>: Achievements</w:t>
      </w:r>
    </w:p>
    <w:tbl>
      <w:tblPr>
        <w:tblStyle w:val="a3"/>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1"/>
        <w:gridCol w:w="1370"/>
        <w:gridCol w:w="1686"/>
        <w:gridCol w:w="5119"/>
      </w:tblGrid>
      <w:tr w:rsidR="003D6891" w14:paraId="3CB19B06" w14:textId="77777777">
        <w:tc>
          <w:tcPr>
            <w:tcW w:w="841" w:type="dxa"/>
          </w:tcPr>
          <w:p w14:paraId="5A42CA67"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Sr. No.</w:t>
            </w:r>
          </w:p>
        </w:tc>
        <w:tc>
          <w:tcPr>
            <w:tcW w:w="1370" w:type="dxa"/>
          </w:tcPr>
          <w:p w14:paraId="4F5BB9B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Crop</w:t>
            </w:r>
          </w:p>
        </w:tc>
        <w:tc>
          <w:tcPr>
            <w:tcW w:w="1686" w:type="dxa"/>
          </w:tcPr>
          <w:p w14:paraId="0CF09BB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Hybrid</w:t>
            </w:r>
          </w:p>
        </w:tc>
        <w:tc>
          <w:tcPr>
            <w:tcW w:w="5119" w:type="dxa"/>
          </w:tcPr>
          <w:p w14:paraId="05919299"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Remark</w:t>
            </w:r>
          </w:p>
        </w:tc>
      </w:tr>
      <w:tr w:rsidR="003D6891" w14:paraId="69D71761" w14:textId="77777777">
        <w:tc>
          <w:tcPr>
            <w:tcW w:w="841" w:type="dxa"/>
            <w:vMerge w:val="restart"/>
          </w:tcPr>
          <w:p w14:paraId="04950BCD" w14:textId="77777777" w:rsidR="003D6891" w:rsidRDefault="003D6891">
            <w:pPr>
              <w:spacing w:line="360" w:lineRule="auto"/>
              <w:jc w:val="both"/>
              <w:rPr>
                <w:rFonts w:ascii="Times New Roman" w:eastAsia="Times New Roman" w:hAnsi="Times New Roman" w:cs="Times New Roman"/>
                <w:sz w:val="24"/>
                <w:szCs w:val="24"/>
              </w:rPr>
            </w:pPr>
          </w:p>
          <w:p w14:paraId="64F26A0C" w14:textId="77777777" w:rsidR="003D6891" w:rsidRDefault="003D6891">
            <w:pPr>
              <w:spacing w:line="360" w:lineRule="auto"/>
              <w:jc w:val="both"/>
              <w:rPr>
                <w:rFonts w:ascii="Times New Roman" w:eastAsia="Times New Roman" w:hAnsi="Times New Roman" w:cs="Times New Roman"/>
                <w:sz w:val="24"/>
                <w:szCs w:val="24"/>
              </w:rPr>
            </w:pPr>
          </w:p>
          <w:p w14:paraId="42DB3F80" w14:textId="77777777" w:rsidR="003D6891" w:rsidRDefault="003D6891">
            <w:pPr>
              <w:spacing w:line="360" w:lineRule="auto"/>
              <w:jc w:val="both"/>
              <w:rPr>
                <w:rFonts w:ascii="Times New Roman" w:eastAsia="Times New Roman" w:hAnsi="Times New Roman" w:cs="Times New Roman"/>
                <w:sz w:val="24"/>
                <w:szCs w:val="24"/>
              </w:rPr>
            </w:pPr>
          </w:p>
          <w:p w14:paraId="701FF5FA" w14:textId="77777777" w:rsidR="003D6891" w:rsidRDefault="003D6891">
            <w:pPr>
              <w:spacing w:line="360" w:lineRule="auto"/>
              <w:jc w:val="both"/>
              <w:rPr>
                <w:rFonts w:ascii="Times New Roman" w:eastAsia="Times New Roman" w:hAnsi="Times New Roman" w:cs="Times New Roman"/>
                <w:sz w:val="24"/>
                <w:szCs w:val="24"/>
              </w:rPr>
            </w:pPr>
          </w:p>
          <w:p w14:paraId="152C67EA" w14:textId="77777777" w:rsidR="003D6891" w:rsidRDefault="003D6891">
            <w:pPr>
              <w:spacing w:line="360" w:lineRule="auto"/>
              <w:jc w:val="both"/>
              <w:rPr>
                <w:rFonts w:ascii="Times New Roman" w:eastAsia="Times New Roman" w:hAnsi="Times New Roman" w:cs="Times New Roman"/>
                <w:sz w:val="24"/>
                <w:szCs w:val="24"/>
              </w:rPr>
            </w:pPr>
          </w:p>
          <w:p w14:paraId="639B4BA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1370" w:type="dxa"/>
            <w:vMerge w:val="restart"/>
          </w:tcPr>
          <w:p w14:paraId="57B24917" w14:textId="77777777" w:rsidR="003D6891" w:rsidRDefault="003D6891">
            <w:pPr>
              <w:spacing w:line="360" w:lineRule="auto"/>
              <w:jc w:val="both"/>
              <w:rPr>
                <w:rFonts w:ascii="Times New Roman" w:eastAsia="Times New Roman" w:hAnsi="Times New Roman" w:cs="Times New Roman"/>
                <w:sz w:val="24"/>
                <w:szCs w:val="24"/>
              </w:rPr>
            </w:pPr>
          </w:p>
          <w:p w14:paraId="6DAAE81F" w14:textId="77777777" w:rsidR="003D6891" w:rsidRDefault="003D6891">
            <w:pPr>
              <w:spacing w:line="360" w:lineRule="auto"/>
              <w:jc w:val="both"/>
              <w:rPr>
                <w:rFonts w:ascii="Times New Roman" w:eastAsia="Times New Roman" w:hAnsi="Times New Roman" w:cs="Times New Roman"/>
                <w:sz w:val="24"/>
                <w:szCs w:val="24"/>
              </w:rPr>
            </w:pPr>
          </w:p>
          <w:p w14:paraId="5097D543" w14:textId="77777777" w:rsidR="003D6891" w:rsidRDefault="003D6891">
            <w:pPr>
              <w:spacing w:line="360" w:lineRule="auto"/>
              <w:jc w:val="both"/>
              <w:rPr>
                <w:rFonts w:ascii="Times New Roman" w:eastAsia="Times New Roman" w:hAnsi="Times New Roman" w:cs="Times New Roman"/>
                <w:sz w:val="24"/>
                <w:szCs w:val="24"/>
              </w:rPr>
            </w:pPr>
          </w:p>
          <w:p w14:paraId="6BDD49AC" w14:textId="77777777" w:rsidR="003D6891" w:rsidRDefault="003D6891">
            <w:pPr>
              <w:spacing w:line="360" w:lineRule="auto"/>
              <w:jc w:val="both"/>
              <w:rPr>
                <w:rFonts w:ascii="Times New Roman" w:eastAsia="Times New Roman" w:hAnsi="Times New Roman" w:cs="Times New Roman"/>
                <w:sz w:val="24"/>
                <w:szCs w:val="24"/>
              </w:rPr>
            </w:pPr>
          </w:p>
          <w:p w14:paraId="23603FA0" w14:textId="77777777" w:rsidR="003D6891" w:rsidRDefault="003D6891">
            <w:pPr>
              <w:spacing w:line="360" w:lineRule="auto"/>
              <w:jc w:val="both"/>
              <w:rPr>
                <w:rFonts w:ascii="Times New Roman" w:eastAsia="Times New Roman" w:hAnsi="Times New Roman" w:cs="Times New Roman"/>
                <w:sz w:val="24"/>
                <w:szCs w:val="24"/>
              </w:rPr>
            </w:pPr>
          </w:p>
          <w:p w14:paraId="3E75A59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Cucumber</w:t>
            </w:r>
          </w:p>
        </w:tc>
        <w:tc>
          <w:tcPr>
            <w:tcW w:w="1686" w:type="dxa"/>
          </w:tcPr>
          <w:p w14:paraId="425E116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Pusa Sanyog</w:t>
            </w:r>
          </w:p>
        </w:tc>
        <w:tc>
          <w:tcPr>
            <w:tcW w:w="5119" w:type="dxa"/>
          </w:tcPr>
          <w:p w14:paraId="2DCE992D"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(Japanese gynoecious line × Green Long Naples)</w:t>
            </w:r>
          </w:p>
        </w:tc>
      </w:tr>
      <w:tr w:rsidR="003D6891" w14:paraId="55AED073" w14:textId="77777777">
        <w:trPr>
          <w:trHeight w:val="665"/>
        </w:trPr>
        <w:tc>
          <w:tcPr>
            <w:tcW w:w="841" w:type="dxa"/>
            <w:vMerge/>
          </w:tcPr>
          <w:p w14:paraId="7BA8E1BD"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70" w:type="dxa"/>
            <w:vMerge/>
          </w:tcPr>
          <w:p w14:paraId="18E91962"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86" w:type="dxa"/>
          </w:tcPr>
          <w:p w14:paraId="417F72AF"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DCH-1 and DCH-2</w:t>
            </w:r>
          </w:p>
        </w:tc>
        <w:tc>
          <w:tcPr>
            <w:tcW w:w="5119" w:type="dxa"/>
          </w:tcPr>
          <w:p w14:paraId="515F724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Tropical gynoecious lines developed at IARI, New Delhi</w:t>
            </w:r>
          </w:p>
        </w:tc>
      </w:tr>
      <w:tr w:rsidR="003D6891" w14:paraId="31105067" w14:textId="77777777">
        <w:tc>
          <w:tcPr>
            <w:tcW w:w="841" w:type="dxa"/>
            <w:vMerge/>
          </w:tcPr>
          <w:p w14:paraId="2E7FA565"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70" w:type="dxa"/>
            <w:vMerge/>
          </w:tcPr>
          <w:p w14:paraId="71F8D075"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86" w:type="dxa"/>
          </w:tcPr>
          <w:p w14:paraId="7161FE4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KTCH-11</w:t>
            </w:r>
          </w:p>
        </w:tc>
        <w:tc>
          <w:tcPr>
            <w:tcW w:w="5119" w:type="dxa"/>
          </w:tcPr>
          <w:p w14:paraId="5763F73A"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prolific-bearing hybrid, developed at IARI Regional Station, Katrain</w:t>
            </w:r>
          </w:p>
        </w:tc>
      </w:tr>
      <w:tr w:rsidR="003D6891" w14:paraId="020E609E" w14:textId="77777777">
        <w:tc>
          <w:tcPr>
            <w:tcW w:w="841" w:type="dxa"/>
            <w:vMerge/>
          </w:tcPr>
          <w:p w14:paraId="59E93B36"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70" w:type="dxa"/>
            <w:vMerge/>
          </w:tcPr>
          <w:p w14:paraId="63915E82"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86" w:type="dxa"/>
          </w:tcPr>
          <w:p w14:paraId="5AE37D89"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KH-1 and KH-2</w:t>
            </w:r>
          </w:p>
        </w:tc>
        <w:tc>
          <w:tcPr>
            <w:tcW w:w="5119" w:type="dxa"/>
          </w:tcPr>
          <w:p w14:paraId="6453E89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Developed at YSP University of Horticulture and Forestry, Solan</w:t>
            </w:r>
          </w:p>
        </w:tc>
      </w:tr>
      <w:tr w:rsidR="003D6891" w14:paraId="1CD03597" w14:textId="77777777">
        <w:tc>
          <w:tcPr>
            <w:tcW w:w="841" w:type="dxa"/>
            <w:vMerge/>
          </w:tcPr>
          <w:p w14:paraId="7C9D419F"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70" w:type="dxa"/>
            <w:vMerge/>
          </w:tcPr>
          <w:p w14:paraId="37EB61C2"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86" w:type="dxa"/>
          </w:tcPr>
          <w:p w14:paraId="5C1216B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PH-9</w:t>
            </w:r>
          </w:p>
        </w:tc>
        <w:tc>
          <w:tcPr>
            <w:tcW w:w="5119" w:type="dxa"/>
          </w:tcPr>
          <w:p w14:paraId="3CFEFA2C"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GYC-2 × Phule Shubhangi, (MPKV, Rahuri)</w:t>
            </w:r>
          </w:p>
        </w:tc>
      </w:tr>
      <w:tr w:rsidR="003D6891" w14:paraId="5AC47529" w14:textId="77777777">
        <w:tc>
          <w:tcPr>
            <w:tcW w:w="841" w:type="dxa"/>
            <w:vMerge/>
          </w:tcPr>
          <w:p w14:paraId="7AA49FE5"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370" w:type="dxa"/>
            <w:vMerge/>
          </w:tcPr>
          <w:p w14:paraId="1896FD52" w14:textId="77777777" w:rsidR="003D6891" w:rsidRDefault="003D689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686" w:type="dxa"/>
          </w:tcPr>
          <w:p w14:paraId="7380E04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PH-18</w:t>
            </w:r>
          </w:p>
        </w:tc>
        <w:tc>
          <w:tcPr>
            <w:tcW w:w="5119" w:type="dxa"/>
          </w:tcPr>
          <w:p w14:paraId="32289AB9"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GYC-4 × Poona Khira, (MPKV, Rahuri)</w:t>
            </w:r>
          </w:p>
        </w:tc>
      </w:tr>
      <w:tr w:rsidR="003D6891" w14:paraId="3C7888F3" w14:textId="77777777">
        <w:tc>
          <w:tcPr>
            <w:tcW w:w="841" w:type="dxa"/>
          </w:tcPr>
          <w:p w14:paraId="3DCF8A7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370" w:type="dxa"/>
          </w:tcPr>
          <w:p w14:paraId="5DFF2E79"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Bitter gourd</w:t>
            </w:r>
          </w:p>
        </w:tc>
        <w:tc>
          <w:tcPr>
            <w:tcW w:w="1686" w:type="dxa"/>
          </w:tcPr>
          <w:p w14:paraId="21A6C9DA"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Pusa Hybrid-4</w:t>
            </w:r>
          </w:p>
        </w:tc>
        <w:tc>
          <w:tcPr>
            <w:tcW w:w="5119" w:type="dxa"/>
          </w:tcPr>
          <w:p w14:paraId="169A674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First gynoecious based hybrid, (IARI New Delhi)</w:t>
            </w:r>
          </w:p>
        </w:tc>
      </w:tr>
      <w:tr w:rsidR="003D6891" w14:paraId="3E228B75" w14:textId="77777777">
        <w:tc>
          <w:tcPr>
            <w:tcW w:w="841" w:type="dxa"/>
          </w:tcPr>
          <w:p w14:paraId="772AA5A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370" w:type="dxa"/>
          </w:tcPr>
          <w:p w14:paraId="3A2297B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Muskmelon</w:t>
            </w:r>
          </w:p>
        </w:tc>
        <w:tc>
          <w:tcPr>
            <w:tcW w:w="1686" w:type="dxa"/>
          </w:tcPr>
          <w:p w14:paraId="5C2243D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MH-10</w:t>
            </w:r>
          </w:p>
        </w:tc>
        <w:tc>
          <w:tcPr>
            <w:tcW w:w="5119" w:type="dxa"/>
          </w:tcPr>
          <w:p w14:paraId="299116C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 998 x Punjab Sunehri), developed at PAU, Ludhiana.</w:t>
            </w:r>
          </w:p>
        </w:tc>
      </w:tr>
    </w:tbl>
    <w:p w14:paraId="4E4CDAD3" w14:textId="77777777" w:rsidR="003D6891" w:rsidRDefault="003D6891">
      <w:pPr>
        <w:spacing w:line="360" w:lineRule="auto"/>
        <w:jc w:val="both"/>
        <w:rPr>
          <w:rFonts w:ascii="Times New Roman" w:eastAsia="Times New Roman" w:hAnsi="Times New Roman" w:cs="Times New Roman"/>
          <w:sz w:val="24"/>
          <w:szCs w:val="24"/>
        </w:rPr>
      </w:pPr>
    </w:p>
    <w:p w14:paraId="7573A9E4" w14:textId="77777777" w:rsidR="003D6891" w:rsidRDefault="003D6891">
      <w:pPr>
        <w:spacing w:line="360" w:lineRule="auto"/>
        <w:jc w:val="both"/>
        <w:rPr>
          <w:rFonts w:ascii="Times New Roman" w:eastAsia="Times New Roman" w:hAnsi="Times New Roman" w:cs="Times New Roman"/>
          <w:sz w:val="24"/>
          <w:szCs w:val="24"/>
        </w:rPr>
      </w:pPr>
    </w:p>
    <w:p w14:paraId="7149767A"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maintaining gynoecious lines requires careful management. Since these lines lack male flowers, chemicals such as silver nitrate or gibberellic acid are used to induce temporary male flowers for selfing and seed multiplication. Moreover, environmental sensitivity remains a challenge, as fluctuations in temperature and photoperiod can alter sex expression and affect seed purity (Springer, 2022).</w:t>
      </w:r>
    </w:p>
    <w:p w14:paraId="2A5320D4"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Despite these challenges, gynoecism has been widely adopted in hybrid breeding programs due to its efficiency and economic advantages. It has revolutionized hybrid seed production in cucurbits by reducing labour costs, increasing seed yield, and improving overall productivity.</w:t>
      </w:r>
    </w:p>
    <w:p w14:paraId="521F3E4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Molecular and Genomic Tools in Hybrid Breeding</w:t>
      </w:r>
    </w:p>
    <w:p w14:paraId="13A42A45"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Advances in molecular biology and genomics have significantly transformed hybrid breeding in vegetable crops. Traditional breeding methods, although effective, are often time-consuming and less precise. The integration of molecular markers, genomic tools, and biotechnological approaches has enabled breeders to accelerate the development of hybrids with improved yield, stress tolerance, and reproductive efficiency. These approaches are particularly valuable in manipulating traits such as male sterility, fertility restoration, and sex expression, which are critical for hybrid seed production (Varshney et al., 2021; Dhall et al., 2023).</w:t>
      </w:r>
    </w:p>
    <w:p w14:paraId="1BF646B3" w14:textId="77777777" w:rsidR="003D6891" w:rsidRDefault="003D6891">
      <w:pPr>
        <w:spacing w:line="360" w:lineRule="auto"/>
        <w:jc w:val="both"/>
        <w:rPr>
          <w:rFonts w:ascii="Times New Roman" w:eastAsia="Times New Roman" w:hAnsi="Times New Roman" w:cs="Times New Roman"/>
          <w:b/>
          <w:bCs/>
          <w:sz w:val="24"/>
          <w:szCs w:val="24"/>
        </w:rPr>
      </w:pPr>
    </w:p>
    <w:p w14:paraId="52030C41"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Marker-Assisted Selection</w:t>
      </w:r>
    </w:p>
    <w:p w14:paraId="59FA018A"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Marker-assisted selection (MAS) has emerged as a powerful strategy to enhance breeding efficiency by enabling indirect selection of desirable traits using DNA markers. In hybrid breeding, MAS is widely applied to identify and track genes associated with male sterility systems, fertility restoration (Rf genes), and sex expression traits. This approach minimizes reliance on phenotypic screening, which can be influenced by environmental conditions, and allows early selection at the seedling stage (Collard &amp; Mackill, 2008).</w:t>
      </w:r>
    </w:p>
    <w:p w14:paraId="6719E27F"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vegetable crops such as tomato, pepper, onion, and cucumber, molecular markers linked to cytoplasmic male sterility (CMS) and genic male sterility (GMS) systems have been successfully developed. These markers facilitate the identification of maintainer and restorer lines, thereby simplifying hybrid seed production (Dhall et al., 2023). For example, markers linked to restorer genes enable breeders to distinguish between fertile and sterile genotypes without the need for test crosses, saving both time and resources (Varshney et al., 2021).</w:t>
      </w:r>
    </w:p>
    <w:p w14:paraId="67131A65"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Moreover, MAS plays an important role in pyramiding multiple traits, such as disease resistance and yield components, along with sterility systems. This integrated selection approach enhances the overall performance of hybrids and ensures stability across environments. Despite its advantages, MAS is most effective for traits governed by major genes; its efficiency decreases for complex quantitative traits controlled by multiple loci (Collard &amp; Mackill, 2008). Overall, MAS has become an indispensable tool in modern hybrid breeding programs, contributing to precision breeding and improved genetic gain.</w:t>
      </w:r>
    </w:p>
    <w:p w14:paraId="62E882FC"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Genomics and GWAS</w:t>
      </w:r>
    </w:p>
    <w:p w14:paraId="0CF5E5C7"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advent of next-generation sequencing technologies has revolutionized plant breeding by providing access to whole-genome information. Genomics-assisted breeding involves the use of genome-wide data to identify genes and quantitative trait loci (QTLs) associated with important agronomic traits. Among these approaches, genome-wide association studies (GWAS) have gained prominence for dissecting complex traits such as heterosis, yield, and stress tolerance (Varshney et al., 2021).</w:t>
      </w:r>
    </w:p>
    <w:p w14:paraId="507CA9CE"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GWAS relies on natural genetic variation within diverse germplasm collections to detect marker–trait associations at a high resolution. In vegetable crops, GWAS has been successfully used to identify loci associated with flowering behavior, fruit quality, and hybrid vigor. These findings provide valuable insights into the genetic basis of heterosis and facilitate the selection of superior parental combinations (Dhall et al., 2023).</w:t>
      </w:r>
    </w:p>
    <w:p w14:paraId="598B2B9C" w14:textId="77777777" w:rsidR="003D6891" w:rsidRDefault="00447E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addition, genomic selection (GS), which uses genome-wide marker data to predict breeding values, is increasingly being integrated with GWAS. GS enables the selection of individuals based on predicted performance rather than observed traits, thereby reducing breeding cycles and accelerating hybrid development (Varshney et al., 2021).</w:t>
      </w:r>
    </w:p>
    <w:p w14:paraId="4B14EF77" w14:textId="77777777" w:rsidR="003D6891" w:rsidRDefault="00447EBD">
      <w:pPr>
        <w:spacing w:line="360" w:lineRule="auto"/>
        <w:ind w:firstLine="720"/>
        <w:jc w:val="both"/>
        <w:rPr>
          <w:rFonts w:ascii="Times New Roman" w:eastAsia="Times New Roman" w:hAnsi="Times New Roman" w:cs="Times New Roman"/>
          <w:sz w:val="24"/>
          <w:szCs w:val="24"/>
        </w:rPr>
      </w:pPr>
      <w:bookmarkStart w:id="1" w:name="_6cq7kwxcdfu8" w:colFirst="0" w:colLast="0"/>
      <w:bookmarkEnd w:id="1"/>
      <w:r>
        <w:rPr>
          <w:rFonts w:ascii="Times New Roman" w:eastAsia="Times New Roman" w:hAnsi="Times New Roman" w:cs="Times New Roman"/>
          <w:sz w:val="24"/>
          <w:szCs w:val="24"/>
        </w:rPr>
        <w:t>The application of genomics in hybrid breeding also extends to the identification of candidate genes involved in male sterility and fertility restoration. High-throughput sequencing and transcriptomic analyses have enabled the discovery of mitochondrial genes associated with CMS and nuclear genes controlling fertility restoration. These advances have improved our understanding of cytonuclear interactions and facilitated the development of more stable sterility systems (Chen &amp; Liu, 2014). Thus, genomics and GWAS have provided a comprehensive framework for understanding complex traits and enhancing the efficiency of hybrid breeding programs.</w:t>
      </w:r>
    </w:p>
    <w:p w14:paraId="7D33825E" w14:textId="7777777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6.3 Gene Editing (CRISPR)</w:t>
      </w:r>
    </w:p>
    <w:p w14:paraId="3C1D3DB2"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 editing technologies, particularly CRISPR/Cas systems, have opened new avenues for precise genetic manipulation in crop plants. Unlike conventional breeding or transgenic approaches, CRISPR enables targeted modifications at specific genomic locations, allowing the creation of desired traits with high accuracy (Chen et al., 2019).</w:t>
      </w:r>
    </w:p>
    <w:p w14:paraId="48D49EB8"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hybrid breeding, CRISPR has been widely explored for developing male sterility systems by knocking out genes essential for pollen development. For instance, editing genes involved in tapetum development or microsporogenesis can result in stable male-sterile lines, which are crucial for hybrid seed production (Chen et al., 2019). Similarly, gene editing can be used to modify genes controlling sex expression in cucurbits, thereby facilitating the development of gynoecious or monoecious lines as required.</w:t>
      </w:r>
    </w:p>
    <w:p w14:paraId="1FD9D682"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important application of CRISPR is the creation of environment-insensitive sterility systems. Traditional CMS and GMS systems are often influenced by environmental factors, leading to instability in sterility expression. Gene editing allows the development of more stable and predictable sterility systems by directly targeting key regulatory genes (Dhall et al., 2023).</w:t>
      </w:r>
    </w:p>
    <w:p w14:paraId="0306EEA8"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CRISPR-based approaches can be combined with other molecular tools to accelerate breeding programs. For example, edited lines can be rapidly introgressed into elite </w:t>
      </w:r>
      <w:r>
        <w:rPr>
          <w:rFonts w:ascii="Times New Roman" w:eastAsia="Times New Roman" w:hAnsi="Times New Roman" w:cs="Times New Roman"/>
          <w:sz w:val="24"/>
          <w:szCs w:val="24"/>
        </w:rPr>
        <w:lastRenderedPageBreak/>
        <w:t>genetic backgrounds using marker-assisted backcrossing. This integration enhances the efficiency and precision of hybrid development.</w:t>
      </w:r>
    </w:p>
    <w:p w14:paraId="3BFE43B3"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Despite its potential, the application of CRISPR in vegetable breeding faces challenges related to regulatory frameworks, off-target effects, and public acceptance. However, ongoing advancements in genome editing technologies are expected to overcome these limitations and expand their use in crop improvement.</w:t>
      </w:r>
    </w:p>
    <w:p w14:paraId="24780B5D" w14:textId="1450EF81"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Biotechnological Enhancements</w:t>
      </w:r>
    </w:p>
    <w:p w14:paraId="2C58B764"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Beyond conventional CMS and GMS systems, several novel biotechnological approaches have been developed to improve hybrid breeding efficiency. These include transgenic male sterility systems, inducible sterility systems, and apomixis-based technologies. Such innovations aim to overcome the limitations associated with traditional sterility systems, including instability and environmental sensitivity (Chen &amp; Liu, 2014).</w:t>
      </w:r>
    </w:p>
    <w:p w14:paraId="6280518A"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notable approach is the use of transgenic male sterility systems, where specific genes are introduced or silenced to control pollen development. These systems allow precise regulation of fertility and can be designed to be reversible, providing greater flexibility in hybrid seed production. Similarly, inducible systems, which rely on external chemical or environmental triggers, enable controlled expression of sterility and fertility restoration (Chen &amp; Liu, 2014).</w:t>
      </w:r>
    </w:p>
    <w:p w14:paraId="6FC50FA5"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promising area is the development of apomixis, a form of asexual reproduction through seeds. Although still under research, apomixis has the potential to fix hybrid vigor across generations, eliminating the need for repeated hybrid seed production. This could revolutionize vegetable breeding by making hybrid seeds more accessible and cost-effective (Varshney et al., 2021).</w:t>
      </w:r>
    </w:p>
    <w:p w14:paraId="75F61816"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Advances in tissue culture, doubled haploid technology, and protoplast fusion have also contributed to hybrid breeding. These techniques enable rapid development of homozygous lines, transfer of cytoplasmic traits, and creation of novel genetic combinations. Together, these biotechnological tools complement molecular and genomic approaches, providing a comprehensive toolkit for modern hybrid breeding (Dhall et al., 2023).</w:t>
      </w:r>
    </w:p>
    <w:p w14:paraId="7D06FA9A"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summary, biotechnological innovations have expanded the possibilities of hybrid breeding by offering new strategies for manipulating fertility, enhancing genetic gain, and improving crop performance.</w:t>
      </w:r>
    </w:p>
    <w:p w14:paraId="0FC8D478" w14:textId="787AD66C"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Challenges and Future Prospects</w:t>
      </w:r>
    </w:p>
    <w:p w14:paraId="268BB013" w14:textId="77777777" w:rsidR="003D6891" w:rsidRDefault="00447EBD" w:rsidP="0067206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development of hybrid varieties in vegetable crops has significantly improved productivity and quality. However, despite remarkable advances in genetic and molecular approaches, several biological, technical, and economic constraints still limit the full exploitation of hybrid breeding systems. At the same time, emerging technologies offer promising opportunities to overcome these challenges and further enhance breeding efficiency.</w:t>
      </w:r>
    </w:p>
    <w:p w14:paraId="57EE9062" w14:textId="77777777" w:rsidR="003D6891" w:rsidRDefault="003D6891">
      <w:pPr>
        <w:spacing w:line="360" w:lineRule="auto"/>
        <w:jc w:val="both"/>
        <w:rPr>
          <w:rFonts w:ascii="Times New Roman" w:eastAsia="Times New Roman" w:hAnsi="Times New Roman" w:cs="Times New Roman"/>
          <w:sz w:val="24"/>
          <w:szCs w:val="24"/>
        </w:rPr>
      </w:pPr>
    </w:p>
    <w:p w14:paraId="7625E461" w14:textId="1BE92CAC"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Limitations</w:t>
      </w:r>
    </w:p>
    <w:p w14:paraId="26B742D8" w14:textId="77777777" w:rsidR="003D6891" w:rsidRDefault="00447EBD" w:rsidP="00681A8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major challenges in hybrid breeding is the instability of male sterility systems under varying environmental conditions. Systems such as cytoplasmic male sterility (CMS) and genic male sterility (GMS) are often influenced by temperature, photoperiod, and other environmental factors. Such fluctuations can lead to partial fertility restoration, ultimately affecting hybrid seed purity and yield (Chen &amp; Liu, 2014). This environmental sensitivity makes it difficult to maintain consistent performance across diverse agro-climatic regions.</w:t>
      </w:r>
    </w:p>
    <w:p w14:paraId="5F8C17A2" w14:textId="77777777" w:rsidR="003D6891" w:rsidRDefault="00447EBD" w:rsidP="00681A8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critical limitation is the complex genetic basis of heterosis (hybrid vigor). Heterosis is governed by multiple genes and involves interactions such as dominance, overdominance, and epistasis. Despite decades of research, predicting hybrid performance based solely on parental genotypes remains challenging. This complexity slows down the identification of superior parental combinations and increases the time and cost involved in breeding programs (Varshney et al., 2021).</w:t>
      </w:r>
    </w:p>
    <w:p w14:paraId="1C73806A" w14:textId="77777777" w:rsidR="003D6891" w:rsidRDefault="00447EBD" w:rsidP="00681A8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the high cost associated with advanced breeding technologies poses a significant barrier, especially in developing countries. Techniques such as molecular marker analysis, genome sequencing, and gene editing require substantial infrastructure, technical expertise, and financial investment. Small-scale breeding programs and public-sector institutions often face difficulties in adopting these technologies at a large scale (Collard &amp; Mackill, 2008).</w:t>
      </w:r>
    </w:p>
    <w:p w14:paraId="16121ED4" w14:textId="77777777" w:rsidR="003D6891" w:rsidRDefault="00447EBD" w:rsidP="00681A8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regulatory issues and limited public acceptance of genetically modified or gene-edited crops can restrict the application of modern biotechnological tools. These challenges collectively highlight the need for cost-effective and stable breeding strategies.</w:t>
      </w:r>
    </w:p>
    <w:p w14:paraId="2BBBAAD5" w14:textId="11C9D33F"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Future Trends</w:t>
      </w:r>
    </w:p>
    <w:p w14:paraId="59958172" w14:textId="77777777" w:rsidR="003D6891" w:rsidRDefault="00447EBD" w:rsidP="00681A8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Recent advances in molecular biology and genomics are paving the way for innovative solutions to the limitations of conventional hybrid breeding. One promising direction is the development of novel male sterility systems using genome editing technologies such as CRISPR/Cas. By precisely targeting genes involved in pollen development, it is possible to create stable and environment-independent male sterility systems. These systems have the potential to replace traditional CMS and GMS systems, offering greater reliability and efficiency in hybrid seed production (Chen et al., 2019).</w:t>
      </w:r>
    </w:p>
    <w:p w14:paraId="5793EAF9" w14:textId="77777777" w:rsidR="003D6891" w:rsidRDefault="00447EBD" w:rsidP="00681A8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important trend is the molecular prediction of heterotic crosses. With the availability of high-density genomic data, breeders can use genomic selection and predictive models to estimate hybrid performance before field evaluation. This approach significantly reduces the breeding cycle and increases the accuracy of selecting superior hybrids (Varshney et al., 2021). Integration of genome-wide association studies (GWAS) with genomic prediction models is further enhancing the understanding of heterosis and improving decision-making in breeding programs.</w:t>
      </w:r>
    </w:p>
    <w:p w14:paraId="60AA3643" w14:textId="77777777" w:rsidR="003D6891" w:rsidRDefault="00447EBD" w:rsidP="00681A8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integration of phenomics and genomics represents another transformative development in modern breeding. High-throughput phenotyping platforms enable precise measurement of plant traits under different environmental conditions, while genomic tools provide insights into the underlying genetic architecture. The combination of these approaches allows breeders to link genotype with phenotype more effectively, leading to faster and more accurate selection of desirable traits (Fiorani &amp; Schurr, 2013).</w:t>
      </w:r>
    </w:p>
    <w:p w14:paraId="7CF08014" w14:textId="77777777" w:rsidR="003D6891" w:rsidRDefault="00447EBD" w:rsidP="00681A8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Additionally, advances in artificial intelligence and data analytics are expected to play a significant role in hybrid breeding. Machine learning algorithms can analyze large datasets generated from genomic and phenomic studies, enabling better prediction of trait performance and optimization of breeding strategies.</w:t>
      </w:r>
    </w:p>
    <w:p w14:paraId="316E7401" w14:textId="77777777" w:rsidR="003D6891" w:rsidRDefault="00447EBD" w:rsidP="00681A8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conclusion, although hybrid breeding in vegetable crops faces several challenges, the integration of cutting-edge technologies such as genome editing, genomic prediction, and high-throughput phenotyping offers immense potential for future improvement. These innovations are likely to enhance breeding precision, reduce costs, and contribute to the development of superior hybrid varieties adapted to changing environmental conditions.</w:t>
      </w:r>
    </w:p>
    <w:p w14:paraId="75652433" w14:textId="444B8807" w:rsidR="003D6891" w:rsidRDefault="00447EBD">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Conclusion</w:t>
      </w:r>
    </w:p>
    <w:p w14:paraId="442AB090" w14:textId="77777777" w:rsidR="003D6891" w:rsidRDefault="00447EBD" w:rsidP="0011602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Hybrid breeding in vegetable crops has emerged as a powerful strategy for enhancing productivity, quality, and adaptability. The effective utilization of genetic mechanisms such as male sterility systems, self-incompatibility, and sex expression has played a central role in facilitating hybrid seed production. These biological systems help in ensuring controlled pollination and efficient exploitation of heterosis, which ultimately leads to superior hybrid performance compared to open-pollinated varieties (Chen &amp; Liu, 2014).</w:t>
      </w:r>
    </w:p>
    <w:p w14:paraId="34C45DDA" w14:textId="77777777" w:rsidR="003D6891" w:rsidRDefault="00447EBD" w:rsidP="0011602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the increasing complexity of breeding challenges, including environmental variability and the polygenic nature of important traits, necessitates a deeper molecular understanding of plant reproductive biology. Advances in molecular genetics and genomics have provided valuable insights into the regulation of traits such as fertility restoration, flower development, and hybrid vigor. Tools such as marker-assisted selection, genome-wide association studies, and genomic selection have significantly improved the precision and speed of breeding programs (Varshney et al., 2021).</w:t>
      </w:r>
    </w:p>
    <w:p w14:paraId="6C51505B" w14:textId="77777777" w:rsidR="003D6891" w:rsidRDefault="00447EBD" w:rsidP="0011602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emerging technologies like CRISPR/Cas-mediated gene editing and high-throughput phenotyping are reshaping the future of vegetable breeding. These approaches allow targeted manipulation of key genes and enable the development of stable and efficient breeding systems. The integration of genomics, phenomics, and bioinformatics is expected to further enhance the prediction of hybrid performance and optimize breeding strategies (Chen et al., 2019).</w:t>
      </w:r>
    </w:p>
    <w:p w14:paraId="06849CF0" w14:textId="77777777" w:rsidR="003D6891" w:rsidRDefault="00447EBD" w:rsidP="0011602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Looking ahead, sustainable hybrid breeding in vegetables will depend on the combined application of traditional knowledge and modern technologies. Developing cost-effective, environment-resilient, and farmer-friendly hybrid systems remains a priority. Continued research and innovation in genetic and genomic tools will be essential for meeting the growing demand for vegetables under changing climatic conditions.</w:t>
      </w:r>
    </w:p>
    <w:p w14:paraId="288549A1" w14:textId="77777777" w:rsidR="003D6891" w:rsidRDefault="00447EBD" w:rsidP="0011602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conclusion, the strategic exploitation of genetic mechanisms, supported by advanced molecular tools, holds great promise for the future of vegetable hybrid breeding, contributing to global food security and agricultural sustainability.</w:t>
      </w:r>
    </w:p>
    <w:p w14:paraId="788499A1" w14:textId="77777777" w:rsidR="00DD00A3" w:rsidRDefault="00DD00A3">
      <w:pPr>
        <w:spacing w:line="360" w:lineRule="auto"/>
        <w:rPr>
          <w:b/>
          <w:bCs/>
          <w:sz w:val="24"/>
          <w:szCs w:val="24"/>
        </w:rPr>
      </w:pPr>
    </w:p>
    <w:p w14:paraId="249DAE42" w14:textId="77777777" w:rsidR="00DD00A3" w:rsidRDefault="00DD00A3">
      <w:pPr>
        <w:spacing w:line="360" w:lineRule="auto"/>
        <w:rPr>
          <w:b/>
          <w:bCs/>
          <w:sz w:val="24"/>
          <w:szCs w:val="24"/>
        </w:rPr>
      </w:pPr>
    </w:p>
    <w:p w14:paraId="4C8718B2" w14:textId="77777777" w:rsidR="00DD00A3" w:rsidRDefault="00DD00A3">
      <w:pPr>
        <w:spacing w:line="360" w:lineRule="auto"/>
        <w:rPr>
          <w:b/>
          <w:bCs/>
          <w:sz w:val="24"/>
          <w:szCs w:val="24"/>
        </w:rPr>
      </w:pPr>
    </w:p>
    <w:p w14:paraId="1C665FEF" w14:textId="1E219974" w:rsidR="003D6891" w:rsidRDefault="00447EBD">
      <w:pPr>
        <w:spacing w:line="360" w:lineRule="auto"/>
        <w:rPr>
          <w:b/>
          <w:bCs/>
          <w:sz w:val="24"/>
          <w:szCs w:val="24"/>
        </w:rPr>
      </w:pPr>
      <w:r>
        <w:rPr>
          <w:b/>
          <w:bCs/>
          <w:sz w:val="24"/>
          <w:szCs w:val="24"/>
        </w:rPr>
        <w:lastRenderedPageBreak/>
        <w:t>References</w:t>
      </w:r>
    </w:p>
    <w:p w14:paraId="1E7B216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Akpan, N. M., Ogbonna, P. E., Onyla, V. N., Okechukwn, E. C., Dominic, I. O. I., &amp; Atugwu, A. I. (2017). Genetic control and heterosis of quantitative traits in several local eggplant genotypes. </w:t>
      </w:r>
      <w:r>
        <w:rPr>
          <w:rFonts w:ascii="Times New Roman" w:eastAsia="Times New Roman" w:hAnsi="Times New Roman" w:cs="Times New Roman"/>
          <w:i/>
          <w:iCs/>
          <w:sz w:val="24"/>
          <w:szCs w:val="24"/>
        </w:rPr>
        <w:t>Notulae Scientia Biologicae, 9</w:t>
      </w:r>
      <w:r>
        <w:rPr>
          <w:rFonts w:ascii="Times New Roman" w:eastAsia="Times New Roman" w:hAnsi="Times New Roman" w:cs="Times New Roman"/>
          <w:sz w:val="24"/>
          <w:szCs w:val="24"/>
        </w:rPr>
        <w:t xml:space="preserve">(4), 520–524. </w:t>
      </w:r>
      <w:hyperlink r:id="rId8">
        <w:r>
          <w:rPr>
            <w:rFonts w:ascii="Times New Roman" w:eastAsia="Times New Roman" w:hAnsi="Times New Roman" w:cs="Times New Roman"/>
            <w:color w:val="0000FF"/>
            <w:sz w:val="24"/>
            <w:szCs w:val="24"/>
            <w:u w:val="single"/>
          </w:rPr>
          <w:t>https://doi.org/10.15835/nsb9410137</w:t>
        </w:r>
      </w:hyperlink>
    </w:p>
    <w:p w14:paraId="74BC39A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Ansari, A. M., &amp; Singh, Y. V. (2016). Heterosis studies for fruit characters in Brinjal (</w:t>
      </w:r>
      <w:r>
        <w:rPr>
          <w:rFonts w:ascii="Times New Roman" w:eastAsia="Times New Roman" w:hAnsi="Times New Roman" w:cs="Times New Roman"/>
          <w:i/>
          <w:iCs/>
          <w:sz w:val="24"/>
          <w:szCs w:val="24"/>
        </w:rPr>
        <w:t>Solanum melongena</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Electronic Journal of Plant Breeding, 7</w:t>
      </w:r>
      <w:r>
        <w:rPr>
          <w:rFonts w:ascii="Times New Roman" w:eastAsia="Times New Roman" w:hAnsi="Times New Roman" w:cs="Times New Roman"/>
          <w:sz w:val="24"/>
          <w:szCs w:val="24"/>
        </w:rPr>
        <w:t>(1), 197–208.</w:t>
      </w:r>
    </w:p>
    <w:p w14:paraId="73FC1347"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Banga, O., Petiet, J., &amp; Van Bennekom, J. L. (1964). Genetic analysis of male sterility in carrot (</w:t>
      </w:r>
      <w:r>
        <w:rPr>
          <w:rFonts w:ascii="Times New Roman" w:eastAsia="Times New Roman" w:hAnsi="Times New Roman" w:cs="Times New Roman"/>
          <w:i/>
          <w:iCs/>
          <w:sz w:val="24"/>
          <w:szCs w:val="24"/>
        </w:rPr>
        <w:t>Daucus carota</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Euphytica, 13</w:t>
      </w:r>
      <w:r>
        <w:rPr>
          <w:rFonts w:ascii="Times New Roman" w:eastAsia="Times New Roman" w:hAnsi="Times New Roman" w:cs="Times New Roman"/>
          <w:sz w:val="24"/>
          <w:szCs w:val="24"/>
        </w:rPr>
        <w:t>, 75–93.</w:t>
      </w:r>
    </w:p>
    <w:p w14:paraId="287C8EB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Bedinger, P. A., Broz, A. K., Tovar-Mendez, A., &amp; McClure, B. (2016). Pollen-pistil interactions and their role in mate selection. </w:t>
      </w:r>
      <w:r>
        <w:rPr>
          <w:rFonts w:ascii="Times New Roman" w:eastAsia="Times New Roman" w:hAnsi="Times New Roman" w:cs="Times New Roman"/>
          <w:i/>
          <w:iCs/>
          <w:sz w:val="24"/>
          <w:szCs w:val="24"/>
        </w:rPr>
        <w:t>Plant Physiology, 173</w:t>
      </w:r>
      <w:r>
        <w:rPr>
          <w:rFonts w:ascii="Times New Roman" w:eastAsia="Times New Roman" w:hAnsi="Times New Roman" w:cs="Times New Roman"/>
          <w:sz w:val="24"/>
          <w:szCs w:val="24"/>
        </w:rPr>
        <w:t xml:space="preserve">(1), 79–90. </w:t>
      </w:r>
      <w:hyperlink r:id="rId9">
        <w:r>
          <w:rPr>
            <w:rFonts w:ascii="Times New Roman" w:eastAsia="Times New Roman" w:hAnsi="Times New Roman" w:cs="Times New Roman"/>
            <w:color w:val="0000FF"/>
            <w:sz w:val="24"/>
            <w:szCs w:val="24"/>
            <w:u w:val="single"/>
          </w:rPr>
          <w:t>https://doi.org/10.1104/pp.16.01286</w:t>
        </w:r>
      </w:hyperlink>
    </w:p>
    <w:p w14:paraId="4D7CE3E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Berninger, E. (1965). Contribution à l’étude de la stérilité mâle de l’oignon (</w:t>
      </w:r>
      <w:r>
        <w:rPr>
          <w:rFonts w:ascii="Times New Roman" w:eastAsia="Times New Roman" w:hAnsi="Times New Roman" w:cs="Times New Roman"/>
          <w:i/>
          <w:iCs/>
          <w:sz w:val="24"/>
          <w:szCs w:val="24"/>
        </w:rPr>
        <w:t>Allium cepa</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Annales de l'Amélioration des Plantes, 15</w:t>
      </w:r>
      <w:r>
        <w:rPr>
          <w:rFonts w:ascii="Times New Roman" w:eastAsia="Times New Roman" w:hAnsi="Times New Roman" w:cs="Times New Roman"/>
          <w:sz w:val="24"/>
          <w:szCs w:val="24"/>
        </w:rPr>
        <w:t>, 183–199.</w:t>
      </w:r>
    </w:p>
    <w:p w14:paraId="4B40807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Bhattacharya, J., Nitnavare, R. B., Bhatnagar-Mathur, P., &amp; Reddy, P. S. (2024). Cytoplasmic male sterility-based hybrids: Mechanistic insights. </w:t>
      </w:r>
      <w:r>
        <w:rPr>
          <w:rFonts w:ascii="Times New Roman" w:eastAsia="Times New Roman" w:hAnsi="Times New Roman" w:cs="Times New Roman"/>
          <w:i/>
          <w:iCs/>
          <w:sz w:val="24"/>
          <w:szCs w:val="24"/>
        </w:rPr>
        <w:t>Planta, 260</w:t>
      </w:r>
      <w:r>
        <w:rPr>
          <w:rFonts w:ascii="Times New Roman" w:eastAsia="Times New Roman" w:hAnsi="Times New Roman" w:cs="Times New Roman"/>
          <w:sz w:val="24"/>
          <w:szCs w:val="24"/>
        </w:rPr>
        <w:t xml:space="preserve">(100). </w:t>
      </w:r>
      <w:hyperlink r:id="rId10">
        <w:r>
          <w:rPr>
            <w:rFonts w:ascii="Times New Roman" w:eastAsia="Times New Roman" w:hAnsi="Times New Roman" w:cs="Times New Roman"/>
            <w:color w:val="0000FF"/>
            <w:sz w:val="24"/>
            <w:szCs w:val="24"/>
            <w:u w:val="single"/>
          </w:rPr>
          <w:t>https://doi.org/10.1007/s00425-024-04532-w</w:t>
        </w:r>
      </w:hyperlink>
    </w:p>
    <w:p w14:paraId="048E3E9D"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Birchler, J. A., Yao, H., &amp; Chudalayandi, S. (2006). Unraveling the genetic basis of hybrid vigor. </w:t>
      </w:r>
      <w:r>
        <w:rPr>
          <w:rFonts w:ascii="Times New Roman" w:eastAsia="Times New Roman" w:hAnsi="Times New Roman" w:cs="Times New Roman"/>
          <w:i/>
          <w:iCs/>
          <w:sz w:val="24"/>
          <w:szCs w:val="24"/>
        </w:rPr>
        <w:t>Proceedings of the National Academy of Sciences, 103</w:t>
      </w:r>
      <w:r>
        <w:rPr>
          <w:rFonts w:ascii="Times New Roman" w:eastAsia="Times New Roman" w:hAnsi="Times New Roman" w:cs="Times New Roman"/>
          <w:sz w:val="24"/>
          <w:szCs w:val="24"/>
        </w:rPr>
        <w:t>(35), 12957–12958.</w:t>
      </w:r>
    </w:p>
    <w:p w14:paraId="6004C28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Birchler, J. A., Yao, H., Chudalayandi, S., Vaiman, D., &amp; Veitia, R. A. (2010). Heterosis. </w:t>
      </w:r>
      <w:r>
        <w:rPr>
          <w:rFonts w:ascii="Times New Roman" w:eastAsia="Times New Roman" w:hAnsi="Times New Roman" w:cs="Times New Roman"/>
          <w:i/>
          <w:iCs/>
          <w:sz w:val="24"/>
          <w:szCs w:val="24"/>
        </w:rPr>
        <w:t>The Plant Cell, 22</w:t>
      </w:r>
      <w:r>
        <w:rPr>
          <w:rFonts w:ascii="Times New Roman" w:eastAsia="Times New Roman" w:hAnsi="Times New Roman" w:cs="Times New Roman"/>
          <w:sz w:val="24"/>
          <w:szCs w:val="24"/>
        </w:rPr>
        <w:t>(7), 2105–2112.</w:t>
      </w:r>
    </w:p>
    <w:p w14:paraId="31A7CFC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Bonte, F. J. de, Matthews, B. F., &amp; Wilson, K. S. (1984). Variation of plastid and mitochondrial DNAs in the genus </w:t>
      </w:r>
      <w:r>
        <w:rPr>
          <w:rFonts w:ascii="Times New Roman" w:eastAsia="Times New Roman" w:hAnsi="Times New Roman" w:cs="Times New Roman"/>
          <w:i/>
          <w:iCs/>
          <w:sz w:val="24"/>
          <w:szCs w:val="24"/>
        </w:rPr>
        <w:t>Daucus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American Journal of Botany, 71</w:t>
      </w:r>
      <w:r>
        <w:rPr>
          <w:rFonts w:ascii="Times New Roman" w:eastAsia="Times New Roman" w:hAnsi="Times New Roman" w:cs="Times New Roman"/>
          <w:sz w:val="24"/>
          <w:szCs w:val="24"/>
        </w:rPr>
        <w:t>, 932–940.</w:t>
      </w:r>
    </w:p>
    <w:p w14:paraId="0DDA95C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Chadha, M. L., &amp; Sidhu, S. (1982). Studies on hybrid vigour in brinjal (</w:t>
      </w:r>
      <w:r>
        <w:rPr>
          <w:rFonts w:ascii="Times New Roman" w:eastAsia="Times New Roman" w:hAnsi="Times New Roman" w:cs="Times New Roman"/>
          <w:i/>
          <w:iCs/>
          <w:sz w:val="24"/>
          <w:szCs w:val="24"/>
        </w:rPr>
        <w:t>Solanum melongena</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Indian Journal of Horticulture, 39</w:t>
      </w:r>
      <w:r>
        <w:rPr>
          <w:rFonts w:ascii="Times New Roman" w:eastAsia="Times New Roman" w:hAnsi="Times New Roman" w:cs="Times New Roman"/>
          <w:sz w:val="24"/>
          <w:szCs w:val="24"/>
        </w:rPr>
        <w:t>, 233–238.</w:t>
      </w:r>
    </w:p>
    <w:p w14:paraId="15B0CBA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Chen, K., Wang, Y., Zhang, R., Zhang, H., &amp; Gao, C. (2019). CRISPR/Cas genome editing and precision plant breeding. </w:t>
      </w:r>
      <w:r>
        <w:rPr>
          <w:rFonts w:ascii="Times New Roman" w:eastAsia="Times New Roman" w:hAnsi="Times New Roman" w:cs="Times New Roman"/>
          <w:i/>
          <w:iCs/>
          <w:sz w:val="24"/>
          <w:szCs w:val="24"/>
        </w:rPr>
        <w:t>Annual Review of Plant Biology, 70</w:t>
      </w:r>
      <w:r>
        <w:rPr>
          <w:rFonts w:ascii="Times New Roman" w:eastAsia="Times New Roman" w:hAnsi="Times New Roman" w:cs="Times New Roman"/>
          <w:sz w:val="24"/>
          <w:szCs w:val="24"/>
        </w:rPr>
        <w:t>, 667–697.</w:t>
      </w:r>
    </w:p>
    <w:p w14:paraId="3A80E59C"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Chen, L., &amp; Liu, Y. G. (2014). Male sterility and fertility restoration in crops. </w:t>
      </w:r>
      <w:r>
        <w:rPr>
          <w:rFonts w:ascii="Times New Roman" w:eastAsia="Times New Roman" w:hAnsi="Times New Roman" w:cs="Times New Roman"/>
          <w:i/>
          <w:iCs/>
          <w:sz w:val="24"/>
          <w:szCs w:val="24"/>
        </w:rPr>
        <w:t>Annual Review of Plant Biology, 65</w:t>
      </w:r>
      <w:r>
        <w:rPr>
          <w:rFonts w:ascii="Times New Roman" w:eastAsia="Times New Roman" w:hAnsi="Times New Roman" w:cs="Times New Roman"/>
          <w:sz w:val="24"/>
          <w:szCs w:val="24"/>
        </w:rPr>
        <w:t xml:space="preserve">, 579–606. </w:t>
      </w:r>
      <w:hyperlink r:id="rId11">
        <w:r>
          <w:rPr>
            <w:rFonts w:ascii="Times New Roman" w:eastAsia="Times New Roman" w:hAnsi="Times New Roman" w:cs="Times New Roman"/>
            <w:color w:val="0000FF"/>
            <w:sz w:val="24"/>
            <w:szCs w:val="24"/>
            <w:u w:val="single"/>
          </w:rPr>
          <w:t>https://doi.org/10.1146/annurev-arplant-050213-040119</w:t>
        </w:r>
      </w:hyperlink>
    </w:p>
    <w:p w14:paraId="7DF570C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Chen, Z. J. (2013). Genomic and epigenetic insights into the molecular bases of heterosis. </w:t>
      </w:r>
      <w:r>
        <w:rPr>
          <w:rFonts w:ascii="Times New Roman" w:eastAsia="Times New Roman" w:hAnsi="Times New Roman" w:cs="Times New Roman"/>
          <w:i/>
          <w:iCs/>
          <w:sz w:val="24"/>
          <w:szCs w:val="24"/>
        </w:rPr>
        <w:t>Nature Reviews Genetics, 14</w:t>
      </w:r>
      <w:r>
        <w:rPr>
          <w:rFonts w:ascii="Times New Roman" w:eastAsia="Times New Roman" w:hAnsi="Times New Roman" w:cs="Times New Roman"/>
          <w:sz w:val="24"/>
          <w:szCs w:val="24"/>
        </w:rPr>
        <w:t>(7), 471–482.</w:t>
      </w:r>
    </w:p>
    <w:p w14:paraId="4BF3893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Collard, B. C. Y., &amp; Mackill, D. J. (2008). Marker-assisted selection: An approach for precision plant breeding. </w:t>
      </w:r>
      <w:r>
        <w:rPr>
          <w:rFonts w:ascii="Times New Roman" w:eastAsia="Times New Roman" w:hAnsi="Times New Roman" w:cs="Times New Roman"/>
          <w:i/>
          <w:iCs/>
          <w:sz w:val="24"/>
          <w:szCs w:val="24"/>
        </w:rPr>
        <w:t>Philosophical Transactions of the Royal Society B, 363</w:t>
      </w:r>
      <w:r>
        <w:rPr>
          <w:rFonts w:ascii="Times New Roman" w:eastAsia="Times New Roman" w:hAnsi="Times New Roman" w:cs="Times New Roman"/>
          <w:sz w:val="24"/>
          <w:szCs w:val="24"/>
        </w:rPr>
        <w:t>(1491), 557–572.</w:t>
      </w:r>
    </w:p>
    <w:p w14:paraId="58E3A21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Darwin, C. R. (1877). </w:t>
      </w:r>
      <w:r>
        <w:rPr>
          <w:rFonts w:ascii="Times New Roman" w:eastAsia="Times New Roman" w:hAnsi="Times New Roman" w:cs="Times New Roman"/>
          <w:i/>
          <w:iCs/>
          <w:sz w:val="24"/>
          <w:szCs w:val="24"/>
        </w:rPr>
        <w:t>The different forms of flowers on plants of the same species</w:t>
      </w:r>
      <w:r>
        <w:rPr>
          <w:rFonts w:ascii="Times New Roman" w:eastAsia="Times New Roman" w:hAnsi="Times New Roman" w:cs="Times New Roman"/>
          <w:sz w:val="24"/>
          <w:szCs w:val="24"/>
        </w:rPr>
        <w:t>. John Murray.</w:t>
      </w:r>
    </w:p>
    <w:p w14:paraId="2FCD9B5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Das, G., &amp; Barua, N. S. (2001). Heterosis and combining ability for yield and its components in brinjal. </w:t>
      </w:r>
      <w:r>
        <w:rPr>
          <w:rFonts w:ascii="Times New Roman" w:eastAsia="Times New Roman" w:hAnsi="Times New Roman" w:cs="Times New Roman"/>
          <w:i/>
          <w:iCs/>
          <w:sz w:val="24"/>
          <w:szCs w:val="24"/>
        </w:rPr>
        <w:t>Annals of Agricultural Research, 22</w:t>
      </w:r>
      <w:r>
        <w:rPr>
          <w:rFonts w:ascii="Times New Roman" w:eastAsia="Times New Roman" w:hAnsi="Times New Roman" w:cs="Times New Roman"/>
          <w:sz w:val="24"/>
          <w:szCs w:val="24"/>
        </w:rPr>
        <w:t>, 399–403.</w:t>
      </w:r>
    </w:p>
    <w:p w14:paraId="7DCDAD79"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Daunay, M. C., &amp; Hazra, P. (2012). Eggplant. In K. V. Peter &amp; P. Hazra (Eds.), </w:t>
      </w:r>
      <w:r>
        <w:rPr>
          <w:rFonts w:ascii="Times New Roman" w:eastAsia="Times New Roman" w:hAnsi="Times New Roman" w:cs="Times New Roman"/>
          <w:i/>
          <w:iCs/>
          <w:sz w:val="24"/>
          <w:szCs w:val="24"/>
        </w:rPr>
        <w:t>Handbook of vegetables</w:t>
      </w:r>
      <w:r>
        <w:rPr>
          <w:rFonts w:ascii="Times New Roman" w:eastAsia="Times New Roman" w:hAnsi="Times New Roman" w:cs="Times New Roman"/>
          <w:sz w:val="24"/>
          <w:szCs w:val="24"/>
        </w:rPr>
        <w:t xml:space="preserve"> (pp. 257–322). Studium Press.</w:t>
      </w:r>
    </w:p>
    <w:p w14:paraId="5684FCB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Nettancourt, D. (2001). </w:t>
      </w:r>
      <w:r>
        <w:rPr>
          <w:rFonts w:ascii="Times New Roman" w:eastAsia="Times New Roman" w:hAnsi="Times New Roman" w:cs="Times New Roman"/>
          <w:i/>
          <w:iCs/>
          <w:sz w:val="24"/>
          <w:szCs w:val="24"/>
        </w:rPr>
        <w:t>Incompatibility and incongruity in wild and cultivated plants</w:t>
      </w:r>
      <w:r>
        <w:rPr>
          <w:rFonts w:ascii="Times New Roman" w:eastAsia="Times New Roman" w:hAnsi="Times New Roman" w:cs="Times New Roman"/>
          <w:sz w:val="24"/>
          <w:szCs w:val="24"/>
        </w:rPr>
        <w:t xml:space="preserve"> (2nd ed.). Springer.</w:t>
      </w:r>
    </w:p>
    <w:p w14:paraId="46E082DA"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Dhall, R. K. (2011). Genetic male sterility in vegetable crops: A review. </w:t>
      </w:r>
      <w:r>
        <w:rPr>
          <w:rFonts w:ascii="Times New Roman" w:eastAsia="Times New Roman" w:hAnsi="Times New Roman" w:cs="Times New Roman"/>
          <w:i/>
          <w:iCs/>
          <w:sz w:val="24"/>
          <w:szCs w:val="24"/>
        </w:rPr>
        <w:t>ISRN Agronomy, 2011</w:t>
      </w:r>
      <w:r>
        <w:rPr>
          <w:rFonts w:ascii="Times New Roman" w:eastAsia="Times New Roman" w:hAnsi="Times New Roman" w:cs="Times New Roman"/>
          <w:sz w:val="24"/>
          <w:szCs w:val="24"/>
        </w:rPr>
        <w:t xml:space="preserve">, 1–14. </w:t>
      </w:r>
      <w:hyperlink r:id="rId12">
        <w:r>
          <w:rPr>
            <w:rFonts w:ascii="Times New Roman" w:eastAsia="Times New Roman" w:hAnsi="Times New Roman" w:cs="Times New Roman"/>
            <w:color w:val="0000FF"/>
            <w:sz w:val="24"/>
            <w:szCs w:val="24"/>
            <w:u w:val="single"/>
          </w:rPr>
          <w:t>https://doi.org/10.5402/2011/263508</w:t>
        </w:r>
      </w:hyperlink>
    </w:p>
    <w:p w14:paraId="2E08B4C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Dhall, R. K., Kaur, H., Manchanda, P., &amp; Eshanee. (2023). Genetics and marker-assisted breeding for sex expression in cucumber. </w:t>
      </w:r>
      <w:r>
        <w:rPr>
          <w:rFonts w:ascii="Times New Roman" w:eastAsia="Times New Roman" w:hAnsi="Times New Roman" w:cs="Times New Roman"/>
          <w:i/>
          <w:iCs/>
          <w:sz w:val="24"/>
          <w:szCs w:val="24"/>
        </w:rPr>
        <w:t>Frontiers in Genetics, 14</w:t>
      </w:r>
      <w:r>
        <w:rPr>
          <w:rFonts w:ascii="Times New Roman" w:eastAsia="Times New Roman" w:hAnsi="Times New Roman" w:cs="Times New Roman"/>
          <w:sz w:val="24"/>
          <w:szCs w:val="24"/>
        </w:rPr>
        <w:t xml:space="preserve">, 1180083. </w:t>
      </w:r>
      <w:hyperlink r:id="rId13">
        <w:r>
          <w:rPr>
            <w:rFonts w:ascii="Times New Roman" w:eastAsia="Times New Roman" w:hAnsi="Times New Roman" w:cs="Times New Roman"/>
            <w:color w:val="0000FF"/>
            <w:sz w:val="24"/>
            <w:szCs w:val="24"/>
            <w:u w:val="single"/>
          </w:rPr>
          <w:t>https://doi.org/10.3389/fgene.2023.1180083</w:t>
        </w:r>
      </w:hyperlink>
    </w:p>
    <w:p w14:paraId="1F0BBFA9"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Dhankhar, B. S., Mehrotra, N., &amp; Kirti, S. (1980). Heterosis in relation to yield components and shoot/fruit borer (</w:t>
      </w:r>
      <w:r>
        <w:rPr>
          <w:rFonts w:ascii="Times New Roman" w:eastAsia="Times New Roman" w:hAnsi="Times New Roman" w:cs="Times New Roman"/>
          <w:i/>
          <w:iCs/>
          <w:sz w:val="24"/>
          <w:szCs w:val="24"/>
        </w:rPr>
        <w:t>Leucinodes orbonalis</w:t>
      </w:r>
      <w:r>
        <w:rPr>
          <w:rFonts w:ascii="Times New Roman" w:eastAsia="Times New Roman" w:hAnsi="Times New Roman" w:cs="Times New Roman"/>
          <w:sz w:val="24"/>
          <w:szCs w:val="24"/>
        </w:rPr>
        <w:t xml:space="preserve"> Gn.) in brinjal (</w:t>
      </w:r>
      <w:r>
        <w:rPr>
          <w:rFonts w:ascii="Times New Roman" w:eastAsia="Times New Roman" w:hAnsi="Times New Roman" w:cs="Times New Roman"/>
          <w:i/>
          <w:iCs/>
          <w:sz w:val="24"/>
          <w:szCs w:val="24"/>
        </w:rPr>
        <w:t>Solanum melongena</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Genetica Agraria, 34</w:t>
      </w:r>
      <w:r>
        <w:rPr>
          <w:rFonts w:ascii="Times New Roman" w:eastAsia="Times New Roman" w:hAnsi="Times New Roman" w:cs="Times New Roman"/>
          <w:sz w:val="24"/>
          <w:szCs w:val="24"/>
        </w:rPr>
        <w:t>, 215–220.</w:t>
      </w:r>
    </w:p>
    <w:p w14:paraId="20C484EC"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Canto, J., Studer, B., &amp; Lubberstedt, T. (2016). Overcoming self-incompatibility in grasses: A pathway to hybrid breeding. </w:t>
      </w:r>
      <w:r>
        <w:rPr>
          <w:rFonts w:ascii="Times New Roman" w:eastAsia="Times New Roman" w:hAnsi="Times New Roman" w:cs="Times New Roman"/>
          <w:i/>
          <w:iCs/>
          <w:sz w:val="24"/>
          <w:szCs w:val="24"/>
        </w:rPr>
        <w:t>Theoretical and Applied Genetics, 129</w:t>
      </w:r>
      <w:r>
        <w:rPr>
          <w:rFonts w:ascii="Times New Roman" w:eastAsia="Times New Roman" w:hAnsi="Times New Roman" w:cs="Times New Roman"/>
          <w:sz w:val="24"/>
          <w:szCs w:val="24"/>
        </w:rPr>
        <w:t xml:space="preserve">(10), 1815–1829. </w:t>
      </w:r>
      <w:hyperlink r:id="rId14">
        <w:r>
          <w:rPr>
            <w:rFonts w:ascii="Times New Roman" w:eastAsia="Times New Roman" w:hAnsi="Times New Roman" w:cs="Times New Roman"/>
            <w:color w:val="0000FF"/>
            <w:sz w:val="24"/>
            <w:szCs w:val="24"/>
            <w:u w:val="single"/>
          </w:rPr>
          <w:t>https://doi.org/10.1007/s00425-024-04532-w</w:t>
        </w:r>
      </w:hyperlink>
    </w:p>
    <w:p w14:paraId="2E2C130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Dodds, P. N., Clark, A. E., &amp; Newbigin, E. D. (1997). Molecules involved in self-incompatibility in flowering plants. </w:t>
      </w:r>
      <w:r>
        <w:rPr>
          <w:rFonts w:ascii="Times New Roman" w:eastAsia="Times New Roman" w:hAnsi="Times New Roman" w:cs="Times New Roman"/>
          <w:i/>
          <w:iCs/>
          <w:sz w:val="24"/>
          <w:szCs w:val="24"/>
        </w:rPr>
        <w:t>Plant Breeding Reviews, 15</w:t>
      </w:r>
      <w:r>
        <w:rPr>
          <w:rFonts w:ascii="Times New Roman" w:eastAsia="Times New Roman" w:hAnsi="Times New Roman" w:cs="Times New Roman"/>
          <w:sz w:val="24"/>
          <w:szCs w:val="24"/>
        </w:rPr>
        <w:t>, 19–42.</w:t>
      </w:r>
    </w:p>
    <w:p w14:paraId="6BE1A27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Dutta, O. P. (1971). Induction of male sterility in okra (</w:t>
      </w:r>
      <w:r>
        <w:rPr>
          <w:rFonts w:ascii="Times New Roman" w:eastAsia="Times New Roman" w:hAnsi="Times New Roman" w:cs="Times New Roman"/>
          <w:i/>
          <w:iCs/>
          <w:sz w:val="24"/>
          <w:szCs w:val="24"/>
        </w:rPr>
        <w:t>Abelmoschus esculentus</w:t>
      </w:r>
      <w:r>
        <w:rPr>
          <w:rFonts w:ascii="Times New Roman" w:eastAsia="Times New Roman" w:hAnsi="Times New Roman" w:cs="Times New Roman"/>
          <w:sz w:val="24"/>
          <w:szCs w:val="24"/>
        </w:rPr>
        <w:t xml:space="preserve"> L.) through gamma radiation. </w:t>
      </w:r>
      <w:r>
        <w:rPr>
          <w:rFonts w:ascii="Times New Roman" w:eastAsia="Times New Roman" w:hAnsi="Times New Roman" w:cs="Times New Roman"/>
          <w:i/>
          <w:iCs/>
          <w:sz w:val="24"/>
          <w:szCs w:val="24"/>
        </w:rPr>
        <w:t>Indian Journal of Genetics and Plant Breeding, 31</w:t>
      </w:r>
      <w:r>
        <w:rPr>
          <w:rFonts w:ascii="Times New Roman" w:eastAsia="Times New Roman" w:hAnsi="Times New Roman" w:cs="Times New Roman"/>
          <w:sz w:val="24"/>
          <w:szCs w:val="24"/>
        </w:rPr>
        <w:t>, 75–82.</w:t>
      </w:r>
    </w:p>
    <w:p w14:paraId="4A239E27"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Duvick, D. N. (1999). Heterosis: Feeding people and protecting natural resources. In J. G. Coors &amp; S. Pandey (Eds.), </w:t>
      </w:r>
      <w:r>
        <w:rPr>
          <w:rFonts w:ascii="Times New Roman" w:eastAsia="Times New Roman" w:hAnsi="Times New Roman" w:cs="Times New Roman"/>
          <w:i/>
          <w:iCs/>
          <w:sz w:val="24"/>
          <w:szCs w:val="24"/>
        </w:rPr>
        <w:t>The genetics and exploitation of heterosis in crops</w:t>
      </w:r>
      <w:r>
        <w:rPr>
          <w:rFonts w:ascii="Times New Roman" w:eastAsia="Times New Roman" w:hAnsi="Times New Roman" w:cs="Times New Roman"/>
          <w:sz w:val="24"/>
          <w:szCs w:val="24"/>
        </w:rPr>
        <w:t xml:space="preserve"> (pp. 19–29). ASA-CSSA-SSSA.</w:t>
      </w:r>
    </w:p>
    <w:p w14:paraId="53772B0A"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Farinati, S., Draga, S., Betto, A., Palumbo, F., Vannozzi, A., Lucchin, M., &amp; Barcaccia, G. (2023). Current insights and advances into plant male sterility: New precision breeding technology based on genome editing applications. </w:t>
      </w:r>
      <w:r>
        <w:rPr>
          <w:rFonts w:ascii="Times New Roman" w:eastAsia="Times New Roman" w:hAnsi="Times New Roman" w:cs="Times New Roman"/>
          <w:i/>
          <w:iCs/>
          <w:sz w:val="24"/>
          <w:szCs w:val="24"/>
        </w:rPr>
        <w:t>Frontiers in Plant Science, 14</w:t>
      </w:r>
      <w:r>
        <w:rPr>
          <w:rFonts w:ascii="Times New Roman" w:eastAsia="Times New Roman" w:hAnsi="Times New Roman" w:cs="Times New Roman"/>
          <w:sz w:val="24"/>
          <w:szCs w:val="24"/>
        </w:rPr>
        <w:t xml:space="preserve">. </w:t>
      </w:r>
      <w:hyperlink r:id="rId15">
        <w:r>
          <w:rPr>
            <w:rFonts w:ascii="Times New Roman" w:eastAsia="Times New Roman" w:hAnsi="Times New Roman" w:cs="Times New Roman"/>
            <w:color w:val="0000FF"/>
            <w:sz w:val="24"/>
            <w:szCs w:val="24"/>
            <w:u w:val="single"/>
          </w:rPr>
          <w:t>https://doi.org/10.3389/fpls.2023.1223861</w:t>
        </w:r>
      </w:hyperlink>
    </w:p>
    <w:p w14:paraId="1DBAF58D"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Fiorani, F., &amp; Schurr, U. (2013). Future scenarios for plant phenotyping. </w:t>
      </w:r>
      <w:r>
        <w:rPr>
          <w:rFonts w:ascii="Times New Roman" w:eastAsia="Times New Roman" w:hAnsi="Times New Roman" w:cs="Times New Roman"/>
          <w:i/>
          <w:iCs/>
          <w:sz w:val="24"/>
          <w:szCs w:val="24"/>
        </w:rPr>
        <w:t>Annual Review of Plant Biology, 64</w:t>
      </w:r>
      <w:r>
        <w:rPr>
          <w:rFonts w:ascii="Times New Roman" w:eastAsia="Times New Roman" w:hAnsi="Times New Roman" w:cs="Times New Roman"/>
          <w:sz w:val="24"/>
          <w:szCs w:val="24"/>
        </w:rPr>
        <w:t>, 267–291.</w:t>
      </w:r>
    </w:p>
    <w:p w14:paraId="286AF0AD"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Georgiev, H. (1991). Male sterility in tomato (</w:t>
      </w:r>
      <w:r>
        <w:rPr>
          <w:rFonts w:ascii="Times New Roman" w:eastAsia="Times New Roman" w:hAnsi="Times New Roman" w:cs="Times New Roman"/>
          <w:i/>
          <w:iCs/>
          <w:sz w:val="24"/>
          <w:szCs w:val="24"/>
        </w:rPr>
        <w:t>Lycopersicon esculentum</w:t>
      </w:r>
      <w:r>
        <w:rPr>
          <w:rFonts w:ascii="Times New Roman" w:eastAsia="Times New Roman" w:hAnsi="Times New Roman" w:cs="Times New Roman"/>
          <w:sz w:val="24"/>
          <w:szCs w:val="24"/>
        </w:rPr>
        <w:t xml:space="preserve"> Mill.). </w:t>
      </w:r>
      <w:r>
        <w:rPr>
          <w:rFonts w:ascii="Times New Roman" w:eastAsia="Times New Roman" w:hAnsi="Times New Roman" w:cs="Times New Roman"/>
          <w:i/>
          <w:iCs/>
          <w:sz w:val="24"/>
          <w:szCs w:val="24"/>
        </w:rPr>
        <w:t>Euphytica, 58</w:t>
      </w:r>
      <w:r>
        <w:rPr>
          <w:rFonts w:ascii="Times New Roman" w:eastAsia="Times New Roman" w:hAnsi="Times New Roman" w:cs="Times New Roman"/>
          <w:sz w:val="24"/>
          <w:szCs w:val="24"/>
        </w:rPr>
        <w:t xml:space="preserve">(1), 1–8. </w:t>
      </w:r>
      <w:hyperlink r:id="rId16">
        <w:r>
          <w:rPr>
            <w:rFonts w:ascii="Times New Roman" w:eastAsia="Times New Roman" w:hAnsi="Times New Roman" w:cs="Times New Roman"/>
            <w:color w:val="0000FF"/>
            <w:sz w:val="24"/>
            <w:szCs w:val="24"/>
            <w:u w:val="single"/>
          </w:rPr>
          <w:t>https://doi.org/10.1007/BF00035338</w:t>
        </w:r>
      </w:hyperlink>
    </w:p>
    <w:p w14:paraId="299FD72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Hamada, M. S., Hamaiel, A. F., Farid, S. M., &amp; El-Kady, M. M. (2016). Heterosis and combining ability for some traits of intraspecific and interspecific hybridization between </w:t>
      </w:r>
      <w:r>
        <w:rPr>
          <w:rFonts w:ascii="Times New Roman" w:eastAsia="Times New Roman" w:hAnsi="Times New Roman" w:cs="Times New Roman"/>
          <w:i/>
          <w:iCs/>
          <w:sz w:val="24"/>
          <w:szCs w:val="24"/>
        </w:rPr>
        <w:t>Solanum melongena</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Solanum macrocarpon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Journal of Agricultural Research, Kafr El-Sheikh University, 42</w:t>
      </w:r>
      <w:r>
        <w:rPr>
          <w:rFonts w:ascii="Times New Roman" w:eastAsia="Times New Roman" w:hAnsi="Times New Roman" w:cs="Times New Roman"/>
          <w:sz w:val="24"/>
          <w:szCs w:val="24"/>
        </w:rPr>
        <w:t>, 34–45.</w:t>
      </w:r>
    </w:p>
    <w:p w14:paraId="740D660D"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Hanson, M. R., &amp; Bentolila, S. (2004). Interactions of mitochondrial and nuclear genes that affect male gametophyte development. </w:t>
      </w:r>
      <w:r>
        <w:rPr>
          <w:rFonts w:ascii="Times New Roman" w:eastAsia="Times New Roman" w:hAnsi="Times New Roman" w:cs="Times New Roman"/>
          <w:i/>
          <w:iCs/>
          <w:sz w:val="24"/>
          <w:szCs w:val="24"/>
        </w:rPr>
        <w:t>The Plant Cell, 16</w:t>
      </w:r>
      <w:r>
        <w:rPr>
          <w:rFonts w:ascii="Times New Roman" w:eastAsia="Times New Roman" w:hAnsi="Times New Roman" w:cs="Times New Roman"/>
          <w:sz w:val="24"/>
          <w:szCs w:val="24"/>
        </w:rPr>
        <w:t xml:space="preserve">(Suppl), S154–S169. </w:t>
      </w:r>
      <w:hyperlink r:id="rId17">
        <w:r>
          <w:rPr>
            <w:rFonts w:ascii="Times New Roman" w:eastAsia="Times New Roman" w:hAnsi="Times New Roman" w:cs="Times New Roman"/>
            <w:color w:val="0000FF"/>
            <w:sz w:val="24"/>
            <w:szCs w:val="24"/>
            <w:u w:val="single"/>
          </w:rPr>
          <w:t>https://doi.org/10.1105/tpc.015966</w:t>
        </w:r>
      </w:hyperlink>
    </w:p>
    <w:p w14:paraId="4111091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Hawaldar, M. S. H., Mian, M. A. K., &amp; Ali, M. (1997). Identification of male sterility maintainer lines for Ogura radish (</w:t>
      </w:r>
      <w:r>
        <w:rPr>
          <w:rFonts w:ascii="Times New Roman" w:eastAsia="Times New Roman" w:hAnsi="Times New Roman" w:cs="Times New Roman"/>
          <w:i/>
          <w:iCs/>
          <w:sz w:val="24"/>
          <w:szCs w:val="24"/>
        </w:rPr>
        <w:t>Raphanus sativus</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Euphytica, 96</w:t>
      </w:r>
      <w:r>
        <w:rPr>
          <w:rFonts w:ascii="Times New Roman" w:eastAsia="Times New Roman" w:hAnsi="Times New Roman" w:cs="Times New Roman"/>
          <w:sz w:val="24"/>
          <w:szCs w:val="24"/>
        </w:rPr>
        <w:t>, 299–300.</w:t>
      </w:r>
    </w:p>
    <w:p w14:paraId="4596A7AC"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Hill, W. G. (1982). The genetic basis of heterosis. </w:t>
      </w:r>
      <w:r>
        <w:rPr>
          <w:rFonts w:ascii="Times New Roman" w:eastAsia="Times New Roman" w:hAnsi="Times New Roman" w:cs="Times New Roman"/>
          <w:i/>
          <w:iCs/>
          <w:sz w:val="24"/>
          <w:szCs w:val="24"/>
        </w:rPr>
        <w:t>Annales de Génétique et de Sélection Animale, 14</w:t>
      </w:r>
      <w:r>
        <w:rPr>
          <w:rFonts w:ascii="Times New Roman" w:eastAsia="Times New Roman" w:hAnsi="Times New Roman" w:cs="Times New Roman"/>
          <w:sz w:val="24"/>
          <w:szCs w:val="24"/>
        </w:rPr>
        <w:t>, 106–113.</w:t>
      </w:r>
    </w:p>
    <w:p w14:paraId="3FAB560A"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Iki, Y., Harada, I., Ezura, K., Mashita, S., Kuwabara, K., Takei, H., Toyoda, A., Shirasawa, K., &amp; Ariizumi, T. (2025). Multiple fertility restorer loci for cytoplasmic male sterility caused by orf137 in tomato. </w:t>
      </w:r>
      <w:r>
        <w:rPr>
          <w:rFonts w:ascii="Times New Roman" w:eastAsia="Times New Roman" w:hAnsi="Times New Roman" w:cs="Times New Roman"/>
          <w:i/>
          <w:iCs/>
          <w:sz w:val="24"/>
          <w:szCs w:val="24"/>
        </w:rPr>
        <w:t>Journal of Experimental Botany</w:t>
      </w:r>
      <w:r>
        <w:rPr>
          <w:rFonts w:ascii="Times New Roman" w:eastAsia="Times New Roman" w:hAnsi="Times New Roman" w:cs="Times New Roman"/>
          <w:sz w:val="24"/>
          <w:szCs w:val="24"/>
        </w:rPr>
        <w:t xml:space="preserve">, eraf309. </w:t>
      </w:r>
      <w:hyperlink r:id="rId18">
        <w:r>
          <w:rPr>
            <w:rFonts w:ascii="Times New Roman" w:eastAsia="Times New Roman" w:hAnsi="Times New Roman" w:cs="Times New Roman"/>
            <w:color w:val="0000FF"/>
            <w:sz w:val="24"/>
            <w:szCs w:val="24"/>
            <w:u w:val="single"/>
          </w:rPr>
          <w:t>https://doi.org/10.1093/jxb/eraf309</w:t>
        </w:r>
      </w:hyperlink>
    </w:p>
    <w:p w14:paraId="2B108E5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Jansi, V., Rajasree, V., Kumar, R., Praneetha, S., &amp; Rajeswari, S. (2018). Heterosis and inbreeding depression studies in pumpkin (</w:t>
      </w:r>
      <w:r>
        <w:rPr>
          <w:rFonts w:ascii="Times New Roman" w:eastAsia="Times New Roman" w:hAnsi="Times New Roman" w:cs="Times New Roman"/>
          <w:i/>
          <w:iCs/>
          <w:sz w:val="24"/>
          <w:szCs w:val="24"/>
        </w:rPr>
        <w:t>Cucurbita moschata</w:t>
      </w:r>
      <w:r>
        <w:rPr>
          <w:rFonts w:ascii="Times New Roman" w:eastAsia="Times New Roman" w:hAnsi="Times New Roman" w:cs="Times New Roman"/>
          <w:sz w:val="24"/>
          <w:szCs w:val="24"/>
        </w:rPr>
        <w:t xml:space="preserve"> Duch. ex Poir.). </w:t>
      </w:r>
      <w:r>
        <w:rPr>
          <w:rFonts w:ascii="Times New Roman" w:eastAsia="Times New Roman" w:hAnsi="Times New Roman" w:cs="Times New Roman"/>
          <w:i/>
          <w:iCs/>
          <w:sz w:val="24"/>
          <w:szCs w:val="24"/>
        </w:rPr>
        <w:t>International Journal of Chemical Studies, 6</w:t>
      </w:r>
      <w:r>
        <w:rPr>
          <w:rFonts w:ascii="Times New Roman" w:eastAsia="Times New Roman" w:hAnsi="Times New Roman" w:cs="Times New Roman"/>
          <w:sz w:val="24"/>
          <w:szCs w:val="24"/>
        </w:rPr>
        <w:t>(3), 2092–2095.</w:t>
      </w:r>
    </w:p>
    <w:p w14:paraId="35311E6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Jones, H. A., &amp; Clarke, A. E. (1943). Inheritance of male sterility in the onion and the production of hybrid seed. </w:t>
      </w:r>
      <w:r>
        <w:rPr>
          <w:rFonts w:ascii="Times New Roman" w:eastAsia="Times New Roman" w:hAnsi="Times New Roman" w:cs="Times New Roman"/>
          <w:i/>
          <w:iCs/>
          <w:sz w:val="24"/>
          <w:szCs w:val="24"/>
        </w:rPr>
        <w:t>Proceedings of the American Society for Horticultural Science, 43</w:t>
      </w:r>
      <w:r>
        <w:rPr>
          <w:rFonts w:ascii="Times New Roman" w:eastAsia="Times New Roman" w:hAnsi="Times New Roman" w:cs="Times New Roman"/>
          <w:sz w:val="24"/>
          <w:szCs w:val="24"/>
        </w:rPr>
        <w:t>, 189–194.</w:t>
      </w:r>
    </w:p>
    <w:p w14:paraId="3868593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Jones, H. A., &amp; Emsweller, S. L. (1936). A male-sterile onion. </w:t>
      </w:r>
      <w:r>
        <w:rPr>
          <w:rFonts w:ascii="Times New Roman" w:eastAsia="Times New Roman" w:hAnsi="Times New Roman" w:cs="Times New Roman"/>
          <w:i/>
          <w:iCs/>
          <w:sz w:val="24"/>
          <w:szCs w:val="24"/>
        </w:rPr>
        <w:t>Proceedings of the American Society for Horticultural Science, 34</w:t>
      </w:r>
      <w:r>
        <w:rPr>
          <w:rFonts w:ascii="Times New Roman" w:eastAsia="Times New Roman" w:hAnsi="Times New Roman" w:cs="Times New Roman"/>
          <w:sz w:val="24"/>
          <w:szCs w:val="24"/>
        </w:rPr>
        <w:t>, 582–585.</w:t>
      </w:r>
    </w:p>
    <w:p w14:paraId="1633803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Kakizaki, Y. (1931). Hybrid vigor in egg-plants and its practical utilization. </w:t>
      </w:r>
      <w:r>
        <w:rPr>
          <w:rFonts w:ascii="Times New Roman" w:eastAsia="Times New Roman" w:hAnsi="Times New Roman" w:cs="Times New Roman"/>
          <w:i/>
          <w:iCs/>
          <w:sz w:val="24"/>
          <w:szCs w:val="24"/>
        </w:rPr>
        <w:t>Genetics, 16</w:t>
      </w:r>
      <w:r>
        <w:rPr>
          <w:rFonts w:ascii="Times New Roman" w:eastAsia="Times New Roman" w:hAnsi="Times New Roman" w:cs="Times New Roman"/>
          <w:sz w:val="24"/>
          <w:szCs w:val="24"/>
        </w:rPr>
        <w:t>, 1–25.</w:t>
      </w:r>
    </w:p>
    <w:p w14:paraId="50CB0477"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Kalaiyarasi, G., Ram, S. R. R., &amp; Saravanan, K. (2018). Studies on heterosis for yield in Brinjal (</w:t>
      </w:r>
      <w:r>
        <w:rPr>
          <w:rFonts w:ascii="Times New Roman" w:eastAsia="Times New Roman" w:hAnsi="Times New Roman" w:cs="Times New Roman"/>
          <w:i/>
          <w:iCs/>
          <w:sz w:val="24"/>
          <w:szCs w:val="24"/>
        </w:rPr>
        <w:t>Solanum melongena</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Horticulture and Biotechnology Research, 4</w:t>
      </w:r>
      <w:r>
        <w:rPr>
          <w:rFonts w:ascii="Times New Roman" w:eastAsia="Times New Roman" w:hAnsi="Times New Roman" w:cs="Times New Roman"/>
          <w:sz w:val="24"/>
          <w:szCs w:val="24"/>
        </w:rPr>
        <w:t>, 35–38.</w:t>
      </w:r>
    </w:p>
    <w:p w14:paraId="1777297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Kandasamy, R. (2015). Heterosis in bitter gourd (</w:t>
      </w:r>
      <w:r>
        <w:rPr>
          <w:rFonts w:ascii="Times New Roman" w:eastAsia="Times New Roman" w:hAnsi="Times New Roman" w:cs="Times New Roman"/>
          <w:i/>
          <w:iCs/>
          <w:sz w:val="24"/>
          <w:szCs w:val="24"/>
        </w:rPr>
        <w:t>Momordica charantia</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The Asian Journal of Horticulture, 10</w:t>
      </w:r>
      <w:r>
        <w:rPr>
          <w:rFonts w:ascii="Times New Roman" w:eastAsia="Times New Roman" w:hAnsi="Times New Roman" w:cs="Times New Roman"/>
          <w:sz w:val="24"/>
          <w:szCs w:val="24"/>
        </w:rPr>
        <w:t>(1), 158–160.</w:t>
      </w:r>
    </w:p>
    <w:p w14:paraId="517D903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Kaul, M. L. H. (1988). </w:t>
      </w:r>
      <w:r>
        <w:rPr>
          <w:rFonts w:ascii="Times New Roman" w:eastAsia="Times New Roman" w:hAnsi="Times New Roman" w:cs="Times New Roman"/>
          <w:i/>
          <w:iCs/>
          <w:sz w:val="24"/>
          <w:szCs w:val="24"/>
        </w:rPr>
        <w:t>Male sterility in higher plants. Monographs on theoretical and applied genetics</w:t>
      </w:r>
      <w:r>
        <w:rPr>
          <w:rFonts w:ascii="Times New Roman" w:eastAsia="Times New Roman" w:hAnsi="Times New Roman" w:cs="Times New Roman"/>
          <w:sz w:val="24"/>
          <w:szCs w:val="24"/>
        </w:rPr>
        <w:t xml:space="preserve"> (Vol. 10). Springer-Verlag.</w:t>
      </w:r>
    </w:p>
    <w:p w14:paraId="591288B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Keatinge, J. D. H., Waliyar, F., Jamnadass, R., Moustafa, A., Andrade, M., Drechsel, P., ... &amp; Luther, K. (2011). Relearning old lessons for the future of food—by bread alone no longer: Diversifying diets with fruit and vegetables. </w:t>
      </w:r>
      <w:r>
        <w:rPr>
          <w:rFonts w:ascii="Times New Roman" w:eastAsia="Times New Roman" w:hAnsi="Times New Roman" w:cs="Times New Roman"/>
          <w:i/>
          <w:iCs/>
          <w:sz w:val="24"/>
          <w:szCs w:val="24"/>
        </w:rPr>
        <w:t>Crop Science, 51</w:t>
      </w:r>
      <w:r>
        <w:rPr>
          <w:rFonts w:ascii="Times New Roman" w:eastAsia="Times New Roman" w:hAnsi="Times New Roman" w:cs="Times New Roman"/>
          <w:sz w:val="24"/>
          <w:szCs w:val="24"/>
        </w:rPr>
        <w:t>(2), 564–570.</w:t>
      </w:r>
    </w:p>
    <w:p w14:paraId="37139C3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Kitashiba, H., &amp; Nasrallah, J. B. (2014). Self-incompatibility in Brassicaceae crops: Lessons for interspecific incompatibility. </w:t>
      </w:r>
      <w:r>
        <w:rPr>
          <w:rFonts w:ascii="Times New Roman" w:eastAsia="Times New Roman" w:hAnsi="Times New Roman" w:cs="Times New Roman"/>
          <w:i/>
          <w:iCs/>
          <w:sz w:val="24"/>
          <w:szCs w:val="24"/>
        </w:rPr>
        <w:t>Breeding Science, 64</w:t>
      </w:r>
      <w:r>
        <w:rPr>
          <w:rFonts w:ascii="Times New Roman" w:eastAsia="Times New Roman" w:hAnsi="Times New Roman" w:cs="Times New Roman"/>
          <w:sz w:val="24"/>
          <w:szCs w:val="24"/>
        </w:rPr>
        <w:t>(1), 23–37.</w:t>
      </w:r>
    </w:p>
    <w:p w14:paraId="065BB0C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Kumar, S., Singh, R., &amp; Rai, M. (2000). Environment-sensitive genic male sterility in vegetable crops: A review. </w:t>
      </w:r>
      <w:r>
        <w:rPr>
          <w:rFonts w:ascii="Times New Roman" w:eastAsia="Times New Roman" w:hAnsi="Times New Roman" w:cs="Times New Roman"/>
          <w:i/>
          <w:iCs/>
          <w:sz w:val="24"/>
          <w:szCs w:val="24"/>
        </w:rPr>
        <w:t>Vegetable Science, 27</w:t>
      </w:r>
      <w:r>
        <w:rPr>
          <w:rFonts w:ascii="Times New Roman" w:eastAsia="Times New Roman" w:hAnsi="Times New Roman" w:cs="Times New Roman"/>
          <w:sz w:val="24"/>
          <w:szCs w:val="24"/>
        </w:rPr>
        <w:t>(2), 123–130.</w:t>
      </w:r>
    </w:p>
    <w:p w14:paraId="0698DBB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Kumar, S., Singh, V., Singh, M., Rai, S. K., Kumar, S., Rai, M., &amp; Kalloo, G. (2007). Genetics and distribution of fertility restoration associated RAPD markers in pepper (</w:t>
      </w:r>
      <w:r>
        <w:rPr>
          <w:rFonts w:ascii="Times New Roman" w:eastAsia="Times New Roman" w:hAnsi="Times New Roman" w:cs="Times New Roman"/>
          <w:i/>
          <w:iCs/>
          <w:sz w:val="24"/>
          <w:szCs w:val="24"/>
        </w:rPr>
        <w:t>Capsicum annuum</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Horticultural Science, 111</w:t>
      </w:r>
      <w:r>
        <w:rPr>
          <w:rFonts w:ascii="Times New Roman" w:eastAsia="Times New Roman" w:hAnsi="Times New Roman" w:cs="Times New Roman"/>
          <w:sz w:val="24"/>
          <w:szCs w:val="24"/>
        </w:rPr>
        <w:t>, 197–202.</w:t>
      </w:r>
    </w:p>
    <w:p w14:paraId="3131E222"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Kuwabara, K., Harada, I., Matsuzawa, Y., Ariizumi, T., &amp; Shirasawa, K. (2021). Organelle genome assembly uncovers the dynamic genome reorganization and cytoplasmic male sterility associated genes in tomato. </w:t>
      </w:r>
      <w:r>
        <w:rPr>
          <w:rFonts w:ascii="Times New Roman" w:eastAsia="Times New Roman" w:hAnsi="Times New Roman" w:cs="Times New Roman"/>
          <w:i/>
          <w:iCs/>
          <w:sz w:val="24"/>
          <w:szCs w:val="24"/>
        </w:rPr>
        <w:t>Horticulture Research, 8</w:t>
      </w:r>
      <w:r>
        <w:rPr>
          <w:rFonts w:ascii="Times New Roman" w:eastAsia="Times New Roman" w:hAnsi="Times New Roman" w:cs="Times New Roman"/>
          <w:sz w:val="24"/>
          <w:szCs w:val="24"/>
        </w:rPr>
        <w:t xml:space="preserve">, 241. </w:t>
      </w:r>
      <w:hyperlink r:id="rId19">
        <w:r>
          <w:rPr>
            <w:rFonts w:ascii="Times New Roman" w:eastAsia="Times New Roman" w:hAnsi="Times New Roman" w:cs="Times New Roman"/>
            <w:color w:val="0000FF"/>
            <w:sz w:val="24"/>
            <w:szCs w:val="24"/>
            <w:u w:val="single"/>
          </w:rPr>
          <w:t>https://doi.org/10.1038/s41438-021-00676-y</w:t>
        </w:r>
      </w:hyperlink>
    </w:p>
    <w:p w14:paraId="61BD065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Lewis, D. (1954). Comparative incompatibility in angiosperms and fungi. </w:t>
      </w:r>
      <w:r>
        <w:rPr>
          <w:rFonts w:ascii="Times New Roman" w:eastAsia="Times New Roman" w:hAnsi="Times New Roman" w:cs="Times New Roman"/>
          <w:i/>
          <w:iCs/>
          <w:sz w:val="24"/>
          <w:szCs w:val="24"/>
        </w:rPr>
        <w:t>Advances in Genetics, 6</w:t>
      </w:r>
      <w:r>
        <w:rPr>
          <w:rFonts w:ascii="Times New Roman" w:eastAsia="Times New Roman" w:hAnsi="Times New Roman" w:cs="Times New Roman"/>
          <w:sz w:val="24"/>
          <w:szCs w:val="24"/>
        </w:rPr>
        <w:t>, 235–285.</w:t>
      </w:r>
    </w:p>
    <w:p w14:paraId="2BA94F9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Liu, W. Y., &amp; Gniffke, P. A. (2004). Stability of AVRDC’s cytoplasmic male sterile (CMS) pepper lines grown under low temperatures. </w:t>
      </w:r>
      <w:r>
        <w:rPr>
          <w:rFonts w:ascii="Times New Roman" w:eastAsia="Times New Roman" w:hAnsi="Times New Roman" w:cs="Times New Roman"/>
          <w:i/>
          <w:iCs/>
          <w:sz w:val="24"/>
          <w:szCs w:val="24"/>
        </w:rPr>
        <w:t>Capsicum and Eggplant Newsletter, 23</w:t>
      </w:r>
      <w:r>
        <w:rPr>
          <w:rFonts w:ascii="Times New Roman" w:eastAsia="Times New Roman" w:hAnsi="Times New Roman" w:cs="Times New Roman"/>
          <w:sz w:val="24"/>
          <w:szCs w:val="24"/>
        </w:rPr>
        <w:t>, 85–88.</w:t>
      </w:r>
    </w:p>
    <w:p w14:paraId="195E08E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Luo, L. J., Li, Z. K., Mei, H. W., Shu, Q. Y., Tabien, R., Zhong, D. B., ... &amp; Paterson, A. (2001). Overdominant epistatic loci are the primary genetic basis of inbreeding depression and heterosis in rice. II. Grain yield components. </w:t>
      </w:r>
      <w:r>
        <w:rPr>
          <w:rFonts w:ascii="Times New Roman" w:eastAsia="Times New Roman" w:hAnsi="Times New Roman" w:cs="Times New Roman"/>
          <w:i/>
          <w:iCs/>
          <w:sz w:val="24"/>
          <w:szCs w:val="24"/>
        </w:rPr>
        <w:t>Genetics, 158</w:t>
      </w:r>
      <w:r>
        <w:rPr>
          <w:rFonts w:ascii="Times New Roman" w:eastAsia="Times New Roman" w:hAnsi="Times New Roman" w:cs="Times New Roman"/>
          <w:sz w:val="24"/>
          <w:szCs w:val="24"/>
        </w:rPr>
        <w:t>(4), 1755–1771.</w:t>
      </w:r>
    </w:p>
    <w:p w14:paraId="478750B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Martin, J., &amp; Crawford, J. H. (1951). Several types of sterility in </w:t>
      </w:r>
      <w:r>
        <w:rPr>
          <w:rFonts w:ascii="Times New Roman" w:eastAsia="Times New Roman" w:hAnsi="Times New Roman" w:cs="Times New Roman"/>
          <w:i/>
          <w:iCs/>
          <w:sz w:val="24"/>
          <w:szCs w:val="24"/>
        </w:rPr>
        <w:t>Capsicum frutescens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Proceedings of the American Society for Horticultural Science, 57</w:t>
      </w:r>
      <w:r>
        <w:rPr>
          <w:rFonts w:ascii="Times New Roman" w:eastAsia="Times New Roman" w:hAnsi="Times New Roman" w:cs="Times New Roman"/>
          <w:sz w:val="24"/>
          <w:szCs w:val="24"/>
        </w:rPr>
        <w:t>, 335–338.</w:t>
      </w:r>
    </w:p>
    <w:p w14:paraId="2D315AEC"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Masuda, M., Furuichi, T., Ma, Y., &amp; Kato, K. (1998). Pollen degradation and inheritance of male sterility in three mutants in tomato (</w:t>
      </w:r>
      <w:r>
        <w:rPr>
          <w:rFonts w:ascii="Times New Roman" w:eastAsia="Times New Roman" w:hAnsi="Times New Roman" w:cs="Times New Roman"/>
          <w:i/>
          <w:iCs/>
          <w:sz w:val="24"/>
          <w:szCs w:val="24"/>
        </w:rPr>
        <w:t>Lycopersicon esculentum</w:t>
      </w:r>
      <w:r>
        <w:rPr>
          <w:rFonts w:ascii="Times New Roman" w:eastAsia="Times New Roman" w:hAnsi="Times New Roman" w:cs="Times New Roman"/>
          <w:sz w:val="24"/>
          <w:szCs w:val="24"/>
        </w:rPr>
        <w:t xml:space="preserve"> Mill. cv. First.). </w:t>
      </w:r>
      <w:r>
        <w:rPr>
          <w:rFonts w:ascii="Times New Roman" w:eastAsia="Times New Roman" w:hAnsi="Times New Roman" w:cs="Times New Roman"/>
          <w:i/>
          <w:iCs/>
          <w:sz w:val="24"/>
          <w:szCs w:val="24"/>
        </w:rPr>
        <w:t>Journal of the Japanese Society for Horticultural Science, 67</w:t>
      </w:r>
      <w:r>
        <w:rPr>
          <w:rFonts w:ascii="Times New Roman" w:eastAsia="Times New Roman" w:hAnsi="Times New Roman" w:cs="Times New Roman"/>
          <w:sz w:val="24"/>
          <w:szCs w:val="24"/>
        </w:rPr>
        <w:t xml:space="preserve">(4), 583–588. </w:t>
      </w:r>
      <w:hyperlink r:id="rId20">
        <w:r>
          <w:rPr>
            <w:rFonts w:ascii="Times New Roman" w:eastAsia="Times New Roman" w:hAnsi="Times New Roman" w:cs="Times New Roman"/>
            <w:color w:val="0000FF"/>
            <w:sz w:val="24"/>
            <w:szCs w:val="24"/>
            <w:u w:val="single"/>
          </w:rPr>
          <w:t>https://doi.org/10.2503/jjshs.67.583</w:t>
        </w:r>
      </w:hyperlink>
    </w:p>
    <w:p w14:paraId="5979D7AA"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Mayr, E. (1986). Joseph Gottlieb Kolreuter’s contributions to biology. </w:t>
      </w:r>
      <w:r>
        <w:rPr>
          <w:rFonts w:ascii="Times New Roman" w:eastAsia="Times New Roman" w:hAnsi="Times New Roman" w:cs="Times New Roman"/>
          <w:i/>
          <w:iCs/>
          <w:sz w:val="24"/>
          <w:szCs w:val="24"/>
        </w:rPr>
        <w:t>Osiris, 2</w:t>
      </w:r>
      <w:r>
        <w:rPr>
          <w:rFonts w:ascii="Times New Roman" w:eastAsia="Times New Roman" w:hAnsi="Times New Roman" w:cs="Times New Roman"/>
          <w:sz w:val="24"/>
          <w:szCs w:val="24"/>
        </w:rPr>
        <w:t>, 135–176.</w:t>
      </w:r>
    </w:p>
    <w:p w14:paraId="32537CFC"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McClure, B. (2011). Compatibility and incompatibility in S-RNase-based systems. </w:t>
      </w:r>
      <w:r>
        <w:rPr>
          <w:rFonts w:ascii="Times New Roman" w:eastAsia="Times New Roman" w:hAnsi="Times New Roman" w:cs="Times New Roman"/>
          <w:i/>
          <w:iCs/>
          <w:sz w:val="24"/>
          <w:szCs w:val="24"/>
        </w:rPr>
        <w:t>Annals of Botany, 108</w:t>
      </w:r>
      <w:r>
        <w:rPr>
          <w:rFonts w:ascii="Times New Roman" w:eastAsia="Times New Roman" w:hAnsi="Times New Roman" w:cs="Times New Roman"/>
          <w:sz w:val="24"/>
          <w:szCs w:val="24"/>
        </w:rPr>
        <w:t xml:space="preserve">(4), 647–658. </w:t>
      </w:r>
      <w:hyperlink r:id="rId21">
        <w:r>
          <w:rPr>
            <w:rFonts w:ascii="Times New Roman" w:eastAsia="Times New Roman" w:hAnsi="Times New Roman" w:cs="Times New Roman"/>
            <w:color w:val="0000FF"/>
            <w:sz w:val="24"/>
            <w:szCs w:val="24"/>
            <w:u w:val="single"/>
          </w:rPr>
          <w:t>https://doi.org/10.1093/aob/mcr179</w:t>
        </w:r>
      </w:hyperlink>
    </w:p>
    <w:p w14:paraId="47EE9C6C"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Mistry, C. R., Kathiria, K. B., Sabolu, S., &amp; Kumar, S. (2018). Heterosis and inbreeding depression for fruit yield attributing traits in eggplant. </w:t>
      </w:r>
      <w:r>
        <w:rPr>
          <w:rFonts w:ascii="Times New Roman" w:eastAsia="Times New Roman" w:hAnsi="Times New Roman" w:cs="Times New Roman"/>
          <w:i/>
          <w:iCs/>
          <w:sz w:val="24"/>
          <w:szCs w:val="24"/>
        </w:rPr>
        <w:t>Current Plant Biology, 16</w:t>
      </w:r>
      <w:r>
        <w:rPr>
          <w:rFonts w:ascii="Times New Roman" w:eastAsia="Times New Roman" w:hAnsi="Times New Roman" w:cs="Times New Roman"/>
          <w:sz w:val="24"/>
          <w:szCs w:val="24"/>
        </w:rPr>
        <w:t>, 27–31.</w:t>
      </w:r>
    </w:p>
    <w:p w14:paraId="27F3C30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Morelock, T. E. (1974). </w:t>
      </w:r>
      <w:r>
        <w:rPr>
          <w:rFonts w:ascii="Times New Roman" w:eastAsia="Times New Roman" w:hAnsi="Times New Roman" w:cs="Times New Roman"/>
          <w:i/>
          <w:iCs/>
          <w:sz w:val="24"/>
          <w:szCs w:val="24"/>
        </w:rPr>
        <w:t>Influence of cytoplasm source on the expression of male sterility in carrot (Daucus carota L.)</w:t>
      </w:r>
      <w:r>
        <w:rPr>
          <w:rFonts w:ascii="Times New Roman" w:eastAsia="Times New Roman" w:hAnsi="Times New Roman" w:cs="Times New Roman"/>
          <w:sz w:val="24"/>
          <w:szCs w:val="24"/>
        </w:rPr>
        <w:t xml:space="preserve"> [Doctoral dissertation, University of Wisconsin].</w:t>
      </w:r>
    </w:p>
    <w:p w14:paraId="4D8D138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Morelock, T. E., Simon, P. W., &amp; Peterson, C. E. (1996). Wisconsin Wild: Another petaloid male-sterile cytoplasm for carrot. </w:t>
      </w:r>
      <w:r>
        <w:rPr>
          <w:rFonts w:ascii="Times New Roman" w:eastAsia="Times New Roman" w:hAnsi="Times New Roman" w:cs="Times New Roman"/>
          <w:i/>
          <w:iCs/>
          <w:sz w:val="24"/>
          <w:szCs w:val="24"/>
        </w:rPr>
        <w:t>HortScience, 31</w:t>
      </w:r>
      <w:r>
        <w:rPr>
          <w:rFonts w:ascii="Times New Roman" w:eastAsia="Times New Roman" w:hAnsi="Times New Roman" w:cs="Times New Roman"/>
          <w:sz w:val="24"/>
          <w:szCs w:val="24"/>
        </w:rPr>
        <w:t>, 887–888.</w:t>
      </w:r>
    </w:p>
    <w:p w14:paraId="3832AF7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Muñoz-Sanz, J. V., Zuriaga, E., Cruz-García, F., McClure, B., &amp; Romero, C. (2020). Self-(in)compatibility systems: Target traits for crop-production, plant breeding, and biotechnology. </w:t>
      </w:r>
      <w:r>
        <w:rPr>
          <w:rFonts w:ascii="Times New Roman" w:eastAsia="Times New Roman" w:hAnsi="Times New Roman" w:cs="Times New Roman"/>
          <w:i/>
          <w:iCs/>
          <w:sz w:val="24"/>
          <w:szCs w:val="24"/>
        </w:rPr>
        <w:t>Frontiers in Plant Science, 11</w:t>
      </w:r>
      <w:r>
        <w:rPr>
          <w:rFonts w:ascii="Times New Roman" w:eastAsia="Times New Roman" w:hAnsi="Times New Roman" w:cs="Times New Roman"/>
          <w:sz w:val="24"/>
          <w:szCs w:val="24"/>
        </w:rPr>
        <w:t xml:space="preserve">, 195. </w:t>
      </w:r>
      <w:hyperlink r:id="rId22">
        <w:r>
          <w:rPr>
            <w:rFonts w:ascii="Times New Roman" w:eastAsia="Times New Roman" w:hAnsi="Times New Roman" w:cs="Times New Roman"/>
            <w:color w:val="0000FF"/>
            <w:sz w:val="24"/>
            <w:szCs w:val="24"/>
            <w:u w:val="single"/>
          </w:rPr>
          <w:t>https://doi.org/10.3389/fpls.2020.00195</w:t>
        </w:r>
      </w:hyperlink>
    </w:p>
    <w:p w14:paraId="0B81E2B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Murase, K., Iwano, M., Shiba, H., Isokawa, S., &amp; Takayama, S. (2024). Molecular mechanisms of self-incompatibility in Brassicaceae and Solanaceae. </w:t>
      </w:r>
      <w:r>
        <w:rPr>
          <w:rFonts w:ascii="Times New Roman" w:eastAsia="Times New Roman" w:hAnsi="Times New Roman" w:cs="Times New Roman"/>
          <w:i/>
          <w:iCs/>
          <w:sz w:val="24"/>
          <w:szCs w:val="24"/>
        </w:rPr>
        <w:t>Current Opinion in Plant Biology, 79</w:t>
      </w:r>
      <w:r>
        <w:rPr>
          <w:rFonts w:ascii="Times New Roman" w:eastAsia="Times New Roman" w:hAnsi="Times New Roman" w:cs="Times New Roman"/>
          <w:sz w:val="24"/>
          <w:szCs w:val="24"/>
        </w:rPr>
        <w:t>, 102541.</w:t>
      </w:r>
    </w:p>
    <w:p w14:paraId="10E242D9"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Muthuselvi, R., &amp; Praneetha, S. (2019). Molecular basis of self-incompatibility in vegetable crops. </w:t>
      </w:r>
      <w:r>
        <w:rPr>
          <w:rFonts w:ascii="Times New Roman" w:eastAsia="Times New Roman" w:hAnsi="Times New Roman" w:cs="Times New Roman"/>
          <w:i/>
          <w:iCs/>
          <w:sz w:val="24"/>
          <w:szCs w:val="24"/>
        </w:rPr>
        <w:t>International Journal of Chemical Studies, 7</w:t>
      </w:r>
      <w:r>
        <w:rPr>
          <w:rFonts w:ascii="Times New Roman" w:eastAsia="Times New Roman" w:hAnsi="Times New Roman" w:cs="Times New Roman"/>
          <w:sz w:val="24"/>
          <w:szCs w:val="24"/>
        </w:rPr>
        <w:t>, 506–510.</w:t>
      </w:r>
    </w:p>
    <w:p w14:paraId="532B283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Nasrallah, B. J., &amp; Nasrallah, M. E. (1993). Pollen stigma signaling in the sporophytic self incompatibility response. </w:t>
      </w:r>
      <w:r>
        <w:rPr>
          <w:rFonts w:ascii="Times New Roman" w:eastAsia="Times New Roman" w:hAnsi="Times New Roman" w:cs="Times New Roman"/>
          <w:i/>
          <w:iCs/>
          <w:sz w:val="24"/>
          <w:szCs w:val="24"/>
        </w:rPr>
        <w:t>The Plant Cell, 5</w:t>
      </w:r>
      <w:r>
        <w:rPr>
          <w:rFonts w:ascii="Times New Roman" w:eastAsia="Times New Roman" w:hAnsi="Times New Roman" w:cs="Times New Roman"/>
          <w:sz w:val="24"/>
          <w:szCs w:val="24"/>
        </w:rPr>
        <w:t>, 1325–1335.</w:t>
      </w:r>
    </w:p>
    <w:p w14:paraId="39B1C3D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Nieuwhof, M. (1990). Cytoplasmic-genetic male sterility in radish (</w:t>
      </w:r>
      <w:r>
        <w:rPr>
          <w:rFonts w:ascii="Times New Roman" w:eastAsia="Times New Roman" w:hAnsi="Times New Roman" w:cs="Times New Roman"/>
          <w:i/>
          <w:iCs/>
          <w:sz w:val="24"/>
          <w:szCs w:val="24"/>
        </w:rPr>
        <w:t>Raphanus sativus</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Euphytica, 47</w:t>
      </w:r>
      <w:r>
        <w:rPr>
          <w:rFonts w:ascii="Times New Roman" w:eastAsia="Times New Roman" w:hAnsi="Times New Roman" w:cs="Times New Roman"/>
          <w:sz w:val="24"/>
          <w:szCs w:val="24"/>
        </w:rPr>
        <w:t>, 171–177.</w:t>
      </w:r>
    </w:p>
    <w:p w14:paraId="73B288A9"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Ogura, H. (1968). Studies on the new male-sterility in Japanese radish with special reference to the utilisation of this sterility towards the practical raising of hybrid seed. </w:t>
      </w:r>
      <w:r>
        <w:rPr>
          <w:rFonts w:ascii="Times New Roman" w:eastAsia="Times New Roman" w:hAnsi="Times New Roman" w:cs="Times New Roman"/>
          <w:i/>
          <w:iCs/>
          <w:sz w:val="24"/>
          <w:szCs w:val="24"/>
        </w:rPr>
        <w:t>Memoirs of the Faculty of Agriculture, Kagoshima University, 6</w:t>
      </w:r>
      <w:r>
        <w:rPr>
          <w:rFonts w:ascii="Times New Roman" w:eastAsia="Times New Roman" w:hAnsi="Times New Roman" w:cs="Times New Roman"/>
          <w:sz w:val="24"/>
          <w:szCs w:val="24"/>
        </w:rPr>
        <w:t>, 39–78.</w:t>
      </w:r>
    </w:p>
    <w:p w14:paraId="2331A3C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Patel, A. A., Gohil, D. P., Dhruve, J. J., &amp; Damor, H. I. (2017). Heterosis for fruit yield and its quality characters in brinjal (</w:t>
      </w:r>
      <w:r>
        <w:rPr>
          <w:rFonts w:ascii="Times New Roman" w:eastAsia="Times New Roman" w:hAnsi="Times New Roman" w:cs="Times New Roman"/>
          <w:i/>
          <w:iCs/>
          <w:sz w:val="24"/>
          <w:szCs w:val="24"/>
        </w:rPr>
        <w:t>Solanum melongena</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Journal of Pharmacognosy and Phytochemistry, 6</w:t>
      </w:r>
      <w:r>
        <w:rPr>
          <w:rFonts w:ascii="Times New Roman" w:eastAsia="Times New Roman" w:hAnsi="Times New Roman" w:cs="Times New Roman"/>
          <w:sz w:val="24"/>
          <w:szCs w:val="24"/>
        </w:rPr>
        <w:t>, 975–978.</w:t>
      </w:r>
    </w:p>
    <w:p w14:paraId="4264977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Patil, S. D., Warade, S. D., &amp; Badgujar, C. D. (2001). Heterosis studies in brinjal (</w:t>
      </w:r>
      <w:r>
        <w:rPr>
          <w:rFonts w:ascii="Times New Roman" w:eastAsia="Times New Roman" w:hAnsi="Times New Roman" w:cs="Times New Roman"/>
          <w:i/>
          <w:iCs/>
          <w:sz w:val="24"/>
          <w:szCs w:val="24"/>
        </w:rPr>
        <w:t>Solanum melongena</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Journal of Soils and Crops, 11</w:t>
      </w:r>
      <w:r>
        <w:rPr>
          <w:rFonts w:ascii="Times New Roman" w:eastAsia="Times New Roman" w:hAnsi="Times New Roman" w:cs="Times New Roman"/>
          <w:sz w:val="24"/>
          <w:szCs w:val="24"/>
        </w:rPr>
        <w:t>, 47–51.</w:t>
      </w:r>
    </w:p>
    <w:p w14:paraId="281323A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Pearson, O. H. (1981). Nature of cytoplasmic male sterility and its application in crop improvement. </w:t>
      </w:r>
      <w:r>
        <w:rPr>
          <w:rFonts w:ascii="Times New Roman" w:eastAsia="Times New Roman" w:hAnsi="Times New Roman" w:cs="Times New Roman"/>
          <w:i/>
          <w:iCs/>
          <w:sz w:val="24"/>
          <w:szCs w:val="24"/>
        </w:rPr>
        <w:t>Horticultural Reviews, 3</w:t>
      </w:r>
      <w:r>
        <w:rPr>
          <w:rFonts w:ascii="Times New Roman" w:eastAsia="Times New Roman" w:hAnsi="Times New Roman" w:cs="Times New Roman"/>
          <w:sz w:val="24"/>
          <w:szCs w:val="24"/>
        </w:rPr>
        <w:t xml:space="preserve">, 1–38. </w:t>
      </w:r>
      <w:hyperlink r:id="rId23">
        <w:r>
          <w:rPr>
            <w:rFonts w:ascii="Times New Roman" w:eastAsia="Times New Roman" w:hAnsi="Times New Roman" w:cs="Times New Roman"/>
            <w:color w:val="0000FF"/>
            <w:sz w:val="24"/>
            <w:szCs w:val="24"/>
            <w:u w:val="single"/>
          </w:rPr>
          <w:t>https://doi.org/10.1002/9781118060759.ch1</w:t>
        </w:r>
      </w:hyperlink>
    </w:p>
    <w:p w14:paraId="014B370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Pearson, O. H. (1983). Heterosis in vegetable crops. In R. Frankel (Ed.), </w:t>
      </w:r>
      <w:r>
        <w:rPr>
          <w:rFonts w:ascii="Times New Roman" w:eastAsia="Times New Roman" w:hAnsi="Times New Roman" w:cs="Times New Roman"/>
          <w:i/>
          <w:iCs/>
          <w:sz w:val="24"/>
          <w:szCs w:val="24"/>
        </w:rPr>
        <w:t>Heterosis. Monographs on theoretical and applied genetics</w:t>
      </w:r>
      <w:r>
        <w:rPr>
          <w:rFonts w:ascii="Times New Roman" w:eastAsia="Times New Roman" w:hAnsi="Times New Roman" w:cs="Times New Roman"/>
          <w:sz w:val="24"/>
          <w:szCs w:val="24"/>
        </w:rPr>
        <w:t xml:space="preserve"> (Vol. 6, pp. 139–188). Springer-Verlag.</w:t>
      </w:r>
    </w:p>
    <w:p w14:paraId="3D89CE7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Pelletier, G., Budar, F., &amp; others. (1995). Cytoplasmic male sterility in plants: Molecular basis and applications in hybrid seed production. </w:t>
      </w:r>
      <w:r>
        <w:rPr>
          <w:rFonts w:ascii="Times New Roman" w:eastAsia="Times New Roman" w:hAnsi="Times New Roman" w:cs="Times New Roman"/>
          <w:i/>
          <w:iCs/>
          <w:sz w:val="24"/>
          <w:szCs w:val="24"/>
        </w:rPr>
        <w:t>Trends in Genetics, 11</w:t>
      </w:r>
      <w:r>
        <w:rPr>
          <w:rFonts w:ascii="Times New Roman" w:eastAsia="Times New Roman" w:hAnsi="Times New Roman" w:cs="Times New Roman"/>
          <w:sz w:val="24"/>
          <w:szCs w:val="24"/>
        </w:rPr>
        <w:t xml:space="preserve">(12), 496–501. </w:t>
      </w:r>
      <w:hyperlink r:id="rId24">
        <w:r>
          <w:rPr>
            <w:rFonts w:ascii="Times New Roman" w:eastAsia="Times New Roman" w:hAnsi="Times New Roman" w:cs="Times New Roman"/>
            <w:color w:val="0000FF"/>
            <w:sz w:val="24"/>
            <w:szCs w:val="24"/>
            <w:u w:val="single"/>
          </w:rPr>
          <w:t>https://doi.org/10.1016/S0168-9525(00)89122-7</w:t>
        </w:r>
      </w:hyperlink>
    </w:p>
    <w:p w14:paraId="6AC2B8C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Pelletier, G., Férault, M., Lancelin, D., Boulidard, L., Dore, C., Bonhomme, S., ... &amp; Budar, F. (1995). Engineering of cytoplasmic male sterility in vegetables by protoplast fusion. </w:t>
      </w:r>
      <w:r>
        <w:rPr>
          <w:rFonts w:ascii="Times New Roman" w:eastAsia="Times New Roman" w:hAnsi="Times New Roman" w:cs="Times New Roman"/>
          <w:i/>
          <w:iCs/>
          <w:sz w:val="24"/>
          <w:szCs w:val="24"/>
        </w:rPr>
        <w:t>Acta Horticulturae, 392</w:t>
      </w:r>
      <w:r>
        <w:rPr>
          <w:rFonts w:ascii="Times New Roman" w:eastAsia="Times New Roman" w:hAnsi="Times New Roman" w:cs="Times New Roman"/>
          <w:sz w:val="24"/>
          <w:szCs w:val="24"/>
        </w:rPr>
        <w:t>, 11–17.</w:t>
      </w:r>
    </w:p>
    <w:p w14:paraId="4B37477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Peterson, C. E., &amp; Simon, P. W. (1986). Carrot breeding. In M. J. Bassett (Ed.), </w:t>
      </w:r>
      <w:r>
        <w:rPr>
          <w:rFonts w:ascii="Times New Roman" w:eastAsia="Times New Roman" w:hAnsi="Times New Roman" w:cs="Times New Roman"/>
          <w:i/>
          <w:iCs/>
          <w:sz w:val="24"/>
          <w:szCs w:val="24"/>
        </w:rPr>
        <w:t>Breeding vegetable crops</w:t>
      </w:r>
      <w:r>
        <w:rPr>
          <w:rFonts w:ascii="Times New Roman" w:eastAsia="Times New Roman" w:hAnsi="Times New Roman" w:cs="Times New Roman"/>
          <w:sz w:val="24"/>
          <w:szCs w:val="24"/>
        </w:rPr>
        <w:t xml:space="preserve"> (pp. 321–356). AVI Publishing.</w:t>
      </w:r>
    </w:p>
    <w:p w14:paraId="22BC86C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Peterson, P. A. (1958). Cytoplasmically inherited male sterility in </w:t>
      </w:r>
      <w:r>
        <w:rPr>
          <w:rFonts w:ascii="Times New Roman" w:eastAsia="Times New Roman" w:hAnsi="Times New Roman" w:cs="Times New Roman"/>
          <w:i/>
          <w:iCs/>
          <w:sz w:val="24"/>
          <w:szCs w:val="24"/>
        </w:rPr>
        <w:t>Capsicum</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The American Naturalist, 92</w:t>
      </w:r>
      <w:r>
        <w:rPr>
          <w:rFonts w:ascii="Times New Roman" w:eastAsia="Times New Roman" w:hAnsi="Times New Roman" w:cs="Times New Roman"/>
          <w:sz w:val="24"/>
          <w:szCs w:val="24"/>
        </w:rPr>
        <w:t>, 111–119.</w:t>
      </w:r>
    </w:p>
    <w:p w14:paraId="358B5A22"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Pitchaimuthu, M., Muthuraman, S., &amp; Saraswathi, T. (2012). Genetic male sterility and its utilization in hybrid seed production in okra (</w:t>
      </w:r>
      <w:r>
        <w:rPr>
          <w:rFonts w:ascii="Times New Roman" w:eastAsia="Times New Roman" w:hAnsi="Times New Roman" w:cs="Times New Roman"/>
          <w:i/>
          <w:iCs/>
          <w:sz w:val="24"/>
          <w:szCs w:val="24"/>
        </w:rPr>
        <w:t>Abelmoschus esculentus</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Vegetable Science, 39</w:t>
      </w:r>
      <w:r>
        <w:rPr>
          <w:rFonts w:ascii="Times New Roman" w:eastAsia="Times New Roman" w:hAnsi="Times New Roman" w:cs="Times New Roman"/>
          <w:sz w:val="24"/>
          <w:szCs w:val="24"/>
        </w:rPr>
        <w:t>(1), 1–7.</w:t>
      </w:r>
    </w:p>
    <w:p w14:paraId="3E0D9C0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Prakash, S., Bhat, S. R., &amp; Fu, T. D. (2009). Wild germplasm and male sterility. In S. K. Gupta (Ed.), </w:t>
      </w:r>
      <w:r>
        <w:rPr>
          <w:rFonts w:ascii="Times New Roman" w:eastAsia="Times New Roman" w:hAnsi="Times New Roman" w:cs="Times New Roman"/>
          <w:i/>
          <w:iCs/>
          <w:sz w:val="24"/>
          <w:szCs w:val="24"/>
        </w:rPr>
        <w:t>Biology and breeding of crucifers</w:t>
      </w:r>
      <w:r>
        <w:rPr>
          <w:rFonts w:ascii="Times New Roman" w:eastAsia="Times New Roman" w:hAnsi="Times New Roman" w:cs="Times New Roman"/>
          <w:sz w:val="24"/>
          <w:szCs w:val="24"/>
        </w:rPr>
        <w:t xml:space="preserve"> (pp. 113–135). CRC Press.</w:t>
      </w:r>
    </w:p>
    <w:p w14:paraId="2B276B92"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Rajeswari, K. S., &amp; Natarajan, S. (1999). Studies on heterosis for growth, yield and quality parameters in bitter gourd (</w:t>
      </w:r>
      <w:r>
        <w:rPr>
          <w:rFonts w:ascii="Times New Roman" w:eastAsia="Times New Roman" w:hAnsi="Times New Roman" w:cs="Times New Roman"/>
          <w:i/>
          <w:iCs/>
          <w:sz w:val="24"/>
          <w:szCs w:val="24"/>
        </w:rPr>
        <w:t>Momordica charantia</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South Indian Horticulture, 47</w:t>
      </w:r>
      <w:r>
        <w:rPr>
          <w:rFonts w:ascii="Times New Roman" w:eastAsia="Times New Roman" w:hAnsi="Times New Roman" w:cs="Times New Roman"/>
          <w:sz w:val="24"/>
          <w:szCs w:val="24"/>
        </w:rPr>
        <w:t>(1-6), 208–209.</w:t>
      </w:r>
    </w:p>
    <w:p w14:paraId="22568E4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Ramya, A. R., Ahamed, M., Satyavathi, C. T., Rathore, A., Katiyar, P., Raj, A. G., ... &amp; Yadav, R. (2018). Towards defining heterotic gene pools in pearl millet [</w:t>
      </w:r>
      <w:r>
        <w:rPr>
          <w:rFonts w:ascii="Times New Roman" w:eastAsia="Times New Roman" w:hAnsi="Times New Roman" w:cs="Times New Roman"/>
          <w:i/>
          <w:iCs/>
          <w:sz w:val="24"/>
          <w:szCs w:val="24"/>
        </w:rPr>
        <w:t>Pennisetum glaucum</w:t>
      </w:r>
      <w:r>
        <w:rPr>
          <w:rFonts w:ascii="Times New Roman" w:eastAsia="Times New Roman" w:hAnsi="Times New Roman" w:cs="Times New Roman"/>
          <w:sz w:val="24"/>
          <w:szCs w:val="24"/>
        </w:rPr>
        <w:t xml:space="preserve"> (L.) R. Br.]. </w:t>
      </w:r>
      <w:r>
        <w:rPr>
          <w:rFonts w:ascii="Times New Roman" w:eastAsia="Times New Roman" w:hAnsi="Times New Roman" w:cs="Times New Roman"/>
          <w:i/>
          <w:iCs/>
          <w:sz w:val="24"/>
          <w:szCs w:val="24"/>
        </w:rPr>
        <w:t>Frontiers in Plant Science, 8</w:t>
      </w:r>
      <w:r>
        <w:rPr>
          <w:rFonts w:ascii="Times New Roman" w:eastAsia="Times New Roman" w:hAnsi="Times New Roman" w:cs="Times New Roman"/>
          <w:sz w:val="24"/>
          <w:szCs w:val="24"/>
        </w:rPr>
        <w:t>, 1934.</w:t>
      </w:r>
    </w:p>
    <w:p w14:paraId="6D9C927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Robinson, R. W., &amp; Decker-Walters, D. S. (1997). </w:t>
      </w:r>
      <w:r>
        <w:rPr>
          <w:rFonts w:ascii="Times New Roman" w:eastAsia="Times New Roman" w:hAnsi="Times New Roman" w:cs="Times New Roman"/>
          <w:i/>
          <w:iCs/>
          <w:sz w:val="24"/>
          <w:szCs w:val="24"/>
        </w:rPr>
        <w:t>Cucurbits</w:t>
      </w:r>
      <w:r>
        <w:rPr>
          <w:rFonts w:ascii="Times New Roman" w:eastAsia="Times New Roman" w:hAnsi="Times New Roman" w:cs="Times New Roman"/>
          <w:sz w:val="24"/>
          <w:szCs w:val="24"/>
        </w:rPr>
        <w:t>. CAB International.</w:t>
      </w:r>
    </w:p>
    <w:p w14:paraId="2AAB5E7C"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Ronfort, J., Saumitou-Laprade, P., Cuguen, J., &amp; Couvet, D. (1995). Mitochondrial DNA diversity and male sterility in natural populations of </w:t>
      </w:r>
      <w:r>
        <w:rPr>
          <w:rFonts w:ascii="Times New Roman" w:eastAsia="Times New Roman" w:hAnsi="Times New Roman" w:cs="Times New Roman"/>
          <w:i/>
          <w:iCs/>
          <w:sz w:val="24"/>
          <w:szCs w:val="24"/>
        </w:rPr>
        <w:t>Daucus carota</w:t>
      </w:r>
      <w:r>
        <w:rPr>
          <w:rFonts w:ascii="Times New Roman" w:eastAsia="Times New Roman" w:hAnsi="Times New Roman" w:cs="Times New Roman"/>
          <w:sz w:val="24"/>
          <w:szCs w:val="24"/>
        </w:rPr>
        <w:t xml:space="preserve"> ssp. </w:t>
      </w:r>
      <w:r>
        <w:rPr>
          <w:rFonts w:ascii="Times New Roman" w:eastAsia="Times New Roman" w:hAnsi="Times New Roman" w:cs="Times New Roman"/>
          <w:i/>
          <w:iCs/>
          <w:sz w:val="24"/>
          <w:szCs w:val="24"/>
        </w:rPr>
        <w:t>carota</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Theoretical and Applied Genetics, 91</w:t>
      </w:r>
      <w:r>
        <w:rPr>
          <w:rFonts w:ascii="Times New Roman" w:eastAsia="Times New Roman" w:hAnsi="Times New Roman" w:cs="Times New Roman"/>
          <w:sz w:val="24"/>
          <w:szCs w:val="24"/>
        </w:rPr>
        <w:t>, 150–157.</w:t>
      </w:r>
    </w:p>
    <w:p w14:paraId="0B5475B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Russell, S. D. (1980). Transmission of mitochondria in pollen of </w:t>
      </w:r>
      <w:r>
        <w:rPr>
          <w:rFonts w:ascii="Times New Roman" w:eastAsia="Times New Roman" w:hAnsi="Times New Roman" w:cs="Times New Roman"/>
          <w:i/>
          <w:iCs/>
          <w:sz w:val="24"/>
          <w:szCs w:val="24"/>
        </w:rPr>
        <w:t>Plumbago zeylanica</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Science, 210</w:t>
      </w:r>
      <w:r>
        <w:rPr>
          <w:rFonts w:ascii="Times New Roman" w:eastAsia="Times New Roman" w:hAnsi="Times New Roman" w:cs="Times New Roman"/>
          <w:sz w:val="24"/>
          <w:szCs w:val="24"/>
        </w:rPr>
        <w:t>(4473), 200–201.</w:t>
      </w:r>
    </w:p>
    <w:p w14:paraId="4234CFF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Sato, Y. (1998). Identification of a mitochondrial DNA marker associated with cytoplasmic male sterility in onion. </w:t>
      </w:r>
      <w:r>
        <w:rPr>
          <w:rFonts w:ascii="Times New Roman" w:eastAsia="Times New Roman" w:hAnsi="Times New Roman" w:cs="Times New Roman"/>
          <w:i/>
          <w:iCs/>
          <w:sz w:val="24"/>
          <w:szCs w:val="24"/>
        </w:rPr>
        <w:t>Theoretical and Applied Genetics, 96</w:t>
      </w:r>
      <w:r>
        <w:rPr>
          <w:rFonts w:ascii="Times New Roman" w:eastAsia="Times New Roman" w:hAnsi="Times New Roman" w:cs="Times New Roman"/>
          <w:sz w:val="24"/>
          <w:szCs w:val="24"/>
        </w:rPr>
        <w:t>, 45–50.</w:t>
      </w:r>
    </w:p>
    <w:p w14:paraId="7F19F79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Sawhney, V. K. (1983). Temperature control of male sterility in a tomato mutant. </w:t>
      </w:r>
      <w:r>
        <w:rPr>
          <w:rFonts w:ascii="Times New Roman" w:eastAsia="Times New Roman" w:hAnsi="Times New Roman" w:cs="Times New Roman"/>
          <w:i/>
          <w:iCs/>
          <w:sz w:val="24"/>
          <w:szCs w:val="24"/>
        </w:rPr>
        <w:t>Journal of Heredity, 74</w:t>
      </w:r>
      <w:r>
        <w:rPr>
          <w:rFonts w:ascii="Times New Roman" w:eastAsia="Times New Roman" w:hAnsi="Times New Roman" w:cs="Times New Roman"/>
          <w:sz w:val="24"/>
          <w:szCs w:val="24"/>
        </w:rPr>
        <w:t xml:space="preserve">(1), 51–54. </w:t>
      </w:r>
      <w:hyperlink r:id="rId25">
        <w:r>
          <w:rPr>
            <w:rFonts w:ascii="Times New Roman" w:eastAsia="Times New Roman" w:hAnsi="Times New Roman" w:cs="Times New Roman"/>
            <w:color w:val="0000FF"/>
            <w:sz w:val="24"/>
            <w:szCs w:val="24"/>
            <w:u w:val="single"/>
          </w:rPr>
          <w:t>https://doi.org/10.1093/oxfordjournals.jhered.a109715</w:t>
        </w:r>
      </w:hyperlink>
    </w:p>
    <w:p w14:paraId="223C27AF"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Sawhney, V. K. (1997). Genic male sterility in tomato: Molecular and developmental aspects. </w:t>
      </w:r>
      <w:r>
        <w:rPr>
          <w:rFonts w:ascii="Times New Roman" w:eastAsia="Times New Roman" w:hAnsi="Times New Roman" w:cs="Times New Roman"/>
          <w:i/>
          <w:iCs/>
          <w:sz w:val="24"/>
          <w:szCs w:val="24"/>
        </w:rPr>
        <w:t>Plant Breeding Reviews, 15</w:t>
      </w:r>
      <w:r>
        <w:rPr>
          <w:rFonts w:ascii="Times New Roman" w:eastAsia="Times New Roman" w:hAnsi="Times New Roman" w:cs="Times New Roman"/>
          <w:sz w:val="24"/>
          <w:szCs w:val="24"/>
        </w:rPr>
        <w:t>, 1–29.</w:t>
      </w:r>
    </w:p>
    <w:p w14:paraId="78CB378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Scheike, R., Gerold, E., Brennicke, A., Mehring-Lemper, M., &amp; Wricke, G. (1992). Unique patterns of mitochondrial genes, transcripts and proteins in different male sterile cytoplasms of </w:t>
      </w:r>
      <w:r>
        <w:rPr>
          <w:rFonts w:ascii="Times New Roman" w:eastAsia="Times New Roman" w:hAnsi="Times New Roman" w:cs="Times New Roman"/>
          <w:i/>
          <w:iCs/>
          <w:sz w:val="24"/>
          <w:szCs w:val="24"/>
        </w:rPr>
        <w:t>Daucus carota</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Theoretical and Applied Genetics, 83</w:t>
      </w:r>
      <w:r>
        <w:rPr>
          <w:rFonts w:ascii="Times New Roman" w:eastAsia="Times New Roman" w:hAnsi="Times New Roman" w:cs="Times New Roman"/>
          <w:sz w:val="24"/>
          <w:szCs w:val="24"/>
        </w:rPr>
        <w:t>, 419–427.</w:t>
      </w:r>
    </w:p>
    <w:p w14:paraId="271DC61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Schnable, P. S., &amp; Springer, N. M. (2013). Progress toward understanding heterosis in crop plants. </w:t>
      </w:r>
      <w:r>
        <w:rPr>
          <w:rFonts w:ascii="Times New Roman" w:eastAsia="Times New Roman" w:hAnsi="Times New Roman" w:cs="Times New Roman"/>
          <w:i/>
          <w:iCs/>
          <w:sz w:val="24"/>
          <w:szCs w:val="24"/>
        </w:rPr>
        <w:t>Annual Review of Plant Biology, 64</w:t>
      </w:r>
      <w:r>
        <w:rPr>
          <w:rFonts w:ascii="Times New Roman" w:eastAsia="Times New Roman" w:hAnsi="Times New Roman" w:cs="Times New Roman"/>
          <w:sz w:val="24"/>
          <w:szCs w:val="24"/>
        </w:rPr>
        <w:t>, 71–88.</w:t>
      </w:r>
    </w:p>
    <w:p w14:paraId="3C44C24F"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Schreinemachers, P., Simmons, E. B., &amp; Wopereis, M. C. S. (2018). Tapping the economic and nutritional power of vegetables. </w:t>
      </w:r>
      <w:r>
        <w:rPr>
          <w:rFonts w:ascii="Times New Roman" w:eastAsia="Times New Roman" w:hAnsi="Times New Roman" w:cs="Times New Roman"/>
          <w:i/>
          <w:iCs/>
          <w:sz w:val="24"/>
          <w:szCs w:val="24"/>
        </w:rPr>
        <w:t>Global Food Security, 16</w:t>
      </w:r>
      <w:r>
        <w:rPr>
          <w:rFonts w:ascii="Times New Roman" w:eastAsia="Times New Roman" w:hAnsi="Times New Roman" w:cs="Times New Roman"/>
          <w:sz w:val="24"/>
          <w:szCs w:val="24"/>
        </w:rPr>
        <w:t>, 36–45.</w:t>
      </w:r>
    </w:p>
    <w:p w14:paraId="34DF30C2"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Schweisguth, B. (1973). Étude génétique de la restauration de la fertilité dans le cytoplasme mâle stérile de type T chez l’oignon. </w:t>
      </w:r>
      <w:r>
        <w:rPr>
          <w:rFonts w:ascii="Times New Roman" w:eastAsia="Times New Roman" w:hAnsi="Times New Roman" w:cs="Times New Roman"/>
          <w:i/>
          <w:iCs/>
          <w:sz w:val="24"/>
          <w:szCs w:val="24"/>
        </w:rPr>
        <w:t>Annales de l'Amélioration des Plantes, 23</w:t>
      </w:r>
      <w:r>
        <w:rPr>
          <w:rFonts w:ascii="Times New Roman" w:eastAsia="Times New Roman" w:hAnsi="Times New Roman" w:cs="Times New Roman"/>
          <w:sz w:val="24"/>
          <w:szCs w:val="24"/>
        </w:rPr>
        <w:t>, 221–233.</w:t>
      </w:r>
    </w:p>
    <w:p w14:paraId="715E571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Shahjahan, M., Kabir, K., Zomo, S. A., Sarkar, M. D., &amp; Fazlullah, M. U. (2016). Evaluation of heterosis in exotic eggplant. </w:t>
      </w:r>
      <w:r>
        <w:rPr>
          <w:rFonts w:ascii="Times New Roman" w:eastAsia="Times New Roman" w:hAnsi="Times New Roman" w:cs="Times New Roman"/>
          <w:i/>
          <w:iCs/>
          <w:sz w:val="24"/>
          <w:szCs w:val="24"/>
        </w:rPr>
        <w:t>International Journal of Environmental and Agriculture Research, 2</w:t>
      </w:r>
      <w:r>
        <w:rPr>
          <w:rFonts w:ascii="Times New Roman" w:eastAsia="Times New Roman" w:hAnsi="Times New Roman" w:cs="Times New Roman"/>
          <w:sz w:val="24"/>
          <w:szCs w:val="24"/>
        </w:rPr>
        <w:t>(1), 23–32.</w:t>
      </w:r>
    </w:p>
    <w:p w14:paraId="4B3F2A2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Shull, G. (1952). Beginnings of the heterosis concept. In J. W. Gowen (Ed.), </w:t>
      </w:r>
      <w:r>
        <w:rPr>
          <w:rFonts w:ascii="Times New Roman" w:eastAsia="Times New Roman" w:hAnsi="Times New Roman" w:cs="Times New Roman"/>
          <w:i/>
          <w:iCs/>
          <w:sz w:val="24"/>
          <w:szCs w:val="24"/>
        </w:rPr>
        <w:t>Heterosis: A record of researches directed toward explaining and utilizing the vigor of hybrids</w:t>
      </w:r>
      <w:r>
        <w:rPr>
          <w:rFonts w:ascii="Times New Roman" w:eastAsia="Times New Roman" w:hAnsi="Times New Roman" w:cs="Times New Roman"/>
          <w:sz w:val="24"/>
          <w:szCs w:val="24"/>
        </w:rPr>
        <w:t>. Iowa State College Press.</w:t>
      </w:r>
    </w:p>
    <w:p w14:paraId="5140E12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Singh, B. D. (2005). </w:t>
      </w:r>
      <w:r>
        <w:rPr>
          <w:rFonts w:ascii="Times New Roman" w:eastAsia="Times New Roman" w:hAnsi="Times New Roman" w:cs="Times New Roman"/>
          <w:i/>
          <w:iCs/>
          <w:sz w:val="24"/>
          <w:szCs w:val="24"/>
        </w:rPr>
        <w:t>Plant breeding: Principles and methods</w:t>
      </w:r>
      <w:r>
        <w:rPr>
          <w:rFonts w:ascii="Times New Roman" w:eastAsia="Times New Roman" w:hAnsi="Times New Roman" w:cs="Times New Roman"/>
          <w:sz w:val="24"/>
          <w:szCs w:val="24"/>
        </w:rPr>
        <w:t xml:space="preserve"> (7th ed.). Kalyani Publishers.</w:t>
      </w:r>
    </w:p>
    <w:p w14:paraId="410962FD"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Singh, B., &amp; Kumar, N. (1988). Studies on hybrid vigour and combining ability in brinjal (</w:t>
      </w:r>
      <w:r>
        <w:rPr>
          <w:rFonts w:ascii="Times New Roman" w:eastAsia="Times New Roman" w:hAnsi="Times New Roman" w:cs="Times New Roman"/>
          <w:i/>
          <w:iCs/>
          <w:sz w:val="24"/>
          <w:szCs w:val="24"/>
        </w:rPr>
        <w:t>Solanum melongena</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Vegetable Science, 15</w:t>
      </w:r>
      <w:r>
        <w:rPr>
          <w:rFonts w:ascii="Times New Roman" w:eastAsia="Times New Roman" w:hAnsi="Times New Roman" w:cs="Times New Roman"/>
          <w:sz w:val="24"/>
          <w:szCs w:val="24"/>
        </w:rPr>
        <w:t>, 72–78.</w:t>
      </w:r>
    </w:p>
    <w:p w14:paraId="2027600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Singh, B., Prasanna, H. C., Singh, P. M., Pandey, S., Kumar, R., Mishra, G. P., ... &amp; Singh, B. K. (2017). Harnessing heterosis in vegetable crops: A means for achieving high productivity and profitability. In </w:t>
      </w:r>
      <w:r>
        <w:rPr>
          <w:rFonts w:ascii="Times New Roman" w:eastAsia="Times New Roman" w:hAnsi="Times New Roman" w:cs="Times New Roman"/>
          <w:i/>
          <w:iCs/>
          <w:sz w:val="24"/>
          <w:szCs w:val="24"/>
        </w:rPr>
        <w:t>Doubling Farmers Income Through Horticulture</w:t>
      </w:r>
      <w:r>
        <w:rPr>
          <w:rFonts w:ascii="Times New Roman" w:eastAsia="Times New Roman" w:hAnsi="Times New Roman" w:cs="Times New Roman"/>
          <w:sz w:val="24"/>
          <w:szCs w:val="24"/>
        </w:rPr>
        <w:t xml:space="preserve"> (pp. 263–278). Astral International.</w:t>
      </w:r>
    </w:p>
    <w:p w14:paraId="219A9C8B"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Singh, H., Sekhon, B. S., Kumar, P., Dhall, R. K., Devi, R., Dhillon, T. S., ... &amp; Ntatsi, G. (2023). Genetic mechanisms for hybrid breeding in vegetable crops. </w:t>
      </w:r>
      <w:r>
        <w:rPr>
          <w:rFonts w:ascii="Times New Roman" w:eastAsia="Times New Roman" w:hAnsi="Times New Roman" w:cs="Times New Roman"/>
          <w:i/>
          <w:iCs/>
          <w:sz w:val="24"/>
          <w:szCs w:val="24"/>
        </w:rPr>
        <w:t>Plants, 12</w:t>
      </w:r>
      <w:r>
        <w:rPr>
          <w:rFonts w:ascii="Times New Roman" w:eastAsia="Times New Roman" w:hAnsi="Times New Roman" w:cs="Times New Roman"/>
          <w:sz w:val="24"/>
          <w:szCs w:val="24"/>
        </w:rPr>
        <w:t xml:space="preserve">(12), 2294. </w:t>
      </w:r>
      <w:hyperlink r:id="rId26">
        <w:r>
          <w:rPr>
            <w:rFonts w:ascii="Times New Roman" w:eastAsia="Times New Roman" w:hAnsi="Times New Roman" w:cs="Times New Roman"/>
            <w:color w:val="0000FF"/>
            <w:sz w:val="24"/>
            <w:szCs w:val="24"/>
            <w:u w:val="single"/>
          </w:rPr>
          <w:t>https://doi.org/10.3390/plants12122294</w:t>
        </w:r>
      </w:hyperlink>
    </w:p>
    <w:p w14:paraId="4374515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Singh, P. K. (2000). Utilization and seed production of hybrid vegetable varieties in India. </w:t>
      </w:r>
      <w:r>
        <w:rPr>
          <w:rFonts w:ascii="Times New Roman" w:eastAsia="Times New Roman" w:hAnsi="Times New Roman" w:cs="Times New Roman"/>
          <w:i/>
          <w:iCs/>
          <w:sz w:val="24"/>
          <w:szCs w:val="24"/>
        </w:rPr>
        <w:t>Journal of New Seeds, 2</w:t>
      </w:r>
      <w:r>
        <w:rPr>
          <w:rFonts w:ascii="Times New Roman" w:eastAsia="Times New Roman" w:hAnsi="Times New Roman" w:cs="Times New Roman"/>
          <w:sz w:val="24"/>
          <w:szCs w:val="24"/>
        </w:rPr>
        <w:t>(4), 37–42.</w:t>
      </w:r>
    </w:p>
    <w:p w14:paraId="6061766E"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Singh, P. K., Tripathi, SK., &amp; Somani, K. V. (2001). Hybrid seed production of radish (</w:t>
      </w:r>
      <w:r>
        <w:rPr>
          <w:rFonts w:ascii="Times New Roman" w:eastAsia="Times New Roman" w:hAnsi="Times New Roman" w:cs="Times New Roman"/>
          <w:i/>
          <w:iCs/>
          <w:sz w:val="24"/>
          <w:szCs w:val="24"/>
        </w:rPr>
        <w:t>Raphanus sativus</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Journal of New Seeds, 3</w:t>
      </w:r>
      <w:r>
        <w:rPr>
          <w:rFonts w:ascii="Times New Roman" w:eastAsia="Times New Roman" w:hAnsi="Times New Roman" w:cs="Times New Roman"/>
          <w:sz w:val="24"/>
          <w:szCs w:val="24"/>
        </w:rPr>
        <w:t>(4), 51–58.</w:t>
      </w:r>
    </w:p>
    <w:p w14:paraId="16095585"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Sobotka, R., Sakova, L., &amp; Curn, V. (2000). Molecular mechanisms of self-incompatibility in </w:t>
      </w:r>
      <w:r>
        <w:rPr>
          <w:rFonts w:ascii="Times New Roman" w:eastAsia="Times New Roman" w:hAnsi="Times New Roman" w:cs="Times New Roman"/>
          <w:i/>
          <w:iCs/>
          <w:sz w:val="24"/>
          <w:szCs w:val="24"/>
        </w:rPr>
        <w:t>Brassica</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Current Issues in Molecular Biology, 2</w:t>
      </w:r>
      <w:r>
        <w:rPr>
          <w:rFonts w:ascii="Times New Roman" w:eastAsia="Times New Roman" w:hAnsi="Times New Roman" w:cs="Times New Roman"/>
          <w:sz w:val="24"/>
          <w:szCs w:val="24"/>
        </w:rPr>
        <w:t>(4), 103–112.</w:t>
      </w:r>
    </w:p>
    <w:p w14:paraId="7F2296F2"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Stout, A. B. (1917). Self-incompatibility in </w:t>
      </w:r>
      <w:r>
        <w:rPr>
          <w:rFonts w:ascii="Times New Roman" w:eastAsia="Times New Roman" w:hAnsi="Times New Roman" w:cs="Times New Roman"/>
          <w:i/>
          <w:iCs/>
          <w:sz w:val="24"/>
          <w:szCs w:val="24"/>
        </w:rPr>
        <w:t>Eschscholzia californica</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American Journal of Botany, 4</w:t>
      </w:r>
      <w:r>
        <w:rPr>
          <w:rFonts w:ascii="Times New Roman" w:eastAsia="Times New Roman" w:hAnsi="Times New Roman" w:cs="Times New Roman"/>
          <w:sz w:val="24"/>
          <w:szCs w:val="24"/>
        </w:rPr>
        <w:t xml:space="preserve">(7), 377–395. </w:t>
      </w:r>
      <w:hyperlink r:id="rId27">
        <w:r>
          <w:rPr>
            <w:rFonts w:ascii="Times New Roman" w:eastAsia="Times New Roman" w:hAnsi="Times New Roman" w:cs="Times New Roman"/>
            <w:color w:val="0000FF"/>
            <w:sz w:val="24"/>
            <w:szCs w:val="24"/>
            <w:u w:val="single"/>
          </w:rPr>
          <w:t>https://doi.org/10.2307/2435017</w:t>
        </w:r>
      </w:hyperlink>
    </w:p>
    <w:p w14:paraId="6D05B4A0"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Struckmeyer, E., &amp; Simon, P. W. (1986). Anatomy of fertile and male-sterile carrot flowers from different genetic sources. </w:t>
      </w:r>
      <w:r>
        <w:rPr>
          <w:rFonts w:ascii="Times New Roman" w:eastAsia="Times New Roman" w:hAnsi="Times New Roman" w:cs="Times New Roman"/>
          <w:i/>
          <w:iCs/>
          <w:sz w:val="24"/>
          <w:szCs w:val="24"/>
        </w:rPr>
        <w:t>Journal of the American Society for Horticultural Science, 111</w:t>
      </w:r>
      <w:r>
        <w:rPr>
          <w:rFonts w:ascii="Times New Roman" w:eastAsia="Times New Roman" w:hAnsi="Times New Roman" w:cs="Times New Roman"/>
          <w:sz w:val="24"/>
          <w:szCs w:val="24"/>
        </w:rPr>
        <w:t>, 965–968.</w:t>
      </w:r>
    </w:p>
    <w:p w14:paraId="0EEF61ED"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 Y. W., Zhao, S. Y., Zhang, Y. J., Zhou, T. D., Hi, Q. W., Shi, H. L., ... &amp; Lang, F. Q. (1995). Study on morphocytology of microsporogenesis in male sterile line of radish (</w:t>
      </w:r>
      <w:r>
        <w:rPr>
          <w:rFonts w:ascii="Times New Roman" w:eastAsia="Times New Roman" w:hAnsi="Times New Roman" w:cs="Times New Roman"/>
          <w:i/>
          <w:iCs/>
          <w:sz w:val="24"/>
          <w:szCs w:val="24"/>
        </w:rPr>
        <w:t>Raphanus sativus</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Acta Horticulturae, 402</w:t>
      </w:r>
      <w:r>
        <w:rPr>
          <w:rFonts w:ascii="Times New Roman" w:eastAsia="Times New Roman" w:hAnsi="Times New Roman" w:cs="Times New Roman"/>
          <w:sz w:val="24"/>
          <w:szCs w:val="24"/>
        </w:rPr>
        <w:t>, 173–178.</w:t>
      </w:r>
    </w:p>
    <w:p w14:paraId="108C880F"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Takayama, S., &amp; Isogai, A. (2005). Self-incompatibility in flowering plants. </w:t>
      </w:r>
      <w:r>
        <w:rPr>
          <w:rFonts w:ascii="Times New Roman" w:eastAsia="Times New Roman" w:hAnsi="Times New Roman" w:cs="Times New Roman"/>
          <w:i/>
          <w:iCs/>
          <w:sz w:val="24"/>
          <w:szCs w:val="24"/>
        </w:rPr>
        <w:t>Annual Review of Plant Biology, 56</w:t>
      </w:r>
      <w:r>
        <w:rPr>
          <w:rFonts w:ascii="Times New Roman" w:eastAsia="Times New Roman" w:hAnsi="Times New Roman" w:cs="Times New Roman"/>
          <w:sz w:val="24"/>
          <w:szCs w:val="24"/>
        </w:rPr>
        <w:t xml:space="preserve">, 467–489. </w:t>
      </w:r>
      <w:hyperlink r:id="rId28">
        <w:r>
          <w:rPr>
            <w:rFonts w:ascii="Times New Roman" w:eastAsia="Times New Roman" w:hAnsi="Times New Roman" w:cs="Times New Roman"/>
            <w:color w:val="0000FF"/>
            <w:sz w:val="24"/>
            <w:szCs w:val="24"/>
            <w:u w:val="single"/>
          </w:rPr>
          <w:t>https://doi.org/10.1146/annurev.arplant.56.032604.144249</w:t>
        </w:r>
      </w:hyperlink>
    </w:p>
    <w:p w14:paraId="7A4C5B72"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Thakur, A., Sharma, P., Jyoti, A., Nissa, K., &amp; Kanwar, R. (2024). Hybrid Seed Production. </w:t>
      </w:r>
      <w:r>
        <w:rPr>
          <w:rFonts w:ascii="Times New Roman" w:eastAsia="Times New Roman" w:hAnsi="Times New Roman" w:cs="Times New Roman"/>
          <w:i/>
          <w:iCs/>
          <w:sz w:val="24"/>
          <w:szCs w:val="24"/>
        </w:rPr>
        <w:t>Elements of Plant Breeding</w:t>
      </w:r>
      <w:r>
        <w:rPr>
          <w:rFonts w:ascii="Times New Roman" w:eastAsia="Times New Roman" w:hAnsi="Times New Roman" w:cs="Times New Roman"/>
          <w:sz w:val="24"/>
          <w:szCs w:val="24"/>
        </w:rPr>
        <w:t xml:space="preserve">, 63–73. </w:t>
      </w:r>
      <w:hyperlink r:id="rId29">
        <w:r>
          <w:rPr>
            <w:rFonts w:ascii="Times New Roman" w:eastAsia="Times New Roman" w:hAnsi="Times New Roman" w:cs="Times New Roman"/>
            <w:color w:val="0000FF"/>
            <w:sz w:val="24"/>
            <w:szCs w:val="24"/>
            <w:u w:val="single"/>
          </w:rPr>
          <w:t>https://doi.org/10.58532/nbennurch221</w:t>
        </w:r>
      </w:hyperlink>
    </w:p>
    <w:p w14:paraId="5E5D26DD"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Thompson, D. J. (1961). Studies of the inheritance of male sterility in carrot (</w:t>
      </w:r>
      <w:r>
        <w:rPr>
          <w:rFonts w:ascii="Times New Roman" w:eastAsia="Times New Roman" w:hAnsi="Times New Roman" w:cs="Times New Roman"/>
          <w:i/>
          <w:iCs/>
          <w:sz w:val="24"/>
          <w:szCs w:val="24"/>
        </w:rPr>
        <w:t>Daucus carota</w:t>
      </w:r>
      <w:r>
        <w:rPr>
          <w:rFonts w:ascii="Times New Roman" w:eastAsia="Times New Roman" w:hAnsi="Times New Roman" w:cs="Times New Roman"/>
          <w:sz w:val="24"/>
          <w:szCs w:val="24"/>
        </w:rPr>
        <w:t xml:space="preserve"> var. </w:t>
      </w:r>
      <w:r>
        <w:rPr>
          <w:rFonts w:ascii="Times New Roman" w:eastAsia="Times New Roman" w:hAnsi="Times New Roman" w:cs="Times New Roman"/>
          <w:i/>
          <w:iCs/>
          <w:sz w:val="24"/>
          <w:szCs w:val="24"/>
        </w:rPr>
        <w:t>sativa</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Proceedings of the American Society for Horticultural Science, 78</w:t>
      </w:r>
      <w:r>
        <w:rPr>
          <w:rFonts w:ascii="Times New Roman" w:eastAsia="Times New Roman" w:hAnsi="Times New Roman" w:cs="Times New Roman"/>
          <w:sz w:val="24"/>
          <w:szCs w:val="24"/>
        </w:rPr>
        <w:t>, 332–338.</w:t>
      </w:r>
    </w:p>
    <w:p w14:paraId="36A8CF44"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Tokumasu, S. (1951). Male sterility in Japanese radish (</w:t>
      </w:r>
      <w:r>
        <w:rPr>
          <w:rFonts w:ascii="Times New Roman" w:eastAsia="Times New Roman" w:hAnsi="Times New Roman" w:cs="Times New Roman"/>
          <w:i/>
          <w:iCs/>
          <w:sz w:val="24"/>
          <w:szCs w:val="24"/>
        </w:rPr>
        <w:t>Raphanus sativus</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Science Bulletin of the Faculty of Agriculture, Kyushu University, 13</w:t>
      </w:r>
      <w:r>
        <w:rPr>
          <w:rFonts w:ascii="Times New Roman" w:eastAsia="Times New Roman" w:hAnsi="Times New Roman" w:cs="Times New Roman"/>
          <w:sz w:val="24"/>
          <w:szCs w:val="24"/>
        </w:rPr>
        <w:t>, 83–89.</w:t>
      </w:r>
    </w:p>
    <w:p w14:paraId="05243B8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Van Der Meer, Q. P. (1969). Genetic and environmental effects on male sterility in onion (</w:t>
      </w:r>
      <w:r>
        <w:rPr>
          <w:rFonts w:ascii="Times New Roman" w:eastAsia="Times New Roman" w:hAnsi="Times New Roman" w:cs="Times New Roman"/>
          <w:i/>
          <w:iCs/>
          <w:sz w:val="24"/>
          <w:szCs w:val="24"/>
        </w:rPr>
        <w:t>Allium cepa</w:t>
      </w:r>
      <w:r>
        <w:rPr>
          <w:rFonts w:ascii="Times New Roman" w:eastAsia="Times New Roman" w:hAnsi="Times New Roman" w:cs="Times New Roman"/>
          <w:sz w:val="24"/>
          <w:szCs w:val="24"/>
        </w:rPr>
        <w:t xml:space="preserve"> L.). </w:t>
      </w:r>
      <w:r>
        <w:rPr>
          <w:rFonts w:ascii="Times New Roman" w:eastAsia="Times New Roman" w:hAnsi="Times New Roman" w:cs="Times New Roman"/>
          <w:i/>
          <w:iCs/>
          <w:sz w:val="24"/>
          <w:szCs w:val="24"/>
        </w:rPr>
        <w:t>Euphytica, 18</w:t>
      </w:r>
      <w:r>
        <w:rPr>
          <w:rFonts w:ascii="Times New Roman" w:eastAsia="Times New Roman" w:hAnsi="Times New Roman" w:cs="Times New Roman"/>
          <w:sz w:val="24"/>
          <w:szCs w:val="24"/>
        </w:rPr>
        <w:t>, 389–394.</w:t>
      </w:r>
    </w:p>
    <w:p w14:paraId="5A0C32A9"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Varshney, R. K., Sinha, P., Singh, V. K., Kumar, A., Zhang, Q., &amp; Bennetzen, J. L. (2021). 5Gs for crop genetic improvement. </w:t>
      </w:r>
      <w:r>
        <w:rPr>
          <w:rFonts w:ascii="Times New Roman" w:eastAsia="Times New Roman" w:hAnsi="Times New Roman" w:cs="Times New Roman"/>
          <w:i/>
          <w:iCs/>
          <w:sz w:val="24"/>
          <w:szCs w:val="24"/>
        </w:rPr>
        <w:t>Current Opinion in Plant Biology, 60</w:t>
      </w:r>
      <w:r>
        <w:rPr>
          <w:rFonts w:ascii="Times New Roman" w:eastAsia="Times New Roman" w:hAnsi="Times New Roman" w:cs="Times New Roman"/>
          <w:sz w:val="24"/>
          <w:szCs w:val="24"/>
        </w:rPr>
        <w:t xml:space="preserve">, 101959. </w:t>
      </w:r>
      <w:hyperlink r:id="rId30">
        <w:r>
          <w:rPr>
            <w:rFonts w:ascii="Times New Roman" w:eastAsia="Times New Roman" w:hAnsi="Times New Roman" w:cs="Times New Roman"/>
            <w:color w:val="0000FF"/>
            <w:sz w:val="24"/>
            <w:szCs w:val="24"/>
            <w:u w:val="single"/>
          </w:rPr>
          <w:t>https://doi.org/10.1016/j.pbi.2020.101959</w:t>
        </w:r>
      </w:hyperlink>
    </w:p>
    <w:p w14:paraId="210052F7"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Vasupalli, N., Mogilicherla, K., Shaik, V., Rao, K. R. S. S., Bhat, S. R., &amp; Lin, X. (2025). Advances in plant male sterility for hybrid seed production: An overview of conditional nuclear male sterile lines and biotechnology-based male sterile systems. </w:t>
      </w:r>
      <w:r>
        <w:rPr>
          <w:rFonts w:ascii="Times New Roman" w:eastAsia="Times New Roman" w:hAnsi="Times New Roman" w:cs="Times New Roman"/>
          <w:i/>
          <w:iCs/>
          <w:sz w:val="24"/>
          <w:szCs w:val="24"/>
        </w:rPr>
        <w:t>Frontiers in Plant Science, 16</w:t>
      </w:r>
      <w:r>
        <w:rPr>
          <w:rFonts w:ascii="Times New Roman" w:eastAsia="Times New Roman" w:hAnsi="Times New Roman" w:cs="Times New Roman"/>
          <w:sz w:val="24"/>
          <w:szCs w:val="24"/>
        </w:rPr>
        <w:t xml:space="preserve">(1540693). </w:t>
      </w:r>
      <w:hyperlink r:id="rId31">
        <w:r>
          <w:rPr>
            <w:rFonts w:ascii="Times New Roman" w:eastAsia="Times New Roman" w:hAnsi="Times New Roman" w:cs="Times New Roman"/>
            <w:color w:val="0000FF"/>
            <w:sz w:val="24"/>
            <w:szCs w:val="24"/>
            <w:u w:val="single"/>
          </w:rPr>
          <w:t>https://doi.org/10.3389/fpls.2025.1540693</w:t>
        </w:r>
      </w:hyperlink>
    </w:p>
    <w:p w14:paraId="247B91D8"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Verma, S. K., Anokhe, A., Singh, A., Kumar, R., Kumari, S., &amp; Debbarma, R. (2018). Self-incompatibility—A mechanism for controlled pollination in vegetable crops. </w:t>
      </w:r>
      <w:r>
        <w:rPr>
          <w:rFonts w:ascii="Times New Roman" w:eastAsia="Times New Roman" w:hAnsi="Times New Roman" w:cs="Times New Roman"/>
          <w:i/>
          <w:iCs/>
          <w:sz w:val="24"/>
          <w:szCs w:val="24"/>
        </w:rPr>
        <w:t>International Journal of Current Microbiology and Applied Sciences, 7</w:t>
      </w:r>
      <w:r>
        <w:rPr>
          <w:rFonts w:ascii="Times New Roman" w:eastAsia="Times New Roman" w:hAnsi="Times New Roman" w:cs="Times New Roman"/>
          <w:sz w:val="24"/>
          <w:szCs w:val="24"/>
        </w:rPr>
        <w:t>(5), 4602–4607.</w:t>
      </w:r>
    </w:p>
    <w:p w14:paraId="3396C337"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Wang, F., Li, Y., Li, G., &amp; Chen, S. (2023). Genetic components of self-incompatibility in Brassica vegetables. </w:t>
      </w:r>
      <w:r>
        <w:rPr>
          <w:rFonts w:ascii="Times New Roman" w:eastAsia="Times New Roman" w:hAnsi="Times New Roman" w:cs="Times New Roman"/>
          <w:i/>
          <w:iCs/>
          <w:sz w:val="24"/>
          <w:szCs w:val="24"/>
        </w:rPr>
        <w:t>Horticulturae, 9</w:t>
      </w:r>
      <w:r>
        <w:rPr>
          <w:rFonts w:ascii="Times New Roman" w:eastAsia="Times New Roman" w:hAnsi="Times New Roman" w:cs="Times New Roman"/>
          <w:sz w:val="24"/>
          <w:szCs w:val="24"/>
        </w:rPr>
        <w:t>(2), 265.</w:t>
      </w:r>
    </w:p>
    <w:p w14:paraId="39CBF437"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Watanabe, M., Suwabe, K., &amp; Suzuki, G. (2012). Molecular genetics, physiology and biology of self-incompatibility in Brassicaceae. </w:t>
      </w:r>
      <w:r>
        <w:rPr>
          <w:rFonts w:ascii="Times New Roman" w:eastAsia="Times New Roman" w:hAnsi="Times New Roman" w:cs="Times New Roman"/>
          <w:i/>
          <w:iCs/>
          <w:sz w:val="24"/>
          <w:szCs w:val="24"/>
        </w:rPr>
        <w:t>Proceedings of the Japan Academy, Series B, 88</w:t>
      </w:r>
      <w:r>
        <w:rPr>
          <w:rFonts w:ascii="Times New Roman" w:eastAsia="Times New Roman" w:hAnsi="Times New Roman" w:cs="Times New Roman"/>
          <w:sz w:val="24"/>
          <w:szCs w:val="24"/>
        </w:rPr>
        <w:t xml:space="preserve">(9), 519–535. </w:t>
      </w:r>
      <w:hyperlink r:id="rId32">
        <w:r>
          <w:rPr>
            <w:rFonts w:ascii="Times New Roman" w:eastAsia="Times New Roman" w:hAnsi="Times New Roman" w:cs="Times New Roman"/>
            <w:color w:val="0000FF"/>
            <w:sz w:val="24"/>
            <w:szCs w:val="24"/>
            <w:u w:val="single"/>
          </w:rPr>
          <w:t>https://doi.org/10.2183/pjab.88.519</w:t>
        </w:r>
      </w:hyperlink>
    </w:p>
    <w:p w14:paraId="6064B6A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Welch, J. E., &amp; Grimball, E. L., Jr. (1947). Male sterility in the carrot. </w:t>
      </w:r>
      <w:r>
        <w:rPr>
          <w:rFonts w:ascii="Times New Roman" w:eastAsia="Times New Roman" w:hAnsi="Times New Roman" w:cs="Times New Roman"/>
          <w:i/>
          <w:iCs/>
          <w:sz w:val="24"/>
          <w:szCs w:val="24"/>
        </w:rPr>
        <w:t>Science, 106</w:t>
      </w:r>
      <w:r>
        <w:rPr>
          <w:rFonts w:ascii="Times New Roman" w:eastAsia="Times New Roman" w:hAnsi="Times New Roman" w:cs="Times New Roman"/>
          <w:sz w:val="24"/>
          <w:szCs w:val="24"/>
        </w:rPr>
        <w:t>, 594.</w:t>
      </w:r>
    </w:p>
    <w:p w14:paraId="12BFE1E3"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Williams, J. S., Wu, L., Li, S., Sun, P., &amp; Kao, T. H. (2015). Insight into S-RNase-based self-incompatibility in </w:t>
      </w:r>
      <w:r>
        <w:rPr>
          <w:rFonts w:ascii="Times New Roman" w:eastAsia="Times New Roman" w:hAnsi="Times New Roman" w:cs="Times New Roman"/>
          <w:i/>
          <w:iCs/>
          <w:sz w:val="24"/>
          <w:szCs w:val="24"/>
        </w:rPr>
        <w:t>Petunia</w:t>
      </w:r>
      <w:r>
        <w:rPr>
          <w:rFonts w:ascii="Times New Roman" w:eastAsia="Times New Roman" w:hAnsi="Times New Roman" w:cs="Times New Roman"/>
          <w:sz w:val="24"/>
          <w:szCs w:val="24"/>
        </w:rPr>
        <w:t xml:space="preserve">: Recent findings and future directions. </w:t>
      </w:r>
      <w:r>
        <w:rPr>
          <w:rFonts w:ascii="Times New Roman" w:eastAsia="Times New Roman" w:hAnsi="Times New Roman" w:cs="Times New Roman"/>
          <w:i/>
          <w:iCs/>
          <w:sz w:val="24"/>
          <w:szCs w:val="24"/>
        </w:rPr>
        <w:t>Frontiers in Plant Science, 6</w:t>
      </w:r>
      <w:r>
        <w:rPr>
          <w:rFonts w:ascii="Times New Roman" w:eastAsia="Times New Roman" w:hAnsi="Times New Roman" w:cs="Times New Roman"/>
          <w:sz w:val="24"/>
          <w:szCs w:val="24"/>
        </w:rPr>
        <w:t xml:space="preserve">, 41. </w:t>
      </w:r>
      <w:hyperlink r:id="rId33">
        <w:r>
          <w:rPr>
            <w:rFonts w:ascii="Times New Roman" w:eastAsia="Times New Roman" w:hAnsi="Times New Roman" w:cs="Times New Roman"/>
            <w:color w:val="0000FF"/>
            <w:sz w:val="24"/>
            <w:szCs w:val="24"/>
            <w:u w:val="single"/>
          </w:rPr>
          <w:t>https://doi.org/10.3389/fpls.2015.00041</w:t>
        </w:r>
      </w:hyperlink>
    </w:p>
    <w:p w14:paraId="6649844D"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Williams, M. E., Foster, R., &amp; Drews, G. N. (1997). Genetic control of male gametophyte development in flowering plants. </w:t>
      </w:r>
      <w:r>
        <w:rPr>
          <w:rFonts w:ascii="Times New Roman" w:eastAsia="Times New Roman" w:hAnsi="Times New Roman" w:cs="Times New Roman"/>
          <w:i/>
          <w:iCs/>
          <w:sz w:val="24"/>
          <w:szCs w:val="24"/>
        </w:rPr>
        <w:t>The Plant Cell, 9</w:t>
      </w:r>
      <w:r>
        <w:rPr>
          <w:rFonts w:ascii="Times New Roman" w:eastAsia="Times New Roman" w:hAnsi="Times New Roman" w:cs="Times New Roman"/>
          <w:sz w:val="24"/>
          <w:szCs w:val="24"/>
        </w:rPr>
        <w:t>(10), 1731–1746.</w:t>
      </w:r>
    </w:p>
    <w:p w14:paraId="2D6558B6"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Xu, F., Yang, X., Zhao, N., Hu, Z., Mackenzie, S. A., Zhang, M., &amp; Yang, J. (2022). Exploiting sterility and fertility variation in cytoplasmic male sterile vegetable crops. </w:t>
      </w:r>
      <w:r>
        <w:rPr>
          <w:rFonts w:ascii="Times New Roman" w:eastAsia="Times New Roman" w:hAnsi="Times New Roman" w:cs="Times New Roman"/>
          <w:i/>
          <w:iCs/>
          <w:sz w:val="24"/>
          <w:szCs w:val="24"/>
        </w:rPr>
        <w:t>Horticulture Research, 9</w:t>
      </w:r>
      <w:r>
        <w:rPr>
          <w:rFonts w:ascii="Times New Roman" w:eastAsia="Times New Roman" w:hAnsi="Times New Roman" w:cs="Times New Roman"/>
          <w:sz w:val="24"/>
          <w:szCs w:val="24"/>
        </w:rPr>
        <w:t xml:space="preserve">, uhab039. </w:t>
      </w:r>
      <w:hyperlink r:id="rId34">
        <w:r>
          <w:rPr>
            <w:rFonts w:ascii="Times New Roman" w:eastAsia="Times New Roman" w:hAnsi="Times New Roman" w:cs="Times New Roman"/>
            <w:color w:val="0000FF"/>
            <w:sz w:val="24"/>
            <w:szCs w:val="24"/>
            <w:u w:val="single"/>
          </w:rPr>
          <w:t>https://doi.org/10.1093/hr/uhab039</w:t>
        </w:r>
      </w:hyperlink>
    </w:p>
    <w:p w14:paraId="240916AF"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Xue, Y., Zhang, D., &amp; Mu, J. (2025). S-RNase-based self-incompatibility in angiosperms. </w:t>
      </w:r>
      <w:r>
        <w:rPr>
          <w:rFonts w:ascii="Times New Roman" w:eastAsia="Times New Roman" w:hAnsi="Times New Roman" w:cs="Times New Roman"/>
          <w:i/>
          <w:iCs/>
          <w:sz w:val="24"/>
          <w:szCs w:val="24"/>
        </w:rPr>
        <w:t>Plant Physiology, 199</w:t>
      </w:r>
      <w:r>
        <w:rPr>
          <w:rFonts w:ascii="Times New Roman" w:eastAsia="Times New Roman" w:hAnsi="Times New Roman" w:cs="Times New Roman"/>
          <w:sz w:val="24"/>
          <w:szCs w:val="24"/>
        </w:rPr>
        <w:t xml:space="preserve">(1), kiaf360. </w:t>
      </w:r>
      <w:hyperlink r:id="rId35">
        <w:r>
          <w:rPr>
            <w:rFonts w:ascii="Times New Roman" w:eastAsia="Times New Roman" w:hAnsi="Times New Roman" w:cs="Times New Roman"/>
            <w:color w:val="0000FF"/>
            <w:sz w:val="24"/>
            <w:szCs w:val="24"/>
            <w:u w:val="single"/>
          </w:rPr>
          <w:t>https://doi.org/10.1093/plphys/kiaf360</w:t>
        </w:r>
      </w:hyperlink>
    </w:p>
    <w:p w14:paraId="0BB805E1"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Yamagishi, H., &amp; Terachi, T. (1997). Molecular and biological studies on male sterile cytoplasm in Cruciferae IV. Ogura-type cytoplasm found in the wild radish, </w:t>
      </w:r>
      <w:r>
        <w:rPr>
          <w:rFonts w:ascii="Times New Roman" w:eastAsia="Times New Roman" w:hAnsi="Times New Roman" w:cs="Times New Roman"/>
          <w:i/>
          <w:iCs/>
          <w:sz w:val="24"/>
          <w:szCs w:val="24"/>
        </w:rPr>
        <w:t>Raphanus raphanistrum</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Plant Breeding, 116</w:t>
      </w:r>
      <w:r>
        <w:rPr>
          <w:rFonts w:ascii="Times New Roman" w:eastAsia="Times New Roman" w:hAnsi="Times New Roman" w:cs="Times New Roman"/>
          <w:sz w:val="24"/>
          <w:szCs w:val="24"/>
        </w:rPr>
        <w:t>, 323–329.</w:t>
      </w:r>
    </w:p>
    <w:p w14:paraId="2DC63519" w14:textId="77777777" w:rsidR="003D6891" w:rsidRDefault="00447E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Yamamoto, M., &amp; Nishio, T. (2014). Commonalities and differences between </w:t>
      </w:r>
      <w:r>
        <w:rPr>
          <w:rFonts w:ascii="Times New Roman" w:eastAsia="Times New Roman" w:hAnsi="Times New Roman" w:cs="Times New Roman"/>
          <w:i/>
          <w:iCs/>
          <w:sz w:val="24"/>
          <w:szCs w:val="24"/>
        </w:rPr>
        <w:t>Brassica</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Arabidopsis</w:t>
      </w:r>
      <w:r>
        <w:rPr>
          <w:rFonts w:ascii="Times New Roman" w:eastAsia="Times New Roman" w:hAnsi="Times New Roman" w:cs="Times New Roman"/>
          <w:sz w:val="24"/>
          <w:szCs w:val="24"/>
        </w:rPr>
        <w:t xml:space="preserve"> self-incompatibility. </w:t>
      </w:r>
      <w:r>
        <w:rPr>
          <w:rFonts w:ascii="Times New Roman" w:eastAsia="Times New Roman" w:hAnsi="Times New Roman" w:cs="Times New Roman"/>
          <w:i/>
          <w:iCs/>
          <w:sz w:val="24"/>
          <w:szCs w:val="24"/>
        </w:rPr>
        <w:t>Frontiers in Plant Science, 5</w:t>
      </w:r>
      <w:r>
        <w:rPr>
          <w:rFonts w:ascii="Times New Roman" w:eastAsia="Times New Roman" w:hAnsi="Times New Roman" w:cs="Times New Roman"/>
          <w:sz w:val="24"/>
          <w:szCs w:val="24"/>
        </w:rPr>
        <w:t>, 638.</w:t>
      </w:r>
    </w:p>
    <w:p w14:paraId="27EFC7F1" w14:textId="77777777" w:rsidR="003D6891" w:rsidRDefault="003D6891">
      <w:pPr>
        <w:spacing w:line="360" w:lineRule="auto"/>
        <w:jc w:val="both"/>
        <w:rPr>
          <w:rFonts w:ascii="Times New Roman" w:eastAsia="Times New Roman" w:hAnsi="Times New Roman" w:cs="Times New Roman"/>
          <w:sz w:val="24"/>
          <w:szCs w:val="24"/>
        </w:rPr>
      </w:pPr>
    </w:p>
    <w:p w14:paraId="34D62372" w14:textId="77777777" w:rsidR="003D6891" w:rsidRDefault="003D6891">
      <w:pPr>
        <w:spacing w:line="360" w:lineRule="auto"/>
        <w:jc w:val="both"/>
        <w:rPr>
          <w:rFonts w:ascii="Times New Roman" w:eastAsia="Times New Roman" w:hAnsi="Times New Roman" w:cs="Times New Roman"/>
          <w:sz w:val="24"/>
          <w:szCs w:val="24"/>
        </w:rPr>
      </w:pPr>
    </w:p>
    <w:p w14:paraId="161A9D6A" w14:textId="77777777" w:rsidR="003D6891" w:rsidRDefault="003D6891">
      <w:pPr>
        <w:spacing w:line="360" w:lineRule="auto"/>
        <w:jc w:val="both"/>
        <w:rPr>
          <w:rFonts w:ascii="Times New Roman" w:eastAsia="Times New Roman" w:hAnsi="Times New Roman" w:cs="Times New Roman"/>
          <w:sz w:val="24"/>
          <w:szCs w:val="24"/>
        </w:rPr>
      </w:pPr>
    </w:p>
    <w:p w14:paraId="1615AC8C" w14:textId="77777777" w:rsidR="003D6891" w:rsidRDefault="003D6891">
      <w:pPr>
        <w:spacing w:line="360" w:lineRule="auto"/>
        <w:rPr>
          <w:b/>
          <w:bCs/>
          <w:sz w:val="24"/>
          <w:szCs w:val="24"/>
        </w:rPr>
      </w:pPr>
    </w:p>
    <w:p w14:paraId="588943CF" w14:textId="77777777" w:rsidR="003D6891" w:rsidRDefault="003D6891">
      <w:pPr>
        <w:spacing w:line="360" w:lineRule="auto"/>
        <w:rPr>
          <w:b/>
          <w:bCs/>
          <w:sz w:val="24"/>
          <w:szCs w:val="24"/>
        </w:rPr>
      </w:pPr>
    </w:p>
    <w:p w14:paraId="24FB4AF2" w14:textId="77777777" w:rsidR="003D6891" w:rsidRDefault="003D6891">
      <w:pPr>
        <w:spacing w:line="360" w:lineRule="auto"/>
        <w:jc w:val="both"/>
        <w:rPr>
          <w:rFonts w:ascii="Times New Roman" w:eastAsia="Times New Roman" w:hAnsi="Times New Roman" w:cs="Times New Roman"/>
          <w:sz w:val="24"/>
          <w:szCs w:val="24"/>
        </w:rPr>
      </w:pPr>
    </w:p>
    <w:p w14:paraId="5776EB39" w14:textId="77777777" w:rsidR="003D6891" w:rsidRDefault="003D6891">
      <w:pPr>
        <w:spacing w:line="360" w:lineRule="auto"/>
        <w:jc w:val="both"/>
        <w:rPr>
          <w:rFonts w:ascii="Times New Roman" w:eastAsia="Times New Roman" w:hAnsi="Times New Roman" w:cs="Times New Roman"/>
          <w:sz w:val="24"/>
          <w:szCs w:val="24"/>
        </w:rPr>
      </w:pPr>
    </w:p>
    <w:sectPr w:rsidR="003D6891">
      <w:headerReference w:type="even" r:id="rId36"/>
      <w:headerReference w:type="default" r:id="rId37"/>
      <w:footerReference w:type="even" r:id="rId38"/>
      <w:footerReference w:type="default" r:id="rId39"/>
      <w:headerReference w:type="first" r:id="rId40"/>
      <w:footerReference w:type="first" r:id="rId4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EAB12" w14:textId="77777777" w:rsidR="00926DB5" w:rsidRDefault="00926DB5" w:rsidP="004B2CC6">
      <w:pPr>
        <w:spacing w:after="0" w:line="240" w:lineRule="auto"/>
      </w:pPr>
      <w:r>
        <w:separator/>
      </w:r>
    </w:p>
  </w:endnote>
  <w:endnote w:type="continuationSeparator" w:id="0">
    <w:p w14:paraId="00C44621" w14:textId="77777777" w:rsidR="00926DB5" w:rsidRDefault="00926DB5" w:rsidP="004B2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BCFB6EA7-4CCF-4773-8BFD-7822CC4DE53F}"/>
    <w:embedBold r:id="rId2" w:fontKey="{E9957BBF-82FA-423B-98AF-E6E8BD1BAEF0}"/>
    <w:embedItalic r:id="rId3" w:fontKey="{D7A952FB-CC29-4256-9A17-DBE21A641FCD}"/>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CE247C01-87B0-436E-A54A-16E9C1443A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EDEF9" w14:textId="77777777" w:rsidR="004B2CC6" w:rsidRDefault="004B2C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86F4C" w14:textId="77777777" w:rsidR="004B2CC6" w:rsidRDefault="004B2C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C933" w14:textId="77777777" w:rsidR="004B2CC6" w:rsidRDefault="004B2C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3FCD8" w14:textId="77777777" w:rsidR="00926DB5" w:rsidRDefault="00926DB5" w:rsidP="004B2CC6">
      <w:pPr>
        <w:spacing w:after="0" w:line="240" w:lineRule="auto"/>
      </w:pPr>
      <w:r>
        <w:separator/>
      </w:r>
    </w:p>
  </w:footnote>
  <w:footnote w:type="continuationSeparator" w:id="0">
    <w:p w14:paraId="0FE88FE3" w14:textId="77777777" w:rsidR="00926DB5" w:rsidRDefault="00926DB5" w:rsidP="004B2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00FB5" w14:textId="5F3A7241" w:rsidR="004B2CC6" w:rsidRDefault="004B2CC6">
    <w:pPr>
      <w:pStyle w:val="Header"/>
    </w:pPr>
    <w:r>
      <w:rPr>
        <w:noProof/>
      </w:rPr>
      <w:pict w14:anchorId="60E8D4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057922" o:spid="_x0000_s1026" type="#_x0000_t136" style="position:absolute;margin-left:0;margin-top:0;width:535.3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8E375" w14:textId="61C72401" w:rsidR="004B2CC6" w:rsidRDefault="004B2CC6">
    <w:pPr>
      <w:pStyle w:val="Header"/>
    </w:pPr>
    <w:r>
      <w:rPr>
        <w:noProof/>
      </w:rPr>
      <w:pict w14:anchorId="658CB3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057923" o:spid="_x0000_s1027" type="#_x0000_t136" style="position:absolute;margin-left:0;margin-top:0;width:535.3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9EF8E" w14:textId="110E693D" w:rsidR="004B2CC6" w:rsidRDefault="004B2CC6">
    <w:pPr>
      <w:pStyle w:val="Header"/>
    </w:pPr>
    <w:r>
      <w:rPr>
        <w:noProof/>
      </w:rPr>
      <w:pict w14:anchorId="75BDE5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057921" o:spid="_x0000_s1025" type="#_x0000_t136" style="position:absolute;margin-left:0;margin-top:0;width:535.3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0689E"/>
    <w:multiLevelType w:val="multilevel"/>
    <w:tmpl w:val="7EA4C3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61476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891"/>
    <w:rsid w:val="0011602D"/>
    <w:rsid w:val="001B498F"/>
    <w:rsid w:val="002F4691"/>
    <w:rsid w:val="003B4E81"/>
    <w:rsid w:val="003D6891"/>
    <w:rsid w:val="004222E0"/>
    <w:rsid w:val="00447EBD"/>
    <w:rsid w:val="004B2CC6"/>
    <w:rsid w:val="004C58B6"/>
    <w:rsid w:val="00622BA4"/>
    <w:rsid w:val="00672065"/>
    <w:rsid w:val="00681A80"/>
    <w:rsid w:val="00683C0B"/>
    <w:rsid w:val="00751AE6"/>
    <w:rsid w:val="00781FEA"/>
    <w:rsid w:val="007D7F3C"/>
    <w:rsid w:val="00861E78"/>
    <w:rsid w:val="00865525"/>
    <w:rsid w:val="00870308"/>
    <w:rsid w:val="0088541F"/>
    <w:rsid w:val="008A26F1"/>
    <w:rsid w:val="00926DB5"/>
    <w:rsid w:val="00983C36"/>
    <w:rsid w:val="009D5F01"/>
    <w:rsid w:val="00B138EA"/>
    <w:rsid w:val="00B33035"/>
    <w:rsid w:val="00B60A9C"/>
    <w:rsid w:val="00BD233D"/>
    <w:rsid w:val="00C2004D"/>
    <w:rsid w:val="00C77592"/>
    <w:rsid w:val="00D9098F"/>
    <w:rsid w:val="00DD00A3"/>
    <w:rsid w:val="00E31801"/>
    <w:rsid w:val="00E754A3"/>
    <w:rsid w:val="00F47AB2"/>
    <w:rsid w:val="00FF228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54641"/>
  <w15:docId w15:val="{56B3BE7E-CE44-4AF0-954B-A45B9EF28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751AE6"/>
    <w:rPr>
      <w:color w:val="0000FF" w:themeColor="hyperlink"/>
      <w:u w:val="single"/>
    </w:rPr>
  </w:style>
  <w:style w:type="character" w:styleId="UnresolvedMention">
    <w:name w:val="Unresolved Mention"/>
    <w:basedOn w:val="DefaultParagraphFont"/>
    <w:uiPriority w:val="99"/>
    <w:semiHidden/>
    <w:unhideWhenUsed/>
    <w:rsid w:val="00751AE6"/>
    <w:rPr>
      <w:color w:val="605E5C"/>
      <w:shd w:val="clear" w:color="auto" w:fill="E1DFDD"/>
    </w:rPr>
  </w:style>
  <w:style w:type="paragraph" w:styleId="Header">
    <w:name w:val="header"/>
    <w:basedOn w:val="Normal"/>
    <w:link w:val="HeaderChar"/>
    <w:uiPriority w:val="99"/>
    <w:unhideWhenUsed/>
    <w:rsid w:val="004B2C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CC6"/>
  </w:style>
  <w:style w:type="paragraph" w:styleId="Footer">
    <w:name w:val="footer"/>
    <w:basedOn w:val="Normal"/>
    <w:link w:val="FooterChar"/>
    <w:uiPriority w:val="99"/>
    <w:unhideWhenUsed/>
    <w:rsid w:val="004B2C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C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3389/fgene.2023.1180083" TargetMode="External"/><Relationship Id="rId18" Type="http://schemas.openxmlformats.org/officeDocument/2006/relationships/hyperlink" Target="https://doi.org/10.1093/jxb/eraf309" TargetMode="External"/><Relationship Id="rId26" Type="http://schemas.openxmlformats.org/officeDocument/2006/relationships/hyperlink" Target="https://doi.org/10.3390/plants12122294" TargetMode="External"/><Relationship Id="rId39" Type="http://schemas.openxmlformats.org/officeDocument/2006/relationships/footer" Target="footer2.xml"/><Relationship Id="rId21" Type="http://schemas.openxmlformats.org/officeDocument/2006/relationships/hyperlink" Target="https://doi.org/10.1093/aob/mcr179" TargetMode="External"/><Relationship Id="rId34" Type="http://schemas.openxmlformats.org/officeDocument/2006/relationships/hyperlink" Target="https://doi.org/10.1093/hr/uhab039" TargetMode="Externa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007/BF00035338" TargetMode="External"/><Relationship Id="rId20" Type="http://schemas.openxmlformats.org/officeDocument/2006/relationships/hyperlink" Target="https://doi.org/10.2503/jjshs.67.583" TargetMode="External"/><Relationship Id="rId29" Type="http://schemas.openxmlformats.org/officeDocument/2006/relationships/hyperlink" Target="https://doi.org/10.58532/nbennurch221"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46/annurev-arplant-050213-040119" TargetMode="External"/><Relationship Id="rId24" Type="http://schemas.openxmlformats.org/officeDocument/2006/relationships/hyperlink" Target="https://doi.org/10.1016/S0168-9525(00)89122-7" TargetMode="External"/><Relationship Id="rId32" Type="http://schemas.openxmlformats.org/officeDocument/2006/relationships/hyperlink" Target="https://doi.org/10.2183/pjab.88.519"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doi.org/10.3389/fpls.2023.1223861" TargetMode="External"/><Relationship Id="rId23" Type="http://schemas.openxmlformats.org/officeDocument/2006/relationships/hyperlink" Target="https://doi.org/10.1002/9781118060759.ch1" TargetMode="External"/><Relationship Id="rId28" Type="http://schemas.openxmlformats.org/officeDocument/2006/relationships/hyperlink" Target="https://doi.org/10.1146/annurev.arplant.56.032604.144249" TargetMode="External"/><Relationship Id="rId36" Type="http://schemas.openxmlformats.org/officeDocument/2006/relationships/header" Target="header1.xml"/><Relationship Id="rId10" Type="http://schemas.openxmlformats.org/officeDocument/2006/relationships/hyperlink" Target="https://doi.org/10.1007/s00425-024-04532-w" TargetMode="External"/><Relationship Id="rId19" Type="http://schemas.openxmlformats.org/officeDocument/2006/relationships/hyperlink" Target="https://doi.org/10.1038/s41438-021-00676-y" TargetMode="External"/><Relationship Id="rId31" Type="http://schemas.openxmlformats.org/officeDocument/2006/relationships/hyperlink" Target="https://doi.org/10.3389/fpls.2025.1540693" TargetMode="External"/><Relationship Id="rId4" Type="http://schemas.openxmlformats.org/officeDocument/2006/relationships/webSettings" Target="webSettings.xml"/><Relationship Id="rId9" Type="http://schemas.openxmlformats.org/officeDocument/2006/relationships/hyperlink" Target="https://doi.org/10.1104/pp.16.01286" TargetMode="External"/><Relationship Id="rId14" Type="http://schemas.openxmlformats.org/officeDocument/2006/relationships/hyperlink" Target="https://doi.org/10.1007/s00425-024-04532-w" TargetMode="External"/><Relationship Id="rId22" Type="http://schemas.openxmlformats.org/officeDocument/2006/relationships/hyperlink" Target="https://doi.org/10.3389/fpls.2020.00195" TargetMode="External"/><Relationship Id="rId27" Type="http://schemas.openxmlformats.org/officeDocument/2006/relationships/hyperlink" Target="https://www.google.com/search?q=https://doi.org/10.2307/2435017" TargetMode="External"/><Relationship Id="rId30" Type="http://schemas.openxmlformats.org/officeDocument/2006/relationships/hyperlink" Target="https://doi.org/10.1016/j.pbi.2020.101959" TargetMode="External"/><Relationship Id="rId35" Type="http://schemas.openxmlformats.org/officeDocument/2006/relationships/hyperlink" Target="https://doi.org/10.1093/plphys/kiaf360" TargetMode="External"/><Relationship Id="rId43" Type="http://schemas.openxmlformats.org/officeDocument/2006/relationships/theme" Target="theme/theme1.xml"/><Relationship Id="rId8" Type="http://schemas.openxmlformats.org/officeDocument/2006/relationships/hyperlink" Target="https://doi.org/10.15835/nsb9410137" TargetMode="External"/><Relationship Id="rId3" Type="http://schemas.openxmlformats.org/officeDocument/2006/relationships/settings" Target="settings.xml"/><Relationship Id="rId12" Type="http://schemas.openxmlformats.org/officeDocument/2006/relationships/hyperlink" Target="https://doi.org/10.5402/2011/263508" TargetMode="External"/><Relationship Id="rId17" Type="http://schemas.openxmlformats.org/officeDocument/2006/relationships/hyperlink" Target="https://doi.org/10.1105/tpc.015966" TargetMode="External"/><Relationship Id="rId25" Type="http://schemas.openxmlformats.org/officeDocument/2006/relationships/hyperlink" Target="https://doi.org/10.1093/oxfordjournals.jhered.a109715" TargetMode="External"/><Relationship Id="rId33" Type="http://schemas.openxmlformats.org/officeDocument/2006/relationships/hyperlink" Target="https://doi.org/10.3389/fpls.2015.00041" TargetMode="External"/><Relationship Id="rId38"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42</Pages>
  <Words>14155</Words>
  <Characters>80689</Characters>
  <Application>Microsoft Office Word</Application>
  <DocSecurity>0</DocSecurity>
  <Lines>672</Lines>
  <Paragraphs>189</Paragraphs>
  <ScaleCrop>false</ScaleCrop>
  <Company/>
  <LinksUpToDate>false</LinksUpToDate>
  <CharactersWithSpaces>94655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ADITYA</dc:creator>
  <cp:lastModifiedBy>SDI 1084</cp:lastModifiedBy>
  <cp:revision>13</cp:revision>
  <dcterms:created xsi:type="dcterms:W3CDTF">2026-05-24T12:51:00Z</dcterms:created>
  <dcterms:modified xsi:type="dcterms:W3CDTF">2026-06-03T10:09:00Z</dcterms:modified>
</cp:coreProperties>
</file>