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26D05" w14:textId="77777777" w:rsidR="00A476CE" w:rsidRDefault="00A476CE">
      <w:pPr>
        <w:rPr>
          <w:rFonts w:ascii="Times New Roman" w:hAnsi="Times New Roman"/>
          <w:b/>
          <w:bCs/>
          <w:sz w:val="24"/>
          <w:szCs w:val="24"/>
        </w:rPr>
      </w:pPr>
    </w:p>
    <w:p w14:paraId="2E8DC608" w14:textId="77777777" w:rsidR="00784E8F" w:rsidRDefault="00784E8F">
      <w:pPr>
        <w:rPr>
          <w:rFonts w:ascii="Times New Roman" w:hAnsi="Times New Roman"/>
          <w:b/>
          <w:bCs/>
          <w:sz w:val="24"/>
          <w:szCs w:val="24"/>
        </w:rPr>
      </w:pPr>
    </w:p>
    <w:p w14:paraId="545D1702" w14:textId="77777777" w:rsidR="006B1C55" w:rsidRPr="006B1C55" w:rsidRDefault="006B1C55" w:rsidP="006B1C55">
      <w:pPr>
        <w:rPr>
          <w:rFonts w:ascii="Times New Roman" w:hAnsi="Times New Roman"/>
          <w:b/>
          <w:bCs/>
          <w:sz w:val="24"/>
          <w:szCs w:val="24"/>
        </w:rPr>
      </w:pPr>
      <w:r>
        <w:rPr>
          <w:rFonts w:ascii="Times New Roman" w:hAnsi="Times New Roman"/>
          <w:b/>
          <w:bCs/>
          <w:sz w:val="24"/>
          <w:szCs w:val="24"/>
        </w:rPr>
        <w:t xml:space="preserve"> </w:t>
      </w:r>
      <w:r w:rsidRPr="006B1C55">
        <w:rPr>
          <w:rFonts w:ascii="Times New Roman" w:hAnsi="Times New Roman"/>
          <w:b/>
          <w:bCs/>
          <w:sz w:val="24"/>
          <w:szCs w:val="24"/>
        </w:rPr>
        <w:t>Mechanisms, Models, and Future Directions for Predicting Biochemical Pathways Underlying Antibiotic Resistance in Microbial Communities Using Artificial Intelligence</w:t>
      </w:r>
    </w:p>
    <w:p w14:paraId="5E436979" w14:textId="77777777" w:rsidR="008D37E0" w:rsidRDefault="008D37E0">
      <w:pPr>
        <w:rPr>
          <w:rFonts w:ascii="Times New Roman" w:hAnsi="Times New Roman"/>
          <w:b/>
          <w:bCs/>
          <w:sz w:val="24"/>
          <w:szCs w:val="24"/>
        </w:rPr>
      </w:pPr>
    </w:p>
    <w:p w14:paraId="3961432F" w14:textId="77777777" w:rsidR="0011017C" w:rsidRPr="0012729E" w:rsidRDefault="0011017C">
      <w:pPr>
        <w:rPr>
          <w:rFonts w:ascii="Times New Roman" w:hAnsi="Times New Roman"/>
          <w:b/>
          <w:bCs/>
          <w:sz w:val="24"/>
          <w:szCs w:val="24"/>
        </w:rPr>
      </w:pPr>
    </w:p>
    <w:p w14:paraId="5B323BC5" w14:textId="77777777" w:rsidR="005B4C93" w:rsidRPr="0012729E" w:rsidRDefault="00000000">
      <w:pPr>
        <w:rPr>
          <w:rFonts w:ascii="Times New Roman" w:hAnsi="Times New Roman"/>
          <w:sz w:val="24"/>
          <w:szCs w:val="24"/>
        </w:rPr>
      </w:pPr>
      <w:r w:rsidRPr="0012729E">
        <w:rPr>
          <w:rFonts w:ascii="Times New Roman" w:hAnsi="Times New Roman"/>
          <w:b/>
          <w:bCs/>
          <w:sz w:val="24"/>
          <w:szCs w:val="24"/>
        </w:rPr>
        <w:t xml:space="preserve"> Abstract</w:t>
      </w:r>
    </w:p>
    <w:p w14:paraId="312BD53A" w14:textId="77777777" w:rsidR="005B4C93" w:rsidRPr="0012729E" w:rsidRDefault="005B4C93" w:rsidP="005B4C93">
      <w:pPr>
        <w:rPr>
          <w:rFonts w:ascii="Times New Roman" w:hAnsi="Times New Roman"/>
          <w:sz w:val="24"/>
          <w:szCs w:val="24"/>
        </w:rPr>
      </w:pPr>
      <w:r w:rsidRPr="0012729E">
        <w:rPr>
          <w:rFonts w:ascii="Times New Roman" w:hAnsi="Times New Roman"/>
          <w:sz w:val="24"/>
          <w:szCs w:val="24"/>
        </w:rPr>
        <w:t>A</w:t>
      </w:r>
      <w:r w:rsidR="00484010" w:rsidRPr="0012729E">
        <w:rPr>
          <w:rFonts w:ascii="Times New Roman" w:hAnsi="Times New Roman"/>
          <w:sz w:val="24"/>
          <w:szCs w:val="24"/>
        </w:rPr>
        <w:t>ntimicrobial resistance</w:t>
      </w:r>
      <w:r w:rsidRPr="0012729E">
        <w:rPr>
          <w:rFonts w:ascii="Times New Roman" w:hAnsi="Times New Roman"/>
          <w:sz w:val="24"/>
          <w:szCs w:val="24"/>
        </w:rPr>
        <w:t xml:space="preserve"> has become one of the greatest global public health </w:t>
      </w:r>
      <w:r w:rsidR="00363338" w:rsidRPr="0012729E">
        <w:rPr>
          <w:rFonts w:ascii="Times New Roman" w:hAnsi="Times New Roman"/>
          <w:sz w:val="24"/>
          <w:szCs w:val="24"/>
        </w:rPr>
        <w:t>challenges</w:t>
      </w:r>
      <w:r w:rsidR="005D1739" w:rsidRPr="0012729E">
        <w:rPr>
          <w:rFonts w:ascii="Times New Roman" w:hAnsi="Times New Roman"/>
          <w:sz w:val="24"/>
          <w:szCs w:val="24"/>
        </w:rPr>
        <w:t xml:space="preserve">, threatening the effectiveness of current AMR treatments and, consequently, increasing the burden of infectious diseases </w:t>
      </w:r>
      <w:r w:rsidRPr="0012729E">
        <w:rPr>
          <w:rFonts w:ascii="Times New Roman" w:hAnsi="Times New Roman"/>
          <w:sz w:val="24"/>
          <w:szCs w:val="24"/>
        </w:rPr>
        <w:t>worldwide. Ecological interactions, genetic transfer</w:t>
      </w:r>
      <w:r w:rsidR="00363338" w:rsidRPr="0012729E">
        <w:rPr>
          <w:rFonts w:ascii="Times New Roman" w:hAnsi="Times New Roman"/>
          <w:sz w:val="24"/>
          <w:szCs w:val="24"/>
        </w:rPr>
        <w:t>,</w:t>
      </w:r>
      <w:r w:rsidRPr="0012729E">
        <w:rPr>
          <w:rFonts w:ascii="Times New Roman" w:hAnsi="Times New Roman"/>
          <w:sz w:val="24"/>
          <w:szCs w:val="24"/>
        </w:rPr>
        <w:t xml:space="preserve"> and adaptive biochemical </w:t>
      </w:r>
      <w:r w:rsidR="00DC1430" w:rsidRPr="0012729E">
        <w:rPr>
          <w:rFonts w:ascii="Times New Roman" w:hAnsi="Times New Roman"/>
          <w:sz w:val="24"/>
          <w:szCs w:val="24"/>
        </w:rPr>
        <w:t>reactions</w:t>
      </w:r>
      <w:r w:rsidRPr="0012729E">
        <w:rPr>
          <w:rFonts w:ascii="Times New Roman" w:hAnsi="Times New Roman"/>
          <w:sz w:val="24"/>
          <w:szCs w:val="24"/>
        </w:rPr>
        <w:t xml:space="preserve"> within microbial communities are closely connected to the development of resistance, especially as this becomes more complex. To understand these processes, current </w:t>
      </w:r>
      <w:r w:rsidR="00363338" w:rsidRPr="0012729E">
        <w:rPr>
          <w:rFonts w:ascii="Times New Roman" w:hAnsi="Times New Roman"/>
          <w:sz w:val="24"/>
          <w:szCs w:val="24"/>
        </w:rPr>
        <w:t>gene-based</w:t>
      </w:r>
      <w:r w:rsidRPr="0012729E">
        <w:rPr>
          <w:rFonts w:ascii="Times New Roman" w:hAnsi="Times New Roman"/>
          <w:sz w:val="24"/>
          <w:szCs w:val="24"/>
        </w:rPr>
        <w:t xml:space="preserve"> analyses need to be complemented by a more comprehensive investigation of the biochemical pathways and molecular networks that might be involved in the regulation of resistance mechanisms.</w:t>
      </w:r>
      <w:r w:rsidR="005D1739" w:rsidRPr="0012729E">
        <w:rPr>
          <w:rFonts w:ascii="Times New Roman" w:hAnsi="Times New Roman"/>
          <w:sz w:val="24"/>
          <w:szCs w:val="24"/>
        </w:rPr>
        <w:t xml:space="preserve"> </w:t>
      </w:r>
      <w:r w:rsidRPr="0012729E">
        <w:rPr>
          <w:rFonts w:ascii="Times New Roman" w:hAnsi="Times New Roman"/>
          <w:sz w:val="24"/>
          <w:szCs w:val="24"/>
        </w:rPr>
        <w:t xml:space="preserve">Newly developed artificial intelligence technologies open the door to </w:t>
      </w:r>
      <w:r w:rsidR="005D1739" w:rsidRPr="0012729E">
        <w:rPr>
          <w:rFonts w:ascii="Times New Roman" w:hAnsi="Times New Roman"/>
          <w:sz w:val="24"/>
          <w:szCs w:val="24"/>
        </w:rPr>
        <w:t>new opportunities to tackle these challenges by enabling faster, more precise analysis of large-scale microbiome and multi-omics datasets</w:t>
      </w:r>
      <w:r w:rsidRPr="0012729E">
        <w:rPr>
          <w:rFonts w:ascii="Times New Roman" w:hAnsi="Times New Roman"/>
          <w:sz w:val="24"/>
          <w:szCs w:val="24"/>
        </w:rPr>
        <w:t xml:space="preserve">. Artificial Intelligence can be used to uncover hidden biological patterns, forecast </w:t>
      </w:r>
      <w:r w:rsidR="00363338" w:rsidRPr="0012729E">
        <w:rPr>
          <w:rFonts w:ascii="Times New Roman" w:hAnsi="Times New Roman"/>
          <w:sz w:val="24"/>
          <w:szCs w:val="24"/>
        </w:rPr>
        <w:t>resistance-related</w:t>
      </w:r>
      <w:r w:rsidRPr="0012729E">
        <w:rPr>
          <w:rFonts w:ascii="Times New Roman" w:hAnsi="Times New Roman"/>
          <w:sz w:val="24"/>
          <w:szCs w:val="24"/>
        </w:rPr>
        <w:t xml:space="preserve"> pathways</w:t>
      </w:r>
      <w:r w:rsidR="00DC1430" w:rsidRPr="0012729E">
        <w:rPr>
          <w:rFonts w:ascii="Times New Roman" w:hAnsi="Times New Roman"/>
          <w:sz w:val="24"/>
          <w:szCs w:val="24"/>
        </w:rPr>
        <w:t>,</w:t>
      </w:r>
      <w:r w:rsidRPr="0012729E">
        <w:rPr>
          <w:rFonts w:ascii="Times New Roman" w:hAnsi="Times New Roman"/>
          <w:sz w:val="24"/>
          <w:szCs w:val="24"/>
        </w:rPr>
        <w:t xml:space="preserve"> and enhance the understanding of the behavior of micro-ecosystems through machine learning, deep learning</w:t>
      </w:r>
      <w:r w:rsidR="00363338" w:rsidRPr="0012729E">
        <w:rPr>
          <w:rFonts w:ascii="Times New Roman" w:hAnsi="Times New Roman"/>
          <w:sz w:val="24"/>
          <w:szCs w:val="24"/>
        </w:rPr>
        <w:t>,</w:t>
      </w:r>
      <w:r w:rsidRPr="0012729E">
        <w:rPr>
          <w:rFonts w:ascii="Times New Roman" w:hAnsi="Times New Roman"/>
          <w:sz w:val="24"/>
          <w:szCs w:val="24"/>
        </w:rPr>
        <w:t xml:space="preserve"> and </w:t>
      </w:r>
      <w:r w:rsidR="00DC1430" w:rsidRPr="0012729E">
        <w:rPr>
          <w:rFonts w:ascii="Times New Roman" w:hAnsi="Times New Roman"/>
          <w:sz w:val="24"/>
          <w:szCs w:val="24"/>
        </w:rPr>
        <w:t>network-based</w:t>
      </w:r>
      <w:r w:rsidRPr="0012729E">
        <w:rPr>
          <w:rFonts w:ascii="Times New Roman" w:hAnsi="Times New Roman"/>
          <w:sz w:val="24"/>
          <w:szCs w:val="24"/>
        </w:rPr>
        <w:t xml:space="preserve"> modeling. These are capabilities that are changing how we understand antimicrobial resistance from descriptive detection to prediction and interpretation.</w:t>
      </w:r>
      <w:r w:rsidR="005D1739" w:rsidRPr="0012729E">
        <w:rPr>
          <w:rFonts w:ascii="Times New Roman" w:hAnsi="Times New Roman"/>
          <w:sz w:val="24"/>
          <w:szCs w:val="24"/>
        </w:rPr>
        <w:t xml:space="preserve"> </w:t>
      </w:r>
      <w:r w:rsidRPr="0012729E">
        <w:rPr>
          <w:rFonts w:ascii="Times New Roman" w:hAnsi="Times New Roman"/>
          <w:sz w:val="24"/>
          <w:szCs w:val="24"/>
        </w:rPr>
        <w:t>However, significant constraints exist</w:t>
      </w:r>
      <w:r w:rsidR="00363338" w:rsidRPr="0012729E">
        <w:rPr>
          <w:rFonts w:ascii="Times New Roman" w:hAnsi="Times New Roman"/>
          <w:sz w:val="24"/>
          <w:szCs w:val="24"/>
        </w:rPr>
        <w:t>,</w:t>
      </w:r>
      <w:r w:rsidRPr="0012729E">
        <w:rPr>
          <w:rFonts w:ascii="Times New Roman" w:hAnsi="Times New Roman"/>
          <w:sz w:val="24"/>
          <w:szCs w:val="24"/>
        </w:rPr>
        <w:t xml:space="preserve"> including data quality issues, model interpretability, the lack of standardi</w:t>
      </w:r>
      <w:r w:rsidR="00484010" w:rsidRPr="0012729E">
        <w:rPr>
          <w:rFonts w:ascii="Times New Roman" w:hAnsi="Times New Roman"/>
          <w:sz w:val="24"/>
          <w:szCs w:val="24"/>
        </w:rPr>
        <w:t>z</w:t>
      </w:r>
      <w:r w:rsidRPr="0012729E">
        <w:rPr>
          <w:rFonts w:ascii="Times New Roman" w:hAnsi="Times New Roman"/>
          <w:sz w:val="24"/>
          <w:szCs w:val="24"/>
        </w:rPr>
        <w:t>ation</w:t>
      </w:r>
      <w:r w:rsidR="00363338" w:rsidRPr="0012729E">
        <w:rPr>
          <w:rFonts w:ascii="Times New Roman" w:hAnsi="Times New Roman"/>
          <w:sz w:val="24"/>
          <w:szCs w:val="24"/>
        </w:rPr>
        <w:t>,</w:t>
      </w:r>
      <w:r w:rsidRPr="0012729E">
        <w:rPr>
          <w:rFonts w:ascii="Times New Roman" w:hAnsi="Times New Roman"/>
          <w:sz w:val="24"/>
          <w:szCs w:val="24"/>
        </w:rPr>
        <w:t xml:space="preserve"> and unequal access to computational resources between regions. Data governance and clinical implementation issues also have ethical implications that need to be addressed. In the future, the evolution of explainable AI, the integration of various biological data, and the creation of a more comprehensive computational framework that can predict resistance evolution at the molecular and ecosystem levels will be crucial. These developments have significant potential to enhance diagnostics, inform targeted treatments</w:t>
      </w:r>
      <w:r w:rsidR="00363338" w:rsidRPr="0012729E">
        <w:rPr>
          <w:rFonts w:ascii="Times New Roman" w:hAnsi="Times New Roman"/>
          <w:sz w:val="24"/>
          <w:szCs w:val="24"/>
        </w:rPr>
        <w:t>,</w:t>
      </w:r>
      <w:r w:rsidRPr="0012729E">
        <w:rPr>
          <w:rFonts w:ascii="Times New Roman" w:hAnsi="Times New Roman"/>
          <w:sz w:val="24"/>
          <w:szCs w:val="24"/>
        </w:rPr>
        <w:t xml:space="preserve"> and bolster anti-AMR strategies around the world. </w:t>
      </w:r>
    </w:p>
    <w:p w14:paraId="799FD1AE" w14:textId="77777777" w:rsidR="005B4C93" w:rsidRPr="0012729E" w:rsidRDefault="00363338" w:rsidP="005B4C93">
      <w:pPr>
        <w:rPr>
          <w:rFonts w:ascii="Times New Roman" w:hAnsi="Times New Roman"/>
          <w:sz w:val="24"/>
          <w:szCs w:val="24"/>
        </w:rPr>
      </w:pPr>
      <w:r w:rsidRPr="0012729E">
        <w:rPr>
          <w:rFonts w:ascii="Times New Roman" w:hAnsi="Times New Roman"/>
          <w:b/>
          <w:bCs/>
          <w:sz w:val="24"/>
          <w:szCs w:val="24"/>
        </w:rPr>
        <w:t>Keywords</w:t>
      </w:r>
      <w:r w:rsidR="005B4C93" w:rsidRPr="0012729E">
        <w:rPr>
          <w:rFonts w:ascii="Times New Roman" w:hAnsi="Times New Roman"/>
          <w:b/>
          <w:bCs/>
          <w:sz w:val="24"/>
          <w:szCs w:val="24"/>
        </w:rPr>
        <w:t>:</w:t>
      </w:r>
      <w:r w:rsidR="005B4C93" w:rsidRPr="0012729E">
        <w:rPr>
          <w:rFonts w:ascii="Times New Roman" w:hAnsi="Times New Roman"/>
          <w:sz w:val="24"/>
          <w:szCs w:val="24"/>
        </w:rPr>
        <w:t xml:space="preserve"> Microbial communities, resistance mechanisms, precision medicine, explainable artificial intelligence, systems biology, biochemical pathways and pathway prediction, artificial intelligence, antimicrobial resistance, microbial analysis of the microbiome, </w:t>
      </w:r>
      <w:r w:rsidRPr="0012729E">
        <w:rPr>
          <w:rFonts w:ascii="Times New Roman" w:hAnsi="Times New Roman"/>
          <w:sz w:val="24"/>
          <w:szCs w:val="24"/>
        </w:rPr>
        <w:t>multi-omics</w:t>
      </w:r>
      <w:r w:rsidR="005B4C93" w:rsidRPr="0012729E">
        <w:rPr>
          <w:rFonts w:ascii="Times New Roman" w:hAnsi="Times New Roman"/>
          <w:sz w:val="24"/>
          <w:szCs w:val="24"/>
        </w:rPr>
        <w:t xml:space="preserve"> integration and machine learning.</w:t>
      </w:r>
    </w:p>
    <w:p w14:paraId="033C0896" w14:textId="77777777" w:rsidR="008D37E0" w:rsidRPr="0012729E" w:rsidRDefault="00573F0C">
      <w:pPr>
        <w:rPr>
          <w:rFonts w:ascii="Times New Roman" w:hAnsi="Times New Roman"/>
          <w:b/>
          <w:bCs/>
          <w:sz w:val="24"/>
          <w:szCs w:val="24"/>
        </w:rPr>
      </w:pPr>
      <w:r w:rsidRPr="0012729E">
        <w:rPr>
          <w:rFonts w:ascii="Times New Roman" w:hAnsi="Times New Roman"/>
          <w:b/>
          <w:bCs/>
          <w:sz w:val="24"/>
          <w:szCs w:val="24"/>
        </w:rPr>
        <w:t>1. Introduction</w:t>
      </w:r>
    </w:p>
    <w:p w14:paraId="31220616" w14:textId="77777777" w:rsidR="00D842F3" w:rsidRPr="0012729E" w:rsidRDefault="00D842F3" w:rsidP="00D842F3">
      <w:pPr>
        <w:rPr>
          <w:rFonts w:ascii="Times New Roman" w:hAnsi="Times New Roman"/>
          <w:sz w:val="24"/>
          <w:szCs w:val="24"/>
        </w:rPr>
      </w:pPr>
      <w:r w:rsidRPr="0012729E">
        <w:rPr>
          <w:rFonts w:ascii="Times New Roman" w:hAnsi="Times New Roman"/>
          <w:sz w:val="24"/>
          <w:szCs w:val="24"/>
        </w:rPr>
        <w:t xml:space="preserve">Antibiotic resistance is one of the greatest biological and public health threats of the </w:t>
      </w:r>
      <w:r w:rsidR="00363338" w:rsidRPr="0012729E">
        <w:rPr>
          <w:rFonts w:ascii="Times New Roman" w:hAnsi="Times New Roman"/>
          <w:sz w:val="24"/>
          <w:szCs w:val="24"/>
        </w:rPr>
        <w:t>twenty-first</w:t>
      </w:r>
      <w:r w:rsidRPr="0012729E">
        <w:rPr>
          <w:rFonts w:ascii="Times New Roman" w:hAnsi="Times New Roman"/>
          <w:sz w:val="24"/>
          <w:szCs w:val="24"/>
        </w:rPr>
        <w:t xml:space="preserve"> century</w:t>
      </w:r>
      <w:r w:rsidR="00054125" w:rsidRPr="0012729E">
        <w:rPr>
          <w:rFonts w:ascii="Times New Roman" w:hAnsi="Times New Roman"/>
          <w:sz w:val="24"/>
          <w:szCs w:val="24"/>
        </w:rPr>
        <w:fldChar w:fldCharType="begin"/>
      </w:r>
      <w:r w:rsidR="00B421F2" w:rsidRPr="0012729E">
        <w:rPr>
          <w:rFonts w:ascii="Times New Roman" w:hAnsi="Times New Roman"/>
          <w:sz w:val="24"/>
          <w:szCs w:val="24"/>
        </w:rPr>
        <w:instrText xml:space="preserve"> ADDIN ZOTERO_ITEM CSL_CITATION {"citationID":"tHwbR8Gt","properties":{"formattedCitation":"(CDC, 2025)","plainCitation":"(CDC, 2025)","noteIndex":0},"citationItems":[{"id":19441,"uris":["http://zotero.org/users/16652950/items/YPFWM4B5"],"itemData":{"id":19441,"type":"webpage","abstract":"How antimicrobial resistance happens.","container-title":"Antimicrobial Resistance","language":"en-us","title":"About Antimicrobial Resistance","URL":"https://www.cdc.gov/antimicrobial-resistance/about/index.html","author":[{"family":"CDC","given":""}],"accessed":{"date-parts":[["2026",5,27]]},"issued":{"date-parts":[["2025",1,31]]}}}],"schema":"https://github.com/citation-style-language/schema/raw/master/csl-citation.json"} </w:instrText>
      </w:r>
      <w:r w:rsidR="00054125" w:rsidRPr="0012729E">
        <w:rPr>
          <w:rFonts w:ascii="Times New Roman" w:hAnsi="Times New Roman"/>
          <w:sz w:val="24"/>
          <w:szCs w:val="24"/>
        </w:rPr>
        <w:fldChar w:fldCharType="separate"/>
      </w:r>
      <w:r w:rsidR="00B421F2" w:rsidRPr="0012729E">
        <w:rPr>
          <w:rFonts w:ascii="Times New Roman" w:hAnsi="Times New Roman"/>
          <w:sz w:val="24"/>
          <w:szCs w:val="24"/>
        </w:rPr>
        <w:t>(CDC, 2025)</w:t>
      </w:r>
      <w:r w:rsidR="00054125" w:rsidRPr="0012729E">
        <w:rPr>
          <w:rFonts w:ascii="Times New Roman" w:hAnsi="Times New Roman"/>
          <w:sz w:val="24"/>
          <w:szCs w:val="24"/>
        </w:rPr>
        <w:fldChar w:fldCharType="end"/>
      </w:r>
      <w:r w:rsidRPr="0012729E">
        <w:rPr>
          <w:rFonts w:ascii="Times New Roman" w:hAnsi="Times New Roman"/>
          <w:sz w:val="24"/>
          <w:szCs w:val="24"/>
        </w:rPr>
        <w:t xml:space="preserve">. The general and often inappropriate use of antimicrobial agents in clinical </w:t>
      </w:r>
      <w:r w:rsidRPr="0012729E">
        <w:rPr>
          <w:rFonts w:ascii="Times New Roman" w:hAnsi="Times New Roman"/>
          <w:sz w:val="24"/>
          <w:szCs w:val="24"/>
        </w:rPr>
        <w:lastRenderedPageBreak/>
        <w:t>medicine, animal husbandry</w:t>
      </w:r>
      <w:r w:rsidR="00363338" w:rsidRPr="0012729E">
        <w:rPr>
          <w:rFonts w:ascii="Times New Roman" w:hAnsi="Times New Roman"/>
          <w:sz w:val="24"/>
          <w:szCs w:val="24"/>
        </w:rPr>
        <w:t>,</w:t>
      </w:r>
      <w:r w:rsidRPr="0012729E">
        <w:rPr>
          <w:rFonts w:ascii="Times New Roman" w:hAnsi="Times New Roman"/>
          <w:sz w:val="24"/>
          <w:szCs w:val="24"/>
        </w:rPr>
        <w:t xml:space="preserve"> and environmental systems has led to the emergence of </w:t>
      </w:r>
      <w:r w:rsidR="00363338" w:rsidRPr="0012729E">
        <w:rPr>
          <w:rFonts w:ascii="Times New Roman" w:hAnsi="Times New Roman"/>
          <w:sz w:val="24"/>
          <w:szCs w:val="24"/>
        </w:rPr>
        <w:t>multidrug-resistant</w:t>
      </w:r>
      <w:r w:rsidRPr="0012729E">
        <w:rPr>
          <w:rFonts w:ascii="Times New Roman" w:hAnsi="Times New Roman"/>
          <w:sz w:val="24"/>
          <w:szCs w:val="24"/>
        </w:rPr>
        <w:t xml:space="preserve"> microorganisms</w:t>
      </w:r>
      <w:r w:rsidR="00DC1430" w:rsidRPr="0012729E">
        <w:rPr>
          <w:rFonts w:ascii="Times New Roman" w:hAnsi="Times New Roman"/>
          <w:sz w:val="24"/>
          <w:szCs w:val="24"/>
        </w:rPr>
        <w:t>,</w:t>
      </w:r>
      <w:r w:rsidRPr="0012729E">
        <w:rPr>
          <w:rFonts w:ascii="Times New Roman" w:hAnsi="Times New Roman"/>
          <w:sz w:val="24"/>
          <w:szCs w:val="24"/>
        </w:rPr>
        <w:t xml:space="preserve"> which are resistant to many different medications</w:t>
      </w:r>
      <w:r w:rsidR="00F836ED" w:rsidRPr="0012729E">
        <w:rPr>
          <w:rFonts w:ascii="Times New Roman" w:hAnsi="Times New Roman"/>
          <w:sz w:val="24"/>
          <w:szCs w:val="24"/>
        </w:rPr>
        <w:fldChar w:fldCharType="begin"/>
      </w:r>
      <w:r w:rsidR="00F836ED" w:rsidRPr="0012729E">
        <w:rPr>
          <w:rFonts w:ascii="Times New Roman" w:hAnsi="Times New Roman"/>
          <w:sz w:val="24"/>
          <w:szCs w:val="24"/>
        </w:rPr>
        <w:instrText xml:space="preserve"> ADDIN ZOTERO_ITEM CSL_CITATION {"citationID":"A5uSfmRX","properties":{"formattedCitation":"(Abate &amp; Birhanu, 2025)","plainCitation":"(Abate &amp; Birhanu, 2025)","noteIndex":0},"citationItems":[{"id":19212,"uris":["http://zotero.org/users/16652950/items/JX9Q3JK8"],"itemData":{"id":19212,"type":"article-journal","abstract":"Antimicrobial use in animal husbandry is a common practice in developing countries as a response to the growing demand for animal-based foods. Veterinary antibiotics account for most of the antibiotics used worldwide. This review aims to provide an overview of the impact of antibiotic usage in livestock production on the environment and its consequences in the emergence and spread of antibiotic resistance. The global estimate of antibiotic consumption in animals ranges from 63 000 to 106 000 tons annually. The most commonly used antibiotic classes include tetracyclines, sulfonamides, β-lactams, macrolides, and trimethoprim. Most of the antibiotics used in animal treatments are not fully metabolized within the animal’s body; instead, they are excreted and can enter the environment. This review also provides a brief overview of the fate of antibiotic residues and their behavior in the environment. In developing countries, in addition to the lack of data on antibiotic use trends, there are limitations in implementing scientific and regulatory frameworks for antibiotic use in livestock. To reduce the projected loss of lives associated with antimicrobial resistant infections, it is recommended to lower antibiotic contamination in the environment by implementing affordable and critical actions related to antibiotic usage and residual waste management. Actions such as rational use of antibiotics in all circumstances, reducing environmental exposure to antibiotics, research, and environmental surveillance are important to tackle the problems of antibiotic resistance, especially in low-income countries., Using antibiotics in farm animals is more complex than in humans because they are often given to promote growth. This widespread use, especially in developing countries with less regulation, increases environmental pollution and promotes antibiotic-resistant bacteria, making infections harder to treat. In developing countries, the problem is even worse due to the increased use of antibiotics in animals, poor monitoring, misuse, and low-quality medicines. To stop this growing threat, countries should follow WHO guidelines and learn from successful strategies used in developed nations. Simple, affordable actions—such as responsible antibiotic use, waste reduction from farms, and enhanced research and monitoring—are essential. Furthermore, investing in new treatment alternatives and improved animal feeds can help reduce the reliance on antibiotics. These steps are vital to protect both human and animal health and keep medicines effective.","container-title":"Environmental Health Insights","DOI":"10.1177/11786302251357775","ISSN":"1178-6302","journalAbbreviation":"Environ Health Insights","note":"PMID: 40735169\nPMCID: PMC12304651","page":"11786302251357775","source":"PubMed Central","title":"Antibiotic Use in Livestock and Environmental Antibiotic Resistance: A Narrative Review","title-short":"Antibiotic Use in Livestock and Environmental Antibiotic Resistance","volume":"19","author":[{"family":"Abate","given":"Tesfaye Admassu"},{"family":"Birhanu","given":"Alemayehu Godana"}],"issued":{"date-parts":[["2025",7,27]]}}}],"schema":"https://github.com/citation-style-language/schema/raw/master/csl-citation.json"} </w:instrText>
      </w:r>
      <w:r w:rsidR="00F836ED" w:rsidRPr="0012729E">
        <w:rPr>
          <w:rFonts w:ascii="Times New Roman" w:hAnsi="Times New Roman"/>
          <w:sz w:val="24"/>
          <w:szCs w:val="24"/>
        </w:rPr>
        <w:fldChar w:fldCharType="separate"/>
      </w:r>
      <w:r w:rsidR="00F836ED" w:rsidRPr="0012729E">
        <w:rPr>
          <w:rFonts w:ascii="Times New Roman" w:hAnsi="Times New Roman"/>
          <w:sz w:val="24"/>
          <w:szCs w:val="24"/>
        </w:rPr>
        <w:t>(Abate &amp; Birhanu, 2025)</w:t>
      </w:r>
      <w:r w:rsidR="00F836ED" w:rsidRPr="0012729E">
        <w:rPr>
          <w:rFonts w:ascii="Times New Roman" w:hAnsi="Times New Roman"/>
          <w:sz w:val="24"/>
          <w:szCs w:val="24"/>
        </w:rPr>
        <w:fldChar w:fldCharType="end"/>
      </w:r>
      <w:r w:rsidRPr="0012729E">
        <w:rPr>
          <w:rFonts w:ascii="Times New Roman" w:hAnsi="Times New Roman"/>
          <w:sz w:val="24"/>
          <w:szCs w:val="24"/>
        </w:rPr>
        <w:t>. Once easily controlled pathogens are now becoming multi-drug resistant, thus decreasing the number of treatments available, lengthening illness, increasing mortality</w:t>
      </w:r>
      <w:r w:rsidR="00363338" w:rsidRPr="0012729E">
        <w:rPr>
          <w:rFonts w:ascii="Times New Roman" w:hAnsi="Times New Roman"/>
          <w:sz w:val="24"/>
          <w:szCs w:val="24"/>
        </w:rPr>
        <w:t>,</w:t>
      </w:r>
      <w:r w:rsidRPr="0012729E">
        <w:rPr>
          <w:rFonts w:ascii="Times New Roman" w:hAnsi="Times New Roman"/>
          <w:sz w:val="24"/>
          <w:szCs w:val="24"/>
        </w:rPr>
        <w:t xml:space="preserve"> and increasing health care expenses</w:t>
      </w:r>
      <w:r w:rsidR="00760E4A" w:rsidRPr="0012729E">
        <w:rPr>
          <w:rFonts w:ascii="Times New Roman" w:hAnsi="Times New Roman"/>
          <w:sz w:val="24"/>
          <w:szCs w:val="24"/>
        </w:rPr>
        <w:fldChar w:fldCharType="begin"/>
      </w:r>
      <w:r w:rsidR="00B421F2" w:rsidRPr="0012729E">
        <w:rPr>
          <w:rFonts w:ascii="Times New Roman" w:hAnsi="Times New Roman"/>
          <w:sz w:val="24"/>
          <w:szCs w:val="24"/>
        </w:rPr>
        <w:instrText xml:space="preserve"> ADDIN ZOTERO_ITEM CSL_CITATION {"citationID":"Jo0mENjJ","properties":{"formattedCitation":"(Ahmed et al., 2024; CDC, 2025)","plainCitation":"(Ahmed et al., 2024; CDC, 2025)","noteIndex":0},"citationItems":[{"id":19215,"uris":["http://zotero.org/users/16652950/items/7VVEIIDY"],"itemData":{"id":19215,"type":"article-journal","abstract":"Antimicrobial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generations.","container-title":"Journal of Medicine, Surgery, and Public Health","DOI":"10.1016/j.glmedi.2024.100081","ISSN":"2949-916X","journalAbbreviation":"Journal of Medicine, Surgery, and Public Health","page":"100081","source":"ScienceDirect","title":"Antimicrobial resistance: Impacts, challenges, and future prospects","title-short":"Antimicrobial resistance","volume":"2","author":[{"family":"Ahmed","given":"Sirwan Khalid"},{"family":"Hussein","given":"Safin"},{"family":"Qurbani","given":"Karzan"},{"family":"Ibrahim","given":"Radhwan Hussein"},{"family":"Fareeq","given":"Abdulmalik"},{"family":"Mahmood","given":"Kochr Ali"},{"family":"Mohamed","given":"Mona Gamal"}],"issued":{"date-parts":[["2024",4,1]]}}},{"id":19441,"uris":["http://zotero.org/users/16652950/items/YPFWM4B5"],"itemData":{"id":19441,"type":"webpage","abstract":"How antimicrobial resistance happens.","container-title":"Antimicrobial Resistance","language":"en-us","title":"About Antimicrobial Resistance","URL":"https://www.cdc.gov/antimicrobial-resistance/about/index.html","author":[{"family":"CDC","given":""}],"accessed":{"date-parts":[["2026",5,27]]},"issued":{"date-parts":[["2025",1,31]]}}}],"schema":"https://github.com/citation-style-language/schema/raw/master/csl-citation.json"} </w:instrText>
      </w:r>
      <w:r w:rsidR="00760E4A" w:rsidRPr="0012729E">
        <w:rPr>
          <w:rFonts w:ascii="Times New Roman" w:hAnsi="Times New Roman"/>
          <w:sz w:val="24"/>
          <w:szCs w:val="24"/>
        </w:rPr>
        <w:fldChar w:fldCharType="separate"/>
      </w:r>
      <w:r w:rsidR="00B421F2" w:rsidRPr="0012729E">
        <w:rPr>
          <w:rFonts w:ascii="Times New Roman" w:hAnsi="Times New Roman"/>
          <w:sz w:val="24"/>
          <w:szCs w:val="24"/>
        </w:rPr>
        <w:t>(Ahmed et al., 2024; CDC, 2025)</w:t>
      </w:r>
      <w:r w:rsidR="00760E4A" w:rsidRPr="0012729E">
        <w:rPr>
          <w:rFonts w:ascii="Times New Roman" w:hAnsi="Times New Roman"/>
          <w:sz w:val="24"/>
          <w:szCs w:val="24"/>
        </w:rPr>
        <w:fldChar w:fldCharType="end"/>
      </w:r>
      <w:r w:rsidRPr="0012729E">
        <w:rPr>
          <w:rFonts w:ascii="Times New Roman" w:hAnsi="Times New Roman"/>
          <w:sz w:val="24"/>
          <w:szCs w:val="24"/>
        </w:rPr>
        <w:t>. In addition to the clinical impact, the problem of antimicrobial resistance poses a major public health challenge due to the necessity of effective infection control in many clinical procedures</w:t>
      </w:r>
      <w:r w:rsidR="00363338" w:rsidRPr="0012729E">
        <w:rPr>
          <w:rFonts w:ascii="Times New Roman" w:hAnsi="Times New Roman"/>
          <w:sz w:val="24"/>
          <w:szCs w:val="24"/>
        </w:rPr>
        <w:t>,</w:t>
      </w:r>
      <w:r w:rsidRPr="0012729E">
        <w:rPr>
          <w:rFonts w:ascii="Times New Roman" w:hAnsi="Times New Roman"/>
          <w:sz w:val="24"/>
          <w:szCs w:val="24"/>
        </w:rPr>
        <w:t xml:space="preserve"> including cancer treatment, surgery, and organ transplantation.</w:t>
      </w:r>
    </w:p>
    <w:p w14:paraId="01503830" w14:textId="77777777" w:rsidR="00D842F3" w:rsidRPr="0012729E" w:rsidRDefault="00D842F3" w:rsidP="00D842F3">
      <w:pPr>
        <w:rPr>
          <w:rFonts w:ascii="Times New Roman" w:hAnsi="Times New Roman"/>
          <w:sz w:val="24"/>
          <w:szCs w:val="24"/>
        </w:rPr>
      </w:pPr>
      <w:r w:rsidRPr="0012729E">
        <w:rPr>
          <w:rFonts w:ascii="Times New Roman" w:hAnsi="Times New Roman"/>
          <w:sz w:val="24"/>
          <w:szCs w:val="24"/>
        </w:rPr>
        <w:t xml:space="preserve">One of the main challenges of resistance research is the study of microorganisms as individual species, when they actually occur mostly in complex microbial communities in natural and clinical settings. Microbial species in polymicrobial systems, </w:t>
      </w:r>
      <w:r w:rsidR="00363338" w:rsidRPr="0012729E">
        <w:rPr>
          <w:rFonts w:ascii="Times New Roman" w:hAnsi="Times New Roman"/>
          <w:sz w:val="24"/>
          <w:szCs w:val="24"/>
        </w:rPr>
        <w:t>such as</w:t>
      </w:r>
      <w:r w:rsidRPr="0012729E">
        <w:rPr>
          <w:rFonts w:ascii="Times New Roman" w:hAnsi="Times New Roman"/>
          <w:sz w:val="24"/>
          <w:szCs w:val="24"/>
        </w:rPr>
        <w:t xml:space="preserve"> the gut microbiome, wastewater, and chronic wounds</w:t>
      </w:r>
      <w:r w:rsidR="00363338" w:rsidRPr="0012729E">
        <w:rPr>
          <w:rFonts w:ascii="Times New Roman" w:hAnsi="Times New Roman"/>
          <w:sz w:val="24"/>
          <w:szCs w:val="24"/>
        </w:rPr>
        <w:t>,</w:t>
      </w:r>
      <w:r w:rsidRPr="0012729E">
        <w:rPr>
          <w:rFonts w:ascii="Times New Roman" w:hAnsi="Times New Roman"/>
          <w:sz w:val="24"/>
          <w:szCs w:val="24"/>
        </w:rPr>
        <w:t xml:space="preserve"> compete, cooperate, and engage in metabolite exchange</w:t>
      </w:r>
      <w:r w:rsidR="00F322EC" w:rsidRPr="0012729E">
        <w:rPr>
          <w:rFonts w:ascii="Times New Roman" w:hAnsi="Times New Roman"/>
          <w:sz w:val="24"/>
          <w:szCs w:val="24"/>
        </w:rPr>
        <w:fldChar w:fldCharType="begin"/>
      </w:r>
      <w:r w:rsidR="009A5533" w:rsidRPr="0012729E">
        <w:rPr>
          <w:rFonts w:ascii="Times New Roman" w:hAnsi="Times New Roman"/>
          <w:sz w:val="24"/>
          <w:szCs w:val="24"/>
        </w:rPr>
        <w:instrText xml:space="preserve"> ADDIN ZOTERO_ITEM CSL_CITATION {"citationID":"ekCloguP","properties":{"formattedCitation":"(CDC, 2026)","plainCitation":"(CDC, 2026)","noteIndex":0},"citationItems":[{"id":19443,"uris":["http://zotero.org/users/16652950/items/TMISL432"],"itemData":{"id":19443,"type":"webpage","abstract":"Understand the role microbial ecology plays in human health.","container-title":"Antimicrobial Resistance","language":"en-us","title":"About Microbial Ecology","URL":"https://www.cdc.gov/antimicrobial-resistance/about/about-microbial-ecology.html","author":[{"family":"CDC","given":""}],"accessed":{"date-parts":[["2026",5,27]]},"issued":{"date-parts":[["2026",4,3]]}}}],"schema":"https://github.com/citation-style-language/schema/raw/master/csl-citation.json"} </w:instrText>
      </w:r>
      <w:r w:rsidR="00F322EC" w:rsidRPr="0012729E">
        <w:rPr>
          <w:rFonts w:ascii="Times New Roman" w:hAnsi="Times New Roman"/>
          <w:sz w:val="24"/>
          <w:szCs w:val="24"/>
        </w:rPr>
        <w:fldChar w:fldCharType="separate"/>
      </w:r>
      <w:r w:rsidR="009A5533" w:rsidRPr="0012729E">
        <w:rPr>
          <w:rFonts w:ascii="Times New Roman" w:hAnsi="Times New Roman"/>
          <w:sz w:val="24"/>
          <w:szCs w:val="24"/>
        </w:rPr>
        <w:t>(CDC, 2026)</w:t>
      </w:r>
      <w:r w:rsidR="00F322EC" w:rsidRPr="0012729E">
        <w:rPr>
          <w:rFonts w:ascii="Times New Roman" w:hAnsi="Times New Roman"/>
          <w:sz w:val="24"/>
          <w:szCs w:val="24"/>
        </w:rPr>
        <w:fldChar w:fldCharType="end"/>
      </w:r>
      <w:r w:rsidRPr="0012729E">
        <w:rPr>
          <w:rFonts w:ascii="Times New Roman" w:hAnsi="Times New Roman"/>
          <w:sz w:val="24"/>
          <w:szCs w:val="24"/>
        </w:rPr>
        <w:t>. Such interactions can lead to the development of resistance by horizontal gene transfer, shared detoxification pathways</w:t>
      </w:r>
      <w:r w:rsidR="00363338" w:rsidRPr="0012729E">
        <w:rPr>
          <w:rFonts w:ascii="Times New Roman" w:hAnsi="Times New Roman"/>
          <w:sz w:val="24"/>
          <w:szCs w:val="24"/>
        </w:rPr>
        <w:t>,</w:t>
      </w:r>
      <w:r w:rsidRPr="0012729E">
        <w:rPr>
          <w:rFonts w:ascii="Times New Roman" w:hAnsi="Times New Roman"/>
          <w:sz w:val="24"/>
          <w:szCs w:val="24"/>
        </w:rPr>
        <w:t xml:space="preserve"> and biofilm formation. Importantly, there is a need to understand antibiotic resistance beyond the identification of the resistance genes. Resistance is also influenced by biochemical pathways that mediate metabolism, stress adaptation, transport systems, and cell survival</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{"citationID":"ugUdm0Pp","properties":{"formattedCitation":"(Mart\\uc0\\u237{}nez &amp; Rojo, 2011)","plainCitation":"(Martínez &amp; Rojo, 2011)","noteIndex":0},"citationItems":[{"id":19220,"uris":["http://zotero.org/users/16652950/items/73E9FTEZ"],"itemData":{"id":19220,"type":"article-journal","abstract":"It is generally assumed that antibiotics and resistance determinants are the task forces of a biological warfare in which each resistance determinant counteracts the activity of a specific antibiotic. According to this view, antibiotic resistance might be considered as a specific response to an injury, not necessarily linked to bacterial metabolism, except for the burden that the acquisition of resistance might impose on the bacteria (fitness costs). Nevertheless, it is known that changes in bacterial metabolism, such as those associated with dormancy or biofilm formation, modulate bacterial susceptibility to antibiotics (phenotypic resistance), indicating that there exists a linkage between bacterial metabolism and antibiotic resistance. The analyses of the intrinsic resistomes of bacterial pathogens also demonstrate that the building up of intrinsic resistance requires the concerted action of many elements, several of which play a relevant role in the bacterial metabolism. In this article, we will review the current knowledge on the linkage between bacterial metabolism and antibiotic resistance and will discuss the role of global metabolic regulators such as Crc in bacterial susceptibility to antibiotics. Given that growing into the human host requires a metabolic adaptation, we will discuss whether this adaptation might trigger resistance even in the absence of selective pressure by antibiotics.","container-title":"FEMS microbiology reviews","DOI":"10.1111/j.1574-6976.2011.00282.x","journalAbbreviation":"FEMS microbiology reviews","page":"768-89","source":"ResearchGate","title":"Metabolic regulation of antibiotic resistance","volume":"35","author":[{"family":"Martínez","given":"José"},{"family":"Rojo","given":"Fernando"}],"issued":{"date-parts":[["2011",6,3]]}}}],"schema":"https://github.com/citation-style-language/schema/raw/master/csl-citation.json"}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(Martínez &amp; Rojo, 2011)</w:t>
      </w:r>
      <w:r w:rsidR="00CD26DE" w:rsidRPr="0012729E">
        <w:rPr>
          <w:rFonts w:ascii="Times New Roman" w:hAnsi="Times New Roman"/>
          <w:sz w:val="24"/>
          <w:szCs w:val="24"/>
        </w:rPr>
        <w:fldChar w:fldCharType="end"/>
      </w:r>
      <w:r w:rsidRPr="0012729E">
        <w:rPr>
          <w:rFonts w:ascii="Times New Roman" w:hAnsi="Times New Roman"/>
          <w:sz w:val="24"/>
          <w:szCs w:val="24"/>
        </w:rPr>
        <w:t>. Microorganisms are frequently able to withstand or resist antimicrobial stress through metabolic rewiring, redox regulation, and concerted signaling networks</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{"citationID":"TxcPj50K","properties":{"formattedCitation":"(Baweja et al., 2025)","plainCitation":"(Baweja et al., 2025)","noteIndex":0},"citationItems":[{"id":19221,"uris":["http://zotero.org/users/16652950/items/UY82X3RT"],"itemData":{"id":19221,"type":"article-journal","abstract":"Antimicrobial Resistance (AMR) has become a major threat worldwide. According to WHO, AMR will be responsible for causing approximately 10 million deaths worldwide by year 2050 and it will be amongst top 10 public health threats. Antibiotic Resistance (ABR) is the phenomenon in which antibiotics fail to work against bacteria. Post Covid-19 pandemic era has brought us close to many antibiotics due to their indiscriminate use without knowing their efficacy in treating the diseases. AMR is the major threat to lives, economy and resources affecting the total population, manpower and the quality of human resources. Not only humans, it also affects mortality and morbidity rate of animals. Even though there are extensive research being carried out to address the issue of the AMR, still there are various knowledge gaps. Through this narrative review, we aim to understand the mechanism of development of AMR, its drivers and the steps to be taken by the researchers, policy makers, general public and other stakeholders to mitigate the use of antimicrobials in various sectors. In addition to this, the review also discusses the implications of the AMR to our society. We believe that the in-depth knowledge of all the contributary factors, preventive measures and societal impact of AMR documented here will help to design effective strategies to fight against the AMR menace.","container-title":"The Microbe","DOI":"10.1016/j.microb.2025.100617","ISSN":"2950-1946","journalAbbreviation":"The Microbe","page":"100617","source":"ScienceDirect","title":"Antimicrobial resistance: Mechanism, causes, prevention and societal impact","title-short":"Antimicrobial resistance","volume":"9","author":[{"family":"Baweja","given":"Renu"},{"family":"Singh","given":"Mitali"},{"family":"Shukla","given":"Sudhanshu"},{"family":"Ravi","given":"Rangnath"},{"family":"Ahmad","given":"Razi"},{"family":"Mishra","given":"Abhijeet"}],"issued":{"date-parts":[["2025",12,1]]}}}],"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(Baweja et al., 2025)</w:t>
      </w:r>
      <w:r w:rsidR="00CD26DE" w:rsidRPr="0012729E">
        <w:rPr>
          <w:rFonts w:ascii="Times New Roman" w:hAnsi="Times New Roman"/>
          <w:sz w:val="24"/>
          <w:szCs w:val="24"/>
        </w:rPr>
        <w:fldChar w:fldCharType="end"/>
      </w:r>
      <w:r w:rsidRPr="0012729E">
        <w:rPr>
          <w:rFonts w:ascii="Times New Roman" w:hAnsi="Times New Roman"/>
          <w:sz w:val="24"/>
          <w:szCs w:val="24"/>
        </w:rPr>
        <w:t xml:space="preserve">. Hence, the level of pathway analysis is more than what </w:t>
      </w:r>
      <w:r w:rsidR="00363338" w:rsidRPr="0012729E">
        <w:rPr>
          <w:rFonts w:ascii="Times New Roman" w:hAnsi="Times New Roman"/>
          <w:sz w:val="24"/>
          <w:szCs w:val="24"/>
        </w:rPr>
        <w:t>gene-centered</w:t>
      </w:r>
      <w:r w:rsidRPr="0012729E">
        <w:rPr>
          <w:rFonts w:ascii="Times New Roman" w:hAnsi="Times New Roman"/>
          <w:sz w:val="24"/>
          <w:szCs w:val="24"/>
        </w:rPr>
        <w:t xml:space="preserve"> approaches can provide in understanding resistance evolution.</w:t>
      </w:r>
    </w:p>
    <w:p w14:paraId="7D884AC6" w14:textId="77777777" w:rsidR="00D842F3" w:rsidRPr="0012729E" w:rsidRDefault="00D842F3" w:rsidP="00D842F3">
      <w:pPr>
        <w:rPr>
          <w:rFonts w:ascii="Times New Roman" w:hAnsi="Times New Roman"/>
          <w:sz w:val="24"/>
          <w:szCs w:val="24"/>
        </w:rPr>
      </w:pPr>
      <w:r w:rsidRPr="0012729E">
        <w:rPr>
          <w:rFonts w:ascii="Times New Roman" w:hAnsi="Times New Roman"/>
          <w:sz w:val="24"/>
          <w:szCs w:val="24"/>
        </w:rPr>
        <w:t xml:space="preserve">The increasing amount of genomics, transcriptomics, proteomics, metabolomics, and metagenomics data offers unparalleled opportunities for studying these systems, but it can also be a challenge to process the complexity of data that is </w:t>
      </w:r>
      <w:r w:rsidR="00363338" w:rsidRPr="0012729E">
        <w:rPr>
          <w:rFonts w:ascii="Times New Roman" w:hAnsi="Times New Roman"/>
          <w:sz w:val="24"/>
          <w:szCs w:val="24"/>
        </w:rPr>
        <w:t>multi-layered</w:t>
      </w:r>
      <w:r w:rsidR="00CD26DE" w:rsidRPr="0012729E">
        <w:rPr>
          <w:rFonts w:ascii="Times New Roman" w:hAnsi="Times New Roman"/>
          <w:sz w:val="24"/>
          <w:szCs w:val="24"/>
        </w:rPr>
        <w:fldChar w:fldCharType="begin"/>
      </w:r>
      <w:r w:rsidR="00CD26DE" w:rsidRPr="0012729E">
        <w:rPr>
          <w:rFonts w:ascii="Times New Roman" w:hAnsi="Times New Roman"/>
          <w:sz w:val="24"/>
          <w:szCs w:val="24"/>
        </w:rPr>
        <w:instrText xml:space="preserve"> ADDIN ZOTERO_ITEM CSL_CITATION {"citationID":"1IwwZdqM","properties":{"formattedCitation":"(Sibilio et al., 2025; Vitorino, 2024)","plainCitation":"(Sibilio et al., 2025; Vitorino, 2024)","noteIndex":0},"citationItems":[{"id":19224,"uris":["http://zotero.org/users/16652950/items/5LZH7GZ7"],"itemData":{"id":19224,"type":"article-journal","abstract":"Over the past few decades, technological advancements and declining costs of high-throughput data generation have revolutionized biomedical research, enabling the collection of large-scale datasets across multiple omics layers—including genomics, transcriptomics, proteomics, metabolomics, and epigenomics. The analysis and integration of these datasets provides global insights into biological processes and holds great promise in elucidating the myriad molecular interactions associated with human diseases, particularly multifactorial ones such as cancer, cardiovascular, and neurodegenerative disorders. However, integrating multi-omics data presents significant challenges due to high dimensionality and heterogeneity. This review explores computational methods for integrating multi-omics data, with a particular focus on network-based approaches that offer a holistic view of relationships among biological components in health and disease. Furthermore, this review showcases a selection of recent, successful applications of multi-omics data integration, moving beyond theoretical methods to demonstrate their transformative potential in biomarker discovery, patient stratification, and guiding therapeutic interventions in specific human diseases.","container-title":"Biotechnology Reports","DOI":"10.1016/j.btre.2025.e00938","ISSN":"2215-017X","journalAbbreviation":"Biotechnology Reports","page":"e00938","source":"ScienceDirect","title":"Integrating multi-omics data: Methods and applications in human complex diseases","title-short":"Integrating multi-omics data","volume":"48","author":[{"family":"Sibilio","given":"Pasquale"},{"family":"De Smaele","given":"Enrico"},{"family":"Paci","given":"Paola"},{"family":"Conte","given":"Federica"}],"issued":{"date-parts":[["2025",12,1]]}}},{"id":19227,"uris":["http://zotero.org/users/16652950/items/KPI88QDG"],"itemData":{"id":19227,"type":"article-journal","abstract":"High-throughput omics technologies have dramatically changed biological research, providing unprecedented insights into the complexity of living systems. This review presents a comprehensive examination of the current landscape of high-throughput omics pipelines, covering key technologies, data integration techniques and their diverse applications. It looks at advances in next-generation sequencing, mass spectrometry and microarray platforms and highlights their contribution to data volume and precision. In addition, this review looks at the critical role of bioinformatics tools and statistical methods in managing the large datasets generated by these technologies. By integrating multi-omics data, researchers can gain a holistic understanding of biological systems, leading to the identification of new biomarkers and therapeutic targets, particularly in complex diseases such as cancer. The review also looks at the integration of omics data into electronic health records (EHRs) and the potential for cloud computing and big data analytics to improve data storage, analysis and sharing. Despite significant advances, there are still challenges such as data complexity, technical limitations and ethical issues. Future directions include the development of more sophisticated computational tools and the application of advanced machine learning techniques, which are critical for addressing the complexity and heterogeneity of omics datasets. This review aims to serve as a valuable resource for researchers and practitioners, highlighting the transformative potential of high-throughput omics technologies in advancing personalized medicine and improving clinical outcomes.","container-title":"Proteomes","DOI":"10.3390/proteomes12030025","ISSN":"2227-7382","issue":"3","journalAbbreviation":"Proteomes","note":"PMID: 39311198\nPMCID: PMC11417901","page":"25","source":"PubMed Central","title":"Transforming Clinical Research: The Power of High-Throughput Omics Integration","title-short":"Transforming Clinical Research","volume":"12","author":[{"family":"Vitorino","given":"Rui"}],"issued":{"date-parts":[["2024",9,6]]}}}],"schema":"https://github.com/citation-style-language/schema/raw/master/csl-citation.json"} </w:instrText>
      </w:r>
      <w:r w:rsidR="00CD26DE" w:rsidRPr="0012729E">
        <w:rPr>
          <w:rFonts w:ascii="Times New Roman" w:hAnsi="Times New Roman"/>
          <w:sz w:val="24"/>
          <w:szCs w:val="24"/>
        </w:rPr>
        <w:fldChar w:fldCharType="separate"/>
      </w:r>
      <w:r w:rsidR="00CD26DE" w:rsidRPr="0012729E">
        <w:rPr>
          <w:rFonts w:ascii="Times New Roman" w:hAnsi="Times New Roman"/>
          <w:sz w:val="24"/>
          <w:szCs w:val="24"/>
        </w:rPr>
        <w:t>(Sibilio et al., 2025; Vitorino, 2024)</w:t>
      </w:r>
      <w:r w:rsidR="00CD26DE" w:rsidRPr="0012729E">
        <w:rPr>
          <w:rFonts w:ascii="Times New Roman" w:hAnsi="Times New Roman"/>
          <w:sz w:val="24"/>
          <w:szCs w:val="24"/>
        </w:rPr>
        <w:fldChar w:fldCharType="end"/>
      </w:r>
      <w:r w:rsidRPr="0012729E">
        <w:rPr>
          <w:rFonts w:ascii="Times New Roman" w:hAnsi="Times New Roman"/>
          <w:sz w:val="24"/>
          <w:szCs w:val="24"/>
        </w:rPr>
        <w:t>. AI provides a strong framework to connect multiple types of data and reveal non-linear relationships and interactions in microbial communities</w:t>
      </w:r>
      <w:r w:rsidR="003A1EB4" w:rsidRPr="0012729E">
        <w:rPr>
          <w:rFonts w:ascii="Times New Roman" w:hAnsi="Times New Roman"/>
          <w:sz w:val="24"/>
          <w:szCs w:val="24"/>
        </w:rPr>
        <w:fldChar w:fldCharType="begin"/>
      </w:r>
      <w:r w:rsidR="003A1EB4" w:rsidRPr="0012729E">
        <w:rPr>
          <w:rFonts w:ascii="Times New Roman" w:hAnsi="Times New Roman"/>
          <w:sz w:val="24"/>
          <w:szCs w:val="24"/>
        </w:rPr>
        <w:instrText xml:space="preserve"> ADDIN ZOTERO_ITEM CSL_CITATION {"citationID":"DDd17mKE","properties":{"formattedCitation":"(Alakilli et al., 2026)","plainCitation":"(Alakilli et al., 2026)","noteIndex":0},"citationItems":[{"id":19230,"uris":["http://zotero.org/users/16652950/items/NSREM6SM"],"itemData":{"id":19230,"type":"article-journal","abstract":"Background/Objectives: Predicting diseases based on the gut microbiome pattern is still difficult because of compositional shortcomings, batch heterogeneity, and scanty modeling of inter-taxon interactions. This study introduces a Dysbiosis-Aware Multiset Transformer Framework called DysbioFormer, which predicts state diseases by recognizing patterns of microbes. Methods: The current methods are mainly based on flat abundance representations or fixed-order models which limit the capability of describing intricate interactions of communities and evolutionary structure. Results: DysbioFormer is a solution to these shortcomings, in which each sample of the microbiome is modeled as a permutation-invariant multiset of taxonomic tokens with compositional, phylogenetic, and harmonized cohort data. Stacked Set Attention Blocks are used to learn relational dependencies between taxa, whereas Pooling-by-Multihead-Attention is used to aggregate global disease-level embeddings and this is not based on sequence assumptions. The model has been tested on MicrobiomeHD, which consists of a wide variety of human gut microbiome samples at a variety of disease conditions and healthy controls. Experimental results demonstrate strong diagnostic performance, achieving an accuracy of 97%, an AUC of 0.97, and an F1-score of 96%, consistently outperforming classical machine learning models under identical evaluation protocols. Attention-derived signatures also can give interpretable connections among predictive results and disease-linked microbial taxa, enhancing biological plausibility. Conclusions: The suggested architecture enables scalable, cohort-agnostic microbial diagnostics, and provides a principled route to transforming the complex information of the microbiome into reliable clinical information. DysbioFormer creates a universal basis of future microbiome-based disease screening and precision health uses. Its design allows extending towards multi-omics integration, longitudinal studies, and decision-support infrastructure, supporting microbiome-informed translational medicine in a variety of clinical research settings.","container-title":"Diagnostics","DOI":"10.3390/diagnostics16050688","ISSN":"2075-4418","issue":"5","journalAbbreviation":"Diagnostics (Basel)","note":"PMID: 41827963\nPMCID: PMC12984828","page":"688","source":"PubMed Central","title":"AI-Driven Microbial Diagnostics: Predicting Disease Signatures Through Microbial Pattern Recognition","title-short":"AI-Driven Microbial Diagnostics","volume":"16","author":[{"family":"Alakilli","given":"Saleha Y. M."},{"family":"Ibrahim","given":"Mohamed Nabil"},{"family":"Alanazi","given":"Awadh"},{"family":"El Azab","given":"Eman Fawzy"},{"family":"Alzhrani","given":"Khaled"},{"family":"Shahin","given":"Osama R."},{"family":"Mazhari","given":"Bi Bi Zainab"},{"family":"Ahmed","given":"Mohamed Atif A. Said"}],"issued":{"date-parts":[["2026",2,26]]}}}],"schema":"https://github.com/citation-style-language/schema/raw/master/csl-citation.json"} </w:instrText>
      </w:r>
      <w:r w:rsidR="003A1EB4" w:rsidRPr="0012729E">
        <w:rPr>
          <w:rFonts w:ascii="Times New Roman" w:hAnsi="Times New Roman"/>
          <w:sz w:val="24"/>
          <w:szCs w:val="24"/>
        </w:rPr>
        <w:fldChar w:fldCharType="separate"/>
      </w:r>
      <w:r w:rsidR="003A1EB4" w:rsidRPr="0012729E">
        <w:rPr>
          <w:rFonts w:ascii="Times New Roman" w:hAnsi="Times New Roman"/>
          <w:sz w:val="24"/>
          <w:szCs w:val="24"/>
        </w:rPr>
        <w:t>(Alakilli et al., 2026)</w:t>
      </w:r>
      <w:r w:rsidR="003A1EB4" w:rsidRPr="0012729E">
        <w:rPr>
          <w:rFonts w:ascii="Times New Roman" w:hAnsi="Times New Roman"/>
          <w:sz w:val="24"/>
          <w:szCs w:val="24"/>
        </w:rPr>
        <w:fldChar w:fldCharType="end"/>
      </w:r>
      <w:r w:rsidRPr="0012729E">
        <w:rPr>
          <w:rFonts w:ascii="Times New Roman" w:hAnsi="Times New Roman"/>
          <w:sz w:val="24"/>
          <w:szCs w:val="24"/>
        </w:rPr>
        <w:t>. AI can enhance the prediction of biochemical pathways in antibiotic resistance using machine learning, deep learning</w:t>
      </w:r>
      <w:r w:rsidR="00363338" w:rsidRPr="0012729E">
        <w:rPr>
          <w:rFonts w:ascii="Times New Roman" w:hAnsi="Times New Roman"/>
          <w:sz w:val="24"/>
          <w:szCs w:val="24"/>
        </w:rPr>
        <w:t>,</w:t>
      </w:r>
      <w:r w:rsidRPr="0012729E">
        <w:rPr>
          <w:rFonts w:ascii="Times New Roman" w:hAnsi="Times New Roman"/>
          <w:sz w:val="24"/>
          <w:szCs w:val="24"/>
        </w:rPr>
        <w:t xml:space="preserve"> and </w:t>
      </w:r>
      <w:r w:rsidR="00DC1430" w:rsidRPr="0012729E">
        <w:rPr>
          <w:rFonts w:ascii="Times New Roman" w:hAnsi="Times New Roman"/>
          <w:sz w:val="24"/>
          <w:szCs w:val="24"/>
        </w:rPr>
        <w:t>network-based</w:t>
      </w:r>
      <w:r w:rsidRPr="0012729E">
        <w:rPr>
          <w:rFonts w:ascii="Times New Roman" w:hAnsi="Times New Roman"/>
          <w:sz w:val="24"/>
          <w:szCs w:val="24"/>
        </w:rPr>
        <w:t xml:space="preserve"> modeling</w:t>
      </w:r>
      <w:r w:rsidR="003A1EB4" w:rsidRPr="0012729E">
        <w:rPr>
          <w:rFonts w:ascii="Times New Roman" w:hAnsi="Times New Roman"/>
          <w:sz w:val="24"/>
          <w:szCs w:val="24"/>
        </w:rPr>
        <w:fldChar w:fldCharType="begin"/>
      </w:r>
      <w:r w:rsidR="001827C6" w:rsidRPr="0012729E">
        <w:rPr>
          <w:rFonts w:ascii="Times New Roman" w:hAnsi="Times New Roman"/>
          <w:sz w:val="24"/>
          <w:szCs w:val="24"/>
        </w:rPr>
        <w:instrText xml:space="preserve"> ADDIN ZOTERO_ITEM CSL_CITATION {"citationID":"tpfUKFFS","properties":{"formattedCitation":"(Bilal et al., 2025a)","plainCitation":"(Bilal et al., 2025a)","noteIndex":0},"citationItems":[{"id":19233,"uris":["http://zotero.org/users/16652950/items/CFHQPFNE"],"itemData":{"id":19233,"type":"article-journal","abstract":"Antimicrobial resistance (AMR) is a major threat to global public health. The current review synthesizes to address the possible role of Artificial Intelligence and Machine Learning (AI/ML) in mitigating AMR. Supervised learning, unsupervised learning, deep learning, reinforcement learning, and natural language processing are some of the main tools used in this domain. AI/ML models can use various data sources, such as clinical information, genomic sequences, microbiome insights, and epidemiological data for predicting AMR outbreaks. Although AI/ML are relatively new fields, numerous case studies offer substantial evidence of their successful application in predicting AMR outbreaks with greater accuracy. These models can provide insights into the discovery of novel antimicrobials, the repurposing of existing drugs, and combination therapy through the analysis of their molecular structures. In addition, AI-based clinical decision support systems in real-time guide healthcare professionals to improve prescribing of antibiotics. The review also outlines how can AI improve AMR surveillance, analyze resistance trends, and enable early outbreak identification. Challenges, such as ethical considerations, data privacy, and model biases exist, however, the continuous development of novel methodologies enables AI/ML to play a significant role in combating AMR.","container-title":"Computational and Structural Biotechnology Journal","DOI":"10.1016/j.csbj.2025.01.006","ISSN":"2001-0370","journalAbbreviation":"Computational and Structural Biotechnology Journal","page":"423-439","source":"ScienceDirect","title":"The role of artificial intelligence and machine learning in predicting and combating antimicrobial resistance","volume":"27","author":[{"family":"Bilal","given":"Hazrat"},{"family":"Khan","given":"Muhammad Nadeem"},{"family":"Khan","given":"Sabir"},{"family":"Shafiq","given":"Muhammad"},{"family":"Fang","given":"Wenjie"},{"family":"Khan","given":"Rahat Ullah"},{"family":"Rahman","given":"Mujeeb Ur"},{"family":"Li","given":"Xiaohui"},{"family":"Lv","given":"Qiao-Li"},{"family":"Xu","given":"Bin"}],"issued":{"date-parts":[["2025",1,1]]}}}],"schema":"https://github.com/citation-style-language/schema/raw/master/csl-citation.json"} </w:instrText>
      </w:r>
      <w:r w:rsidR="003A1EB4" w:rsidRPr="0012729E">
        <w:rPr>
          <w:rFonts w:ascii="Times New Roman" w:hAnsi="Times New Roman"/>
          <w:sz w:val="24"/>
          <w:szCs w:val="24"/>
        </w:rPr>
        <w:fldChar w:fldCharType="separate"/>
      </w:r>
      <w:r w:rsidR="001827C6" w:rsidRPr="0012729E">
        <w:rPr>
          <w:rFonts w:ascii="Times New Roman" w:hAnsi="Times New Roman"/>
          <w:sz w:val="24"/>
          <w:szCs w:val="24"/>
        </w:rPr>
        <w:t>(Bilal et al., 2025a)</w:t>
      </w:r>
      <w:r w:rsidR="003A1EB4" w:rsidRPr="0012729E">
        <w:rPr>
          <w:rFonts w:ascii="Times New Roman" w:hAnsi="Times New Roman"/>
          <w:sz w:val="24"/>
          <w:szCs w:val="24"/>
        </w:rPr>
        <w:fldChar w:fldCharType="end"/>
      </w:r>
      <w:r w:rsidRPr="0012729E">
        <w:rPr>
          <w:rFonts w:ascii="Times New Roman" w:hAnsi="Times New Roman"/>
          <w:sz w:val="24"/>
          <w:szCs w:val="24"/>
        </w:rPr>
        <w:t>.</w:t>
      </w:r>
    </w:p>
    <w:p w14:paraId="70A976C1" w14:textId="77777777" w:rsidR="00D842F3" w:rsidRPr="0012729E" w:rsidRDefault="00D842F3" w:rsidP="00D842F3">
      <w:pPr>
        <w:rPr>
          <w:rFonts w:ascii="Times New Roman" w:hAnsi="Times New Roman"/>
          <w:sz w:val="24"/>
          <w:szCs w:val="24"/>
        </w:rPr>
      </w:pPr>
      <w:r w:rsidRPr="0012729E">
        <w:rPr>
          <w:rFonts w:ascii="Times New Roman" w:hAnsi="Times New Roman"/>
          <w:sz w:val="24"/>
          <w:szCs w:val="24"/>
        </w:rPr>
        <w:t xml:space="preserve">This review contrasts with most current antimicrobial resistance reviews that are largely based on </w:t>
      </w:r>
      <w:r w:rsidR="00363338" w:rsidRPr="0012729E">
        <w:rPr>
          <w:rFonts w:ascii="Times New Roman" w:hAnsi="Times New Roman"/>
          <w:sz w:val="24"/>
          <w:szCs w:val="24"/>
        </w:rPr>
        <w:t xml:space="preserve">the </w:t>
      </w:r>
      <w:r w:rsidRPr="0012729E">
        <w:rPr>
          <w:rFonts w:ascii="Times New Roman" w:hAnsi="Times New Roman"/>
          <w:sz w:val="24"/>
          <w:szCs w:val="24"/>
        </w:rPr>
        <w:t>detection of antimicrobial resistance genes by focusing on the interpretation of antimicrobial resistance at the pathway level by integrating microbial ecology, multi-omics</w:t>
      </w:r>
      <w:r w:rsidR="00363338" w:rsidRPr="0012729E">
        <w:rPr>
          <w:rFonts w:ascii="Times New Roman" w:hAnsi="Times New Roman"/>
          <w:sz w:val="24"/>
          <w:szCs w:val="24"/>
        </w:rPr>
        <w:t>,</w:t>
      </w:r>
      <w:r w:rsidRPr="0012729E">
        <w:rPr>
          <w:rFonts w:ascii="Times New Roman" w:hAnsi="Times New Roman"/>
          <w:sz w:val="24"/>
          <w:szCs w:val="24"/>
        </w:rPr>
        <w:t xml:space="preserve"> and artificial intelligence-driven systems biology.</w:t>
      </w:r>
      <w:r w:rsidR="00347FCF" w:rsidRPr="0012729E">
        <w:rPr>
          <w:rFonts w:ascii="Times New Roman" w:hAnsi="Times New Roman"/>
          <w:sz w:val="24"/>
          <w:szCs w:val="24"/>
        </w:rPr>
        <w:t xml:space="preserve"> </w:t>
      </w:r>
      <w:r w:rsidRPr="0012729E">
        <w:rPr>
          <w:rFonts w:ascii="Times New Roman" w:hAnsi="Times New Roman"/>
          <w:sz w:val="24"/>
          <w:szCs w:val="24"/>
        </w:rPr>
        <w:t xml:space="preserve">This review </w:t>
      </w:r>
      <w:r w:rsidR="00363338" w:rsidRPr="0012729E">
        <w:rPr>
          <w:rFonts w:ascii="Times New Roman" w:hAnsi="Times New Roman"/>
          <w:sz w:val="24"/>
          <w:szCs w:val="24"/>
        </w:rPr>
        <w:t>focuses</w:t>
      </w:r>
      <w:r w:rsidRPr="0012729E">
        <w:rPr>
          <w:rFonts w:ascii="Times New Roman" w:hAnsi="Times New Roman"/>
          <w:sz w:val="24"/>
          <w:szCs w:val="24"/>
        </w:rPr>
        <w:t xml:space="preserve"> on the growing field of artificial intelligence and computational tools to enhance the prediction of biochemical pathways that promote antibiotic resistance in microbial communities, highlighting key mechanisms, translatability, and future directions.</w:t>
      </w:r>
    </w:p>
    <w:p w14:paraId="303DB3FD" w14:textId="77777777" w:rsidR="004933C3" w:rsidRPr="0012729E" w:rsidRDefault="004933C3" w:rsidP="00D842F3">
      <w:pPr>
        <w:rPr>
          <w:rFonts w:ascii="Times New Roman" w:hAnsi="Times New Roman"/>
          <w:b/>
          <w:bCs/>
          <w:sz w:val="24"/>
          <w:szCs w:val="24"/>
        </w:rPr>
      </w:pPr>
      <w:r w:rsidRPr="0012729E">
        <w:rPr>
          <w:rFonts w:ascii="Times New Roman" w:hAnsi="Times New Roman"/>
          <w:b/>
          <w:bCs/>
          <w:sz w:val="24"/>
          <w:szCs w:val="24"/>
        </w:rPr>
        <w:t>1.1 Literature Search Strategy</w:t>
      </w:r>
    </w:p>
    <w:p w14:paraId="4A2EBDB6" w14:textId="77777777" w:rsidR="004933C3" w:rsidRPr="0012729E" w:rsidRDefault="00CF6F85" w:rsidP="004933C3">
      <w:pPr>
        <w:rPr>
          <w:rFonts w:ascii="Times New Roman" w:hAnsi="Times New Roman"/>
          <w:sz w:val="24"/>
          <w:szCs w:val="24"/>
        </w:rPr>
      </w:pPr>
      <w:r w:rsidRPr="0012729E">
        <w:rPr>
          <w:rFonts w:ascii="Times New Roman" w:hAnsi="Times New Roman"/>
          <w:sz w:val="24"/>
          <w:szCs w:val="24"/>
        </w:rPr>
        <w:t>The relevant literature was identified by searching PubMed, Scopus, Web of Science</w:t>
      </w:r>
      <w:r w:rsidR="00363338" w:rsidRPr="0012729E">
        <w:rPr>
          <w:rFonts w:ascii="Times New Roman" w:hAnsi="Times New Roman"/>
          <w:sz w:val="24"/>
          <w:szCs w:val="24"/>
        </w:rPr>
        <w:t>,</w:t>
      </w:r>
      <w:r w:rsidRPr="0012729E">
        <w:rPr>
          <w:rFonts w:ascii="Times New Roman" w:hAnsi="Times New Roman"/>
          <w:sz w:val="24"/>
          <w:szCs w:val="24"/>
        </w:rPr>
        <w:t xml:space="preserve"> and Google </w:t>
      </w:r>
      <w:r w:rsidR="00363338" w:rsidRPr="0012729E">
        <w:rPr>
          <w:rFonts w:ascii="Times New Roman" w:hAnsi="Times New Roman"/>
          <w:sz w:val="24"/>
          <w:szCs w:val="24"/>
        </w:rPr>
        <w:t>Scholar</w:t>
      </w:r>
      <w:r w:rsidRPr="0012729E">
        <w:rPr>
          <w:rFonts w:ascii="Times New Roman" w:hAnsi="Times New Roman"/>
          <w:sz w:val="24"/>
          <w:szCs w:val="24"/>
        </w:rPr>
        <w:t xml:space="preserve"> databases with keywords such as “antimicrobial resistance,” “artificial </w:t>
      </w:r>
      <w:r w:rsidRPr="0012729E">
        <w:rPr>
          <w:rFonts w:ascii="Times New Roman" w:hAnsi="Times New Roman"/>
          <w:sz w:val="24"/>
          <w:szCs w:val="24"/>
        </w:rPr>
        <w:lastRenderedPageBreak/>
        <w:t>intelligence,” “microbiome,” “multi-omics,” and “biochemical pathways”. In general, studies published mainly from 2015 to 2026 were prioritized. The studies focused on experimental, computational</w:t>
      </w:r>
      <w:r w:rsidR="00363338" w:rsidRPr="0012729E">
        <w:rPr>
          <w:rFonts w:ascii="Times New Roman" w:hAnsi="Times New Roman"/>
          <w:sz w:val="24"/>
          <w:szCs w:val="24"/>
        </w:rPr>
        <w:t>,</w:t>
      </w:r>
      <w:r w:rsidRPr="0012729E">
        <w:rPr>
          <w:rFonts w:ascii="Times New Roman" w:hAnsi="Times New Roman"/>
          <w:sz w:val="24"/>
          <w:szCs w:val="24"/>
        </w:rPr>
        <w:t xml:space="preserve"> and systems biology approaches relevant to resistance mechanisms and prediction of pathways, as well as AI-based approaches for antimicrobial resistance research</w:t>
      </w:r>
      <w:r w:rsidR="00363338" w:rsidRPr="0012729E">
        <w:rPr>
          <w:rFonts w:ascii="Times New Roman" w:hAnsi="Times New Roman"/>
          <w:sz w:val="24"/>
          <w:szCs w:val="24"/>
        </w:rPr>
        <w:t>,</w:t>
      </w:r>
      <w:r w:rsidRPr="0012729E">
        <w:rPr>
          <w:rFonts w:ascii="Times New Roman" w:hAnsi="Times New Roman"/>
          <w:sz w:val="24"/>
          <w:szCs w:val="24"/>
        </w:rPr>
        <w:t xml:space="preserve"> were included and critically synthesized.</w:t>
      </w:r>
    </w:p>
    <w:p w14:paraId="7E30CFEC" w14:textId="77777777" w:rsidR="00CF6F85" w:rsidRPr="0012729E" w:rsidRDefault="00CF6F85" w:rsidP="00CF6F85">
      <w:pPr>
        <w:rPr>
          <w:rFonts w:ascii="Times New Roman" w:hAnsi="Times New Roman"/>
          <w:b/>
          <w:bCs/>
          <w:sz w:val="24"/>
          <w:szCs w:val="24"/>
        </w:rPr>
      </w:pPr>
      <w:r w:rsidRPr="0012729E">
        <w:rPr>
          <w:rFonts w:ascii="Times New Roman" w:hAnsi="Times New Roman"/>
          <w:b/>
          <w:bCs/>
          <w:sz w:val="24"/>
          <w:szCs w:val="24"/>
        </w:rPr>
        <w:t>2.</w:t>
      </w:r>
      <w:r w:rsidR="00363338" w:rsidRPr="0012729E">
        <w:rPr>
          <w:rFonts w:ascii="Times New Roman" w:hAnsi="Times New Roman"/>
          <w:b/>
          <w:bCs/>
          <w:sz w:val="24"/>
          <w:szCs w:val="24"/>
        </w:rPr>
        <w:t xml:space="preserve"> </w:t>
      </w:r>
      <w:r w:rsidRPr="0012729E">
        <w:rPr>
          <w:rFonts w:ascii="Times New Roman" w:hAnsi="Times New Roman"/>
          <w:b/>
          <w:bCs/>
          <w:sz w:val="24"/>
          <w:szCs w:val="24"/>
        </w:rPr>
        <w:t xml:space="preserve">Biological and Biochemical mechanisms involved in antibiotic resistance. </w:t>
      </w:r>
    </w:p>
    <w:p w14:paraId="31A584A6"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Microorganisms have a variety of biological and biochemical changes </w:t>
      </w:r>
      <w:r w:rsidR="00363338" w:rsidRPr="0012729E">
        <w:rPr>
          <w:rFonts w:ascii="Times New Roman" w:hAnsi="Times New Roman"/>
          <w:sz w:val="24"/>
          <w:szCs w:val="24"/>
        </w:rPr>
        <w:t>that</w:t>
      </w:r>
      <w:r w:rsidRPr="0012729E">
        <w:rPr>
          <w:rFonts w:ascii="Times New Roman" w:hAnsi="Times New Roman"/>
          <w:sz w:val="24"/>
          <w:szCs w:val="24"/>
        </w:rPr>
        <w:t xml:space="preserve"> maintain their survival in the presence of antimicrobial pressure</w:t>
      </w:r>
      <w:r w:rsidR="00363338" w:rsidRPr="0012729E">
        <w:rPr>
          <w:rFonts w:ascii="Times New Roman" w:hAnsi="Times New Roman"/>
          <w:sz w:val="24"/>
          <w:szCs w:val="24"/>
        </w:rPr>
        <w:t>,</w:t>
      </w:r>
      <w:r w:rsidRPr="0012729E">
        <w:rPr>
          <w:rFonts w:ascii="Times New Roman" w:hAnsi="Times New Roman"/>
          <w:sz w:val="24"/>
          <w:szCs w:val="24"/>
        </w:rPr>
        <w:t xml:space="preserve"> and this is known as antibiotic resistance</w:t>
      </w:r>
      <w:r w:rsidR="003A1EB4" w:rsidRPr="0012729E">
        <w:rPr>
          <w:rFonts w:ascii="Times New Roman" w:hAnsi="Times New Roman"/>
          <w:sz w:val="24"/>
          <w:szCs w:val="24"/>
        </w:rPr>
        <w:fldChar w:fldCharType="begin"/>
      </w:r>
      <w:r w:rsidR="00560E3E" w:rsidRPr="0012729E">
        <w:rPr>
          <w:rFonts w:ascii="Times New Roman" w:hAnsi="Times New Roman"/>
          <w:sz w:val="24"/>
          <w:szCs w:val="24"/>
        </w:rPr>
        <w:instrText xml:space="preserve"> ADDIN ZOTERO_ITEM CSL_CITATION {"citationID":"45PgrmL3","properties":{"formattedCitation":"(Nimmana &amp; Nguyen, 2026)","plainCitation":"(Nimmana &amp; Nguyen, 2026)","noteIndex":0},"citationItems":[{"id":19236,"uris":["http://zotero.org/users/16652950/items/DX387VRL"],"itemData":{"id":19236,"type":"chapter","abstract":"Antibiotic resistance is the capacity of bacteria to survive and proliferate despite exposure to antibiotics that would typically inhibit their growth or eliminate them. Resistance develops through various mechanisms, including genetic mutations, production of enzymes that degrade antibiotics, efflux pumps, horizontal gene transfer, and adaptive physiological changes. Resistance is typically identified through in vitro susceptibility testing. As a component of broader antimicrobial resistance (AMR), antibiotic resistance leads to treatment failure, prolonged illness, and heightened mortality worldwide.[CDC. About antimicrobial resistance. 2025][ECDC. Antimicrobial resistance (AMR). 2025] Results from a 2016 national study estimated that approximately 30% of outpatient antibiotic prescriptions were inappropriate, underscoring widespread prescribing inefficiencies. As of 2022, Centers for Disease Control and Prevention (CDC) surveillance data show that nearly 28% of outpatient antibiotic prescriptions are unnecessary. Moreover, 29.5% of these prescriptions involved broad-spectrum antibiotics classified under the World Health Organization (WHO) Watch category (from Access, Watch, Reserve antibiotic guidance), which are associated with a high risk of promoting resistance.[CDC. Core Elements of Hospital Antibiotic Stewardship Programs. 2025][CDC Antibiotic Use and Stewardship in the United States, 2024 Update: Progress and Opportunities. 2024] To address these challenges, antimicrobial stewardship programs have been widely endorsed by major health organizations, including the CDC, the Infectious Diseases Society of America, and the Society for Healthcare Epidemiology of America.[CDC. Core Elements of Hospital Antibiotic Stewardship Programs. 2025] These programs focus on optimizing antibiotic use through evidence-based prescribing protocols, interprofessional collaboration, and systematic review and auditing of prescribing practices. Epidemiology Globally, antibiotic resistance is escalating rapidly. In 2021, bacterial antimicrobial resistance was linked to an estimated 4.71 million deaths, including 1.14 million directly caused by resistant infections. While AMR-related mortality has decreased among children younger than 5, adults older than 70 have had more than an 80% increase in deaths attributed to AMR during the same timeframe. There is growing concern about increasing resistance in gram-negative pathogens, a paucity of new antibiotics in development, and the risk of significant adverse effects with existing antibiotics. Antibiotic consumption has also grown substantially, from 29.5 billion to 34.3 billion defined daily doses between 2016 and 2023, a 16.3% increase. This trend is most pronounced in low- and middle-income countries and is closely linked to inappropriate prescribing and over-the-counter antibiotic use. Antimicrobial resistance places a massive financial strain on global healthcare systems, costing tens of billions of United States (US) dollars each year. If current trends continue, this figure is expected to surge into the hundreds of billions annually within the next 10 years. For instance, the World Bank projects up to $159 billion in yearly impact by 2050, while the O’Neill Review foresees a cumulative global loss of approximately $100 trillion by mid-century if no action is taken. The estimated cost per individual resistant infection ranges from $100 to more than $20,000, depending on the pathogen and setting, as well as broader economic losses from reduced productivity and premature deaths. In the US, hospital-onset resistant infections increased by approximately 20% between 2021 and 2022, following the COVID-19 pandemic.[CDC. Antimicrobial Resistance Facts and Stats. 2025]. Particularly concerning is the emergence of Candida auris, a multidrug-resistant fungus, and cases have increased 5-fold since 2019.[CDC. Antimicrobial Resistance Facts and Stats. 2025.][CDC. About antimicrobial resistance. 2025][ECDC. Antimicrobial resistance (AMR). 2025] Enterococcus faecium, Staphylococcus aureus, Klebsiella pneumoniae, Acinetobacter baumannii, Pseudomonas aeruginosa, and Enterobacter spp (ESKAPE pathogens) remain major causes of hospital-acquired infections and show rising resistance trends in some regions (eg, China). Each year, more than 2.8 million antibiotic-resistant infections and over 35,000 related deaths occur in the US, mirroring global trends (see Table 1).[CDC. Antibiotic Resistance Threats in the United States, 2019. 2019] Without effective intervention, AMR is projected to claim up to 10 million lives annually by 2050, potentially totaling 39 million deaths over the next 25 years. Global surveillance efforts are expanding in response to this threat. The WHO Global Antimicrobial Resistance Surveillance System, launched in 2015, provides standardized international data on antimicrobial resistance trends to inform policy. In 2024, the United Nations General Assembly reaffirmed worldwide commitments to stewardship, innovation, and equitable access to effective antimicrobials.[WHO. Global antibiotic resistance surveillance report 2025. 2025] [CDC. Antibiotic Resistance Threats in the United States, 2019. 2019]","call-number":"NBK513277","container-title":"StatPearls","event-place":"Treasure Island (FL)","language":"eng","license":"Copyright © 2026, StatPearls Publishing LLC.","note":"PMID: 30020649","publisher":"StatPearls Publishing","publisher-place":"Treasure Island (FL)","source":"PubMed","title":"Antibiotic Resistance","URL":"http://www.ncbi.nlm.nih.gov/books/NBK513277/","author":[{"family":"Nimmana","given":"Bala K."},{"family":"Nguyen","given":"Andrew D."}],"accessed":{"date-parts":[["2026",5,26]]},"issued":{"date-parts":[["2026"]]}}}],"schema":"https://github.com/citation-style-language/schema/raw/master/csl-citation.json"} </w:instrText>
      </w:r>
      <w:r w:rsidR="003A1EB4" w:rsidRPr="0012729E">
        <w:rPr>
          <w:rFonts w:ascii="Times New Roman" w:hAnsi="Times New Roman"/>
          <w:sz w:val="24"/>
          <w:szCs w:val="24"/>
        </w:rPr>
        <w:fldChar w:fldCharType="separate"/>
      </w:r>
      <w:r w:rsidR="00560E3E" w:rsidRPr="0012729E">
        <w:rPr>
          <w:rFonts w:ascii="Times New Roman" w:hAnsi="Times New Roman"/>
          <w:sz w:val="24"/>
          <w:szCs w:val="24"/>
        </w:rPr>
        <w:t>(Nimmana &amp; Nguyen, 2026)</w:t>
      </w:r>
      <w:r w:rsidR="003A1EB4" w:rsidRPr="0012729E">
        <w:rPr>
          <w:rFonts w:ascii="Times New Roman" w:hAnsi="Times New Roman"/>
          <w:sz w:val="24"/>
          <w:szCs w:val="24"/>
        </w:rPr>
        <w:fldChar w:fldCharType="end"/>
      </w:r>
      <w:r w:rsidRPr="0012729E">
        <w:rPr>
          <w:rFonts w:ascii="Times New Roman" w:hAnsi="Times New Roman"/>
          <w:sz w:val="24"/>
          <w:szCs w:val="24"/>
        </w:rPr>
        <w:t>. The mechanisms are not only genetic acquisition but also include coordinated activity of enzymes, structural changes, transport regulation, metabolic adjustment</w:t>
      </w:r>
      <w:r w:rsidR="00363338" w:rsidRPr="0012729E">
        <w:rPr>
          <w:rFonts w:ascii="Times New Roman" w:hAnsi="Times New Roman"/>
          <w:sz w:val="24"/>
          <w:szCs w:val="24"/>
        </w:rPr>
        <w:t>,</w:t>
      </w:r>
      <w:r w:rsidRPr="0012729E">
        <w:rPr>
          <w:rFonts w:ascii="Times New Roman" w:hAnsi="Times New Roman"/>
          <w:sz w:val="24"/>
          <w:szCs w:val="24"/>
        </w:rPr>
        <w:t xml:space="preserve"> and interactions at the community level</w:t>
      </w:r>
      <w:r w:rsidR="00560E3E" w:rsidRPr="0012729E">
        <w:rPr>
          <w:rFonts w:ascii="Times New Roman" w:hAnsi="Times New Roman"/>
          <w:sz w:val="24"/>
          <w:szCs w:val="24"/>
        </w:rPr>
        <w:fldChar w:fldCharType="begin"/>
      </w:r>
      <w:r w:rsidR="00560E3E" w:rsidRPr="0012729E">
        <w:rPr>
          <w:rFonts w:ascii="Times New Roman" w:hAnsi="Times New Roman"/>
          <w:sz w:val="24"/>
          <w:szCs w:val="24"/>
        </w:rPr>
        <w:instrText xml:space="preserve"> ADDIN ZOTERO_ITEM CSL_CITATION {"citationID":"1OCLrfO4","properties":{"formattedCitation":"(Al Zubaidi et al., 2025)","plainCitation":"(Al Zubaidi et al., 2025)","noteIndex":0},"citationItems":[{"id":19242,"uris":["http://zotero.org/users/16652950/items/CR5JPJ4E"],"itemData":{"id":19242,"type":"article-journal","abstract":"Enzyme activation by cellular metabolites plays a pivotal role in regulating metabolic processes. Nevertheless, our comprehension of such activation events on a global network scale remains incomplete. In this study, we conducted a comprehensive investigation into the optimization of cell-intrinsic activation interactions using Saccharomyces cerevisiae metabolic network as the basis of the analysis. To achieve this, we integrated a genome-scale metabolic model with cross-species enzyme kinetic data sourced from the BRENDA database, and to use this model as a basis to estimate the distribution of enzyme activators throughout the cellular network. Our findings indicate that the vast majority of biochemical pathways encompass enzyme activators, frequently originating from disparate pathways, thus revealing extensive regulatory crosstalk between metabolic pathways. Notably, activators have short pathway lengths, indicating they are activated quickly upon nutrient shifts, and in most instances, these activators target key enzymatic reactions to facilitate downstream metabolic processes. Interestingly, highly activated enzymes are substantially enriched with non-essential enzymes compared to their essential counterparts. This observation suggests that cells employ enzyme activators to finely regulate secondary metabolic pathways that are only required under specific conditions. Conversely, the activator metabolites themselves are more likely to be essential components, and their activation levels surpass those of non-essential activators. In summary, our study unveils the widespread importance of enzymatic activators and suggests that feed-forward activation of conditional metabolic pathways through essential metabolites mediates metabolic plasticity., \n\n, Enzyme kinetic data from the BRENDA database were mapped onto the genome-scale metabolic model of Saccharomyces cerevisiae to construct the cell-intrinsic activation interactions network., \nIntracellular enzyme-metabolite activation interactions are distributed across all metabolic pathways, forming a regulatory network that highlights crosstalk between them.In most biochemical pathways, the enzymes involved in the initial metabolic reactions are typically activated; however, activation at various other points along the pathway is also observed.Highly activating metabolites are essential for growth, whereas highly activated enzymes are mostly non-essential.Cellular activatory metabolites are linked to nutrients through fewer connections compared to non-activatory metabolites.\n, Enzyme kinetic data from the BRENDA database were mapped onto the genome-scale metabolic model of Saccharomyces cerevisiae to construct the cell-intrinsic activation interactions network.,","container-title":"Molecular Systems Biology","DOI":"10.1038/s44320-025-00111-7","ISSN":"1744-4292","issue":"7","journalAbbreviation":"Mol Syst Biol","note":"PMID: 40404951\nPMCID: PMC12222706","page":"870-888","source":"PubMed Central","title":"An enzyme activation network reveals extensive regulatory crosstalk between metabolic pathways","volume":"21","author":[{"family":"Al Zubaidi","given":"Sultana Mohammed"},{"family":"Nasar","given":"Muhammad Ibtisam"},{"family":"Notebaart","given":"Richard A"},{"family":"Ralser","given":"Markus"},{"family":"Alam","given":"Mohammad Tauqeer"}],"issued":{"date-parts":[["2025",5,22]]}}}],"schema":"https://github.com/citation-style-language/schema/raw/master/csl-citation.json"} </w:instrText>
      </w:r>
      <w:r w:rsidR="00560E3E" w:rsidRPr="0012729E">
        <w:rPr>
          <w:rFonts w:ascii="Times New Roman" w:hAnsi="Times New Roman"/>
          <w:sz w:val="24"/>
          <w:szCs w:val="24"/>
        </w:rPr>
        <w:fldChar w:fldCharType="separate"/>
      </w:r>
      <w:r w:rsidR="00560E3E" w:rsidRPr="0012729E">
        <w:rPr>
          <w:rFonts w:ascii="Times New Roman" w:hAnsi="Times New Roman"/>
          <w:sz w:val="24"/>
          <w:szCs w:val="24"/>
        </w:rPr>
        <w:t>(Al Zubaidi et al., 2025)</w:t>
      </w:r>
      <w:r w:rsidR="00560E3E" w:rsidRPr="0012729E">
        <w:rPr>
          <w:rFonts w:ascii="Times New Roman" w:hAnsi="Times New Roman"/>
          <w:sz w:val="24"/>
          <w:szCs w:val="24"/>
        </w:rPr>
        <w:fldChar w:fldCharType="end"/>
      </w:r>
      <w:r w:rsidRPr="0012729E">
        <w:rPr>
          <w:rFonts w:ascii="Times New Roman" w:hAnsi="Times New Roman"/>
          <w:sz w:val="24"/>
          <w:szCs w:val="24"/>
        </w:rPr>
        <w:t>. The understanding of these mechanisms is key to identifying biochemical pathways that enable resistance in microbial populations and polymicrobial environments.</w:t>
      </w:r>
    </w:p>
    <w:p w14:paraId="35DEAE25"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Enzymatic degradation of antibiotics or chemical modification is one of the well-established resistance mechanisms</w:t>
      </w:r>
      <w:r w:rsidR="002542B0" w:rsidRPr="0012729E">
        <w:rPr>
          <w:rFonts w:ascii="Times New Roman" w:hAnsi="Times New Roman"/>
          <w:sz w:val="24"/>
          <w:szCs w:val="24"/>
        </w:rPr>
        <w:t xml:space="preserve"> </w:t>
      </w:r>
      <w:r w:rsidR="00560E3E"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{"citationID":"CuMpf3Nq","properties":{"formattedCitation":"(Munita &amp; Arias, 2016; S. Sun, 2025)","plainCitation":"(Munita &amp; Arias, 2016; S. Sun, 2025)","noteIndex":0},"citationItems":[{"id":19248,"uris":["http://zotero.org/users/16652950/items/N2SUP55W"],"itemData":{"id":19248,"type":"article-journal","abstract":"Emergence of resistance among the most important bacterial pathogens is recognized as a major public health threat affecting humans worldwide. Multidrug-resistant organisms have emerged not only in the hospital environment but are now often identified in community settings, suggesting that reservoirs of antibiotic-resistant bacteria are present outside the hospital. The bacterial response to the antibiotic “attack” is the prime example of bacterial adaptation and the pinnacle of evolution. “Survival of the fittest” is a consequence of an immense genetic plasticity of bacterial pathogens that trigger specific responses that result in mutational adaptations, acquisition of genetic material or alteration of gene expression producing resistance to virtually all antibiotics currently available in clinical practice. Therefore, understanding the biochemical and genetic basis of resistance is of paramount importance to design strategies to curtail the emergence and spread of resistance and devise innovative therapeutic approaches against multidrug-resistant organisms. In this chapter, we will describe in detail the major mechanisms of antibiotic resistance encountered in clinical practice providing specific examples in relevant bacterial pathogens.","container-title":"Microbiology spectrum","DOI":"10.1128/microbiolspec.VMBF-0016-2015","ISSN":"2165-0497","issue":"2","journalAbbreviation":"Microbiol Spectr","note":"PMID: 27227291\nPMCID: PMC4888801","page":"10.1128/microbiolspec.VMBF-0016-2015","source":"PubMed Central","title":"Mechanisms of Antibiotic Resistance","volume":"4","author":[{"family":"Munita","given":"Jose M."},{"family":"Arias","given":"Cesar A."}],"issued":{"date-parts":[["2016",4]]}}},{"id":19245,"uris":["http://zotero.org/users/16652950/items/66FEJ64W"],"itemData":{"id":19245,"type":"article-journal","abstract":"The emergence and dissemination of antibiotic resistance represents a significant and ever-increasing global threat to human, animal, and environmental health. The explosive proliferation of resistance has ultimately been seen in all clinically used antibiotics. Infections caused by antibiotic-resistant bacteria have been associated with an estimated 4,950,000 deaths annually, with extremely limited therapeutic options and only a few new antibiotics under development. To combat this silent pandemic, a better understanding of the molecular mechanisms of antibiotic resistance is immensely needed, which not only helps to improve the efficacy of current drugs in clinical use but also design new antimicrobial agents that are less susceptible to resistance.","container-title":"European Journal of Clinical Microbiology &amp; Infectious Diseases","DOI":"10.1007/s10096-025-05126-4","ISSN":"1435-4373","issue":"7","journalAbbreviation":"Eur J Clin Microbiol Infect Dis","language":"en","page":"1551-1566","source":"Springer Link","title":"Emerging antibiotic resistance by various novel proteins/enzymes","volume":"44","author":[{"family":"Sun","given":"Shengwei"}],"issued":{"date-parts":[["2025",7,1]]}}}],"schema":"https://github.com/citation-style-language/schema/raw/master/csl-citation.json"} </w:instrText>
      </w:r>
      <w:r w:rsidR="00560E3E" w:rsidRPr="0012729E">
        <w:rPr>
          <w:rFonts w:ascii="Times New Roman" w:hAnsi="Times New Roman"/>
          <w:sz w:val="24"/>
          <w:szCs w:val="24"/>
        </w:rPr>
        <w:fldChar w:fldCharType="separate"/>
      </w:r>
      <w:r w:rsidR="00CC4609" w:rsidRPr="0012729E">
        <w:rPr>
          <w:rFonts w:ascii="Times New Roman" w:hAnsi="Times New Roman"/>
          <w:sz w:val="24"/>
          <w:szCs w:val="24"/>
        </w:rPr>
        <w:t>(Munita &amp; Arias, 2016; S. Sun, 2025)</w:t>
      </w:r>
      <w:r w:rsidR="00560E3E" w:rsidRPr="0012729E">
        <w:rPr>
          <w:rFonts w:ascii="Times New Roman" w:hAnsi="Times New Roman"/>
          <w:sz w:val="24"/>
          <w:szCs w:val="24"/>
        </w:rPr>
        <w:fldChar w:fldCharType="end"/>
      </w:r>
      <w:r w:rsidRPr="0012729E">
        <w:rPr>
          <w:rFonts w:ascii="Times New Roman" w:hAnsi="Times New Roman"/>
          <w:sz w:val="24"/>
          <w:szCs w:val="24"/>
        </w:rPr>
        <w:t xml:space="preserve">. Many bacteria have enzymes </w:t>
      </w:r>
      <w:r w:rsidR="00363338" w:rsidRPr="0012729E">
        <w:rPr>
          <w:rFonts w:ascii="Times New Roman" w:hAnsi="Times New Roman"/>
          <w:sz w:val="24"/>
          <w:szCs w:val="24"/>
        </w:rPr>
        <w:t>that</w:t>
      </w:r>
      <w:r w:rsidRPr="0012729E">
        <w:rPr>
          <w:rFonts w:ascii="Times New Roman" w:hAnsi="Times New Roman"/>
          <w:sz w:val="24"/>
          <w:szCs w:val="24"/>
        </w:rPr>
        <w:t xml:space="preserve"> directly inactivate antimicrobial compounds before they can reach intracellular targets</w:t>
      </w:r>
      <w:r w:rsidR="009A1084" w:rsidRPr="0012729E">
        <w:rPr>
          <w:rFonts w:ascii="Times New Roman" w:hAnsi="Times New Roman"/>
          <w:sz w:val="24"/>
          <w:szCs w:val="24"/>
        </w:rPr>
        <w:fldChar w:fldCharType="begin"/>
      </w:r>
      <w:r w:rsidR="00A329FA" w:rsidRPr="0012729E">
        <w:rPr>
          <w:rFonts w:ascii="Times New Roman" w:hAnsi="Times New Roman"/>
          <w:sz w:val="24"/>
          <w:szCs w:val="24"/>
        </w:rPr>
        <w:instrText xml:space="preserve"> ADDIN ZOTERO_ITEM CSL_CITATION {"citationID":"czTKFNyG","properties":{"formattedCitation":"(Y. Xie et al., 2025)","plainCitation":"(Y. Xie et al., 2025)","noteIndex":0},"citationItems":[{"id":19251,"uris":["http://zotero.org/users/16652950/items/5GAUEBBC"],"itemData":{"id":19251,"type":"article-journal","abstract":"The discovery and clinical deployment of antibiotics marked a paradigm shift in combating bacterial infections, profoundly benefiting human medicine, ...","container-title":"Pathogens","DOI":"10.3390/pathogens14111085","ISSN":"2076-0817","issue":"11","language":"en","license":"http://creativecommons.org/licenses/by/3.0/","note":"publisher: Multidisciplinary Digital Publishing Institute","source":"www.mdpi.com","title":"Unveiling the Mechanisms of Bacterial Resistance and Countermeasures","URL":"https://www.mdpi.com/2076-0817/14/11/1085","volume":"14","author":[{"family":"Xie","given":"Yuqing"},{"family":"Lu","given":"Hao"},{"family":"Liu","given":"Yichen"},{"family":"Hu","given":"Gaowei"},{"family":"Lian","given":"Siqi"},{"family":"Liu","given":"Jiaqi"},{"family":"Pang","given":"Shengmei"},{"family":"Zhu","given":"Guoqiang"},{"family":"Ding","given":"Xueyan"}],"accessed":{"date-parts":[["2026",5,26]]},"issued":{"date-parts":[["2025",10,23]]}}}],"schema":"https://github.com/citation-style-language/schema/raw/master/csl-citation.json"} </w:instrText>
      </w:r>
      <w:r w:rsidR="009A1084" w:rsidRPr="0012729E">
        <w:rPr>
          <w:rFonts w:ascii="Times New Roman" w:hAnsi="Times New Roman"/>
          <w:sz w:val="24"/>
          <w:szCs w:val="24"/>
        </w:rPr>
        <w:fldChar w:fldCharType="separate"/>
      </w:r>
      <w:r w:rsidR="00A329FA" w:rsidRPr="0012729E">
        <w:rPr>
          <w:rFonts w:ascii="Times New Roman" w:hAnsi="Times New Roman"/>
          <w:sz w:val="24"/>
          <w:szCs w:val="24"/>
        </w:rPr>
        <w:t>(Y. Xie et al., 2025)</w:t>
      </w:r>
      <w:r w:rsidR="009A1084" w:rsidRPr="0012729E">
        <w:rPr>
          <w:rFonts w:ascii="Times New Roman" w:hAnsi="Times New Roman"/>
          <w:sz w:val="24"/>
          <w:szCs w:val="24"/>
        </w:rPr>
        <w:fldChar w:fldCharType="end"/>
      </w:r>
      <w:r w:rsidRPr="0012729E">
        <w:rPr>
          <w:rFonts w:ascii="Times New Roman" w:hAnsi="Times New Roman"/>
          <w:sz w:val="24"/>
          <w:szCs w:val="24"/>
        </w:rPr>
        <w:t xml:space="preserve">. A significant example, in particular, is </w:t>
      </w:r>
      <w:r w:rsidR="00363338" w:rsidRPr="0012729E">
        <w:rPr>
          <w:rFonts w:ascii="Times New Roman" w:hAnsi="Times New Roman"/>
          <w:sz w:val="24"/>
          <w:szCs w:val="24"/>
        </w:rPr>
        <w:t>beta-lactamases</w:t>
      </w:r>
      <w:r w:rsidRPr="0012729E">
        <w:rPr>
          <w:rFonts w:ascii="Times New Roman" w:hAnsi="Times New Roman"/>
          <w:sz w:val="24"/>
          <w:szCs w:val="24"/>
        </w:rPr>
        <w:t xml:space="preserve">, which break down </w:t>
      </w:r>
      <w:proofErr w:type="spellStart"/>
      <w:r w:rsidRPr="0012729E">
        <w:rPr>
          <w:rFonts w:ascii="Times New Roman" w:hAnsi="Times New Roman"/>
          <w:sz w:val="24"/>
          <w:szCs w:val="24"/>
        </w:rPr>
        <w:t>penicillins</w:t>
      </w:r>
      <w:proofErr w:type="spellEnd"/>
      <w:r w:rsidRPr="0012729E">
        <w:rPr>
          <w:rFonts w:ascii="Times New Roman" w:hAnsi="Times New Roman"/>
          <w:sz w:val="24"/>
          <w:szCs w:val="24"/>
        </w:rPr>
        <w:t>, cephalosporins</w:t>
      </w:r>
      <w:r w:rsidR="00363338" w:rsidRPr="0012729E">
        <w:rPr>
          <w:rFonts w:ascii="Times New Roman" w:hAnsi="Times New Roman"/>
          <w:sz w:val="24"/>
          <w:szCs w:val="24"/>
        </w:rPr>
        <w:t>,</w:t>
      </w:r>
      <w:r w:rsidRPr="0012729E">
        <w:rPr>
          <w:rFonts w:ascii="Times New Roman" w:hAnsi="Times New Roman"/>
          <w:sz w:val="24"/>
          <w:szCs w:val="24"/>
        </w:rPr>
        <w:t xml:space="preserve"> and related antibiotics by cleaving the </w:t>
      </w:r>
      <w:r w:rsidR="00363338" w:rsidRPr="0012729E">
        <w:rPr>
          <w:rFonts w:ascii="Times New Roman" w:hAnsi="Times New Roman"/>
          <w:sz w:val="24"/>
          <w:szCs w:val="24"/>
        </w:rPr>
        <w:t>beta-lactam</w:t>
      </w:r>
      <w:r w:rsidRPr="0012729E">
        <w:rPr>
          <w:rFonts w:ascii="Times New Roman" w:hAnsi="Times New Roman"/>
          <w:sz w:val="24"/>
          <w:szCs w:val="24"/>
        </w:rPr>
        <w:t xml:space="preserve"> ring that is responsible for their antimicrobial activity</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{"citationID":"0mLa03Ue","properties":{"formattedCitation":"(Huang &amp; Zhou, 2025)","plainCitation":"(Huang &amp; Zhou, 2025)","noteIndex":0},"citationItems":[{"id":19254,"uris":["http://zotero.org/users/16652950/items/WKH8CRUD"],"itemData":{"id":19254,"type":"article-journal","abstract":"Beta-lactam drugs hold a central place in the antibacterial arsenal, and the production of beta-lactamases by drug-resistant bacteria has severely com...","container-title":"Pharmaceuticals","DOI":"10.3390/ph18020206","ISSN":"1424-8247","issue":"2","language":"en","license":"http://creativecommons.org/licenses/by/3.0/","note":"publisher: Multidisciplinary Digital Publishing Institute","source":"www.mdpi.com","title":"Breakthrough Advances in Beta-Lactamase Inhibitors: New Synthesized Compounds and Mechanisms of Action Against Drug-Resistant Bacteria","title-short":"Breakthrough Advances in Beta-Lactamase Inhibitors","URL":"https://www.mdpi.com/1424-8247/18/2/206","volume":"18","author":[{"family":"Huang","given":"Ya-Si"},{"family":"Zhou","given":"Hong"}],"accessed":{"date-parts":[["2026",5,26]]},"issued":{"date-parts":[["2025",2,2]]}}}],"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(Huang &amp; Zhou, 2025)</w:t>
      </w:r>
      <w:r w:rsidR="009A1084" w:rsidRPr="0012729E">
        <w:rPr>
          <w:rFonts w:ascii="Times New Roman" w:hAnsi="Times New Roman"/>
          <w:sz w:val="24"/>
          <w:szCs w:val="24"/>
        </w:rPr>
        <w:fldChar w:fldCharType="end"/>
      </w:r>
      <w:r w:rsidRPr="0012729E">
        <w:rPr>
          <w:rFonts w:ascii="Times New Roman" w:hAnsi="Times New Roman"/>
          <w:sz w:val="24"/>
          <w:szCs w:val="24"/>
        </w:rPr>
        <w:t xml:space="preserve">. A </w:t>
      </w:r>
      <w:r w:rsidR="00363338" w:rsidRPr="0012729E">
        <w:rPr>
          <w:rFonts w:ascii="Times New Roman" w:hAnsi="Times New Roman"/>
          <w:sz w:val="24"/>
          <w:szCs w:val="24"/>
        </w:rPr>
        <w:t>subset</w:t>
      </w:r>
      <w:r w:rsidRPr="0012729E">
        <w:rPr>
          <w:rFonts w:ascii="Times New Roman" w:hAnsi="Times New Roman"/>
          <w:sz w:val="24"/>
          <w:szCs w:val="24"/>
        </w:rPr>
        <w:t xml:space="preserve"> of these </w:t>
      </w:r>
      <w:r w:rsidR="00DC1430" w:rsidRPr="0012729E">
        <w:rPr>
          <w:rFonts w:ascii="Times New Roman" w:hAnsi="Times New Roman"/>
          <w:sz w:val="24"/>
          <w:szCs w:val="24"/>
        </w:rPr>
        <w:t>is</w:t>
      </w:r>
      <w:r w:rsidRPr="0012729E">
        <w:rPr>
          <w:rFonts w:ascii="Times New Roman" w:hAnsi="Times New Roman"/>
          <w:sz w:val="24"/>
          <w:szCs w:val="24"/>
        </w:rPr>
        <w:t xml:space="preserve"> called ‘</w:t>
      </w:r>
      <w:proofErr w:type="spellStart"/>
      <w:r w:rsidRPr="0012729E">
        <w:rPr>
          <w:rFonts w:ascii="Times New Roman" w:hAnsi="Times New Roman"/>
          <w:sz w:val="24"/>
          <w:szCs w:val="24"/>
        </w:rPr>
        <w:t>carbapenemases</w:t>
      </w:r>
      <w:proofErr w:type="spellEnd"/>
      <w:r w:rsidRPr="0012729E">
        <w:rPr>
          <w:rFonts w:ascii="Times New Roman" w:hAnsi="Times New Roman"/>
          <w:sz w:val="24"/>
          <w:szCs w:val="24"/>
        </w:rPr>
        <w:t xml:space="preserve">' because they break down carbapenems, a class of antibiotics that are reserved for the most severe of infections. </w:t>
      </w:r>
      <w:r w:rsidR="00363338" w:rsidRPr="0012729E">
        <w:rPr>
          <w:rFonts w:ascii="Times New Roman" w:hAnsi="Times New Roman"/>
          <w:sz w:val="24"/>
          <w:szCs w:val="24"/>
        </w:rPr>
        <w:t>Aminoglycoside-modifying</w:t>
      </w:r>
      <w:r w:rsidRPr="0012729E">
        <w:rPr>
          <w:rFonts w:ascii="Times New Roman" w:hAnsi="Times New Roman"/>
          <w:sz w:val="24"/>
          <w:szCs w:val="24"/>
        </w:rPr>
        <w:t xml:space="preserve"> enzymes also play a large role in resistance by phosphorylation, acetylation</w:t>
      </w:r>
      <w:r w:rsidR="00363338" w:rsidRPr="0012729E">
        <w:rPr>
          <w:rFonts w:ascii="Times New Roman" w:hAnsi="Times New Roman"/>
          <w:sz w:val="24"/>
          <w:szCs w:val="24"/>
        </w:rPr>
        <w:t>,</w:t>
      </w:r>
      <w:r w:rsidRPr="0012729E">
        <w:rPr>
          <w:rFonts w:ascii="Times New Roman" w:hAnsi="Times New Roman"/>
          <w:sz w:val="24"/>
          <w:szCs w:val="24"/>
        </w:rPr>
        <w:t xml:space="preserve"> or adenylation of the aminoglycoside molecule</w:t>
      </w:r>
      <w:r w:rsidR="00363338" w:rsidRPr="0012729E">
        <w:rPr>
          <w:rFonts w:ascii="Times New Roman" w:hAnsi="Times New Roman"/>
          <w:sz w:val="24"/>
          <w:szCs w:val="24"/>
        </w:rPr>
        <w:t>,</w:t>
      </w:r>
      <w:r w:rsidRPr="0012729E">
        <w:rPr>
          <w:rFonts w:ascii="Times New Roman" w:hAnsi="Times New Roman"/>
          <w:sz w:val="24"/>
          <w:szCs w:val="24"/>
        </w:rPr>
        <w:t xml:space="preserve"> which makes it less capable of interacting with the bacterial ribosome. The ability to prevent therapeutic effectiveness through biochemical transformation of drugs as a result of these </w:t>
      </w:r>
      <w:r w:rsidR="00363338" w:rsidRPr="0012729E">
        <w:rPr>
          <w:rFonts w:ascii="Times New Roman" w:hAnsi="Times New Roman"/>
          <w:sz w:val="24"/>
          <w:szCs w:val="24"/>
        </w:rPr>
        <w:t>enzyme-driven</w:t>
      </w:r>
      <w:r w:rsidRPr="0012729E">
        <w:rPr>
          <w:rFonts w:ascii="Times New Roman" w:hAnsi="Times New Roman"/>
          <w:sz w:val="24"/>
          <w:szCs w:val="24"/>
        </w:rPr>
        <w:t xml:space="preserve"> hydrolysis and modification pathways is clearly illustrated</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{"citationID":"NTE2a4Uo","properties":{"formattedCitation":"(Testa &amp; Kr\\uc0\\u228{}mer, 2007)","plainCitation":"(Testa &amp; Krämer, 2007)","noteIndex":0},"citationItems":[{"id":19253,"uris":["http://zotero.org/users/16652950/items/QD5RN56Y"],"itemData":{"id":19253,"type":"article-journal","abstract":"ChemInform is a weekly Abstracting Service, delivering concise information at a glance that was extracted from about 200 leading journals. To access a ChemInform Abstract, please click on HTML or PDF.","container-title":"Chemistry &amp; biodiversity","DOI":"10.1002/chin.200750268","journalAbbreviation":"Chemistry &amp; biodiversity","page":"2031-122","source":"ResearchGate","title":"The Biochemistry of Drug Metabolism — An Introduction. Part 3. Reactions of Hydrolysis and Their Enzymes","volume":"4","author":[{"family":"Testa","given":"Bernard"},{"family":"Krämer","given":"Stefanie"}],"issued":{"date-parts":[["2007",10,1]]}}}],"schema":"https://github.com/citation-style-language/schema/raw/master/csl-citation.json"}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(Testa &amp; Krämer, 2007)</w:t>
      </w:r>
      <w:r w:rsidR="009A1084" w:rsidRPr="0012729E">
        <w:rPr>
          <w:rFonts w:ascii="Times New Roman" w:hAnsi="Times New Roman"/>
          <w:sz w:val="24"/>
          <w:szCs w:val="24"/>
        </w:rPr>
        <w:fldChar w:fldCharType="end"/>
      </w:r>
      <w:r w:rsidRPr="0012729E">
        <w:rPr>
          <w:rFonts w:ascii="Times New Roman" w:hAnsi="Times New Roman"/>
          <w:sz w:val="24"/>
          <w:szCs w:val="24"/>
        </w:rPr>
        <w:t>.</w:t>
      </w:r>
    </w:p>
    <w:p w14:paraId="3ACB931D"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Another is </w:t>
      </w:r>
      <w:proofErr w:type="gramStart"/>
      <w:r w:rsidRPr="0012729E">
        <w:rPr>
          <w:rFonts w:ascii="Times New Roman" w:hAnsi="Times New Roman"/>
          <w:sz w:val="24"/>
          <w:szCs w:val="24"/>
        </w:rPr>
        <w:t>target</w:t>
      </w:r>
      <w:proofErr w:type="gramEnd"/>
      <w:r w:rsidRPr="0012729E">
        <w:rPr>
          <w:rFonts w:ascii="Times New Roman" w:hAnsi="Times New Roman"/>
          <w:sz w:val="24"/>
          <w:szCs w:val="24"/>
        </w:rPr>
        <w:t xml:space="preserve"> modification, where the cell structures that are targeted by the antibiotic are modified by the microbes. When ribosomal mutations decrease the binding affinity of inhibitors of protein synthesis, then the initial translational activity is maintained</w:t>
      </w:r>
      <w:r w:rsidR="009A1084" w:rsidRPr="0012729E">
        <w:rPr>
          <w:rFonts w:ascii="Times New Roman" w:hAnsi="Times New Roman"/>
          <w:sz w:val="24"/>
          <w:szCs w:val="24"/>
        </w:rPr>
        <w:fldChar w:fldCharType="begin"/>
      </w:r>
      <w:r w:rsidR="009A1084" w:rsidRPr="0012729E">
        <w:rPr>
          <w:rFonts w:ascii="Times New Roman" w:hAnsi="Times New Roman"/>
          <w:sz w:val="24"/>
          <w:szCs w:val="24"/>
        </w:rPr>
        <w:instrText xml:space="preserve"> ADDIN ZOTERO_ITEM CSL_CITATION {"citationID":"RlLKQWiu","properties":{"formattedCitation":"(Krawczyk et al., 2024)","plainCitation":"(Krawczyk et al., 2024)","noteIndex":0},"citationItems":[{"id":19256,"uris":["http://zotero.org/users/16652950/items/25SINAUS"],"itemData":{"id":19256,"type":"article-journal","abstract":"Antibiotics targeting the bacterial ribosome are essential to combating bacterial infections. These antibiotics bind to various sites on the ribosome,...","container-title":"Biomolecules","DOI":"10.3390/biom14101263","ISSN":"2218-273X","issue":"10","language":"en","license":"http://creativecommons.org/licenses/by/3.0/","note":"publisher: Multidisciplinary Digital Publishing Institute","source":"www.mdpi.com","title":"Mechanistic Insights into Clinically Relevant Ribosome-Targeting Antibiotics","URL":"https://www.mdpi.com/2218-273X/14/10/1263","volume":"14","author":[{"family":"Krawczyk","given":"Szymon J."},{"family":"Leśniczak-Staszak","given":"Marta"},{"family":"Gowin","given":"Ewelina"},{"family":"Szaflarski","given":"Witold"}],"accessed":{"date-parts":[["2026",5,26]]},"issued":{"date-parts":[["2024",10,6]]}}}],"schema":"https://github.com/citation-style-language/schema/raw/master/csl-citation.json"} </w:instrText>
      </w:r>
      <w:r w:rsidR="009A1084" w:rsidRPr="0012729E">
        <w:rPr>
          <w:rFonts w:ascii="Times New Roman" w:hAnsi="Times New Roman"/>
          <w:sz w:val="24"/>
          <w:szCs w:val="24"/>
        </w:rPr>
        <w:fldChar w:fldCharType="separate"/>
      </w:r>
      <w:r w:rsidR="009A1084" w:rsidRPr="0012729E">
        <w:rPr>
          <w:rFonts w:ascii="Times New Roman" w:hAnsi="Times New Roman"/>
          <w:sz w:val="24"/>
          <w:szCs w:val="24"/>
        </w:rPr>
        <w:t>(Krawczyk et al., 2024)</w:t>
      </w:r>
      <w:r w:rsidR="009A1084" w:rsidRPr="0012729E">
        <w:rPr>
          <w:rFonts w:ascii="Times New Roman" w:hAnsi="Times New Roman"/>
          <w:sz w:val="24"/>
          <w:szCs w:val="24"/>
        </w:rPr>
        <w:fldChar w:fldCharType="end"/>
      </w:r>
      <w:r w:rsidRPr="0012729E">
        <w:rPr>
          <w:rFonts w:ascii="Times New Roman" w:hAnsi="Times New Roman"/>
          <w:sz w:val="24"/>
          <w:szCs w:val="24"/>
        </w:rPr>
        <w:t>. Alterations of DNA gyrase and topoisomerase enzymes are closely linked to fluoroquinolone resistance as a result of the ability of these enzymes to bind to the drug target and retain the necessary essential functions for DNA replication</w:t>
      </w:r>
      <w:r w:rsidR="006E5E97" w:rsidRPr="0012729E">
        <w:rPr>
          <w:rFonts w:ascii="Times New Roman" w:hAnsi="Times New Roman"/>
          <w:sz w:val="24"/>
          <w:szCs w:val="24"/>
        </w:rPr>
        <w:fldChar w:fldCharType="begin"/>
      </w:r>
      <w:r w:rsidR="00347FCF" w:rsidRPr="0012729E">
        <w:rPr>
          <w:rFonts w:ascii="Times New Roman" w:hAnsi="Times New Roman"/>
          <w:sz w:val="24"/>
          <w:szCs w:val="24"/>
        </w:rPr>
        <w:instrText xml:space="preserve"> ADDIN ZOTERO_ITEM CSL_CITATION {"citationID":"ICNWbrik","properties":{"formattedCitation":"(Collins &amp; Osheroff, 2024)","plainCitation":"(Collins &amp; Osheroff, 2024)","noteIndex":0},"citationItems":[{"id":19258,"uris":["http://zotero.org/users/16652950/items/PF3DZ6PV"],"itemData":{"id":19258,"type":"article-journal","abstract":", Beyond their requisite functions in many critical DNA\nprocesses,\nthe bacterial type II topoisomerases, gyrase and topoisomerase IV,\nare the targets of fluoroquinolone antibacterials. These drugs act\nby stabilizing gyrase/topoisomerase IV-generated DNA strand breaks\nand by robbing the cell of the catalytic activities of these essential\nenzymes. Since their clinical approval in the mid-1980s, fluoroquinolones\nhave been used to treat a broad spectrum of infectious diseases and\nare listed among the five “highest priority” critically\nimportant antimicrobial classes by the World Health Organization.\nUnfortunately, the widespread use of fluoroquinolones has been accompanied\nby a rise in target-mediated resistance caused by specific mutations\nin gyrase and topoisomerase IV, which has curtailed the medical efficacy\nof this drug class. As a result, efforts are underway to identify\nnovel antibacterials that target the bacterial type II topoisomerases.\nSeveral new classes of gyrase/topoisomerase IV-targeted antibacterials\nhave emerged, including novel bacterial topoisomerase inhibitors, Mycobacterium tuberculosis gyrase inhibitors, triazaacenaphthylenes,\nspiropyrimidinetriones, and thiophenes. Phase III clinical trials\nthat utilized two members of these classes, gepotidacin (triazaacenaphthylene)\nand zoliflodacin (spiropyrimidinetrione), have been completed with\npositive outcomes, underscoring the potential of these compounds to\nbecome the first new classes of antibacterials introduced into the\nclinic in decades. Because gyrase and topoisomerase IV are validated\ntargets for established and emerging antibacterials, this review will\ndescribe the catalytic mechanism and cellular activities of the bacterial\ntype II topoisomerases, their interactions with fluoroquinolones,\nthe mechanism of target-mediated fluoroquinolone resistance, and the\nactions of novel antibacterials against wild-type and fluoroquinolone-resistant\ngyrase and topoisomerase IV.","container-title":"ACS Infectious Diseases","DOI":"10.1021/acsinfecdis.4c00128","ISSN":"2373-8227","issue":"4","journalAbbreviation":"ACS Infect Dis","note":"PMID: 38564341\nPMCID: PMC11019561","page":"1097-1115","source":"PubMed Central","title":"Gyrase and Topoisomerase IV: Recycling Old Targets for New Antibacterials to Combat Fluoroquinolone Resistance","title-short":"Gyrase and Topoisomerase IV","volume":"10","author":[{"family":"Collins","given":"Jessica\nA."},{"family":"Osheroff","given":"Neil"}],"issued":{"date-parts":[["2024",4,2]]}}}],"schema":"https://github.com/citation-style-language/schema/raw/master/csl-citation.json"} </w:instrText>
      </w:r>
      <w:r w:rsidR="006E5E97" w:rsidRPr="0012729E">
        <w:rPr>
          <w:rFonts w:ascii="Times New Roman" w:hAnsi="Times New Roman"/>
          <w:sz w:val="24"/>
          <w:szCs w:val="24"/>
        </w:rPr>
        <w:fldChar w:fldCharType="separate"/>
      </w:r>
      <w:r w:rsidR="00347FCF" w:rsidRPr="0012729E">
        <w:rPr>
          <w:rFonts w:ascii="Times New Roman" w:hAnsi="Times New Roman"/>
          <w:sz w:val="24"/>
          <w:szCs w:val="24"/>
        </w:rPr>
        <w:t>(Collins &amp; Osheroff, 2024)</w:t>
      </w:r>
      <w:r w:rsidR="006E5E97" w:rsidRPr="0012729E">
        <w:rPr>
          <w:rFonts w:ascii="Times New Roman" w:hAnsi="Times New Roman"/>
          <w:sz w:val="24"/>
          <w:szCs w:val="24"/>
        </w:rPr>
        <w:fldChar w:fldCharType="end"/>
      </w:r>
      <w:r w:rsidRPr="0012729E">
        <w:rPr>
          <w:rFonts w:ascii="Times New Roman" w:hAnsi="Times New Roman"/>
          <w:sz w:val="24"/>
          <w:szCs w:val="24"/>
        </w:rPr>
        <w:t>. Likewise, changes of peptidoglycan precursors will make cells less susceptible to drugs that inhibit the synthesis of peptidoglycan. Microorganisms can maintain essential physiological functions without being inhibited by antimicrobials by undergoing structural remodeling of protein binding sites</w:t>
      </w:r>
      <w:r w:rsidR="006E5E97"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{"citationID":"ONrxqkqk","properties":{"formattedCitation":"(Elbaiomy et al., 2025; M.-K. Wang et al., 2026)","plainCitation":"(Elbaiomy et al., 2025; M.-K. Wang et al., 2026)","noteIndex":0},"citationItems":[{"id":19263,"uris":["http://zotero.org/users/16652950/items/9DGP2V9S"],"itemData":{"id":19263,"type":"article-journal","abstract":"Antimicrobial‐resistant bacteria, a growing worldwide concern, reduce the effectiveness of antibiotics against a wide range of microbial infections. Various bacterial species have quickly developed antibiotic resistance since the first mention of penicillin resistance in 1947. A rise in mortality, more extended hospital stays, more healthcare expenditures, and morbidity are all brought about by these bacteria that are resistant to antibiotics. To develop resistance, bacteria may undergo genetic changes, engage in horizontal gene transfer, produce β‐lactamase, activate efflux pumps, form biofilms, and alter their metabolism to become less susceptible to drugs. Environmental factors and sublethal antibiotic exposure exacerbate resistance, particularly in cases of persistent infections caused by biofilms. This tendency is prompted by the overuse of antibiotics in both human and veterinary medicine, as well as inadequate infection control measures and environmental pollution. This review presents an extensive survey of antimicrobial resistance across bacterial taxa, with a focus on the physiological and genetic processes underlying this phenomenon. It delves into the current therapeutic landscape and showcases cutting‐edge methods—such as artificial intelligence‐driven antibiotic discovery and resistance prediction—to inform the development of next‐generation antibiotics and containment systems., The development of resistance to antimicrobials and their historical progression are depicted in this graphic. It draws attention to important biochemical, physiological, and genetic factors that contribute to AMR, such as the transmission of genes, the development of biofilms, and the inactivation of antibiotics. Treatment milestones are shown in relation with the growth of resistance on the timeline. To combat the growing problem of antibiotic resistance, new treatment options are showing promise, such as host‐directed treatments and AI‐guided treatments creation.","container-title":"MedComm","DOI":"10.1002/mco2.70447","ISSN":"2688-2663","issue":"11","journalAbbreviation":"MedComm (2020)","note":"PMID: 41179705\nPMCID: PMC12579171","page":"e70447","source":"PubMed Central","title":"Antibiotic Resistance: A Genetic and Physiological Perspective","title-short":"Antibiotic Resistance","volume":"6","author":[{"family":"Elbaiomy","given":"Rania G."},{"family":"El‐Sappah","given":"Ahmed H."},{"family":"Guo","given":"Rong"},{"family":"Luo","given":"Xiaoling"},{"family":"Deng","given":"Shiyuan"},{"family":"Du","given":"Meifang"},{"family":"Jian","given":"Xiaohong"},{"family":"Bakeer","given":"Mohammed"},{"family":"Li","given":"Zaixin"},{"family":"Zhang","given":"Zhi"}],"issued":{"date-parts":[["2025",10,31]]}}},{"id":19266,"uris":["http://zotero.org/users/16652950/items/75NWMG8B"],"itemData":{"id":19266,"type":"article-journal","abstract":"Antimicrobial resistance (AMR) remains a critical global health challenge, exacerbated by antibiotic misuse that accelerates bacterial tolerance and undermines therapeutic efficacy. The lack of new antibiotics and the high cost of drug development further intensify the urgency for the development of alternative antimicrobial strategies. Emerging evidence suggests that biomaterials can disrupt the progression from antimicrobial tolerance (AMT) to AMR, offering a promising avenue to enhance treatment outcomes and suppress the rise of resistant strains. This review outlines the transition mechanisms from bacterial tolerance to resistance and explores how biomaterials can counter these adaptations. Using properties such as electrostatic interactions, ligand coordination, and vesicular disruption, biomaterials can inhibit bacterial growth and alter the metabolism, preventing AMT-to-AMR progression. They also initiate programmed cell death pathways and generate oxidative stress through photothermal, photodynamic, and chemodynamic therapies, and can also target bacterial DNA and protein synthesis. Additionally, biomaterials enhance immune responses including neutrophil activity and macrophage polarisation. Using biofilm and intracellular infection models, we show that biomaterials effectively prevent biofilm formation and target intracellular pathogens. Finally, we summarize infection mechanisms in organoid-based models, including immune and bacteria-organoid systems. In summary, this review highlights biomaterials as versatile agents with outstanding potential for future antimicrobial strategies.","container-title":"Coordination Chemistry Reviews","DOI":"10.1016/j.ccr.2025.217368","ISSN":"0010-8545","journalAbbreviation":"Coordination Chemistry Reviews","page":"217368","source":"ScienceDirect","title":"Antibacterial biomaterials: disruption of antibiotic tolerance for resistance prevention","title-short":"Antibacterial biomaterials","volume":"550","author":[{"family":"Wang","given":"Ming-Kai"},{"family":"Wang","given":"Jian"},{"family":"Wang","given":"Fu-Xiao"},{"family":"Hu","given":"Xi-Le"},{"family":"He","given":"Xiao-Peng"},{"family":"James","given":"Tony D."},{"family":"Liu","given":"Han"},{"family":"Su","given":"Jia-Can"}],"issued":{"date-parts":[["2026",3,1]]}}}],"schema":"https://github.com/citation-style-language/schema/raw/master/csl-citation.json"} </w:instrText>
      </w:r>
      <w:r w:rsidR="006E5E97" w:rsidRPr="0012729E">
        <w:rPr>
          <w:rFonts w:ascii="Times New Roman" w:hAnsi="Times New Roman"/>
          <w:sz w:val="24"/>
          <w:szCs w:val="24"/>
        </w:rPr>
        <w:fldChar w:fldCharType="separate"/>
      </w:r>
      <w:r w:rsidR="00A715F4" w:rsidRPr="0012729E">
        <w:rPr>
          <w:rFonts w:ascii="Times New Roman" w:hAnsi="Times New Roman"/>
          <w:sz w:val="24"/>
          <w:szCs w:val="24"/>
        </w:rPr>
        <w:t>(Elbaiomy et al., 2025; M.-K. Wang et al., 2026)</w:t>
      </w:r>
      <w:r w:rsidR="006E5E97" w:rsidRPr="0012729E">
        <w:rPr>
          <w:rFonts w:ascii="Times New Roman" w:hAnsi="Times New Roman"/>
          <w:sz w:val="24"/>
          <w:szCs w:val="24"/>
        </w:rPr>
        <w:fldChar w:fldCharType="end"/>
      </w:r>
      <w:r w:rsidRPr="0012729E">
        <w:rPr>
          <w:rFonts w:ascii="Times New Roman" w:hAnsi="Times New Roman"/>
          <w:sz w:val="24"/>
          <w:szCs w:val="24"/>
        </w:rPr>
        <w:t>.</w:t>
      </w:r>
    </w:p>
    <w:p w14:paraId="2ED798ED"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Another very effective defense system is the efflux system. These </w:t>
      </w:r>
      <w:r w:rsidR="00DC1430" w:rsidRPr="0012729E">
        <w:rPr>
          <w:rFonts w:ascii="Times New Roman" w:hAnsi="Times New Roman"/>
          <w:sz w:val="24"/>
          <w:szCs w:val="24"/>
        </w:rPr>
        <w:t>membrane-associated</w:t>
      </w:r>
      <w:r w:rsidRPr="0012729E">
        <w:rPr>
          <w:rFonts w:ascii="Times New Roman" w:hAnsi="Times New Roman"/>
          <w:sz w:val="24"/>
          <w:szCs w:val="24"/>
        </w:rPr>
        <w:t xml:space="preserve"> transport systems actively extrude toxic molecules from the cell before they reach toxic levels </w:t>
      </w:r>
      <w:r w:rsidRPr="0012729E">
        <w:rPr>
          <w:rFonts w:ascii="Times New Roman" w:hAnsi="Times New Roman"/>
          <w:sz w:val="24"/>
          <w:szCs w:val="24"/>
        </w:rPr>
        <w:lastRenderedPageBreak/>
        <w:t>within the cell</w:t>
      </w:r>
      <w:r w:rsidR="00A15304" w:rsidRPr="0012729E">
        <w:rPr>
          <w:rFonts w:ascii="Times New Roman" w:hAnsi="Times New Roman"/>
          <w:sz w:val="24"/>
          <w:szCs w:val="24"/>
        </w:rPr>
        <w:fldChar w:fldCharType="begin"/>
      </w:r>
      <w:r w:rsidR="003F4941" w:rsidRPr="0012729E">
        <w:rPr>
          <w:rFonts w:ascii="Times New Roman" w:hAnsi="Times New Roman"/>
          <w:sz w:val="24"/>
          <w:szCs w:val="24"/>
        </w:rPr>
        <w:instrText xml:space="preserve"> ADDIN ZOTERO_ITEM CSL_CITATION {"citationID":"hkYrLVVo","properties":{"formattedCitation":"(Gaurav et al., 2023)","plainCitation":"(Gaurav et al., 2023)","noteIndex":0},"citationItems":[{"id":19445,"uris":["http://zotero.org/users/16652950/items/Z8YL9FGI"],"itemData":{"id":19445,"type":"article-journal","abstract":"The problem of antibiotic resistance among pathogenic bacteria has reached a crisis level. The treatment options against infections caused by multiple drug-resistant bacteria are shrinking gradually. The current pace of the discovery of new antibacterial entities is lagging behind the rate of development of new resistance. Efflux pumps play a central role in making a bacterium resistant to multiple antibiotics due to their ability to expel a wide range of structurally diverse compounds. Besides providing an escape from antibacterial compounds, efflux pumps are also involved in bacterial stress response, virulence, biofilm formation, and altering host physiology. Efflux pumps are unique yet challenging targets for the discovery of novel efflux pump inhibitors (EPIs). EPIs could help rejuvenate our currently dried pipeline of antibacterial drug discovery. The current article highlights the recent developments in the field of efflux pumps, challenges faced during the development of EPIs and potential approaches for their development. Additionally, this review highlights the utility of resources such as natural products and machine learning to expand our EPIs arsenal using these latest technologies.","container-title":"Microbiology","DOI":"10.1099/mic.0.001333","ISSN":"1350-0872","issue":"5","journalAbbreviation":"Microbiology (Reading)","note":"PMID: 37224055\nPMCID: PMC10268834","page":"001333","source":"PubMed Central","title":"Role of bacterial efflux pumps in antibiotic resistance, virulence, and strategies to discover novel efflux pump inhibitors","volume":"169","author":[{"family":"Gaurav","given":"Amit"},{"family":"Bakht","given":"Perwez"},{"family":"Saini","given":"Mahak"},{"family":"Pandey","given":"Shivam"},{"family":"Pathania","given":"Ranjana"}],"issued":{"date-parts":[["2023",5,24]]}}}],"schema":"https://github.com/citation-style-language/schema/raw/master/csl-citation.json"} </w:instrText>
      </w:r>
      <w:r w:rsidR="00A15304" w:rsidRPr="0012729E">
        <w:rPr>
          <w:rFonts w:ascii="Times New Roman" w:hAnsi="Times New Roman"/>
          <w:sz w:val="24"/>
          <w:szCs w:val="24"/>
        </w:rPr>
        <w:fldChar w:fldCharType="separate"/>
      </w:r>
      <w:r w:rsidR="003F4941" w:rsidRPr="0012729E">
        <w:rPr>
          <w:rFonts w:ascii="Times New Roman" w:hAnsi="Times New Roman"/>
          <w:sz w:val="24"/>
          <w:szCs w:val="24"/>
        </w:rPr>
        <w:t>(Gaurav et al., 2023)</w:t>
      </w:r>
      <w:r w:rsidR="00A15304" w:rsidRPr="0012729E">
        <w:rPr>
          <w:rFonts w:ascii="Times New Roman" w:hAnsi="Times New Roman"/>
          <w:sz w:val="24"/>
          <w:szCs w:val="24"/>
        </w:rPr>
        <w:fldChar w:fldCharType="end"/>
      </w:r>
      <w:r w:rsidRPr="0012729E">
        <w:rPr>
          <w:rFonts w:ascii="Times New Roman" w:hAnsi="Times New Roman"/>
          <w:sz w:val="24"/>
          <w:szCs w:val="24"/>
        </w:rPr>
        <w:t xml:space="preserve">. </w:t>
      </w:r>
      <w:r w:rsidR="00363338" w:rsidRPr="0012729E">
        <w:rPr>
          <w:rFonts w:ascii="Times New Roman" w:hAnsi="Times New Roman"/>
          <w:sz w:val="24"/>
          <w:szCs w:val="24"/>
        </w:rPr>
        <w:t>ATP-binding</w:t>
      </w:r>
      <w:r w:rsidRPr="0012729E">
        <w:rPr>
          <w:rFonts w:ascii="Times New Roman" w:hAnsi="Times New Roman"/>
          <w:sz w:val="24"/>
          <w:szCs w:val="24"/>
        </w:rPr>
        <w:t xml:space="preserve"> cassette transporters use the hydrolysis of ATP to actively export antibiotics from the cell membrane</w:t>
      </w:r>
      <w:r w:rsidR="00A15304" w:rsidRPr="0012729E">
        <w:rPr>
          <w:rFonts w:ascii="Times New Roman" w:hAnsi="Times New Roman"/>
          <w:sz w:val="24"/>
          <w:szCs w:val="24"/>
        </w:rPr>
        <w:fldChar w:fldCharType="begin"/>
      </w:r>
      <w:r w:rsidR="00A15304" w:rsidRPr="0012729E">
        <w:rPr>
          <w:rFonts w:ascii="Times New Roman" w:hAnsi="Times New Roman"/>
          <w:sz w:val="24"/>
          <w:szCs w:val="24"/>
        </w:rPr>
        <w:instrText xml:space="preserve"> ADDIN ZOTERO_ITEM CSL_CITATION {"citationID":"G8ETEUnD","properties":{"formattedCitation":"(Masselot--Joubert &amp; Renzo, 2025)","plainCitation":"(Masselot--Joubert &amp; Renzo, 2025)","noteIndex":0},"citationItems":[{"id":19270,"uris":["http://zotero.org/users/16652950/items/7CFQB7TL"],"itemData":{"id":19270,"type":"article-journal","abstract":"ABC transporters are a large family of proteins that mediate the export or import of a variety of molecules, including capsular polysaccharides. The c...","container-title":"Polysaccharides","DOI":"10.3390/polysaccharides6020038","ISSN":"2673-4176","issue":"2","language":"en","license":"http://creativecommons.org/licenses/by/3.0/","note":"publisher: Multidisciplinary Digital Publishing Institute","source":"www.mdpi.com","title":"ATP-Binding Cassette (ABC) Transporters and Antibiotic Resistance: Specialized Systems for Capsular Polysaccharide Export in Gram-Negative Pathogens","title-short":"ATP-Binding Cassette (ABC) Transporters and Antibiotic Resistance","URL":"https://www.mdpi.com/2673-4176/6/2/38","volume":"6","author":[{"family":"Masselot--Joubert","given":"Loreleï"},{"family":"Renzo","given":"María Agostina Di"}],"accessed":{"date-parts":[["2026",5,26]]},"issued":{"date-parts":[["2025",5,6]]}}}],"schema":"https://github.com/citation-style-language/schema/raw/master/csl-citation.json"} </w:instrText>
      </w:r>
      <w:r w:rsidR="00A15304" w:rsidRPr="0012729E">
        <w:rPr>
          <w:rFonts w:ascii="Times New Roman" w:hAnsi="Times New Roman"/>
          <w:sz w:val="24"/>
          <w:szCs w:val="24"/>
        </w:rPr>
        <w:fldChar w:fldCharType="separate"/>
      </w:r>
      <w:r w:rsidR="00A15304" w:rsidRPr="0012729E">
        <w:rPr>
          <w:rFonts w:ascii="Times New Roman" w:hAnsi="Times New Roman"/>
          <w:sz w:val="24"/>
          <w:szCs w:val="24"/>
        </w:rPr>
        <w:t>(Masselot--Joubert &amp; Renzo, 2025)</w:t>
      </w:r>
      <w:r w:rsidR="00A15304" w:rsidRPr="0012729E">
        <w:rPr>
          <w:rFonts w:ascii="Times New Roman" w:hAnsi="Times New Roman"/>
          <w:sz w:val="24"/>
          <w:szCs w:val="24"/>
        </w:rPr>
        <w:fldChar w:fldCharType="end"/>
      </w:r>
      <w:r w:rsidRPr="0012729E">
        <w:rPr>
          <w:rFonts w:ascii="Times New Roman" w:hAnsi="Times New Roman"/>
          <w:sz w:val="24"/>
          <w:szCs w:val="24"/>
        </w:rPr>
        <w:t xml:space="preserve">. Multidrug resistance is also significantly contributed </w:t>
      </w:r>
      <w:r w:rsidR="00363338" w:rsidRPr="0012729E">
        <w:rPr>
          <w:rFonts w:ascii="Times New Roman" w:hAnsi="Times New Roman"/>
          <w:sz w:val="24"/>
          <w:szCs w:val="24"/>
        </w:rPr>
        <w:t xml:space="preserve">to </w:t>
      </w:r>
      <w:r w:rsidRPr="0012729E">
        <w:rPr>
          <w:rFonts w:ascii="Times New Roman" w:hAnsi="Times New Roman"/>
          <w:sz w:val="24"/>
          <w:szCs w:val="24"/>
        </w:rPr>
        <w:t xml:space="preserve">by other major transporter families like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major facilitator superfamily, resistance nodulation division systems, etc., especially in </w:t>
      </w:r>
      <w:r w:rsidR="00363338" w:rsidRPr="0012729E">
        <w:rPr>
          <w:rFonts w:ascii="Times New Roman" w:hAnsi="Times New Roman"/>
          <w:sz w:val="24"/>
          <w:szCs w:val="24"/>
        </w:rPr>
        <w:t>Gram-negative</w:t>
      </w:r>
      <w:r w:rsidRPr="0012729E">
        <w:rPr>
          <w:rFonts w:ascii="Times New Roman" w:hAnsi="Times New Roman"/>
          <w:sz w:val="24"/>
          <w:szCs w:val="24"/>
        </w:rPr>
        <w:t xml:space="preserve"> bacteria. Efflux systems can cause extensive resistance to a variety of antibiotic classes and may act in concert with other protective mechanisms</w:t>
      </w:r>
      <w:r w:rsidR="00A15304" w:rsidRPr="0012729E">
        <w:rPr>
          <w:rFonts w:ascii="Times New Roman" w:hAnsi="Times New Roman"/>
          <w:sz w:val="24"/>
          <w:szCs w:val="24"/>
        </w:rPr>
        <w:fldChar w:fldCharType="begin"/>
      </w:r>
      <w:r w:rsidR="00A15304" w:rsidRPr="0012729E">
        <w:rPr>
          <w:rFonts w:ascii="Times New Roman" w:hAnsi="Times New Roman"/>
          <w:sz w:val="24"/>
          <w:szCs w:val="24"/>
        </w:rPr>
        <w:instrText xml:space="preserve"> ADDIN ZOTERO_ITEM CSL_CITATION {"citationID":"YVBMU2B1","properties":{"formattedCitation":"(Almeida da Silva et al., 2025)","plainCitation":"(Almeida da Silva et al., 2025)","noteIndex":0},"citationItems":[{"id":19274,"uris":["http://zotero.org/users/16652950/items/EJYLQ6G3"],"itemData":{"id":19274,"type":"article-journal","abstract":"Background\nEfflux pumps (EPs) are key contributors to multidrug resistance (MDR) in bacteria, fungi, and cancer cells. These membrane proteins actively extrude a variety of therapeutic agents, reducing their intracellular concentration and thus compromising the efficacy of treatment. Beyond resistance, EPs are also involved in virulence, biofilm formation, immune evasion, and environmental persistence.\n\nAim\nThis review aimed to provide a comprehensive and critical synthesis of the role of efflux pumps in antimicrobial and antitumoral resistance, as well as their contribution to virulence and persistence across biological domains.\n\nMethodology\nA narrative review was conducted following a structured search strategy in PubMed, Scopus, and Web of Science using combinations of terms related to efflux systems, efflux pumps, resistance mechanisms, virulence factors, detection methods, and inhibitors. The review integrates data from in vitro, in silico, and clinical studies, including both classical detection strategies and emerging technologies such as clustered regularly interspaced short palindromic repeats (CRISPR)-based modulation, biosensors, and microfluidics.\n\nResults\nEfflux pumps from different families (e.g., resistance-nodulation-division (RND), ATP-binding cassette (ABC), major facilitator superfamily (MFS)) are implicated in the active extrusion of antimicrobial agents, facilitating MDR and treatment failure in pathogens such as E. coli, P. aeruginosa, M. tuberculosis, Candida albicans, and cancer cells. EPs also regulate biofilm formation, virulence factor secretion, and metabolic adaptation. Classical methods for detecting efflux (e.g., minimum inhibitory concentration (MIC) shifts with inhibitors, fluorometric assays) have technical limitations, while novel technologies offer improved precision. Several natural and synthetic efflux pump inhibitors (EPIs) have demonstrated efficacy in preclinical studies, yet few have progressed to clinical use due to toxicity and pharmacokinetic barriers. CRISPR interference systems and combinatory therapies represent promising advances in overcoming EP-mediated resistance.\n\nConclusion\nEfflux systems are central players in both drug resistance and pathogenicity. Although the development of effective EIs remains challenging, advances in molecular detection, gene editing, and drug design hold potential for translational breakthroughs. A deeper understanding of efflux dynamics across organisms is essential to develop adjuvant therapies and reduce the clinical impact of MDR.","container-title":"PeerJ","DOI":"10.7717/peerj.20360","ISSN":"2167-8359","journalAbbreviation":"PeerJ","note":"PMID: 41321948\nPMCID: PMC12664331","page":"e20360","source":"PubMed Central","title":"Efflux systems driving resistance and virulence across biological domains","volume":"13","author":[{"family":"Almeida da Silva","given":"Pedro Eduardo"},{"family":"Von Groll","given":"Andrea"},{"family":"Ramis","given":"Ivy"},{"family":"Reis","given":"Ana Julia"},{"family":"Ramos","given":"Daniela"},{"family":"Viveiros","given":"Miguel"}],"issued":{"date-parts":[["2025",11,26]]}}}],"schema":"https://github.com/citation-style-language/schema/raw/master/csl-citation.json"} </w:instrText>
      </w:r>
      <w:r w:rsidR="00A15304" w:rsidRPr="0012729E">
        <w:rPr>
          <w:rFonts w:ascii="Times New Roman" w:hAnsi="Times New Roman"/>
          <w:sz w:val="24"/>
          <w:szCs w:val="24"/>
        </w:rPr>
        <w:fldChar w:fldCharType="separate"/>
      </w:r>
      <w:r w:rsidR="00A15304" w:rsidRPr="0012729E">
        <w:rPr>
          <w:rFonts w:ascii="Times New Roman" w:hAnsi="Times New Roman"/>
          <w:sz w:val="24"/>
          <w:szCs w:val="24"/>
        </w:rPr>
        <w:t>(Almeida da Silva et al., 2025)</w:t>
      </w:r>
      <w:r w:rsidR="00A15304" w:rsidRPr="0012729E">
        <w:rPr>
          <w:rFonts w:ascii="Times New Roman" w:hAnsi="Times New Roman"/>
          <w:sz w:val="24"/>
          <w:szCs w:val="24"/>
        </w:rPr>
        <w:fldChar w:fldCharType="end"/>
      </w:r>
      <w:r w:rsidRPr="0012729E">
        <w:rPr>
          <w:rFonts w:ascii="Times New Roman" w:hAnsi="Times New Roman"/>
          <w:sz w:val="24"/>
          <w:szCs w:val="24"/>
        </w:rPr>
        <w:t>.</w:t>
      </w:r>
    </w:p>
    <w:p w14:paraId="20128A53"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Less membrane permeability also restricts the entry of antibiotics into the intracellular targets. Loss of porins in many bacteria reduces the transport of AMR molecules across the outer membrane channels</w:t>
      </w:r>
      <w:r w:rsidR="00A15304" w:rsidRPr="0012729E">
        <w:rPr>
          <w:rFonts w:ascii="Times New Roman" w:hAnsi="Times New Roman"/>
          <w:sz w:val="24"/>
          <w:szCs w:val="24"/>
        </w:rPr>
        <w:fldChar w:fldCharType="begin"/>
      </w:r>
      <w:r w:rsidR="006D18A8" w:rsidRPr="0012729E">
        <w:rPr>
          <w:rFonts w:ascii="Times New Roman" w:hAnsi="Times New Roman"/>
          <w:sz w:val="24"/>
          <w:szCs w:val="24"/>
        </w:rPr>
        <w:instrText xml:space="preserve"> ADDIN ZOTERO_ITEM CSL_CITATION {"citationID":"iyFm3mz5","properties":{"formattedCitation":"(Lawal, Babatunde, et al., 2025)","plainCitation":"(Lawal, Babatunde, et al., 2025)","noteIndex":0},"citationItems":[{"id":3346,"uris":["http://zotero.org/users/16652950/items/HHH2FCQQ"],"itemData":{"id":3346,"type":"article-journal","abstract":"Background: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A15304" w:rsidRPr="0012729E">
        <w:rPr>
          <w:rFonts w:ascii="Times New Roman" w:hAnsi="Times New Roman"/>
          <w:sz w:val="24"/>
          <w:szCs w:val="24"/>
        </w:rPr>
        <w:fldChar w:fldCharType="separate"/>
      </w:r>
      <w:r w:rsidR="006D18A8" w:rsidRPr="0012729E">
        <w:rPr>
          <w:rFonts w:ascii="Times New Roman" w:hAnsi="Times New Roman"/>
          <w:sz w:val="24"/>
          <w:szCs w:val="24"/>
        </w:rPr>
        <w:t>(Lawal, Babatunde, et al., 2025)</w:t>
      </w:r>
      <w:r w:rsidR="00A15304" w:rsidRPr="0012729E">
        <w:rPr>
          <w:rFonts w:ascii="Times New Roman" w:hAnsi="Times New Roman"/>
          <w:sz w:val="24"/>
          <w:szCs w:val="24"/>
        </w:rPr>
        <w:fldChar w:fldCharType="end"/>
      </w:r>
      <w:r w:rsidRPr="0012729E">
        <w:rPr>
          <w:rFonts w:ascii="Times New Roman" w:hAnsi="Times New Roman"/>
          <w:sz w:val="24"/>
          <w:szCs w:val="24"/>
        </w:rPr>
        <w:t>. Additional outer membrane remodeling may further impede antibiotic penetration of a hydrophilic. Changes in the structure of the LPS can also alter the charge and stability of the membrane, decreasing its sensitivity to some antimicrobial agents, and also being associated with resistance to membrane-directed drugs</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{"citationID":"sKGmgAS8","properties":{"formattedCitation":"(Romano &amp; Hung, 2023)","plainCitation":"(Romano &amp; Hung, 2023)","noteIndex":0},"citationItems":[{"id":19279,"uris":["http://zotero.org/users/16652950/items/79F5G4CH"],"itemData":{"id":19279,"type":"article-journal","abstract":"Gram-negative bacteria pose a major threat to human health in an era fraught with multi-drug resistant bacterial infections. Despite extensive drug discovery campaigns over the past decades, no new antibiotic target class effective against gram-negative bacteria has become available to patients since the advent of the carbapenems in 1985. Antibiotic discovery efforts against gram-negative bacteria have been hampered by limited intracellular accumulation of xenobiotics, in large part due to the impermeable cell envelope comprising lipopolysaccharide (LPS) in the outer leaflet of the outer membrane, as well as a panoply of efflux pumps. The biosynthesis and transport of LPS are essential to the viability and virulence of most gram-negative bacteria. Thus, both LPS biosynthesis and transport are attractive pathways to target therapeutically. In this review, we summarize the LPS biosynthesis and transport pathways and discuss efforts to find small molecule inhibitors against targets within these pathways.","container-title":"Biochimica et Biophysica Acta (BBA) - Molecular Cell Research","DOI":"10.1016/j.bbamcr.2022.119407","ISSN":"0167-4889","issue":"3","journalAbbreviation":"Biochimica et Biophysica Acta (BBA) - Molecular Cell Research","page":"119407","source":"ScienceDirect","title":"Targeting LPS biosynthesis and transport in gram-negative bacteria in the era of multi-drug resistance","volume":"1870","author":[{"family":"Romano","given":"K. P."},{"family":"Hung","given":"D. T."}],"issued":{"date-parts":[["2023",3,1]]}}}],"schema":"https://github.com/citation-style-language/schema/raw/master/csl-citation.json"}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(Romano &amp; Hung, 2023)</w:t>
      </w:r>
      <w:r w:rsidR="009E3153" w:rsidRPr="0012729E">
        <w:rPr>
          <w:rFonts w:ascii="Times New Roman" w:hAnsi="Times New Roman"/>
          <w:sz w:val="24"/>
          <w:szCs w:val="24"/>
        </w:rPr>
        <w:fldChar w:fldCharType="end"/>
      </w:r>
      <w:r w:rsidRPr="0012729E">
        <w:rPr>
          <w:rFonts w:ascii="Times New Roman" w:hAnsi="Times New Roman"/>
          <w:sz w:val="24"/>
          <w:szCs w:val="24"/>
        </w:rPr>
        <w:t>.</w:t>
      </w:r>
    </w:p>
    <w:p w14:paraId="02515DE9"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One of the most complex and now well-known aspects of antibiotic resistance is metabolic rewiring. Stress causes microorganisms to alter their carbon use pathways to continue to grow while resource levels are limited</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{"citationID":"J1UNz1V0","properties":{"formattedCitation":"(Acierno et al., 2025)","plainCitation":"(Acierno et al., 2025)","noteIndex":0},"citationItems":[{"id":19281,"uris":["http://zotero.org/users/16652950/items/8LK48QLT"],"itemData":{"id":19281,"type":"article-journal","abstract":"Antibiotic pressure exerts profound effects on bacterial physiology, not limited to classical genetic resistance mechanisms. Increasing evidence highlights the ability of pathogens to undergo metabolic rewiring—an adaptive, reversible reorganization of core metabolic pathways that promotes survival under antimicrobial stress. This review provides a comprehensive analysis of antibiotic-induced metabolic adaptations, encompassing glycolysis, the tricarboxylic acid cycle, fermentation, redox balance, amino acid catabolism, and membrane biosynthesis. We critically examine how diverse antibiotic classes—including β-lactams, aminoglycosides, quinolones, glycopeptides, polymyxins, and antimetabolites—interact with bacterial metabolism to induce tolerance and persistence, often preceding stable resistance mutations. In parallel, we explore the ecological and host-derived signals—such as immunometabolites and quorum sensing—that modulate these metabolic responses. Therapeutically, targeting metabolic pathways offers promising strategies to potentiate antibiotic efficacy, including enzyme inhibition, metabolic adjuvants, and precision-guided therapy based on pathogen metabolic profiling. By framing metabolic plasticity as a dynamic and evolutionarily relevant phenomenon, this review proposes a unifying model linking transient tolerance to stable resistance. Integrating metabolic rewiring into antimicrobial research, clinical diagnostics, and therapeutic design represents a necessary paradigm shift in combating bacterial persistence and resistance.","container-title":"International Journal of Molecular Sciences","DOI":"10.3390/ijms26125574","ISSN":"1422-0067","issue":"12","journalAbbreviation":"Int J Mol Sci","note":"PMID: 40565037\nPMCID: PMC12193369","page":"5574","source":"PubMed Central","title":"Metabolic Rewiring of Bacterial Pathogens in Response to Antibiotic Pressure—A Molecular Perspective","volume":"26","author":[{"family":"Acierno","given":"Carlo"},{"family":"Barletta","given":"Fannia"},{"family":"Nevola","given":"Riccardo"},{"family":"Rinaldi","given":"Luca"},{"family":"Sasso","given":"Ferdinando Carlo"},{"family":"Adinolfi","given":"Luigi Elio"},{"family":"Caturano","given":"Alfredo"}],"issued":{"date-parts":[["2025",6,11]]}}}],"schema":"https://github.com/citation-style-language/schema/raw/master/csl-citation.json"}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(Acierno et al., 2025)</w:t>
      </w:r>
      <w:r w:rsidR="009E3153" w:rsidRPr="0012729E">
        <w:rPr>
          <w:rFonts w:ascii="Times New Roman" w:hAnsi="Times New Roman"/>
          <w:sz w:val="24"/>
          <w:szCs w:val="24"/>
        </w:rPr>
        <w:fldChar w:fldCharType="end"/>
      </w:r>
      <w:r w:rsidRPr="0012729E">
        <w:rPr>
          <w:rFonts w:ascii="Times New Roman" w:hAnsi="Times New Roman"/>
          <w:sz w:val="24"/>
          <w:szCs w:val="24"/>
        </w:rPr>
        <w:t>. Folate bypass mechanisms could lead to decreased response to agents that target folate metabolism. Redox homeostasis is also crucial because redox imbalance may impact antibiotic</w:t>
      </w:r>
      <w:r w:rsidRPr="0012729E">
        <w:rPr>
          <w:rFonts w:ascii="Times New Roman" w:hAnsi="Times New Roman"/>
          <w:b/>
          <w:bCs/>
          <w:sz w:val="24"/>
          <w:szCs w:val="24"/>
        </w:rPr>
        <w:t xml:space="preserve"> </w:t>
      </w:r>
      <w:r w:rsidRPr="0012729E">
        <w:rPr>
          <w:rFonts w:ascii="Times New Roman" w:hAnsi="Times New Roman"/>
          <w:sz w:val="24"/>
          <w:szCs w:val="24"/>
        </w:rPr>
        <w:t>survival</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{"citationID":"zr10QfvR","properties":{"formattedCitation":"(Sobral et al., 2024)","plainCitation":"(Sobral et al., 2024)","noteIndex":0},"citationItems":[{"id":19284,"uris":["http://zotero.org/users/16652950/items/RQA8A6CC"],"itemData":{"id":19284,"type":"article-journal","abstract":"Cellular metabolism is crucial for various physiological processes, with folate-dependent one-carbon (1C) metabolism playing a pivotal role. Folate, a B vitamin, is a key cofactor in this pathway, supporting DNA synthesis, methylation processes, and antioxidant defenses. In dividing cells, folate facilitates nucleotide biosynthesis, ensuring genomic stability and preventing carcinogenesis. Additionally, in neurodevelopment, folate is essential for neural tube closure and central nervous system formation. Thus, dysregulation of folate metabolism can contribute to pathologies such as cancer, severe birth defects, and neurodegenerative diseases. Epidemiological evidence highlights folate’s impact on disease risk and its potential as a therapeutic target. In cancer, antifolate drugs that inhibit key enzymes of folate-dependent 1C metabolism and strategies targeting folate receptors are current therapeutic options. However, folate’s impact on cancer risk is complex, varying among cancer types and dietary contexts. In neurodegenerative conditions, including Alzheimer’s and Parkinson’s diseases, folate deficiency exacerbates cognitive decline through elevated homocysteine levels, contributing to neuronal damage. Clinical trials of folic acid supplementation show mixed outcomes, underscoring the complexities of its neuroprotective effects. This review integrates current knowledge on folate metabolism in cancer and neurodegeneration, exploring molecular mechanisms, clinical implications, and therapeutic strategies, which can provide crucial information for advancing treatments.","container-title":"International Journal of Molecular Sciences","DOI":"10.3390/ijms25179339","ISSN":"1422-0067","issue":"17","journalAbbreviation":"Int J Mol Sci","note":"PMID: 39273288\nPMCID: PMC11395277","page":"9339","source":"PubMed Central","title":"Unveiling the Therapeutic Potential of Folate-Dependent One-Carbon Metabolism in Cancer and Neurodegeneration","volume":"25","author":[{"family":"Sobral","given":"Ana Filipa"},{"family":"Cunha","given":"Andrea"},{"family":"Silva","given":"Vera"},{"family":"Gil-Martins","given":"Eva"},{"family":"Silva","given":"Renata"},{"family":"Barbosa","given":"Daniel José"}],"issued":{"date-parts":[["2024",8,28]]}}}],"schema":"https://github.com/citation-style-language/schema/raw/master/csl-citation.json"}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(Sobral et al., 2024)</w:t>
      </w:r>
      <w:r w:rsidR="009E3153" w:rsidRPr="0012729E">
        <w:rPr>
          <w:rFonts w:ascii="Times New Roman" w:hAnsi="Times New Roman"/>
          <w:sz w:val="24"/>
          <w:szCs w:val="24"/>
        </w:rPr>
        <w:fldChar w:fldCharType="end"/>
      </w:r>
      <w:r w:rsidRPr="0012729E">
        <w:rPr>
          <w:rFonts w:ascii="Times New Roman" w:hAnsi="Times New Roman"/>
          <w:sz w:val="24"/>
          <w:szCs w:val="24"/>
        </w:rPr>
        <w:t>. In response to oxidative stress, there can be coordinated responses of antioxidant systems</w:t>
      </w:r>
      <w:r w:rsidRPr="0012729E">
        <w:rPr>
          <w:rFonts w:ascii="Times New Roman" w:hAnsi="Times New Roman"/>
          <w:b/>
          <w:bCs/>
          <w:sz w:val="24"/>
          <w:szCs w:val="24"/>
        </w:rPr>
        <w:t xml:space="preserve"> </w:t>
      </w:r>
      <w:r w:rsidRPr="0012729E">
        <w:rPr>
          <w:rFonts w:ascii="Times New Roman" w:hAnsi="Times New Roman"/>
          <w:sz w:val="24"/>
          <w:szCs w:val="24"/>
        </w:rPr>
        <w:t xml:space="preserve">and repair systems that maintain the integrity of the cell. Energy redistribution also allows resistant cells to focus on </w:t>
      </w:r>
      <w:r w:rsidR="00363338" w:rsidRPr="0012729E">
        <w:rPr>
          <w:rFonts w:ascii="Times New Roman" w:hAnsi="Times New Roman"/>
          <w:sz w:val="24"/>
          <w:szCs w:val="24"/>
        </w:rPr>
        <w:t>survival-associated</w:t>
      </w:r>
      <w:r w:rsidRPr="0012729E">
        <w:rPr>
          <w:rFonts w:ascii="Times New Roman" w:hAnsi="Times New Roman"/>
          <w:sz w:val="24"/>
          <w:szCs w:val="24"/>
        </w:rPr>
        <w:t xml:space="preserve"> functions such as transport activities, repair pathways</w:t>
      </w:r>
      <w:r w:rsidR="00363338" w:rsidRPr="0012729E">
        <w:rPr>
          <w:rFonts w:ascii="Times New Roman" w:hAnsi="Times New Roman"/>
          <w:sz w:val="24"/>
          <w:szCs w:val="24"/>
        </w:rPr>
        <w:t>,</w:t>
      </w:r>
      <w:r w:rsidRPr="0012729E">
        <w:rPr>
          <w:rFonts w:ascii="Times New Roman" w:hAnsi="Times New Roman"/>
          <w:sz w:val="24"/>
          <w:szCs w:val="24"/>
        </w:rPr>
        <w:t xml:space="preserve"> and stress adaptation</w:t>
      </w:r>
      <w:r w:rsidR="009E3153" w:rsidRPr="0012729E">
        <w:rPr>
          <w:rFonts w:ascii="Times New Roman" w:hAnsi="Times New Roman"/>
          <w:sz w:val="24"/>
          <w:szCs w:val="24"/>
        </w:rPr>
        <w:fldChar w:fldCharType="begin"/>
      </w:r>
      <w:r w:rsidR="00545188" w:rsidRPr="0012729E">
        <w:rPr>
          <w:rFonts w:ascii="Times New Roman" w:hAnsi="Times New Roman"/>
          <w:sz w:val="24"/>
          <w:szCs w:val="24"/>
        </w:rPr>
        <w:instrText xml:space="preserve"> ADDIN ZOTERO_ITEM CSL_CITATION {"citationID":"4jESHrNa","properties":{"formattedCitation":"(Lee &amp; Yoon, 2024)","plainCitation":"(Lee &amp; Yoon, 2024)","noteIndex":0},"citationItems":[{"id":19287,"uris":["http://zotero.org/users/16652950/items/UWIDKADZ"],"itemData":{"id":19287,"type":"article-journal","abstract":"Cancer cells, which divide indefinitely and without control, are frequently exposed to various stress factors but manage to adapt and survive. The mechanisms by which cancer cells maintain cellular homeostasis and exploit stress conditions are not yet clear. Here, we elucidate the roles of diverse cellular metabolism and its regulatory mechanisms, highlighting the essential role of metabolism in cellular composition and signal transduction. Cells respond to various stresses, including DNA damage, energy stress, and oxidative stress, thereby causing metabolic alteration. We provide profound insight into the adaptive mechanisms employed by cancer cells to ensure their survival among internal and external stressors through a comprehensive analysis of the correlation between metabolic alterations and cellular stress. Furthermore, this research establishes a robust framework for the development of innovative therapeutic strategies that specifically target the cellular adaptations of cancer cells.","container-title":"The World Journal of Men's Health","DOI":"10.5534/wjmh.230153","ISSN":"2287-4208","issue":"1","journalAbbreviation":"World J Mens Health","note":"PMID: 38171377\nPMCID: PMC10782118","page":"62-70","source":"PubMed Central","title":"Metabolic Adaptation and Cellular Stress Response As Targets for Cancer Therapy","volume":"42","author":[{"family":"Lee","given":"Chang Jun"},{"family":"Yoon","given":"Haejin"}],"issued":{"date-parts":[["2024",1]]}}}],"schema":"https://github.com/citation-style-language/schema/raw/master/csl-citation.json"} </w:instrText>
      </w:r>
      <w:r w:rsidR="009E3153" w:rsidRPr="0012729E">
        <w:rPr>
          <w:rFonts w:ascii="Times New Roman" w:hAnsi="Times New Roman"/>
          <w:sz w:val="24"/>
          <w:szCs w:val="24"/>
        </w:rPr>
        <w:fldChar w:fldCharType="separate"/>
      </w:r>
      <w:r w:rsidR="00545188" w:rsidRPr="0012729E">
        <w:rPr>
          <w:rFonts w:ascii="Times New Roman" w:hAnsi="Times New Roman"/>
          <w:sz w:val="24"/>
          <w:szCs w:val="24"/>
        </w:rPr>
        <w:t>(Lee &amp; Yoon, 2024)</w:t>
      </w:r>
      <w:r w:rsidR="009E3153" w:rsidRPr="0012729E">
        <w:rPr>
          <w:rFonts w:ascii="Times New Roman" w:hAnsi="Times New Roman"/>
          <w:sz w:val="24"/>
          <w:szCs w:val="24"/>
        </w:rPr>
        <w:fldChar w:fldCharType="end"/>
      </w:r>
      <w:r w:rsidRPr="0012729E">
        <w:rPr>
          <w:rFonts w:ascii="Times New Roman" w:hAnsi="Times New Roman"/>
          <w:sz w:val="24"/>
          <w:szCs w:val="24"/>
        </w:rPr>
        <w:t>.</w:t>
      </w:r>
    </w:p>
    <w:p w14:paraId="068C5943" w14:textId="77777777" w:rsidR="00CF6F85" w:rsidRPr="0012729E" w:rsidRDefault="00CF6F85" w:rsidP="00CF6F85">
      <w:pPr>
        <w:rPr>
          <w:rFonts w:ascii="Times New Roman" w:hAnsi="Times New Roman"/>
          <w:b/>
          <w:bCs/>
          <w:sz w:val="24"/>
          <w:szCs w:val="24"/>
        </w:rPr>
      </w:pPr>
      <w:r w:rsidRPr="0012729E">
        <w:rPr>
          <w:rFonts w:ascii="Times New Roman" w:hAnsi="Times New Roman"/>
          <w:sz w:val="24"/>
          <w:szCs w:val="24"/>
        </w:rPr>
        <w:t xml:space="preserve">Resistance is further strengthened at the community level. Biofilm's extracellular matrix provides a physical and biochemical shield </w:t>
      </w:r>
      <w:r w:rsidR="00363338" w:rsidRPr="0012729E">
        <w:rPr>
          <w:rFonts w:ascii="Times New Roman" w:hAnsi="Times New Roman"/>
          <w:sz w:val="24"/>
          <w:szCs w:val="24"/>
        </w:rPr>
        <w:t>that</w:t>
      </w:r>
      <w:r w:rsidRPr="0012729E">
        <w:rPr>
          <w:rFonts w:ascii="Times New Roman" w:hAnsi="Times New Roman"/>
          <w:sz w:val="24"/>
          <w:szCs w:val="24"/>
        </w:rPr>
        <w:t xml:space="preserve"> decreases the penetration of antibiotics and promotes persistence</w:t>
      </w:r>
      <w:r w:rsidR="009E3153" w:rsidRPr="0012729E">
        <w:rPr>
          <w:rFonts w:ascii="Times New Roman" w:hAnsi="Times New Roman"/>
          <w:sz w:val="24"/>
          <w:szCs w:val="24"/>
        </w:rPr>
        <w:fldChar w:fldCharType="begin"/>
      </w:r>
      <w:r w:rsidR="009E3153" w:rsidRPr="0012729E">
        <w:rPr>
          <w:rFonts w:ascii="Times New Roman" w:hAnsi="Times New Roman"/>
          <w:sz w:val="24"/>
          <w:szCs w:val="24"/>
        </w:rPr>
        <w:instrText xml:space="preserve"> ADDIN ZOTERO_ITEM CSL_CITATION {"citationID":"mADDNrca","properties":{"formattedCitation":"(Almatroudi, 2025)","plainCitation":"(Almatroudi, 2025)","noteIndex":0},"citationItems":[{"id":19292,"uris":["http://zotero.org/users/16652950/items/XXGCI6UP"],"itemData":{"id":19292,"type":"article-journal","abstract":"Biofilms are groups of microorganisms that stick together and form a protective layer, making them extremely difficult to eliminate with standard antibiotics. These biofilms often develop on medical devices, such as catheters and implants, or in wounds, causing long-lasting infections that are hard to treat and pose serious challenges in healthcare settings. This study investigates the structure of biofilms, how they protect bacteria from treatments, and their role in healthcare-associated infections. It highlights biofilms’ significant burden on healthcare systems, including prolonged hospital stays and increased treatment costs. To combat biofilm-related infections, the study explores innovative strategies such as nanoparticles that deliver targeted treatments, specialized enzymes that break down biofilms, and advanced coatings for medical devices that prevent biofilm formation. It also emphasizes the importance of early detection using advanced diagnostic tools, which can help tailor treatments to individual infections and improve outcomes. These advancements are vital for improving patient care, reducing infections, and creating safer healthcare environments. By addressing the challenges of biofilm-associated infections, this research contributes to developing better treatment options and more effective prevention strategies for patients and healthcare providers alike., Healthcare-associated infections pose a significant global health challenge, negatively impacting patient outcomes and burdening healthcare systems. A major contributing factor to healthcare-associated infections is the formation of biofilms, structured microbial communities encased in a self-produced extracellular polymeric substance matrix. Biofilms are critical in disease etiology and antibiotic resistance, complicating treatment and infection control efforts. Their inherent resistance mechanisms enable them to withstand antibiotic therapies, leading to recurrent infections and increased morbidity. This review explores the development of biofilms and their dual roles in health and disease. It highlights the structural and protective functions of the EPS matrix, which shields microbial populations from immune responses and antimicrobial agents. Key molecular mechanisms of biofilm resistance, including restricted antibiotic penetration, persister cell dormancy, and genetic adaptations, are identified as significant barriers to effective management. Biofilms are implicated in various clinical contexts, including chronic wounds, medical device-associated infections, oral health complications, and surgical site infections. Their prevalence in hospital environments exacerbates infection control challenges and underscores the urgent need for innovative preventive and therapeutic strategies. This review evaluates cutting-edge approaches such as DNase-mediated biofilm disruption, RNAIII-inhibiting peptides, DNABII proteins, bacteriophage therapies, antimicrobial peptides, nanoparticle-based solutions, antimicrobial coatings, and antimicrobial lock therapies. It also examines critical challenges associated with biofilm-related healthcare-associated infections, including diagnostic difficulties, disinfectant resistance, and economic implications. This review emphasizes the need for a multidisciplinary approach and underscores the importance of understanding biofilm dynamics, their role in disease pathogenesis, and the advancements in therapeutic strategies to combat biofilm-associated infections effectively in clinical settings. These insights aim to enhance treatment outcomes and reduce the burden of biofilm-related diseases.","container-title":"Biology","DOI":"10.3390/biology14020165","ISSN":"2079-7737","issue":"2","journalAbbreviation":"Biology (Basel)","note":"PMID: 40001933\nPMCID: PMC11852148","page":"165","source":"PubMed Central","title":"Biofilm Resilience: Molecular Mechanisms Driving Antibiotic Resistance in Clinical Contexts","title-short":"Biofilm Resilience","volume":"14","author":[{"family":"Almatroudi","given":"Ahmad"}],"issued":{"date-parts":[["2025",2,6]]}}}],"schema":"https://github.com/citation-style-language/schema/raw/master/csl-citation.json"} </w:instrText>
      </w:r>
      <w:r w:rsidR="009E3153" w:rsidRPr="0012729E">
        <w:rPr>
          <w:rFonts w:ascii="Times New Roman" w:hAnsi="Times New Roman"/>
          <w:sz w:val="24"/>
          <w:szCs w:val="24"/>
        </w:rPr>
        <w:fldChar w:fldCharType="separate"/>
      </w:r>
      <w:r w:rsidR="009E3153" w:rsidRPr="0012729E">
        <w:rPr>
          <w:rFonts w:ascii="Times New Roman" w:hAnsi="Times New Roman"/>
          <w:sz w:val="24"/>
          <w:szCs w:val="24"/>
        </w:rPr>
        <w:t>(Almatroudi, 2025)</w:t>
      </w:r>
      <w:r w:rsidR="009E3153" w:rsidRPr="0012729E">
        <w:rPr>
          <w:rFonts w:ascii="Times New Roman" w:hAnsi="Times New Roman"/>
          <w:sz w:val="24"/>
          <w:szCs w:val="24"/>
        </w:rPr>
        <w:fldChar w:fldCharType="end"/>
      </w:r>
      <w:r w:rsidRPr="0012729E">
        <w:rPr>
          <w:rFonts w:ascii="Times New Roman" w:hAnsi="Times New Roman"/>
          <w:sz w:val="24"/>
          <w:szCs w:val="24"/>
        </w:rPr>
        <w:t xml:space="preserve">. </w:t>
      </w:r>
      <w:proofErr w:type="spellStart"/>
      <w:r w:rsidRPr="0012729E">
        <w:rPr>
          <w:rFonts w:ascii="Times New Roman" w:hAnsi="Times New Roman"/>
          <w:sz w:val="24"/>
          <w:szCs w:val="24"/>
        </w:rPr>
        <w:t>Persister</w:t>
      </w:r>
      <w:proofErr w:type="spellEnd"/>
      <w:r w:rsidRPr="0012729E">
        <w:rPr>
          <w:rFonts w:ascii="Times New Roman" w:hAnsi="Times New Roman"/>
          <w:sz w:val="24"/>
          <w:szCs w:val="24"/>
        </w:rPr>
        <w:t xml:space="preserve"> cells can survive antibiotic treatment without classic genetic resistance because they switch to metabolically reduced states. Microbes coordinate their behavior through quorum sensing</w:t>
      </w:r>
      <w:r w:rsidR="00363338" w:rsidRPr="0012729E">
        <w:rPr>
          <w:rFonts w:ascii="Times New Roman" w:hAnsi="Times New Roman"/>
          <w:sz w:val="24"/>
          <w:szCs w:val="24"/>
        </w:rPr>
        <w:t>,</w:t>
      </w:r>
      <w:r w:rsidRPr="0012729E">
        <w:rPr>
          <w:rFonts w:ascii="Times New Roman" w:hAnsi="Times New Roman"/>
          <w:sz w:val="24"/>
          <w:szCs w:val="24"/>
        </w:rPr>
        <w:t xml:space="preserve"> and it can affect virulence, biofilms, and stress response</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{"citationID":"QhnfkZsA","properties":{"formattedCitation":"(Bhuiyan, 2025)","plainCitation":"(Bhuiyan, 2025)","noteIndex":0},"citationItems":[{"id":19295,"uris":["http://zotero.org/users/16652950/items/AHVZB9GN"],"itemData":{"id":19295,"type":"article-journal","abstract":"Bacterial pathogenesis is increasingly defined by the synergistic interplay of three formidable mechanisms: biofilm formation, antimicrobial resistance (AMR), and quorum sensing (QS). Together, these factors enable pathogens to persist in hostile environments, evade immune defenses, and resist conventional therapies, thereby contributing to chronic, device-associated, and recurrent infections. This review explored the molecular and physiological underpinnings of biofilm development and its role as a protective niche that enhances bacterial survival and resistance. It further examines the evolution and dissemination of AMR within biofilm communities, and the role of QS in coordinating virulence, resistance gene expression, and polymicrobial interactions. Clinical implications, including diagnostic challenges, therapeutic failures, and the burden of persistent infections in cystic fibrosis, chronic wounds, and indwelling medical devices, are critically analyzed. Emerging strategies—such as quorum-sensing inhibitors, biofilm-dispersing agents, nanocarriers, engineered bacteriophages, and electroceuticals—offer promising avenues but face translational barriers. Additionally, we highlight a novel therapeutic approach involving multifunctional microbial metabolites such as zincmethylphyrins and coproporphyrins produced by Sphingopyxis species. These compounds promote the growth of previously unculturable microbes via interspecies mutualism while exhibiting cytotoxicity against their producer, suggesting a unique potential as context-dependent antimicrobial agents. By integrating recent advances, this review underscores the urgent need for biofilm-aware diagnostics, anti-virulence strategies, and precision-targeted therapeutics to address the convergence of biofilm, resistance, and quorum sensing in modern bacterial pathogenesis.","container-title":"The Microbe","DOI":"10.1016/j.microb.2025.100578","ISSN":"2950-1946","journalAbbreviation":"The Microbe","page":"100578","source":"ScienceDirect","title":"Biofilm, resistance, and quorum sensing: The triple threat in bacterial pathogenesis","title-short":"Biofilm, resistance, and quorum sensing","volume":"9","author":[{"family":"Bhuiyan","given":"Mohammad Nazrul Islam"}],"issued":{"date-parts":[["2025",12,1]]}}}],"schema":"https://github.com/citation-style-language/schema/raw/master/csl-citation.json"}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(Bhuiyan, 2025)</w:t>
      </w:r>
      <w:r w:rsidR="004C3F03" w:rsidRPr="0012729E">
        <w:rPr>
          <w:rFonts w:ascii="Times New Roman" w:hAnsi="Times New Roman"/>
          <w:sz w:val="24"/>
          <w:szCs w:val="24"/>
        </w:rPr>
        <w:fldChar w:fldCharType="end"/>
      </w:r>
      <w:r w:rsidRPr="0012729E">
        <w:rPr>
          <w:rFonts w:ascii="Times New Roman" w:hAnsi="Times New Roman"/>
          <w:sz w:val="24"/>
          <w:szCs w:val="24"/>
        </w:rPr>
        <w:t>. The sharing of detoxification systems and nutrient exchange between microbial species may help to maintain resistant cells and population</w:t>
      </w:r>
      <w:r w:rsidR="004C3F03" w:rsidRPr="0012729E">
        <w:rPr>
          <w:rFonts w:ascii="Times New Roman" w:hAnsi="Times New Roman"/>
          <w:sz w:val="24"/>
          <w:szCs w:val="24"/>
        </w:rPr>
        <w:t>s</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{"citationID":"3I62TKju","properties":{"formattedCitation":"(Iimaa et al., 2025)","plainCitation":"(Iimaa et al., 2025)","noteIndex":0},"citationItems":[{"id":19298,"uris":["http://zotero.org/users/16652950/items/98E8XGBJ"],"itemData":{"id":19298,"type":"article-journal","abstract":"Soil heavy metal contamination poses a significant global threat to both environmental and human health. The accumulation of heavy metals in the Earth's crust, driven by urbanization, industrialization, agricultural practices, improper waste disposal, and mining, triggers harmful ecological cascades. Microorganisms, particularly bacteria, play a vital role in the decomposition and detoxification of these contaminants. In contaminated environments, bacteria exhibit resistance to heavy metals through various strategies, including the production of metal-chelating molecules, alterations to cell surface properties, efflux pumps, and activation of detoxification pathways. Notable microbial species such as Bacillus, Enterobacter, Pseudomonas, Aspergillus, and Penicillium show promising potential for bioremediation efforts. Harnessing bacterial resistance to heavy metals offers a cost-effective and sustainable approach to mitigate the adverse impacts of contamination. This review explores the mechanisms of heavy metal resistance in bacteria, the role of soil microbiota, and the implications for bioremediation strategies. This review emphasizes the critical importance of bacterial resistance in addressing soil contamination and highlight the need for further research to elucidate underlying mechanisms and enhance bioremediation applications in this urgent global challenge.","container-title":"Journal of Microbiology and Biotechnology","DOI":"10.4014/jmb.2411.11073","ISSN":"1017-7825","journalAbbreviation":"J Microbiol Biotechnol","note":"PMID: 40659549\nPMCID: PMC12283256","page":"e2411073","source":"PubMed Central","title":"Bacterial Heavy Metal Resistance in Contaminated Soil","volume":"35","author":[{"family":"Iimaa","given":"Tuyajargal"},{"family":"Batmunkh","given":"Munkhjin"},{"family":"Dulguun","given":"Batbold"},{"family":"Dorjsuren","given":"Batsuren"},{"family":"Turmunkh","given":"Telmen"},{"family":"Tserennadmid","given":"Enkhjargal"},{"family":"Surenjav","given":"Unursaikhan"},{"family":"Choidash","given":"Battsetseg"},{"family":"Gereltuya","given":"Renchinkhand"}],"issued":{"date-parts":[["2025",7,9]]}}}],"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(Iimaa et al., 2025)</w:t>
      </w:r>
      <w:r w:rsidR="004C3F03" w:rsidRPr="0012729E">
        <w:rPr>
          <w:rFonts w:ascii="Times New Roman" w:hAnsi="Times New Roman"/>
          <w:sz w:val="24"/>
          <w:szCs w:val="24"/>
        </w:rPr>
        <w:fldChar w:fldCharType="end"/>
      </w:r>
      <w:r w:rsidRPr="0012729E">
        <w:rPr>
          <w:rFonts w:ascii="Times New Roman" w:hAnsi="Times New Roman"/>
          <w:sz w:val="24"/>
          <w:szCs w:val="24"/>
        </w:rPr>
        <w:t>. These interactions demonstrate that antibiotic resistance can also develop as a result of concerted biochemical processes of microbial communities</w:t>
      </w:r>
      <w:r w:rsidR="00363338" w:rsidRPr="0012729E">
        <w:rPr>
          <w:rFonts w:ascii="Times New Roman" w:hAnsi="Times New Roman"/>
          <w:sz w:val="24"/>
          <w:szCs w:val="24"/>
        </w:rPr>
        <w:t>,</w:t>
      </w:r>
      <w:r w:rsidRPr="0012729E">
        <w:rPr>
          <w:rFonts w:ascii="Times New Roman" w:hAnsi="Times New Roman"/>
          <w:sz w:val="24"/>
          <w:szCs w:val="24"/>
        </w:rPr>
        <w:t xml:space="preserve"> as well as individual cellular adaptations</w:t>
      </w:r>
    </w:p>
    <w:p w14:paraId="514919DC" w14:textId="77777777" w:rsidR="004C3F03" w:rsidRPr="0012729E" w:rsidRDefault="00573F0C" w:rsidP="00CF6F85">
      <w:pPr>
        <w:rPr>
          <w:rFonts w:ascii="Times New Roman" w:hAnsi="Times New Roman"/>
          <w:b/>
          <w:bCs/>
          <w:sz w:val="24"/>
          <w:szCs w:val="24"/>
        </w:rPr>
      </w:pPr>
      <w:r w:rsidRPr="0012729E">
        <w:rPr>
          <w:rFonts w:ascii="Times New Roman" w:hAnsi="Times New Roman"/>
          <w:b/>
          <w:bCs/>
          <w:sz w:val="24"/>
          <w:szCs w:val="24"/>
        </w:rPr>
        <w:t>3.</w:t>
      </w:r>
      <w:r w:rsidR="004933C3" w:rsidRPr="0012729E">
        <w:rPr>
          <w:rFonts w:ascii="Times New Roman" w:hAnsi="Times New Roman"/>
          <w:b/>
          <w:bCs/>
          <w:sz w:val="24"/>
          <w:szCs w:val="24"/>
        </w:rPr>
        <w:t xml:space="preserve"> </w:t>
      </w:r>
      <w:r w:rsidRPr="0012729E">
        <w:rPr>
          <w:rFonts w:ascii="Times New Roman" w:hAnsi="Times New Roman"/>
          <w:b/>
          <w:bCs/>
          <w:sz w:val="24"/>
          <w:szCs w:val="24"/>
        </w:rPr>
        <w:t>Microbial Community Interactions Driving Resistance Evolution</w:t>
      </w:r>
    </w:p>
    <w:p w14:paraId="7C71F86E" w14:textId="77777777" w:rsidR="00CF6F85" w:rsidRPr="0012729E" w:rsidRDefault="00CF6F85" w:rsidP="00CF6F85">
      <w:pPr>
        <w:rPr>
          <w:rFonts w:ascii="Times New Roman" w:hAnsi="Times New Roman"/>
          <w:b/>
          <w:bCs/>
          <w:sz w:val="24"/>
          <w:szCs w:val="24"/>
        </w:rPr>
      </w:pPr>
      <w:r w:rsidRPr="0012729E">
        <w:rPr>
          <w:rFonts w:ascii="Times New Roman" w:hAnsi="Times New Roman"/>
          <w:sz w:val="24"/>
          <w:szCs w:val="24"/>
        </w:rPr>
        <w:t xml:space="preserve"> </w:t>
      </w:r>
      <w:r w:rsidR="004C3F03" w:rsidRPr="0012729E">
        <w:rPr>
          <w:rFonts w:ascii="Times New Roman" w:hAnsi="Times New Roman"/>
          <w:sz w:val="24"/>
          <w:szCs w:val="24"/>
        </w:rPr>
        <w:t>C</w:t>
      </w:r>
      <w:r w:rsidRPr="0012729E">
        <w:rPr>
          <w:rFonts w:ascii="Times New Roman" w:hAnsi="Times New Roman"/>
          <w:sz w:val="24"/>
          <w:szCs w:val="24"/>
        </w:rPr>
        <w:t>ompetition among microbes and adaptations to environmental stress are part of an ecological system in which antibiotic resistance develops</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{"citationID":"LVzrb2gq","properties":{"formattedCitation":"(Bobate et al., 2023)","plainCitation":"(Bobate et al., 2023)","noteIndex":0},"citationItems":[{"id":19301,"uris":["http://zotero.org/users/16652950/items/ZXZ2HTY7"],"itemData":{"id":19301,"type":"article-journal","abstract":"The rapid development and spread of antimicrobial resistance in the post-antibiotic era has become a global concern. Recent evidence indicates that, at present, antibiotic resistance is evolving at an alarming rate as a defense mechanism against anthropogenic chemical stresses. Mechanistically, bacterial resistance to antibiotics involves reduced permeability, active efflux, modification of the target site, and/or inactivation of the antibiotic molecule and is encoded by antibiotic resistance genes (ARGs) that are majorly carried by mobile genetic elements (MGEs). Horizontal gene transfer (HGT) facilitates the inter and intra-species dissemination of MGEs and drives the spread of ARGs, which leads to the development of environmental resistome. Clinical and environmental antibiotic resistance has severe consequences on global health and the economy if left unchecked. For routine monitoring of the resistance, traditional culture-based methods, reliable polymerase chain reaction (PCR)-based methods, in addition to recent high throughput and rapid next-generation sequencing (NGS)-based methods, are often used. The present work critically reviews the mechanisms for the evolution of antimicrobial resistance, tools to monitor the emergence of such resistance and the global efforts for management of the growing threat of antimicrobial resistance spearheaded by the World Health Organization (WHO) in collaboration with developed and developing countries alike. The work highlights the policies at global and national levels to monitor and implement stewardship programs, awareness campaigns, prevention practices, and healthcare guidelines to promote and ensure the judicious prescription of antimicrobials for the containment of antimicrobial resistance.","container-title":"Environmental Advances","DOI":"10.1016/j.envadv.2023.100409","ISSN":"2666-7657","journalAbbreviation":"Environmental Advances","page":"100409","source":"ScienceDirect","title":"Emergence of environmental antibiotic resistance: Mechanism, monitoring and management","title-short":"Emergence of environmental antibiotic resistance","volume":"13","author":[{"family":"Bobate","given":"Shishir"},{"family":"Mahalle","given":"Sejal"},{"family":"Dafale","given":"Nishant A."},{"family":"Bajaj","given":"Abhay"}],"issued":{"date-parts":[["2023",10,1]]}}}],"schema":"https://github.com/citation-style-language/schema/raw/master/csl-citation.json"}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(Bobate et al., 2023)</w:t>
      </w:r>
      <w:r w:rsidR="008F24B5" w:rsidRPr="0012729E">
        <w:rPr>
          <w:rFonts w:ascii="Times New Roman" w:hAnsi="Times New Roman"/>
          <w:sz w:val="24"/>
          <w:szCs w:val="24"/>
        </w:rPr>
        <w:fldChar w:fldCharType="end"/>
      </w:r>
      <w:r w:rsidRPr="0012729E">
        <w:rPr>
          <w:rFonts w:ascii="Times New Roman" w:hAnsi="Times New Roman"/>
          <w:sz w:val="24"/>
          <w:szCs w:val="24"/>
        </w:rPr>
        <w:t>. Studies of the genes responsible for antimicrobial resistance have made significant advances in the understanding of antimicrobial resistance</w:t>
      </w:r>
      <w:r w:rsidR="00363338" w:rsidRPr="0012729E">
        <w:rPr>
          <w:rFonts w:ascii="Times New Roman" w:hAnsi="Times New Roman"/>
          <w:sz w:val="24"/>
          <w:szCs w:val="24"/>
        </w:rPr>
        <w:t>;</w:t>
      </w:r>
      <w:r w:rsidRPr="0012729E">
        <w:rPr>
          <w:rFonts w:ascii="Times New Roman" w:hAnsi="Times New Roman"/>
          <w:sz w:val="24"/>
          <w:szCs w:val="24"/>
        </w:rPr>
        <w:t xml:space="preserve"> however, antimicrobial resistance is often influenced by interactions among organisms within microbial communities in natural and clinical settings, in addition to </w:t>
      </w:r>
      <w:r w:rsidRPr="0012729E">
        <w:rPr>
          <w:rFonts w:ascii="Times New Roman" w:hAnsi="Times New Roman"/>
          <w:sz w:val="24"/>
          <w:szCs w:val="24"/>
        </w:rPr>
        <w:lastRenderedPageBreak/>
        <w:t>individual organisms</w:t>
      </w:r>
      <w:r w:rsidR="004C3F03" w:rsidRPr="0012729E">
        <w:rPr>
          <w:rFonts w:ascii="Times New Roman" w:hAnsi="Times New Roman"/>
          <w:sz w:val="24"/>
          <w:szCs w:val="24"/>
        </w:rPr>
        <w:fldChar w:fldCharType="begin"/>
      </w:r>
      <w:r w:rsidR="004C3F03" w:rsidRPr="0012729E">
        <w:rPr>
          <w:rFonts w:ascii="Times New Roman" w:hAnsi="Times New Roman"/>
          <w:sz w:val="24"/>
          <w:szCs w:val="24"/>
        </w:rPr>
        <w:instrText xml:space="preserve"> ADDIN ZOTERO_ITEM CSL_CITATION {"citationID":"iQznVxog","properties":{"formattedCitation":"(Ahmed et al., 2024)","plainCitation":"(Ahmed et al., 2024)","noteIndex":0},"citationItems":[{"id":19215,"uris":["http://zotero.org/users/16652950/items/7VVEIIDY"],"itemData":{"id":19215,"type":"article-journal","abstract":"Antimicrobial resistance (AMR) is a critical global health issue driven by antibiotic misuse and overuse in various sectors, leading to the emergence of resistant microorganisms. The history of AMR dates back to the discovery of penicillin, with the rise of multidrug-resistant pathogens posing significant challenges to healthcare systems worldwide. The misuse of antibiotics in human and animal health, as well as in agriculture, contributes to the spread of resistance genes, creating a \"Silent Pandemic\" that could surpass other causes of mortality by 2050. AMR affects both humans and animals, with resistant pathogens posing challenges in treating infections. Various mechanisms, such as enzymatic modification and biofilm formation, enable microbes to withstand the effects of antibiotics. The lack of effective antibiotics threatens routine medical procedures and could lead to millions of deaths annually if left unchecked. The economic impact of AMR is substantial, with projected losses in the trillions of dollars and significant financial burdens on healthcare systems and agriculture. Artificial intelligence is being explored as a tool to combat AMR by improving diagnostics and treatment strategies, although challenges such as data quality and algorithmic biases exist. To address AMR effectively, a One Health approach that considers human, animal, and environmental factors is crucial. This includes enhancing surveillance systems, promoting stewardship programs, and investing in research and development for new antimicrobial options. Public awareness, education, and international collaboration are essential for combating AMR and preserving the efficacy of antibiotics for future generations.","container-title":"Journal of Medicine, Surgery, and Public Health","DOI":"10.1016/j.glmedi.2024.100081","ISSN":"2949-916X","journalAbbreviation":"Journal of Medicine, Surgery, and Public Health","page":"100081","source":"ScienceDirect","title":"Antimicrobial resistance: Impacts, challenges, and future prospects","title-short":"Antimicrobial resistance","volume":"2","author":[{"family":"Ahmed","given":"Sirwan Khalid"},{"family":"Hussein","given":"Safin"},{"family":"Qurbani","given":"Karzan"},{"family":"Ibrahim","given":"Radhwan Hussein"},{"family":"Fareeq","given":"Abdulmalik"},{"family":"Mahmood","given":"Kochr Ali"},{"family":"Mohamed","given":"Mona Gamal"}],"issued":{"date-parts":[["2024",4,1]]}}}],"schema":"https://github.com/citation-style-language/schema/raw/master/csl-citation.json"} </w:instrText>
      </w:r>
      <w:r w:rsidR="004C3F03" w:rsidRPr="0012729E">
        <w:rPr>
          <w:rFonts w:ascii="Times New Roman" w:hAnsi="Times New Roman"/>
          <w:sz w:val="24"/>
          <w:szCs w:val="24"/>
        </w:rPr>
        <w:fldChar w:fldCharType="separate"/>
      </w:r>
      <w:r w:rsidR="004C3F03" w:rsidRPr="0012729E">
        <w:rPr>
          <w:rFonts w:ascii="Times New Roman" w:hAnsi="Times New Roman"/>
          <w:sz w:val="24"/>
          <w:szCs w:val="24"/>
        </w:rPr>
        <w:t>(Ahmed et al., 2024)</w:t>
      </w:r>
      <w:r w:rsidR="004C3F03" w:rsidRPr="0012729E">
        <w:rPr>
          <w:rFonts w:ascii="Times New Roman" w:hAnsi="Times New Roman"/>
          <w:sz w:val="24"/>
          <w:szCs w:val="24"/>
        </w:rPr>
        <w:fldChar w:fldCharType="end"/>
      </w:r>
      <w:r w:rsidRPr="0012729E">
        <w:rPr>
          <w:rFonts w:ascii="Times New Roman" w:hAnsi="Times New Roman"/>
          <w:sz w:val="24"/>
          <w:szCs w:val="24"/>
        </w:rPr>
        <w:t xml:space="preserve">. Such </w:t>
      </w:r>
      <w:r w:rsidR="00363338" w:rsidRPr="0012729E">
        <w:rPr>
          <w:rFonts w:ascii="Times New Roman" w:hAnsi="Times New Roman"/>
          <w:sz w:val="24"/>
          <w:szCs w:val="24"/>
        </w:rPr>
        <w:t>community-level</w:t>
      </w:r>
      <w:r w:rsidRPr="0012729E">
        <w:rPr>
          <w:rFonts w:ascii="Times New Roman" w:hAnsi="Times New Roman"/>
          <w:sz w:val="24"/>
          <w:szCs w:val="24"/>
        </w:rPr>
        <w:t xml:space="preserve"> processes have a major impact on the rise, maintenance</w:t>
      </w:r>
      <w:r w:rsidR="00363338" w:rsidRPr="0012729E">
        <w:rPr>
          <w:rFonts w:ascii="Times New Roman" w:hAnsi="Times New Roman"/>
          <w:sz w:val="24"/>
          <w:szCs w:val="24"/>
        </w:rPr>
        <w:t>,</w:t>
      </w:r>
      <w:r w:rsidRPr="0012729E">
        <w:rPr>
          <w:rFonts w:ascii="Times New Roman" w:hAnsi="Times New Roman"/>
          <w:sz w:val="24"/>
          <w:szCs w:val="24"/>
        </w:rPr>
        <w:t xml:space="preserve"> and spread of resistant properties.</w:t>
      </w:r>
    </w:p>
    <w:p w14:paraId="3B549DFB"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One of the key mechanisms in microbial resistance evolution is horizontal gene transfer, where genetic material can be transferred among organisms without participation in reproduction</w:t>
      </w:r>
      <w:r w:rsidR="008F24B5"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{"citationID":"eX31XjNc","properties":{"formattedCitation":"(Burmeister, 2015)","plainCitation":"(Burmeister, 2015)","noteIndex":0},"citationItems":[{"id":19448,"uris":["http://zotero.org/users/16652950/items/G6JZ4QWE"],"itemData":{"id":19448,"type":"article-journal","container-title":"Evolution, Medicine, and Public Health","DOI":"10.1093/emph/eov018","ISSN":"2050-6201","issue":"1","journalAbbreviation":"Evol Med Public Health","note":"PMID: 26224621\nPMCID: PMC4536854","page":"193-194","source":"PubMed Central","title":"Horizontal Gene Transfer","volume":"2015","author":[{"family":"Burmeister","given":"Alita R."}],"issued":{"date-parts":[["2015",7,29]]}}}],"schema":"https://github.com/citation-style-language/schema/raw/master/csl-citation.json"} </w:instrText>
      </w:r>
      <w:r w:rsidR="008F24B5" w:rsidRPr="0012729E">
        <w:rPr>
          <w:rFonts w:ascii="Times New Roman" w:hAnsi="Times New Roman"/>
          <w:sz w:val="24"/>
          <w:szCs w:val="24"/>
        </w:rPr>
        <w:fldChar w:fldCharType="separate"/>
      </w:r>
      <w:r w:rsidR="00AB3E5E" w:rsidRPr="0012729E">
        <w:rPr>
          <w:rFonts w:ascii="Times New Roman" w:hAnsi="Times New Roman"/>
          <w:sz w:val="24"/>
          <w:szCs w:val="24"/>
        </w:rPr>
        <w:t>(Burmeister, 2015)</w:t>
      </w:r>
      <w:r w:rsidR="008F24B5" w:rsidRPr="0012729E">
        <w:rPr>
          <w:rFonts w:ascii="Times New Roman" w:hAnsi="Times New Roman"/>
          <w:sz w:val="24"/>
          <w:szCs w:val="24"/>
        </w:rPr>
        <w:fldChar w:fldCharType="end"/>
      </w:r>
      <w:r w:rsidRPr="0012729E">
        <w:rPr>
          <w:rFonts w:ascii="Times New Roman" w:hAnsi="Times New Roman"/>
          <w:sz w:val="24"/>
          <w:szCs w:val="24"/>
        </w:rPr>
        <w:t>. The importance of conjugal transfer is most acute in the case of plasmids that are able to carry resistance determinants, as these can be directly passed from one bacterial cell to another by direct contact</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{"citationID":"s5wxDgzg","properties":{"formattedCitation":"(Grohmann et al., 2003)","plainCitation":"(Grohmann et al., 2003)","noteIndex":0},"citationItems":[{"id":19306,"uris":["http://zotero.org/users/16652950/items/P3RDPSBP"],"itemData":{"id":19306,"type":"article-journal","abstract":"Conjugative transfer of bacterial plasmids is the most efficient way of horizontal gene spread, and it is therefore considered one of the major reasons for the increase in the number of bacteria exhibiting multiple-antibiotic resistance. Thus, conjugation and spread of antibiotic resistance represents a severe problem in antibiotic treatment, especially of immunosuppressed patients and in intensive care units. While conjugation in gram-negative bacteria has been studied in great detail over the last decades, the transfer mechanisms of antibiotic resistance plasmids in gram-positive bacteria remained obscure. In the last few years, the entire nucleotide sequences of several large conjugative plasmids from gram-positive bacteria have been determined. Sequence analyses and data bank comparisons of their putative transfer (tra) regions have revealed significant similarities to tra regions of plasmids from gram-negative bacteria with regard to the respective DNA relaxases and their targets, the origins of transfer (oriT), and putative nucleoside triphosphatases NTP-ases with homologies to type IV secretion systems. In contrast, a single gene encoding a septal DNA translocator protein is involved in plasmid transfer between micelle-forming streptomycetes. Based on these clues, we propose the existence of two fundamentally different plasmid-mediated conjugative mechanisms in gram-positive microorganisms, namely, the mechanism taking place in unicellular gram-positive bacteria, which is functionally similar to that in gram-negative bacteria, and a second type that occurs in multicellular gram-positive bacteria, which seems to be characterized by double-stranded DNA transfer.","container-title":"Microbiology and Molecular Biology Reviews","DOI":"10.1128/MMBR.67.2.277-301.2003","ISSN":"1092-2172","issue":"2","journalAbbreviation":"Microbiol Mol Biol Rev","note":"PMID: 12794193\nPMCID: PMC156469","page":"277-301","source":"PubMed Central","title":"Conjugative Plasmid Transfer in Gram-Positive Bacteria","volume":"67","author":[{"family":"Grohmann","given":"Elisabeth"},{"family":"Muth","given":"Günther"},{"family":"Espinosa","given":"Manuel"}],"issued":{"date-parts":[["2003",6]]}}}],"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(Grohmann et al., 2003)</w:t>
      </w:r>
      <w:r w:rsidR="008F24B5" w:rsidRPr="0012729E">
        <w:rPr>
          <w:rFonts w:ascii="Times New Roman" w:hAnsi="Times New Roman"/>
          <w:sz w:val="24"/>
          <w:szCs w:val="24"/>
        </w:rPr>
        <w:fldChar w:fldCharType="end"/>
      </w:r>
      <w:r w:rsidRPr="0012729E">
        <w:rPr>
          <w:rFonts w:ascii="Times New Roman" w:hAnsi="Times New Roman"/>
          <w:sz w:val="24"/>
          <w:szCs w:val="24"/>
        </w:rPr>
        <w:t>. This process is a major driver of the rapid dissemination of MDR within the hospital, wastewater</w:t>
      </w:r>
      <w:r w:rsidR="00363338" w:rsidRPr="0012729E">
        <w:rPr>
          <w:rFonts w:ascii="Times New Roman" w:hAnsi="Times New Roman"/>
          <w:sz w:val="24"/>
          <w:szCs w:val="24"/>
        </w:rPr>
        <w:t>,</w:t>
      </w:r>
      <w:r w:rsidRPr="0012729E">
        <w:rPr>
          <w:rFonts w:ascii="Times New Roman" w:hAnsi="Times New Roman"/>
          <w:sz w:val="24"/>
          <w:szCs w:val="24"/>
        </w:rPr>
        <w:t xml:space="preserve"> and agricultural settings. Transformation is also a mechanism enabling bacteria to acquire resistance by uptake of DNA from dead cells in the environment and incorporation of the acquired DNA into their genome. By means of bacteriophages, transduction can also allow the transfer of </w:t>
      </w:r>
      <w:r w:rsidR="00363338" w:rsidRPr="0012729E">
        <w:rPr>
          <w:rFonts w:ascii="Times New Roman" w:hAnsi="Times New Roman"/>
          <w:sz w:val="24"/>
          <w:szCs w:val="24"/>
        </w:rPr>
        <w:t>resistance-associated</w:t>
      </w:r>
      <w:r w:rsidRPr="0012729E">
        <w:rPr>
          <w:rFonts w:ascii="Times New Roman" w:hAnsi="Times New Roman"/>
          <w:sz w:val="24"/>
          <w:szCs w:val="24"/>
        </w:rPr>
        <w:t xml:space="preserve"> genes between microbial populations</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{"citationID":"Xi8Xxrir","properties":{"formattedCitation":"(Vesel et al., 2025)","plainCitation":"(Vesel et al., 2025)","noteIndex":0},"citationItems":[{"id":19309,"uris":["http://zotero.org/users/16652950/items/IISNGLKE"],"itemData":{"id":19309,"type":"article-journal","abstract":"Host-mediated natural competence for transformation of DNA and mobile genetic element (MGE)-driven conjugation and transduction are key modes of horizontal gene transfer. While these mechanisms are traditionally believed to shape bacterial evolution by enabling the acquisition of new genetic traits, numerous studies have elucidated an antagonistic relationship between natural transformation and MGEs. A new role of natural transformation as a chromosome-curing mechanism has now been proposed. Experimental data, along with mathematical models, suggest that transformation can eliminate deleterious MGEs. Supporting this hypothesis, MGEs have been shown to use various mechanisms to decrease or block transformability, such as disrupting competence genes, regulating the development of competence, hindering DNA uptake machinery, producing DNases that target the exogenous (transforming) DNA, and causing lysis of competent cells. A few examples of synergistic relationships between natural transformation and MGEs have also been reported, with natural transformation facilitating MGE transfer and phages enhancing transformation by supplying extracellular DNA through lysis and promoting competence via kin discrimination. Given the complexity of the relationships between natural transformation and MGEs, the balance between antagonism and synergy likely depends on specific selection pressures in a given context. The evidence collected here indicates a continuous conflict over horizontal gene transfer in bacteria, with semiautonomous MGEs attempting to disrupt host-controlled DNA acquisition, while host competence mechanisms work to resist MGE interference., This review describes the complex interplay between host-mediated natural competence for DNA transformation and mobile genetic element (MGE)-driven conjugation and transduction, highlighting a dual role of natural transformation as both a facilitator of genetic diversity and a chromosome-curing mechanism against harmful MGEs.","container-title":"FEMS Microbiology Reviews","DOI":"10.1093/femsre/fuaf035","ISSN":"0168-6445","journalAbbreviation":"FEMS Microbiol Rev","note":"PMID: 40802478\nPMCID: PMC12378983","page":"fuaf035","source":"PubMed Central","title":"Naturally competent bacteria and their genetic parasites—a battle for control over horizontal gene transfer?","volume":"49","author":[{"family":"Vesel","given":"Nina"},{"family":"Stare","given":"Eva"},{"family":"Štefanič","given":"Polonca"},{"family":"Floccari","given":"Valentina A"},{"family":"Mandic-Mulec","given":"Ines"},{"family":"Dragoš","given":"Anna"}],"issued":{"date-parts":[["2025",8,13]]}}}],"schema":"https://github.com/citation-style-language/schema/raw/master/csl-citation.json"}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(Vesel et al., 2025)</w:t>
      </w:r>
      <w:r w:rsidR="008F24B5" w:rsidRPr="0012729E">
        <w:rPr>
          <w:rFonts w:ascii="Times New Roman" w:hAnsi="Times New Roman"/>
          <w:sz w:val="24"/>
          <w:szCs w:val="24"/>
        </w:rPr>
        <w:fldChar w:fldCharType="end"/>
      </w:r>
      <w:r w:rsidRPr="0012729E">
        <w:rPr>
          <w:rFonts w:ascii="Times New Roman" w:hAnsi="Times New Roman"/>
          <w:sz w:val="24"/>
          <w:szCs w:val="24"/>
        </w:rPr>
        <w:t xml:space="preserve">. These mechanisms provide dynamic genetic exchange networks that generate resistance </w:t>
      </w:r>
      <w:r w:rsidR="00363338" w:rsidRPr="0012729E">
        <w:rPr>
          <w:rFonts w:ascii="Times New Roman" w:hAnsi="Times New Roman"/>
          <w:sz w:val="24"/>
          <w:szCs w:val="24"/>
        </w:rPr>
        <w:t>more quickly</w:t>
      </w:r>
      <w:r w:rsidRPr="0012729E">
        <w:rPr>
          <w:rFonts w:ascii="Times New Roman" w:hAnsi="Times New Roman"/>
          <w:sz w:val="24"/>
          <w:szCs w:val="24"/>
        </w:rPr>
        <w:t xml:space="preserve"> than vertical inheritance.</w:t>
      </w:r>
    </w:p>
    <w:p w14:paraId="383D7023"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 </w:t>
      </w:r>
      <w:r w:rsidR="00AB3E5E" w:rsidRPr="0012729E">
        <w:rPr>
          <w:rFonts w:ascii="Times New Roman" w:hAnsi="Times New Roman"/>
          <w:sz w:val="24"/>
          <w:szCs w:val="24"/>
        </w:rPr>
        <w:t xml:space="preserve">Another element of ecological interactions within microbial communities is also a factor in shaping adaptive survival </w:t>
      </w:r>
      <w:r w:rsidRPr="0012729E">
        <w:rPr>
          <w:rFonts w:ascii="Times New Roman" w:hAnsi="Times New Roman"/>
          <w:sz w:val="24"/>
          <w:szCs w:val="24"/>
        </w:rPr>
        <w:t>pressure</w:t>
      </w:r>
      <w:r w:rsidR="00A715F4"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{"citationID":"uR4VJher","properties":{"formattedCitation":"(Gu et al., 2026)","plainCitation":"(Gu et al., 2026)","noteIndex":0},"citationItems":[{"id":19450,"uris":["http://zotero.org/users/16652950/items/XVUS7KKH"],"itemData":{"id":19450,"type":"article-journal","abstract":"Microbial interactions hold vast potential for improving sustainability, including waste upcycling, greenhouse gas mitigation, contaminant bioremediation, and host performance. However, attempts to manage interactions in complex, open microbial communities often fall short of expectations, in part because interactions are highly context-dependent, with net effects arising from multiple component interactions, higher-order interactions, and rapid evolution—features largely revealed from studies with simplified communities. Here, we propose how these insights can be translated to complex communities by prioritizing the scales and disturbances that matter, leveraging the ecological context that constrains interactions, targeting function-critical behaviors and traits, and accounting for eco-evolutionary feedbacks. We further propose coupling top-down, trait-based, and coarse-grained approaches with bottom-up synthetic ecology approaches to diagnose failures and design robust microbial processes.","container-title":"Trends in Microbiology","DOI":"10.1016/j.tim.2026.04.003","ISSN":"0966-842X","journalAbbreviation":"Trends in Microbiology","source":"ScienceDirect","title":"Managing microbial interactions in environmental biotechnology: can we scale interaction principles?","title-short":"Managing microbial interactions in environmental biotechnology","URL":"https://www.sciencedirect.com/science/article/pii/S0966842X26000946","author":[{"family":"Gu","given":"Wenyu"},{"family":"Richter","given":"Xiang-Yi Li"},{"family":"Johnson","given":"David R."}],"accessed":{"date-parts":[["2026",5,27]]},"issued":{"date-parts":[["2026",4,28]]}}}],"schema":"https://github.com/citation-style-language/schema/raw/master/csl-citation.json"} </w:instrText>
      </w:r>
      <w:r w:rsidR="00A715F4" w:rsidRPr="0012729E">
        <w:rPr>
          <w:rFonts w:ascii="Times New Roman" w:hAnsi="Times New Roman"/>
          <w:sz w:val="24"/>
          <w:szCs w:val="24"/>
        </w:rPr>
        <w:fldChar w:fldCharType="separate"/>
      </w:r>
      <w:r w:rsidR="00AB3E5E" w:rsidRPr="0012729E">
        <w:rPr>
          <w:rFonts w:ascii="Times New Roman" w:hAnsi="Times New Roman"/>
          <w:sz w:val="24"/>
          <w:szCs w:val="24"/>
        </w:rPr>
        <w:t>(Gu et al., 2026)</w:t>
      </w:r>
      <w:r w:rsidR="00A715F4" w:rsidRPr="0012729E">
        <w:rPr>
          <w:rFonts w:ascii="Times New Roman" w:hAnsi="Times New Roman"/>
          <w:sz w:val="24"/>
          <w:szCs w:val="24"/>
        </w:rPr>
        <w:fldChar w:fldCharType="end"/>
      </w:r>
      <w:r w:rsidRPr="0012729E">
        <w:rPr>
          <w:rFonts w:ascii="Times New Roman" w:hAnsi="Times New Roman"/>
          <w:sz w:val="24"/>
          <w:szCs w:val="24"/>
        </w:rPr>
        <w:t xml:space="preserve">. Stress may bring about </w:t>
      </w:r>
      <w:r w:rsidR="00363338" w:rsidRPr="0012729E">
        <w:rPr>
          <w:rFonts w:ascii="Times New Roman" w:hAnsi="Times New Roman"/>
          <w:sz w:val="24"/>
          <w:szCs w:val="24"/>
        </w:rPr>
        <w:t xml:space="preserve">the </w:t>
      </w:r>
      <w:r w:rsidRPr="0012729E">
        <w:rPr>
          <w:rFonts w:ascii="Times New Roman" w:hAnsi="Times New Roman"/>
          <w:sz w:val="24"/>
          <w:szCs w:val="24"/>
        </w:rPr>
        <w:t>selection of resistant strains with survival traits</w:t>
      </w:r>
      <w:r w:rsidR="00363338" w:rsidRPr="0012729E">
        <w:rPr>
          <w:rFonts w:ascii="Times New Roman" w:hAnsi="Times New Roman"/>
          <w:sz w:val="24"/>
          <w:szCs w:val="24"/>
        </w:rPr>
        <w:t>,</w:t>
      </w:r>
      <w:r w:rsidRPr="0012729E">
        <w:rPr>
          <w:rFonts w:ascii="Times New Roman" w:hAnsi="Times New Roman"/>
          <w:sz w:val="24"/>
          <w:szCs w:val="24"/>
        </w:rPr>
        <w:t xml:space="preserve"> and competition for nutrients and ecological space may also allow for </w:t>
      </w:r>
      <w:r w:rsidR="00363338" w:rsidRPr="0012729E">
        <w:rPr>
          <w:rFonts w:ascii="Times New Roman" w:hAnsi="Times New Roman"/>
          <w:sz w:val="24"/>
          <w:szCs w:val="24"/>
        </w:rPr>
        <w:t xml:space="preserve">the </w:t>
      </w:r>
      <w:r w:rsidRPr="0012729E">
        <w:rPr>
          <w:rFonts w:ascii="Times New Roman" w:hAnsi="Times New Roman"/>
          <w:sz w:val="24"/>
          <w:szCs w:val="24"/>
        </w:rPr>
        <w:t>selection of resistant strains</w:t>
      </w:r>
      <w:r w:rsidR="00A715F4"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{"citationID":"R0kPtnyK","properties":{"formattedCitation":"(Larsson &amp; Flach, 2022)","plainCitation":"(Larsson &amp; Flach, 2022)","noteIndex":0},"citationItems":[{"id":19330,"uris":["http://zotero.org/users/16652950/items/QDC48YQE"],"itemData":{"id":19330,"type":"article-journal","abstract":"Antibiotic resistance is a global health challenge, involving the transfer of bacteria and genes between humans, animals and the environment. Although multiple barriers restrict the flow of both bacteria and genes, pathogens recurrently acquire new resistance factors from other species, thereby reducing our ability to prevent and treat bacterial infections. Evolutionary events that lead to the emergence of new resistance factors in pathogens are rare and challenging to predict, but may be associated with vast ramifications. Transmission events of already widespread resistant strains are, on the other hand, common, quantifiable and more predictable, but the consequences of each event are limited. Quantifying the pathways and identifying the drivers of and bottlenecks for environmental evolution and transmission of antibiotic resistance are key components to understand and manage the resistance crisis as a whole. In this Review, we present our current understanding of the roles of the environment, including antibiotic pollution, in resistance evolution, in transmission and as a mere reflection of the regional antibiotic resistance situation in the clinic. We provide a perspective on current evidence, describe risk scenarios, discuss methods for surveillance and the assessment of potential drivers, and finally identify some actions to mitigate risks., In this Review, Larsson and Flach discuss the drivers of and bottlenecks for environmental evolution and transmission of antibiotic resistance, and they explore environmental surveillance strategies that could complement clinical surveillance systems.","container-title":"Nature Reviews. Microbiology","DOI":"10.1038/s41579-021-00649-x","ISSN":"1740-1526","issue":"5","journalAbbreviation":"Nat Rev Microbiol","note":"PMID: 34737424\nPMCID: PMC8567979","page":"257-269","source":"PubMed Central","title":"Antibiotic resistance in the environment","volume":"20","author":[{"family":"Larsson","given":"D. G. Joakim"},{"family":"Flach","given":"Carl-Fredrik"}],"issued":{"date-parts":[["2022"]]}}}],"schema":"https://github.com/citation-style-language/schema/raw/master/csl-citation.json"} </w:instrText>
      </w:r>
      <w:r w:rsidR="00A715F4" w:rsidRPr="0012729E">
        <w:rPr>
          <w:rFonts w:ascii="Times New Roman" w:hAnsi="Times New Roman"/>
          <w:sz w:val="24"/>
          <w:szCs w:val="24"/>
        </w:rPr>
        <w:fldChar w:fldCharType="separate"/>
      </w:r>
      <w:r w:rsidR="00A715F4" w:rsidRPr="0012729E">
        <w:rPr>
          <w:rFonts w:ascii="Times New Roman" w:hAnsi="Times New Roman"/>
          <w:sz w:val="24"/>
          <w:szCs w:val="24"/>
        </w:rPr>
        <w:t>(Larsson &amp; Flach, 2022)</w:t>
      </w:r>
      <w:r w:rsidR="00A715F4" w:rsidRPr="0012729E">
        <w:rPr>
          <w:rFonts w:ascii="Times New Roman" w:hAnsi="Times New Roman"/>
          <w:sz w:val="24"/>
          <w:szCs w:val="24"/>
        </w:rPr>
        <w:fldChar w:fldCharType="end"/>
      </w:r>
      <w:r w:rsidRPr="0012729E">
        <w:rPr>
          <w:rFonts w:ascii="Times New Roman" w:hAnsi="Times New Roman"/>
          <w:sz w:val="24"/>
          <w:szCs w:val="24"/>
        </w:rPr>
        <w:t>. On the other hand, the role of mutualism and symbiosis may enhance persistence via metabolic cooperation and common protective functions. Neighboring species benefit from the production of metabolites by some microorganisms. These interactions can lead to indirect resistance as they help keep the communities stable during exposure to antibiotics. The niche adaptation is also significant</w:t>
      </w:r>
      <w:r w:rsidR="00363338" w:rsidRPr="0012729E">
        <w:rPr>
          <w:rFonts w:ascii="Times New Roman" w:hAnsi="Times New Roman"/>
          <w:sz w:val="24"/>
          <w:szCs w:val="24"/>
        </w:rPr>
        <w:t>;</w:t>
      </w:r>
      <w:r w:rsidRPr="0012729E">
        <w:rPr>
          <w:rFonts w:ascii="Times New Roman" w:hAnsi="Times New Roman"/>
          <w:sz w:val="24"/>
          <w:szCs w:val="24"/>
        </w:rPr>
        <w:t xml:space="preserve"> microorganisms constantly change their physiological traits in order to make the best use of their environment, improving their chances of survival in an environment that is inhospitable or scarce in resources</w:t>
      </w:r>
      <w:r w:rsidR="00A715F4"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{"citationID":"mDBHM4ZG","properties":{"formattedCitation":"(Scheuerl &amp; Rivett, 2026)","plainCitation":"(Scheuerl &amp; Rivett, 2026)","noteIndex":0},"citationItems":[{"id":19327,"uris":["http://zotero.org/users/16652950/items/FU8KXMYL"],"itemData":{"id":19327,"type":"article-journal","abstract":"The process of bacterial adaptation has a profound impact on human wellbeing and health, but our toolkit to modify evolution is limited. Here, we present a concept of how steering adaptation can be achieved by integration of bacterial evolution and microbial ecology. The fundamental question is how specific species bloom after community perturbation and subsequently evolve. We consider two kinds of traits—α‐niche traits involved in partitioning resources (e.g., broadened resource consumption) and β‐niche traits driven by changes in the abiotic environment (e.g., pH adaptation or resistance after antibiotic treatment). We suggest that the evolution of the second trait can be directed indirectly via the evolution of the first trait, exploiting specific interspecies interactions. Thus, understanding how these traits interact in co‐evolving communities may offer unprecedented opportunities to deflect trait evolution. Summarising current knowledge, emphasising open questions and highlighting conceptual ideas, we hope to stimulate new studies that are needed to move this field forward., There is a great need for approaches to control how species evolve in response to environmental changes, particularly in complex microbiomes. The feasibility is often met with scepticism due to the multitude of open questions and high dimensionality of community eco‐evolutionary dynamics. Attempts to direct evolution in microbiomes may seem elusive, but our synthesis of the field delivers promising ways to overcome these problems. We start our work by summarising how microbiomes impact evolutionary change over ecological timescales before building a concept that rationalises ecological and evolutionary approaches. We state how this combined approach will generate new and exciting knowledge that will have a multifaceted impact from healthcare to environmental bioremediation. The concept describes how evolution can be directed by biotic interactions that modify ecological opportunities. We detail how and when evolution to exploit a novel resource, the evolution of α‐niches, mediates the evolution of a trait needed to mitigate abiotic environmental change, the evolution of β‐niches, and how this plays out in the context of a community. A worked example visualises how applying the concept can create opportunities that minimise the evolution of antibiotic resistance, and another example visualises how this could be exploited for bioremediation. We then summarise how biotic interactions impact evolutionary rates more generally before proposing the focus of future research; this highlights new avenues to illuminate the ‘black box’ of the ecological niches of microbes, and suggests experimental designs that shift the eco‐evolutionary standard.","container-title":"Environmental Microbiology","DOI":"10.1111/1462-2920.70255","ISSN":"1462-2912","issue":"3","journalAbbreviation":"Environ Microbiol","note":"PMID: 41740962\nPMCID: PMC12935498","page":"e70255","source":"PubMed Central","title":"A Concept Using α‐Niche Evolution Within Bacterial Communities to Direct β‐Niche Evolution of Focal Species","volume":"28","author":[{"family":"Scheuerl","given":"Thomas"},{"family":"Rivett","given":"Damian W."}],"issued":{"date-parts":[["2026",3]]}}}],"schema":"https://github.com/citation-style-language/schema/raw/master/csl-citation.json"} </w:instrText>
      </w:r>
      <w:r w:rsidR="00A715F4" w:rsidRPr="0012729E">
        <w:rPr>
          <w:rFonts w:ascii="Times New Roman" w:hAnsi="Times New Roman"/>
          <w:sz w:val="24"/>
          <w:szCs w:val="24"/>
        </w:rPr>
        <w:fldChar w:fldCharType="separate"/>
      </w:r>
      <w:r w:rsidR="00A715F4" w:rsidRPr="0012729E">
        <w:rPr>
          <w:rFonts w:ascii="Times New Roman" w:hAnsi="Times New Roman"/>
          <w:sz w:val="24"/>
          <w:szCs w:val="24"/>
        </w:rPr>
        <w:t>(Scheuerl &amp; Rivett, 2026)</w:t>
      </w:r>
      <w:r w:rsidR="00A715F4" w:rsidRPr="0012729E">
        <w:rPr>
          <w:rFonts w:ascii="Times New Roman" w:hAnsi="Times New Roman"/>
          <w:sz w:val="24"/>
          <w:szCs w:val="24"/>
        </w:rPr>
        <w:fldChar w:fldCharType="end"/>
      </w:r>
      <w:r w:rsidRPr="0012729E">
        <w:rPr>
          <w:rFonts w:ascii="Times New Roman" w:hAnsi="Times New Roman"/>
          <w:sz w:val="24"/>
          <w:szCs w:val="24"/>
        </w:rPr>
        <w:t>.</w:t>
      </w:r>
    </w:p>
    <w:p w14:paraId="2803D345"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Spatial organization is another aspect contributing to resistance dynamics. Biofilms create a structured microbial environment through their extracellular matrices that are known to limit </w:t>
      </w:r>
      <w:r w:rsidR="00363338" w:rsidRPr="0012729E">
        <w:rPr>
          <w:rFonts w:ascii="Times New Roman" w:hAnsi="Times New Roman"/>
          <w:sz w:val="24"/>
          <w:szCs w:val="24"/>
        </w:rPr>
        <w:t xml:space="preserve">the </w:t>
      </w:r>
      <w:r w:rsidRPr="0012729E">
        <w:rPr>
          <w:rFonts w:ascii="Times New Roman" w:hAnsi="Times New Roman"/>
          <w:sz w:val="24"/>
          <w:szCs w:val="24"/>
        </w:rPr>
        <w:t>penetration of antibiotics and promote extended survival. In these densely populated communities, the proximity allows signaling to occur, metabolism to cooperate, and genetic exchange</w:t>
      </w:r>
      <w:r w:rsidR="008F24B5" w:rsidRPr="0012729E">
        <w:rPr>
          <w:rFonts w:ascii="Times New Roman" w:hAnsi="Times New Roman"/>
          <w:sz w:val="24"/>
          <w:szCs w:val="24"/>
        </w:rPr>
        <w:fldChar w:fldCharType="begin"/>
      </w:r>
      <w:r w:rsidR="008F24B5" w:rsidRPr="0012729E">
        <w:rPr>
          <w:rFonts w:ascii="Times New Roman" w:hAnsi="Times New Roman"/>
          <w:sz w:val="24"/>
          <w:szCs w:val="24"/>
        </w:rPr>
        <w:instrText xml:space="preserve"> ADDIN ZOTERO_ITEM CSL_CITATION {"citationID":"Qrn8dHHj","properties":{"formattedCitation":"(Grari et al., 2025)","plainCitation":"(Grari et al., 2025)","noteIndex":0},"citationItems":[{"id":19312,"uris":["http://zotero.org/users/16652950/items/5WMRY2SE"],"itemData":{"id":19312,"type":"article-journal","abstract":"Biofilms are structured microbial communities that form on biotic or abiotic surfaces. They are encased in a self-produced extracellular polymeric substance (EPS) matrix, which allows them to persist, resist antibiotics, and evade the host immune system. Biofilm development is linked to persistent and recurrent infections, including those related to implanted medical devices, wounds, the urinary tract, the respiratory system, and the gastrointestinal tract. Bacteria within biofilms display unique phenotypes compared to their planktonic forms, including changes in gene expression, growth patterns, and metabolic processes, further complicating treatment. Understanding how biofilms develop and are regulated, along with their impact on antimicrobial resistance, is crucial for developing effective approaches to manage and treat biofilm-associated infections. This review examines the existing knowledge about biofilms in human infections, focusing on their formation, structure, and role in antimicrobial resistance and immune evasion. We analyze diagnostic and treatment challenges, explore recent advances in detection and characterization techniques, and discuss novel therapeutic strategies.","container-title":"The Microbe","DOI":"10.1016/j.microb.2025.100436","ISSN":"2950-1946","journalAbbreviation":"The Microbe","page":"100436","source":"ScienceDirect","title":"A comprehensive review on biofilm-associated infections: Mechanisms, diagnostic challenges, and innovative therapeutic strategies","title-short":"A comprehensive review on biofilm-associated infections","volume":"8","author":[{"family":"Grari","given":"Oussama"},{"family":"Ezrari","given":"Said"},{"family":"El Yandouzi","given":"Imane"},{"family":"Benaissa","given":"Elmostapha"},{"family":"Ben Lahlou","given":"Yassine"},{"family":"Lahmer","given":"Mohammed"},{"family":"Saddari","given":"Abderrazak"},{"family":"Elouennass","given":"Mostafa"},{"family":"Maleb","given":"Adil"}],"issued":{"date-parts":[["2025",9,1]]}}}],"schema":"https://github.com/citation-style-language/schema/raw/master/csl-citation.json"} </w:instrText>
      </w:r>
      <w:r w:rsidR="008F24B5" w:rsidRPr="0012729E">
        <w:rPr>
          <w:rFonts w:ascii="Times New Roman" w:hAnsi="Times New Roman"/>
          <w:sz w:val="24"/>
          <w:szCs w:val="24"/>
        </w:rPr>
        <w:fldChar w:fldCharType="separate"/>
      </w:r>
      <w:r w:rsidR="008F24B5" w:rsidRPr="0012729E">
        <w:rPr>
          <w:rFonts w:ascii="Times New Roman" w:hAnsi="Times New Roman"/>
          <w:sz w:val="24"/>
          <w:szCs w:val="24"/>
        </w:rPr>
        <w:t>(Grari et al., 2025)</w:t>
      </w:r>
      <w:r w:rsidR="008F24B5" w:rsidRPr="0012729E">
        <w:rPr>
          <w:rFonts w:ascii="Times New Roman" w:hAnsi="Times New Roman"/>
          <w:sz w:val="24"/>
          <w:szCs w:val="24"/>
        </w:rPr>
        <w:fldChar w:fldCharType="end"/>
      </w:r>
      <w:r w:rsidRPr="0012729E">
        <w:rPr>
          <w:rFonts w:ascii="Times New Roman" w:hAnsi="Times New Roman"/>
          <w:sz w:val="24"/>
          <w:szCs w:val="24"/>
        </w:rPr>
        <w:t xml:space="preserve">. The gut microbiota is a complex community of microorganisms that </w:t>
      </w:r>
      <w:r w:rsidR="00363338" w:rsidRPr="0012729E">
        <w:rPr>
          <w:rFonts w:ascii="Times New Roman" w:hAnsi="Times New Roman"/>
          <w:sz w:val="24"/>
          <w:szCs w:val="24"/>
        </w:rPr>
        <w:t>exists</w:t>
      </w:r>
      <w:r w:rsidRPr="0012729E">
        <w:rPr>
          <w:rFonts w:ascii="Times New Roman" w:hAnsi="Times New Roman"/>
          <w:sz w:val="24"/>
          <w:szCs w:val="24"/>
        </w:rPr>
        <w:t xml:space="preserve"> in dynamic interaction with the host and under constant influence of diet, and </w:t>
      </w:r>
      <w:proofErr w:type="spellStart"/>
      <w:r w:rsidRPr="0012729E">
        <w:rPr>
          <w:rFonts w:ascii="Times New Roman" w:hAnsi="Times New Roman"/>
          <w:sz w:val="24"/>
          <w:szCs w:val="24"/>
        </w:rPr>
        <w:t>harbours</w:t>
      </w:r>
      <w:proofErr w:type="spellEnd"/>
      <w:r w:rsidRPr="0012729E">
        <w:rPr>
          <w:rFonts w:ascii="Times New Roman" w:hAnsi="Times New Roman"/>
          <w:sz w:val="24"/>
          <w:szCs w:val="24"/>
        </w:rPr>
        <w:t xml:space="preserve"> reservoirs of R-gene carrying microorganisms and adaptive traits</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{"citationID":"sCHVJUyH","properties":{"formattedCitation":"(Ma &amp; Lee, 2025)","plainCitation":"(Ma &amp; Lee, 2025)","noteIndex":0},"citationItems":[{"id":19315,"uris":["http://zotero.org/users/16652950/items/X2TJUIMF"],"itemData":{"id":19315,"type":"article-journal","abstract":"The gut microbiota has been increasingly recognised as a critical determinant of human health, influencing a wide range of physiological processes. A ...","container-title":"Foods","DOI":"10.3390/foods14030492","ISSN":"2304-8158","issue":"3","language":"en","license":"http://creativecommons.org/licenses/by/3.0/","note":"publisher: Multidisciplinary Digital Publishing Institute","source":"www.mdpi.com","title":"The Role of the Gut Microbiota in Health, Diet, and Disease with a Focus on Obesity","URL":"https://www.mdpi.com/2304-8158/14/3/492","volume":"14","author":[{"family":"Ma","given":"Zheng Feei"},{"family":"Lee","given":"Yeong Yeh"}],"accessed":{"date-parts":[["2026",5,26]]},"issued":{"date-parts":[["2025",2,3]]}}}],"schema":"https://github.com/citation-style-language/schema/raw/master/csl-citation.json"}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(Ma &amp; Lee, 2025)</w:t>
      </w:r>
      <w:r w:rsidR="00E600EF" w:rsidRPr="0012729E">
        <w:rPr>
          <w:rFonts w:ascii="Times New Roman" w:hAnsi="Times New Roman"/>
          <w:sz w:val="24"/>
          <w:szCs w:val="24"/>
        </w:rPr>
        <w:fldChar w:fldCharType="end"/>
      </w:r>
      <w:r w:rsidRPr="0012729E">
        <w:rPr>
          <w:rFonts w:ascii="Times New Roman" w:hAnsi="Times New Roman"/>
          <w:sz w:val="24"/>
          <w:szCs w:val="24"/>
        </w:rPr>
        <w:t>. Another large ecological interface is that of wastewater microbiomes and the presence and interaction of antibiotics, resistant bacteria, and mobile genetic elements</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{"citationID":"WjTkong5","properties":{"formattedCitation":"(Popoola et al., 2025)","plainCitation":"(Popoola et al., 2025)","noteIndex":0},"citationItems":[{"id":19317,"uris":["http://zotero.org/users/16652950/items/7LJE3L6K"],"itemData":{"id":19317,"type":"article-journal","abstract":"The global rise of antibiotic resistance is increasingly recognized as an environmental as well as a clinical crisis, with tropical freshwater ecosystems emerging as reservoirs of antibiotic-resistant bacteria (ARB) due to contamination from sources like untreated municipal sewage, agricultural runoff, hospital effluents, natural reservoirs and wild fauna. The overuse of antibiotics has also contributed to the emergence of multidrug resistance in many species, presenting a global health concern. The prevalence of high levels of antibiotic-resistant bacteria (mostly ESKAPE pathogens) in tropical water bodies is a cause of concern. Traditional water treatment methods like chlorination and filtration are ineffective in removing ARB or Antibiotic-resistant genes (ARGs) thereby allowing resistant bacteria to survive in drinking water reservoirs. This review synthesizes current knowledge on the occurrence, distribution, and sources of ARB and ARGs in tropical freshwater environments. The review also discusses factors contributing to ARB in tropical freshwater ecosystems. Elevated temperatures, as seen in tropical regions, can facilitate the metabolic processes of bacteria towards speeding up the dissemination of resistance genes and gradients in water flow whereby contaminants end up being concentrated within particular points thereby establishing hotspots for resistance development. Special attention is given to the methods of studying ARB as well as the ecological and public health implications of ARB in this region, justifying an immediate danger to both health and biodiversity with far-reaching ecological and public health implications. Therefore the consequences of ARB contamination include heightened risks of waterborne diseases, increased hazards in recreational waters, and the widespread dissemination of resistance genes, alongside profound effects on water treatment and management. Addressing this issue necessitates a global effort to safeguard both ecosystems and public health. One health approach framework policy and research translation can potentially facilitate multidisciplinary working and solutions integration, most notably in the tropics.","container-title":"The Microbe","DOI":"10.1016/j.microb.2025.100457","ISSN":"2950-1946","journalAbbreviation":"The Microbe","page":"100457","source":"ScienceDirect","title":"Antibiotic-resistant bacteria in tropical freshwater ecosystems: A review of occurrence, distribution and environmental implications","title-short":"Antibiotic-resistant bacteria in tropical freshwater ecosystems","volume":"8","author":[{"family":"Popoola","given":"Bukola Margaret"},{"family":"Adeyemi","given":"Oluwasanmi Anuoluwapo"},{"family":"Samson","given":"Oyindamola John"}],"issued":{"date-parts":[["2025",9,1]]}}}],"schema":"https://github.com/citation-style-language/schema/raw/master/csl-citation.json"}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(Popoola et al., 2025)</w:t>
      </w:r>
      <w:r w:rsidR="00E600EF" w:rsidRPr="0012729E">
        <w:rPr>
          <w:rFonts w:ascii="Times New Roman" w:hAnsi="Times New Roman"/>
          <w:sz w:val="24"/>
          <w:szCs w:val="24"/>
        </w:rPr>
        <w:fldChar w:fldCharType="end"/>
      </w:r>
      <w:r w:rsidRPr="0012729E">
        <w:rPr>
          <w:rFonts w:ascii="Times New Roman" w:hAnsi="Times New Roman"/>
          <w:sz w:val="24"/>
          <w:szCs w:val="24"/>
        </w:rPr>
        <w:t>. Likewise, soil communities constitute significant environmental reservoirs where antimicrobial compounds that occur naturally and microbial competition play a role in resistance development</w:t>
      </w:r>
      <w:r w:rsidR="00E600EF" w:rsidRPr="0012729E">
        <w:rPr>
          <w:rFonts w:ascii="Times New Roman" w:hAnsi="Times New Roman"/>
          <w:sz w:val="24"/>
          <w:szCs w:val="24"/>
        </w:rPr>
        <w:fldChar w:fldCharType="begin"/>
      </w:r>
      <w:r w:rsidR="00A715F4" w:rsidRPr="0012729E">
        <w:rPr>
          <w:rFonts w:ascii="Times New Roman" w:hAnsi="Times New Roman"/>
          <w:sz w:val="24"/>
          <w:szCs w:val="24"/>
        </w:rPr>
        <w:instrText xml:space="preserve"> ADDIN ZOTERO_ITEM CSL_CITATION {"citationID":"hwG22Yq1","properties":{"formattedCitation":"(L. Wang et al., 2025)","plainCitation":"(L. Wang et al., 2025)","noteIndex":0},"citationItems":[{"id":19324,"uris":["http://zotero.org/users/16652950/items/8CGQJPAZ"],"itemData":{"id":19324,"type":"article-journal","abstract":"The soil environment is crucial for maintaining the stability of ecosystems and the health of organisms. Due to the extensive use of antibiotics, antibiotic resistance genes (ARGs) have become pervasive soil contaminants. ARGs can spread through horizontal gene transfer mediated by mobile genetic elements and vertical transfer mediated by microbial proliferation, driving the expansion of resistant microbiota and novel variants of ARGs. Although ARGs have multifaceted impacts on soil properties, the dynamics, site-specificity, ecological complexity and heterogeneity of the soil environment obscure the underlying interaction mechanisms. This review systematically analyzes the sources, transmission pathways and environmental drivers of ARGs, and interprets their complex interactions with soil parameters. Interdependent factors such as soil pH, organic matter, moisture and microbial communities bidirectionally regulate ARGs distribution via physicochemical modulation and microbial community restructuring. Heavy metals promote the proliferation of ARGs via co-selection and oxidative stress mechanisms, in contrast to the antagonistic effects of enzymatic degradation on ARGs. Niche differentiation underlies the varied impacts of soil biota (fauna/flora) and soil physicochemical properties on ARGs, highlighting environment-dependent synergistic-antagonistic interactions. Based on this, we propose a remediation framework to address ARGs pollution. Priority research directions include: (1) spatiotemporal dynamics of the feedback loop between ARGs and the environment; (2) quantitative modeling of the coupling effects of multiple factors; (3) precision mitigation strategies targeting niche-specific transmission hotspots.","container-title":"Emerging Contaminants","DOI":"10.1016/j.emcon.2025.100578","ISSN":"2405-6650","issue":"4","journalAbbreviation":"Emerging Contaminants","page":"100578","source":"ScienceDirect","title":"Interactions between antibiotic resistance genes and soil environmental factors: Coupling, antagonism, and synergism","title-short":"Interactions between antibiotic resistance genes and soil environmental factors","volume":"11","author":[{"family":"Wang","given":"Ling"},{"family":"Gu","given":"Xuefan"},{"family":"Hui","given":"Kunlong"},{"family":"Yu","given":"Tingqiao"},{"family":"Yuan","given":"Ying"},{"family":"Chen","given":"Gang"},{"family":"Tan","given":"Wenbing"}],"issued":{"date-parts":[["2025",12,1]]}}}],"schema":"https://github.com/citation-style-language/schema/raw/master/csl-citation.json"} </w:instrText>
      </w:r>
      <w:r w:rsidR="00E600EF" w:rsidRPr="0012729E">
        <w:rPr>
          <w:rFonts w:ascii="Times New Roman" w:hAnsi="Times New Roman"/>
          <w:sz w:val="24"/>
          <w:szCs w:val="24"/>
        </w:rPr>
        <w:fldChar w:fldCharType="separate"/>
      </w:r>
      <w:r w:rsidR="00A715F4" w:rsidRPr="0012729E">
        <w:rPr>
          <w:rFonts w:ascii="Times New Roman" w:hAnsi="Times New Roman"/>
          <w:sz w:val="24"/>
          <w:szCs w:val="24"/>
        </w:rPr>
        <w:t>(L. Wang et al., 2025)</w:t>
      </w:r>
      <w:r w:rsidR="00E600EF" w:rsidRPr="0012729E">
        <w:rPr>
          <w:rFonts w:ascii="Times New Roman" w:hAnsi="Times New Roman"/>
          <w:sz w:val="24"/>
          <w:szCs w:val="24"/>
        </w:rPr>
        <w:fldChar w:fldCharType="end"/>
      </w:r>
      <w:r w:rsidRPr="0012729E">
        <w:rPr>
          <w:rFonts w:ascii="Times New Roman" w:hAnsi="Times New Roman"/>
          <w:sz w:val="24"/>
          <w:szCs w:val="24"/>
        </w:rPr>
        <w:t>.</w:t>
      </w:r>
    </w:p>
    <w:p w14:paraId="35CCCEC4"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These adaptations are continually subjected to selective pressures. Antibiotic exposure gradients may allow microorganisms to experience sub-lethal levels, which will allow for the survival of </w:t>
      </w:r>
      <w:r w:rsidRPr="0012729E">
        <w:rPr>
          <w:rFonts w:ascii="Times New Roman" w:hAnsi="Times New Roman"/>
          <w:sz w:val="24"/>
          <w:szCs w:val="24"/>
        </w:rPr>
        <w:lastRenderedPageBreak/>
        <w:t>tolerant populations and allow for the random development of resistance over time</w:t>
      </w:r>
      <w:r w:rsidR="00E600EF"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{"citationID":"ihoW23jx","properties":{"formattedCitation":"(Nazir et al., 2025)","plainCitation":"(Nazir et al., 2025)","noteIndex":0},"citationItems":[{"id":19453,"uris":["http://zotero.org/users/16652950/items/LM6T34KP"],"itemData":{"id":19453,"type":"article-journal","abstract":"Background and Aims\nAntimicrobial resistance (AMR) is projected to cause 10 million deaths annually by 2050 if left unaddressed, posing a severe threat to global health and modern medicine. This review analyzes the molecular and ecological mechanisms underlying antibiotic resistance and evaluates global efforts aimed at containment to identify actionable strategies to mitigate AMR's escalating impact.\n\nMethods\nA systematic literature review was performed using databases including PubMed, ScienceDirect, Scopus, Google Scholar, and Web of Science, focusing on peer‐reviewed studies from 2000 to 2024. Search terms included “antibiotic resistance,” “resistance mechanisms,” “horizontal gene transfer,” and “AMR epidemiology.” A total of 152 articles were selected based on predefined inclusion criteria relevant to resistance mechanisms, epidemiological data, clinical outcomes, and public health interventions.\n\nResults\nFindings underscore three dominant resistance pathways: target site modification, enzymatic degradation (e.g., β‐lactamases), and horizontal gene transfer via plasmids and transposons. Notably, resistance to last‐resort antibiotics (e.g., colistin, carbapenems) is rising in pathogens such as Klebsiella pneumoniae and Acinetobacter baumannii, with treatment failure rates exceeding 50% in some regions. Surveillance gaps and unregulated antibiotic use, especially in LMICs, further accelerate resistance spread. Only a limited number of new antibiotic classes have been approved since 2010, underscoring the innovation gap.\n\nConclusion\nAMR is a quantifiable, escalating crisis that undermines decades of progress in infectious disease control. Tackling it requires coordinated action: strengthening antimicrobial stewardship, incentivizing antibiotic R&amp;D, integrating environmental and clinical surveillance under One Health frameworks, and implementing global policy reforms. Without prompt action, AMR could surpass cancer in annual mortality by mid‐century.","container-title":"Health Science Reports","DOI":"10.1002/hsr2.71077","ISSN":"2398-8835","issue":"7","journalAbbreviation":"Health Sci Rep","note":"PMID: 40704322\nPMCID: PMC12284435","page":"e71077","source":"PubMed Central","title":"The Global Challenge of Antimicrobial Resistance: Mechanisms, Case Studies, and Mitigation Approaches","title-short":"The Global Challenge of Antimicrobial Resistance","volume":"8","author":[{"family":"Nazir","given":"Abubakar"},{"family":"Nazir","given":"Awais"},{"family":"Zuhair","given":"Varisha"},{"family":"Aman","given":"Shafaq"},{"family":"Sadiq","given":"Safi Ur Rehman"},{"family":"Hasan","given":"Abdul Haseeb"},{"family":"Tariq","given":"Maryam"},{"family":"Rehman","given":"Latif Ur"},{"family":"Mustapha","given":"Mubarak Jolayemi"},{"family":"Bulimbe","given":"Deusdedith Boniphace"}],"issued":{"date-parts":[["2025",7,23]]}}}],"schema":"https://github.com/citation-style-language/schema/raw/master/csl-citation.json"} </w:instrText>
      </w:r>
      <w:r w:rsidR="00E600EF" w:rsidRPr="0012729E">
        <w:rPr>
          <w:rFonts w:ascii="Times New Roman" w:hAnsi="Times New Roman"/>
          <w:sz w:val="24"/>
          <w:szCs w:val="24"/>
        </w:rPr>
        <w:fldChar w:fldCharType="separate"/>
      </w:r>
      <w:r w:rsidR="00AB3E5E" w:rsidRPr="0012729E">
        <w:rPr>
          <w:rFonts w:ascii="Times New Roman" w:hAnsi="Times New Roman"/>
          <w:sz w:val="24"/>
          <w:szCs w:val="24"/>
        </w:rPr>
        <w:t>(Nazir et al., 2025)</w:t>
      </w:r>
      <w:r w:rsidR="00E600EF" w:rsidRPr="0012729E">
        <w:rPr>
          <w:rFonts w:ascii="Times New Roman" w:hAnsi="Times New Roman"/>
          <w:sz w:val="24"/>
          <w:szCs w:val="24"/>
        </w:rPr>
        <w:fldChar w:fldCharType="end"/>
      </w:r>
      <w:r w:rsidRPr="0012729E">
        <w:rPr>
          <w:rFonts w:ascii="Times New Roman" w:hAnsi="Times New Roman"/>
          <w:sz w:val="24"/>
          <w:szCs w:val="24"/>
        </w:rPr>
        <w:t>. The host immune response also plays a role in shaping microbial adaptation, either in terms of inducing stress that affects persistence or virulence. Environmental stressors such as industrial contaminants and heavy metals can also apply additional selection pressure, favoring the organisms and pathways that are able to cope with stress, which could be connected with antimicrobial defense</w:t>
      </w:r>
      <w:r w:rsidR="00E600EF" w:rsidRPr="0012729E">
        <w:rPr>
          <w:rFonts w:ascii="Times New Roman" w:hAnsi="Times New Roman"/>
          <w:sz w:val="24"/>
          <w:szCs w:val="24"/>
        </w:rPr>
        <w:fldChar w:fldCharType="begin"/>
      </w:r>
      <w:r w:rsidR="00E600EF" w:rsidRPr="0012729E">
        <w:rPr>
          <w:rFonts w:ascii="Times New Roman" w:hAnsi="Times New Roman"/>
          <w:sz w:val="24"/>
          <w:szCs w:val="24"/>
        </w:rPr>
        <w:instrText xml:space="preserve"> ADDIN ZOTERO_ITEM CSL_CITATION {"citationID":"sYF85MIW","properties":{"formattedCitation":"(S\\uc0\\u225{}nchez-Corona et al., 2025)","plainCitation":"(Sánchez-Corona et al., 2025)","noteIndex":0},"citationItems":[{"id":19321,"uris":["http://zotero.org/users/16652950/items/FSH89794"],"itemData":{"id":19321,"type":"article-journal","abstract":"Heavy metals (HMs) are widespread pollutants that can exert selection pressure on microbial populations due to their toxicity and persistence, leading to the evolution of heavy metal resistance genes (HMRGs). These genes are part of the resistome, and their spread often occurs via mobile genetic elements that allow co-selection with antibiotic and biocide resistance genes. Such processes have an impact on microbial biodiversity, biogeochemical cycling and public health in agriculture, industry and urban areas. The selection pressure exerted by HM promotes the spread of multidrug-resistant strains and thus increases ecological and health risks. This review discusses the interaction between HMRGs and genetic determinants such as virulence genes that influence biofilm formation, cellular homeostasis and oxidative stress. It also discusses the dual role of HMRGs in promoting ecological functions such as bioremediation while potentially limiting them by reducing microbial diversity. Understanding such interactions contributes significantly to targeting different systems to overcome the challenges associated with antimicrobial resistance (AMR).","container-title":"Genes","DOI":"10.3390/genes16060625","ISSN":"2073-4425","issue":"6","journalAbbreviation":"Genes (Basel)","note":"PMID: 40565518\nPMCID: PMC12191737","page":"625","source":"PubMed Central","title":"Impact of Heavy Metal and Resistance Genes on Antimicrobial Resistance: Ecological and Public Health Implications","title-short":"Impact of Heavy Metal and Resistance Genes on Antimicrobial Resistance","volume":"16","author":[{"family":"Sánchez-Corona","given":"Carlos G."},{"family":"Gonzalez-Avila","given":"Luis Uriel"},{"family":"Hernández-Cortez","given":"Cecilia"},{"family":"Rojas-Vargas","given":"Jorge"},{"family":"Castro-Escarpulli","given":"Graciela"},{"family":"Castelán-Sánchez","given":"Hugo G."}],"issued":{"date-parts":[["2025",5,24]]}}}],"schema":"https://github.com/citation-style-language/schema/raw/master/csl-citation.json"} </w:instrText>
      </w:r>
      <w:r w:rsidR="00E600EF" w:rsidRPr="0012729E">
        <w:rPr>
          <w:rFonts w:ascii="Times New Roman" w:hAnsi="Times New Roman"/>
          <w:sz w:val="24"/>
          <w:szCs w:val="24"/>
        </w:rPr>
        <w:fldChar w:fldCharType="separate"/>
      </w:r>
      <w:r w:rsidR="00E600EF" w:rsidRPr="0012729E">
        <w:rPr>
          <w:rFonts w:ascii="Times New Roman" w:hAnsi="Times New Roman"/>
          <w:sz w:val="24"/>
          <w:szCs w:val="24"/>
        </w:rPr>
        <w:t>(Sánchez-Corona et al., 2025)</w:t>
      </w:r>
      <w:r w:rsidR="00E600EF" w:rsidRPr="0012729E">
        <w:rPr>
          <w:rFonts w:ascii="Times New Roman" w:hAnsi="Times New Roman"/>
          <w:sz w:val="24"/>
          <w:szCs w:val="24"/>
        </w:rPr>
        <w:fldChar w:fldCharType="end"/>
      </w:r>
      <w:r w:rsidRPr="0012729E">
        <w:rPr>
          <w:rFonts w:ascii="Times New Roman" w:hAnsi="Times New Roman"/>
          <w:sz w:val="24"/>
          <w:szCs w:val="24"/>
        </w:rPr>
        <w:t xml:space="preserve">. The interactions highlight a microbial ecology and evolution, rather than the mere presence of genes, </w:t>
      </w:r>
      <w:r w:rsidR="00363338" w:rsidRPr="0012729E">
        <w:rPr>
          <w:rFonts w:ascii="Times New Roman" w:hAnsi="Times New Roman"/>
          <w:sz w:val="24"/>
          <w:szCs w:val="24"/>
        </w:rPr>
        <w:t>which</w:t>
      </w:r>
      <w:r w:rsidRPr="0012729E">
        <w:rPr>
          <w:rFonts w:ascii="Times New Roman" w:hAnsi="Times New Roman"/>
          <w:sz w:val="24"/>
          <w:szCs w:val="24"/>
        </w:rPr>
        <w:t xml:space="preserve"> is the basis of antibiotic resistance.</w:t>
      </w:r>
    </w:p>
    <w:p w14:paraId="0D2500BC" w14:textId="77777777" w:rsidR="008D37E0" w:rsidRPr="0012729E" w:rsidRDefault="00573F0C" w:rsidP="00CF6F85">
      <w:pPr>
        <w:rPr>
          <w:rFonts w:ascii="Times New Roman" w:hAnsi="Times New Roman"/>
          <w:b/>
          <w:bCs/>
          <w:sz w:val="24"/>
          <w:szCs w:val="24"/>
        </w:rPr>
      </w:pPr>
      <w:r w:rsidRPr="0012729E">
        <w:rPr>
          <w:rFonts w:ascii="Times New Roman" w:hAnsi="Times New Roman"/>
          <w:b/>
          <w:bCs/>
          <w:sz w:val="24"/>
          <w:szCs w:val="24"/>
        </w:rPr>
        <w:t>4.</w:t>
      </w:r>
      <w:r w:rsidR="004933C3" w:rsidRPr="0012729E">
        <w:rPr>
          <w:rFonts w:ascii="Times New Roman" w:hAnsi="Times New Roman"/>
          <w:b/>
          <w:bCs/>
          <w:sz w:val="24"/>
          <w:szCs w:val="24"/>
        </w:rPr>
        <w:t xml:space="preserve"> </w:t>
      </w:r>
      <w:r w:rsidRPr="0012729E">
        <w:rPr>
          <w:rFonts w:ascii="Times New Roman" w:hAnsi="Times New Roman"/>
          <w:b/>
          <w:bCs/>
          <w:sz w:val="24"/>
          <w:szCs w:val="24"/>
        </w:rPr>
        <w:t xml:space="preserve">Data Sources for </w:t>
      </w:r>
      <w:r w:rsidR="00363338" w:rsidRPr="0012729E">
        <w:rPr>
          <w:rFonts w:ascii="Times New Roman" w:hAnsi="Times New Roman"/>
          <w:b/>
          <w:bCs/>
          <w:sz w:val="24"/>
          <w:szCs w:val="24"/>
        </w:rPr>
        <w:t>AI-Based</w:t>
      </w:r>
      <w:r w:rsidRPr="0012729E">
        <w:rPr>
          <w:rFonts w:ascii="Times New Roman" w:hAnsi="Times New Roman"/>
          <w:b/>
          <w:bCs/>
          <w:sz w:val="24"/>
          <w:szCs w:val="24"/>
        </w:rPr>
        <w:t xml:space="preserve"> Prediction of Resistance Pathways</w:t>
      </w:r>
    </w:p>
    <w:p w14:paraId="5F99E35E"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To accurately predict biochemical pathways involved in antibiotic resistance, it is necessary to have access to a variety of biologically meaningful and diverse data that can detect molecular activity at various levels of microbial organi</w:t>
      </w:r>
      <w:r w:rsidR="00484010" w:rsidRPr="0012729E">
        <w:rPr>
          <w:rFonts w:ascii="Times New Roman" w:hAnsi="Times New Roman"/>
          <w:sz w:val="24"/>
          <w:szCs w:val="24"/>
        </w:rPr>
        <w:t>z</w:t>
      </w:r>
      <w:r w:rsidRPr="0012729E">
        <w:rPr>
          <w:rFonts w:ascii="Times New Roman" w:hAnsi="Times New Roman"/>
          <w:sz w:val="24"/>
          <w:szCs w:val="24"/>
        </w:rPr>
        <w:t>ation</w:t>
      </w:r>
      <w:r w:rsidR="00A715F4" w:rsidRPr="0012729E">
        <w:rPr>
          <w:rFonts w:ascii="Times New Roman" w:hAnsi="Times New Roman"/>
          <w:sz w:val="24"/>
          <w:szCs w:val="24"/>
        </w:rPr>
        <w:fldChar w:fldCharType="begin"/>
      </w:r>
      <w:r w:rsidR="00AB3E5E" w:rsidRPr="0012729E">
        <w:rPr>
          <w:rFonts w:ascii="Times New Roman" w:hAnsi="Times New Roman"/>
          <w:sz w:val="24"/>
          <w:szCs w:val="24"/>
        </w:rPr>
        <w:instrText xml:space="preserve"> ADDIN ZOTERO_ITEM CSL_CITATION {"citationID":"zsrbTkgk","properties":{"formattedCitation":"(Singh &amp; Kim, 2025)","plainCitation":"(Singh &amp; Kim, 2025)","noteIndex":0},"citationItems":[{"id":19335,"uris":["http://zotero.org/users/16652950/items/5XE33WTF"],"itemData":{"id":19335,"type":"article-journal","abstract":"Antimicrobial resistance represents a growing threat to public health, with the World Health Organization placing it among the top ten global health threats. Inappropriate use of antibiotics in healthcare and agriculture contributes to their dispersal into the environment, thereby accelerating bacterial resistance through the transfer of genetic elements and antibiotic resistance genes. The widespread prevalence of antibiotic-resistance genes and bacteria has been confirmed in both soil and water across various climates. Additionally, the detection of these resistant genes and bacteria in polar regions is particularly alarming due to their potential to spread and persist in pristine environments. The impact of antibiotic resistance is considerable, and addressing the associated challenges necessitates a collaborative effort involving healthcare professionals, government entities, scientists, and the general public. Most of the recent scholarly reviews regarding antibiotic resistance predominantly concentrate on either the overarching concept of antimicrobial resistance or they delve into particular sources, pathways, or environmental ramifications. In contrast, this extensive state-of-the-art review aspires to furnish an updated synthesis of the distribution of antibiotic resistance, its repercussions on human health and economy, as well as innovative therapeutic strategies that exhibit potential in combating antibiotic-resistant bacteria. Furthermore, it scrutinizes the challenges that impede the progression of novel therapeutic modalities and the implementation of effective control strategies. The investigation provides a comprehensive overview of the classifications of antibiotic resistance genes, systematically organized by antibiotic categories. Additionally, it underscores global management strategies, particularly through stewardship programs, promising combination therapies aimed at augmenting drug efficacy, and alternative methodologies to antibiotics for the treatment of bacterial infections.","container-title":"Emerging Contaminants","DOI":"10.1016/j.emcon.2024.100440","ISSN":"2405-6650","issue":"1","journalAbbreviation":"Emerging Contaminants","page":"100440","source":"ScienceDirect","title":"Environmental occurrence of antibiotic resistance, control measures and challenges in finding therapeutic management","volume":"11","author":[{"family":"Singh","given":"Rajendra"},{"family":"Kim","given":"Keugtae"}],"issued":{"date-parts":[["2025",3,1]]}}}],"schema":"https://github.com/citation-style-language/schema/raw/master/csl-citation.json"} </w:instrText>
      </w:r>
      <w:r w:rsidR="00A715F4" w:rsidRPr="0012729E">
        <w:rPr>
          <w:rFonts w:ascii="Times New Roman" w:hAnsi="Times New Roman"/>
          <w:sz w:val="24"/>
          <w:szCs w:val="24"/>
        </w:rPr>
        <w:fldChar w:fldCharType="separate"/>
      </w:r>
      <w:r w:rsidR="00AB3E5E" w:rsidRPr="0012729E">
        <w:rPr>
          <w:rFonts w:ascii="Times New Roman" w:hAnsi="Times New Roman"/>
          <w:sz w:val="24"/>
          <w:szCs w:val="24"/>
        </w:rPr>
        <w:t>(Singh &amp; Kim, 2025)</w:t>
      </w:r>
      <w:r w:rsidR="00A715F4" w:rsidRPr="0012729E">
        <w:rPr>
          <w:rFonts w:ascii="Times New Roman" w:hAnsi="Times New Roman"/>
          <w:sz w:val="24"/>
          <w:szCs w:val="24"/>
        </w:rPr>
        <w:fldChar w:fldCharType="end"/>
      </w:r>
      <w:r w:rsidRPr="0012729E">
        <w:rPr>
          <w:rFonts w:ascii="Times New Roman" w:hAnsi="Times New Roman"/>
          <w:sz w:val="24"/>
          <w:szCs w:val="24"/>
        </w:rPr>
        <w:t>. AI models need data beyond just identifying the gene that is responsible for the resistance, as it is influenced by genomic variation, regulatory activity, protein function, metabolic adaptation, and ecological interaction</w:t>
      </w:r>
      <w:r w:rsidR="00204D9A" w:rsidRPr="0012729E">
        <w:rPr>
          <w:rFonts w:ascii="Times New Roman" w:hAnsi="Times New Roman"/>
          <w:sz w:val="24"/>
          <w:szCs w:val="24"/>
        </w:rPr>
        <w:t>s</w:t>
      </w:r>
      <w:r w:rsidR="00204D9A" w:rsidRPr="0012729E">
        <w:rPr>
          <w:rFonts w:ascii="Times New Roman" w:hAnsi="Times New Roman"/>
          <w:sz w:val="24"/>
          <w:szCs w:val="24"/>
        </w:rPr>
        <w:fldChar w:fldCharType="begin"/>
      </w:r>
      <w:r w:rsidR="00204D9A" w:rsidRPr="0012729E">
        <w:rPr>
          <w:rFonts w:ascii="Times New Roman" w:hAnsi="Times New Roman"/>
          <w:sz w:val="24"/>
          <w:szCs w:val="24"/>
        </w:rPr>
        <w:instrText xml:space="preserve"> ADDIN ZOTERO_ITEM CSL_CITATION {"citationID":"P7LWoRc4","properties":{"formattedCitation":"(Shen et al., 2026)","plainCitation":"(Shen et al., 2026)","noteIndex":0},"citationItems":[{"id":19338,"uris":["http://zotero.org/users/16652950/items/S7332UCZ"],"itemData":{"id":19338,"type":"article-journal","abstract":"Sepsis is a life-threatening syndrome characterized by marked clinical heterogeneity and complex host–pathogen interactions. Although traditional mechanistic studies have identified key molecular pathways, they remain insufficient to capture the highly dynamic, multifactorial, and systems-level nature of this condition. The advent of high-throughput omics technologies—particularly integrative multi-omics approaches encompassing genomics, transcriptomics, proteomics, and metabolomics—has profoundly reshaped sepsis research by enabling comprehensive profiling of molecular perturbations across biological layers. However, the unprecedented scale, dimensionality, and heterogeneity of multi-omics datasets exceed the analytical capacity of conventional statistical methods, necessitating more advanced computational strategies to derive biologically meaningful and clinically actionable insights. In this context, artificial intelligence (AI) has emerged as a powerful paradigm for decoding the complexity of sepsis. By leveraging machine learning and deep learning algorithms, AI can efficiently process ultra-high-dimensional and heterogeneous multi-omics data, uncover latent molecular patterns, and integrate multilayered biological information into unified predictive frameworks. These capabilities have driven substantial advances in early sepsis detection, molecular subtyping, prognosis prediction, and therapeutic target identification, thereby narrowing the gap between molecular mechanisms and clinical application. As a result, the convergence of AI and multi-omics is redefining sepsis research, shifting the field from descriptive analyses toward predictive, mechanistic, and precision-oriented medicine. Despite these advances, the clinical translation of AI-driven multi-omics approaches in sepsis remains constrained by several challenges, including limited data availability, cohort heterogeneity, restricted interpretability and causal inference, high computational demands, difficulties in integrating static molecular profiles with dynamic clinical data, ethical and governance concerns, and limited generalizability across populations and platforms. Addressing these barriers will require the establishment of standardized, multicenter datasets, the development of explainable and robust AI frameworks, and sustained interdisciplinary collaboration between computational scientists and clinicians. Through these efforts, AI-enabled multi-omics research may progress toward reproducible, interpretable, and equitable clinical implementation. Ultimately, the synergy between artificial intelligence and multi-omics heralds a new era of intelligent discovery and precision medicine in sepsis, with the potential to transform both research paradigms and bedside practice.","container-title":"Biomedicines","DOI":"10.3390/biomedicines14020261","ISSN":"2227-9059","issue":"2","journalAbbreviation":"Biomedicines","note":"PMID: 41751160\nPMCID: PMC12937605","page":"261","source":"PubMed Central","title":"Artificial Intelligence Drives Advances in Multi-Omics Analysis and Precision Medicine for Sepsis","volume":"14","author":[{"family":"Shen","given":"Youxie"},{"family":"Zhang","given":"Peidong"},{"family":"Luo","given":"Jialiu"},{"family":"Chen","given":"Shunyao"},{"family":"Gu","given":"Shuaipeng"},{"family":"Lin","given":"Zhiqiang"},{"family":"Tang","given":"Zhaohui"}],"issued":{"date-parts":[["2026",1,23]]}}}],"schema":"https://github.com/citation-style-language/schema/raw/master/csl-citation.json"} </w:instrText>
      </w:r>
      <w:r w:rsidR="00204D9A" w:rsidRPr="0012729E">
        <w:rPr>
          <w:rFonts w:ascii="Times New Roman" w:hAnsi="Times New Roman"/>
          <w:sz w:val="24"/>
          <w:szCs w:val="24"/>
        </w:rPr>
        <w:fldChar w:fldCharType="separate"/>
      </w:r>
      <w:r w:rsidR="00204D9A" w:rsidRPr="0012729E">
        <w:rPr>
          <w:rFonts w:ascii="Times New Roman" w:hAnsi="Times New Roman"/>
          <w:sz w:val="24"/>
          <w:szCs w:val="24"/>
        </w:rPr>
        <w:t>(Shen et al., 2026)</w:t>
      </w:r>
      <w:r w:rsidR="00204D9A" w:rsidRPr="0012729E">
        <w:rPr>
          <w:rFonts w:ascii="Times New Roman" w:hAnsi="Times New Roman"/>
          <w:sz w:val="24"/>
          <w:szCs w:val="24"/>
        </w:rPr>
        <w:fldChar w:fldCharType="end"/>
      </w:r>
      <w:r w:rsidRPr="0012729E">
        <w:rPr>
          <w:rFonts w:ascii="Times New Roman" w:hAnsi="Times New Roman"/>
          <w:sz w:val="24"/>
          <w:szCs w:val="24"/>
        </w:rPr>
        <w:t xml:space="preserve">. Therefore, </w:t>
      </w:r>
      <w:r w:rsidR="00363338" w:rsidRPr="0012729E">
        <w:rPr>
          <w:rFonts w:ascii="Times New Roman" w:hAnsi="Times New Roman"/>
          <w:sz w:val="24"/>
          <w:szCs w:val="24"/>
        </w:rPr>
        <w:t>multidimensional</w:t>
      </w:r>
      <w:r w:rsidRPr="0012729E">
        <w:rPr>
          <w:rFonts w:ascii="Times New Roman" w:hAnsi="Times New Roman"/>
          <w:sz w:val="24"/>
          <w:szCs w:val="24"/>
        </w:rPr>
        <w:t xml:space="preserve"> biological data is used as the basis of the reliable pathway prediction.</w:t>
      </w:r>
    </w:p>
    <w:p w14:paraId="2DB47A65"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One of the most important sources of </w:t>
      </w:r>
      <w:r w:rsidR="00363338" w:rsidRPr="0012729E">
        <w:rPr>
          <w:rFonts w:ascii="Times New Roman" w:hAnsi="Times New Roman"/>
          <w:sz w:val="24"/>
          <w:szCs w:val="24"/>
        </w:rPr>
        <w:t>resistance-related</w:t>
      </w:r>
      <w:r w:rsidRPr="0012729E">
        <w:rPr>
          <w:rFonts w:ascii="Times New Roman" w:hAnsi="Times New Roman"/>
          <w:sz w:val="24"/>
          <w:szCs w:val="24"/>
        </w:rPr>
        <w:t xml:space="preserve"> information is genomics. The whole genome sequencing delivers a complete picture of the genetic structure of the microbes, including mobile genetic elements, mutations, resistance genes, and structural differences</w:t>
      </w:r>
      <w:r w:rsidR="00204D9A" w:rsidRPr="0012729E">
        <w:rPr>
          <w:rFonts w:ascii="Times New Roman" w:hAnsi="Times New Roman"/>
          <w:sz w:val="24"/>
          <w:szCs w:val="24"/>
        </w:rPr>
        <w:fldChar w:fldCharType="begin"/>
      </w:r>
      <w:r w:rsidR="00204D9A" w:rsidRPr="0012729E">
        <w:rPr>
          <w:rFonts w:ascii="Times New Roman" w:hAnsi="Times New Roman"/>
          <w:sz w:val="24"/>
          <w:szCs w:val="24"/>
        </w:rPr>
        <w:instrText xml:space="preserve"> ADDIN ZOTERO_ITEM CSL_CITATION {"citationID":"Au6CJuSg","properties":{"formattedCitation":"(Cross et al., 2026; Mustafa, 2024)","plainCitation":"(Cross et al., 2026; Mustafa, 2024)","noteIndex":0},"citationItems":[{"id":19341,"uris":["http://zotero.org/users/16652950/items/PM6I597G"],"itemData":{"id":19341,"type":"article-journal","abstract":"Antimicrobial resistance threatens to take 10 million lives per year by 2050. It is a recognised global health crisis and understanding the historic and current spread of resistance determinants is important for informing surveillance and control measures. The ‘inheritance’ of resistance is difficult to track because horizontal transfer is common. Antimicrobial resistance genes (ARGs) spread rapidly between bacteria, plasmids and chromosomes due to different mobile genetic elements (MGEs). This movement can increase the range of species carrying an ARG, simplify acquisition of multi-resistance, or otherwise alter the selective advantage associated with carriage of the ARG. MGE activity is therefore a significant factor in understanding routes of ARG dissemination. Characterising the combinations of MGEs contributing to the movement of individual ARGs is crucial. Each MGE category has unique genetic characteristics, and distinct impacts on the location and expression of associated ARGs. Here, the ways in which MGEs can meaningfully associate with ARGs are discussed. Approaches for extracting information about MGE associations from bacterial genome sequences are also considered. Accurate and informative annotations of the genetic contexts of relevant ARGs provide crucial insight into the presence of MGEs and their locations relative to ARGs. Combining this genomic information with knowledge about relevant biological processes allows more accurate conclusions to be drawn about transmission and dissemination of ARGs.","container-title":"Microbiological Research","DOI":"10.1016/j.micres.2025.128340","ISSN":"0944-5013","journalAbbreviation":"Microbiological Research","page":"128340","source":"ScienceDirect","title":"Impacts of mobile genetic elements on antimicrobial resistance genes in gram-negative pathogens: Current insights and genomic approaches","title-short":"Impacts of mobile genetic elements on antimicrobial resistance genes in gram-negative pathogens","volume":"302","author":[{"family":"Cross","given":"Bethany J."},{"family":"Partridge","given":"Sally R."},{"family":"Sheppard","given":"Anna E."}],"issued":{"date-parts":[["2026",1,1]]}}},{"id":19344,"uris":["http://zotero.org/users/16652950/items/XM8RR2DG"],"itemData":{"id":19344,"type":"article-journal","abstract":"The success in determining the whole genome sequence of a bacterial pathogen was first achieved in 1995 by determining the complete nucleotide sequence of Haemophilus influenzae Rd using the chain-termination method established by Sanger et al. in 1977 and automated by Hood et al. in 1987. However, this technology was laborious, costly, and time-consuming. Since 2004, high-throughput next-generation sequencing technologies have been developed, which are highly efficient, require less time, and are cost-effective for whole genome sequencing (WGS) of all organisms, including bacterial pathogens. In recent years, the data obtained using WGS technologies coupled with bioinformatics analyses of the sequenced genomes have been projected to revolutionize clinical bacteriology. WGS technologies have been used in the identification of bacterial species, strains, and genotypes from cultured organisms and directly from clinical specimens. WGS has also helped in determining resistance to antibiotics by the detection of antimicrobial resistance genes and point mutations. Furthermore, WGS data have helped in the epidemiological tracking and surveillance of pathogenic bacteria in healthcare settings as well as in communities. This review focuses on the applications of WGS in clinical bacteriology.","container-title":"Medical Principles and Practice","DOI":"10.1159/000538002","ISSN":"1011-7571","issue":"3","journalAbbreviation":"Med Princ Pract","note":"PMID: 38402870\nPMCID: PMC11221363","page":"185-197","source":"PubMed Central","title":"Whole Genome Sequencing: Applications in Clinical Bacteriology","title-short":"Whole Genome Sequencing","volume":"33","author":[{"family":"Mustafa","given":"Abu Salim"}],"issued":{"date-parts":[["2024",2,23]]}}}],"schema":"https://github.com/citation-style-language/schema/raw/master/csl-citation.json"} </w:instrText>
      </w:r>
      <w:r w:rsidR="00204D9A" w:rsidRPr="0012729E">
        <w:rPr>
          <w:rFonts w:ascii="Times New Roman" w:hAnsi="Times New Roman"/>
          <w:sz w:val="24"/>
          <w:szCs w:val="24"/>
        </w:rPr>
        <w:fldChar w:fldCharType="separate"/>
      </w:r>
      <w:r w:rsidR="00204D9A" w:rsidRPr="0012729E">
        <w:rPr>
          <w:rFonts w:ascii="Times New Roman" w:hAnsi="Times New Roman"/>
          <w:sz w:val="24"/>
          <w:szCs w:val="24"/>
        </w:rPr>
        <w:t>(Cross et al., 2026; Mustafa, 2024)</w:t>
      </w:r>
      <w:r w:rsidR="00204D9A" w:rsidRPr="0012729E">
        <w:rPr>
          <w:rFonts w:ascii="Times New Roman" w:hAnsi="Times New Roman"/>
          <w:sz w:val="24"/>
          <w:szCs w:val="24"/>
        </w:rPr>
        <w:fldChar w:fldCharType="end"/>
      </w:r>
      <w:r w:rsidRPr="0012729E">
        <w:rPr>
          <w:rFonts w:ascii="Times New Roman" w:hAnsi="Times New Roman"/>
          <w:sz w:val="24"/>
          <w:szCs w:val="24"/>
        </w:rPr>
        <w:t xml:space="preserve">. It helps to detect the chromosomal and </w:t>
      </w:r>
      <w:r w:rsidR="00363338" w:rsidRPr="0012729E">
        <w:rPr>
          <w:rFonts w:ascii="Times New Roman" w:hAnsi="Times New Roman"/>
          <w:sz w:val="24"/>
          <w:szCs w:val="24"/>
        </w:rPr>
        <w:t>plasmid-mediated</w:t>
      </w:r>
      <w:r w:rsidRPr="0012729E">
        <w:rPr>
          <w:rFonts w:ascii="Times New Roman" w:hAnsi="Times New Roman"/>
          <w:sz w:val="24"/>
          <w:szCs w:val="24"/>
        </w:rPr>
        <w:t xml:space="preserve"> determinants associated with antimicrobial resistance. </w:t>
      </w:r>
      <w:proofErr w:type="spellStart"/>
      <w:r w:rsidRPr="0012729E">
        <w:rPr>
          <w:rFonts w:ascii="Times New Roman" w:hAnsi="Times New Roman"/>
          <w:sz w:val="24"/>
          <w:szCs w:val="24"/>
        </w:rPr>
        <w:t>Resistome</w:t>
      </w:r>
      <w:proofErr w:type="spellEnd"/>
      <w:r w:rsidRPr="0012729E">
        <w:rPr>
          <w:rFonts w:ascii="Times New Roman" w:hAnsi="Times New Roman"/>
          <w:sz w:val="24"/>
          <w:szCs w:val="24"/>
        </w:rPr>
        <w:t xml:space="preserve"> mapping is an extension of this, which characterizes the entire set of </w:t>
      </w:r>
      <w:r w:rsidR="00363338" w:rsidRPr="0012729E">
        <w:rPr>
          <w:rFonts w:ascii="Times New Roman" w:hAnsi="Times New Roman"/>
          <w:sz w:val="24"/>
          <w:szCs w:val="24"/>
        </w:rPr>
        <w:t>resistance-associated</w:t>
      </w:r>
      <w:r w:rsidRPr="0012729E">
        <w:rPr>
          <w:rFonts w:ascii="Times New Roman" w:hAnsi="Times New Roman"/>
          <w:sz w:val="24"/>
          <w:szCs w:val="24"/>
        </w:rPr>
        <w:t xml:space="preserve"> genes in a microbial population or environment</w:t>
      </w:r>
      <w:r w:rsidR="00E346CA" w:rsidRPr="0012729E">
        <w:rPr>
          <w:rFonts w:ascii="Times New Roman" w:hAnsi="Times New Roman"/>
          <w:sz w:val="24"/>
          <w:szCs w:val="24"/>
        </w:rPr>
        <w:fldChar w:fldCharType="begin"/>
      </w:r>
      <w:r w:rsidR="00E346CA" w:rsidRPr="0012729E">
        <w:rPr>
          <w:rFonts w:ascii="Times New Roman" w:hAnsi="Times New Roman"/>
          <w:sz w:val="24"/>
          <w:szCs w:val="24"/>
        </w:rPr>
        <w:instrText xml:space="preserve"> ADDIN ZOTERO_ITEM CSL_CITATION {"citationID":"w907VkSY","properties":{"formattedCitation":"(Rumi et al., 2025)","plainCitation":"(Rumi et al., 2025)","noteIndex":0},"citationItems":[{"id":19350,"uris":["http://zotero.org/users/16652950/items/QGW8BD8P"],"itemData":{"id":19350,"type":"book","abstract":"Background\nUnderstanding the drivers of antimicrobial resistance (AMR) across the One Health spectrum is crucial for controlling its spread. The MetaCompare framework, which assesses “resistome risk” based on antibiotic resistance gene (ARG) co-occurrence patterns on metagenomic contigs, has been expanded to distinguish between “ecological resistome risk” (ERR) and “human health resistome risk” (HHRR) scores across anthropogenic gradients. However, comprehensive surveys are still needed to untangle the biological (e.g., ARG relative abundance), ecological (e.g., taxonomic diversity), and technical (e.g., coverage) factors influencing these risk scores. Here, we analyzed 1,326 metagenomes from 12 key environments using the MetaCompare 2.0 pipeline to map global ERR and HHRR landscapes, identifying significant factors modulating risk scores through network analysis, machine learning, and multivariate regression models.\n\nResults\nERR and HHRR scores varied significantly across environments and were highly correlated (ρ = 0.73, p &lt; 2e-16), indicating shared underlying drivers. Transient environments closely linked to human activity, such as wastewaters and the human gut, produced the highest ERR and HHRR scores, while stable environments like sediments, soils, and activated sludge yielded the lowest. These patterns corresponded directly with taxonomic diversity, where more diverse ecosystems exhibited lower risk scores, supporting the hypothesis that niche occupation may act as an ecological barrier to ARG invasion. In contrast, scores were positively correlated with sul1 and crAssphage, further confirming that transient, low-diversity environments have higher resistome risks, although they did not fully account for risk variability across all environments. ARG relative abundance correlated with risk scores, but only in high-diversity, low-coverage environments due to poor assembly quality and an inability to resolve ARG flanking regions. The ARGs contributing to ERR and HHRR scores were largely aligned with existing ARG risk ranking frameworks.\n\nConclusions\nThis study demonstrated how the MetaCompare 2.0 pipeline can effectively disentangle complex relationships between ARG abundance, composition, and environmental context. Although robust across diverse environments, the framework’s ability to detect ARGs and their co-occurrences may be limited in high-diversity, low-coverage samples, such as soils and sediments. Finally, we provide a series of recommendations for appropriate use cases for MetaCompare 2.0.","note":"DOI: 10.21203/rs.3.rs-7085902/v1\njournalAbbreviation: Research square\ncontainer-title: Research square","source":"ResearchGate","title":"Mapping the underlying drivers of resistome risk across diverse environments","author":[{"family":"Rumi","given":"Monjura"},{"family":"Nguyen","given":"Loc"},{"family":"Davis","given":"Benjamin"},{"family":"Brown","given":"Connor"},{"family":"Pruden","given":"Amy"},{"family":"Zhang","given":"Liqing"}],"issued":{"date-parts":[["2025",7,9]]}}}],"schema":"https://github.com/citation-style-language/schema/raw/master/csl-citation.json"} </w:instrText>
      </w:r>
      <w:r w:rsidR="00E346CA" w:rsidRPr="0012729E">
        <w:rPr>
          <w:rFonts w:ascii="Times New Roman" w:hAnsi="Times New Roman"/>
          <w:sz w:val="24"/>
          <w:szCs w:val="24"/>
        </w:rPr>
        <w:fldChar w:fldCharType="separate"/>
      </w:r>
      <w:r w:rsidR="00E346CA" w:rsidRPr="0012729E">
        <w:rPr>
          <w:rFonts w:ascii="Times New Roman" w:hAnsi="Times New Roman"/>
          <w:sz w:val="24"/>
          <w:szCs w:val="24"/>
        </w:rPr>
        <w:t>(Rumi et al., 2025)</w:t>
      </w:r>
      <w:r w:rsidR="00E346CA" w:rsidRPr="0012729E">
        <w:rPr>
          <w:rFonts w:ascii="Times New Roman" w:hAnsi="Times New Roman"/>
          <w:sz w:val="24"/>
          <w:szCs w:val="24"/>
        </w:rPr>
        <w:fldChar w:fldCharType="end"/>
      </w:r>
      <w:r w:rsidRPr="0012729E">
        <w:rPr>
          <w:rFonts w:ascii="Times New Roman" w:hAnsi="Times New Roman"/>
          <w:sz w:val="24"/>
          <w:szCs w:val="24"/>
        </w:rPr>
        <w:t>. With these genomic data sets, the mechanism of inherited or acquired resistance can be traced.</w:t>
      </w:r>
    </w:p>
    <w:p w14:paraId="7FC84815"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Transcriptomics provides functional information as it looks at the expression of the genes under particular environmental conditions</w:t>
      </w:r>
      <w:r w:rsidR="00E346CA" w:rsidRPr="0012729E">
        <w:rPr>
          <w:rFonts w:ascii="Times New Roman" w:hAnsi="Times New Roman"/>
          <w:sz w:val="24"/>
          <w:szCs w:val="24"/>
        </w:rPr>
        <w:fldChar w:fldCharType="begin"/>
      </w:r>
      <w:r w:rsidR="00022A3B" w:rsidRPr="0012729E">
        <w:rPr>
          <w:rFonts w:ascii="Times New Roman" w:hAnsi="Times New Roman"/>
          <w:sz w:val="24"/>
          <w:szCs w:val="24"/>
        </w:rPr>
        <w:instrText xml:space="preserve"> ADDIN ZOTERO_ITEM CSL_CITATION {"citationID":"pWjD7B4U","properties":{"formattedCitation":"(Lowe et al., 2017)","plainCitation":"(Lowe et al., 2017)","noteIndex":0},"citationItems":[{"id":19456,"uris":["http://zotero.org/users/16652950/items/BFUD38CQ"],"itemData":{"id":19456,"type":"article-journal","abstract":"Transcriptomics technologies are the techniques used to study an organism’s transcriptome, the sum of all of its RNA transcripts. The information content of an organism is recorded in the DNA of its genome and expressed through transcription. Here, mRNA serves as a transient intermediary molecule in the information network, whilst noncoding RNAs perform additional diverse functions. A transcriptome captures a snapshot in time of the total transcripts present in a cell., The first attempts to study the whole transcriptome began in the early 1990s, and technological advances since the late 1990s have made transcriptomics a widespread discipline. Transcriptomics has been defined by repeated technological innovations that transform the field. There are two key contemporary techniques in the field: microarrays, which quantify a set of predetermined sequences, and RNA sequencing (RNA-Seq), which uses high-throughput sequencing to capture all sequences., Measuring the expression of an organism’s genes in different tissues, conditions, or time points gives information on how genes are regulated and reveals details of an organism’s biology. It can also help to infer the functions of previously unannotated genes. Transcriptomic analysis has enabled the study of how gene expression changes in different organisms and has been instrumental in the understanding of human disease. An analysis of gene expression in its entirety allows detection of broad coordinated trends which cannot be discerned by more targeted assays.","container-title":"PLoS Computational Biology","DOI":"10.1371/journal.pcbi.1005457","ISSN":"1553-734X","issue":"5","journalAbbreviation":"PLoS Comput Biol","note":"PMID: 28545146\nPMCID: PMC5436640","page":"e1005457","source":"PubMed Central","title":"Transcriptomics technologies","volume":"13","author":[{"family":"Lowe","given":"Rohan"},{"family":"Shirley","given":"Neil"},{"family":"Bleackley","given":"Mark"},{"family":"Dolan","given":"Stephen"},{"family":"Shafee","given":"Thomas"}],"issued":{"date-parts":[["2017",5,18]]}}}],"schema":"https://github.com/citation-style-language/schema/raw/master/csl-citation.json"} </w:instrText>
      </w:r>
      <w:r w:rsidR="00E346CA" w:rsidRPr="0012729E">
        <w:rPr>
          <w:rFonts w:ascii="Times New Roman" w:hAnsi="Times New Roman"/>
          <w:sz w:val="24"/>
          <w:szCs w:val="24"/>
        </w:rPr>
        <w:fldChar w:fldCharType="separate"/>
      </w:r>
      <w:r w:rsidR="00022A3B" w:rsidRPr="0012729E">
        <w:rPr>
          <w:rFonts w:ascii="Times New Roman" w:hAnsi="Times New Roman"/>
          <w:sz w:val="24"/>
          <w:szCs w:val="24"/>
        </w:rPr>
        <w:t>(Lowe et al., 2017)</w:t>
      </w:r>
      <w:r w:rsidR="00E346CA" w:rsidRPr="0012729E">
        <w:rPr>
          <w:rFonts w:ascii="Times New Roman" w:hAnsi="Times New Roman"/>
          <w:sz w:val="24"/>
          <w:szCs w:val="24"/>
        </w:rPr>
        <w:fldChar w:fldCharType="end"/>
      </w:r>
      <w:r w:rsidRPr="0012729E">
        <w:rPr>
          <w:rFonts w:ascii="Times New Roman" w:hAnsi="Times New Roman"/>
          <w:sz w:val="24"/>
          <w:szCs w:val="24"/>
        </w:rPr>
        <w:t>. Under antibiotic stress, transcriptomic data can provide information about regulatory responses that are associated with stress adaptation, transport activity, virulence</w:t>
      </w:r>
      <w:r w:rsidR="00363338" w:rsidRPr="0012729E">
        <w:rPr>
          <w:rFonts w:ascii="Times New Roman" w:hAnsi="Times New Roman"/>
          <w:sz w:val="24"/>
          <w:szCs w:val="24"/>
        </w:rPr>
        <w:t>,</w:t>
      </w:r>
      <w:r w:rsidRPr="0012729E">
        <w:rPr>
          <w:rFonts w:ascii="Times New Roman" w:hAnsi="Times New Roman"/>
          <w:sz w:val="24"/>
          <w:szCs w:val="24"/>
        </w:rPr>
        <w:t xml:space="preserve"> and metabolic adjustments in microorganisms</w:t>
      </w:r>
      <w:r w:rsidR="00E346CA" w:rsidRPr="0012729E">
        <w:rPr>
          <w:rFonts w:ascii="Times New Roman" w:hAnsi="Times New Roman"/>
          <w:sz w:val="24"/>
          <w:szCs w:val="24"/>
        </w:rPr>
        <w:fldChar w:fldCharType="begin"/>
      </w:r>
      <w:r w:rsidR="00E346CA" w:rsidRPr="0012729E">
        <w:rPr>
          <w:rFonts w:ascii="Times New Roman" w:hAnsi="Times New Roman"/>
          <w:sz w:val="24"/>
          <w:szCs w:val="24"/>
        </w:rPr>
        <w:instrText xml:space="preserve"> ADDIN ZOTERO_ITEM CSL_CITATION {"citationID":"UYpFfD9B","properties":{"formattedCitation":"(Avci, 2024)","plainCitation":"(Avci, 2024)","noteIndex":0},"citationItems":[{"id":19354,"uris":["http://zotero.org/users/16652950/items/F37ZM9XH"],"itemData":{"id":19354,"type":"article-journal","abstract":"The accelerated spread of antimicrobial-resistant bacteria has caused a serious health problem and rendered antimicrobial treatments ineffective. Innovative approaches are crucial to overcome the health threat posed by resistant pathogens and prevent the emergence of untreatable infections. Triggering stress responses in bacteria can diminish susceptibility to various antimicrobials by inducing resistance mechanisms. Therefore, a thorough understanding of stress response control, especially in relation to antimicrobial resistance, offers valuable perspectives for innovative and efficient therapeutic approaches to combat antimicrobial resistance. The aim of this study was to evaluate the stress responses of 8 different bacteria by analyzing reporter metabolites, around which significant alterations were observed, using a pathway-driven computational approach. For this purpose, the transcriptomic data that the bacterial pathogens were grown under 11 different stress conditions mimicking the human host environments were integrated with the genome-scale metabolic models of 8 pathogenic species (Enterococcus faecalis OG1R, Escherichia coli EPEC O127:H6 E2348/69, Escherichia coli ETEC H10407, Escherichia coli UPEC 536, Klebsiella pneumoniae MGH 78578, Pseudomonas aeruginosa PAO1, Staphylococcus aureus MRSA252, and Staphylococcus aureus MSSA476). The resulting reporter metabolites were enriched in multiple metabolic pathways, with cofactor biosynthesis being the most important. The results of this study will serve as a guide for the development of antimicrobial agents as they provide a first insight into potential drug targets.","container-title":"World Journal of Microbiology &amp; Biotechnology","DOI":"10.1007/s11274-024-04090-z","ISSN":"0959-3993","issue":"9","journalAbbreviation":"World J Microbiol Biotechnol","note":"PMID: 39073503\nPMCID: PMC11286680","page":"285","source":"PubMed Central","title":"Unraveling bacterial stress responses: implications for next-generation antimicrobial solutions","title-short":"Unraveling bacterial stress responses","volume":"40","author":[{"family":"Avci","given":"Fatma Gizem"}],"issued":{"date-parts":[["2024"]]}}}],"schema":"https://github.com/citation-style-language/schema/raw/master/csl-citation.json"} </w:instrText>
      </w:r>
      <w:r w:rsidR="00E346CA" w:rsidRPr="0012729E">
        <w:rPr>
          <w:rFonts w:ascii="Times New Roman" w:hAnsi="Times New Roman"/>
          <w:sz w:val="24"/>
          <w:szCs w:val="24"/>
        </w:rPr>
        <w:fldChar w:fldCharType="separate"/>
      </w:r>
      <w:r w:rsidR="00E346CA" w:rsidRPr="0012729E">
        <w:rPr>
          <w:rFonts w:ascii="Times New Roman" w:hAnsi="Times New Roman"/>
          <w:sz w:val="24"/>
          <w:szCs w:val="24"/>
        </w:rPr>
        <w:t>(Avci, 2024)</w:t>
      </w:r>
      <w:r w:rsidR="00E346CA" w:rsidRPr="0012729E">
        <w:rPr>
          <w:rFonts w:ascii="Times New Roman" w:hAnsi="Times New Roman"/>
          <w:sz w:val="24"/>
          <w:szCs w:val="24"/>
        </w:rPr>
        <w:fldChar w:fldCharType="end"/>
      </w:r>
      <w:r w:rsidRPr="0012729E">
        <w:rPr>
          <w:rFonts w:ascii="Times New Roman" w:hAnsi="Times New Roman"/>
          <w:sz w:val="24"/>
          <w:szCs w:val="24"/>
        </w:rPr>
        <w:t xml:space="preserve">. Resistance is not always a result of a single gene being present, but also the result of its expression, so that the expression profiling of genes gives important insight into the </w:t>
      </w:r>
      <w:r w:rsidR="00363338" w:rsidRPr="0012729E">
        <w:rPr>
          <w:rFonts w:ascii="Times New Roman" w:hAnsi="Times New Roman"/>
          <w:sz w:val="24"/>
          <w:szCs w:val="24"/>
        </w:rPr>
        <w:t>pathway-level</w:t>
      </w:r>
      <w:r w:rsidRPr="0012729E">
        <w:rPr>
          <w:rFonts w:ascii="Times New Roman" w:hAnsi="Times New Roman"/>
          <w:sz w:val="24"/>
          <w:szCs w:val="24"/>
        </w:rPr>
        <w:t xml:space="preserve"> </w:t>
      </w:r>
      <w:proofErr w:type="spellStart"/>
      <w:r w:rsidRPr="0012729E">
        <w:rPr>
          <w:rFonts w:ascii="Times New Roman" w:hAnsi="Times New Roman"/>
          <w:sz w:val="24"/>
          <w:szCs w:val="24"/>
        </w:rPr>
        <w:t>behaviour</w:t>
      </w:r>
      <w:proofErr w:type="spellEnd"/>
      <w:r w:rsidRPr="0012729E">
        <w:rPr>
          <w:rFonts w:ascii="Times New Roman" w:hAnsi="Times New Roman"/>
          <w:sz w:val="24"/>
          <w:szCs w:val="24"/>
        </w:rPr>
        <w:t xml:space="preserve"> when challenged with antimicrobials.</w:t>
      </w:r>
    </w:p>
    <w:p w14:paraId="41825433"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Proteomics complements pathway analysis and provides information on proteins that actually carry out biological functions. Enzymes quantified can provide information on active degradation mechanisms, stress response enzymes</w:t>
      </w:r>
      <w:r w:rsidR="00363338" w:rsidRPr="0012729E">
        <w:rPr>
          <w:rFonts w:ascii="Times New Roman" w:hAnsi="Times New Roman"/>
          <w:sz w:val="24"/>
          <w:szCs w:val="24"/>
        </w:rPr>
        <w:t>,</w:t>
      </w:r>
      <w:r w:rsidRPr="0012729E">
        <w:rPr>
          <w:rFonts w:ascii="Times New Roman" w:hAnsi="Times New Roman"/>
          <w:sz w:val="24"/>
          <w:szCs w:val="24"/>
        </w:rPr>
        <w:t xml:space="preserve"> and metabolic regulators related to resistance. </w:t>
      </w:r>
      <w:r w:rsidR="00363338" w:rsidRPr="0012729E">
        <w:rPr>
          <w:rFonts w:ascii="Times New Roman" w:hAnsi="Times New Roman"/>
          <w:sz w:val="24"/>
          <w:szCs w:val="24"/>
        </w:rPr>
        <w:t>Membrane-associated</w:t>
      </w:r>
      <w:r w:rsidRPr="0012729E">
        <w:rPr>
          <w:rFonts w:ascii="Times New Roman" w:hAnsi="Times New Roman"/>
          <w:sz w:val="24"/>
          <w:szCs w:val="24"/>
        </w:rPr>
        <w:t xml:space="preserve"> systems like efflux pumps are especially significant, often resulting in decreased intracellular drug accumulation, and can be peculiar to transport proteins</w:t>
      </w:r>
      <w:r w:rsidR="0072335B" w:rsidRPr="0012729E">
        <w:rPr>
          <w:rFonts w:ascii="Times New Roman" w:hAnsi="Times New Roman"/>
          <w:sz w:val="24"/>
          <w:szCs w:val="24"/>
        </w:rPr>
        <w:fldChar w:fldCharType="begin"/>
      </w:r>
      <w:r w:rsidR="00663416" w:rsidRPr="0012729E">
        <w:rPr>
          <w:rFonts w:ascii="Times New Roman" w:hAnsi="Times New Roman"/>
          <w:sz w:val="24"/>
          <w:szCs w:val="24"/>
        </w:rPr>
        <w:instrText xml:space="preserve"> ADDIN ZOTERO_ITEM CSL_CITATION {"citationID":"j6rOTLRa","properties":{"formattedCitation":"(Y. Xie et al., 2025)","plainCitation":"(Y. Xie et al., 2025)","noteIndex":0},"citationItems":[{"id":19251,"uris":["http://zotero.org/users/16652950/items/5GAUEBBC"],"itemData":{"id":19251,"type":"article-journal","abstract":"The discovery and clinical deployment of antibiotics marked a paradigm shift in combating bacterial infections, profoundly benefiting human medicine, ...","container-title":"Pathogens","DOI":"10.3390/pathogens14111085","ISSN":"2076-0817","issue":"11","language":"en","license":"http://creativecommons.org/licenses/by/3.0/","note":"publisher: Multidisciplinary Digital Publishing Institute","source":"www.mdpi.com","title":"Unveiling the Mechanisms of Bacterial Resistance and Countermeasures","URL":"https://www.mdpi.com/2076-0817/14/11/1085","volume":"14","author":[{"family":"Xie","given":"Yuqing"},{"family":"Lu","given":"Hao"},{"family":"Liu","given":"Yichen"},{"family":"Hu","given":"Gaowei"},{"family":"Lian","given":"Siqi"},{"family":"Liu","given":"Jiaqi"},{"family":"Pang","given":"Shengmei"},{"family":"Zhu","given":"Guoqiang"},{"family":"Ding","given":"Xueyan"}],"accessed":{"date-parts":[["2026",5,26]]},"issued":{"date-parts":[["2025",10,23]]}}}],"schema":"https://github.com/citation-style-language/schema/raw/master/csl-citation.json"} </w:instrText>
      </w:r>
      <w:r w:rsidR="0072335B" w:rsidRPr="0012729E">
        <w:rPr>
          <w:rFonts w:ascii="Times New Roman" w:hAnsi="Times New Roman"/>
          <w:sz w:val="24"/>
          <w:szCs w:val="24"/>
        </w:rPr>
        <w:fldChar w:fldCharType="separate"/>
      </w:r>
      <w:r w:rsidR="00663416" w:rsidRPr="0012729E">
        <w:rPr>
          <w:rFonts w:ascii="Times New Roman" w:hAnsi="Times New Roman"/>
          <w:sz w:val="24"/>
          <w:szCs w:val="24"/>
        </w:rPr>
        <w:t xml:space="preserve">(Y. Xie et al., </w:t>
      </w:r>
      <w:r w:rsidR="00663416" w:rsidRPr="0012729E">
        <w:rPr>
          <w:rFonts w:ascii="Times New Roman" w:hAnsi="Times New Roman"/>
          <w:sz w:val="24"/>
          <w:szCs w:val="24"/>
        </w:rPr>
        <w:lastRenderedPageBreak/>
        <w:t>2025)</w:t>
      </w:r>
      <w:r w:rsidR="0072335B" w:rsidRPr="0012729E">
        <w:rPr>
          <w:rFonts w:ascii="Times New Roman" w:hAnsi="Times New Roman"/>
          <w:sz w:val="24"/>
          <w:szCs w:val="24"/>
        </w:rPr>
        <w:fldChar w:fldCharType="end"/>
      </w:r>
      <w:r w:rsidRPr="0012729E">
        <w:rPr>
          <w:rFonts w:ascii="Times New Roman" w:hAnsi="Times New Roman"/>
          <w:sz w:val="24"/>
          <w:szCs w:val="24"/>
        </w:rPr>
        <w:t>. Protein level analysis is therefore used to provide a link between gene expression and biochemical activity.</w:t>
      </w:r>
    </w:p>
    <w:p w14:paraId="3FE50B0F"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Metabolomics reflects </w:t>
      </w:r>
      <w:r w:rsidR="00363338" w:rsidRPr="0012729E">
        <w:rPr>
          <w:rFonts w:ascii="Times New Roman" w:hAnsi="Times New Roman"/>
          <w:sz w:val="24"/>
          <w:szCs w:val="24"/>
        </w:rPr>
        <w:t xml:space="preserve">the </w:t>
      </w:r>
      <w:r w:rsidRPr="0012729E">
        <w:rPr>
          <w:rFonts w:ascii="Times New Roman" w:hAnsi="Times New Roman"/>
          <w:sz w:val="24"/>
          <w:szCs w:val="24"/>
        </w:rPr>
        <w:t xml:space="preserve">metabolic downstream effects of resistance development. Variations of metabolite concentrations can reflect </w:t>
      </w:r>
      <w:r w:rsidR="00363338" w:rsidRPr="0012729E">
        <w:rPr>
          <w:rFonts w:ascii="Times New Roman" w:hAnsi="Times New Roman"/>
          <w:sz w:val="24"/>
          <w:szCs w:val="24"/>
        </w:rPr>
        <w:t>differences</w:t>
      </w:r>
      <w:r w:rsidRPr="0012729E">
        <w:rPr>
          <w:rFonts w:ascii="Times New Roman" w:hAnsi="Times New Roman"/>
          <w:sz w:val="24"/>
          <w:szCs w:val="24"/>
        </w:rPr>
        <w:t xml:space="preserve"> in biosynthetic pathways, redox regulation</w:t>
      </w:r>
      <w:r w:rsidR="00DC1430" w:rsidRPr="0012729E">
        <w:rPr>
          <w:rFonts w:ascii="Times New Roman" w:hAnsi="Times New Roman"/>
          <w:sz w:val="24"/>
          <w:szCs w:val="24"/>
        </w:rPr>
        <w:t>,</w:t>
      </w:r>
      <w:r w:rsidRPr="0012729E">
        <w:rPr>
          <w:rFonts w:ascii="Times New Roman" w:hAnsi="Times New Roman"/>
          <w:sz w:val="24"/>
          <w:szCs w:val="24"/>
        </w:rPr>
        <w:t xml:space="preserve"> and nutrient utilization under antibiotic stress. Through analysis of flux, a better understanding of the way microorganisms allocate metabolic resources to enable survival and maintain cellular stability is also gained</w:t>
      </w:r>
      <w:r w:rsidR="0082409D" w:rsidRPr="0012729E">
        <w:rPr>
          <w:rFonts w:ascii="Times New Roman" w:hAnsi="Times New Roman"/>
          <w:sz w:val="24"/>
          <w:szCs w:val="24"/>
        </w:rPr>
        <w:fldChar w:fldCharType="begin"/>
      </w:r>
      <w:r w:rsidR="0082409D" w:rsidRPr="0012729E">
        <w:rPr>
          <w:rFonts w:ascii="Times New Roman" w:hAnsi="Times New Roman"/>
          <w:sz w:val="24"/>
          <w:szCs w:val="24"/>
        </w:rPr>
        <w:instrText xml:space="preserve"> ADDIN ZOTERO_ITEM CSL_CITATION {"citationID":"IfynYHox","properties":{"formattedCitation":"(Srinak et al., 2025)","plainCitation":"(Srinak et al., 2025)","noteIndex":0},"citationItems":[{"id":19361,"uris":["http://zotero.org/users/16652950/items/7L4CCCSL"],"itemData":{"id":19361,"type":"article-journal","abstract":"Host-microbe interactions play an integral role in the function and survival of eukaryotes, influencing various processes ranging from metabolism to immune regulation. As our understanding of these interactions deepens, there is a growing shift toward integrative approaches that consider both host and microbial genotypic potential. However, capturing the complexity and dynamic nature of these relationships remains a significant challenge. Genome-scale metabolic models (GEMs) offer a powerful framework to investigate host-microbe interactions at a systems level. By simulating metabolic fluxes and cross-feeding relationships, GEMs enable the exploration of metabolic interdependencies and emergent community functions. These models can be applied independently or in conjunction with experimental data, supporting hypothesis generation and systems-level insights into host-microbe dynamics. In this review, we examine recent applications of GEMs to host-microbe studies, with a focus on how they reveal reciprocal metabolic influences. We also discuss the current technical challenges, highlight available tools and methodological strategies, such as model reconstruction, data integration, and simulation and analysis steps, and outline future directions for advancing host-microbe interaction study using GEMs.","container-title":"Computational and Structural Biotechnology Journal","DOI":"10.1016/j.csbj.2025.10.006","ISSN":"2001-0370","journalAbbreviation":"Computational and Structural Biotechnology Journal","page":"4304-4319","source":"ScienceDirect","title":"Metabolic modeling of host-microbe interactions","volume":"27","author":[{"family":"Srinak","given":"Natchapon"},{"family":"Krüger","given":"Florian"},{"family":"Kaleta","given":"Christoph"},{"family":"Taubenheim","given":"Jan"}],"issued":{"date-parts":[["2025",1,1]]}}}],"schema":"https://github.com/citation-style-language/schema/raw/master/csl-citation.json"} </w:instrText>
      </w:r>
      <w:r w:rsidR="0082409D" w:rsidRPr="0012729E">
        <w:rPr>
          <w:rFonts w:ascii="Times New Roman" w:hAnsi="Times New Roman"/>
          <w:sz w:val="24"/>
          <w:szCs w:val="24"/>
        </w:rPr>
        <w:fldChar w:fldCharType="separate"/>
      </w:r>
      <w:r w:rsidR="0082409D" w:rsidRPr="0012729E">
        <w:rPr>
          <w:rFonts w:ascii="Times New Roman" w:hAnsi="Times New Roman"/>
          <w:sz w:val="24"/>
          <w:szCs w:val="24"/>
        </w:rPr>
        <w:t>(Srinak et al., 2025)</w:t>
      </w:r>
      <w:r w:rsidR="0082409D" w:rsidRPr="0012729E">
        <w:rPr>
          <w:rFonts w:ascii="Times New Roman" w:hAnsi="Times New Roman"/>
          <w:sz w:val="24"/>
          <w:szCs w:val="24"/>
        </w:rPr>
        <w:fldChar w:fldCharType="end"/>
      </w:r>
      <w:r w:rsidRPr="0012729E">
        <w:rPr>
          <w:rFonts w:ascii="Times New Roman" w:hAnsi="Times New Roman"/>
          <w:sz w:val="24"/>
          <w:szCs w:val="24"/>
        </w:rPr>
        <w:t>.</w:t>
      </w:r>
    </w:p>
    <w:p w14:paraId="50E612D1"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The metabolic aspect of metagenomics gives an overview of the ecology since it involves the extraction of genes directly from microbial communities</w:t>
      </w:r>
      <w:r w:rsidR="001B24FB" w:rsidRPr="0012729E">
        <w:rPr>
          <w:rFonts w:ascii="Times New Roman" w:hAnsi="Times New Roman"/>
          <w:sz w:val="24"/>
          <w:szCs w:val="24"/>
        </w:rPr>
        <w:fldChar w:fldCharType="begin"/>
      </w:r>
      <w:r w:rsidR="001B24FB" w:rsidRPr="0012729E">
        <w:rPr>
          <w:rFonts w:ascii="Times New Roman" w:hAnsi="Times New Roman"/>
          <w:sz w:val="24"/>
          <w:szCs w:val="24"/>
        </w:rPr>
        <w:instrText xml:space="preserve"> ADDIN ZOTERO_ITEM CSL_CITATION {"citationID":"4jFim7Td","properties":{"formattedCitation":"(Nam et al., 2023)","plainCitation":"(Nam et al., 2023)","noteIndex":0},"citationItems":[{"id":19459,"uris":["http://zotero.org/users/16652950/items/UQLTN65E"],"itemData":{"id":19459,"type":"article-journal","abstract":"Various fields have been identified in the “omics” era, such as genomics, proteomics, transcriptomics, metabolomics, phenomics, and metagenomics. Amon...","container-title":"Foods","DOI":"10.3390/foods12112140","ISSN":"2304-8158","issue":"11","language":"en","license":"http://creativecommons.org/licenses/by/3.0/","note":"publisher: Multidisciplinary Digital Publishing Institute","source":"www.mdpi.com","title":"Metagenomics: An Effective Approach for Exploring Microbial Diversity and Functions","title-short":"Metagenomics","URL":"https://www.mdpi.com/2304-8158/12/11/2140","volume":"12","author":[{"family":"Nam","given":"Nguyen Nhat"},{"family":"Do","given":"Hoang Dang Khoa"},{"family":"Trinh","given":"Kieu The Loan"},{"family":"Lee","given":"Nae Yoon"}],"accessed":{"date-parts":[["2026",5,27]]},"issued":{"date-parts":[["2023",5,24]]}}}],"schema":"https://github.com/citation-style-language/schema/raw/master/csl-citation.json"} </w:instrText>
      </w:r>
      <w:r w:rsidR="001B24FB" w:rsidRPr="0012729E">
        <w:rPr>
          <w:rFonts w:ascii="Times New Roman" w:hAnsi="Times New Roman"/>
          <w:sz w:val="24"/>
          <w:szCs w:val="24"/>
        </w:rPr>
        <w:fldChar w:fldCharType="separate"/>
      </w:r>
      <w:r w:rsidR="001B24FB" w:rsidRPr="0012729E">
        <w:rPr>
          <w:rFonts w:ascii="Times New Roman" w:hAnsi="Times New Roman"/>
          <w:sz w:val="24"/>
          <w:szCs w:val="24"/>
        </w:rPr>
        <w:t>(Nam et al., 2023)</w:t>
      </w:r>
      <w:r w:rsidR="001B24FB" w:rsidRPr="0012729E">
        <w:rPr>
          <w:rFonts w:ascii="Times New Roman" w:hAnsi="Times New Roman"/>
          <w:sz w:val="24"/>
          <w:szCs w:val="24"/>
        </w:rPr>
        <w:fldChar w:fldCharType="end"/>
      </w:r>
      <w:r w:rsidRPr="0012729E">
        <w:rPr>
          <w:rFonts w:ascii="Times New Roman" w:hAnsi="Times New Roman"/>
          <w:sz w:val="24"/>
          <w:szCs w:val="24"/>
        </w:rPr>
        <w:t xml:space="preserve">. It differs from </w:t>
      </w:r>
      <w:r w:rsidR="00DC1430" w:rsidRPr="0012729E">
        <w:rPr>
          <w:rFonts w:ascii="Times New Roman" w:hAnsi="Times New Roman"/>
          <w:sz w:val="24"/>
          <w:szCs w:val="24"/>
        </w:rPr>
        <w:t>isolate-based</w:t>
      </w:r>
      <w:r w:rsidRPr="0012729E">
        <w:rPr>
          <w:rFonts w:ascii="Times New Roman" w:hAnsi="Times New Roman"/>
          <w:sz w:val="24"/>
          <w:szCs w:val="24"/>
        </w:rPr>
        <w:t xml:space="preserve"> studies in that it provides microbial community signatures, functional diversity</w:t>
      </w:r>
      <w:r w:rsidR="00DC1430" w:rsidRPr="0012729E">
        <w:rPr>
          <w:rFonts w:ascii="Times New Roman" w:hAnsi="Times New Roman"/>
          <w:sz w:val="24"/>
          <w:szCs w:val="24"/>
        </w:rPr>
        <w:t>,</w:t>
      </w:r>
      <w:r w:rsidRPr="0012729E">
        <w:rPr>
          <w:rFonts w:ascii="Times New Roman" w:hAnsi="Times New Roman"/>
          <w:sz w:val="24"/>
          <w:szCs w:val="24"/>
        </w:rPr>
        <w:t xml:space="preserve"> and resistance reservoirs in complex environments, like aquatic, soil</w:t>
      </w:r>
      <w:r w:rsidR="00DC1430" w:rsidRPr="0012729E">
        <w:rPr>
          <w:rFonts w:ascii="Times New Roman" w:hAnsi="Times New Roman"/>
          <w:sz w:val="24"/>
          <w:szCs w:val="24"/>
        </w:rPr>
        <w:t>,</w:t>
      </w:r>
      <w:r w:rsidRPr="0012729E">
        <w:rPr>
          <w:rFonts w:ascii="Times New Roman" w:hAnsi="Times New Roman"/>
          <w:sz w:val="24"/>
          <w:szCs w:val="24"/>
        </w:rPr>
        <w:t xml:space="preserve"> and gut communities.</w:t>
      </w:r>
    </w:p>
    <w:p w14:paraId="256CC9FF"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Both clinical and environmental data are essential to be considered when discussing translational relevance. Hospital isolates present </w:t>
      </w:r>
      <w:r w:rsidR="00DC1430" w:rsidRPr="0012729E">
        <w:rPr>
          <w:rFonts w:ascii="Times New Roman" w:hAnsi="Times New Roman"/>
          <w:sz w:val="24"/>
          <w:szCs w:val="24"/>
        </w:rPr>
        <w:t>real-world</w:t>
      </w:r>
      <w:r w:rsidRPr="0012729E">
        <w:rPr>
          <w:rFonts w:ascii="Times New Roman" w:hAnsi="Times New Roman"/>
          <w:sz w:val="24"/>
          <w:szCs w:val="24"/>
        </w:rPr>
        <w:t xml:space="preserve"> evidence of pathogen evolution, therapeutic failure, and the evolution of "</w:t>
      </w:r>
      <w:r w:rsidR="00DC1430" w:rsidRPr="0012729E">
        <w:rPr>
          <w:rFonts w:ascii="Times New Roman" w:hAnsi="Times New Roman"/>
          <w:sz w:val="24"/>
          <w:szCs w:val="24"/>
        </w:rPr>
        <w:t>multi-drug</w:t>
      </w:r>
      <w:r w:rsidRPr="0012729E">
        <w:rPr>
          <w:rFonts w:ascii="Times New Roman" w:hAnsi="Times New Roman"/>
          <w:sz w:val="24"/>
          <w:szCs w:val="24"/>
        </w:rPr>
        <w:t xml:space="preserve">" drug resistance. Monitoring of wastewater provides information on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dissemination of </w:t>
      </w:r>
      <w:r w:rsidR="00DC1430" w:rsidRPr="0012729E">
        <w:rPr>
          <w:rFonts w:ascii="Times New Roman" w:hAnsi="Times New Roman"/>
          <w:sz w:val="24"/>
          <w:szCs w:val="24"/>
        </w:rPr>
        <w:t>population-level</w:t>
      </w:r>
      <w:r w:rsidRPr="0012729E">
        <w:rPr>
          <w:rFonts w:ascii="Times New Roman" w:hAnsi="Times New Roman"/>
          <w:sz w:val="24"/>
          <w:szCs w:val="24"/>
        </w:rPr>
        <w:t xml:space="preserve"> resistance and mobile genetic exchange. The soil microbiome datasets are of special importance since soil is a significant source of microbial diversity and naturally occurring resistance genes</w:t>
      </w:r>
      <w:r w:rsidR="0082409D" w:rsidRPr="0012729E">
        <w:rPr>
          <w:rFonts w:ascii="Times New Roman" w:hAnsi="Times New Roman"/>
          <w:sz w:val="24"/>
          <w:szCs w:val="24"/>
        </w:rPr>
        <w:fldChar w:fldCharType="begin"/>
      </w:r>
      <w:r w:rsidR="0082409D" w:rsidRPr="0012729E">
        <w:rPr>
          <w:rFonts w:ascii="Times New Roman" w:hAnsi="Times New Roman"/>
          <w:sz w:val="24"/>
          <w:szCs w:val="24"/>
        </w:rPr>
        <w:instrText xml:space="preserve"> ADDIN ZOTERO_ITEM CSL_CITATION {"citationID":"6qSZ7ZAl","properties":{"formattedCitation":"(Soufi et al., 2025)","plainCitation":"(Soufi et al., 2025)","noteIndex":0},"citationItems":[{"id":19364,"uris":["http://zotero.org/users/16652950/items/FUHNNDM8"],"itemData":{"id":19364,"type":"article-journal","abstract":"Over decades, untreated wastewater from México City was used to irrigate crops in the Mezquital Valley. With the construction of a wastewater treatment plant (WWTP), irrigation was replaced by WWTP effluent. To investigate how this shift affects the abundance, diversity, and dissemination of antibiotic resistance genes (ARGs) and mobile genetic elements (MGEs) in the short term, we conducted a soil microcosm experiment over 4 weeks. Soils from the Mezquital Valley with a long history of irrigation with untreated wastewater were irrigated with WWTP influent or effluent, both spiked with or without antibiotics and disinfectants. The spiking of irrigation water increased water-extractable soil concentrations of sulfamethoxazole. ARG and MGE abundances were affected by the spiking, whereas soil type and water quality had no effect. Contrarily, the soil microbiome was only determined by the soil type and the duration of incubation. Among the most abundant soil amplicon sequence variants (ASVs), one affiliated to Pseudomonas was affected by the spiking. Two ASVs affiliated to Methylotenera detected among the most abundant in wastewater and soil increased in relative abundance in soil after wastewater irrigation, indicating that they were likely introduced with the irrigation water or benefited from it. Most isolates from WWTP influent or effluent belonged to Proteobacterial genera. These findings highlight the importance of water pollution on the dissemination and spread of ARGs.","container-title":"Journal of Hazardous Materials","DOI":"10.1016/j.jhazmat.2025.138680","ISSN":"0304-3894","journalAbbreviation":"Journal of Hazardous Materials","page":"138680","source":"ScienceDirect","title":"Wastewater-borne pollutants influenced antibiotic resistance genes and mobile genetic elements in the soil without affecting the bacterial community composition in a changing wastewater irrigation system","volume":"494","author":[{"family":"Soufi","given":"Leila"},{"family":"Kampouris","given":"Ioannis D."},{"family":"Lüneberg","given":"Kathia"},{"family":"Heyde","given":"Benjamin J."},{"family":"Pulami","given":"Dipen"},{"family":"Glaeser","given":"Stefanie P."},{"family":"Siebe","given":"Christina"},{"family":"Siemens","given":"Jan"},{"family":"Smalla","given":"Kornelia"},{"family":"Grohmann","given":"Elisabeth"},{"family":"Gallego","given":"Sara"}],"issued":{"date-parts":[["2025",8,15]]}}}],"schema":"https://github.com/citation-style-language/schema/raw/master/csl-citation.json"} </w:instrText>
      </w:r>
      <w:r w:rsidR="0082409D" w:rsidRPr="0012729E">
        <w:rPr>
          <w:rFonts w:ascii="Times New Roman" w:hAnsi="Times New Roman"/>
          <w:sz w:val="24"/>
          <w:szCs w:val="24"/>
        </w:rPr>
        <w:fldChar w:fldCharType="separate"/>
      </w:r>
      <w:r w:rsidR="0082409D" w:rsidRPr="0012729E">
        <w:rPr>
          <w:rFonts w:ascii="Times New Roman" w:hAnsi="Times New Roman"/>
          <w:sz w:val="24"/>
          <w:szCs w:val="24"/>
        </w:rPr>
        <w:t>(Soufi et al., 2025)</w:t>
      </w:r>
      <w:r w:rsidR="0082409D" w:rsidRPr="0012729E">
        <w:rPr>
          <w:rFonts w:ascii="Times New Roman" w:hAnsi="Times New Roman"/>
          <w:sz w:val="24"/>
          <w:szCs w:val="24"/>
        </w:rPr>
        <w:fldChar w:fldCharType="end"/>
      </w:r>
      <w:r w:rsidRPr="0012729E">
        <w:rPr>
          <w:rFonts w:ascii="Times New Roman" w:hAnsi="Times New Roman"/>
          <w:sz w:val="24"/>
          <w:szCs w:val="24"/>
        </w:rPr>
        <w:t>.</w:t>
      </w:r>
    </w:p>
    <w:p w14:paraId="598E0EF5" w14:textId="77777777" w:rsidR="00CF6F85" w:rsidRPr="0012729E" w:rsidRDefault="00DC1430" w:rsidP="00CF6F85">
      <w:pPr>
        <w:rPr>
          <w:rFonts w:ascii="Times New Roman" w:hAnsi="Times New Roman"/>
          <w:sz w:val="24"/>
          <w:szCs w:val="24"/>
        </w:rPr>
      </w:pPr>
      <w:r w:rsidRPr="0012729E">
        <w:rPr>
          <w:rFonts w:ascii="Times New Roman" w:hAnsi="Times New Roman"/>
          <w:sz w:val="24"/>
          <w:szCs w:val="24"/>
        </w:rPr>
        <w:t>Multi-omics</w:t>
      </w:r>
      <w:r w:rsidR="00CF6F85" w:rsidRPr="0012729E">
        <w:rPr>
          <w:rFonts w:ascii="Times New Roman" w:hAnsi="Times New Roman"/>
          <w:sz w:val="24"/>
          <w:szCs w:val="24"/>
        </w:rPr>
        <w:t xml:space="preserve"> integration is the greatest predictive power. Artificial intelligence models can be built using the results from the four technologies above (genomics, transcriptomics, proteomics, metabolomics, and metagenomics) to link the genetic capacity to the biochemical activity shown by complex microbial communities, facilitating the identification of resistance pathways</w:t>
      </w:r>
      <w:r w:rsidR="00313652" w:rsidRPr="0012729E">
        <w:rPr>
          <w:rFonts w:ascii="Times New Roman" w:hAnsi="Times New Roman"/>
          <w:sz w:val="24"/>
          <w:szCs w:val="24"/>
        </w:rPr>
        <w:fldChar w:fldCharType="begin"/>
      </w:r>
      <w:r w:rsidR="00313652" w:rsidRPr="0012729E">
        <w:rPr>
          <w:rFonts w:ascii="Times New Roman" w:hAnsi="Times New Roman"/>
          <w:sz w:val="24"/>
          <w:szCs w:val="24"/>
        </w:rPr>
        <w:instrText xml:space="preserve"> ADDIN ZOTERO_ITEM CSL_CITATION {"citationID":"Fx2Ki6V1","properties":{"formattedCitation":"(Fareed &amp; Shityakov, 2026)","plainCitation":"(Fareed &amp; Shityakov, 2026)","noteIndex":0},"citationItems":[{"id":19366,"uris":["http://zotero.org/users/16652950/items/MY6R3JQX"],"itemData":{"id":19366,"type":"article-journal","abstract":"Artificial intelligence (AI) is reshaping pharmaceuticals, nutrition science, and food manufacturing by enabling the integration of multiomics technologies genomics, transcriptomics, proteomics, metabolomics, lipidomics, and glycomics into coherent, data-driven frameworks. This review synthesizes evidence from 173 peer-reviewed studies and authoritative reports identified through a PRISMA-aligned search (guidelines) of six major databases (PubMed, Scopus, Web of Science, IEEE Xplore, ScienceDirect, SpringerLink) spanning 2009–2025, covering AI-driven multiomics (n=48), personalised nutrition (n=35), federated learning and privacy-preserving analytics (n=40), food safety and manufacturing (n=28), and ethical and regulatory frameworks (n=22). In drug discovery, AI accelerates molecular modelling, target identification, and drug repurposing while improving the precision of clinical trial design. In nutrition, foodomics links dietary components to molecular mechanisms, enabling personalised nutrition, identification of dietary biomarkers, improved food safety, robust quality control, and sustainable production practices. AI-powered personalised nutrition integrates nutrigenomics, wearable biosensors, and hybrid recommender systems to deliver adaptive interventions, with federated learning, blockchain, and privacy-preserving analytics safeguarding sensitive health data. In food manufacturing, AI optimizes quality control, predictive maintenance, supply chain traceability, and waste reduction while supporting regulatory compliance. Ethical deployment requires addressing algorithmic bias, ensuring transparency, and promoting environmental sustainability through interdisciplinary collaboration among researchers, clinicians, industry stakeholders, and policymakers. By uniting AI, foodomics, and privacy-focused technologies, this convergence advances precision health, strengthens public nutrition strategies, and fosters environmentally responsible food systems.","container-title":"In Silico Research in Biomedicine","DOI":"10.1016/j.insi.2026.100378","ISSN":"3050-7871","journalAbbreviation":"In Silico Research in Biomedicine","page":"100378","source":"ScienceDirect","title":"Artificial Intelligence-Enabled Foodomics: Integrating Multi-Omics, Personalized Drug Discovery, Nutrition, and Sustainable Food Systems","title-short":"Artificial Intelligence-Enabled Foodomics","author":[{"family":"Fareed","given":"Muhammad Mazhar"},{"family":"Shityakov","given":"Sergey"}],"issued":{"date-parts":[["2026",5,21]]}}}],"schema":"https://github.com/citation-style-language/schema/raw/master/csl-citation.json"} </w:instrText>
      </w:r>
      <w:r w:rsidR="00313652" w:rsidRPr="0012729E">
        <w:rPr>
          <w:rFonts w:ascii="Times New Roman" w:hAnsi="Times New Roman"/>
          <w:sz w:val="24"/>
          <w:szCs w:val="24"/>
        </w:rPr>
        <w:fldChar w:fldCharType="separate"/>
      </w:r>
      <w:r w:rsidR="00313652" w:rsidRPr="0012729E">
        <w:rPr>
          <w:rFonts w:ascii="Times New Roman" w:hAnsi="Times New Roman"/>
          <w:sz w:val="24"/>
          <w:szCs w:val="24"/>
        </w:rPr>
        <w:t>(Fareed &amp; Shityakov, 2026)</w:t>
      </w:r>
      <w:r w:rsidR="00313652" w:rsidRPr="0012729E">
        <w:rPr>
          <w:rFonts w:ascii="Times New Roman" w:hAnsi="Times New Roman"/>
          <w:sz w:val="24"/>
          <w:szCs w:val="24"/>
        </w:rPr>
        <w:fldChar w:fldCharType="end"/>
      </w:r>
      <w:r w:rsidR="00CF6F85" w:rsidRPr="0012729E">
        <w:rPr>
          <w:rFonts w:ascii="Times New Roman" w:hAnsi="Times New Roman"/>
          <w:sz w:val="24"/>
          <w:szCs w:val="24"/>
        </w:rPr>
        <w:t>.</w:t>
      </w:r>
    </w:p>
    <w:p w14:paraId="39E0A63F" w14:textId="77777777" w:rsidR="008D37E0" w:rsidRPr="0012729E" w:rsidRDefault="00573F0C" w:rsidP="00CF6F85">
      <w:pPr>
        <w:rPr>
          <w:rFonts w:ascii="Times New Roman" w:hAnsi="Times New Roman"/>
          <w:b/>
          <w:bCs/>
          <w:sz w:val="24"/>
          <w:szCs w:val="24"/>
        </w:rPr>
      </w:pPr>
      <w:r w:rsidRPr="0012729E">
        <w:rPr>
          <w:rFonts w:ascii="Times New Roman" w:hAnsi="Times New Roman"/>
          <w:b/>
          <w:bCs/>
          <w:sz w:val="24"/>
          <w:szCs w:val="24"/>
        </w:rPr>
        <w:t>5.</w:t>
      </w:r>
      <w:r w:rsidR="00DC1430" w:rsidRPr="0012729E">
        <w:rPr>
          <w:rFonts w:ascii="Times New Roman" w:hAnsi="Times New Roman"/>
          <w:b/>
          <w:bCs/>
          <w:sz w:val="24"/>
          <w:szCs w:val="24"/>
        </w:rPr>
        <w:t xml:space="preserve"> </w:t>
      </w:r>
      <w:r w:rsidRPr="0012729E">
        <w:rPr>
          <w:rFonts w:ascii="Times New Roman" w:hAnsi="Times New Roman"/>
          <w:b/>
          <w:bCs/>
          <w:sz w:val="24"/>
          <w:szCs w:val="24"/>
        </w:rPr>
        <w:t>Artificial Intelligence Models for Predicting Biochemical Resistance Pathways</w:t>
      </w:r>
    </w:p>
    <w:p w14:paraId="7A567F2C"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The complexity of interactions among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ecological systems governs microbial adaptation and</w:t>
      </w:r>
      <w:r w:rsidR="00DC1430" w:rsidRPr="0012729E">
        <w:rPr>
          <w:rFonts w:ascii="Times New Roman" w:hAnsi="Times New Roman"/>
          <w:sz w:val="24"/>
          <w:szCs w:val="24"/>
        </w:rPr>
        <w:t>,</w:t>
      </w:r>
      <w:r w:rsidRPr="0012729E">
        <w:rPr>
          <w:rFonts w:ascii="Times New Roman" w:hAnsi="Times New Roman"/>
          <w:sz w:val="24"/>
          <w:szCs w:val="24"/>
        </w:rPr>
        <w:t xml:space="preserve"> hence</w:t>
      </w:r>
      <w:r w:rsidR="00DC1430" w:rsidRPr="0012729E">
        <w:rPr>
          <w:rFonts w:ascii="Times New Roman" w:hAnsi="Times New Roman"/>
          <w:sz w:val="24"/>
          <w:szCs w:val="24"/>
        </w:rPr>
        <w:t>,</w:t>
      </w:r>
      <w:r w:rsidRPr="0012729E">
        <w:rPr>
          <w:rFonts w:ascii="Times New Roman" w:hAnsi="Times New Roman"/>
          <w:sz w:val="24"/>
          <w:szCs w:val="24"/>
        </w:rPr>
        <w:t xml:space="preserve"> makes predicting biochemical pathways essential for understanding antibiotic resistance a focal point of artificial intelligence</w:t>
      </w:r>
      <w:r w:rsidR="007F2E1C" w:rsidRPr="0012729E">
        <w:rPr>
          <w:rFonts w:ascii="Times New Roman" w:hAnsi="Times New Roman"/>
          <w:sz w:val="24"/>
          <w:szCs w:val="24"/>
        </w:rPr>
        <w:fldChar w:fldCharType="begin"/>
      </w:r>
      <w:r w:rsidR="00C923F6" w:rsidRPr="0012729E">
        <w:rPr>
          <w:rFonts w:ascii="Times New Roman" w:hAnsi="Times New Roman"/>
          <w:sz w:val="24"/>
          <w:szCs w:val="24"/>
        </w:rPr>
        <w:instrText xml:space="preserve"> ADDIN ZOTERO_ITEM CSL_CITATION {"citationID":"fGiWKG1Q","properties":{"formattedCitation":"(Shayista et al., 2025)","plainCitation":"(Shayista et al., 2025)","noteIndex":0},"citationItems":[{"id":19461,"uris":["http://zotero.org/users/16652950/items/3LH9GLME"],"itemData":{"id":19461,"type":"article-journal","abstract":"The present review explores the influence of the gut microbiota on antibiotic resistance dynamics, particularly those associated with dysbiosis. The improper use of antibiotics can induce resistance in pathogens through various pathways, which is a topic of increasing interest within the scientific community. This review highlights the importance of microbial diversity, gut metabolism, and inflammatory responses against the dysbiosis due to the action of antibiotics. Additionally, it examines how secondary metabolites secreted by pathogens can serve as biomarkers for the early detection of antibiotic resistance. Although significant progress has been made in this field, key research gaps persist, including the need for a deeper understanding of the long-term effects of antibiotic-induced dysbiosis and the specific mechanisms driving the evolution of resistance in gut bacteria. Based on these considerations, this review systematically analyzed studies from PubMed, Web of Science, Embase, Cochrane Library, and Scopus up to July 2024. This study aimed to explore the dynamics of the interactions between gut microbiota and antibiotic resistance, specifically examining how microbial composition influences the development of resistance mechanisms. By elucidating these relationships, this review provides insights into management strategies for drug resistance and improves our understanding of microbial contributions to host health.","container-title":"Engineering Microbiology","DOI":"10.1016/j.engmic.2024.100187","ISSN":"2667-3703","issue":"1","journalAbbreviation":"Engineering Microbiology","page":"100187","source":"ScienceDirect","title":"Complexity of antibiotic resistance and its impact on gut microbiota dynamics","volume":"5","author":[{"family":"Shayista","given":"H."},{"family":"Prasad","given":"M. N. Nagendra"},{"family":"Raj","given":"S. Niranjan"},{"family":"Prasad","given":"Ashwini"},{"family":"Lakshmi","given":"S."},{"family":"Ranjini","given":"H. K."},{"family":"Manju","given":"K."},{"literal":"Ravikumara"},{"family":"Chouhan","given":"Raghuraj Singh"},{"family":"Khohlova","given":"Olga Y."},{"family":"Perianova","given":"Olga V."},{"family":"Baker","given":"Syed"}],"issued":{"date-parts":[["2025",3,1]]}}}],"schema":"https://github.com/citation-style-language/schema/raw/master/csl-citation.json"} </w:instrText>
      </w:r>
      <w:r w:rsidR="007F2E1C" w:rsidRPr="0012729E">
        <w:rPr>
          <w:rFonts w:ascii="Times New Roman" w:hAnsi="Times New Roman"/>
          <w:sz w:val="24"/>
          <w:szCs w:val="24"/>
        </w:rPr>
        <w:fldChar w:fldCharType="separate"/>
      </w:r>
      <w:r w:rsidR="00C923F6" w:rsidRPr="0012729E">
        <w:rPr>
          <w:rFonts w:ascii="Times New Roman" w:hAnsi="Times New Roman"/>
          <w:sz w:val="24"/>
          <w:szCs w:val="24"/>
        </w:rPr>
        <w:t>(Shayista et al., 2025)</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While traditional </w:t>
      </w:r>
      <w:r w:rsidR="00DC1430" w:rsidRPr="0012729E">
        <w:rPr>
          <w:rFonts w:ascii="Times New Roman" w:hAnsi="Times New Roman"/>
          <w:sz w:val="24"/>
          <w:szCs w:val="24"/>
        </w:rPr>
        <w:t>statistical</w:t>
      </w:r>
      <w:r w:rsidRPr="0012729E">
        <w:rPr>
          <w:rFonts w:ascii="Times New Roman" w:hAnsi="Times New Roman"/>
          <w:sz w:val="24"/>
          <w:szCs w:val="24"/>
        </w:rPr>
        <w:t xml:space="preserve"> analyses are still useful for specific studies, there is a need for computational models that can detect nonlinear patterns, combine heterogeneous data</w:t>
      </w:r>
      <w:r w:rsidR="00DC1430" w:rsidRPr="0012729E">
        <w:rPr>
          <w:rFonts w:ascii="Times New Roman" w:hAnsi="Times New Roman"/>
          <w:sz w:val="24"/>
          <w:szCs w:val="24"/>
        </w:rPr>
        <w:t>,</w:t>
      </w:r>
      <w:r w:rsidRPr="0012729E">
        <w:rPr>
          <w:rFonts w:ascii="Times New Roman" w:hAnsi="Times New Roman"/>
          <w:sz w:val="24"/>
          <w:szCs w:val="24"/>
        </w:rPr>
        <w:t xml:space="preserve"> and include models relating resistance to pathway levels. AI models can be classified into various categories, each offering unique advantages for resistance prediction.</w:t>
      </w:r>
    </w:p>
    <w:p w14:paraId="6359B557" w14:textId="77777777" w:rsidR="007C032A" w:rsidRPr="0012729E" w:rsidRDefault="00CF6F85" w:rsidP="00CF6F85">
      <w:pPr>
        <w:rPr>
          <w:rFonts w:ascii="Times New Roman" w:hAnsi="Times New Roman"/>
          <w:sz w:val="24"/>
          <w:szCs w:val="24"/>
        </w:rPr>
      </w:pPr>
      <w:r w:rsidRPr="0012729E">
        <w:rPr>
          <w:rFonts w:ascii="Times New Roman" w:hAnsi="Times New Roman"/>
          <w:sz w:val="24"/>
          <w:szCs w:val="24"/>
        </w:rPr>
        <w:t xml:space="preserve">In the context of structured biological data, classical machine learning techniques continue to be popular due to their interpretability, computational efficiency, and effectiveness. The advantage of using the Random Forest models in the resistance studies is that they are able to process </w:t>
      </w:r>
      <w:r w:rsidR="00DC1430" w:rsidRPr="0012729E">
        <w:rPr>
          <w:rFonts w:ascii="Times New Roman" w:hAnsi="Times New Roman"/>
          <w:sz w:val="24"/>
          <w:szCs w:val="24"/>
        </w:rPr>
        <w:t>high-dimensional</w:t>
      </w:r>
      <w:r w:rsidRPr="0012729E">
        <w:rPr>
          <w:rFonts w:ascii="Times New Roman" w:hAnsi="Times New Roman"/>
          <w:sz w:val="24"/>
          <w:szCs w:val="24"/>
        </w:rPr>
        <w:t xml:space="preserve"> genomic and transcriptomic data and minimize overfitting by using ensemble learning</w:t>
      </w:r>
      <w:r w:rsidR="007F2E1C" w:rsidRPr="0012729E">
        <w:rPr>
          <w:rFonts w:ascii="Times New Roman" w:hAnsi="Times New Roman"/>
          <w:sz w:val="24"/>
          <w:szCs w:val="24"/>
        </w:rPr>
        <w:fldChar w:fldCharType="begin"/>
      </w:r>
      <w:r w:rsidR="00FF7AEE" w:rsidRPr="0012729E">
        <w:rPr>
          <w:rFonts w:ascii="Times New Roman" w:hAnsi="Times New Roman"/>
          <w:sz w:val="24"/>
          <w:szCs w:val="24"/>
        </w:rPr>
        <w:instrText xml:space="preserve"> ADDIN ZOTERO_ITEM CSL_CITATION {"citationID":"W0GBwK4v","properties":{"formattedCitation":"(Chen &amp; Ishwaran, 2012)","plainCitation":"(Chen &amp; Ishwaran, 2012)","noteIndex":0},"citationItems":[{"id":19464,"uris":["http://zotero.org/users/16652950/items/MG6KHW8D"],"itemData":{"id":19464,"type":"article-journal","abstract":"Random forests (RF) is a popular tree-based ensemble machine learning tool that is highly data adaptive, applies to “large p, small n” problems, and is able to account for correlation as well as interactions among features. This makes RF particularly appealing for high-dimensional genomic data analysis. In this article, we systematically review the applications and recent progresses of RF for genomic data, including prediction and classification, variable selection, pathway analysis, genetic association and epistasis detection, and unsupervised learning.","container-title":"Genomics","DOI":"10.1016/j.ygeno.2012.04.003","ISSN":"0888-7543","issue":"6","journalAbbreviation":"Genomics","note":"PMID: 22546560\nPMCID: PMC3387489","page":"323-329","source":"PubMed Central","title":"Random Forests for Genomic Data Analysis","volume":"99","author":[{"family":"Chen","given":"Xi"},{"family":"Ishwaran","given":"Hemant"}],"issued":{"date-parts":[["2012",6]]}}}],"schema":"https://github.com/citation-style-language/schema/raw/master/csl-citation.json"} </w:instrText>
      </w:r>
      <w:r w:rsidR="007F2E1C" w:rsidRPr="0012729E">
        <w:rPr>
          <w:rFonts w:ascii="Times New Roman" w:hAnsi="Times New Roman"/>
          <w:sz w:val="24"/>
          <w:szCs w:val="24"/>
        </w:rPr>
        <w:fldChar w:fldCharType="separate"/>
      </w:r>
      <w:r w:rsidR="00FF7AEE" w:rsidRPr="0012729E">
        <w:rPr>
          <w:rFonts w:ascii="Times New Roman" w:hAnsi="Times New Roman"/>
          <w:sz w:val="24"/>
          <w:szCs w:val="24"/>
        </w:rPr>
        <w:t>(Chen &amp; Ishwaran, 2012)</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They are frequently used for resistance classification and identification of influential biological factors. </w:t>
      </w:r>
      <w:r w:rsidR="00DC1430" w:rsidRPr="0012729E">
        <w:rPr>
          <w:rFonts w:ascii="Times New Roman" w:hAnsi="Times New Roman"/>
          <w:sz w:val="24"/>
          <w:szCs w:val="24"/>
        </w:rPr>
        <w:t>SVMs</w:t>
      </w:r>
      <w:r w:rsidRPr="0012729E">
        <w:rPr>
          <w:rFonts w:ascii="Times New Roman" w:hAnsi="Times New Roman"/>
          <w:sz w:val="24"/>
          <w:szCs w:val="24"/>
        </w:rPr>
        <w:t xml:space="preserve"> work well for separating complex </w:t>
      </w:r>
      <w:r w:rsidRPr="0012729E">
        <w:rPr>
          <w:rFonts w:ascii="Times New Roman" w:hAnsi="Times New Roman"/>
          <w:sz w:val="24"/>
          <w:szCs w:val="24"/>
        </w:rPr>
        <w:lastRenderedPageBreak/>
        <w:t xml:space="preserve">biological classes, particularly in the case of genomic signatures of resistant and susceptible strains. Decision Trees can offer a simpler </w:t>
      </w:r>
      <w:r w:rsidR="00DC1430" w:rsidRPr="0012729E">
        <w:rPr>
          <w:rFonts w:ascii="Times New Roman" w:hAnsi="Times New Roman"/>
          <w:sz w:val="24"/>
          <w:szCs w:val="24"/>
        </w:rPr>
        <w:t>rule-based</w:t>
      </w:r>
      <w:r w:rsidRPr="0012729E">
        <w:rPr>
          <w:rFonts w:ascii="Times New Roman" w:hAnsi="Times New Roman"/>
          <w:sz w:val="24"/>
          <w:szCs w:val="24"/>
        </w:rPr>
        <w:t xml:space="preserve"> prediction and uncover biologically interpretable relationships between molecular features and resistance outcomes. The importance of </w:t>
      </w:r>
      <w:proofErr w:type="spellStart"/>
      <w:r w:rsidRPr="0012729E">
        <w:rPr>
          <w:rFonts w:ascii="Times New Roman" w:hAnsi="Times New Roman"/>
          <w:sz w:val="24"/>
          <w:szCs w:val="24"/>
        </w:rPr>
        <w:t>XGBoost</w:t>
      </w:r>
      <w:proofErr w:type="spellEnd"/>
      <w:r w:rsidRPr="0012729E">
        <w:rPr>
          <w:rFonts w:ascii="Times New Roman" w:hAnsi="Times New Roman"/>
          <w:sz w:val="24"/>
          <w:szCs w:val="24"/>
        </w:rPr>
        <w:t xml:space="preserve"> is because of the high predictive accuracy, and it can be used for ranking informative features in </w:t>
      </w:r>
      <w:r w:rsidR="00DC1430" w:rsidRPr="0012729E">
        <w:rPr>
          <w:rFonts w:ascii="Times New Roman" w:hAnsi="Times New Roman"/>
          <w:sz w:val="24"/>
          <w:szCs w:val="24"/>
        </w:rPr>
        <w:t>large-scale</w:t>
      </w:r>
      <w:r w:rsidRPr="0012729E">
        <w:rPr>
          <w:rFonts w:ascii="Times New Roman" w:hAnsi="Times New Roman"/>
          <w:sz w:val="24"/>
          <w:szCs w:val="24"/>
        </w:rPr>
        <w:t xml:space="preserve"> biological datasets</w:t>
      </w:r>
      <w:r w:rsidR="007F2E1C"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{"citationID":"LbCpSelL","properties":{"formattedCitation":"(W. Li et al., 2025)","plainCitation":"(W. Li et al., 2025)","noteIndex":0},"citationItems":[{"id":19373,"uris":["http://zotero.org/users/16652950/items/Q3M6VU7B"],"itemData":{"id":19373,"type":"article-journal","abstract":"Purpose\nThyroid ultrasound is a primary tool for screening thyroid nodules (TNs), but existing risk stratification systems have limitations. Nowadays, machine learning (ML) offers advanced capabilities to handle high-dimensional data and complex patterns. This study aimed to develop an ML model integrating clinical data and ultrasound features to improve personalized prediction of TN malignancy.\n\nMethods\nData from 2,014 patients with TNs (2018.01–2024.01) were retrospectively analyzed, with 1,612 in the training set and 402 in the test set. Features included demographic, ultrasound, and thyroid function indices. Random Forest (RF) and Lasso regression were used for feature selection. Furthermore, six ML models (KNN, Logistic Regression, RF, Classification Tree, SVM, and XGBoost) were developed and validated via 10-fold cross-validation, evaluating performance using area under the receiver operating characteristic curve (AUC), accuracy, sensitivity, specificity, calibration curves, and decision curve analysis (DCA).\n\nResults\n17 variables were influential factors for diagnosing TNs. All six models exhibited satisfactory predictive performance, with their accuracy ranging from 0.761 to 0.851 and AUC from 0.755 to 0.928. Among them, the XGBoost model demonstrated the best performance, achieving an AUC of 0.928, accuracy of 0.851, sensitivity of 0.933, and specificity of 0.650. Calibration curves showed strong agreement between predicted and observed malignancy probabilities, and DCA indicated net clinical benefit across a wide risk threshold range (0.2–0.9). Additionally, we have developed the model as a web-based calculator to facilitate its practical application.\n\nConclusions\nThe XGBoost model effectively integrates multi-modal data to predict TN malignancy, offering improved accuracy and clinical utility.","container-title":"Frontiers in Endocrinology","DOI":"10.3389/fendo.2025.1639639","ISSN":"1664-2392","journalAbbreviation":"Front Endocrinol (Lausanne)","note":"PMID: 40801033\nPMCID: PMC12339320","page":"1639639","source":"PubMed Central","title":"XGBoost-based machine learning model combining clinical and ultrasound data for personalized prediction of thyroid nodule malignancy","volume":"16","author":[{"family":"Li","given":"Wenhan"},{"family":"Zhou","given":"Yajing"},{"family":"Luo","given":"Ziyu"},{"family":"Tan","given":"Miao"},{"family":"Yin","given":"Rui"},{"family":"Li","given":"Jianhui"}],"issued":{"date-parts":[["2025",7,29]]}}}],"schema":"https://github.com/citation-style-language/schema/raw/master/csl-citation.json"} </w:instrText>
      </w:r>
      <w:r w:rsidR="007F2E1C" w:rsidRPr="0012729E">
        <w:rPr>
          <w:rFonts w:ascii="Times New Roman" w:hAnsi="Times New Roman"/>
          <w:sz w:val="24"/>
          <w:szCs w:val="24"/>
        </w:rPr>
        <w:fldChar w:fldCharType="separate"/>
      </w:r>
      <w:r w:rsidR="00620306" w:rsidRPr="0012729E">
        <w:rPr>
          <w:rFonts w:ascii="Times New Roman" w:hAnsi="Times New Roman"/>
          <w:sz w:val="24"/>
          <w:szCs w:val="24"/>
        </w:rPr>
        <w:t>(W. Li et al., 2025)</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t>
      </w:r>
    </w:p>
    <w:p w14:paraId="038EBC47"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When there is more than a linear relationship between the biological variables, or when the data are sequences or complex representations, deep learning methods can be more powerful. Resistance-associated sequence patterns are identified for genomic and proteomic data using Convolutional Neural Networks. </w:t>
      </w:r>
      <w:r w:rsidR="00DC1430" w:rsidRPr="0012729E">
        <w:rPr>
          <w:rFonts w:ascii="Times New Roman" w:hAnsi="Times New Roman"/>
          <w:sz w:val="24"/>
          <w:szCs w:val="24"/>
        </w:rPr>
        <w:t>Time-dependent</w:t>
      </w:r>
      <w:r w:rsidRPr="0012729E">
        <w:rPr>
          <w:rFonts w:ascii="Times New Roman" w:hAnsi="Times New Roman"/>
          <w:sz w:val="24"/>
          <w:szCs w:val="24"/>
        </w:rPr>
        <w:t xml:space="preserve"> biological systems, such as those where resistance evolution can be related to temporal changes in gene expression, microbial adaptation</w:t>
      </w:r>
      <w:r w:rsidR="00DC1430" w:rsidRPr="0012729E">
        <w:rPr>
          <w:rFonts w:ascii="Times New Roman" w:hAnsi="Times New Roman"/>
          <w:sz w:val="24"/>
          <w:szCs w:val="24"/>
        </w:rPr>
        <w:t>,</w:t>
      </w:r>
      <w:r w:rsidRPr="0012729E">
        <w:rPr>
          <w:rFonts w:ascii="Times New Roman" w:hAnsi="Times New Roman"/>
          <w:sz w:val="24"/>
          <w:szCs w:val="24"/>
        </w:rPr>
        <w:t xml:space="preserve"> or environmental stress, are especially suited to Recurrent Neural Networks and long </w:t>
      </w:r>
      <w:r w:rsidR="00DC1430" w:rsidRPr="0012729E">
        <w:rPr>
          <w:rFonts w:ascii="Times New Roman" w:hAnsi="Times New Roman"/>
          <w:sz w:val="24"/>
          <w:szCs w:val="24"/>
        </w:rPr>
        <w:t>short-term</w:t>
      </w:r>
      <w:r w:rsidRPr="0012729E">
        <w:rPr>
          <w:rFonts w:ascii="Times New Roman" w:hAnsi="Times New Roman"/>
          <w:sz w:val="24"/>
          <w:szCs w:val="24"/>
        </w:rPr>
        <w:t xml:space="preserve"> memory models</w:t>
      </w:r>
      <w:r w:rsidR="007C032A" w:rsidRPr="0012729E">
        <w:rPr>
          <w:rFonts w:ascii="Times New Roman" w:hAnsi="Times New Roman"/>
          <w:sz w:val="24"/>
          <w:szCs w:val="24"/>
        </w:rPr>
        <w:fldChar w:fldCharType="begin"/>
      </w:r>
      <w:r w:rsidR="007C032A" w:rsidRPr="0012729E">
        <w:rPr>
          <w:rFonts w:ascii="Times New Roman" w:hAnsi="Times New Roman"/>
          <w:sz w:val="24"/>
          <w:szCs w:val="24"/>
        </w:rPr>
        <w:instrText xml:space="preserve"> ADDIN ZOTERO_ITEM CSL_CITATION {"citationID":"6TdIL4FM","properties":{"formattedCitation":"(Khodadadi et al., 2020)","plainCitation":"(Khodadadi et al., 2020)","noteIndex":0},"citationItems":[{"id":19467,"uris":["http://zotero.org/users/16652950/items/IN4M8ELV"],"itemData":{"id":19467,"type":"article-journal","abstract":"Sequences of the genomes of all-important bacterial pathogens of man, plants, and animals have been completed. Still, it is not enough to achieve complete information of all the mechanisms controlling the biological processes of an organism. Along with all advances in different proteomics technologies, proteomics has completed our knowledge of biological processes all around the world. Proteomics is a valuable technique to explain the complement of proteins in any organism. One of the fields that has been notably benefited from other systems approaches is bacterial pathogenesis. An emerging field is to use proteomics to examine the infectious agents in terms of, among many, the response the host and pathogen to the infection process, which leads to a deeper knowledge of the mechanisms of bacterial virulence. This trend also enables us to identify quantitative measurements for proteins extracted from microorganisms. The present review study is an attempt to summarize a variety of different proteomic techniques and advances. The significant applications in bacterial pathogenesis studies are also covered. Moreover, the areas where proteomics may lead the future studies are introduced.","container-title":"Infection and Drug Resistance","DOI":"10.2147/IDR.S238446","ISSN":"1178-6973","journalAbbreviation":"Infect Drug Resist","note":"PMID: 32606829\nPMCID: PMC7305820","page":"1785-1806","source":"PubMed Central","title":"Proteomic Applications in Antimicrobial Resistance and Clinical Microbiology Studies","volume":"13","author":[{"family":"Khodadadi","given":"Ehsaneh"},{"family":"Zeinalzadeh","given":"Elham"},{"family":"Taghizadeh","given":"Sepehr"},{"family":"Mehramouz","given":"Bahareh"},{"family":"Kamounah","given":"Fadhil S"},{"family":"Khodadadi","given":"Ehsan"},{"family":"Ganbarov","given":"Khudaverdi"},{"family":"Yousefi","given":"Bahman"},{"family":"Bastami","given":"Milad"},{"family":"Kafil","given":"Hossein Samadi"}],"issued":{"date-parts":[["2020",6,16]]}}}],"schema":"https://github.com/citation-style-language/schema/raw/master/csl-citation.json"} </w:instrText>
      </w:r>
      <w:r w:rsidR="007C032A" w:rsidRPr="0012729E">
        <w:rPr>
          <w:rFonts w:ascii="Times New Roman" w:hAnsi="Times New Roman"/>
          <w:sz w:val="24"/>
          <w:szCs w:val="24"/>
        </w:rPr>
        <w:fldChar w:fldCharType="separate"/>
      </w:r>
      <w:r w:rsidR="007C032A" w:rsidRPr="0012729E">
        <w:rPr>
          <w:rFonts w:ascii="Times New Roman" w:hAnsi="Times New Roman"/>
          <w:sz w:val="24"/>
          <w:szCs w:val="24"/>
        </w:rPr>
        <w:t>(Khodadadi et al., 2020)</w:t>
      </w:r>
      <w:r w:rsidR="007C032A" w:rsidRPr="0012729E">
        <w:rPr>
          <w:rFonts w:ascii="Times New Roman" w:hAnsi="Times New Roman"/>
          <w:sz w:val="24"/>
          <w:szCs w:val="24"/>
        </w:rPr>
        <w:fldChar w:fldCharType="end"/>
      </w:r>
      <w:r w:rsidRPr="0012729E">
        <w:rPr>
          <w:rFonts w:ascii="Times New Roman" w:hAnsi="Times New Roman"/>
          <w:sz w:val="24"/>
          <w:szCs w:val="24"/>
        </w:rPr>
        <w:t xml:space="preserve">. Autoencoders can be used to reduce </w:t>
      </w:r>
      <w:r w:rsidR="00DC1430" w:rsidRPr="0012729E">
        <w:rPr>
          <w:rFonts w:ascii="Times New Roman" w:hAnsi="Times New Roman"/>
          <w:sz w:val="24"/>
          <w:szCs w:val="24"/>
        </w:rPr>
        <w:t xml:space="preserve">the </w:t>
      </w:r>
      <w:r w:rsidRPr="0012729E">
        <w:rPr>
          <w:rFonts w:ascii="Times New Roman" w:hAnsi="Times New Roman"/>
          <w:sz w:val="24"/>
          <w:szCs w:val="24"/>
        </w:rPr>
        <w:t xml:space="preserve">dimensionality of large omics datasets to </w:t>
      </w:r>
      <w:r w:rsidR="00DC1430" w:rsidRPr="0012729E">
        <w:rPr>
          <w:rFonts w:ascii="Times New Roman" w:hAnsi="Times New Roman"/>
          <w:sz w:val="24"/>
          <w:szCs w:val="24"/>
        </w:rPr>
        <w:t>lower-dimensional</w:t>
      </w:r>
      <w:r w:rsidRPr="0012729E">
        <w:rPr>
          <w:rFonts w:ascii="Times New Roman" w:hAnsi="Times New Roman"/>
          <w:sz w:val="24"/>
          <w:szCs w:val="24"/>
        </w:rPr>
        <w:t xml:space="preserve"> representations while retaining important biological structure</w:t>
      </w:r>
      <w:r w:rsidR="007F2E1C" w:rsidRPr="0012729E">
        <w:rPr>
          <w:rFonts w:ascii="Times New Roman" w:hAnsi="Times New Roman"/>
          <w:sz w:val="24"/>
          <w:szCs w:val="24"/>
        </w:rPr>
        <w:fldChar w:fldCharType="begin"/>
      </w:r>
      <w:r w:rsidR="007F2E1C" w:rsidRPr="0012729E">
        <w:rPr>
          <w:rFonts w:ascii="Times New Roman" w:hAnsi="Times New Roman"/>
          <w:sz w:val="24"/>
          <w:szCs w:val="24"/>
        </w:rPr>
        <w:instrText xml:space="preserve"> ADDIN ZOTERO_ITEM CSL_CITATION {"citationID":"WU0Z64BY","properties":{"formattedCitation":"(Baig et al., 2023)","plainCitation":"(Baig et al., 2023)","noteIndex":0},"citationItems":[{"id":19376,"uris":["http://zotero.org/users/16652950/items/R729L6PC"],"itemData":{"id":19376,"type":"article-journal","abstract":"The ability to effectively represent microbiome dynamics is a crucial challenge in their quantitative analysis and engineering. By using autoencoder neural networks, we show that microbial growth dynamics can be compressed into low-dimensional representations and reconstructed with high fidelity. These low-dimensional embeddings are just as effective, if not better, than raw data for tasks such as identifying bacterial strains, predicting traits like antibiotic resistance, and predicting community dynamics. Additionally, we demonstrate that essential dynamical information of these systems can be captured using far fewer variables than traditional mechanistic models. Our work suggests that machine learning can enable the creation of concise representations of high-dimensional microbiome dynamics to facilitate data analysis and gain new biological insights., Here, the authors apply autoencoder neural networks to show that microbial growth dynamics can be compressed into low-dimensional representations and reconstructed with high fidelity, facilitating quantitative predictions and deduction of potential mechanisms.","container-title":"Nature Communications","DOI":"10.1038/s41467-023-43455-0","ISSN":"2041-1723","journalAbbreviation":"Nat Commun","note":"PMID: 38049401\nPMCID: PMC10696002","page":"7937","source":"PubMed Central","title":"Autoencoder neural networks enable low dimensional structure analyses of microbial growth dynamics","volume":"14","author":[{"family":"Baig","given":"Yasa"},{"family":"Ma","given":"Helena R."},{"family":"Xu","given":"Helen"},{"family":"You","given":"Lingchong"}],"issued":{"date-parts":[["2023",12,1]]}}}],"schema":"https://github.com/citation-style-language/schema/raw/master/csl-citation.json"} </w:instrText>
      </w:r>
      <w:r w:rsidR="007F2E1C" w:rsidRPr="0012729E">
        <w:rPr>
          <w:rFonts w:ascii="Times New Roman" w:hAnsi="Times New Roman"/>
          <w:sz w:val="24"/>
          <w:szCs w:val="24"/>
        </w:rPr>
        <w:fldChar w:fldCharType="separate"/>
      </w:r>
      <w:r w:rsidR="007F2E1C" w:rsidRPr="0012729E">
        <w:rPr>
          <w:rFonts w:ascii="Times New Roman" w:hAnsi="Times New Roman"/>
          <w:sz w:val="24"/>
          <w:szCs w:val="24"/>
        </w:rPr>
        <w:t>(Baig et al., 2023)</w:t>
      </w:r>
      <w:r w:rsidR="007F2E1C" w:rsidRPr="0012729E">
        <w:rPr>
          <w:rFonts w:ascii="Times New Roman" w:hAnsi="Times New Roman"/>
          <w:sz w:val="24"/>
          <w:szCs w:val="24"/>
        </w:rPr>
        <w:fldChar w:fldCharType="end"/>
      </w:r>
      <w:r w:rsidRPr="0012729E">
        <w:rPr>
          <w:rFonts w:ascii="Times New Roman" w:hAnsi="Times New Roman"/>
          <w:sz w:val="24"/>
          <w:szCs w:val="24"/>
        </w:rPr>
        <w:t xml:space="preserve">. </w:t>
      </w:r>
      <w:r w:rsidR="00DC1430" w:rsidRPr="0012729E">
        <w:rPr>
          <w:rFonts w:ascii="Times New Roman" w:hAnsi="Times New Roman"/>
          <w:sz w:val="24"/>
          <w:szCs w:val="24"/>
        </w:rPr>
        <w:t>Attention-based</w:t>
      </w:r>
      <w:r w:rsidRPr="0012729E">
        <w:rPr>
          <w:rFonts w:ascii="Times New Roman" w:hAnsi="Times New Roman"/>
          <w:sz w:val="24"/>
          <w:szCs w:val="24"/>
        </w:rPr>
        <w:t xml:space="preserve"> architectures become more and more relevant in biological sequence learning since they can learn </w:t>
      </w:r>
      <w:r w:rsidR="00DC1430" w:rsidRPr="0012729E">
        <w:rPr>
          <w:rFonts w:ascii="Times New Roman" w:hAnsi="Times New Roman"/>
          <w:sz w:val="24"/>
          <w:szCs w:val="24"/>
        </w:rPr>
        <w:t>long-range</w:t>
      </w:r>
      <w:r w:rsidRPr="0012729E">
        <w:rPr>
          <w:rFonts w:ascii="Times New Roman" w:hAnsi="Times New Roman"/>
          <w:sz w:val="24"/>
          <w:szCs w:val="24"/>
        </w:rPr>
        <w:t xml:space="preserve"> dependencies in DNA, RNA</w:t>
      </w:r>
      <w:r w:rsidR="00DC1430" w:rsidRPr="0012729E">
        <w:rPr>
          <w:rFonts w:ascii="Times New Roman" w:hAnsi="Times New Roman"/>
          <w:sz w:val="24"/>
          <w:szCs w:val="24"/>
        </w:rPr>
        <w:t>,</w:t>
      </w:r>
      <w:r w:rsidRPr="0012729E">
        <w:rPr>
          <w:rFonts w:ascii="Times New Roman" w:hAnsi="Times New Roman"/>
          <w:sz w:val="24"/>
          <w:szCs w:val="24"/>
        </w:rPr>
        <w:t xml:space="preserve"> and protein </w:t>
      </w:r>
      <w:r w:rsidR="00DC1430" w:rsidRPr="0012729E">
        <w:rPr>
          <w:rFonts w:ascii="Times New Roman" w:hAnsi="Times New Roman"/>
          <w:sz w:val="24"/>
          <w:szCs w:val="24"/>
        </w:rPr>
        <w:t>sequences</w:t>
      </w:r>
      <w:r w:rsidRPr="0012729E">
        <w:rPr>
          <w:rFonts w:ascii="Times New Roman" w:hAnsi="Times New Roman"/>
          <w:sz w:val="24"/>
          <w:szCs w:val="24"/>
        </w:rPr>
        <w:t xml:space="preserve">. They </w:t>
      </w:r>
      <w:r w:rsidR="00DC1430" w:rsidRPr="0012729E">
        <w:rPr>
          <w:rFonts w:ascii="Times New Roman" w:hAnsi="Times New Roman"/>
          <w:sz w:val="24"/>
          <w:szCs w:val="24"/>
        </w:rPr>
        <w:t>can</w:t>
      </w:r>
      <w:r w:rsidRPr="0012729E">
        <w:rPr>
          <w:rFonts w:ascii="Times New Roman" w:hAnsi="Times New Roman"/>
          <w:sz w:val="24"/>
          <w:szCs w:val="24"/>
        </w:rPr>
        <w:t xml:space="preserve"> recogni</w:t>
      </w:r>
      <w:r w:rsidR="006C3342" w:rsidRPr="0012729E">
        <w:rPr>
          <w:rFonts w:ascii="Times New Roman" w:hAnsi="Times New Roman"/>
          <w:sz w:val="24"/>
          <w:szCs w:val="24"/>
        </w:rPr>
        <w:t>z</w:t>
      </w:r>
      <w:r w:rsidRPr="0012729E">
        <w:rPr>
          <w:rFonts w:ascii="Times New Roman" w:hAnsi="Times New Roman"/>
          <w:sz w:val="24"/>
          <w:szCs w:val="24"/>
        </w:rPr>
        <w:t>e functional patterns that can be described by more complex models, and thus detect resistance, which may not be identifiable in simpler models.</w:t>
      </w:r>
    </w:p>
    <w:p w14:paraId="15D991F7" w14:textId="77777777" w:rsidR="00CF6F85" w:rsidRPr="0012729E" w:rsidRDefault="00DC1430" w:rsidP="00CF6F85">
      <w:pPr>
        <w:rPr>
          <w:rFonts w:ascii="Times New Roman" w:hAnsi="Times New Roman"/>
          <w:sz w:val="24"/>
          <w:szCs w:val="24"/>
        </w:rPr>
      </w:pPr>
      <w:r w:rsidRPr="0012729E">
        <w:rPr>
          <w:rFonts w:ascii="Times New Roman" w:hAnsi="Times New Roman"/>
          <w:sz w:val="24"/>
          <w:szCs w:val="24"/>
        </w:rPr>
        <w:t>Graph-based</w:t>
      </w:r>
      <w:r w:rsidR="00CF6F85" w:rsidRPr="0012729E">
        <w:rPr>
          <w:rFonts w:ascii="Times New Roman" w:hAnsi="Times New Roman"/>
          <w:sz w:val="24"/>
          <w:szCs w:val="24"/>
        </w:rPr>
        <w:t xml:space="preserve"> AI models are particularly useful since biochemical pathways are inherently </w:t>
      </w:r>
      <w:r w:rsidRPr="0012729E">
        <w:rPr>
          <w:rFonts w:ascii="Times New Roman" w:hAnsi="Times New Roman"/>
          <w:sz w:val="24"/>
          <w:szCs w:val="24"/>
        </w:rPr>
        <w:t>network-based</w:t>
      </w:r>
      <w:r w:rsidR="00CF6F85" w:rsidRPr="0012729E">
        <w:rPr>
          <w:rFonts w:ascii="Times New Roman" w:hAnsi="Times New Roman"/>
          <w:sz w:val="24"/>
          <w:szCs w:val="24"/>
        </w:rPr>
        <w:t xml:space="preserve"> (as opposed to single molecular events). Biological systems can be modeled as a network of connected nodes and edges, which is known as a graph, and Graph Neural Networks can be used for this purpose. Enzymes, metabolites, and biochemical reactions can be studied as an interconnected network of structures in metabolic networks. The mapping of protein-protein interactions can facilitate the identification of functional clusters and regulatory hubs that can affect resistance adaptation. Gene regulatory networks permit </w:t>
      </w:r>
      <w:r w:rsidRPr="0012729E">
        <w:rPr>
          <w:rFonts w:ascii="Times New Roman" w:hAnsi="Times New Roman"/>
          <w:sz w:val="24"/>
          <w:szCs w:val="24"/>
        </w:rPr>
        <w:t>the exploration of</w:t>
      </w:r>
      <w:r w:rsidR="00CF6F85" w:rsidRPr="0012729E">
        <w:rPr>
          <w:rFonts w:ascii="Times New Roman" w:hAnsi="Times New Roman"/>
          <w:sz w:val="24"/>
          <w:szCs w:val="24"/>
        </w:rPr>
        <w:t xml:space="preserve"> the coordination of transcription and activation of pathways during antimicrobial stress. </w:t>
      </w:r>
      <w:r w:rsidRPr="0012729E">
        <w:rPr>
          <w:rFonts w:ascii="Times New Roman" w:hAnsi="Times New Roman"/>
          <w:sz w:val="24"/>
          <w:szCs w:val="24"/>
        </w:rPr>
        <w:t>Microbe-host</w:t>
      </w:r>
      <w:r w:rsidR="00CF6F85" w:rsidRPr="0012729E">
        <w:rPr>
          <w:rFonts w:ascii="Times New Roman" w:hAnsi="Times New Roman"/>
          <w:sz w:val="24"/>
          <w:szCs w:val="24"/>
        </w:rPr>
        <w:t xml:space="preserve"> interaction graphs also capture the pathway prediction</w:t>
      </w:r>
      <w:r w:rsidRPr="0012729E">
        <w:rPr>
          <w:rFonts w:ascii="Times New Roman" w:hAnsi="Times New Roman"/>
          <w:sz w:val="24"/>
          <w:szCs w:val="24"/>
        </w:rPr>
        <w:t>,</w:t>
      </w:r>
      <w:r w:rsidR="00CF6F85" w:rsidRPr="0012729E">
        <w:rPr>
          <w:rFonts w:ascii="Times New Roman" w:hAnsi="Times New Roman"/>
          <w:sz w:val="24"/>
          <w:szCs w:val="24"/>
        </w:rPr>
        <w:t xml:space="preserve"> including </w:t>
      </w:r>
      <w:r w:rsidRPr="0012729E">
        <w:rPr>
          <w:rFonts w:ascii="Times New Roman" w:hAnsi="Times New Roman"/>
          <w:sz w:val="24"/>
          <w:szCs w:val="24"/>
        </w:rPr>
        <w:t>host-mediated</w:t>
      </w:r>
      <w:r w:rsidR="00CF6F85" w:rsidRPr="0012729E">
        <w:rPr>
          <w:rFonts w:ascii="Times New Roman" w:hAnsi="Times New Roman"/>
          <w:sz w:val="24"/>
          <w:szCs w:val="24"/>
        </w:rPr>
        <w:t xml:space="preserve"> environmental effects, immune pressures, and microbial adaptability</w:t>
      </w:r>
      <w:r w:rsidR="007F2E1C" w:rsidRPr="0012729E">
        <w:rPr>
          <w:rFonts w:ascii="Times New Roman" w:hAnsi="Times New Roman"/>
          <w:sz w:val="24"/>
          <w:szCs w:val="24"/>
        </w:rPr>
        <w:fldChar w:fldCharType="begin"/>
      </w:r>
      <w:r w:rsidR="006C3342" w:rsidRPr="0012729E">
        <w:rPr>
          <w:rFonts w:ascii="Times New Roman" w:hAnsi="Times New Roman"/>
          <w:sz w:val="24"/>
          <w:szCs w:val="24"/>
        </w:rPr>
        <w:instrText xml:space="preserve"> ADDIN ZOTERO_ITEM CSL_CITATION {"citationID":"V0Yyas7x","properties":{"formattedCitation":"(Woodhams et al., 2020)","plainCitation":"(Woodhams et al., 2020)","noteIndex":0},"citationItems":[{"id":19471,"uris":["http://zotero.org/users/16652950/items/5KAL5NYY"],"itemData":{"id":19471,"type":"article-journal","abstract":"Host-associated microbiomes, the microorganisms occurring inside and on host surfaces, influence evolutionary, immunological, and ecological processes. Interactions between host and microbiome affect metabolism and contribute to host adaptation to changing environments. Meta-analyses of host-associated bacterial communities have the potential to elucidate global-scale patterns of microbial community structure and function. It is possible that host surface-associated (external) microbiomes respond more strongly to variations in environmental factors, whereas internal microbiomes are more tightly linked to host factors.","container-title":"Genome Biology","DOI":"10.1186/s13059-019-1908-8","ISSN":"1474-760X","issue":"1","journalAbbreviation":"Genome Biol","language":"en","page":"23","source":"Springer Link","title":"Host-associated microbiomes are predicted by immune system complexity and climate","volume":"21","author":[{"family":"Woodhams","given":"Douglas C."},{"family":"Bletz","given":"Molly C."},{"family":"Becker","given":"C. Guilherme"},{"family":"Bender","given":"Hayden A."},{"family":"Buitrago-Rosas","given":"Daniel"},{"family":"Diebboll","given":"Hannah"},{"family":"Huynh","given":"Roger"},{"family":"Kearns","given":"Patrick J."},{"family":"Kueneman","given":"Jordan"},{"family":"Kurosawa","given":"Emmi"},{"family":"LaBumbard","given":"Brandon C."},{"family":"Lyons","given":"Casandra"},{"family":"McNally","given":"Kerry"},{"family":"Schliep","given":"Klaus"},{"family":"Shankar","given":"Nachiket"},{"family":"Tokash-Peters","given":"Amanda G."},{"family":"Vences","given":"Miguel"},{"family":"Whetstone","given":"Ross"}],"issued":{"date-parts":[["2020",2,3]]}}}],"schema":"https://github.com/citation-style-language/schema/raw/master/csl-citation.json"} </w:instrText>
      </w:r>
      <w:r w:rsidR="007F2E1C" w:rsidRPr="0012729E">
        <w:rPr>
          <w:rFonts w:ascii="Times New Roman" w:hAnsi="Times New Roman"/>
          <w:sz w:val="24"/>
          <w:szCs w:val="24"/>
        </w:rPr>
        <w:fldChar w:fldCharType="separate"/>
      </w:r>
      <w:r w:rsidR="006C3342" w:rsidRPr="0012729E">
        <w:rPr>
          <w:rFonts w:ascii="Times New Roman" w:hAnsi="Times New Roman"/>
          <w:sz w:val="24"/>
          <w:szCs w:val="24"/>
        </w:rPr>
        <w:t>(Woodhams et al., 2020)</w:t>
      </w:r>
      <w:r w:rsidR="007F2E1C" w:rsidRPr="0012729E">
        <w:rPr>
          <w:rFonts w:ascii="Times New Roman" w:hAnsi="Times New Roman"/>
          <w:sz w:val="24"/>
          <w:szCs w:val="24"/>
        </w:rPr>
        <w:fldChar w:fldCharType="end"/>
      </w:r>
      <w:r w:rsidR="00CF6F85" w:rsidRPr="0012729E">
        <w:rPr>
          <w:rFonts w:ascii="Times New Roman" w:hAnsi="Times New Roman"/>
          <w:sz w:val="24"/>
          <w:szCs w:val="24"/>
        </w:rPr>
        <w:t xml:space="preserve">. </w:t>
      </w:r>
      <w:r w:rsidRPr="0012729E">
        <w:rPr>
          <w:rFonts w:ascii="Times New Roman" w:hAnsi="Times New Roman"/>
          <w:sz w:val="24"/>
          <w:szCs w:val="24"/>
        </w:rPr>
        <w:t>Graph-based</w:t>
      </w:r>
      <w:r w:rsidR="00CF6F85" w:rsidRPr="0012729E">
        <w:rPr>
          <w:rFonts w:ascii="Times New Roman" w:hAnsi="Times New Roman"/>
          <w:sz w:val="24"/>
          <w:szCs w:val="24"/>
        </w:rPr>
        <w:t xml:space="preserve"> learning enhances mechanistic interpretations and pathway inferences due to the fact that resistance can often arise from coordinated interactions and not just from one molecular event.</w:t>
      </w:r>
    </w:p>
    <w:p w14:paraId="56C15D9D"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Uncertainty and dynamic biological behavior are still well represented by probabilistic and systems biology models in resistance pathway prediction. Bayesian networks provide estimates of conditional biological relations, and </w:t>
      </w:r>
      <w:r w:rsidR="00DC1430" w:rsidRPr="0012729E">
        <w:rPr>
          <w:rFonts w:ascii="Times New Roman" w:hAnsi="Times New Roman"/>
          <w:sz w:val="24"/>
          <w:szCs w:val="24"/>
        </w:rPr>
        <w:t>constraint-based</w:t>
      </w:r>
      <w:r w:rsidRPr="0012729E">
        <w:rPr>
          <w:rFonts w:ascii="Times New Roman" w:hAnsi="Times New Roman"/>
          <w:sz w:val="24"/>
          <w:szCs w:val="24"/>
        </w:rPr>
        <w:t xml:space="preserve"> metabolic modeling provides a prediction of biochemical states that are feasible when challenged by the antimicrobial environment.</w:t>
      </w:r>
    </w:p>
    <w:p w14:paraId="5331224E" w14:textId="77777777" w:rsidR="00CF6F85" w:rsidRPr="0012729E" w:rsidRDefault="00CF6F85" w:rsidP="00CF6F85">
      <w:pPr>
        <w:rPr>
          <w:rFonts w:ascii="Times New Roman" w:hAnsi="Times New Roman"/>
          <w:sz w:val="24"/>
          <w:szCs w:val="24"/>
        </w:rPr>
      </w:pPr>
      <w:r w:rsidRPr="0012729E">
        <w:rPr>
          <w:rFonts w:ascii="Times New Roman" w:hAnsi="Times New Roman"/>
          <w:sz w:val="24"/>
          <w:szCs w:val="24"/>
        </w:rPr>
        <w:t xml:space="preserve">Hybrid artificial intelligence methods are regarded as one of the most promising ways forward in predicting resistance pathways due to their predictive power and their mechanistic depth. Enhancing the evaluation of antibiotic target interactions and possible structural changes associated with resistance through the integration of artificial intelligence with molecular </w:t>
      </w:r>
      <w:r w:rsidRPr="0012729E">
        <w:rPr>
          <w:rFonts w:ascii="Times New Roman" w:hAnsi="Times New Roman"/>
          <w:sz w:val="24"/>
          <w:szCs w:val="24"/>
        </w:rPr>
        <w:lastRenderedPageBreak/>
        <w:t>docking</w:t>
      </w:r>
      <w:r w:rsidR="00CA1A68" w:rsidRPr="0012729E">
        <w:rPr>
          <w:rFonts w:ascii="Times New Roman" w:hAnsi="Times New Roman"/>
          <w:sz w:val="24"/>
          <w:szCs w:val="24"/>
        </w:rPr>
        <w:fldChar w:fldCharType="begin"/>
      </w:r>
      <w:r w:rsidR="00CA1A68" w:rsidRPr="0012729E">
        <w:rPr>
          <w:rFonts w:ascii="Times New Roman" w:hAnsi="Times New Roman"/>
          <w:sz w:val="24"/>
          <w:szCs w:val="24"/>
        </w:rPr>
        <w:instrText xml:space="preserve"> ADDIN ZOTERO_ITEM CSL_CITATION {"citationID":"f3fjlYet","properties":{"formattedCitation":"(Wu-Mo et al., 2026)","plainCitation":"(Wu-Mo et al., 2026)","noteIndex":0},"citationItems":[{"id":19545,"uris":["http://zotero.org/users/16652950/items/2NW7UB9K"],"itemData":{"id":19545,"type":"article-journal","abstract":"Antimicrobial resistance (AMR) poses an escalating global health crisis driven by multidrug-resistant ESKAPE pathogens and emerging fungal threats suc...","container-title":"Microorganisms","DOI":"10.3390/microorganisms14030591","ISSN":"2076-2607","issue":"3","language":"en","license":"http://creativecommons.org/licenses/by/3.0/","note":"publisher: Multidisciplinary Digital Publishing Institute","source":"www.mdpi.com","title":"Artificial Intelligence-Driven Discovery and Optimization of Antimicrobial Peptides Targeting ESKAPE Pathogens and Multidrug-Resistant Fungi","URL":"https://www.mdpi.com/2076-2607/14/3/591","volume":"14","author":[{"family":"Wu-Mo","given":"Calina"},{"family":"Flores-González","given":"Ariana"},{"family":"Meléndez-Delgado","given":"Jezrael"},{"family":"Ortiz-Gómez","given":"Valerie"},{"family":"Meléndez-González","given":"Héctor"},{"family":"Maldonado-Hernández","given":"Rafael"}],"accessed":{"date-parts":[["2026",5,27]]},"issued":{"date-parts":[["2026",3,5]]}}}],"schema":"https://github.com/citation-style-language/schema/raw/master/csl-citation.json"} </w:instrText>
      </w:r>
      <w:r w:rsidR="00CA1A68" w:rsidRPr="0012729E">
        <w:rPr>
          <w:rFonts w:ascii="Times New Roman" w:hAnsi="Times New Roman"/>
          <w:sz w:val="24"/>
          <w:szCs w:val="24"/>
        </w:rPr>
        <w:fldChar w:fldCharType="separate"/>
      </w:r>
      <w:r w:rsidR="00CA1A68" w:rsidRPr="0012729E">
        <w:rPr>
          <w:rFonts w:ascii="Times New Roman" w:hAnsi="Times New Roman"/>
          <w:sz w:val="24"/>
          <w:szCs w:val="24"/>
        </w:rPr>
        <w:t>(Wu-Mo et al., 2026)</w:t>
      </w:r>
      <w:r w:rsidR="00CA1A68" w:rsidRPr="0012729E">
        <w:rPr>
          <w:rFonts w:ascii="Times New Roman" w:hAnsi="Times New Roman"/>
          <w:sz w:val="24"/>
          <w:szCs w:val="24"/>
        </w:rPr>
        <w:fldChar w:fldCharType="end"/>
      </w:r>
      <w:r w:rsidRPr="0012729E">
        <w:rPr>
          <w:rFonts w:ascii="Times New Roman" w:hAnsi="Times New Roman"/>
          <w:sz w:val="24"/>
          <w:szCs w:val="24"/>
        </w:rPr>
        <w:t xml:space="preserve">. AI and </w:t>
      </w:r>
      <w:r w:rsidR="00DC1430" w:rsidRPr="0012729E">
        <w:rPr>
          <w:rFonts w:ascii="Times New Roman" w:hAnsi="Times New Roman"/>
          <w:sz w:val="24"/>
          <w:szCs w:val="24"/>
        </w:rPr>
        <w:t>genome-scale</w:t>
      </w:r>
      <w:r w:rsidRPr="0012729E">
        <w:rPr>
          <w:rFonts w:ascii="Times New Roman" w:hAnsi="Times New Roman"/>
          <w:sz w:val="24"/>
          <w:szCs w:val="24"/>
        </w:rPr>
        <w:t xml:space="preserve"> metabolic models can be used together to enhance </w:t>
      </w:r>
      <w:r w:rsidR="00DC1430" w:rsidRPr="0012729E">
        <w:rPr>
          <w:rFonts w:ascii="Times New Roman" w:hAnsi="Times New Roman"/>
          <w:sz w:val="24"/>
          <w:szCs w:val="24"/>
        </w:rPr>
        <w:t xml:space="preserve">the </w:t>
      </w:r>
      <w:r w:rsidRPr="0012729E">
        <w:rPr>
          <w:rFonts w:ascii="Times New Roman" w:hAnsi="Times New Roman"/>
          <w:sz w:val="24"/>
          <w:szCs w:val="24"/>
        </w:rPr>
        <w:t>prediction of adaptive metabolic pathways under antimicrobial pressure. Digital twin microbiomes are still in their infancy, but they seek to simulate a microbial ecology with real microbial data for predictive analysis. Mechanistic systems biology in combination with artificial intelligence may provide the greatest promise to go beyond pattern recognition to an interpretable prediction of resistance pathways in complex microbial communities</w:t>
      </w:r>
      <w:r w:rsidR="00A020B4" w:rsidRPr="0012729E">
        <w:rPr>
          <w:rFonts w:ascii="Times New Roman" w:hAnsi="Times New Roman"/>
          <w:sz w:val="24"/>
          <w:szCs w:val="24"/>
        </w:rPr>
        <w:fldChar w:fldCharType="begin"/>
      </w:r>
      <w:r w:rsidR="00A020B4" w:rsidRPr="0012729E">
        <w:rPr>
          <w:rFonts w:ascii="Times New Roman" w:hAnsi="Times New Roman"/>
          <w:sz w:val="24"/>
          <w:szCs w:val="24"/>
        </w:rPr>
        <w:instrText xml:space="preserve"> ADDIN ZOTERO_ITEM CSL_CITATION {"citationID":"qIR1fxEg","properties":{"formattedCitation":"(Branda &amp; Scarpa, 2024)","plainCitation":"(Branda &amp; Scarpa, 2024)","noteIndex":0},"citationItems":[{"id":19382,"uris":["http://zotero.org/users/16652950/items/AAEGYGWT"],"itemData":{"id":19382,"type":"article-journal","abstract":"Antibiotic resistance poses a significant threat to global public health due to complex interactions between bacterial genetic factors and external influences such as antibiotic misuse. Artificial intelligence (AI) offers innovative strategies to address this crisis. For example, AI can analyze genomic data to detect resistance markers early on, enabling early interventions. In addition, AI-powered decision support systems can optimize antibiotic use by recommending the most effective treatments based on patient data and local resistance patterns. AI can accelerate drug discovery by predicting the efficacy of new compounds and identifying potential antibacterial agents. Although progress has been made, challenges persist, including data quality, model interpretability, and real-world implementation. A multidisciplinary approach that integrates AI with other emerging technologies, such as synthetic biology and nanomedicine, could pave the way for effective prevention and mitigation of antimicrobial resistance, preserving the efficacy of antibiotics for future generations.","container-title":"Antibiotics","DOI":"10.3390/antibiotics13060502","ISSN":"2079-6382","issue":"6","journalAbbreviation":"Antibiotics (Basel)","note":"PMID: 38927169\nPMCID: PMC11200959","page":"502","source":"PubMed Central","title":"Implications of Artificial Intelligence in Addressing Antimicrobial Resistance: Innovations, Global Challenges, and Healthcare’s Future","title-short":"Implications of Artificial Intelligence in Addressing Antimicrobial Resistance","volume":"13","author":[{"family":"Branda","given":"Francesco"},{"family":"Scarpa","given":"Fabio"}],"issued":{"date-parts":[["2024",5,29]]}}}],"schema":"https://github.com/citation-style-language/schema/raw/master/csl-citation.json"} </w:instrText>
      </w:r>
      <w:r w:rsidR="00A020B4" w:rsidRPr="0012729E">
        <w:rPr>
          <w:rFonts w:ascii="Times New Roman" w:hAnsi="Times New Roman"/>
          <w:sz w:val="24"/>
          <w:szCs w:val="24"/>
        </w:rPr>
        <w:fldChar w:fldCharType="separate"/>
      </w:r>
      <w:r w:rsidR="00A020B4" w:rsidRPr="0012729E">
        <w:rPr>
          <w:rFonts w:ascii="Times New Roman" w:hAnsi="Times New Roman"/>
          <w:sz w:val="24"/>
          <w:szCs w:val="24"/>
        </w:rPr>
        <w:t>(Branda &amp; Scarpa, 2024)</w:t>
      </w:r>
      <w:r w:rsidR="00A020B4" w:rsidRPr="0012729E">
        <w:rPr>
          <w:rFonts w:ascii="Times New Roman" w:hAnsi="Times New Roman"/>
          <w:sz w:val="24"/>
          <w:szCs w:val="24"/>
        </w:rPr>
        <w:fldChar w:fldCharType="end"/>
      </w:r>
      <w:r w:rsidRPr="0012729E">
        <w:rPr>
          <w:rFonts w:ascii="Times New Roman" w:hAnsi="Times New Roman"/>
          <w:sz w:val="24"/>
          <w:szCs w:val="24"/>
        </w:rPr>
        <w:t>.</w:t>
      </w:r>
    </w:p>
    <w:p w14:paraId="1EFDF51C" w14:textId="77777777" w:rsidR="00040F0A" w:rsidRPr="0012729E" w:rsidRDefault="00D51522" w:rsidP="00CF6F85">
      <w:pPr>
        <w:rPr>
          <w:rFonts w:ascii="Times New Roman" w:hAnsi="Times New Roman"/>
          <w:sz w:val="24"/>
          <w:szCs w:val="24"/>
        </w:rPr>
      </w:pPr>
      <w:r w:rsidRPr="0012729E">
        <w:rPr>
          <w:rFonts w:ascii="Times New Roman" w:hAnsi="Times New Roman"/>
          <w:sz w:val="24"/>
          <w:szCs w:val="24"/>
        </w:rPr>
        <w:t>Table 1 summarizes major artificial intelligence methods, associated biological data sources, and their applications in predicting biochemical pathways underlying antibiotic resistance.</w:t>
      </w:r>
    </w:p>
    <w:p w14:paraId="0FB106CC" w14:textId="77777777" w:rsidR="00040F0A" w:rsidRPr="0012729E" w:rsidRDefault="00040F0A" w:rsidP="00040F0A">
      <w:pPr>
        <w:rPr>
          <w:rFonts w:ascii="Times New Roman" w:hAnsi="Times New Roman"/>
          <w:b/>
          <w:bCs/>
          <w:sz w:val="24"/>
          <w:szCs w:val="24"/>
        </w:rPr>
      </w:pPr>
    </w:p>
    <w:p w14:paraId="155E6880" w14:textId="77777777" w:rsidR="00305621" w:rsidRPr="0012729E" w:rsidRDefault="00305621" w:rsidP="00305621">
      <w:pPr>
        <w:rPr>
          <w:rFonts w:ascii="Times New Roman" w:hAnsi="Times New Roman"/>
          <w:b/>
          <w:bCs/>
          <w:sz w:val="24"/>
          <w:szCs w:val="24"/>
        </w:rPr>
      </w:pPr>
      <w:r w:rsidRPr="0012729E">
        <w:rPr>
          <w:rFonts w:ascii="Times New Roman" w:hAnsi="Times New Roman"/>
          <w:b/>
          <w:bCs/>
          <w:sz w:val="24"/>
          <w:szCs w:val="24"/>
        </w:rPr>
        <w:t>Table 1. Artificial Intelligence Methods, Biological Data Sources, and Applications in Predicting Biochemical Pathways of Antibiotic Resistance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74"/>
        <w:gridCol w:w="2140"/>
        <w:gridCol w:w="2154"/>
        <w:gridCol w:w="3308"/>
      </w:tblGrid>
      <w:tr w:rsidR="00837E61" w:rsidRPr="0012729E" w14:paraId="4D8470CB" w14:textId="77777777">
        <w:tc>
          <w:tcPr>
            <w:tcW w:w="0" w:type="auto"/>
            <w:hideMark/>
          </w:tcPr>
          <w:p w14:paraId="61DBA64D" w14:textId="77777777" w:rsidR="00305621" w:rsidRPr="0012729E" w:rsidRDefault="00305621" w:rsidP="00305621">
            <w:pPr>
              <w:rPr>
                <w:rFonts w:ascii="Times New Roman" w:hAnsi="Times New Roman"/>
                <w:b/>
                <w:bCs/>
                <w:sz w:val="24"/>
                <w:szCs w:val="24"/>
              </w:rPr>
            </w:pPr>
            <w:r w:rsidRPr="0012729E">
              <w:rPr>
                <w:rFonts w:ascii="Times New Roman" w:hAnsi="Times New Roman"/>
                <w:b/>
                <w:bCs/>
                <w:sz w:val="24"/>
                <w:szCs w:val="24"/>
              </w:rPr>
              <w:t>Artificial Intelligence Method</w:t>
            </w:r>
          </w:p>
        </w:tc>
        <w:tc>
          <w:tcPr>
            <w:tcW w:w="0" w:type="auto"/>
            <w:hideMark/>
          </w:tcPr>
          <w:p w14:paraId="4287D3D4" w14:textId="77777777" w:rsidR="00305621" w:rsidRPr="0012729E" w:rsidRDefault="00305621" w:rsidP="00305621">
            <w:pPr>
              <w:rPr>
                <w:rFonts w:ascii="Times New Roman" w:hAnsi="Times New Roman"/>
                <w:b/>
                <w:bCs/>
                <w:sz w:val="24"/>
                <w:szCs w:val="24"/>
              </w:rPr>
            </w:pPr>
            <w:r w:rsidRPr="0012729E">
              <w:rPr>
                <w:rFonts w:ascii="Times New Roman" w:hAnsi="Times New Roman"/>
                <w:b/>
                <w:bCs/>
                <w:sz w:val="24"/>
                <w:szCs w:val="24"/>
              </w:rPr>
              <w:t>Biological Data Source(s)</w:t>
            </w:r>
          </w:p>
        </w:tc>
        <w:tc>
          <w:tcPr>
            <w:tcW w:w="0" w:type="auto"/>
            <w:hideMark/>
          </w:tcPr>
          <w:p w14:paraId="6FD64F85" w14:textId="77777777" w:rsidR="00305621" w:rsidRPr="0012729E" w:rsidRDefault="00305621" w:rsidP="00305621">
            <w:pPr>
              <w:rPr>
                <w:rFonts w:ascii="Times New Roman" w:hAnsi="Times New Roman"/>
                <w:b/>
                <w:bCs/>
                <w:sz w:val="24"/>
                <w:szCs w:val="24"/>
              </w:rPr>
            </w:pPr>
            <w:r w:rsidRPr="0012729E">
              <w:rPr>
                <w:rFonts w:ascii="Times New Roman" w:hAnsi="Times New Roman"/>
                <w:b/>
                <w:bCs/>
                <w:sz w:val="24"/>
                <w:szCs w:val="24"/>
              </w:rPr>
              <w:t>Primary Application in Antibiotic Resistance Prediction</w:t>
            </w:r>
          </w:p>
        </w:tc>
        <w:tc>
          <w:tcPr>
            <w:tcW w:w="0" w:type="auto"/>
            <w:hideMark/>
          </w:tcPr>
          <w:p w14:paraId="0BB5838D" w14:textId="77777777" w:rsidR="00305621" w:rsidRPr="0012729E" w:rsidRDefault="00305621" w:rsidP="00305621">
            <w:pPr>
              <w:rPr>
                <w:rFonts w:ascii="Times New Roman" w:hAnsi="Times New Roman"/>
                <w:b/>
                <w:bCs/>
                <w:sz w:val="24"/>
                <w:szCs w:val="24"/>
              </w:rPr>
            </w:pPr>
            <w:r w:rsidRPr="0012729E">
              <w:rPr>
                <w:rFonts w:ascii="Times New Roman" w:hAnsi="Times New Roman"/>
                <w:b/>
                <w:bCs/>
                <w:sz w:val="24"/>
                <w:szCs w:val="24"/>
              </w:rPr>
              <w:t>Example Resistance Insights</w:t>
            </w:r>
          </w:p>
        </w:tc>
      </w:tr>
      <w:tr w:rsidR="00837E61" w:rsidRPr="0012729E" w14:paraId="30254D40" w14:textId="77777777">
        <w:tc>
          <w:tcPr>
            <w:tcW w:w="0" w:type="auto"/>
            <w:hideMark/>
          </w:tcPr>
          <w:p w14:paraId="6CE7FAE7"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Random Forest</w:t>
            </w:r>
          </w:p>
        </w:tc>
        <w:tc>
          <w:tcPr>
            <w:tcW w:w="0" w:type="auto"/>
            <w:hideMark/>
          </w:tcPr>
          <w:p w14:paraId="1A9163FC"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Genomics, Transcriptomics</w:t>
            </w:r>
          </w:p>
        </w:tc>
        <w:tc>
          <w:tcPr>
            <w:tcW w:w="0" w:type="auto"/>
            <w:hideMark/>
          </w:tcPr>
          <w:p w14:paraId="56B57BF5"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Classification of resistant and susceptible strains</w:t>
            </w:r>
          </w:p>
        </w:tc>
        <w:tc>
          <w:tcPr>
            <w:tcW w:w="0" w:type="auto"/>
            <w:hideMark/>
          </w:tcPr>
          <w:p w14:paraId="0B6155CD"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Identification of resistance-associated genes and metabolic markers</w:t>
            </w:r>
            <w:r w:rsidR="006D18A8" w:rsidRPr="0012729E">
              <w:rPr>
                <w:rFonts w:ascii="Times New Roman" w:hAnsi="Times New Roman"/>
                <w:sz w:val="24"/>
                <w:szCs w:val="24"/>
              </w:rPr>
              <w:fldChar w:fldCharType="begin"/>
            </w:r>
            <w:r w:rsidR="006D18A8" w:rsidRPr="0012729E">
              <w:rPr>
                <w:rFonts w:ascii="Times New Roman" w:hAnsi="Times New Roman"/>
                <w:sz w:val="24"/>
                <w:szCs w:val="24"/>
              </w:rPr>
              <w:instrText xml:space="preserve"> ADDIN ZOTERO_ITEM CSL_CITATION {"citationID":"MbV7RHdR","properties":{"formattedCitation":"(Che et al., 2025; Lawal, Igwe, et al., 2025)","plainCitation":"(Che et al., 2025; Lawal, Igwe, et al., 2025)","noteIndex":0},"citationItems":[{"id":19473,"uris":["http://zotero.org/users/16652950/items/9GF6V7HB"],"itemData":{"id":19473,"type":"article-journal","abstract":"Sunflowers (Helianthus annuus L.), a vital oil crop, are facing a severe challenge from broomrape (Orobanche cumana), a parasitic plant that seriously jeopardizes the growth and development of sunflowers, limits global production and leads to substantial economic losses, which urges the development of resistant sunflower varieties.","container-title":"Plant Methods","DOI":"10.1186/s13007-025-01383-8","ISSN":"1746-4811","issue":"1","journalAbbreviation":"Plant Methods","language":"en","page":"62","source":"Springer Link","title":"Machine Learning-Based identification of resistance genes associated with sunflower broomrape","volume":"21","author":[{"family":"Che","given":"Yingxue"},{"family":"Zhang","given":"Congzi"},{"family":"Xing","given":"Jixiang"},{"family":"Xi","given":"Qilemuge"},{"family":"Shao","given":"Ying"},{"family":"Zhao","given":"Lingmin"},{"family":"Guo","given":"Shuchun"},{"family":"Zuo","given":"Yongchun"}],"issued":{"date-parts":[["2025",5,16]]}}},{"id":8406,"uris":["http://zotero.org/users/16652950/items/VQDXRCUB"],"itemData":{"id":8406,"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6D18A8" w:rsidRPr="0012729E">
              <w:rPr>
                <w:rFonts w:ascii="Times New Roman" w:hAnsi="Times New Roman"/>
                <w:sz w:val="24"/>
                <w:szCs w:val="24"/>
              </w:rPr>
              <w:fldChar w:fldCharType="separate"/>
            </w:r>
            <w:r w:rsidR="006D18A8" w:rsidRPr="0012729E">
              <w:rPr>
                <w:rFonts w:ascii="Times New Roman" w:hAnsi="Times New Roman"/>
                <w:sz w:val="24"/>
                <w:szCs w:val="24"/>
              </w:rPr>
              <w:t>(Che et al., 2025; Lawal, Igwe, et al., 2025)</w:t>
            </w:r>
            <w:r w:rsidR="006D18A8" w:rsidRPr="0012729E">
              <w:rPr>
                <w:rFonts w:ascii="Times New Roman" w:hAnsi="Times New Roman"/>
                <w:sz w:val="24"/>
                <w:szCs w:val="24"/>
              </w:rPr>
              <w:fldChar w:fldCharType="end"/>
            </w:r>
          </w:p>
        </w:tc>
      </w:tr>
      <w:tr w:rsidR="00837E61" w:rsidRPr="0012729E" w14:paraId="7629B198" w14:textId="77777777">
        <w:tc>
          <w:tcPr>
            <w:tcW w:w="0" w:type="auto"/>
            <w:hideMark/>
          </w:tcPr>
          <w:p w14:paraId="2211576F"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Support Vector Machine (SVM)</w:t>
            </w:r>
          </w:p>
        </w:tc>
        <w:tc>
          <w:tcPr>
            <w:tcW w:w="0" w:type="auto"/>
            <w:hideMark/>
          </w:tcPr>
          <w:p w14:paraId="0E54063C"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Genomic sequences, Proteomics</w:t>
            </w:r>
          </w:p>
        </w:tc>
        <w:tc>
          <w:tcPr>
            <w:tcW w:w="0" w:type="auto"/>
            <w:hideMark/>
          </w:tcPr>
          <w:p w14:paraId="487FD528"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Detection of resistance signatures</w:t>
            </w:r>
          </w:p>
        </w:tc>
        <w:tc>
          <w:tcPr>
            <w:tcW w:w="0" w:type="auto"/>
            <w:hideMark/>
          </w:tcPr>
          <w:p w14:paraId="6B21438F"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Prediction of multidrug-resistant phenotypes</w:t>
            </w:r>
            <w:r w:rsidR="00521391" w:rsidRPr="0012729E">
              <w:rPr>
                <w:rFonts w:ascii="Times New Roman" w:hAnsi="Times New Roman"/>
                <w:sz w:val="24"/>
                <w:szCs w:val="24"/>
              </w:rPr>
              <w:fldChar w:fldCharType="begin"/>
            </w:r>
            <w:r w:rsidR="00521391" w:rsidRPr="0012729E">
              <w:rPr>
                <w:rFonts w:ascii="Times New Roman" w:hAnsi="Times New Roman"/>
                <w:sz w:val="24"/>
                <w:szCs w:val="24"/>
              </w:rPr>
              <w:instrText xml:space="preserve"> ADDIN ZOTERO_ITEM CSL_CITATION {"citationID":"SXmBumq5","properties":{"formattedCitation":"(Ren et al., 2021)","plainCitation":"(Ren et al., 2021)","noteIndex":0},"citationItems":[{"id":19475,"uris":["http://zotero.org/users/16652950/items/PQVJFMKQ"],"itemData":{"id":19475,"type":"article-journal","abstract":"Motivation\nAntimicrobial resistance (AMR) is one of the biggest global problems threatening human and animal health. Rapid and accurate AMR diagnostic methods are thus very urgently needed. However, traditional antimicrobial susceptibility testing (AST) is time-consuming, low throughput and viable only for cultivable bacteria. Machine learning methods may pave the way for automated AMR prediction based on genomic data of the bacteria. However, comparing different machine learning methods for the prediction of AMR based on different encodings and whole-genome sequencing data without previously known knowledge remains to be done.\n\nResults\nIn this study, we evaluated logistic regression (LR), support vector machine (SVM), random forest (RF) and convolutional neural network (CNN) for the prediction of AMR for the antibiotics ciprofloxacin, cefotaxime, ceftazidime and gentamicin. We could demonstrate that these models can effectively predict AMR with label encoding, one-hot encoding and frequency matrix chaos game representation (FCGR encoding) on whole-genome sequencing data. We trained these models on a large AMR dataset and evaluated them on an independent public dataset. Generally, RFs and CNNs perform better than LR and SVM with AUCs up to 0.96. Furthermore, we were able to identify mutations that are associated with AMR for each antibiotic.\n\nAvailability and implementation\nSource code in data preparation and model training are provided at GitHub website (https://github.com/YunxiaoRen/ML-iAMR).\n\nSupplementary information\nSupplementary data are available at Bioinformatics online.","container-title":"Bioinformatics","DOI":"10.1093/bioinformatics/btab681","ISSN":"1367-4803","issue":"2","journalAbbreviation":"Bioinformatics","note":"PMID: 34613360\nPMCID: PMC8722762","page":"325-334","source":"PubMed Central","title":"Prediction of antimicrobial resistance based on whole-genome sequencing and machine learning","volume":"38","author":[{"family":"Ren","given":"Yunxiao"},{"family":"Chakraborty","given":"Trinad"},{"family":"Doijad","given":"Swapnil"},{"family":"Falgenhauer","given":"Linda"},{"family":"Falgenhauer","given":"Jane"},{"family":"Goesmann","given":"Alexander"},{"family":"Hauschild","given":"Anne-Christin"},{"family":"Schwengers","given":"Oliver"},{"family":"Heider","given":"Dominik"}],"issued":{"date-parts":[["2021",10,6]]}}}],"schema":"https://github.com/citation-style-language/schema/raw/master/csl-citation.json"} </w:instrText>
            </w:r>
            <w:r w:rsidR="00521391" w:rsidRPr="0012729E">
              <w:rPr>
                <w:rFonts w:ascii="Times New Roman" w:hAnsi="Times New Roman"/>
                <w:sz w:val="24"/>
                <w:szCs w:val="24"/>
              </w:rPr>
              <w:fldChar w:fldCharType="separate"/>
            </w:r>
            <w:r w:rsidR="00521391" w:rsidRPr="0012729E">
              <w:rPr>
                <w:rFonts w:ascii="Times New Roman" w:hAnsi="Times New Roman"/>
                <w:sz w:val="24"/>
                <w:szCs w:val="24"/>
              </w:rPr>
              <w:t>(Ren et al., 2021)</w:t>
            </w:r>
            <w:r w:rsidR="00521391" w:rsidRPr="0012729E">
              <w:rPr>
                <w:rFonts w:ascii="Times New Roman" w:hAnsi="Times New Roman"/>
                <w:sz w:val="24"/>
                <w:szCs w:val="24"/>
              </w:rPr>
              <w:fldChar w:fldCharType="end"/>
            </w:r>
          </w:p>
        </w:tc>
      </w:tr>
      <w:tr w:rsidR="00837E61" w:rsidRPr="0012729E" w14:paraId="169DE679" w14:textId="77777777">
        <w:tc>
          <w:tcPr>
            <w:tcW w:w="0" w:type="auto"/>
            <w:hideMark/>
          </w:tcPr>
          <w:p w14:paraId="388EFCBF"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Decision Trees</w:t>
            </w:r>
          </w:p>
        </w:tc>
        <w:tc>
          <w:tcPr>
            <w:tcW w:w="0" w:type="auto"/>
            <w:hideMark/>
          </w:tcPr>
          <w:p w14:paraId="6082EDD9"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Clinical and genomic datasets</w:t>
            </w:r>
          </w:p>
        </w:tc>
        <w:tc>
          <w:tcPr>
            <w:tcW w:w="0" w:type="auto"/>
            <w:hideMark/>
          </w:tcPr>
          <w:p w14:paraId="19EB7C18"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Rule-based resistance prediction</w:t>
            </w:r>
          </w:p>
        </w:tc>
        <w:tc>
          <w:tcPr>
            <w:tcW w:w="0" w:type="auto"/>
            <w:hideMark/>
          </w:tcPr>
          <w:p w14:paraId="7A046B86"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Identification of key biochemical determinants</w:t>
            </w:r>
            <w:r w:rsidR="006146F2" w:rsidRPr="0012729E">
              <w:rPr>
                <w:rFonts w:ascii="Times New Roman" w:hAnsi="Times New Roman"/>
                <w:sz w:val="24"/>
                <w:szCs w:val="24"/>
              </w:rPr>
              <w:fldChar w:fldCharType="begin"/>
            </w:r>
            <w:r w:rsidR="006146F2" w:rsidRPr="0012729E">
              <w:rPr>
                <w:rFonts w:ascii="Times New Roman" w:hAnsi="Times New Roman"/>
                <w:sz w:val="24"/>
                <w:szCs w:val="24"/>
              </w:rPr>
              <w:instrText xml:space="preserve"> ADDIN ZOTERO_ITEM CSL_CITATION {"citationID":"5MJcF8Am","properties":{"formattedCitation":"(Jia et al., n.d.)","plainCitation":"(Jia et al., n.d.)","noteIndex":0},"citationItems":[{"id":19538,"uris":["http://zotero.org/users/16652950/items/DYZZVGTX"],"itemData":{"id":19538,"type":"article-journal","abstract":"Antimicrobial resistance (AMR) represents a critical global health challenge, demanding rapid and accurate antimicrobial susceptibility testing (AST) to guide timely treatments. Traditional culture-based AST methods are slow, while existing whole-genome sequencing (WGS)-based models often suffer from overfitting, poor interpretability, and diminished performance on clinical metagenomic data. In this study, we developed an interpretable genotypic AST approach for Staphylococcus aureus using minimal genomic determinants. Analysis of 4,796 S. aureus genomes and AST data for 18 antibiotics revealed one to five key resistance genes per antibiotic, including two previously uncharacterized vancomycin resistance markers. These features enabled highly accurate rule-based predictions, achieving area under the curve (AUC) values ranging from 0.94 to 1.00. The model demonstrated an overall sensitivity of 97.43% and specificity of 99.02%, respectively, with a very major error (VME) rate of 2.57% and a major error (ME) rate of 0.98% for isolate-level testing. Furthermore, after optimization for shallow-depth metagenomic sequencing, the model achieved 81.82% to 100% accuracy in AST predictions for 59 clinical samples, bypassing the need for bacterial isolation and reducing diagnostic time by an average of 39.9 hours. By combining minimal feature selection with strong interpretability and adaptability to metagenomic data, this method offers a practical and transformative solution for rapid and reliable AST in clinical settings.","container-title":"Microbiology Spectrum","DOI":"10.1128/spectrum.00556-25","ISSN":"2165-0497","issue":"8","journalAbbreviation":"Microbiol Spectr","note":"PMID: 40642980\nPMCID: PMC12323339","page":"e00556-25","source":"PubMed Central","title":"Machine learning-selected minimal features drive high-accuracy rule-based antibiotic susceptibility predictions for Staphylococcus aureus via metagenomic sequencing","volume":"13","author":[{"family":"Jia","given":"Xuefeng"},{"family":"Xiong","given":"Yongfen"},{"family":"Xu","given":"Yanping"},{"family":"Chen","given":"Fangyuan"},{"family":"Han","given":"Peng"},{"family":"Qu","given":"Jieming"},{"family":"He","given":"Quanli"},{"family":"Rao","given":"Guanhua"}]}}],"schema":"https://github.com/citation-style-language/schema/raw/master/csl-citation.json"} </w:instrText>
            </w:r>
            <w:r w:rsidR="006146F2" w:rsidRPr="0012729E">
              <w:rPr>
                <w:rFonts w:ascii="Times New Roman" w:hAnsi="Times New Roman"/>
                <w:sz w:val="24"/>
                <w:szCs w:val="24"/>
              </w:rPr>
              <w:fldChar w:fldCharType="separate"/>
            </w:r>
            <w:r w:rsidR="006146F2" w:rsidRPr="0012729E">
              <w:rPr>
                <w:rFonts w:ascii="Times New Roman" w:hAnsi="Times New Roman"/>
                <w:sz w:val="24"/>
                <w:szCs w:val="24"/>
              </w:rPr>
              <w:t>(Jia et al., n.d.)</w:t>
            </w:r>
            <w:r w:rsidR="006146F2" w:rsidRPr="0012729E">
              <w:rPr>
                <w:rFonts w:ascii="Times New Roman" w:hAnsi="Times New Roman"/>
                <w:sz w:val="24"/>
                <w:szCs w:val="24"/>
              </w:rPr>
              <w:fldChar w:fldCharType="end"/>
            </w:r>
          </w:p>
        </w:tc>
      </w:tr>
      <w:tr w:rsidR="00837E61" w:rsidRPr="0012729E" w14:paraId="52CECCEC" w14:textId="77777777">
        <w:tc>
          <w:tcPr>
            <w:tcW w:w="0" w:type="auto"/>
            <w:hideMark/>
          </w:tcPr>
          <w:p w14:paraId="429F6DEC" w14:textId="77777777" w:rsidR="00305621" w:rsidRPr="0012729E" w:rsidRDefault="00305621" w:rsidP="00305621">
            <w:pPr>
              <w:rPr>
                <w:rFonts w:ascii="Times New Roman" w:hAnsi="Times New Roman"/>
                <w:sz w:val="24"/>
                <w:szCs w:val="24"/>
              </w:rPr>
            </w:pPr>
            <w:proofErr w:type="spellStart"/>
            <w:r w:rsidRPr="0012729E">
              <w:rPr>
                <w:rFonts w:ascii="Times New Roman" w:hAnsi="Times New Roman"/>
                <w:sz w:val="24"/>
                <w:szCs w:val="24"/>
              </w:rPr>
              <w:t>XGBoost</w:t>
            </w:r>
            <w:proofErr w:type="spellEnd"/>
          </w:p>
        </w:tc>
        <w:tc>
          <w:tcPr>
            <w:tcW w:w="0" w:type="auto"/>
            <w:hideMark/>
          </w:tcPr>
          <w:p w14:paraId="7948D8E3"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Multi-omics datasets</w:t>
            </w:r>
          </w:p>
        </w:tc>
        <w:tc>
          <w:tcPr>
            <w:tcW w:w="0" w:type="auto"/>
            <w:hideMark/>
          </w:tcPr>
          <w:p w14:paraId="7AB57AB7"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Feature ranking and predictive modeling</w:t>
            </w:r>
          </w:p>
        </w:tc>
        <w:tc>
          <w:tcPr>
            <w:tcW w:w="0" w:type="auto"/>
            <w:hideMark/>
          </w:tcPr>
          <w:p w14:paraId="1F31C13C"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Discovery of influential resistance pathways</w:t>
            </w:r>
            <w:r w:rsidR="00C22116" w:rsidRPr="0012729E">
              <w:rPr>
                <w:rFonts w:ascii="Times New Roman" w:hAnsi="Times New Roman"/>
                <w:sz w:val="24"/>
                <w:szCs w:val="24"/>
              </w:rPr>
              <w:fldChar w:fldCharType="begin"/>
            </w:r>
            <w:r w:rsidR="00C22116" w:rsidRPr="0012729E">
              <w:rPr>
                <w:rFonts w:ascii="Times New Roman" w:hAnsi="Times New Roman"/>
                <w:sz w:val="24"/>
                <w:szCs w:val="24"/>
              </w:rPr>
              <w:instrText xml:space="preserve"> ADDIN ZOTERO_ITEM CSL_CITATION {"citationID":"si9caX4u","properties":{"formattedCitation":"(Cao et al., 2025)","plainCitation":"(Cao et al., 2025)","noteIndex":0},"citationItems":[{"id":19535,"uris":["http://zotero.org/users/16652950/items/MYDYBQ5C"],"itemData":{"id":19535,"type":"article-journal","abstract":"Immune checkpoint blockade (ICB) therapies have revolutionized cancer treatment, showing success across various cancer types. However, there is variability in response rates among different cancers and individual patients. This highlights the critical need for precise patient stratification. Machine Learning and Deep Learning models are increasingly utilized to predict ICB responses by integrating multi-omics data, such as clinical, genomic, radiomic, and transcriptomic information. This review outlines the key methodologies of these predictive models. It underscores their role in enhancing response prediction. We delve into the advanced mechanisms of ICB response and discuss the biological foundations that inform these models. This demonstrates how basic research informs clinical application. We aim to offer comprehensive insights into how artificial intelligence can optimize patient stratification for ICB therapy.","container-title":"Fundamental Research","DOI":"10.1016/j.fmre.2025.08.009","ISSN":"2096-9457","issue":"1","journalAbbreviation":"Fundam Res","note":"PMID: 41647536\nPMCID: PMC12869780","page":"62-76","source":"PubMed Central","title":"Harnessing multi-omics and machine learning for predicting immune checkpoint blockade responses: Advances, challenges, and future directions","title-short":"Harnessing multi-omics and machine learning for predicting immune checkpoint blockade responses","volume":"6","author":[{"family":"Cao","given":"Shiwei"},{"family":"Liu","given":"Junwei"},{"family":"Li","given":"Yixue"}],"issued":{"date-parts":[["2025",8,31]]}}}],"schema":"https://github.com/citation-style-language/schema/raw/master/csl-citation.json"} </w:instrText>
            </w:r>
            <w:r w:rsidR="00C22116" w:rsidRPr="0012729E">
              <w:rPr>
                <w:rFonts w:ascii="Times New Roman" w:hAnsi="Times New Roman"/>
                <w:sz w:val="24"/>
                <w:szCs w:val="24"/>
              </w:rPr>
              <w:fldChar w:fldCharType="separate"/>
            </w:r>
            <w:r w:rsidR="00C22116" w:rsidRPr="0012729E">
              <w:rPr>
                <w:rFonts w:ascii="Times New Roman" w:hAnsi="Times New Roman"/>
                <w:sz w:val="24"/>
                <w:szCs w:val="24"/>
              </w:rPr>
              <w:t>(Cao et al., 2025)</w:t>
            </w:r>
            <w:r w:rsidR="00C22116" w:rsidRPr="0012729E">
              <w:rPr>
                <w:rFonts w:ascii="Times New Roman" w:hAnsi="Times New Roman"/>
                <w:sz w:val="24"/>
                <w:szCs w:val="24"/>
              </w:rPr>
              <w:fldChar w:fldCharType="end"/>
            </w:r>
          </w:p>
        </w:tc>
      </w:tr>
      <w:tr w:rsidR="00837E61" w:rsidRPr="0012729E" w14:paraId="48AF9F7E" w14:textId="77777777">
        <w:tc>
          <w:tcPr>
            <w:tcW w:w="0" w:type="auto"/>
            <w:hideMark/>
          </w:tcPr>
          <w:p w14:paraId="6298676D"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Convolutional Neural Networks (CNNs)</w:t>
            </w:r>
          </w:p>
        </w:tc>
        <w:tc>
          <w:tcPr>
            <w:tcW w:w="0" w:type="auto"/>
            <w:hideMark/>
          </w:tcPr>
          <w:p w14:paraId="0BC4BDCE"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Genomics, Proteomics</w:t>
            </w:r>
          </w:p>
        </w:tc>
        <w:tc>
          <w:tcPr>
            <w:tcW w:w="0" w:type="auto"/>
            <w:hideMark/>
          </w:tcPr>
          <w:p w14:paraId="15B24F52"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Sequence pattern recognition</w:t>
            </w:r>
          </w:p>
        </w:tc>
        <w:tc>
          <w:tcPr>
            <w:tcW w:w="0" w:type="auto"/>
            <w:hideMark/>
          </w:tcPr>
          <w:p w14:paraId="7499BB34"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Detection of conserved resistance motifs</w:t>
            </w:r>
            <w:r w:rsidR="00CC4609"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{"citationID":"FIE0Efn3","properties":{"formattedCitation":"(Yue et al., 2023)","plainCitation":"(Yue et al., 2023)","noteIndex":0},"citationItems":[{"id":19526,"uris":["http://zotero.org/users/16652950/items/THH9D6C6"],"itemData":{"id":19526,"type":"article-journal","abstract":"The data explosion driven by advancements in genomic research, such as high-throughput sequencing techniques, is constantly challenging conventional m...","container-title":"International Journal of Molecular Sciences","DOI":"10.3390/ijms242115858","ISSN":"1422-0067","issue":"21","language":"en","license":"http://creativecommons.org/licenses/by/3.0/","note":"publisher: Multidisciplinary Digital Publishing Institute","source":"www.mdpi.com","title":"Deep Learning for Genomics: From Early Neural Nets to Modern Large Language Models","title-short":"Deep Learning for Genomics","URL":"https://www.mdpi.com/1422-0067/24/21/15858","volume":"24","author":[{"family":"Yue","given":"Tianwei"},{"family":"Wang","given":"Yuanxin"},{"family":"Zhang","given":"Longxiang"},{"family":"Gu","given":"Chunming"},{"family":"Xue","given":"Haoru"},{"family":"Wang","given":"Wenping"},{"family":"Lyu","given":"Qi"},{"family":"Dun","given":"Yujie"}],"accessed":{"date-parts":[["2026",5,27]]},"issued":{"date-parts":[["2023",10,31]]}}}],"schema":"https://github.com/citation-style-language/schema/raw/master/csl-citation.json"} </w:instrText>
            </w:r>
            <w:r w:rsidR="00CC4609" w:rsidRPr="0012729E">
              <w:rPr>
                <w:rFonts w:ascii="Times New Roman" w:hAnsi="Times New Roman"/>
                <w:sz w:val="24"/>
                <w:szCs w:val="24"/>
              </w:rPr>
              <w:fldChar w:fldCharType="separate"/>
            </w:r>
            <w:r w:rsidR="00CC4609" w:rsidRPr="0012729E">
              <w:rPr>
                <w:rFonts w:ascii="Times New Roman" w:hAnsi="Times New Roman"/>
                <w:sz w:val="24"/>
                <w:szCs w:val="24"/>
              </w:rPr>
              <w:t>(Yue et al., 2023)</w:t>
            </w:r>
            <w:r w:rsidR="00CC4609" w:rsidRPr="0012729E">
              <w:rPr>
                <w:rFonts w:ascii="Times New Roman" w:hAnsi="Times New Roman"/>
                <w:sz w:val="24"/>
                <w:szCs w:val="24"/>
              </w:rPr>
              <w:fldChar w:fldCharType="end"/>
            </w:r>
          </w:p>
        </w:tc>
      </w:tr>
      <w:tr w:rsidR="00837E61" w:rsidRPr="0012729E" w14:paraId="6336156F" w14:textId="77777777">
        <w:tc>
          <w:tcPr>
            <w:tcW w:w="0" w:type="auto"/>
            <w:hideMark/>
          </w:tcPr>
          <w:p w14:paraId="14868A4E"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 xml:space="preserve">Recurrent Neural </w:t>
            </w:r>
            <w:r w:rsidRPr="0012729E">
              <w:rPr>
                <w:rFonts w:ascii="Times New Roman" w:hAnsi="Times New Roman"/>
                <w:sz w:val="24"/>
                <w:szCs w:val="24"/>
              </w:rPr>
              <w:lastRenderedPageBreak/>
              <w:t>Networks (RNNs)/LSTM</w:t>
            </w:r>
          </w:p>
        </w:tc>
        <w:tc>
          <w:tcPr>
            <w:tcW w:w="0" w:type="auto"/>
            <w:hideMark/>
          </w:tcPr>
          <w:p w14:paraId="08748A89"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lastRenderedPageBreak/>
              <w:t xml:space="preserve">Transcriptomics, </w:t>
            </w:r>
            <w:r w:rsidRPr="0012729E">
              <w:rPr>
                <w:rFonts w:ascii="Times New Roman" w:hAnsi="Times New Roman"/>
                <w:sz w:val="24"/>
                <w:szCs w:val="24"/>
              </w:rPr>
              <w:lastRenderedPageBreak/>
              <w:t>temporal microbiome data</w:t>
            </w:r>
          </w:p>
        </w:tc>
        <w:tc>
          <w:tcPr>
            <w:tcW w:w="0" w:type="auto"/>
            <w:hideMark/>
          </w:tcPr>
          <w:p w14:paraId="79F36615"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lastRenderedPageBreak/>
              <w:t xml:space="preserve">Modeling dynamic </w:t>
            </w:r>
            <w:r w:rsidRPr="0012729E">
              <w:rPr>
                <w:rFonts w:ascii="Times New Roman" w:hAnsi="Times New Roman"/>
                <w:sz w:val="24"/>
                <w:szCs w:val="24"/>
              </w:rPr>
              <w:lastRenderedPageBreak/>
              <w:t>resistance evolution</w:t>
            </w:r>
          </w:p>
        </w:tc>
        <w:tc>
          <w:tcPr>
            <w:tcW w:w="0" w:type="auto"/>
            <w:hideMark/>
          </w:tcPr>
          <w:p w14:paraId="09A03C4D"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lastRenderedPageBreak/>
              <w:t xml:space="preserve">Prediction of adaptive </w:t>
            </w:r>
            <w:r w:rsidRPr="0012729E">
              <w:rPr>
                <w:rFonts w:ascii="Times New Roman" w:hAnsi="Times New Roman"/>
                <w:sz w:val="24"/>
                <w:szCs w:val="24"/>
              </w:rPr>
              <w:lastRenderedPageBreak/>
              <w:t>responses over time</w:t>
            </w:r>
            <w:r w:rsidR="00CC4609" w:rsidRPr="0012729E">
              <w:rPr>
                <w:rFonts w:ascii="Times New Roman" w:hAnsi="Times New Roman"/>
                <w:sz w:val="24"/>
                <w:szCs w:val="24"/>
              </w:rPr>
              <w:fldChar w:fldCharType="begin"/>
            </w:r>
            <w:r w:rsidR="00CC4609" w:rsidRPr="0012729E">
              <w:rPr>
                <w:rFonts w:ascii="Times New Roman" w:hAnsi="Times New Roman"/>
                <w:sz w:val="24"/>
                <w:szCs w:val="24"/>
              </w:rPr>
              <w:instrText xml:space="preserve"> ADDIN ZOTERO_ITEM CSL_CITATION {"citationID":"enaUalRb","properties":{"formattedCitation":"(G. Sun &amp; Zhou, 2024)","plainCitation":"(G. Sun &amp; Zhou, 2024)","noteIndex":0},"citationItems":[{"id":19524,"uris":["http://zotero.org/users/16652950/items/5AELEJ47"],"itemData":{"id":19524,"type":"article-journal","abstract":"MicroGrowthPredictor is a model that leverages Long Short-Term Memory (LSTM) networks to predict dynamic changes in microbiome growth in response to v...","container-title":"Applied Microbiology","DOI":"10.3390/applmicrobiol4020064","ISSN":"2673-8007","issue":"2","language":"en","license":"http://creativecommons.org/licenses/by/3.0/","note":"publisher: Multidisciplinary Digital Publishing Institute","page":"948-958","source":"www.mdpi.com","title":"Predicting Microbiome Growth Dynamics under Environmental Perturbations","volume":"4","author":[{"family":"Sun","given":"George"},{"family":"Zhou","given":"Yi-Hui"}],"issued":{"date-parts":[["2024",6,9]]}}}],"schema":"https://github.com/citation-style-language/schema/raw/master/csl-citation.json"} </w:instrText>
            </w:r>
            <w:r w:rsidR="00CC4609" w:rsidRPr="0012729E">
              <w:rPr>
                <w:rFonts w:ascii="Times New Roman" w:hAnsi="Times New Roman"/>
                <w:sz w:val="24"/>
                <w:szCs w:val="24"/>
              </w:rPr>
              <w:fldChar w:fldCharType="separate"/>
            </w:r>
            <w:r w:rsidR="00CC4609" w:rsidRPr="0012729E">
              <w:rPr>
                <w:rFonts w:ascii="Times New Roman" w:hAnsi="Times New Roman"/>
                <w:sz w:val="24"/>
                <w:szCs w:val="24"/>
              </w:rPr>
              <w:t>(G. Sun &amp; Zhou, 2024)</w:t>
            </w:r>
            <w:r w:rsidR="00CC4609" w:rsidRPr="0012729E">
              <w:rPr>
                <w:rFonts w:ascii="Times New Roman" w:hAnsi="Times New Roman"/>
                <w:sz w:val="24"/>
                <w:szCs w:val="24"/>
              </w:rPr>
              <w:fldChar w:fldCharType="end"/>
            </w:r>
          </w:p>
        </w:tc>
      </w:tr>
      <w:tr w:rsidR="00837E61" w:rsidRPr="0012729E" w14:paraId="4466F980" w14:textId="77777777">
        <w:tc>
          <w:tcPr>
            <w:tcW w:w="0" w:type="auto"/>
            <w:hideMark/>
          </w:tcPr>
          <w:p w14:paraId="2CE13DC2"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lastRenderedPageBreak/>
              <w:t>Autoencoders</w:t>
            </w:r>
          </w:p>
        </w:tc>
        <w:tc>
          <w:tcPr>
            <w:tcW w:w="0" w:type="auto"/>
            <w:hideMark/>
          </w:tcPr>
          <w:p w14:paraId="580B0DAC"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Multi-omics datasets</w:t>
            </w:r>
          </w:p>
        </w:tc>
        <w:tc>
          <w:tcPr>
            <w:tcW w:w="0" w:type="auto"/>
            <w:hideMark/>
          </w:tcPr>
          <w:p w14:paraId="3B18634A"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Dimensionality reduction and feature extraction</w:t>
            </w:r>
          </w:p>
        </w:tc>
        <w:tc>
          <w:tcPr>
            <w:tcW w:w="0" w:type="auto"/>
            <w:hideMark/>
          </w:tcPr>
          <w:p w14:paraId="31A5E5A0"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Identification of hidden resistance-associated patterns</w:t>
            </w:r>
            <w:r w:rsidR="00A8548A" w:rsidRPr="0012729E">
              <w:rPr>
                <w:rFonts w:ascii="Times New Roman" w:hAnsi="Times New Roman"/>
                <w:sz w:val="24"/>
                <w:szCs w:val="24"/>
              </w:rPr>
              <w:fldChar w:fldCharType="begin"/>
            </w:r>
            <w:r w:rsidR="00A8548A" w:rsidRPr="0012729E">
              <w:rPr>
                <w:rFonts w:ascii="Times New Roman" w:hAnsi="Times New Roman"/>
                <w:sz w:val="24"/>
                <w:szCs w:val="24"/>
              </w:rPr>
              <w:instrText xml:space="preserve"> ADDIN ZOTERO_ITEM CSL_CITATION {"citationID":"GRipvani","properties":{"formattedCitation":"(C. Wang &amp; O\\uc0\\u8217{}Connell, 2025)","plainCitation":"(C. Wang &amp; O’Connell, 2025)","noteIndex":0},"citationItems":[{"id":19521,"uris":["http://zotero.org/users/16652950/items/VMPRGK7P"],"itemData":{"id":19521,"type":"article-journal","abstract":"Background\nIn cancer research, different levels of high-dimensional data are often collected for the same subjects. Effective integration of these data by considering the shared and specific information from each data source can help us better understand different types of cancer.\n\nResults\nIn this study we propose a novel autoencoder (AE) structure with explicitly defined orthogonal loss between the shared and specific embeddings to integrate different data sources. We compare our model with previously proposed AE structures based on simulated data and real cancer data from The Cancer Genome Atlas. Using simulations with different proportions of differentially expressed genes, we compare the performance of AE methods for subsequent classification tasks. We also compare the model performance with a commonly used dimension reduction method, joint and individual variance explained (JIVE). In terms of reconstruction loss, our proposed AE models with orthogonal constraints have a slightly better reconstruction loss. All AE models achieve higher classification accuracy than the original features, demonstrating the usefulness of the embeddings extracted by the model.\n\nConclusions\nWe show that the proposed models have consistently high classification accuracy on both training and testing sets. In comparison, the recently proposed MOCSS model that imposes an orthogonality penalty in the post-processing step has lower classification accuracy that is on par with JIVE.","container-title":"BMC Bioinformatics","DOI":"10.1186/s12859-025-06245-7","ISSN":"1471-2105","journalAbbreviation":"BMC Bioinformatics","note":"PMID: 40830833\nPMCID: PMC12362917","page":"214","source":"PubMed Central","title":"Autoencoders with shared and specific embeddings for multi-omics data integration","volume":"26","author":[{"family":"Wang","given":"Chao"},{"family":"O’Connell","given":"Michael J."}],"issued":{"date-parts":[["2025",8,19]]}}}],"schema":"https://github.com/citation-style-language/schema/raw/master/csl-citation.json"} </w:instrText>
            </w:r>
            <w:r w:rsidR="00A8548A" w:rsidRPr="0012729E">
              <w:rPr>
                <w:rFonts w:ascii="Times New Roman" w:hAnsi="Times New Roman"/>
                <w:sz w:val="24"/>
                <w:szCs w:val="24"/>
              </w:rPr>
              <w:fldChar w:fldCharType="separate"/>
            </w:r>
            <w:r w:rsidR="00A8548A" w:rsidRPr="0012729E">
              <w:rPr>
                <w:rFonts w:ascii="Times New Roman" w:hAnsi="Times New Roman"/>
                <w:sz w:val="24"/>
                <w:szCs w:val="24"/>
              </w:rPr>
              <w:t>(C. Wang &amp; O’Connell, 2025)</w:t>
            </w:r>
            <w:r w:rsidR="00A8548A" w:rsidRPr="0012729E">
              <w:rPr>
                <w:rFonts w:ascii="Times New Roman" w:hAnsi="Times New Roman"/>
                <w:sz w:val="24"/>
                <w:szCs w:val="24"/>
              </w:rPr>
              <w:fldChar w:fldCharType="end"/>
            </w:r>
          </w:p>
        </w:tc>
      </w:tr>
      <w:tr w:rsidR="00837E61" w:rsidRPr="0012729E" w14:paraId="2A24F4FD" w14:textId="77777777">
        <w:tc>
          <w:tcPr>
            <w:tcW w:w="0" w:type="auto"/>
            <w:hideMark/>
          </w:tcPr>
          <w:p w14:paraId="3D7E7D31"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Transformer Models</w:t>
            </w:r>
          </w:p>
        </w:tc>
        <w:tc>
          <w:tcPr>
            <w:tcW w:w="0" w:type="auto"/>
            <w:hideMark/>
          </w:tcPr>
          <w:p w14:paraId="38958489"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DNA, RNA, and protein sequences</w:t>
            </w:r>
          </w:p>
        </w:tc>
        <w:tc>
          <w:tcPr>
            <w:tcW w:w="0" w:type="auto"/>
            <w:hideMark/>
          </w:tcPr>
          <w:p w14:paraId="5B0A5D66"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Contextual biological sequence analysis</w:t>
            </w:r>
          </w:p>
        </w:tc>
        <w:tc>
          <w:tcPr>
            <w:tcW w:w="0" w:type="auto"/>
            <w:hideMark/>
          </w:tcPr>
          <w:p w14:paraId="37AE05E5"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Prediction of functional resistance interactions</w:t>
            </w:r>
            <w:r w:rsidR="0093781A" w:rsidRPr="0012729E">
              <w:rPr>
                <w:rFonts w:ascii="Times New Roman" w:hAnsi="Times New Roman"/>
                <w:sz w:val="24"/>
                <w:szCs w:val="24"/>
              </w:rPr>
              <w:fldChar w:fldCharType="begin"/>
            </w:r>
            <w:r w:rsidR="0093781A" w:rsidRPr="0012729E">
              <w:rPr>
                <w:rFonts w:ascii="Times New Roman" w:hAnsi="Times New Roman"/>
                <w:sz w:val="24"/>
                <w:szCs w:val="24"/>
              </w:rPr>
              <w:instrText xml:space="preserve"> ADDIN ZOTERO_ITEM CSL_CITATION {"citationID":"JL9QgICl","properties":{"formattedCitation":"(Ghosh et al., 2025)","plainCitation":"(Ghosh et al., 2025)","noteIndex":0},"citationItems":[{"id":19519,"uris":["http://zotero.org/users/16652950/items/EI5B4XRG"],"itemData":{"id":19519,"type":"article-journal","abstract":"Transformer-based language models are making an impact in the field of Natural Language Processing (NLP). As relevant parallels can be drawn between biological sequences and natural languages, the models used in NLP can be easily extended and adapted for applications in bioinformatics. This paper introduces the recent developments of Transformer-based models in the context of nucleotide sequences. We have reviewed and analysed a large number of application-based papers on this subject, giving evidence of the main characterizing features and to the different approaches that may be adopted to customize such powerful computational machines. Besides discussing what Transformers do and may do for the analysis of biological sequences, we also provide an overview of what Transformers are and why they work. We believe this review will help the scientific community in understanding the application of Transformer-based language models to nucleotide sequences, and that will motivate the readers to build on idea of Transformers as well as the discussed methodologies to tackle different problems in the field of bioinformatics.","container-title":"Computational and Structural Biotechnology Journal","DOI":"10.1016/j.csbj.2025.03.024","ISSN":"2001-0370","journalAbbreviation":"Computational and Structural Biotechnology Journal","page":"1244-1254","source":"ScienceDirect","title":"A review on the applications of Transformer-based language models for nucleotide sequence analysis","volume":"27","author":[{"family":"Ghosh","given":"Nimisha"},{"family":"Santoni","given":"Daniele"},{"family":"Saha","given":"Indrajit"},{"family":"Felici","given":"Giovanni"}],"issued":{"date-parts":[["2025",1,1]]}}}],"schema":"https://github.com/citation-style-language/schema/raw/master/csl-citation.json"} </w:instrText>
            </w:r>
            <w:r w:rsidR="0093781A" w:rsidRPr="0012729E">
              <w:rPr>
                <w:rFonts w:ascii="Times New Roman" w:hAnsi="Times New Roman"/>
                <w:sz w:val="24"/>
                <w:szCs w:val="24"/>
              </w:rPr>
              <w:fldChar w:fldCharType="separate"/>
            </w:r>
            <w:r w:rsidR="0093781A" w:rsidRPr="0012729E">
              <w:rPr>
                <w:rFonts w:ascii="Times New Roman" w:hAnsi="Times New Roman"/>
                <w:sz w:val="24"/>
                <w:szCs w:val="24"/>
              </w:rPr>
              <w:t>(Ghosh et al., 2025)</w:t>
            </w:r>
            <w:r w:rsidR="0093781A" w:rsidRPr="0012729E">
              <w:rPr>
                <w:rFonts w:ascii="Times New Roman" w:hAnsi="Times New Roman"/>
                <w:sz w:val="24"/>
                <w:szCs w:val="24"/>
              </w:rPr>
              <w:fldChar w:fldCharType="end"/>
            </w:r>
          </w:p>
        </w:tc>
      </w:tr>
      <w:tr w:rsidR="00837E61" w:rsidRPr="0012729E" w14:paraId="4A985705" w14:textId="77777777">
        <w:tc>
          <w:tcPr>
            <w:tcW w:w="0" w:type="auto"/>
            <w:hideMark/>
          </w:tcPr>
          <w:p w14:paraId="66D75CBC"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Graph Neural Networks (GNNs)</w:t>
            </w:r>
          </w:p>
        </w:tc>
        <w:tc>
          <w:tcPr>
            <w:tcW w:w="0" w:type="auto"/>
            <w:hideMark/>
          </w:tcPr>
          <w:p w14:paraId="6F0D756E"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Metabolic and protein interaction networks</w:t>
            </w:r>
          </w:p>
        </w:tc>
        <w:tc>
          <w:tcPr>
            <w:tcW w:w="0" w:type="auto"/>
            <w:hideMark/>
          </w:tcPr>
          <w:p w14:paraId="725EF4B2"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Network-based pathway inference</w:t>
            </w:r>
          </w:p>
        </w:tc>
        <w:tc>
          <w:tcPr>
            <w:tcW w:w="0" w:type="auto"/>
            <w:hideMark/>
          </w:tcPr>
          <w:p w14:paraId="3FDE34B2"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Identification of interconnected resistance pathways</w:t>
            </w:r>
            <w:r w:rsidR="0093781A" w:rsidRPr="0012729E">
              <w:rPr>
                <w:rFonts w:ascii="Times New Roman" w:hAnsi="Times New Roman"/>
                <w:sz w:val="24"/>
                <w:szCs w:val="24"/>
              </w:rPr>
              <w:fldChar w:fldCharType="begin"/>
            </w:r>
            <w:r w:rsidR="0093781A" w:rsidRPr="0012729E">
              <w:rPr>
                <w:rFonts w:ascii="Times New Roman" w:hAnsi="Times New Roman"/>
                <w:sz w:val="24"/>
                <w:szCs w:val="24"/>
              </w:rPr>
              <w:instrText xml:space="preserve"> ADDIN ZOTERO_ITEM CSL_CITATION {"citationID":"Y6ZfdDRS","properties":{"formattedCitation":"(Y. Wang et al., 2024)","plainCitation":"(Y. Wang et al., 2024)","noteIndex":0},"citationItems":[{"id":19517,"uris":["http://zotero.org/users/16652950/items/4U8YBAKL"],"itemData":{"id":19517,"type":"article-journal","abstract":"Biological network similarity search plays a crucial role in the analysis of biological networks for human disease research and drug discovery. A biol...","container-title":"Applied Sciences","DOI":"10.3390/app14219844","ISSN":"2076-3417","issue":"21","language":"en","license":"http://creativecommons.org/licenses/by/3.0/","note":"publisher: Multidisciplinary Digital Publishing Institute","source":"www.mdpi.com","title":"GBNSS: A Method Based on Graph Neural Networks (GNNs) for Global Biological Network Similarity Search","title-short":"GBNSS","URL":"https://www.mdpi.com/2076-3417/14/21/9844","volume":"14","author":[{"family":"Wang","given":"Yi"},{"family":"Zhan","given":"Feng"},{"family":"Huang","given":"Cuiyu"},{"family":"Huang","given":"Yiran"}],"accessed":{"date-parts":[["2026",5,27]]},"issued":{"date-parts":[["2024",10,27]]}}}],"schema":"https://github.com/citation-style-language/schema/raw/master/csl-citation.json"} </w:instrText>
            </w:r>
            <w:r w:rsidR="0093781A" w:rsidRPr="0012729E">
              <w:rPr>
                <w:rFonts w:ascii="Times New Roman" w:hAnsi="Times New Roman"/>
                <w:sz w:val="24"/>
                <w:szCs w:val="24"/>
              </w:rPr>
              <w:fldChar w:fldCharType="separate"/>
            </w:r>
            <w:r w:rsidR="0093781A" w:rsidRPr="0012729E">
              <w:rPr>
                <w:rFonts w:ascii="Times New Roman" w:hAnsi="Times New Roman"/>
                <w:sz w:val="24"/>
                <w:szCs w:val="24"/>
              </w:rPr>
              <w:t>(Y. Wang et al., 2024)</w:t>
            </w:r>
            <w:r w:rsidR="0093781A" w:rsidRPr="0012729E">
              <w:rPr>
                <w:rFonts w:ascii="Times New Roman" w:hAnsi="Times New Roman"/>
                <w:sz w:val="24"/>
                <w:szCs w:val="24"/>
              </w:rPr>
              <w:fldChar w:fldCharType="end"/>
            </w:r>
          </w:p>
        </w:tc>
      </w:tr>
      <w:tr w:rsidR="00837E61" w:rsidRPr="0012729E" w14:paraId="777F56C1" w14:textId="77777777">
        <w:tc>
          <w:tcPr>
            <w:tcW w:w="0" w:type="auto"/>
            <w:hideMark/>
          </w:tcPr>
          <w:p w14:paraId="514F4A29"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Bayesian Networks</w:t>
            </w:r>
          </w:p>
        </w:tc>
        <w:tc>
          <w:tcPr>
            <w:tcW w:w="0" w:type="auto"/>
            <w:hideMark/>
          </w:tcPr>
          <w:p w14:paraId="69DCDD96"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Multi-omics and clinical datasets</w:t>
            </w:r>
          </w:p>
        </w:tc>
        <w:tc>
          <w:tcPr>
            <w:tcW w:w="0" w:type="auto"/>
            <w:hideMark/>
          </w:tcPr>
          <w:p w14:paraId="592DA366"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Probabilistic biological modeling</w:t>
            </w:r>
          </w:p>
        </w:tc>
        <w:tc>
          <w:tcPr>
            <w:tcW w:w="0" w:type="auto"/>
            <w:hideMark/>
          </w:tcPr>
          <w:p w14:paraId="46E26D13"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Estimation of conditional resistance relationships</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{"citationID":"A1v6gGen","properties":{"formattedCitation":"(Howey et al., 2025)","plainCitation":"(Howey et al., 2025)","noteIndex":0},"citationItems":[{"id":19509,"uris":["http://zotero.org/users/16652950/items/HZZPP7GA"],"itemData":{"id":19509,"type":"article-journal","abstract":"Here we report the results from exploratory analysis using a Bayesian network approach of data originally derived from a large North European study of type 2 diabetes (T2D) conducted by the IMI DIRECT consortium. 3029 individuals (795 with T2D and 2234 without) within 7 different study centres provided data comprising genotypes, proteins, metabolites, gene expression measurements and many different clinical variables. The main aim of the current study was to demonstrate the utility of our previously developed method to fit Bayesian networks by performing exploratory analysis of this dataset to identify possible causal relationships between these variables. The data was analysed using the BayesNetty software package, which can handle mixed discrete/continuous data with missing values. The original dataset consisted of over 16,000 variables, which were filtered down to 260 variables for analysis. Even with this reduction, no individual had complete data for all variables, making it impossible to analyse using standard Bayesian network methodology. However, using the recently proposed novel imputation method implemented in BayesNetty we computed a large average Bayesian network from which we could infer possible associations and causal relationships between variables of interest. Our results confirmed many previous findings in connection with T2D, including possible mediating proteins and genes, some of which have not been widely reported. We also confirmed potential causal relationships with liver fat that were identified in an earlier study that used the IMI DIRECT dataset but was limited to a smaller subset of individuals and variables (namely individuals with complete data at pre-defined variables of interest). In addition to providing valuable confirmation, our analyses thus demonstrate a proof-of-principle of the utility of the method implemented within BayesNetty. The full final average Bayesian network generated from our analysis is freely available and can be easily interrogated further to address specific focussed scientific questions of interest., Bayesian network analysis can be used to identify putative causal relationships between measured variables, including clinical measurements and measurements of genetic and genomic factors. Here we report the results from Bayesian network analysis of data originally derived from a large North European study of type 2 diabetes (T2D). Data were collected for 3029 individuals within 7 different study centres, with the data comprising genotypes, proteins, metabolites, gene expression measurements and many different clinical variables. The original dataset consisted of over 16,000 variables, which were then filtered down to 260 variables for analysis. Even with this reduction, not one individual had complete data for all variables. Using standard methodology it would not be possible to a fit a Bayesian network as it requires complete data. However, using the novel imputation method implemented in the BayesNetty software package, we were able to compute a large average Bayesian network from which we could infer possible associations and causal relationships between variables of interest.","container-title":"PLOS Genetics","DOI":"10.1371/journal.pgen.1011776","ISSN":"1553-7390","issue":"7","journalAbbreviation":"PLoS Genet","note":"PMID: 40663565\nPMCID: PMC12279144","page":"e1011776","source":"PubMed Central","title":"Bayesian network imputation methods applied to multi-omics data identify putative causal relationships in a type 2 diabetes dataset containing incomplete data: An IMI DIRECT Study","title-short":"Bayesian network imputation methods applied to multi-omics data identify putative causal relationships in a type 2 diabetes dataset containing incomplete data","volume":"21","author":[{"family":"Howey","given":"Richard"},{"family":"Adam","given":"Jonathan"},{"family":"Adamski","given":"Jerzy"},{"family":"Atabaki","given":"Natalie N."},{"family":"Brunak","given":"Søren"},{"family":"Chmura","given":"Piotr Jaroslaw"},{"family":"De Masi","given":"Federico"},{"family":"Dermitzakis","given":"Emmanouil T."},{"family":"Fernandez-Tajes","given":"Juan J."},{"family":"Forgie","given":"Ian M."},{"family":"Franks","given":"Paul W."},{"family":"Giordano","given":"Giuseppe N."},{"family":"Haid","given":"Mark"},{"family":"Hansen","given":"Torben"},{"family":"Hansen","given":"Tue H."},{"family":"Harms","given":"Peter P."},{"family":"Hattersley","given":"Andrew T."},{"family":"Hong","given":"Mun-gwan"},{"family":"Jacobsen","given":"Ulrik Plesner"},{"family":"Jones","given":"Angus G."},{"family":"Koivula","given":"Robert W."},{"family":"Kokkola","given":"Tarja"},{"family":"Mahajan","given":"Anubha"},{"family":"Mari","given":"Andrea"},{"family":"McCarthy","given":"Mark I."},{"family":"McDonald","given":"Timothy J."},{"family":"Musholt","given":"Petra B."},{"family":"Pavo","given":"Imre"},{"family":"Pearson","given":"Ewan R."},{"family":"Pedersen","given":"Oluf"},{"family":"Ruetten","given":"Hartmut"},{"family":"Rutters","given":"Femke"},{"family":"Schwenk","given":"Jochen M."},{"family":"Sharma","given":"Sapna"},{"family":"Hart","given":"Leen M.","non-dropping-particle":"’t"},{"family":"Vestergaard","given":"Henrik"},{"family":"Walker","given":"Mark"},{"family":"Viñuela","given":"Ana"},{"family":"Cordell","given":"Heather J."}],"issued":{"date-parts":[["2025",7,15]]}}}],"schema":"https://github.com/citation-style-language/schema/raw/master/csl-citation.json"}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(Howey et al., 2025)</w:t>
            </w:r>
            <w:r w:rsidR="00D97373" w:rsidRPr="0012729E">
              <w:rPr>
                <w:rFonts w:ascii="Times New Roman" w:hAnsi="Times New Roman"/>
                <w:sz w:val="24"/>
                <w:szCs w:val="24"/>
              </w:rPr>
              <w:fldChar w:fldCharType="end"/>
            </w:r>
          </w:p>
        </w:tc>
      </w:tr>
      <w:tr w:rsidR="00837E61" w:rsidRPr="0012729E" w14:paraId="3743C13F" w14:textId="77777777">
        <w:tc>
          <w:tcPr>
            <w:tcW w:w="0" w:type="auto"/>
            <w:hideMark/>
          </w:tcPr>
          <w:p w14:paraId="6B3016AF"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Hidden Markov Models (HMMs)</w:t>
            </w:r>
          </w:p>
        </w:tc>
        <w:tc>
          <w:tcPr>
            <w:tcW w:w="0" w:type="auto"/>
            <w:hideMark/>
          </w:tcPr>
          <w:p w14:paraId="2EE3190F"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Sequential biological data</w:t>
            </w:r>
          </w:p>
        </w:tc>
        <w:tc>
          <w:tcPr>
            <w:tcW w:w="0" w:type="auto"/>
            <w:hideMark/>
          </w:tcPr>
          <w:p w14:paraId="59451410"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Modeling biological state transitions</w:t>
            </w:r>
          </w:p>
        </w:tc>
        <w:tc>
          <w:tcPr>
            <w:tcW w:w="0" w:type="auto"/>
            <w:hideMark/>
          </w:tcPr>
          <w:p w14:paraId="4A1F8BD2"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Prediction of adaptation and persistence states</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{"citationID":"UdfsmYho","properties":{"formattedCitation":"(Shuto et al., 2025)","plainCitation":"(Shuto et al., 2025)","noteIndex":0},"citationItems":[{"id":19506,"uris":["http://zotero.org/users/16652950/items/6MNFN43N"],"itemData":{"id":19506,"type":"article-journal","abstract":"Understanding how mice process and respond to visual depth cues is crucial for studying visual perception, yet traditional behavioral analyses often miss key aspects of this process, such as the dynamic transitions between behavioral states and the integration of multiple spatial cues that shape depth-related behaviors. Here we demonstrate that mouse responses to visual depth cues are more sophisticated than previously recognized, involving both direct avoidance behaviors and complex modulations of exploratory patterns. By combining a modified circular apparatus with Hidden Markov Model analysis, we reveal that mice transition between three distinct behavioral states—resting, exploring, and navigating—in response to visual depth cues. Using this framework, we uncover several fundamental aspects of mouse visual processing: depth perception has an optimal range of spatial frequencies, with strongest responses to patterns between 6–8 cm; visual processing integrates multiple spatial cues rather than triggering simple avoidance; and initial strong cliff-avoidance responses evolve into more nuanced behavioral adaptations over time. Comparisons between wild-type C57BL/6J mice (Mus musculus), retinal degeneration models (rd1-2J, C57BL/6J background, Mus musculus), and control conditions confirm that these behavioral patterns specifically reflect visual processing rather than general exploratory behavior. These findings reveal that mouse depth perception involves sophisticated neural processing that modulates overall exploratory behavior rather than simply triggering avoidance responses. Our approach establishes a new framework for analyzing complex behavioral sequences in neuroscience research, demonstrating how refined behavioral analysis can reveal previously undetectable aspects of sensory processing.","container-title":"PLOS One","DOI":"10.1371/journal.pone.0329367","ISSN":"1932-6203","issue":"8","journalAbbreviation":"PLoS One","note":"PMID: 40857282\nPMCID: PMC12380309","page":"e0329367","source":"PubMed Central","title":"Hidden Markov models reveal behavioral state dynamics in depth-related locomotion in mice","volume":"20","author":[{"family":"Shuto","given":"Hironobu"},{"family":"Maeda","given":"Toshiki"},{"family":"Koike","given":"Chieko"},{"family":"Takahashi","given":"Masayo"},{"family":"Mandai","given":"Michiko"},{"family":"Matsuyama","given":"Take"}],"issued":{"date-parts":[["2025",8,26]]}}}],"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(Shuto et al., 2025)</w:t>
            </w:r>
            <w:r w:rsidR="00D97373" w:rsidRPr="0012729E">
              <w:rPr>
                <w:rFonts w:ascii="Times New Roman" w:hAnsi="Times New Roman"/>
                <w:sz w:val="24"/>
                <w:szCs w:val="24"/>
              </w:rPr>
              <w:fldChar w:fldCharType="end"/>
            </w:r>
          </w:p>
        </w:tc>
      </w:tr>
      <w:tr w:rsidR="00837E61" w:rsidRPr="0012729E" w14:paraId="65776463" w14:textId="77777777">
        <w:tc>
          <w:tcPr>
            <w:tcW w:w="0" w:type="auto"/>
            <w:hideMark/>
          </w:tcPr>
          <w:p w14:paraId="3D594C14"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Hybrid AI Systems</w:t>
            </w:r>
          </w:p>
        </w:tc>
        <w:tc>
          <w:tcPr>
            <w:tcW w:w="0" w:type="auto"/>
            <w:hideMark/>
          </w:tcPr>
          <w:p w14:paraId="25C86BF7"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Integrated omics and systems biology datasets</w:t>
            </w:r>
          </w:p>
        </w:tc>
        <w:tc>
          <w:tcPr>
            <w:tcW w:w="0" w:type="auto"/>
            <w:hideMark/>
          </w:tcPr>
          <w:p w14:paraId="14E2AE43"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Mechanistic and predictive resistance modeling</w:t>
            </w:r>
          </w:p>
        </w:tc>
        <w:tc>
          <w:tcPr>
            <w:tcW w:w="0" w:type="auto"/>
            <w:hideMark/>
          </w:tcPr>
          <w:p w14:paraId="5743F769" w14:textId="77777777" w:rsidR="00305621" w:rsidRPr="0012729E" w:rsidRDefault="00305621" w:rsidP="00305621">
            <w:pPr>
              <w:rPr>
                <w:rFonts w:ascii="Times New Roman" w:hAnsi="Times New Roman"/>
                <w:sz w:val="24"/>
                <w:szCs w:val="24"/>
              </w:rPr>
            </w:pPr>
            <w:r w:rsidRPr="0012729E">
              <w:rPr>
                <w:rFonts w:ascii="Times New Roman" w:hAnsi="Times New Roman"/>
                <w:sz w:val="24"/>
                <w:szCs w:val="24"/>
              </w:rPr>
              <w:t>Simulation of microbial ecosystem behavior and resistance evolution</w:t>
            </w:r>
            <w:r w:rsidR="00D97373" w:rsidRPr="0012729E">
              <w:rPr>
                <w:rFonts w:ascii="Times New Roman" w:hAnsi="Times New Roman"/>
                <w:sz w:val="24"/>
                <w:szCs w:val="24"/>
              </w:rPr>
              <w:fldChar w:fldCharType="begin"/>
            </w:r>
            <w:r w:rsidR="00D97373" w:rsidRPr="0012729E">
              <w:rPr>
                <w:rFonts w:ascii="Times New Roman" w:hAnsi="Times New Roman"/>
                <w:sz w:val="24"/>
                <w:szCs w:val="24"/>
              </w:rPr>
              <w:instrText xml:space="preserve"> ADDIN ZOTERO_ITEM CSL_CITATION {"citationID":"oNIj5Wba","properties":{"formattedCitation":"(Loganathan, 2026)","plainCitation":"(Loganathan, 2026)","noteIndex":0},"citationItems":[{"id":19503,"uris":["http://zotero.org/users/16652950/items/L9C5LGJV"],"itemData":{"id":19503,"type":"article-journal","abstract":"This review explores recent trends in microbial and enzyme-based bioremediation and emphasizes the integration of artificial intelligence (AI) and machine learning (ML) to enhance contaminant removal in water and wastewater ecosystems. Diverse microorganisms, including bacteria, fungi, microalgae, and engineered consortia, effectively degrade organic compounds, heavy metals, dyes, hydrocarbons, and polycyclic aromatic hydrocarbons (PAHs). AI/ML approaches have been applied for predictive modelling, real-time monitoring, and process optimization, improving operational efficiency, treatment stability, and cost-effectiveness. Non-combinable strategies such as enzyme immobilization, engineered bioreactors, and co-cultivation, alongside chemical pretreatments and phytoremediation, further enhance degradation efficiency. A total of 180 studies from 2018 to 2025 were reviewed, showing significant improvements in water quality parameters (BOD, COD, TDS, nitrates, phosphates, Mg, Ca, Zn) and high removal efficiencies for hydrocarbons, dyes, and pharmaceuticals. The literature underscores the potential of AI/ML-enabled, eco-friendly, and cost-efficient bioremediation solutions, while highlighting the need for large-scale validation, synergistic method optimization, and field-level implementation to tackle emerging water contaminants effectively.","container-title":"Chemical Engineering Journal Advances","DOI":"10.1016/j.ceja.2026.101052","ISSN":"2666-8211","journalAbbreviation":"Chemical Engineering Journal Advances","page":"101052","source":"ScienceDirect","title":"Harnessing artificial intelligence and machine learning for next-generation bioremediation","volume":"25","author":[{"family":"Loganathan","given":"Praburaman"}],"issued":{"date-parts":[["2026",3,1]]}}}],"schema":"https://github.com/citation-style-language/schema/raw/master/csl-citation.json"} </w:instrText>
            </w:r>
            <w:r w:rsidR="00D97373" w:rsidRPr="0012729E">
              <w:rPr>
                <w:rFonts w:ascii="Times New Roman" w:hAnsi="Times New Roman"/>
                <w:sz w:val="24"/>
                <w:szCs w:val="24"/>
              </w:rPr>
              <w:fldChar w:fldCharType="separate"/>
            </w:r>
            <w:r w:rsidR="00D97373" w:rsidRPr="0012729E">
              <w:rPr>
                <w:rFonts w:ascii="Times New Roman" w:hAnsi="Times New Roman"/>
                <w:sz w:val="24"/>
                <w:szCs w:val="24"/>
              </w:rPr>
              <w:t>(Loganathan, 2026)</w:t>
            </w:r>
            <w:r w:rsidR="00D97373" w:rsidRPr="0012729E">
              <w:rPr>
                <w:rFonts w:ascii="Times New Roman" w:hAnsi="Times New Roman"/>
                <w:sz w:val="24"/>
                <w:szCs w:val="24"/>
              </w:rPr>
              <w:fldChar w:fldCharType="end"/>
            </w:r>
          </w:p>
        </w:tc>
      </w:tr>
    </w:tbl>
    <w:p w14:paraId="305323B9" w14:textId="77777777" w:rsidR="00305621" w:rsidRPr="0012729E" w:rsidRDefault="00305621" w:rsidP="00305621">
      <w:pPr>
        <w:rPr>
          <w:rFonts w:ascii="Times New Roman" w:hAnsi="Times New Roman"/>
          <w:sz w:val="24"/>
          <w:szCs w:val="24"/>
        </w:rPr>
      </w:pPr>
      <w:r w:rsidRPr="0012729E">
        <w:rPr>
          <w:rFonts w:ascii="Times New Roman" w:hAnsi="Times New Roman"/>
          <w:i/>
          <w:iCs/>
          <w:sz w:val="24"/>
          <w:szCs w:val="24"/>
        </w:rPr>
        <w:t>This table summarizes major artificial intelligence approaches used in antimicrobial resistance research, highlighting associated biological data sources, predictive applications, and translational relevance in predicting biochemical pathways underlying antibiotic resistance.</w:t>
      </w:r>
    </w:p>
    <w:p w14:paraId="008E506B" w14:textId="77777777" w:rsidR="008D37E0" w:rsidRPr="0012729E" w:rsidRDefault="00573F0C">
      <w:pPr>
        <w:rPr>
          <w:rFonts w:ascii="Times New Roman" w:hAnsi="Times New Roman"/>
          <w:b/>
          <w:bCs/>
          <w:sz w:val="24"/>
          <w:szCs w:val="24"/>
        </w:rPr>
      </w:pPr>
      <w:r w:rsidRPr="0012729E">
        <w:rPr>
          <w:rFonts w:ascii="Times New Roman" w:hAnsi="Times New Roman"/>
          <w:b/>
          <w:bCs/>
          <w:sz w:val="24"/>
          <w:szCs w:val="24"/>
        </w:rPr>
        <w:t>6. Framework for Predicting Biochemical Pathways</w:t>
      </w:r>
    </w:p>
    <w:p w14:paraId="6EAFD509"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To integrate the biological data, computational modelling</w:t>
      </w:r>
      <w:r w:rsidR="00DC1430" w:rsidRPr="0012729E">
        <w:rPr>
          <w:rFonts w:ascii="Times New Roman" w:hAnsi="Times New Roman"/>
          <w:sz w:val="24"/>
          <w:szCs w:val="24"/>
        </w:rPr>
        <w:t>,</w:t>
      </w:r>
      <w:r w:rsidRPr="0012729E">
        <w:rPr>
          <w:rFonts w:ascii="Times New Roman" w:hAnsi="Times New Roman"/>
          <w:sz w:val="24"/>
          <w:szCs w:val="24"/>
        </w:rPr>
        <w:t xml:space="preserve"> and experimental verification into a structured analytical process is necessary to form a mechanistic framework for predicting biochemical pathways underlying antibiotic resistance. Pathway prediction must go beyond the detection of individual genes to the level of interpretation of biological function because resistance mechanisms are regulated by the molecular and metabolic environment and microbial interactions</w:t>
      </w:r>
      <w:r w:rsidR="00A10C2B" w:rsidRPr="0012729E">
        <w:rPr>
          <w:rFonts w:ascii="Times New Roman" w:hAnsi="Times New Roman"/>
          <w:sz w:val="24"/>
          <w:szCs w:val="24"/>
        </w:rPr>
        <w:fldChar w:fldCharType="begin"/>
      </w:r>
      <w:r w:rsidR="00A10C2B" w:rsidRPr="0012729E">
        <w:rPr>
          <w:rFonts w:ascii="Times New Roman" w:hAnsi="Times New Roman"/>
          <w:sz w:val="24"/>
          <w:szCs w:val="24"/>
        </w:rPr>
        <w:instrText xml:space="preserve"> ADDIN ZOTERO_ITEM CSL_CITATION {"citationID":"LTgzR1Nw","properties":{"formattedCitation":"(Uddin et al., 2021)","plainCitation":"(Uddin et al., 2021)","noteIndex":0},"citationItems":[{"id":19431,"uris":["http://zotero.org/users/16652950/items/MLIMBJ7H"],"itemData":{"id":19431,"type":"article-journal","abstract":"Antibiotics have been used to cure bacterial infections for more than 70 years, and these low-molecular-weight bioactive agents have also been used for a variety of other medicinal applications. In the battle against microbes, antibiotics have certainly been a blessing to human civilization by saving millions of lives. Globally, infections caused by multidrug-resistant (MDR) bacteria are on the rise. Antibiotics are being used to combat diversified bacterial infections. Synthetic biology techniques, in combination with molecular, functional genomic, and metagenomic studies of bacteria, plants, and even marine invertebrates are aimed at unlocking the world's natural products faster than previous methods of antibiotic discovery. There are currently only few viable remedies, potential preventive techniques, and a limited number of antibiotics, thereby necessitating the discovery of innovative medicinal approaches and antimicrobial therapies. MDR is also facilitated by biofilms, which makes infection control more complex. In this review, we have spotlighted comprehensively various aspects of antibiotics viz. overview of antibiotics era, mode of actions of antibiotics, development and mechanisms of antibiotic resistance in bacteria, and future strategies to fight the emerging antimicrobial resistant threat.","collection-title":"Special Issue on Antimicrobial Resistance","container-title":"Journal of Infection and Public Health","DOI":"10.1016/j.jiph.2021.10.020","ISSN":"1876-0341","issue":"12","journalAbbreviation":"Journal of Infection and Public Health","page":"1750-1766","source":"ScienceDirect","title":"Antibiotic resistance in microbes: History, mechanisms, therapeutic strategies and future prospects","title-short":"Antibiotic resistance in microbes","volume":"14","author":[{"family":"Uddin","given":"Tanvir Mahtab"},{"family":"Chakraborty","given":"Arka Jyoti"},{"family":"Khusro","given":"Ameer"},{"family":"Zidan","given":"BM Redwan Matin"},{"family":"Mitra","given":"Saikat"},{"family":"Emran","given":"Talha Bin"},{"family":"Dhama","given":"Kuldeep"},{"family":"Ripon","given":"Md. Kamal Hossain"},{"family":"Gajdács","given":"Márió"},{"family":"Sahibzada","given":"Muhammad Umar Khayam"},{"family":"Hossain","given":"Md. Jamal"},{"family":"Koirala","given":"Niranjan"}],"issued":{"date-parts":[["2021",12,1]]}}}],"schema":"https://github.com/citation-style-language/schema/raw/master/csl-citation.json"} </w:instrText>
      </w:r>
      <w:r w:rsidR="00A10C2B" w:rsidRPr="0012729E">
        <w:rPr>
          <w:rFonts w:ascii="Times New Roman" w:hAnsi="Times New Roman"/>
          <w:sz w:val="24"/>
          <w:szCs w:val="24"/>
        </w:rPr>
        <w:fldChar w:fldCharType="separate"/>
      </w:r>
      <w:r w:rsidR="00A10C2B" w:rsidRPr="0012729E">
        <w:rPr>
          <w:rFonts w:ascii="Times New Roman" w:hAnsi="Times New Roman"/>
          <w:sz w:val="24"/>
          <w:szCs w:val="24"/>
        </w:rPr>
        <w:t>(Uddin et al., 2021)</w:t>
      </w:r>
      <w:r w:rsidR="00A10C2B" w:rsidRPr="0012729E">
        <w:rPr>
          <w:rFonts w:ascii="Times New Roman" w:hAnsi="Times New Roman"/>
          <w:sz w:val="24"/>
          <w:szCs w:val="24"/>
        </w:rPr>
        <w:fldChar w:fldCharType="end"/>
      </w:r>
      <w:r w:rsidRPr="0012729E">
        <w:rPr>
          <w:rFonts w:ascii="Times New Roman" w:hAnsi="Times New Roman"/>
          <w:sz w:val="24"/>
          <w:szCs w:val="24"/>
        </w:rPr>
        <w:t>.</w:t>
      </w:r>
    </w:p>
    <w:p w14:paraId="6A8CB500"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Data acquisition is the first phase, in which all relevant biological data is gathered from several sources. Omics data </w:t>
      </w:r>
      <w:r w:rsidR="00B32D9E" w:rsidRPr="0012729E">
        <w:rPr>
          <w:rFonts w:ascii="Times New Roman" w:hAnsi="Times New Roman"/>
          <w:sz w:val="24"/>
          <w:szCs w:val="24"/>
        </w:rPr>
        <w:t xml:space="preserve"> </w:t>
      </w:r>
      <w:r w:rsidRPr="0012729E">
        <w:rPr>
          <w:rFonts w:ascii="Times New Roman" w:hAnsi="Times New Roman"/>
          <w:sz w:val="24"/>
          <w:szCs w:val="24"/>
        </w:rPr>
        <w:t xml:space="preserve"> such as genomics, transcriptomics, proteomics, metabolomics</w:t>
      </w:r>
      <w:r w:rsidR="00DC1430" w:rsidRPr="0012729E">
        <w:rPr>
          <w:rFonts w:ascii="Times New Roman" w:hAnsi="Times New Roman"/>
          <w:sz w:val="24"/>
          <w:szCs w:val="24"/>
        </w:rPr>
        <w:t>,</w:t>
      </w:r>
      <w:r w:rsidRPr="0012729E">
        <w:rPr>
          <w:rFonts w:ascii="Times New Roman" w:hAnsi="Times New Roman"/>
          <w:sz w:val="24"/>
          <w:szCs w:val="24"/>
        </w:rPr>
        <w:t xml:space="preserve"> and </w:t>
      </w:r>
      <w:proofErr w:type="gramStart"/>
      <w:r w:rsidRPr="0012729E">
        <w:rPr>
          <w:rFonts w:ascii="Times New Roman" w:hAnsi="Times New Roman"/>
          <w:sz w:val="24"/>
          <w:szCs w:val="24"/>
        </w:rPr>
        <w:lastRenderedPageBreak/>
        <w:t>metagenomics  offer</w:t>
      </w:r>
      <w:proofErr w:type="gramEnd"/>
      <w:r w:rsidRPr="0012729E">
        <w:rPr>
          <w:rFonts w:ascii="Times New Roman" w:hAnsi="Times New Roman"/>
          <w:sz w:val="24"/>
          <w:szCs w:val="24"/>
        </w:rPr>
        <w:t xml:space="preserve"> a window into the molecular activity at various levels of biology. When these datasets are integrated with environmental data and clinical metadata (including antibiotic exposure history, microbial source</w:t>
      </w:r>
      <w:r w:rsidR="00DC1430" w:rsidRPr="0012729E">
        <w:rPr>
          <w:rFonts w:ascii="Times New Roman" w:hAnsi="Times New Roman"/>
          <w:sz w:val="24"/>
          <w:szCs w:val="24"/>
        </w:rPr>
        <w:t>,</w:t>
      </w:r>
      <w:r w:rsidRPr="0012729E">
        <w:rPr>
          <w:rFonts w:ascii="Times New Roman" w:hAnsi="Times New Roman"/>
          <w:sz w:val="24"/>
          <w:szCs w:val="24"/>
        </w:rPr>
        <w:t xml:space="preserve"> and ecological context), they can be used to provide greater information</w:t>
      </w:r>
      <w:r w:rsidR="002040CC" w:rsidRPr="0012729E">
        <w:rPr>
          <w:rFonts w:ascii="Times New Roman" w:hAnsi="Times New Roman"/>
          <w:sz w:val="24"/>
          <w:szCs w:val="24"/>
        </w:rPr>
        <w:fldChar w:fldCharType="begin"/>
      </w:r>
      <w:r w:rsidR="002040CC" w:rsidRPr="0012729E">
        <w:rPr>
          <w:rFonts w:ascii="Times New Roman" w:hAnsi="Times New Roman"/>
          <w:sz w:val="24"/>
          <w:szCs w:val="24"/>
        </w:rPr>
        <w:instrText xml:space="preserve"> ADDIN ZOTERO_ITEM CSL_CITATION {"citationID":"Ag0JCA5F","properties":{"formattedCitation":"(Haredasht et al., 2025)","plainCitation":"(Haredasht et al., 2025)","noteIndex":0},"citationItems":[{"id":19433,"uris":["http://zotero.org/users/16652950/items/YJYEGP5R"],"itemData":{"id":19433,"type":"article-journal","abstract":"The Antibiotic Resistance Microbiology Dataset (ARMD) is a de-identified resource derived from electronic health records (EHR) that facilitates research in antimicrobial resistance (AMR). ARMD encompasses big data from adult patients collected from over 15 years at two academic-affiliated hospitals, focusing on microbiological cultures, antibiotic susceptibilities, and associated clinical and demographic features. Key attributes include organism identification, susceptibility patterns for 55 antibiotics, implied susceptibility rules, and de-identified patient information. This dataset supports studies on antimicrobial stewardship, causal inference, and clinical decision-making. ARMD is designed to be reusable and interoperable, promoting collaboration and innovation in combating AMR. This paper describes the dataset’s acquisition, structure, and utility while detailing its de-identification process.","container-title":"ArXiv","ISSN":"2331-8422","journalAbbreviation":"ArXiv","note":"PMID: 40740524\nPMCID: PMC12310132","page":"arXiv:2503.07664v2","source":"PubMed Central","title":"Antibiotic Resistance Microbiology Dataset (ARMD): A Resource for Antimicrobial Resistance from EHRs","title-short":"Antibiotic Resistance Microbiology Dataset (ARMD)","author":[{"family":"Haredasht","given":"Fateme Nateghi"},{"family":"Amrollahi","given":"Fatemeh"},{"family":"Maddali","given":"Manoj V."},{"family":"Marshall","given":"Nicholas"},{"family":"Ma","given":"Stephen P."},{"family":"Cooper","given":"Lauren N."},{"family":"Johnson","given":"Andrew O."},{"family":"Wei","given":"Ziming"},{"family":"Medford","given":"Richard J."},{"family":"Kanjilal","given":"Sanjat"},{"family":"Banaei","given":"Niaz"},{"family":"Deresinski","given":"Stanley"},{"family":"Goldstein","given":"Mary K."},{"family":"Asch","given":"Steven M."},{"family":"Chang","given":"Amy"},{"family":"Chen","given":"Jonathan H."}],"issued":{"date-parts":[["2025",7,21]]}}}],"schema":"https://github.com/citation-style-language/schema/raw/master/csl-citation.json"} </w:instrText>
      </w:r>
      <w:r w:rsidR="002040CC" w:rsidRPr="0012729E">
        <w:rPr>
          <w:rFonts w:ascii="Times New Roman" w:hAnsi="Times New Roman"/>
          <w:sz w:val="24"/>
          <w:szCs w:val="24"/>
        </w:rPr>
        <w:fldChar w:fldCharType="separate"/>
      </w:r>
      <w:r w:rsidR="002040CC" w:rsidRPr="0012729E">
        <w:rPr>
          <w:rFonts w:ascii="Times New Roman" w:hAnsi="Times New Roman"/>
          <w:sz w:val="24"/>
          <w:szCs w:val="24"/>
        </w:rPr>
        <w:t>(Haredasht et al., 2025)</w:t>
      </w:r>
      <w:r w:rsidR="002040CC" w:rsidRPr="0012729E">
        <w:rPr>
          <w:rFonts w:ascii="Times New Roman" w:hAnsi="Times New Roman"/>
          <w:sz w:val="24"/>
          <w:szCs w:val="24"/>
        </w:rPr>
        <w:fldChar w:fldCharType="end"/>
      </w:r>
      <w:r w:rsidRPr="0012729E">
        <w:rPr>
          <w:rFonts w:ascii="Times New Roman" w:hAnsi="Times New Roman"/>
          <w:sz w:val="24"/>
          <w:szCs w:val="24"/>
        </w:rPr>
        <w:t>.</w:t>
      </w:r>
    </w:p>
    <w:p w14:paraId="3308BA9C"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The second stage is to preprocess the data. Biological data can be noisy, contain batch effects, missing data</w:t>
      </w:r>
      <w:r w:rsidR="00DC1430" w:rsidRPr="0012729E">
        <w:rPr>
          <w:rFonts w:ascii="Times New Roman" w:hAnsi="Times New Roman"/>
          <w:sz w:val="24"/>
          <w:szCs w:val="24"/>
        </w:rPr>
        <w:t>,</w:t>
      </w:r>
      <w:r w:rsidRPr="0012729E">
        <w:rPr>
          <w:rFonts w:ascii="Times New Roman" w:hAnsi="Times New Roman"/>
          <w:sz w:val="24"/>
          <w:szCs w:val="24"/>
        </w:rPr>
        <w:t xml:space="preserve"> and technical bias</w:t>
      </w:r>
      <w:r w:rsidR="00DC1430" w:rsidRPr="0012729E">
        <w:rPr>
          <w:rFonts w:ascii="Times New Roman" w:hAnsi="Times New Roman"/>
          <w:sz w:val="24"/>
          <w:szCs w:val="24"/>
        </w:rPr>
        <w:t>,</w:t>
      </w:r>
      <w:r w:rsidRPr="0012729E">
        <w:rPr>
          <w:rFonts w:ascii="Times New Roman" w:hAnsi="Times New Roman"/>
          <w:sz w:val="24"/>
          <w:szCs w:val="24"/>
        </w:rPr>
        <w:t xml:space="preserve"> which can influence the predictive accuracy of the data. The normalization is therefore required to make the data sets comparable</w:t>
      </w:r>
      <w:r w:rsidR="00DC1430" w:rsidRPr="0012729E">
        <w:rPr>
          <w:rFonts w:ascii="Times New Roman" w:hAnsi="Times New Roman"/>
          <w:sz w:val="24"/>
          <w:szCs w:val="24"/>
        </w:rPr>
        <w:t>,</w:t>
      </w:r>
      <w:r w:rsidRPr="0012729E">
        <w:rPr>
          <w:rFonts w:ascii="Times New Roman" w:hAnsi="Times New Roman"/>
          <w:sz w:val="24"/>
          <w:szCs w:val="24"/>
        </w:rPr>
        <w:t xml:space="preserve"> and the denoising are methods used to enhance the signal quality and remove irrelevant noise.</w:t>
      </w:r>
    </w:p>
    <w:p w14:paraId="70EBC4F1"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Feature engineering is an essential step that comes after, in the identification of biologically meaningful variables. Genes for resistance, protein abundances, metabolite concentrations, transport systems, </w:t>
      </w:r>
      <w:r w:rsidR="00DC1430" w:rsidRPr="0012729E">
        <w:rPr>
          <w:rFonts w:ascii="Times New Roman" w:hAnsi="Times New Roman"/>
          <w:sz w:val="24"/>
          <w:szCs w:val="24"/>
        </w:rPr>
        <w:t xml:space="preserve">and </w:t>
      </w:r>
      <w:r w:rsidRPr="0012729E">
        <w:rPr>
          <w:rFonts w:ascii="Times New Roman" w:hAnsi="Times New Roman"/>
          <w:sz w:val="24"/>
          <w:szCs w:val="24"/>
        </w:rPr>
        <w:t>regulatory markers can be converted into features that are suitable for computational learning</w:t>
      </w:r>
      <w:r w:rsidR="00A329FA" w:rsidRPr="0012729E">
        <w:rPr>
          <w:rFonts w:ascii="Times New Roman" w:hAnsi="Times New Roman"/>
          <w:sz w:val="24"/>
          <w:szCs w:val="24"/>
        </w:rPr>
        <w:fldChar w:fldCharType="begin"/>
      </w:r>
      <w:r w:rsidR="00A329FA" w:rsidRPr="0012729E">
        <w:rPr>
          <w:rFonts w:ascii="Times New Roman" w:hAnsi="Times New Roman"/>
          <w:sz w:val="24"/>
          <w:szCs w:val="24"/>
        </w:rPr>
        <w:instrText xml:space="preserve"> ADDIN ZOTERO_ITEM CSL_CITATION {"citationID":"i10iqXau","properties":{"formattedCitation":"(M. Xie et al., 2025)","plainCitation":"(M. Xie et al., 2025)","noteIndex":0},"citationItems":[{"id":19436,"uris":["http://zotero.org/users/16652950/items/NEQMDB9C"],"itemData":{"id":19436,"type":"article-journal","abstract":"Edible fungi, a group of globally significant macrofungi, are highly valued for their unique flavors and substantial nutritional and medicinal properties. Understanding the molecular mechanisms governing their growth, development, gene function, biosynthesis of valuable compounds, and environmental adaptation is crucial for enhancing yield and quality, providing essential scientific support for industrial progress. Genomics, transcriptomics, and proteomics, as cornerstone life science technologies, offer powerful, integrated approaches to decipher genetic codes, reveal gene expression patterns, and elucidate complex metabolic networks in edible fungi. These advancements are transitioning research from traditional cultivation methods towards deeper molecular biology exploration. This review synthesizes key progress in applying genomics, transcriptomics, and proteomics to edible fungi, with a particular focus on metabolism-related research and the fundamentals of metabolic network construction. It discusses how these technologies, independently and in preliminary integration, uncover critical steps and regulatory mechanisms within endogenous metabolic pathways. While acknowledging the importance of metabolomics and epigenomics as cutting-edge areas, this review focuses on the “classical triad” of genomics, transcriptomics, and proteomics due to their technological maturity, data accessibility, and established application base in elucidating core metabolic mechanisms in edible fungi. The goal is to deepen the understanding of edible fungi metabolic mechanisms, providing a vital theoretical basis and practical insights for optimizing cultivation, enabling genetic improvement, harnessing bioactive substances, and promoting industrial upgrading, thereby boosting the overall efficiency and competitiveness of the edible fungi industry.","container-title":"Journal of Fungi","DOI":"10.3390/jof11060422","ISSN":"2309-608X","issue":"6","journalAbbreviation":"J Fungi (Basel)","note":"PMID: 40558935\nPMCID: PMC12194055","page":"422","source":"PubMed Central","title":"A Review of Genomic, Transcriptomic, and Proteomic Applications in Edible Fungi Biology: Current Status and Future Directions","title-short":"A Review of Genomic, Transcriptomic, and Proteomic Applications in Edible Fungi Biology","volume":"11","author":[{"family":"Xie","given":"Muyun"},{"family":"Wang","given":"Jing"},{"family":"Wang","given":"Feixiang"},{"family":"Wang","given":"Jinfeng"},{"family":"Yan","given":"Yunjin"},{"family":"Feng","given":"Kun"},{"family":"Chen","given":"Baixiong"}],"issued":{"date-parts":[["2025",5,30]]}}}],"schema":"https://github.com/citation-style-language/schema/raw/master/csl-citation.json"} </w:instrText>
      </w:r>
      <w:r w:rsidR="00A329FA" w:rsidRPr="0012729E">
        <w:rPr>
          <w:rFonts w:ascii="Times New Roman" w:hAnsi="Times New Roman"/>
          <w:sz w:val="24"/>
          <w:szCs w:val="24"/>
        </w:rPr>
        <w:fldChar w:fldCharType="separate"/>
      </w:r>
      <w:r w:rsidR="00A329FA" w:rsidRPr="0012729E">
        <w:rPr>
          <w:rFonts w:ascii="Times New Roman" w:hAnsi="Times New Roman"/>
          <w:sz w:val="24"/>
          <w:szCs w:val="24"/>
        </w:rPr>
        <w:t>(M. Xie et al., 2025)</w:t>
      </w:r>
      <w:r w:rsidR="00A329FA" w:rsidRPr="0012729E">
        <w:rPr>
          <w:rFonts w:ascii="Times New Roman" w:hAnsi="Times New Roman"/>
          <w:sz w:val="24"/>
          <w:szCs w:val="24"/>
        </w:rPr>
        <w:fldChar w:fldCharType="end"/>
      </w:r>
      <w:r w:rsidRPr="0012729E">
        <w:rPr>
          <w:rFonts w:ascii="Times New Roman" w:hAnsi="Times New Roman"/>
          <w:sz w:val="24"/>
          <w:szCs w:val="24"/>
        </w:rPr>
        <w:t>. Good feature selection makes it easier to interpret and more efficient to build a model.</w:t>
      </w:r>
    </w:p>
    <w:p w14:paraId="1FEF3C53"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This enables the relationships in the biological network </w:t>
      </w:r>
      <w:r w:rsidR="00DC1430" w:rsidRPr="0012729E">
        <w:rPr>
          <w:rFonts w:ascii="Times New Roman" w:hAnsi="Times New Roman"/>
          <w:sz w:val="24"/>
          <w:szCs w:val="24"/>
        </w:rPr>
        <w:t>to</w:t>
      </w:r>
      <w:r w:rsidRPr="0012729E">
        <w:rPr>
          <w:rFonts w:ascii="Times New Roman" w:hAnsi="Times New Roman"/>
          <w:sz w:val="24"/>
          <w:szCs w:val="24"/>
        </w:rPr>
        <w:t xml:space="preserve"> be encoded as pathway graphs in the reconstructed network. During this phase,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biochemical reactions are grouped into interacting systems. Such networks are crucial</w:t>
      </w:r>
      <w:r w:rsidR="00DC1430" w:rsidRPr="0012729E">
        <w:rPr>
          <w:rFonts w:ascii="Times New Roman" w:hAnsi="Times New Roman"/>
          <w:sz w:val="24"/>
          <w:szCs w:val="24"/>
        </w:rPr>
        <w:t>,</w:t>
      </w:r>
      <w:r w:rsidRPr="0012729E">
        <w:rPr>
          <w:rFonts w:ascii="Times New Roman" w:hAnsi="Times New Roman"/>
          <w:sz w:val="24"/>
          <w:szCs w:val="24"/>
        </w:rPr>
        <w:t xml:space="preserve"> as resistance pathways are generally related to coordinated interactions and </w:t>
      </w:r>
      <w:proofErr w:type="spellStart"/>
      <w:r w:rsidRPr="0012729E">
        <w:rPr>
          <w:rFonts w:ascii="Times New Roman" w:hAnsi="Times New Roman"/>
          <w:sz w:val="24"/>
          <w:szCs w:val="24"/>
        </w:rPr>
        <w:t>not</w:t>
      </w:r>
      <w:proofErr w:type="spellEnd"/>
      <w:r w:rsidRPr="0012729E">
        <w:rPr>
          <w:rFonts w:ascii="Times New Roman" w:hAnsi="Times New Roman"/>
          <w:sz w:val="24"/>
          <w:szCs w:val="24"/>
        </w:rPr>
        <w:t xml:space="preserve"> single molecular events.</w:t>
      </w:r>
    </w:p>
    <w:p w14:paraId="37EA0FD9"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The next step is the model training, in which the artificial intelligence algorithms are optimized to recognize biological patterns associated with resistance. Depending on the complexity and structure of the data set, machine learning, deep learning, or graph-based methods can be used</w:t>
      </w:r>
      <w:r w:rsidR="008E5844" w:rsidRPr="0012729E">
        <w:rPr>
          <w:rFonts w:ascii="Times New Roman" w:hAnsi="Times New Roman"/>
          <w:sz w:val="24"/>
          <w:szCs w:val="24"/>
        </w:rPr>
        <w:fldChar w:fldCharType="begin"/>
      </w:r>
      <w:r w:rsidR="008E5844" w:rsidRPr="0012729E">
        <w:rPr>
          <w:rFonts w:ascii="Times New Roman" w:hAnsi="Times New Roman"/>
          <w:sz w:val="24"/>
          <w:szCs w:val="24"/>
        </w:rPr>
        <w:instrText xml:space="preserve"> ADDIN ZOTERO_ITEM CSL_CITATION {"citationID":"ANvual2D","properties":{"formattedCitation":"(Chiregi et al., 2025)","plainCitation":"(Chiregi et al., 2025)","noteIndex":0},"citationItems":[{"id":19439,"uris":["http://zotero.org/users/16652950/items/TT3YNBL4"],"itemData":{"id":19439,"type":"article-journal","abstract":"In recent decades, advances in data collection and storage have led to high-dimensional datasets containing numerous, often redundant features, which can negatively affect machine learning algorithms. Feature selection has emerged as a key solution to reduce dataset dimensionality, thereby improving computational efficiency and minimizing overfitting. Traditional feature selection models have limitations in effectively handling high-dimensional data and often overlook intricate relationships between features. Therefore, they may not fully optimize model performance and may be prone to overfitting. To address these challenges, we propose a novel feature selection method based on deep learning that can better capture complex patterns and dependencies among features in high-dimensional data. This method, which uses a deep similarity measure and graph representation, involves three phases. First, the problem is modeled as a graph using the deep similarity measure. Next, primary features are clustered through a community detection model. Finally, the most influential feature within each cluster is selected using node centrality and feature appropriateness measures. Notably, the feature selection step adopts a filter-based approach rather than relying on a learning algorithm, as is common in wrapper models. This design significantly reduces computational complexity and minimizes parameter requirements compared to previous methods. By avoiding reliance on a learning algorithm, the proposed method overcomes challenges such as high computational costs while improving accuracy. Experimental results across multiple datasets demonstrate that the proposed supervised model outperforms state-of-the-art approaches, achieving average improvements of 1.5 % in accuracy and 1.77 %, 1.87 %, and 1.81 % in precision, recall, and F1-score, respectively.","container-title":"Knowledge-Based Systems","DOI":"10.1016/j.knosys.2025.114338","ISSN":"0950-7051","journalAbbreviation":"Knowledge-Based Systems","page":"114338","source":"ScienceDirect","title":"A new feature selection method using deep learning and graph representation in high-dimensional datasets","volume":"329","author":[{"family":"Chiregi","given":"Matin"},{"family":"Mazinani","given":"Mahdi"},{"family":"Mirzarezaee","given":"Mitra"}],"issued":{"date-parts":[["2025",11,4]]}}}],"schema":"https://github.com/citation-style-language/schema/raw/master/csl-citation.json"} </w:instrText>
      </w:r>
      <w:r w:rsidR="008E5844" w:rsidRPr="0012729E">
        <w:rPr>
          <w:rFonts w:ascii="Times New Roman" w:hAnsi="Times New Roman"/>
          <w:sz w:val="24"/>
          <w:szCs w:val="24"/>
        </w:rPr>
        <w:fldChar w:fldCharType="separate"/>
      </w:r>
      <w:r w:rsidR="008E5844" w:rsidRPr="0012729E">
        <w:rPr>
          <w:rFonts w:ascii="Times New Roman" w:hAnsi="Times New Roman"/>
          <w:sz w:val="24"/>
          <w:szCs w:val="24"/>
        </w:rPr>
        <w:t>(Chiregi et al., 2025)</w:t>
      </w:r>
      <w:r w:rsidR="008E5844" w:rsidRPr="0012729E">
        <w:rPr>
          <w:rFonts w:ascii="Times New Roman" w:hAnsi="Times New Roman"/>
          <w:sz w:val="24"/>
          <w:szCs w:val="24"/>
        </w:rPr>
        <w:fldChar w:fldCharType="end"/>
      </w:r>
      <w:r w:rsidRPr="0012729E">
        <w:rPr>
          <w:rFonts w:ascii="Times New Roman" w:hAnsi="Times New Roman"/>
          <w:sz w:val="24"/>
          <w:szCs w:val="24"/>
        </w:rPr>
        <w:t>.</w:t>
      </w:r>
    </w:p>
    <w:p w14:paraId="296ECD8D"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Following training, pathway inference is used to identify </w:t>
      </w:r>
      <w:r w:rsidR="00DC1430" w:rsidRPr="0012729E">
        <w:rPr>
          <w:rFonts w:ascii="Times New Roman" w:hAnsi="Times New Roman"/>
          <w:sz w:val="24"/>
          <w:szCs w:val="24"/>
        </w:rPr>
        <w:t>resistance-associated</w:t>
      </w:r>
      <w:r w:rsidRPr="0012729E">
        <w:rPr>
          <w:rFonts w:ascii="Times New Roman" w:hAnsi="Times New Roman"/>
          <w:sz w:val="24"/>
          <w:szCs w:val="24"/>
        </w:rPr>
        <w:t xml:space="preserve"> biochemical mechanisms. This can uncover the pathways of drug degradation, efflux regulation, drug resistance strategies, and stress response pathways that lead to microbial survival in the presence of antimicrobial drugs.</w:t>
      </w:r>
    </w:p>
    <w:p w14:paraId="1AD06C46" w14:textId="77777777" w:rsidR="0097639D" w:rsidRPr="0012729E" w:rsidRDefault="003072EA" w:rsidP="003072EA">
      <w:pPr>
        <w:rPr>
          <w:rFonts w:ascii="Times New Roman" w:hAnsi="Times New Roman"/>
          <w:sz w:val="24"/>
          <w:szCs w:val="24"/>
        </w:rPr>
      </w:pPr>
      <w:r w:rsidRPr="0012729E">
        <w:rPr>
          <w:rFonts w:ascii="Times New Roman" w:hAnsi="Times New Roman"/>
          <w:sz w:val="24"/>
          <w:szCs w:val="24"/>
        </w:rPr>
        <w:t xml:space="preserve">The last step is an experimental validation. The predictions generated in a computer must be confirmed by wet lab </w:t>
      </w:r>
      <w:r w:rsidR="00DC1430" w:rsidRPr="0012729E">
        <w:rPr>
          <w:rFonts w:ascii="Times New Roman" w:hAnsi="Times New Roman"/>
          <w:sz w:val="24"/>
          <w:szCs w:val="24"/>
        </w:rPr>
        <w:t>techniques</w:t>
      </w:r>
      <w:r w:rsidRPr="0012729E">
        <w:rPr>
          <w:rFonts w:ascii="Times New Roman" w:hAnsi="Times New Roman"/>
          <w:sz w:val="24"/>
          <w:szCs w:val="24"/>
        </w:rPr>
        <w:t xml:space="preserve"> like gene expression, metabolic assay</w:t>
      </w:r>
      <w:r w:rsidR="00DC1430" w:rsidRPr="0012729E">
        <w:rPr>
          <w:rFonts w:ascii="Times New Roman" w:hAnsi="Times New Roman"/>
          <w:sz w:val="24"/>
          <w:szCs w:val="24"/>
        </w:rPr>
        <w:t>,</w:t>
      </w:r>
      <w:r w:rsidRPr="0012729E">
        <w:rPr>
          <w:rFonts w:ascii="Times New Roman" w:hAnsi="Times New Roman"/>
          <w:sz w:val="24"/>
          <w:szCs w:val="24"/>
        </w:rPr>
        <w:t xml:space="preserve"> and functional microbial analysis. This validation is crucial to ensure biological relevance and for a predictive model to gain clinical relevance in antibiotic resistanc</w:t>
      </w:r>
      <w:r w:rsidR="00A22DE9" w:rsidRPr="0012729E">
        <w:rPr>
          <w:rFonts w:ascii="Times New Roman" w:hAnsi="Times New Roman"/>
          <w:sz w:val="24"/>
          <w:szCs w:val="24"/>
        </w:rPr>
        <w:t xml:space="preserve">e </w:t>
      </w:r>
      <w:r w:rsidRPr="0012729E">
        <w:rPr>
          <w:rFonts w:ascii="Times New Roman" w:hAnsi="Times New Roman"/>
          <w:sz w:val="24"/>
          <w:szCs w:val="24"/>
        </w:rPr>
        <w:t>pathways</w:t>
      </w:r>
      <w:r w:rsidR="00A22DE9" w:rsidRPr="0012729E">
        <w:rPr>
          <w:rFonts w:ascii="Times New Roman" w:hAnsi="Times New Roman"/>
          <w:sz w:val="24"/>
          <w:szCs w:val="24"/>
        </w:rPr>
        <w:fldChar w:fldCharType="begin"/>
      </w:r>
      <w:r w:rsidR="001827C6" w:rsidRPr="0012729E">
        <w:rPr>
          <w:rFonts w:ascii="Times New Roman" w:hAnsi="Times New Roman"/>
          <w:sz w:val="24"/>
          <w:szCs w:val="24"/>
        </w:rPr>
        <w:instrText xml:space="preserve"> ADDIN ZOTERO_ITEM CSL_CITATION {"citationID":"KMjssRt0","properties":{"formattedCitation":"(Bilal et al., 2025b)","plainCitation":"(Bilal et al., 2025b)","noteIndex":0},"citationItems":[{"id":19500,"uris":["http://zotero.org/users/16652950/items/TE2WSNN5"],"itemData":{"id":19500,"type":"article-journal","abstract":"Antimicrobial resistance (AMR) is a major threat to global public health. The current review synthesizes to address the possible role of Artificial Intelligence and Machine Learning (AI/ML) in mitigating AMR. Supervised learning, unsupervised learning, deep learning, reinforcement learning, and natural language processing are some of the main tools used in this domain. AI/ML models can use various data sources, such as clinical information, genomic sequences, microbiome insights, and epidemiological data for predicting AMR outbreaks. Although AI/ML are relatively new fields, numerous case studies offer substantial evidence of their successful application in predicting AMR outbreaks with greater accuracy. These models can provide insights into the discovery of novel antimicrobials, the repurposing of existing drugs, and combination therapy through the analysis of their molecular structures. In addition, AI-based clinical decision support systems in real-time guide healthcare professionals to improve prescribing of antibiotics. The review also outlines how can AI improve AMR surveillance, analyze resistance trends, and enable early outbreak identification. Challenges, such as ethical considerations, data privacy, and model biases exist, however, the continuous development of novel methodologies enables AI/ML to play a significant role in combating AMR.","container-title":"Computational and Structural Biotechnology Journal","DOI":"10.1016/j.csbj.2025.01.006","ISSN":"2001-0370","journalAbbreviation":"Computational and Structural Biotechnology Journal","page":"423-439","source":"ScienceDirect","title":"The role of artificial intelligence and machine learning in predicting and combating antimicrobial resistance","volume":"27","author":[{"family":"Bilal","given":"Hazrat"},{"family":"Khan","given":"Muhammad Nadeem"},{"family":"Khan","given":"Sabir"},{"family":"Shafiq","given":"Muhammad"},{"family":"Fang","given":"Wenjie"},{"family":"Khan","given":"Rahat Ullah"},{"family":"Rahman","given":"Mujeeb Ur"},{"family":"Li","given":"Xiaohui"},{"family":"Lv","given":"Qiao-Li"},{"family":"Xu","given":"Bin"}],"issued":{"date-parts":[["2025",1,1]]}}}],"schema":"https://github.com/citation-style-language/schema/raw/master/csl-citation.json"} </w:instrText>
      </w:r>
      <w:r w:rsidR="00A22DE9" w:rsidRPr="0012729E">
        <w:rPr>
          <w:rFonts w:ascii="Times New Roman" w:hAnsi="Times New Roman"/>
          <w:sz w:val="24"/>
          <w:szCs w:val="24"/>
        </w:rPr>
        <w:fldChar w:fldCharType="separate"/>
      </w:r>
      <w:r w:rsidR="001827C6" w:rsidRPr="0012729E">
        <w:rPr>
          <w:rFonts w:ascii="Times New Roman" w:hAnsi="Times New Roman"/>
          <w:sz w:val="24"/>
          <w:szCs w:val="24"/>
        </w:rPr>
        <w:t xml:space="preserve">(Bilal et al., </w:t>
      </w:r>
      <w:r w:rsidR="001827C6" w:rsidRPr="0012729E">
        <w:rPr>
          <w:rFonts w:ascii="Times New Roman" w:hAnsi="Times New Roman"/>
          <w:sz w:val="24"/>
          <w:szCs w:val="24"/>
        </w:rPr>
        <w:lastRenderedPageBreak/>
        <w:t>2025b)</w:t>
      </w:r>
      <w:r w:rsidR="00A22DE9" w:rsidRPr="0012729E">
        <w:rPr>
          <w:rFonts w:ascii="Times New Roman" w:hAnsi="Times New Roman"/>
          <w:sz w:val="24"/>
          <w:szCs w:val="24"/>
        </w:rPr>
        <w:fldChar w:fldCharType="end"/>
      </w:r>
      <w:r w:rsidRPr="0012729E">
        <w:rPr>
          <w:rFonts w:ascii="Times New Roman" w:hAnsi="Times New Roman"/>
          <w:sz w:val="24"/>
          <w:szCs w:val="24"/>
        </w:rPr>
        <w:t>.</w:t>
      </w:r>
      <w:r w:rsidR="000C3E5D">
        <w:rPr>
          <w:rFonts w:ascii="Times New Roman" w:hAnsi="Times New Roman"/>
          <w:noProof/>
          <w:sz w:val="24"/>
          <w:szCs w:val="24"/>
        </w:rPr>
        <w:pict w14:anchorId="52F53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5pt;height:284.5pt;visibility:visible;mso-wrap-style:square">
            <v:imagedata r:id="rId7" o:title=""/>
          </v:shape>
        </w:pict>
      </w:r>
    </w:p>
    <w:p w14:paraId="48D668EF" w14:textId="77777777" w:rsidR="0097639D" w:rsidRPr="0012729E" w:rsidRDefault="0097639D">
      <w:pPr>
        <w:rPr>
          <w:rFonts w:ascii="Times New Roman" w:hAnsi="Times New Roman"/>
          <w:sz w:val="24"/>
          <w:szCs w:val="24"/>
        </w:rPr>
      </w:pPr>
    </w:p>
    <w:p w14:paraId="648478CE" w14:textId="77777777" w:rsidR="00F72251" w:rsidRPr="0012729E" w:rsidRDefault="00F72251" w:rsidP="00F72251">
      <w:pPr>
        <w:rPr>
          <w:rFonts w:ascii="Times New Roman" w:hAnsi="Times New Roman"/>
          <w:b/>
          <w:bCs/>
          <w:sz w:val="24"/>
          <w:szCs w:val="24"/>
        </w:rPr>
      </w:pPr>
      <w:r w:rsidRPr="0012729E">
        <w:rPr>
          <w:rFonts w:ascii="Times New Roman" w:hAnsi="Times New Roman"/>
          <w:b/>
          <w:bCs/>
          <w:sz w:val="24"/>
          <w:szCs w:val="24"/>
        </w:rPr>
        <w:t>Figure 1.</w:t>
      </w:r>
      <w:r w:rsidRPr="0012729E">
        <w:rPr>
          <w:rFonts w:ascii="Times New Roman" w:hAnsi="Times New Roman"/>
          <w:sz w:val="24"/>
          <w:szCs w:val="24"/>
        </w:rPr>
        <w:t xml:space="preserve"> </w:t>
      </w:r>
      <w:r w:rsidRPr="0012729E">
        <w:rPr>
          <w:rFonts w:ascii="Times New Roman" w:hAnsi="Times New Roman"/>
          <w:b/>
          <w:bCs/>
          <w:sz w:val="24"/>
          <w:szCs w:val="24"/>
        </w:rPr>
        <w:t>AI-Driven Multi-Omics Framework for Predicting Biochemical Pathways Underlying Antibiotic Resistance in Microbial Communities</w:t>
      </w:r>
    </w:p>
    <w:p w14:paraId="491B6AD3" w14:textId="77777777" w:rsidR="001A09C0" w:rsidRPr="0012729E" w:rsidRDefault="001A09C0" w:rsidP="001A09C0">
      <w:pPr>
        <w:rPr>
          <w:rFonts w:ascii="Times New Roman" w:hAnsi="Times New Roman"/>
          <w:b/>
          <w:bCs/>
          <w:sz w:val="24"/>
          <w:szCs w:val="24"/>
        </w:rPr>
      </w:pPr>
      <w:r w:rsidRPr="0012729E">
        <w:rPr>
          <w:rFonts w:ascii="Times New Roman" w:hAnsi="Times New Roman"/>
          <w:sz w:val="24"/>
          <w:szCs w:val="24"/>
        </w:rPr>
        <w:t>Figure 1 illustrates an AI-driven multi-omics framework for predicting biochemical pathways underlying antibiotic resistance in microbial communities. The framework integrates microbial ecological interactions, resistance mechanisms, multi-omics datasets, and artificial intelligence models to support pathway inference, resistance prediction, and translational applications</w:t>
      </w:r>
      <w:r w:rsidR="00DC1430" w:rsidRPr="0012729E">
        <w:rPr>
          <w:rFonts w:ascii="Times New Roman" w:hAnsi="Times New Roman"/>
          <w:sz w:val="24"/>
          <w:szCs w:val="24"/>
        </w:rPr>
        <w:t>,</w:t>
      </w:r>
      <w:r w:rsidRPr="0012729E">
        <w:rPr>
          <w:rFonts w:ascii="Times New Roman" w:hAnsi="Times New Roman"/>
          <w:sz w:val="24"/>
          <w:szCs w:val="24"/>
        </w:rPr>
        <w:t xml:space="preserve"> including precision therapy, drug discovery, diagnostics, and antimicrobial resistance surveillance</w:t>
      </w:r>
      <w:r w:rsidRPr="0012729E">
        <w:rPr>
          <w:rFonts w:ascii="Times New Roman" w:hAnsi="Times New Roman"/>
          <w:b/>
          <w:bCs/>
          <w:sz w:val="24"/>
          <w:szCs w:val="24"/>
        </w:rPr>
        <w:t>.</w:t>
      </w:r>
    </w:p>
    <w:p w14:paraId="3BDE0163" w14:textId="77777777" w:rsidR="00F72251" w:rsidRPr="0012729E" w:rsidRDefault="00F72251">
      <w:pPr>
        <w:rPr>
          <w:rFonts w:ascii="Times New Roman" w:hAnsi="Times New Roman"/>
          <w:b/>
          <w:bCs/>
          <w:sz w:val="24"/>
          <w:szCs w:val="24"/>
        </w:rPr>
      </w:pPr>
    </w:p>
    <w:p w14:paraId="4EE7F98C" w14:textId="77777777" w:rsidR="008D37E0" w:rsidRPr="0012729E" w:rsidRDefault="00573F0C">
      <w:pPr>
        <w:rPr>
          <w:rFonts w:ascii="Times New Roman" w:hAnsi="Times New Roman"/>
          <w:b/>
          <w:bCs/>
          <w:sz w:val="24"/>
          <w:szCs w:val="24"/>
        </w:rPr>
      </w:pPr>
      <w:r w:rsidRPr="0012729E">
        <w:rPr>
          <w:rFonts w:ascii="Times New Roman" w:hAnsi="Times New Roman"/>
          <w:b/>
          <w:bCs/>
          <w:sz w:val="24"/>
          <w:szCs w:val="24"/>
        </w:rPr>
        <w:t>7.</w:t>
      </w:r>
      <w:r w:rsidR="00DC1430" w:rsidRPr="0012729E">
        <w:rPr>
          <w:rFonts w:ascii="Times New Roman" w:hAnsi="Times New Roman"/>
          <w:b/>
          <w:bCs/>
          <w:sz w:val="24"/>
          <w:szCs w:val="24"/>
        </w:rPr>
        <w:t xml:space="preserve"> </w:t>
      </w:r>
      <w:r w:rsidRPr="0012729E">
        <w:rPr>
          <w:rFonts w:ascii="Times New Roman" w:hAnsi="Times New Roman"/>
          <w:b/>
          <w:bCs/>
          <w:sz w:val="24"/>
          <w:szCs w:val="24"/>
        </w:rPr>
        <w:t>Current Challenges and Limitations</w:t>
      </w:r>
    </w:p>
    <w:p w14:paraId="345D4DBF"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Although significant advances have been made towards using artificial intelligence to predict biochemical pathways associated with antibiotic resistance, there are still a number of scientific and technical limitations that limit the accuracy, interpretability</w:t>
      </w:r>
      <w:r w:rsidR="00DC1430" w:rsidRPr="0012729E">
        <w:rPr>
          <w:rFonts w:ascii="Times New Roman" w:hAnsi="Times New Roman"/>
          <w:sz w:val="24"/>
          <w:szCs w:val="24"/>
        </w:rPr>
        <w:t>,</w:t>
      </w:r>
      <w:r w:rsidRPr="0012729E">
        <w:rPr>
          <w:rFonts w:ascii="Times New Roman" w:hAnsi="Times New Roman"/>
          <w:sz w:val="24"/>
          <w:szCs w:val="24"/>
        </w:rPr>
        <w:t xml:space="preserve"> and translational value of these models</w:t>
      </w:r>
      <w:r w:rsidR="00672B95" w:rsidRPr="0012729E">
        <w:rPr>
          <w:rFonts w:ascii="Times New Roman" w:hAnsi="Times New Roman"/>
          <w:sz w:val="24"/>
          <w:szCs w:val="24"/>
        </w:rPr>
        <w:fldChar w:fldCharType="begin"/>
      </w:r>
      <w:r w:rsidR="00672B95" w:rsidRPr="0012729E">
        <w:rPr>
          <w:rFonts w:ascii="Times New Roman" w:hAnsi="Times New Roman"/>
          <w:sz w:val="24"/>
          <w:szCs w:val="24"/>
        </w:rPr>
        <w:instrText xml:space="preserve"> ADDIN ZOTERO_ITEM CSL_CITATION {"citationID":"eUo6hF1G","properties":{"formattedCitation":"(Cesaro et al., 2025)","plainCitation":"(Cesaro et al., 2025)","noteIndex":0},"citationItems":[{"id":19495,"uris":["http://zotero.org/users/16652950/items/9X75K86X"],"itemData":{"id":19495,"type":"article-journal","abstract":"Artificial intelligence (AI) has transformed infectious disease control, enhancing rapid diagnosis and antibiotic discovery. While conventional tests delay diagnosis, AI-driven methods like machine learning and deep learning assist in pathogen detection, resistance prediction, and drug discovery. These tools improve antibiotic stewardship and identify effective compounds such as antimicrobial peptides and small molecules. This review explores AI applications in diagnostics, therapy, and drug discovery, emphasizing both strengths and areas needing improvement.","container-title":"npj Antimicrobials and Resistance","DOI":"10.1038/s44259-024-00068-x","ISSN":"2731-8745","journalAbbreviation":"NPJ Antimicrob Resist","note":"PMID: 39843587\nPMCID: PMC11721440","page":"2","source":"PubMed Central","title":"Challenges and applications of artificial intelligence in infectious diseases and antimicrobial resistance","volume":"3","author":[{"family":"Cesaro","given":"Angela"},{"family":"Hoffman","given":"Samuel C."},{"family":"Das","given":"Payel"},{"family":"Fuente-Nunez","given":"Cesar","non-dropping-particle":"de la"}],"issued":{"date-parts":[["2025",1,7]]}}}],"schema":"https://github.com/citation-style-language/schema/raw/master/csl-citation.json"} </w:instrText>
      </w:r>
      <w:r w:rsidR="00672B95" w:rsidRPr="0012729E">
        <w:rPr>
          <w:rFonts w:ascii="Times New Roman" w:hAnsi="Times New Roman"/>
          <w:sz w:val="24"/>
          <w:szCs w:val="24"/>
        </w:rPr>
        <w:fldChar w:fldCharType="separate"/>
      </w:r>
      <w:r w:rsidR="00672B95" w:rsidRPr="0012729E">
        <w:rPr>
          <w:rFonts w:ascii="Times New Roman" w:hAnsi="Times New Roman"/>
          <w:sz w:val="24"/>
          <w:szCs w:val="24"/>
        </w:rPr>
        <w:t>(Cesaro et al., 2025)</w:t>
      </w:r>
      <w:r w:rsidR="00672B95" w:rsidRPr="0012729E">
        <w:rPr>
          <w:rFonts w:ascii="Times New Roman" w:hAnsi="Times New Roman"/>
          <w:sz w:val="24"/>
          <w:szCs w:val="24"/>
        </w:rPr>
        <w:fldChar w:fldCharType="end"/>
      </w:r>
      <w:r w:rsidRPr="0012729E">
        <w:rPr>
          <w:rFonts w:ascii="Times New Roman" w:hAnsi="Times New Roman"/>
          <w:sz w:val="24"/>
          <w:szCs w:val="24"/>
        </w:rPr>
        <w:t>.</w:t>
      </w:r>
    </w:p>
    <w:p w14:paraId="7A7C62B6"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There are limitations with data. Current antimicrobial resistance data </w:t>
      </w:r>
      <w:r w:rsidR="00DC1430" w:rsidRPr="0012729E">
        <w:rPr>
          <w:rFonts w:ascii="Times New Roman" w:hAnsi="Times New Roman"/>
          <w:sz w:val="24"/>
          <w:szCs w:val="24"/>
        </w:rPr>
        <w:t>are</w:t>
      </w:r>
      <w:r w:rsidRPr="0012729E">
        <w:rPr>
          <w:rFonts w:ascii="Times New Roman" w:hAnsi="Times New Roman"/>
          <w:sz w:val="24"/>
          <w:szCs w:val="24"/>
        </w:rPr>
        <w:t xml:space="preserve"> largely incomplete, limited</w:t>
      </w:r>
      <w:r w:rsidR="00DC1430" w:rsidRPr="0012729E">
        <w:rPr>
          <w:rFonts w:ascii="Times New Roman" w:hAnsi="Times New Roman"/>
          <w:sz w:val="24"/>
          <w:szCs w:val="24"/>
        </w:rPr>
        <w:t>,</w:t>
      </w:r>
      <w:r w:rsidRPr="0012729E">
        <w:rPr>
          <w:rFonts w:ascii="Times New Roman" w:hAnsi="Times New Roman"/>
          <w:sz w:val="24"/>
          <w:szCs w:val="24"/>
        </w:rPr>
        <w:t xml:space="preserve"> and patchy in terms of the type of data available by microbial species and ecological </w:t>
      </w:r>
      <w:r w:rsidRPr="0012729E">
        <w:rPr>
          <w:rFonts w:ascii="Times New Roman" w:hAnsi="Times New Roman"/>
          <w:sz w:val="24"/>
          <w:szCs w:val="24"/>
        </w:rPr>
        <w:lastRenderedPageBreak/>
        <w:t xml:space="preserve">environment. Environmental and </w:t>
      </w:r>
      <w:r w:rsidR="00DC1430" w:rsidRPr="0012729E">
        <w:rPr>
          <w:rFonts w:ascii="Times New Roman" w:hAnsi="Times New Roman"/>
          <w:sz w:val="24"/>
          <w:szCs w:val="24"/>
        </w:rPr>
        <w:t>community-level</w:t>
      </w:r>
      <w:r w:rsidRPr="0012729E">
        <w:rPr>
          <w:rFonts w:ascii="Times New Roman" w:hAnsi="Times New Roman"/>
          <w:sz w:val="24"/>
          <w:szCs w:val="24"/>
        </w:rPr>
        <w:t xml:space="preserve"> microbial data </w:t>
      </w:r>
      <w:r w:rsidR="00DC1430" w:rsidRPr="0012729E">
        <w:rPr>
          <w:rFonts w:ascii="Times New Roman" w:hAnsi="Times New Roman"/>
          <w:sz w:val="24"/>
          <w:szCs w:val="24"/>
        </w:rPr>
        <w:t>are</w:t>
      </w:r>
      <w:r w:rsidRPr="0012729E">
        <w:rPr>
          <w:rFonts w:ascii="Times New Roman" w:hAnsi="Times New Roman"/>
          <w:sz w:val="24"/>
          <w:szCs w:val="24"/>
        </w:rPr>
        <w:t xml:space="preserve"> relatively scarce, and clinical isolates are over-represented. Furthermore, the noise of the labels is a major issue since the resistance phenotypes could differ from one study to another. The lack of metadata, such as </w:t>
      </w:r>
      <w:r w:rsidR="00DC1430" w:rsidRPr="0012729E">
        <w:rPr>
          <w:rFonts w:ascii="Times New Roman" w:hAnsi="Times New Roman"/>
          <w:sz w:val="24"/>
          <w:szCs w:val="24"/>
        </w:rPr>
        <w:t>antibiotic</w:t>
      </w:r>
      <w:r w:rsidRPr="0012729E">
        <w:rPr>
          <w:rFonts w:ascii="Times New Roman" w:hAnsi="Times New Roman"/>
          <w:sz w:val="24"/>
          <w:szCs w:val="24"/>
        </w:rPr>
        <w:t xml:space="preserve"> exposure history, host conditions</w:t>
      </w:r>
      <w:r w:rsidR="00DC1430" w:rsidRPr="0012729E">
        <w:rPr>
          <w:rFonts w:ascii="Times New Roman" w:hAnsi="Times New Roman"/>
          <w:sz w:val="24"/>
          <w:szCs w:val="24"/>
        </w:rPr>
        <w:t>,</w:t>
      </w:r>
      <w:r w:rsidRPr="0012729E">
        <w:rPr>
          <w:rFonts w:ascii="Times New Roman" w:hAnsi="Times New Roman"/>
          <w:sz w:val="24"/>
          <w:szCs w:val="24"/>
        </w:rPr>
        <w:t xml:space="preserve"> and environmental context, limits our capacity to make biologically meaningful associations using models</w:t>
      </w:r>
      <w:r w:rsidR="00A22DE9" w:rsidRPr="0012729E">
        <w:rPr>
          <w:rFonts w:ascii="Times New Roman" w:hAnsi="Times New Roman"/>
          <w:sz w:val="24"/>
          <w:szCs w:val="24"/>
        </w:rPr>
        <w:fldChar w:fldCharType="begin"/>
      </w:r>
      <w:r w:rsidR="00FE4C1E" w:rsidRPr="0012729E">
        <w:rPr>
          <w:rFonts w:ascii="Times New Roman" w:hAnsi="Times New Roman"/>
          <w:sz w:val="24"/>
          <w:szCs w:val="24"/>
        </w:rPr>
        <w:instrText xml:space="preserve"> ADDIN ZOTERO_ITEM CSL_CITATION {"citationID":"0zCTWXo0","properties":{"formattedCitation":"(Samreen et al., 2021)","plainCitation":"(Samreen et al., 2021)","noteIndex":0},"citationItems":[{"id":19492,"uris":["http://zotero.org/users/16652950/items/GDE6PITG"],"itemData":{"id":19492,"type":"article-journal","abstract":"Imprudent and overuse of clinically relevant antibiotics in agriculture, veterinary and medical sectors contribute to the global epidemic increase in antimicrobial resistance (AMR). There is a growing concern among researchers and stakeholders that the environment acts as an AMR reservoir and plays a key role in the dissemination of antimicrobial resistance genes (ARGs). Various drivers are contributing factors to the spread of antibiotic-resistant bacteria and their ARGs either directly through antimicrobial drug use in health care, agriculture/livestock and the environment or antibiotic residues released from various domestic settings. Resistant micro-organisms and their resistance genes enter the soil, air, water and sediments through various routes or hotspots such as hospital wastewater, agricultural waste or wastewater treatment plants. Global mitigation strategies primarily involve the identification of high-risk environments that are responsible for the evolution and spread of resistance. Subsequently, AMR transmission is affected by the standards of infection control, sanitation, access to clean water, access to assured quality antimicrobials and diagnostics, travel and migration. This review provides a brief description of AMR as a global concern and the possible contribution of different environmental drivers to the transmission of antibiotic-resistant bacteria or ARGs through various mechanisms. We also aim to highlight the key knowledge gaps that hinder environmental regulators and mitigation strategies in delivering environmental protection against AMR.","container-title":"Journal of Global Antimicrobial Resistance","DOI":"10.1016/j.jgar.2021.08.001","ISSN":"2213-7165","journalAbbreviation":"Journal of Global Antimicrobial Resistance","page":"101-111","source":"ScienceDirect","title":"Environmental antimicrobial resistance and its drivers: a potential threat to public health","title-short":"Environmental antimicrobial resistance and its drivers","volume":"27","author":[{"literal":"Samreen"},{"family":"Ahmad","given":"Iqbal"},{"family":"Malak","given":"Hesham A."},{"family":"Abulreesh","given":"Hussein H."}],"issued":{"date-parts":[["2021",12,1]]}}}],"schema":"https://github.com/citation-style-language/schema/raw/master/csl-citation.json"} </w:instrText>
      </w:r>
      <w:r w:rsidR="00A22DE9" w:rsidRPr="0012729E">
        <w:rPr>
          <w:rFonts w:ascii="Times New Roman" w:hAnsi="Times New Roman"/>
          <w:sz w:val="24"/>
          <w:szCs w:val="24"/>
        </w:rPr>
        <w:fldChar w:fldCharType="separate"/>
      </w:r>
      <w:r w:rsidR="00FE4C1E" w:rsidRPr="0012729E">
        <w:rPr>
          <w:rFonts w:ascii="Times New Roman" w:hAnsi="Times New Roman"/>
          <w:sz w:val="24"/>
          <w:szCs w:val="24"/>
        </w:rPr>
        <w:t>(Samreen et al., 2021)</w:t>
      </w:r>
      <w:r w:rsidR="00A22DE9" w:rsidRPr="0012729E">
        <w:rPr>
          <w:rFonts w:ascii="Times New Roman" w:hAnsi="Times New Roman"/>
          <w:sz w:val="24"/>
          <w:szCs w:val="24"/>
        </w:rPr>
        <w:fldChar w:fldCharType="end"/>
      </w:r>
      <w:r w:rsidRPr="0012729E">
        <w:rPr>
          <w:rFonts w:ascii="Times New Roman" w:hAnsi="Times New Roman"/>
          <w:sz w:val="24"/>
          <w:szCs w:val="24"/>
        </w:rPr>
        <w:t>.</w:t>
      </w:r>
    </w:p>
    <w:p w14:paraId="10E3E784"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Another is the biological complexity. Microbial communities are an ever-changing system of organisms, influenced by ecological competition, metabolic exchange, interaction with the host, and selective pressures. Pathways of resistance are seldom linear. Instead, they are formed by non-linear regulatory interactions between genes, proteins, metabolites</w:t>
      </w:r>
      <w:r w:rsidR="00DC1430" w:rsidRPr="0012729E">
        <w:rPr>
          <w:rFonts w:ascii="Times New Roman" w:hAnsi="Times New Roman"/>
          <w:sz w:val="24"/>
          <w:szCs w:val="24"/>
        </w:rPr>
        <w:t>,</w:t>
      </w:r>
      <w:r w:rsidRPr="0012729E">
        <w:rPr>
          <w:rFonts w:ascii="Times New Roman" w:hAnsi="Times New Roman"/>
          <w:sz w:val="24"/>
          <w:szCs w:val="24"/>
        </w:rPr>
        <w:t xml:space="preserve"> and environmental responses</w:t>
      </w:r>
      <w:r w:rsidR="00A22DE9" w:rsidRPr="0012729E">
        <w:rPr>
          <w:rFonts w:ascii="Times New Roman" w:hAnsi="Times New Roman"/>
          <w:sz w:val="24"/>
          <w:szCs w:val="24"/>
        </w:rPr>
        <w:fldChar w:fldCharType="begin"/>
      </w:r>
      <w:r w:rsidR="0039472A" w:rsidRPr="0012729E">
        <w:rPr>
          <w:rFonts w:ascii="Times New Roman" w:hAnsi="Times New Roman"/>
          <w:sz w:val="24"/>
          <w:szCs w:val="24"/>
        </w:rPr>
        <w:instrText xml:space="preserve"> ADDIN ZOTERO_ITEM CSL_CITATION {"citationID":"FQJMQ7Ec","properties":{"formattedCitation":"(Hornisch &amp; Piazza, 2025)","plainCitation":"(Hornisch &amp; Piazza, 2025)","noteIndex":0},"citationItems":[{"id":19489,"uris":["http://zotero.org/users/16652950/items/G64EBGT4"],"itemData":{"id":19489,"type":"article-journal","abstract":"Organisms have to adapt to changes in their environment. Cellular adaptation requires sensing, signalling and ultimately the activation of cellular programs. Metabolites are environmental signals that are sensed by proteins, such as metabolic enzymes, protein kinases and nuclear receptors. Recent studies have discovered novel metabolite sensors that function as gene regulatory proteins such as chromatin associated factors or RNA binding proteins. Due to their function in regulating gene expression, metabolite-induced allosteric control of these proteins facilitates a crosstalk between metabolism and gene expression. Here we discuss the direct control of gene regulatory processes by metabolites and recent progresses that expand our abilities to systematically characterize metabolite-protein interaction networks. Obtaining a profound map of such networks is of great interest for aiding metabolic disease treatment and drug target identification.","container-title":"npj Metabolic Health and Disease","DOI":"10.1038/s44324-024-00047-w","ISSN":"2948-2828","journalAbbreviation":"NPJ Metab Health Dis","note":"PMID: 40052108\nPMCID: PMC11879850","page":"7","source":"PubMed Central","title":"Regulation of gene expression through protein-metabolite interactions","volume":"3","author":[{"family":"Hornisch","given":"Maximilian"},{"family":"Piazza","given":"Ilaria"}],"issued":{"date-parts":[["2025",3,4]]}}}],"schema":"https://github.com/citation-style-language/schema/raw/master/csl-citation.json"} </w:instrText>
      </w:r>
      <w:r w:rsidR="00A22DE9" w:rsidRPr="0012729E">
        <w:rPr>
          <w:rFonts w:ascii="Times New Roman" w:hAnsi="Times New Roman"/>
          <w:sz w:val="24"/>
          <w:szCs w:val="24"/>
        </w:rPr>
        <w:fldChar w:fldCharType="separate"/>
      </w:r>
      <w:r w:rsidR="0039472A" w:rsidRPr="0012729E">
        <w:rPr>
          <w:rFonts w:ascii="Times New Roman" w:hAnsi="Times New Roman"/>
          <w:sz w:val="24"/>
          <w:szCs w:val="24"/>
        </w:rPr>
        <w:t>(Hornisch &amp; Piazza, 2025)</w:t>
      </w:r>
      <w:r w:rsidR="00A22DE9" w:rsidRPr="0012729E">
        <w:rPr>
          <w:rFonts w:ascii="Times New Roman" w:hAnsi="Times New Roman"/>
          <w:sz w:val="24"/>
          <w:szCs w:val="24"/>
        </w:rPr>
        <w:fldChar w:fldCharType="end"/>
      </w:r>
      <w:r w:rsidRPr="0012729E">
        <w:rPr>
          <w:rFonts w:ascii="Times New Roman" w:hAnsi="Times New Roman"/>
          <w:sz w:val="24"/>
          <w:szCs w:val="24"/>
        </w:rPr>
        <w:t>. This is a hard aspect to capture, especially if the behavior of a pathway changes over time or between ecological niches.</w:t>
      </w:r>
    </w:p>
    <w:p w14:paraId="12356F20"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Secondly, explainability is a critical constraint. Many </w:t>
      </w:r>
      <w:r w:rsidR="00DC1430" w:rsidRPr="0012729E">
        <w:rPr>
          <w:rFonts w:ascii="Times New Roman" w:hAnsi="Times New Roman"/>
          <w:sz w:val="24"/>
          <w:szCs w:val="24"/>
        </w:rPr>
        <w:t>state-of-the-art</w:t>
      </w:r>
      <w:r w:rsidRPr="0012729E">
        <w:rPr>
          <w:rFonts w:ascii="Times New Roman" w:hAnsi="Times New Roman"/>
          <w:sz w:val="24"/>
          <w:szCs w:val="24"/>
        </w:rPr>
        <w:t xml:space="preserve"> AIs, especially deep learning models</w:t>
      </w:r>
      <w:r w:rsidR="00DC1430" w:rsidRPr="0012729E">
        <w:rPr>
          <w:rFonts w:ascii="Times New Roman" w:hAnsi="Times New Roman"/>
          <w:sz w:val="24"/>
          <w:szCs w:val="24"/>
        </w:rPr>
        <w:t>,</w:t>
      </w:r>
      <w:r w:rsidRPr="0012729E">
        <w:rPr>
          <w:rFonts w:ascii="Times New Roman" w:hAnsi="Times New Roman"/>
          <w:sz w:val="24"/>
          <w:szCs w:val="24"/>
        </w:rPr>
        <w:t xml:space="preserve"> are black box predictors. Although these models can be very predictive, they also tend to lack biological transparency. For antibiotic resistance research, interpretability is key because pathway prediction should be used to create a mechanism, as opposed to merely classification</w:t>
      </w:r>
      <w:r w:rsidR="00CE4636" w:rsidRPr="0012729E">
        <w:rPr>
          <w:rFonts w:ascii="Times New Roman" w:hAnsi="Times New Roman"/>
          <w:sz w:val="24"/>
          <w:szCs w:val="24"/>
        </w:rPr>
        <w:fldChar w:fldCharType="begin"/>
      </w:r>
      <w:r w:rsidR="006A53C0" w:rsidRPr="0012729E">
        <w:rPr>
          <w:rFonts w:ascii="Times New Roman" w:hAnsi="Times New Roman"/>
          <w:sz w:val="24"/>
          <w:szCs w:val="24"/>
        </w:rPr>
        <w:instrText xml:space="preserve"> ADDIN ZOTERO_ITEM CSL_CITATION {"citationID":"Ipm1sCvj","properties":{"formattedCitation":"(Abbas et al., 2024)","plainCitation":"(Abbas et al., 2024)","noteIndex":0},"citationItems":[{"id":19486,"uris":["http://zotero.org/users/16652950/items/KG7CJGZH"],"itemData":{"id":19486,"type":"article-journal","abstract":"Antibiotic resistance (AMR) is a global public health threat, challenging the effectiveness of antibiotics in combating bacterial infections. AMR also represents one of the most crucial survival traits evolved by bacteria. Antibiotics emerged hundreds of millions of years ago as advantageous secondary metabolites produced by microbes. Consequently, AMR is equally ancient and hardwired into the genetic fabric of bacteria. Human use of antibiotics for disease treatment has created selection pressure that spurs the evolution of new resistance mechanisms and the mobilization of existing ones through bacterial populations in the environment, animals, and humans. This integrated web of resistance elements is genetically complex and mechanistically diverse. Addressing this mode of bacterial survival requires innovation and investment to ensure continued use of antibiotics in the future. Strategies ranging from developing new therapies to applying artificial intelligence in monitoring AMR and discovering new drugs are being applied to manage the growing AMR crisis.","container-title":"Cell Host &amp; Microbe","DOI":"10.1016/j.chom.2024.05.015","ISSN":"1931-3128","issue":"6","journalAbbreviation":"Cell Host &amp; Microbe","page":"837-851","source":"ScienceDirect","title":"Antibiotic resistance: A key microbial survival mechanism that threatens public health","title-short":"Antibiotic resistance","volume":"32","author":[{"family":"Abbas","given":"Amna"},{"family":"Barkhouse","given":"Alexandra"},{"family":"Hackenberger","given":"Dirk"},{"family":"Wright","given":"Gerard D."}],"issued":{"date-parts":[["2024",6,12]]}}}],"schema":"https://github.com/citation-style-language/schema/raw/master/csl-citation.json"} </w:instrText>
      </w:r>
      <w:r w:rsidR="00CE4636" w:rsidRPr="0012729E">
        <w:rPr>
          <w:rFonts w:ascii="Times New Roman" w:hAnsi="Times New Roman"/>
          <w:sz w:val="24"/>
          <w:szCs w:val="24"/>
        </w:rPr>
        <w:fldChar w:fldCharType="separate"/>
      </w:r>
      <w:r w:rsidR="006A53C0" w:rsidRPr="0012729E">
        <w:rPr>
          <w:rFonts w:ascii="Times New Roman" w:hAnsi="Times New Roman"/>
          <w:sz w:val="24"/>
          <w:szCs w:val="24"/>
        </w:rPr>
        <w:t>(Abbas et al., 2024)</w:t>
      </w:r>
      <w:r w:rsidR="00CE4636" w:rsidRPr="0012729E">
        <w:rPr>
          <w:rFonts w:ascii="Times New Roman" w:hAnsi="Times New Roman"/>
          <w:sz w:val="24"/>
          <w:szCs w:val="24"/>
        </w:rPr>
        <w:fldChar w:fldCharType="end"/>
      </w:r>
      <w:r w:rsidRPr="0012729E">
        <w:rPr>
          <w:rFonts w:ascii="Times New Roman" w:hAnsi="Times New Roman"/>
          <w:sz w:val="24"/>
          <w:szCs w:val="24"/>
        </w:rPr>
        <w:t>.</w:t>
      </w:r>
    </w:p>
    <w:p w14:paraId="26F4CCA2"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 xml:space="preserve">The low transferability is also a </w:t>
      </w:r>
      <w:r w:rsidR="00DC1430" w:rsidRPr="0012729E">
        <w:rPr>
          <w:rFonts w:ascii="Times New Roman" w:hAnsi="Times New Roman"/>
          <w:sz w:val="24"/>
          <w:szCs w:val="24"/>
        </w:rPr>
        <w:t>hindrance</w:t>
      </w:r>
      <w:r w:rsidRPr="0012729E">
        <w:rPr>
          <w:rFonts w:ascii="Times New Roman" w:hAnsi="Times New Roman"/>
          <w:sz w:val="24"/>
          <w:szCs w:val="24"/>
        </w:rPr>
        <w:t xml:space="preserve"> in the application. This occurs because models developed in one microbial species, one ecological niche</w:t>
      </w:r>
      <w:r w:rsidR="00DC1430" w:rsidRPr="0012729E">
        <w:rPr>
          <w:rFonts w:ascii="Times New Roman" w:hAnsi="Times New Roman"/>
          <w:sz w:val="24"/>
          <w:szCs w:val="24"/>
        </w:rPr>
        <w:t>,</w:t>
      </w:r>
      <w:r w:rsidRPr="0012729E">
        <w:rPr>
          <w:rFonts w:ascii="Times New Roman" w:hAnsi="Times New Roman"/>
          <w:sz w:val="24"/>
          <w:szCs w:val="24"/>
        </w:rPr>
        <w:t xml:space="preserve"> or one lab condition do not usually perform well under different conditions. There is a lack of generalizability between datasets due to </w:t>
      </w:r>
      <w:r w:rsidR="00DC1430" w:rsidRPr="0012729E">
        <w:rPr>
          <w:rFonts w:ascii="Times New Roman" w:hAnsi="Times New Roman"/>
          <w:sz w:val="24"/>
          <w:szCs w:val="24"/>
        </w:rPr>
        <w:t>species-specific</w:t>
      </w:r>
      <w:r w:rsidRPr="0012729E">
        <w:rPr>
          <w:rFonts w:ascii="Times New Roman" w:hAnsi="Times New Roman"/>
          <w:sz w:val="24"/>
          <w:szCs w:val="24"/>
        </w:rPr>
        <w:t xml:space="preserve"> metabolism, regulatory variation</w:t>
      </w:r>
      <w:r w:rsidR="00DC1430" w:rsidRPr="0012729E">
        <w:rPr>
          <w:rFonts w:ascii="Times New Roman" w:hAnsi="Times New Roman"/>
          <w:sz w:val="24"/>
          <w:szCs w:val="24"/>
        </w:rPr>
        <w:t>,</w:t>
      </w:r>
      <w:r w:rsidRPr="0012729E">
        <w:rPr>
          <w:rFonts w:ascii="Times New Roman" w:hAnsi="Times New Roman"/>
          <w:sz w:val="24"/>
          <w:szCs w:val="24"/>
        </w:rPr>
        <w:t xml:space="preserve"> and environmental adaptation</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{"citationID":"PQwd4UYP","properties":{"formattedCitation":"(Hri\\uc0\\u539{}cu et al., 2025)","plainCitation":"(Hrițcu et al., 2025)","noteIndex":0},"citationItems":[{"id":19420,"uris":["http://zotero.org/users/16652950/items/W5J83R3T"],"itemData":{"id":19420,"type":"article-journal","abstract":"Interspecies variability in diabetes mellitus (DM) represents a critical challenge for translational medicine, as metabolic pathways, pancreatic archi...","container-title":"Life","DOI":"10.3390/life16010064","ISSN":"2075-1729","issue":"1","language":"en","license":"http://creativecommons.org/licenses/by/3.0/","note":"publisher: Multidisciplinary Digital Publishing Institute","source":"www.mdpi.com","title":"Systematic Review: Exploring Inter-Species Variability in Diabetes Mellitus for Translational Medicine","title-short":"Systematic Review","URL":"https://www.mdpi.com/2075-1729/16/1/64","volume":"16","author":[{"family":"Hrițcu","given":"Luminița Diana"},{"family":"Boghian","given":"Vasile"},{"family":"Pavel","given":"Geta"},{"family":"Hrițcu","given":"Teodor Daniel"},{"family":"Nechifor","given":"Florin"},{"family":"Spataru","given":"Alexandru"},{"family":"Cherșunaru","given":"Alexandra Andreea"},{"family":"Munteanu","given":"Alexandru"},{"family":"Ciocoiu","given":"Manuela"},{"family":"Spataru","given":"Mihaela-Claudia"}],"accessed":{"date-parts":[["2026",5,26]]},"issued":{"date-parts":[["2025",12,30]]}}}],"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(Hrițcu et al., 2025)</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185B2A90" w14:textId="77777777" w:rsidR="003072EA" w:rsidRPr="0012729E" w:rsidRDefault="003072EA" w:rsidP="003072EA">
      <w:pPr>
        <w:rPr>
          <w:rFonts w:ascii="Times New Roman" w:hAnsi="Times New Roman"/>
          <w:sz w:val="24"/>
          <w:szCs w:val="24"/>
        </w:rPr>
      </w:pPr>
      <w:r w:rsidRPr="0012729E">
        <w:rPr>
          <w:rFonts w:ascii="Times New Roman" w:hAnsi="Times New Roman"/>
          <w:sz w:val="24"/>
          <w:szCs w:val="24"/>
        </w:rPr>
        <w:t>Last but not least, validation continues to be one of the critical bottlenecks. Experimental validation by wet laboratory experiments like metabolic profiling, gene perturbation analysis</w:t>
      </w:r>
      <w:r w:rsidR="00DC1430" w:rsidRPr="0012729E">
        <w:rPr>
          <w:rFonts w:ascii="Times New Roman" w:hAnsi="Times New Roman"/>
          <w:sz w:val="24"/>
          <w:szCs w:val="24"/>
        </w:rPr>
        <w:t>,</w:t>
      </w:r>
      <w:r w:rsidRPr="0012729E">
        <w:rPr>
          <w:rFonts w:ascii="Times New Roman" w:hAnsi="Times New Roman"/>
          <w:sz w:val="24"/>
          <w:szCs w:val="24"/>
        </w:rPr>
        <w:t xml:space="preserve"> and functional assays is needed to confirm computational predictions. These processes are costly, </w:t>
      </w:r>
      <w:r w:rsidR="00DC1430" w:rsidRPr="0012729E">
        <w:rPr>
          <w:rFonts w:ascii="Times New Roman" w:hAnsi="Times New Roman"/>
          <w:sz w:val="24"/>
          <w:szCs w:val="24"/>
        </w:rPr>
        <w:t>time-consuming</w:t>
      </w:r>
      <w:r w:rsidRPr="0012729E">
        <w:rPr>
          <w:rFonts w:ascii="Times New Roman" w:hAnsi="Times New Roman"/>
          <w:sz w:val="24"/>
          <w:szCs w:val="24"/>
        </w:rPr>
        <w:t xml:space="preserve">, and can be slow to achieve translation progress. In the meantime, the ability to predict will remain limited in its clinical and ecological use until there is </w:t>
      </w:r>
      <w:r w:rsidR="00DC1430" w:rsidRPr="0012729E">
        <w:rPr>
          <w:rFonts w:ascii="Times New Roman" w:hAnsi="Times New Roman"/>
          <w:sz w:val="24"/>
          <w:szCs w:val="24"/>
        </w:rPr>
        <w:t xml:space="preserve">an </w:t>
      </w:r>
      <w:r w:rsidRPr="0012729E">
        <w:rPr>
          <w:rFonts w:ascii="Times New Roman" w:hAnsi="Times New Roman"/>
          <w:sz w:val="24"/>
          <w:szCs w:val="24"/>
        </w:rPr>
        <w:t>improved linkage between computational biology and experimental microbiology</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{"citationID":"VCKFCjRe","properties":{"formattedCitation":"(Shokri Garjan et al., 2025)","plainCitation":"(Shokri Garjan et al., 2025)","noteIndex":0},"citationItems":[{"id":19412,"uris":["http://zotero.org/users/16652950/items/MEBQ93Y9"],"itemData":{"id":19412,"type":"article-journal","abstract":"Complex and diverse microbial communities are closely linked to human health, and their study plays a vital role in advancing medicine, particularly personalized healthcare. Identifying potential microbe–disease–drug relationships is useful for drug discovery and clinical treatment, and it also improves our understanding of microbial mechanisms. Due to the complexity and cost of biological experiments, computational methods provide a rapid and efficient way to predict potential interactions between microbes, drugs, and diseases. In this article, we predict relationships between microbes, drugs, and diseases using existing similarity and interaction data through Cytoscape software. Some of the potential relationships were confirmed by the available information, while the others require further clinical investigation. Due to the critical role of the microbiome in disease and medicine, more research and information are needed in this field. In the future, the various interactions between drugs, microbes, and diseases may improve the understanding of personalized medicine, promote early diagnosis, and provide potential treatments for a wide range of diseases.","container-title":"Scientific Reports","DOI":"10.1038/s41598-025-29306-6","ISSN":"2045-2322","journalAbbreviation":"Sci Rep","note":"PMID: 41318735\nPMCID: PMC12764909","page":"53","source":"PubMed Central","title":"Computational prediction and conformation of relationships among microbes, drugs and diseases","volume":"16","author":[{"family":"Shokri Garjan","given":"Hassan"},{"family":"Samadi Pakchin","given":"Parvin"},{"family":"Ferdousi","given":"Reza"}],"issued":{"date-parts":[["2025",11,29]]}}}],"schema":"https://github.com/citation-style-language/schema/raw/master/csl-citation.json"}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(Shokri Garjan et al., 2025)</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7C7C8344" w14:textId="77777777" w:rsidR="008D37E0" w:rsidRPr="0012729E" w:rsidRDefault="00573F0C" w:rsidP="003072EA">
      <w:pPr>
        <w:rPr>
          <w:rFonts w:ascii="Times New Roman" w:hAnsi="Times New Roman"/>
          <w:b/>
          <w:bCs/>
          <w:sz w:val="24"/>
          <w:szCs w:val="24"/>
        </w:rPr>
      </w:pPr>
      <w:r w:rsidRPr="0012729E">
        <w:rPr>
          <w:rFonts w:ascii="Times New Roman" w:hAnsi="Times New Roman"/>
          <w:b/>
          <w:bCs/>
          <w:sz w:val="24"/>
          <w:szCs w:val="24"/>
        </w:rPr>
        <w:t>8.</w:t>
      </w:r>
      <w:r w:rsidR="00DC1430" w:rsidRPr="0012729E">
        <w:rPr>
          <w:rFonts w:ascii="Times New Roman" w:hAnsi="Times New Roman"/>
          <w:b/>
          <w:bCs/>
          <w:sz w:val="24"/>
          <w:szCs w:val="24"/>
        </w:rPr>
        <w:t xml:space="preserve"> </w:t>
      </w:r>
      <w:r w:rsidRPr="0012729E">
        <w:rPr>
          <w:rFonts w:ascii="Times New Roman" w:hAnsi="Times New Roman"/>
          <w:b/>
          <w:bCs/>
          <w:sz w:val="24"/>
          <w:szCs w:val="24"/>
        </w:rPr>
        <w:t>Future Directions</w:t>
      </w:r>
    </w:p>
    <w:p w14:paraId="4FC4C74E" w14:textId="77777777" w:rsidR="008D37E0" w:rsidRPr="0012729E" w:rsidRDefault="00000000">
      <w:pPr>
        <w:rPr>
          <w:rFonts w:ascii="Times New Roman" w:hAnsi="Times New Roman"/>
          <w:sz w:val="24"/>
          <w:szCs w:val="24"/>
        </w:rPr>
      </w:pPr>
      <w:r w:rsidRPr="0012729E">
        <w:rPr>
          <w:rFonts w:ascii="Times New Roman" w:hAnsi="Times New Roman"/>
          <w:sz w:val="24"/>
          <w:szCs w:val="24"/>
        </w:rPr>
        <w:t>The future of artificial intelligence in antimicrobial resistance research lies in the convergence of computational innovation, biological interpretability, and clinically actionable precision. As resistance mechanisms become increasingly complex and multidimensional, emerging AI frameworks are expected to move beyond predictive classification toward intelligent systems capable of reasoning, adaptation, and therapeutic design</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{"citationID":"LjZMQWjX","properties":{"formattedCitation":"(Fahim et al., 2025)","plainCitation":"(Fahim et al., 2025)","noteIndex":0},"citationItems":[{"id":19401,"uris":["http://zotero.org/users/16652950/items/WDGY9X9J"],"itemData":{"id":19401,"type":"article-journal","abstract":"Healthcare systems worldwide face growing challenges, including rising costs, workforce shortages, and disparities in access and quality, particularly in low- and middle-income countries. Artificial intelligence (AI) has emerged as a transformative tool capable of addressing these issues by enhancing diagnostics, treatment planning, patient monitoring, and healthcare efficiency. AI’s role in modern medicine spans disease detection, personalized care, drug discovery, predictive analytics, telemedicine, and wearable health technologies. Leveraging machine learning and deep learning, AI can analyze complex data sets, including electronic health records, medical imaging, and genomic profiles, to identify patterns, predict disease progression, and recommend optimized treatment strategies. AI also has the potential to promote equity by enabling cost-effective, resource-efficient solutions in low-resource and remote settings, such as mobile diagnostics, wearable biosensors, and lightweight algorithms. Successful deployment requires addressing critical challenges, including data privacy, algorithmic bias, model interpretability, regulatory oversight, and maintaining human clinical oversight. Emphasizing scalable, ethical, and evidence-driven implementation, key strategies include clinician training in AI literacy, adoption of resource efficient tools, global collaboration, and robust regulatory frameworks to ensure transparency, safety, and accountability. By complementing rather than replacing healthcare professionals, AI can reduce errors, optimize resources, improve patient outcomes, and expand access to quality care. This review emphasizes the responsible integration of AI as a powerful catalyst for innovation, sustainability, and equity in healthcare delivery worldwide.","container-title":"European Journal of Medical Research","DOI":"10.1186/s40001-025-03196-w","ISSN":"0949-2321","journalAbbreviation":"Eur J Med Res","note":"PMID: 40988064\nPMCID: PMC12455834","page":"848","source":"PubMed Central","title":"Artificial intelligence in healthcare and medicine: clinical applications, therapeutic advances, and future perspectives","title-short":"Artificial intelligence in healthcare and medicine","volume":"30","author":[{"family":"Fahim","given":"Yosri A."},{"family":"Hasani","given":"Ibrahim W."},{"family":"Kabba","given":"Samer"},{"family":"Ragab","given":"Waleed Mahmoud"}],"issued":{"date-parts":[["2025",9,23]]}}}],"schema":"https://github.com/citation-style-language/schema/raw/master/csl-citation.json"}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(Fahim et al., 2025)</w:t>
      </w:r>
      <w:r w:rsidR="00930415" w:rsidRPr="0012729E">
        <w:rPr>
          <w:rFonts w:ascii="Times New Roman" w:hAnsi="Times New Roman"/>
          <w:sz w:val="24"/>
          <w:szCs w:val="24"/>
        </w:rPr>
        <w:fldChar w:fldCharType="end"/>
      </w:r>
      <w:r w:rsidRPr="0012729E">
        <w:rPr>
          <w:rFonts w:ascii="Times New Roman" w:hAnsi="Times New Roman"/>
          <w:sz w:val="24"/>
          <w:szCs w:val="24"/>
        </w:rPr>
        <w:t>.</w:t>
      </w:r>
    </w:p>
    <w:p w14:paraId="4B1EE210" w14:textId="77777777" w:rsidR="008D37E0" w:rsidRPr="0012729E" w:rsidRDefault="00000000">
      <w:pPr>
        <w:rPr>
          <w:rFonts w:ascii="Times New Roman" w:hAnsi="Times New Roman"/>
          <w:sz w:val="24"/>
          <w:szCs w:val="24"/>
        </w:rPr>
      </w:pPr>
      <w:r w:rsidRPr="0012729E">
        <w:rPr>
          <w:rFonts w:ascii="Times New Roman" w:hAnsi="Times New Roman"/>
          <w:sz w:val="24"/>
          <w:szCs w:val="24"/>
        </w:rPr>
        <w:t xml:space="preserve">One of the most promising developments is explainable artificial intelligence, which addresses a major limitation of current machine learning systems by making computational predictions biologically interpretable. Rather than functioning as opaque decision tools, explainable models </w:t>
      </w:r>
      <w:r w:rsidRPr="0012729E">
        <w:rPr>
          <w:rFonts w:ascii="Times New Roman" w:hAnsi="Times New Roman"/>
          <w:sz w:val="24"/>
          <w:szCs w:val="24"/>
        </w:rPr>
        <w:lastRenderedPageBreak/>
        <w:t>can reveal the molecular pathways, microbial interactions, and environmental factors influencing resistance outcomes</w:t>
      </w:r>
      <w:r w:rsidR="0005386D" w:rsidRPr="0012729E">
        <w:rPr>
          <w:rFonts w:ascii="Times New Roman" w:hAnsi="Times New Roman"/>
          <w:sz w:val="24"/>
          <w:szCs w:val="24"/>
        </w:rPr>
        <w:fldChar w:fldCharType="begin"/>
      </w:r>
      <w:r w:rsidR="007C3D5B" w:rsidRPr="0012729E">
        <w:rPr>
          <w:rFonts w:ascii="Times New Roman" w:hAnsi="Times New Roman"/>
          <w:sz w:val="24"/>
          <w:szCs w:val="24"/>
        </w:rPr>
        <w:instrText xml:space="preserve"> ADDIN ZOTERO_ITEM CSL_CITATION {"citationID":"g24aH6FG","properties":{"formattedCitation":"(Lu et al., 2025)","plainCitation":"(Lu et al., 2025)","noteIndex":0},"citationItems":[{"id":19483,"uris":["http://zotero.org/users/16652950/items/PYXCNIZM"],"itemData":{"id":19483,"type":"article-journal","abstract":"Simple Summary \nViral diseases in farm animals spread quickly and can severely damage animal health and food production. At the heart of these infections is a complex “host–microorganism interaction”: viruses must enter animal cells, use the host’s machinery to multiply, and at the same time avoid being eliminated by the immune system. Understanding these interactions in a systematic way is difficult with traditional experiments alone because they are slow, expensive, and capture only part of this complexity. This review explains how modern computer methods, especially machine learning and deep learning, can help scientists study host–virus interactions more efficiently. We describe how these tools can analyze large sets of genetic and protein data to identify which animal molecules viruses use to enter cells and which host pathways they disrupt. We also summarize how computer models can support early detection of infection on farms and assist in selecting drug and vaccine targets that interfere with key host–virus interactions. Although challenges remain, such as limited data quality and rapidly changing viruses, this approach offers promising new ways to protect animal health and strengthen food security.\n\nAbstract\nThe rapid industrialization of global livestock production has intensified the threat of viral epidemics, in which the intestinal, respiratory, and reproductive systems are susceptible to viral attacks. Understanding the mechanism of virus–host interactions will facilitate the development of prevention strategies against highly mutable and fast-spreading pathogens. This review examines recent progress in applying machine learning (ML) and deep learning (DL) to the study and control of animal viral diseases. By analyzing existing research, we show how these techniques improve the prediction of host–microbe interactions, support continuous monitoring of animal health, and accelerate the discovery of drug targets and vaccine candidates. Integrating ML and DL frameworks enables more accurate modeling of complex biological processes and offers new tools for data-driven veterinary science. Nevertheless, challenges remain, including unbalanced datasets, the structural and evolutionary complexity of viruses, and the poor cross-species transferability of predictive models. Future work should emphasize algorithmic designs suited to small-sample, multivariate time series data and promote the development of intelligent systems that unite virology, immunology, and epidemiology. The combination of reinforcement learning for optimizing vaccination strategies and unsupervised learning for detecting emerging pathogens may ultimately lead to adaptive, efficient, and precise systems for disease prevention, supporting both animal health and sustainable livestock development.","container-title":"Veterinary Sciences","DOI":"10.3390/vetsci12121129","ISSN":"2306-7381","issue":"12","journalAbbreviation":"Vet Sci","note":"PMID: 41472108\nPMCID: PMC12737570","page":"1129","source":"PubMed Central","title":"Host–Microbe Interactions: Prospects of Machine Learning and Deep Learning Technologies in Animal Viral Disease Management","title-short":"Host–Microbe Interactions","volume":"12","author":[{"family":"Lu","given":"Yiting"},{"family":"Li","given":"Xiaowen"},{"family":"Abd El-Aty","given":"A. M."},{"family":"Ju","given":"Xianghong"},{"family":"Yong","given":"Yanhong"}],"issued":{"date-parts":[["2025",11,27]]}}}],"schema":"https://github.com/citation-style-language/schema/raw/master/csl-citation.json"} </w:instrText>
      </w:r>
      <w:r w:rsidR="0005386D" w:rsidRPr="0012729E">
        <w:rPr>
          <w:rFonts w:ascii="Times New Roman" w:hAnsi="Times New Roman"/>
          <w:sz w:val="24"/>
          <w:szCs w:val="24"/>
        </w:rPr>
        <w:fldChar w:fldCharType="separate"/>
      </w:r>
      <w:r w:rsidR="007C3D5B" w:rsidRPr="0012729E">
        <w:rPr>
          <w:rFonts w:ascii="Times New Roman" w:hAnsi="Times New Roman"/>
          <w:sz w:val="24"/>
          <w:szCs w:val="24"/>
        </w:rPr>
        <w:t>(Lu et al., 2025)</w:t>
      </w:r>
      <w:r w:rsidR="0005386D" w:rsidRPr="0012729E">
        <w:rPr>
          <w:rFonts w:ascii="Times New Roman" w:hAnsi="Times New Roman"/>
          <w:sz w:val="24"/>
          <w:szCs w:val="24"/>
        </w:rPr>
        <w:fldChar w:fldCharType="end"/>
      </w:r>
      <w:r w:rsidRPr="0012729E">
        <w:rPr>
          <w:rFonts w:ascii="Times New Roman" w:hAnsi="Times New Roman"/>
          <w:sz w:val="24"/>
          <w:szCs w:val="24"/>
        </w:rPr>
        <w:t>. This transparency is essential for clinical trust, regulatory approval, and scientific validation, particularly when AI systems are used to guide treatment decisions.</w:t>
      </w:r>
    </w:p>
    <w:p w14:paraId="7AD35AC6" w14:textId="77777777" w:rsidR="00930415" w:rsidRPr="0012729E" w:rsidRDefault="00000000">
      <w:pPr>
        <w:rPr>
          <w:rFonts w:ascii="Times New Roman" w:hAnsi="Times New Roman"/>
          <w:sz w:val="24"/>
          <w:szCs w:val="24"/>
        </w:rPr>
      </w:pPr>
      <w:r w:rsidRPr="0012729E">
        <w:rPr>
          <w:rFonts w:ascii="Times New Roman" w:hAnsi="Times New Roman"/>
          <w:sz w:val="24"/>
          <w:szCs w:val="24"/>
        </w:rPr>
        <w:t xml:space="preserve">Another transformative direction involves foundation models, particularly large biological transformer architectures trained on genomic, proteomic, and </w:t>
      </w:r>
      <w:r w:rsidR="00DC1430" w:rsidRPr="0012729E">
        <w:rPr>
          <w:rFonts w:ascii="Times New Roman" w:hAnsi="Times New Roman"/>
          <w:sz w:val="24"/>
          <w:szCs w:val="24"/>
        </w:rPr>
        <w:t>microbiome-scale</w:t>
      </w:r>
      <w:r w:rsidRPr="0012729E">
        <w:rPr>
          <w:rFonts w:ascii="Times New Roman" w:hAnsi="Times New Roman"/>
          <w:sz w:val="24"/>
          <w:szCs w:val="24"/>
        </w:rPr>
        <w:t xml:space="preserve"> datasets. These models have the potential to learn universal biological representations, enabling transfer learning across diverse microbial environments and improving prediction accuracy even in limited data settings. Such systems may eventually serve as foundational platforms for diagnostics, drug discovery, and evolutionary forecasting</w:t>
      </w:r>
      <w:r w:rsidR="00294D44" w:rsidRPr="0012729E">
        <w:rPr>
          <w:rFonts w:ascii="Times New Roman" w:hAnsi="Times New Roman"/>
          <w:sz w:val="24"/>
          <w:szCs w:val="24"/>
        </w:rPr>
        <w:fldChar w:fldCharType="begin"/>
      </w:r>
      <w:r w:rsidR="00294D44" w:rsidRPr="0012729E">
        <w:rPr>
          <w:rFonts w:ascii="Times New Roman" w:hAnsi="Times New Roman"/>
          <w:sz w:val="24"/>
          <w:szCs w:val="24"/>
        </w:rPr>
        <w:instrText xml:space="preserve"> ADDIN ZOTERO_ITEM CSL_CITATION {"citationID":"DzZ1TzGN","properties":{"formattedCitation":"(Serrano et al., 2024)","plainCitation":"(Serrano et al., 2024)","noteIndex":0},"citationItems":[{"id":19404,"uris":["http://zotero.org/users/16652950/items/2N8F7BAE"],"itemData":{"id":19404,"type":"article-journal","abstract":"Artificial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healthcare.","container-title":"Pharmaceutics","DOI":"10.3390/pharmaceutics16101328","ISSN":"1999-4923","issue":"10","journalAbbreviation":"Pharmaceutics","note":"PMID: 39458657\nPMCID: PMC11510778","page":"1328","source":"PubMed Central","title":"Artificial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K."},{"family":"Rawat","given":"Satyavati"},{"family":"Kumar","given":"Dinesh"},{"family":"Lalatsa","given":"Aikaterini"}],"issued":{"date-parts":[["2024",10,14]]}}}],"schema":"https://github.com/citation-style-language/schema/raw/master/csl-citation.json"} </w:instrText>
      </w:r>
      <w:r w:rsidR="00294D44" w:rsidRPr="0012729E">
        <w:rPr>
          <w:rFonts w:ascii="Times New Roman" w:hAnsi="Times New Roman"/>
          <w:sz w:val="24"/>
          <w:szCs w:val="24"/>
        </w:rPr>
        <w:fldChar w:fldCharType="separate"/>
      </w:r>
      <w:r w:rsidR="00294D44" w:rsidRPr="0012729E">
        <w:rPr>
          <w:rFonts w:ascii="Times New Roman" w:hAnsi="Times New Roman"/>
          <w:sz w:val="24"/>
          <w:szCs w:val="24"/>
        </w:rPr>
        <w:t>(Serrano et al., 2024)</w:t>
      </w:r>
      <w:r w:rsidR="00294D44" w:rsidRPr="0012729E">
        <w:rPr>
          <w:rFonts w:ascii="Times New Roman" w:hAnsi="Times New Roman"/>
          <w:sz w:val="24"/>
          <w:szCs w:val="24"/>
        </w:rPr>
        <w:fldChar w:fldCharType="end"/>
      </w:r>
      <w:r w:rsidRPr="0012729E">
        <w:rPr>
          <w:rFonts w:ascii="Times New Roman" w:hAnsi="Times New Roman"/>
          <w:sz w:val="24"/>
          <w:szCs w:val="24"/>
        </w:rPr>
        <w:t>.</w:t>
      </w:r>
      <w:r w:rsidR="00930415" w:rsidRPr="0012729E">
        <w:rPr>
          <w:rFonts w:ascii="Times New Roman" w:hAnsi="Times New Roman"/>
          <w:sz w:val="24"/>
          <w:szCs w:val="24"/>
        </w:rPr>
        <w:t xml:space="preserve"> </w:t>
      </w:r>
    </w:p>
    <w:p w14:paraId="194E4B67" w14:textId="77777777" w:rsidR="008D37E0" w:rsidRPr="0012729E" w:rsidRDefault="00000000">
      <w:pPr>
        <w:rPr>
          <w:rFonts w:ascii="Times New Roman" w:hAnsi="Times New Roman"/>
          <w:sz w:val="24"/>
          <w:szCs w:val="24"/>
        </w:rPr>
      </w:pPr>
      <w:r w:rsidRPr="0012729E">
        <w:rPr>
          <w:rFonts w:ascii="Times New Roman" w:hAnsi="Times New Roman"/>
          <w:sz w:val="24"/>
          <w:szCs w:val="24"/>
        </w:rPr>
        <w:t xml:space="preserve">Reinforcement learning offers another innovative frontier, particularly in optimizing antibiotic treatment strategies. Through continuous feedback and adaptive decision making, these models can identify dosing regimens or drug combinations that minimize resistance emergence while maximizing therapeutic efficacy. This dynamic approach aligns closely with the complexity of </w:t>
      </w:r>
      <w:r w:rsidR="00DC1430" w:rsidRPr="0012729E">
        <w:rPr>
          <w:rFonts w:ascii="Times New Roman" w:hAnsi="Times New Roman"/>
          <w:sz w:val="24"/>
          <w:szCs w:val="24"/>
        </w:rPr>
        <w:t>real-world</w:t>
      </w:r>
      <w:r w:rsidRPr="0012729E">
        <w:rPr>
          <w:rFonts w:ascii="Times New Roman" w:hAnsi="Times New Roman"/>
          <w:sz w:val="24"/>
          <w:szCs w:val="24"/>
        </w:rPr>
        <w:t xml:space="preserve"> clinical environments</w:t>
      </w:r>
      <w:r w:rsidR="0005386D" w:rsidRPr="0012729E">
        <w:rPr>
          <w:rFonts w:ascii="Times New Roman" w:hAnsi="Times New Roman"/>
          <w:sz w:val="24"/>
          <w:szCs w:val="24"/>
        </w:rPr>
        <w:fldChar w:fldCharType="begin"/>
      </w:r>
      <w:r w:rsidR="0005386D" w:rsidRPr="0012729E">
        <w:rPr>
          <w:rFonts w:ascii="Times New Roman" w:hAnsi="Times New Roman"/>
          <w:sz w:val="24"/>
          <w:szCs w:val="24"/>
        </w:rPr>
        <w:instrText xml:space="preserve"> ADDIN ZOTERO_ITEM CSL_CITATION {"citationID":"QevRnFIG","properties":{"formattedCitation":"(Elendu et al., 2024)","plainCitation":"(Elendu et al., 2024)","noteIndex":0},"citationItems":[{"id":19407,"uris":["http://zotero.org/users/16652950/items/VKJ59UI7"],"itemData":{"id":19407,"type":"article-journal","abstract":"Simulation-based training (SBT) has emerged as a transformative approach in medical education, significantly enhancing healthcare professionals’ learning experience and clinical competency. This article explores the impact of SBT, tracing its historical development and examining the various types of simulations utilized today, including high-fidelity mannequins, virtual reality environments, standardized patients, and hybrid simulations. These methods offer a safe and controlled environment for students to practice and hone technical and non-technical skills, ultimately improving patient safety and clinical outcomes. The benefits of SBT are manifold, including enhanced skill acquisition, error reduction, and the opportunity for repeated practice without risk to actual patients. Immediate feedback and structured debriefing further solidify learning, making Simulation an invaluable tool in medical education. However, the implementation of SBT is challenging. It requires substantial financial investment, specialized equipment, and trained faculty. Additionally, there are concerns about the realism of simulations and the transferability of skills to real-world clinical settings. Despite these challenges, numerous case studies and empirical research underscore the effectiveness of SBT compared to traditional methods. Looking ahead, advancements in technology, such as artificial intelligence and improved virtual reality applications, promise to enhance the efficacy and accessibility of simulation training. The integration of Simulation with other training modalities and its adoption in diverse global contexts highlight its potential to revolutionize medical education worldwide. This article affirms the crucial role of SBT in preparing the next generation of healthcare professionals and its ongoing evolution driven by technological innovations.","container-title":"Medicine","DOI":"10.1097/MD.0000000000038813","ISSN":"0025-7974","issue":"27","journalAbbreviation":"Medicine (Baltimore)","note":"PMID: 38968472\nPMCID: PMC11224887","page":"e38813","source":"PubMed Central","title":"The impact of simulation-based training in medical education: A review","title-short":"The impact of simulation-based training in medical education","volume":"103","author":[{"family":"Elendu","given":"Chukwuka"},{"family":"Amaechi","given":"Dependable C."},{"family":"Okatta","given":"Alexander U."},{"family":"Amaechi","given":"Emmanuel C."},{"family":"Elendu","given":"Tochi C."},{"family":"Ezeh","given":"Chiamaka P."},{"family":"Elendu","given":"Ijeoma D."}],"issued":{"date-parts":[["2024",7,5]]}}}],"schema":"https://github.com/citation-style-language/schema/raw/master/csl-citation.json"} </w:instrText>
      </w:r>
      <w:r w:rsidR="0005386D" w:rsidRPr="0012729E">
        <w:rPr>
          <w:rFonts w:ascii="Times New Roman" w:hAnsi="Times New Roman"/>
          <w:sz w:val="24"/>
          <w:szCs w:val="24"/>
        </w:rPr>
        <w:fldChar w:fldCharType="separate"/>
      </w:r>
      <w:r w:rsidR="0005386D" w:rsidRPr="0012729E">
        <w:rPr>
          <w:rFonts w:ascii="Times New Roman" w:hAnsi="Times New Roman"/>
          <w:sz w:val="24"/>
          <w:szCs w:val="24"/>
        </w:rPr>
        <w:t>(Elendu et al., 2024)</w:t>
      </w:r>
      <w:r w:rsidR="0005386D" w:rsidRPr="0012729E">
        <w:rPr>
          <w:rFonts w:ascii="Times New Roman" w:hAnsi="Times New Roman"/>
          <w:sz w:val="24"/>
          <w:szCs w:val="24"/>
        </w:rPr>
        <w:fldChar w:fldCharType="end"/>
      </w:r>
      <w:r w:rsidRPr="0012729E">
        <w:rPr>
          <w:rFonts w:ascii="Times New Roman" w:hAnsi="Times New Roman"/>
          <w:sz w:val="24"/>
          <w:szCs w:val="24"/>
        </w:rPr>
        <w:t>.</w:t>
      </w:r>
    </w:p>
    <w:p w14:paraId="6BAF706D" w14:textId="77777777" w:rsidR="008D37E0" w:rsidRPr="0012729E" w:rsidRDefault="00000000">
      <w:pPr>
        <w:rPr>
          <w:rFonts w:ascii="Times New Roman" w:hAnsi="Times New Roman"/>
          <w:sz w:val="24"/>
          <w:szCs w:val="24"/>
        </w:rPr>
      </w:pPr>
      <w:r w:rsidRPr="0012729E">
        <w:rPr>
          <w:rFonts w:ascii="Times New Roman" w:hAnsi="Times New Roman"/>
          <w:sz w:val="24"/>
          <w:szCs w:val="24"/>
        </w:rPr>
        <w:t>The integration of spatial omics with artificial intelligence will further deepen understanding of resistance mechanisms by mapping microbial behavior within tissue architecture and biofilm communities</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{"citationID":"jMSxocnD","properties":{"formattedCitation":"(Coleman et al., 2024)","plainCitation":"(Coleman et al., 2024)","noteIndex":0},"citationItems":[{"id":19395,"uris":["http://zotero.org/users/16652950/items/EQH5DQNB"],"itemData":{"id":19395,"type":"article-journal","abstract":"Spatial omics technologies have transformed biomedical research by providing detailed, spatially resolved molecular profiles that enhance our understanding of tissue structure and function at unprecedented levels. Artificial intelligence (AI) holds great potential to unlock the full power of spatial omics, facilitating the integration of complex datasets and accelerating the discovery of novel biomedical insights.","container-title":"Nature methods","DOI":"10.1038/s41592-024-02363-x","ISSN":"1548-7091","issue":"8","journalAbbreviation":"Nat Methods","note":"PMID: 39122938\nPMCID: PMC12023348","page":"1378-1381","source":"PubMed Central","title":"Unlocking the power of spatial omics with AI","volume":"21","author":[{"family":"Coleman","given":"Kyle"},{"family":"Schroeder","given":"Amelia"},{"family":"Li","given":"Mingyao"}],"issued":{"date-parts":[["2024",8]]}}}],"schema":"https://github.com/citation-style-language/schema/raw/master/csl-citation.json"}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(Coleman et al., 2024)</w:t>
      </w:r>
      <w:r w:rsidR="00930415" w:rsidRPr="0012729E">
        <w:rPr>
          <w:rFonts w:ascii="Times New Roman" w:hAnsi="Times New Roman"/>
          <w:sz w:val="24"/>
          <w:szCs w:val="24"/>
        </w:rPr>
        <w:fldChar w:fldCharType="end"/>
      </w:r>
      <w:r w:rsidRPr="0012729E">
        <w:rPr>
          <w:rFonts w:ascii="Times New Roman" w:hAnsi="Times New Roman"/>
          <w:sz w:val="24"/>
          <w:szCs w:val="24"/>
        </w:rPr>
        <w:t>.</w:t>
      </w:r>
      <w:r w:rsidR="004933C3" w:rsidRPr="0012729E">
        <w:rPr>
          <w:rFonts w:ascii="Times New Roman" w:hAnsi="Times New Roman"/>
          <w:sz w:val="24"/>
          <w:szCs w:val="24"/>
        </w:rPr>
        <w:t xml:space="preserve"> </w:t>
      </w:r>
      <w:r w:rsidRPr="0012729E">
        <w:rPr>
          <w:rFonts w:ascii="Times New Roman" w:hAnsi="Times New Roman"/>
          <w:sz w:val="24"/>
          <w:szCs w:val="24"/>
        </w:rPr>
        <w:t xml:space="preserve">Similarly, combining AI with synthetic biology could enable the rational design of </w:t>
      </w:r>
      <w:r w:rsidR="00DC1430" w:rsidRPr="0012729E">
        <w:rPr>
          <w:rFonts w:ascii="Times New Roman" w:hAnsi="Times New Roman"/>
          <w:sz w:val="24"/>
          <w:szCs w:val="24"/>
        </w:rPr>
        <w:t>pathway-disrupting</w:t>
      </w:r>
      <w:r w:rsidRPr="0012729E">
        <w:rPr>
          <w:rFonts w:ascii="Times New Roman" w:hAnsi="Times New Roman"/>
          <w:sz w:val="24"/>
          <w:szCs w:val="24"/>
        </w:rPr>
        <w:t xml:space="preserve"> therapies aimed at weakening microbial defense systems or restoring antibiotic susceptibility.</w:t>
      </w:r>
    </w:p>
    <w:p w14:paraId="447906C6" w14:textId="77777777" w:rsidR="008D37E0" w:rsidRPr="0012729E" w:rsidRDefault="00DC1430">
      <w:pPr>
        <w:rPr>
          <w:rFonts w:ascii="Times New Roman" w:hAnsi="Times New Roman"/>
          <w:sz w:val="24"/>
          <w:szCs w:val="24"/>
        </w:rPr>
      </w:pPr>
      <w:r w:rsidRPr="0012729E">
        <w:rPr>
          <w:rFonts w:ascii="Times New Roman" w:hAnsi="Times New Roman"/>
          <w:sz w:val="24"/>
          <w:szCs w:val="24"/>
        </w:rPr>
        <w:t>Real-time antimicrobial resistance surveillance is also expected to expand through AI-driven monitoring of hospital systems, environmental reservoirs, and wastewater networks</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{"citationID":"ZKtfpop6","properties":{"formattedCitation":"(Punch et al., 2025)","plainCitation":"(Punch et al., 2025)","noteIndex":0},"citationItems":[{"id":19393,"uris":["http://zotero.org/users/16652950/items/JS4IZW9R"],"itemData":{"id":19393,"type":"article-journal","abstract":"Surveillance of antimicrobial resistance (AMR) via a One Health approach must consider the interconnectivity between humans, animals, and the environment. Traditionally, AMR surveillance has relied upon patient-based surveillance in healthcare settings. Wastewater surveillance (WWS) has recently been demonstrated for monitoring AMR to and/or from wastewater treatment plants (WWTPs) which represent a point of intersection between humans, animals and the environment. WWS can be associated with AMR presence and dissemination across entire communities or WWTP catchments, as well as the transfer of AMR to agricultural lands and receiving waters via genes and/or organisms. In this review, the various methodologies used for WWS of AMR and their interpretative significance are identified and discussed, in addition to the potential approaches and outcomes associated with AMR monitoring within WWTPs. A total of 177 reports were identified covering the period 2014 to October 2024, with 136 (76.8 %) appearing after 2019. These recent papers show a distinct emphasis on qPCR and sequencing-based approaches. Surveillance is now global in scope, albeit with a current emphasis on WWTPs in high-income countries. To achieve more effective, global WWS of AMR under a One Health lens, all relevant sectors must understand the principles and capabilities of available methodologies and technologies. Overall, this review seeks to illuminate the diverse interpretations that can be made from WWS of AMR in a One Health context and identify how best to inform future directions regarding AMR monitoring and prevention efforts.","container-title":"One Health","DOI":"10.1016/j.onehlt.2025.101139","ISSN":"2352-7714","journalAbbreviation":"One Health","page":"101139","source":"ScienceDirect","title":"The surveillance of antimicrobial resistance in wastewater from a one health perspective: A global scoping and temporal review (2014–2024)","title-short":"The surveillance of antimicrobial resistance in wastewater from a one health perspective","volume":"21","author":[{"family":"Punch","given":"Rhiannon"},{"family":"Azani","given":"Rayane"},{"family":"Ellison","given":"Claire"},{"family":"Majury","given":"Anna"},{"family":"Hynds","given":"Paul D."},{"family":"Payne","given":"Sarah Jane"},{"family":"Brown","given":"R. Stephen"}],"issued":{"date-parts":[["2025",12,1]]}}}],"schema":"https://github.com/citation-style-language/schema/raw/master/csl-citation.json"}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(Punch et al., 2025)</w:t>
      </w:r>
      <w:r w:rsidR="00930415" w:rsidRPr="0012729E">
        <w:rPr>
          <w:rFonts w:ascii="Times New Roman" w:hAnsi="Times New Roman"/>
          <w:sz w:val="24"/>
          <w:szCs w:val="24"/>
        </w:rPr>
        <w:fldChar w:fldCharType="end"/>
      </w:r>
      <w:r w:rsidRPr="0012729E">
        <w:rPr>
          <w:rFonts w:ascii="Times New Roman" w:hAnsi="Times New Roman"/>
          <w:sz w:val="24"/>
          <w:szCs w:val="24"/>
        </w:rPr>
        <w:t>. These systems may provide early warning signals for emerging threats and support rapid public health responses. Ultimately, personalized microbiome therapeutics will represent the culmination of these advances, allowing precision medicine approaches that tailor antimicrobial interventions to an individual’s microbial composition, genetic background, and disease profile</w:t>
      </w:r>
      <w:r w:rsidR="00810B50" w:rsidRPr="0012729E">
        <w:rPr>
          <w:rFonts w:ascii="Times New Roman" w:hAnsi="Times New Roman"/>
          <w:sz w:val="24"/>
          <w:szCs w:val="24"/>
        </w:rPr>
        <w:fldChar w:fldCharType="begin"/>
      </w:r>
      <w:r w:rsidR="00810B50" w:rsidRPr="0012729E">
        <w:rPr>
          <w:rFonts w:ascii="Times New Roman" w:hAnsi="Times New Roman"/>
          <w:sz w:val="24"/>
          <w:szCs w:val="24"/>
        </w:rPr>
        <w:instrText xml:space="preserve"> ADDIN ZOTERO_ITEM CSL_CITATION {"citationID":"d9FOlcXg","properties":{"formattedCitation":"(Goldi\\uc0\\u537{} et al., 2025)","plainCitation":"(Goldiș et al., 2025)","noteIndex":0},"citationItems":[{"id":19480,"uris":["http://zotero.org/users/16652950/items/M25IZLSL"],"itemData":{"id":19480,"type":"article-journal","abstract":"Background/Objectives: Inflammatory bowel disease (IBD), encompassing ulcerative colitis and Crohn’s disease, is characterized by chronic gut inflammation driven by microbial dysbiosis and immune dysfunction. Current therapies primarily involve anti-inflammatory and immunomodulatory strategies; however, many patients experience an inadequate response or a gradual loss of efficacy over time. This study evaluates the clinical efficacy of personalized microbiome modulation (PMM)—an AI-driven intervention designed to restore microbial balance and improve key treatment outcomes such as symptom control and remission rates. Methods: This was a single-arm, open-label validation trial involving 27 patients with moderate-to-severe IBD who had experienced prior treatment failure. Participants underwent three months of PMM, which included personalized dietary modifications, targeted probiotic supplementation, and antimicrobial interventions based on gut microbiome sequencing. Primary outcomes included stool frequency and consistency as well as inflammatory markers (C-reactive protein and fecal calprotectin), while secondary outcomes assessed nutritional status, metabolic function, and quality of life. Statistical analyses included paired t-tests and repeated measures ANOVA to determine significant changes over time. Results: PMM led to significant clinical improvements, including a 58% reduction in stool frequency (p &lt; 0.001) and improved stool consistency. CRP and fecal calprotectin levels decreased markedly (p &lt; 0.001), suggesting reduced systemic inflammation. Additionally, iron, vitamin B12, and vitamin D deficiencies improved (p &lt; 0.001), alongside weight gain and increased energy levels. Notably, patients on anti-TNF biologics showed enhanced response rates, suggesting potential synergistic effects between microbiome modulation and biologic therapy. Conclusions: This study highlights PMM as a promising adjunctive therapy for IBD, demonstrating benefits across clinical, inflammatory, and metabolic parameters. While findings support the role of microbiome-targeted interventions in disease management, larger randomized controlled trials are required to confirm the long-term efficacy and applicability in broader patient populations.","container-title":"Biomedicines","DOI":"10.3390/biomedicines13040795","ISSN":"2227-9059","issue":"4","journalAbbreviation":"Biomedicines","note":"PMID: 40299351\nPMCID: PMC12025086","page":"795","source":"PubMed Central","title":"Introducing a Novel Personalized Microbiome-Based Treatment for Inflammatory Bowel Disease: Results from NostraBiome’s Internal Validation Study","title-short":"Introducing a Novel Personalized Microbiome-Based Treatment for Inflammatory Bowel Disease","volume":"13","author":[{"family":"Goldiș","given":"Adrian"},{"family":"Dragomir","given":"Radu"},{"family":"Mercioni","given":"Marina Adriana"},{"family":"Goldiș","given":"Christian"},{"family":"Sirca","given":"Diana"},{"family":"Enatescu","given":"Ileana"},{"family":"Belei","given":"Oana"}],"issued":{"date-parts":[["2025",3,26]]}}}],"schema":"https://github.com/citation-style-language/schema/raw/master/csl-citation.json"} </w:instrText>
      </w:r>
      <w:r w:rsidR="00810B50" w:rsidRPr="0012729E">
        <w:rPr>
          <w:rFonts w:ascii="Times New Roman" w:hAnsi="Times New Roman"/>
          <w:sz w:val="24"/>
          <w:szCs w:val="24"/>
        </w:rPr>
        <w:fldChar w:fldCharType="separate"/>
      </w:r>
      <w:r w:rsidR="00810B50" w:rsidRPr="0012729E">
        <w:rPr>
          <w:rFonts w:ascii="Times New Roman" w:hAnsi="Times New Roman"/>
          <w:sz w:val="24"/>
          <w:szCs w:val="24"/>
        </w:rPr>
        <w:t>(Goldiș et al., 2025)</w:t>
      </w:r>
      <w:r w:rsidR="00810B50" w:rsidRPr="0012729E">
        <w:rPr>
          <w:rFonts w:ascii="Times New Roman" w:hAnsi="Times New Roman"/>
          <w:sz w:val="24"/>
          <w:szCs w:val="24"/>
        </w:rPr>
        <w:fldChar w:fldCharType="end"/>
      </w:r>
      <w:r w:rsidRPr="0012729E">
        <w:rPr>
          <w:rFonts w:ascii="Times New Roman" w:hAnsi="Times New Roman"/>
          <w:sz w:val="24"/>
          <w:szCs w:val="24"/>
        </w:rPr>
        <w:t>.</w:t>
      </w:r>
    </w:p>
    <w:p w14:paraId="7205B976" w14:textId="77777777" w:rsidR="008D37E0" w:rsidRPr="0012729E" w:rsidRDefault="00573F0C">
      <w:pPr>
        <w:rPr>
          <w:rFonts w:ascii="Times New Roman" w:hAnsi="Times New Roman"/>
          <w:b/>
          <w:bCs/>
          <w:sz w:val="24"/>
          <w:szCs w:val="24"/>
        </w:rPr>
      </w:pPr>
      <w:r w:rsidRPr="0012729E">
        <w:rPr>
          <w:rFonts w:ascii="Times New Roman" w:hAnsi="Times New Roman"/>
          <w:b/>
          <w:bCs/>
          <w:sz w:val="24"/>
          <w:szCs w:val="24"/>
        </w:rPr>
        <w:t>9.</w:t>
      </w:r>
      <w:r w:rsidR="00DC1430" w:rsidRPr="0012729E">
        <w:rPr>
          <w:rFonts w:ascii="Times New Roman" w:hAnsi="Times New Roman"/>
          <w:b/>
          <w:bCs/>
          <w:sz w:val="24"/>
          <w:szCs w:val="24"/>
        </w:rPr>
        <w:t xml:space="preserve"> </w:t>
      </w:r>
      <w:r w:rsidRPr="0012729E">
        <w:rPr>
          <w:rFonts w:ascii="Times New Roman" w:hAnsi="Times New Roman"/>
          <w:b/>
          <w:bCs/>
          <w:sz w:val="24"/>
          <w:szCs w:val="24"/>
        </w:rPr>
        <w:t>Clinical and Translational Implications</w:t>
      </w:r>
    </w:p>
    <w:p w14:paraId="60A8D468" w14:textId="77777777" w:rsidR="008D37E0" w:rsidRPr="0012729E" w:rsidRDefault="00000000">
      <w:pPr>
        <w:rPr>
          <w:rFonts w:ascii="Times New Roman" w:hAnsi="Times New Roman"/>
          <w:sz w:val="24"/>
          <w:szCs w:val="24"/>
        </w:rPr>
      </w:pPr>
      <w:r w:rsidRPr="0012729E">
        <w:rPr>
          <w:rFonts w:ascii="Times New Roman" w:hAnsi="Times New Roman"/>
          <w:sz w:val="24"/>
          <w:szCs w:val="24"/>
        </w:rPr>
        <w:t>The integration of artificial intelligence into antimicrobial resistance research has significant clinical and translational implications, offering new opportunities to improve diagnosis, treatment, and public health response</w:t>
      </w:r>
      <w:r w:rsidR="00930415" w:rsidRPr="0012729E">
        <w:rPr>
          <w:rFonts w:ascii="Times New Roman" w:hAnsi="Times New Roman"/>
          <w:sz w:val="24"/>
          <w:szCs w:val="24"/>
        </w:rPr>
        <w:fldChar w:fldCharType="begin"/>
      </w:r>
      <w:r w:rsidR="00930415" w:rsidRPr="0012729E">
        <w:rPr>
          <w:rFonts w:ascii="Times New Roman" w:hAnsi="Times New Roman"/>
          <w:sz w:val="24"/>
          <w:szCs w:val="24"/>
        </w:rPr>
        <w:instrText xml:space="preserve"> ADDIN ZOTERO_ITEM CSL_CITATION {"citationID":"7HKpNyzX","properties":{"formattedCitation":"(Salama et al., 2026)","plainCitation":"(Salama et al., 2026)","noteIndex":0},"citationItems":[{"id":19391,"uris":["http://zotero.org/users/16652950/items/DAA9TAI6"],"itemData":{"id":19391,"type":"article-journal","abstract":"Antimicrobial resistance (AMR) is a major global health challenge that threatens the effective prevention and treatment of infections. It arises from increasing resistance rates, limited diagnostic capacity, inappropriate antimicrobial use, and a declining pipeline of new antibiotics. These challenges highlight the need for innovative approaches to complement existing AMR control strategies. Artificial intelligence (AI) has emerged as a valuable tool to address the complexity and scale of AMR. This narrative review examines how AI can be more effectively integrated into key components of AMR management. By analysing large clinical and laboratory datasets, AI-based surveillance and predictive models enable near real-time monitoring of resistance patterns and early outbreak detection. AI-powered diagnostic tools, including image analysis and genomic methods, improve rapid pathogen identification and prediction of antimicrobial susceptibility. In clinical practice, AI-driven decision support systems strengthen antimicrobial stewardship by optimizing prescribing and monitoring antibiotic use. In addition, deep learning approaches accelerate antimicrobial drug discovery and repurposing, reducing development timelines. AI also enhances the detection and surveillance of resistance genes through genomic and metagenomic analyses across human, animal, and environmental settings. Despite its potential, AI applications in AMR face challenges related to data quality, bias, interoperability, privacy, and clinician adoption. Therefore, AI should be seen as a tool that supports, rather than replaces, existing AMR strategies. When regulated well and integrated within One Health frameworks, AI can strengthen surveillance, improve treatment decisions, and support evidence-based interventions to curb AMR.","container-title":"Infection Prevention in Practice","DOI":"10.1016/j.infpip.2026.100522","ISSN":"2590-0889","issue":"2","journalAbbreviation":"Infection Prevention in Practice","page":"100522","source":"ScienceDirect","title":"Artificial intelligence in combating challenges in antimicrobial resistance: a narrative review","title-short":"Artificial intelligence in combating challenges in antimicrobial resistance","volume":"8","author":[{"family":"Salama","given":"R. A."},{"family":"Abdel Kader","given":"R. G."},{"family":"Wadid","given":"N. A."}],"issued":{"date-parts":[["2026",6,1]]}}}],"schema":"https://github.com/citation-style-language/schema/raw/master/csl-citation.json"} </w:instrText>
      </w:r>
      <w:r w:rsidR="00930415" w:rsidRPr="0012729E">
        <w:rPr>
          <w:rFonts w:ascii="Times New Roman" w:hAnsi="Times New Roman"/>
          <w:sz w:val="24"/>
          <w:szCs w:val="24"/>
        </w:rPr>
        <w:fldChar w:fldCharType="separate"/>
      </w:r>
      <w:r w:rsidR="00930415" w:rsidRPr="0012729E">
        <w:rPr>
          <w:rFonts w:ascii="Times New Roman" w:hAnsi="Times New Roman"/>
          <w:sz w:val="24"/>
          <w:szCs w:val="24"/>
        </w:rPr>
        <w:t>(Salama et al., 2026)</w:t>
      </w:r>
      <w:r w:rsidR="00930415" w:rsidRPr="0012729E">
        <w:rPr>
          <w:rFonts w:ascii="Times New Roman" w:hAnsi="Times New Roman"/>
          <w:sz w:val="24"/>
          <w:szCs w:val="24"/>
        </w:rPr>
        <w:fldChar w:fldCharType="end"/>
      </w:r>
      <w:r w:rsidRPr="0012729E">
        <w:rPr>
          <w:rFonts w:ascii="Times New Roman" w:hAnsi="Times New Roman"/>
          <w:sz w:val="24"/>
          <w:szCs w:val="24"/>
        </w:rPr>
        <w:t xml:space="preserve">. One of the most immediate benefits lies in faster antimicrobial resistance diagnostics, where </w:t>
      </w:r>
      <w:r w:rsidR="00DC1430" w:rsidRPr="0012729E">
        <w:rPr>
          <w:rFonts w:ascii="Times New Roman" w:hAnsi="Times New Roman"/>
          <w:sz w:val="24"/>
          <w:szCs w:val="24"/>
        </w:rPr>
        <w:t>AI-driven</w:t>
      </w:r>
      <w:r w:rsidRPr="0012729E">
        <w:rPr>
          <w:rFonts w:ascii="Times New Roman" w:hAnsi="Times New Roman"/>
          <w:sz w:val="24"/>
          <w:szCs w:val="24"/>
        </w:rPr>
        <w:t xml:space="preserve"> analysis of genomic, microbiological, and clinical data can rapidly identify resistant pathogens and predict resistance profiles. This accelerated diagnostic capability can reduce delays in treatment initiation and improve patient outcomes, particularly in critical care settings.</w:t>
      </w:r>
    </w:p>
    <w:p w14:paraId="47E99364" w14:textId="77777777" w:rsidR="008D37E0" w:rsidRPr="0012729E" w:rsidRDefault="00000000">
      <w:pPr>
        <w:rPr>
          <w:rFonts w:ascii="Times New Roman" w:hAnsi="Times New Roman"/>
          <w:sz w:val="24"/>
          <w:szCs w:val="24"/>
        </w:rPr>
      </w:pPr>
      <w:r w:rsidRPr="0012729E">
        <w:rPr>
          <w:rFonts w:ascii="Times New Roman" w:hAnsi="Times New Roman"/>
          <w:sz w:val="24"/>
          <w:szCs w:val="24"/>
        </w:rPr>
        <w:lastRenderedPageBreak/>
        <w:t xml:space="preserve">Artificial intelligence also enhances </w:t>
      </w:r>
      <w:r w:rsidR="00DC1430" w:rsidRPr="0012729E">
        <w:rPr>
          <w:rFonts w:ascii="Times New Roman" w:hAnsi="Times New Roman"/>
          <w:sz w:val="24"/>
          <w:szCs w:val="24"/>
        </w:rPr>
        <w:t>pathway-targeted</w:t>
      </w:r>
      <w:r w:rsidRPr="0012729E">
        <w:rPr>
          <w:rFonts w:ascii="Times New Roman" w:hAnsi="Times New Roman"/>
          <w:sz w:val="24"/>
          <w:szCs w:val="24"/>
        </w:rPr>
        <w:t xml:space="preserve"> drug discovery by identifying essential microbial pathways and </w:t>
      </w:r>
      <w:r w:rsidR="00DC1430" w:rsidRPr="0012729E">
        <w:rPr>
          <w:rFonts w:ascii="Times New Roman" w:hAnsi="Times New Roman"/>
          <w:sz w:val="24"/>
          <w:szCs w:val="24"/>
        </w:rPr>
        <w:t>resistance-associated</w:t>
      </w:r>
      <w:r w:rsidRPr="0012729E">
        <w:rPr>
          <w:rFonts w:ascii="Times New Roman" w:hAnsi="Times New Roman"/>
          <w:sz w:val="24"/>
          <w:szCs w:val="24"/>
        </w:rPr>
        <w:t xml:space="preserve"> molecular targets that may be exploited for novel therapeutic development</w:t>
      </w:r>
      <w:r w:rsidR="00620306" w:rsidRPr="0012729E">
        <w:rPr>
          <w:rFonts w:ascii="Times New Roman" w:hAnsi="Times New Roman"/>
          <w:sz w:val="24"/>
          <w:szCs w:val="24"/>
        </w:rPr>
        <w:fldChar w:fldCharType="begin"/>
      </w:r>
      <w:r w:rsidR="00F41337" w:rsidRPr="0012729E">
        <w:rPr>
          <w:rFonts w:ascii="Times New Roman" w:hAnsi="Times New Roman"/>
          <w:sz w:val="24"/>
          <w:szCs w:val="24"/>
        </w:rPr>
        <w:instrText xml:space="preserve"> ADDIN ZOTERO_ITEM CSL_CITATION {"citationID":"88HwhQaq","properties":{"formattedCitation":"(Pathak et al., 2025)","plainCitation":"(Pathak et al., 2025)","noteIndex":0},"citationItems":[{"id":19478,"uris":["http://zotero.org/users/16652950/items/UYDVWYPX"],"itemData":{"id":19478,"type":"article-journal","abstract":"The integration of artificial intelligence (AI) with bioinformatics has initiated a transformative shift in drug discovery, redefining how pharmaceutical research and development are conducted. This review examines both the current state and emerging prospects of AI-driven strategies across the drug discovery pipeline, from target identification and molecular design to clinical applications. Advances in machine learning, deep learning, graph neural networks, transformers, foundation models, and quantum computing have shown remarkable potential in overcoming long-standing bottlenecks of conventional drug development, which on average requires 12.5 years and over $2 billion to bring a single drug to market. The AI in pharmaceuticals market, valued at $1.8 billion in 2023, is projected to reach $13.1 billion by 2030, reflecting a compound annual growth rate of 18.8%. Landmark breakthroughs such as AlphaFold, which has generated over 200 million predicted protein structures and more than 20,000 citations, have established new paradigms in structural biology and drug design, while emerging tools like RFdiffusion and AlphaFold3 further extend capabilities into de novo protein design and multi-omics integration. AI-enabled workflows have demonstrated the ability to compress discovery timelines from five years to as little as 12–18 months and reduce costs by up to 40%. Despite these advances, significant challenges remain, including issues of data quality and bias, model transparency and interpretability, computational resource demands, and ethical concerns regarding privacy and algorithmic fairness. This review synthesizes findings from recent studies to provide a roadmap for the responsible and reproducible integration of AI into bioinformatics and drug discovery, while outlining critical gaps and future research priorities essential for clinical translation.","container-title":"Discover Molecules","DOI":"10.1007/s44345-025-00037-5","ISSN":"3004-9350","issue":"1","journalAbbreviation":"Discov Mol","language":"en","page":"32","source":"Springer Link","title":"AI-enabled drug and molecular discovery: computational methods, platforms, and translational horizons","title-short":"AI-enabled drug and molecular discovery","volume":"2","author":[{"family":"Pathak","given":"Aditya"},{"family":"Theagarajan","given":"Radhika"},{"family":"Rizqi","given":"Muhammad Miftakhur"},{"family":"Nugraha","given":"Ari Satia"},{"family":"Boruah","given":"Tridip"},{"literal":"Pratiksha"},{"family":"Kumar","given":"Himanshu"},{"family":"Naik","given":"Bindu"},{"family":"Yadav","given":"Shweta"},{"family":"Jha","given":"Avinash Kumar"},{"family":"Trivedi","given":"Ankur"},{"family":"Gupta","given":"Arun Kumar"},{"family":"Kumar","given":"Pankaj"}],"issued":{"date-parts":[["2025",12,12]]}}}],"schema":"https://github.com/citation-style-language/schema/raw/master/csl-citation.json"} </w:instrText>
      </w:r>
      <w:r w:rsidR="00620306" w:rsidRPr="0012729E">
        <w:rPr>
          <w:rFonts w:ascii="Times New Roman" w:hAnsi="Times New Roman"/>
          <w:sz w:val="24"/>
          <w:szCs w:val="24"/>
        </w:rPr>
        <w:fldChar w:fldCharType="separate"/>
      </w:r>
      <w:r w:rsidR="00F41337" w:rsidRPr="0012729E">
        <w:rPr>
          <w:rFonts w:ascii="Times New Roman" w:hAnsi="Times New Roman"/>
          <w:sz w:val="24"/>
          <w:szCs w:val="24"/>
        </w:rPr>
        <w:t>(Pathak et al., 2025)</w:t>
      </w:r>
      <w:r w:rsidR="00620306" w:rsidRPr="0012729E">
        <w:rPr>
          <w:rFonts w:ascii="Times New Roman" w:hAnsi="Times New Roman"/>
          <w:sz w:val="24"/>
          <w:szCs w:val="24"/>
        </w:rPr>
        <w:fldChar w:fldCharType="end"/>
      </w:r>
      <w:r w:rsidRPr="0012729E">
        <w:rPr>
          <w:rFonts w:ascii="Times New Roman" w:hAnsi="Times New Roman"/>
          <w:sz w:val="24"/>
          <w:szCs w:val="24"/>
        </w:rPr>
        <w:t xml:space="preserve">. This approach can accelerate the discovery of alternative antimicrobial agents capable of overcoming existing resistance mechanisms. In clinical practice, these advances support precision antimicrobial treatment by enabling individualized therapy selection based on pathogen characteristics, </w:t>
      </w:r>
      <w:r w:rsidR="00DC1430" w:rsidRPr="0012729E">
        <w:rPr>
          <w:rFonts w:ascii="Times New Roman" w:hAnsi="Times New Roman"/>
          <w:sz w:val="24"/>
          <w:szCs w:val="24"/>
        </w:rPr>
        <w:t>patient-specific</w:t>
      </w:r>
      <w:r w:rsidRPr="0012729E">
        <w:rPr>
          <w:rFonts w:ascii="Times New Roman" w:hAnsi="Times New Roman"/>
          <w:sz w:val="24"/>
          <w:szCs w:val="24"/>
        </w:rPr>
        <w:t xml:space="preserve"> factors, and predicted treatment responses.</w:t>
      </w:r>
      <w:r w:rsidR="00C4426F" w:rsidRPr="0012729E">
        <w:rPr>
          <w:rFonts w:ascii="Times New Roman" w:hAnsi="Times New Roman"/>
          <w:sz w:val="24"/>
          <w:szCs w:val="24"/>
        </w:rPr>
        <w:t xml:space="preserve"> </w:t>
      </w:r>
      <w:r w:rsidRPr="0012729E">
        <w:rPr>
          <w:rFonts w:ascii="Times New Roman" w:hAnsi="Times New Roman"/>
          <w:sz w:val="24"/>
          <w:szCs w:val="24"/>
        </w:rPr>
        <w:t>Beyond direct patient care, AI contributes to stewardship optimization by guiding rational antibiotic prescribing and reducing unnecessary antimicrobial exposure, thereby limiting selective pressure that drives resistance emergence. Predictive modeling can also improve hospital outbreak detection by identifying subtle transmission patterns and forecasting potential resistance clusters before widespread dissemination occurs</w:t>
      </w:r>
      <w:r w:rsidR="00620306"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{"citationID":"W6ypFlQZ","properties":{"formattedCitation":"(Zhao et al., 2024)","plainCitation":"(Zhao et al., 2024)","noteIndex":0},"citationItems":[{"id":19385,"uris":["http://zotero.org/users/16652950/items/CEHHFG9W"],"itemData":{"id":19385,"type":"article-journal","abstract":"The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620306" w:rsidRPr="0012729E">
        <w:rPr>
          <w:rFonts w:ascii="Times New Roman" w:hAnsi="Times New Roman"/>
          <w:sz w:val="24"/>
          <w:szCs w:val="24"/>
        </w:rPr>
        <w:fldChar w:fldCharType="separate"/>
      </w:r>
      <w:r w:rsidR="00620306" w:rsidRPr="0012729E">
        <w:rPr>
          <w:rFonts w:ascii="Times New Roman" w:hAnsi="Times New Roman"/>
          <w:sz w:val="24"/>
          <w:szCs w:val="24"/>
        </w:rPr>
        <w:t>(Zhao et al., 2024)</w:t>
      </w:r>
      <w:r w:rsidR="00620306" w:rsidRPr="0012729E">
        <w:rPr>
          <w:rFonts w:ascii="Times New Roman" w:hAnsi="Times New Roman"/>
          <w:sz w:val="24"/>
          <w:szCs w:val="24"/>
        </w:rPr>
        <w:fldChar w:fldCharType="end"/>
      </w:r>
      <w:r w:rsidRPr="0012729E">
        <w:rPr>
          <w:rFonts w:ascii="Times New Roman" w:hAnsi="Times New Roman"/>
          <w:sz w:val="24"/>
          <w:szCs w:val="24"/>
        </w:rPr>
        <w:t xml:space="preserve">. At the population level, </w:t>
      </w:r>
      <w:r w:rsidR="00DC1430" w:rsidRPr="0012729E">
        <w:rPr>
          <w:rFonts w:ascii="Times New Roman" w:hAnsi="Times New Roman"/>
          <w:sz w:val="24"/>
          <w:szCs w:val="24"/>
        </w:rPr>
        <w:t>AI-powered</w:t>
      </w:r>
      <w:r w:rsidRPr="0012729E">
        <w:rPr>
          <w:rFonts w:ascii="Times New Roman" w:hAnsi="Times New Roman"/>
          <w:sz w:val="24"/>
          <w:szCs w:val="24"/>
        </w:rPr>
        <w:t xml:space="preserve"> public health surveillance systems can integrate data from hospitals, laboratories, and environmental sources to monitor resistance trends in real time, strengthening preparedness and informing </w:t>
      </w:r>
      <w:r w:rsidR="00DC1430" w:rsidRPr="0012729E">
        <w:rPr>
          <w:rFonts w:ascii="Times New Roman" w:hAnsi="Times New Roman"/>
          <w:sz w:val="24"/>
          <w:szCs w:val="24"/>
        </w:rPr>
        <w:t>evidence-based</w:t>
      </w:r>
      <w:r w:rsidRPr="0012729E">
        <w:rPr>
          <w:rFonts w:ascii="Times New Roman" w:hAnsi="Times New Roman"/>
          <w:sz w:val="24"/>
          <w:szCs w:val="24"/>
        </w:rPr>
        <w:t xml:space="preserve"> policy interventions</w:t>
      </w:r>
      <w:r w:rsidR="00620306" w:rsidRPr="0012729E">
        <w:rPr>
          <w:rFonts w:ascii="Times New Roman" w:hAnsi="Times New Roman"/>
          <w:sz w:val="24"/>
          <w:szCs w:val="24"/>
        </w:rPr>
        <w:fldChar w:fldCharType="begin"/>
      </w:r>
      <w:r w:rsidR="00620306" w:rsidRPr="0012729E">
        <w:rPr>
          <w:rFonts w:ascii="Times New Roman" w:hAnsi="Times New Roman"/>
          <w:sz w:val="24"/>
          <w:szCs w:val="24"/>
        </w:rPr>
        <w:instrText xml:space="preserve"> ADDIN ZOTERO_ITEM CSL_CITATION {"citationID":"ef1ZZok7","properties":{"formattedCitation":"(J.-H. Li et al., 2026)","plainCitation":"(J.-H. Li et al., 2026)","noteIndex":0},"citationItems":[{"id":19387,"uris":["http://zotero.org/users/16652950/items/3PPPLWJ6"],"itemData":{"id":19387,"type":"article-journal","abstract":"This narrative review explores the transformative potential of Artificial Intelligence (AI) in addressing the limitations of traditional infection surveillance methods, which are often hindered by slow response times and restricted analytical capabilities. By integrating diverse data sources such as electronic health records, social media, spatiotemporal data, and wearable technologies, AI enables earlier detection of outbreaks, real-time monitoring, and improved disease transmission prediction. We reviewed peer-reviewed articles and reports to analyze AI's capacity to process heterogeneous datasets using machine learning. Specific applications, such as the use of social media for outbreak prediction, wearable sensors for early infection detection, and spatiotemporal data for tracking disease spread, were synthesized. AI-driven infection surveillance models improve the prediction of outbreaks and estimation of disease incidence. They also enhance risk assessment by identifying highly susceptible individuals and geographic hotspots, thereby strengthening public health strategies. For instance, integrating social media data improves influenza forecasting accuracy, while wearable technologies enable real-time monitoring of infection dynamics. However, these advancements face challenges such as data privacy concerns, model validation, and the need for external testing across diverse epidemiological settings. Despite these challenges, AI holds significant promise for revolutionizing infection surveillance. Future efforts should prioritize refining AI models to improve adaptability, ensuring robust validation processes, and developing integrative tools that merge diverse data sources for effective public health interventions.","container-title":"Biomedical Journal","DOI":"10.1016/j.bj.2025.100929","ISSN":"2319-4170","issue":"2","journalAbbreviation":"Biomedical Journal","page":"100929","source":"ScienceDirect","title":"Artificial intelligence in infection surveillance: Data integration, applications and future directions","title-short":"Artificial intelligence in infection surveillance","volume":"49","author":[{"family":"Li","given":"Jin-Hua"},{"family":"Tseng","given":"Yi-Ju"},{"family":"Chen","given":"Shu-Hui"},{"family":"Chen","given":"Kuan-Fu"}],"issued":{"date-parts":[["2026",4,1]]}}}],"schema":"https://github.com/citation-style-language/schema/raw/master/csl-citation.json"} </w:instrText>
      </w:r>
      <w:r w:rsidR="00620306" w:rsidRPr="0012729E">
        <w:rPr>
          <w:rFonts w:ascii="Times New Roman" w:hAnsi="Times New Roman"/>
          <w:sz w:val="24"/>
          <w:szCs w:val="24"/>
        </w:rPr>
        <w:fldChar w:fldCharType="separate"/>
      </w:r>
      <w:r w:rsidR="00620306" w:rsidRPr="0012729E">
        <w:rPr>
          <w:rFonts w:ascii="Times New Roman" w:hAnsi="Times New Roman"/>
          <w:sz w:val="24"/>
          <w:szCs w:val="24"/>
        </w:rPr>
        <w:t>(J.-H. Li et al., 2026)</w:t>
      </w:r>
      <w:r w:rsidR="00620306" w:rsidRPr="0012729E">
        <w:rPr>
          <w:rFonts w:ascii="Times New Roman" w:hAnsi="Times New Roman"/>
          <w:sz w:val="24"/>
          <w:szCs w:val="24"/>
        </w:rPr>
        <w:fldChar w:fldCharType="end"/>
      </w:r>
      <w:r w:rsidRPr="0012729E">
        <w:rPr>
          <w:rFonts w:ascii="Times New Roman" w:hAnsi="Times New Roman"/>
          <w:sz w:val="24"/>
          <w:szCs w:val="24"/>
        </w:rPr>
        <w:t>. Together, these applications demonstrate the transformative potential of artificial intelligence in translating microbiome and resistance research into meaningful clinical and societal impact.</w:t>
      </w:r>
    </w:p>
    <w:p w14:paraId="66C83599" w14:textId="77777777" w:rsidR="008D37E0" w:rsidRPr="0012729E" w:rsidRDefault="00000000">
      <w:pPr>
        <w:rPr>
          <w:rFonts w:ascii="Times New Roman" w:hAnsi="Times New Roman"/>
          <w:b/>
          <w:bCs/>
          <w:sz w:val="24"/>
          <w:szCs w:val="24"/>
        </w:rPr>
      </w:pPr>
      <w:r w:rsidRPr="0012729E">
        <w:rPr>
          <w:rFonts w:ascii="Times New Roman" w:hAnsi="Times New Roman"/>
          <w:b/>
          <w:bCs/>
          <w:sz w:val="24"/>
          <w:szCs w:val="24"/>
        </w:rPr>
        <w:t>1</w:t>
      </w:r>
      <w:r w:rsidR="00573F0C" w:rsidRPr="0012729E">
        <w:rPr>
          <w:rFonts w:ascii="Times New Roman" w:hAnsi="Times New Roman"/>
          <w:b/>
          <w:bCs/>
          <w:sz w:val="24"/>
          <w:szCs w:val="24"/>
        </w:rPr>
        <w:t>0</w:t>
      </w:r>
      <w:r w:rsidRPr="0012729E">
        <w:rPr>
          <w:rFonts w:ascii="Times New Roman" w:hAnsi="Times New Roman"/>
          <w:b/>
          <w:bCs/>
          <w:sz w:val="24"/>
          <w:szCs w:val="24"/>
        </w:rPr>
        <w:t>. Conclusion</w:t>
      </w:r>
    </w:p>
    <w:p w14:paraId="29BD195B" w14:textId="77777777" w:rsidR="008D37E0" w:rsidRPr="0012729E" w:rsidRDefault="00000000">
      <w:pPr>
        <w:rPr>
          <w:rFonts w:ascii="Times New Roman" w:hAnsi="Times New Roman"/>
          <w:sz w:val="24"/>
          <w:szCs w:val="24"/>
        </w:rPr>
      </w:pPr>
      <w:r w:rsidRPr="0012729E">
        <w:rPr>
          <w:rFonts w:ascii="Times New Roman" w:hAnsi="Times New Roman"/>
          <w:sz w:val="24"/>
          <w:szCs w:val="24"/>
        </w:rPr>
        <w:t xml:space="preserve">Artificial intelligence is fundamentally transforming the study of antimicrobial resistance by shifting analytical focus from simple gene detection toward </w:t>
      </w:r>
      <w:r w:rsidR="00DC1430" w:rsidRPr="0012729E">
        <w:rPr>
          <w:rFonts w:ascii="Times New Roman" w:hAnsi="Times New Roman"/>
          <w:sz w:val="24"/>
          <w:szCs w:val="24"/>
        </w:rPr>
        <w:t>pathway-level</w:t>
      </w:r>
      <w:r w:rsidRPr="0012729E">
        <w:rPr>
          <w:rFonts w:ascii="Times New Roman" w:hAnsi="Times New Roman"/>
          <w:sz w:val="24"/>
          <w:szCs w:val="24"/>
        </w:rPr>
        <w:t xml:space="preserve"> interpretation and, increasingly, </w:t>
      </w:r>
      <w:r w:rsidR="00DC1430" w:rsidRPr="0012729E">
        <w:rPr>
          <w:rFonts w:ascii="Times New Roman" w:hAnsi="Times New Roman"/>
          <w:sz w:val="24"/>
          <w:szCs w:val="24"/>
        </w:rPr>
        <w:t>ecosystem-level</w:t>
      </w:r>
      <w:r w:rsidRPr="0012729E">
        <w:rPr>
          <w:rFonts w:ascii="Times New Roman" w:hAnsi="Times New Roman"/>
          <w:sz w:val="24"/>
          <w:szCs w:val="24"/>
        </w:rPr>
        <w:t xml:space="preserve"> prediction of resistance evolution. This transition reflects a broader understanding that antimicrobial resistance is not driven solely by isolated genetic determinants but by complex interactions among microbial communities, host environments, and selective pressures that shape adaptive responses over time.</w:t>
      </w:r>
    </w:p>
    <w:p w14:paraId="56828BAD" w14:textId="77777777" w:rsidR="008D37E0" w:rsidRPr="0012729E" w:rsidRDefault="00000000">
      <w:pPr>
        <w:rPr>
          <w:rFonts w:ascii="Times New Roman" w:hAnsi="Times New Roman"/>
          <w:sz w:val="24"/>
          <w:szCs w:val="24"/>
        </w:rPr>
      </w:pPr>
      <w:r w:rsidRPr="0012729E">
        <w:rPr>
          <w:rFonts w:ascii="Times New Roman" w:hAnsi="Times New Roman"/>
          <w:sz w:val="24"/>
          <w:szCs w:val="24"/>
        </w:rPr>
        <w:t xml:space="preserve">Through the integration of microbiome data, </w:t>
      </w:r>
      <w:r w:rsidR="00DC1430" w:rsidRPr="0012729E">
        <w:rPr>
          <w:rFonts w:ascii="Times New Roman" w:hAnsi="Times New Roman"/>
          <w:sz w:val="24"/>
          <w:szCs w:val="24"/>
        </w:rPr>
        <w:t>multi-omics</w:t>
      </w:r>
      <w:r w:rsidRPr="0012729E">
        <w:rPr>
          <w:rFonts w:ascii="Times New Roman" w:hAnsi="Times New Roman"/>
          <w:sz w:val="24"/>
          <w:szCs w:val="24"/>
        </w:rPr>
        <w:t xml:space="preserve"> technologies, and advanced computational modeling, AI now enables deeper exploration of resistance mechanisms that were previously difficult to characterize. These approaches provide opportunities not only to identify resistant organisms but also to predict emerging resistance patterns, uncover hidden biological networks, and inform targeted therapeutic interventions. However, the full clinical and scientific potential of these technologies depends on the development of models that are both accurate and biologically interpretable.</w:t>
      </w:r>
    </w:p>
    <w:p w14:paraId="693560F5" w14:textId="77777777" w:rsidR="00573F0C" w:rsidRPr="0012729E" w:rsidRDefault="00000000" w:rsidP="00573F0C">
      <w:pPr>
        <w:rPr>
          <w:rFonts w:ascii="Times New Roman" w:hAnsi="Times New Roman"/>
          <w:sz w:val="24"/>
          <w:szCs w:val="24"/>
        </w:rPr>
      </w:pPr>
      <w:r w:rsidRPr="0012729E">
        <w:rPr>
          <w:rFonts w:ascii="Times New Roman" w:hAnsi="Times New Roman"/>
          <w:sz w:val="24"/>
          <w:szCs w:val="24"/>
        </w:rPr>
        <w:t xml:space="preserve">The future of antimicrobial resistance research will therefore depend on explainable artificial intelligence, </w:t>
      </w:r>
      <w:r w:rsidR="00DC1430" w:rsidRPr="0012729E">
        <w:rPr>
          <w:rFonts w:ascii="Times New Roman" w:hAnsi="Times New Roman"/>
          <w:sz w:val="24"/>
          <w:szCs w:val="24"/>
        </w:rPr>
        <w:t>graph-based</w:t>
      </w:r>
      <w:r w:rsidRPr="0012729E">
        <w:rPr>
          <w:rFonts w:ascii="Times New Roman" w:hAnsi="Times New Roman"/>
          <w:sz w:val="24"/>
          <w:szCs w:val="24"/>
        </w:rPr>
        <w:t xml:space="preserve"> analytical frameworks, mechanistic modeling, and robust </w:t>
      </w:r>
      <w:r w:rsidR="00DC1430" w:rsidRPr="0012729E">
        <w:rPr>
          <w:rFonts w:ascii="Times New Roman" w:hAnsi="Times New Roman"/>
          <w:sz w:val="24"/>
          <w:szCs w:val="24"/>
        </w:rPr>
        <w:t>multi-omics</w:t>
      </w:r>
      <w:r w:rsidRPr="0012729E">
        <w:rPr>
          <w:rFonts w:ascii="Times New Roman" w:hAnsi="Times New Roman"/>
          <w:sz w:val="24"/>
          <w:szCs w:val="24"/>
        </w:rPr>
        <w:t xml:space="preserve"> integration. Together, these innovations will support a more predictive and </w:t>
      </w:r>
      <w:r w:rsidR="00DC1430" w:rsidRPr="0012729E">
        <w:rPr>
          <w:rFonts w:ascii="Times New Roman" w:hAnsi="Times New Roman"/>
          <w:sz w:val="24"/>
          <w:szCs w:val="24"/>
        </w:rPr>
        <w:t>systems-oriented</w:t>
      </w:r>
      <w:r w:rsidRPr="0012729E">
        <w:rPr>
          <w:rFonts w:ascii="Times New Roman" w:hAnsi="Times New Roman"/>
          <w:sz w:val="24"/>
          <w:szCs w:val="24"/>
        </w:rPr>
        <w:t xml:space="preserve"> understanding of resistance, ultimately advancing precision medicine and strengthening global efforts to combat one of the most urgent public health challenges of the modern era.</w:t>
      </w:r>
      <w:r w:rsidR="00573F0C" w:rsidRPr="0012729E">
        <w:rPr>
          <w:rFonts w:ascii="Times New Roman" w:hAnsi="Times New Roman"/>
          <w:sz w:val="24"/>
          <w:szCs w:val="24"/>
        </w:rPr>
        <w:t xml:space="preserve"> </w:t>
      </w:r>
    </w:p>
    <w:p w14:paraId="3FD59389" w14:textId="77777777" w:rsidR="00573F0C" w:rsidRDefault="00573F0C" w:rsidP="00573F0C">
      <w:pPr>
        <w:rPr>
          <w:rFonts w:ascii="Times New Roman" w:hAnsi="Times New Roman"/>
          <w:sz w:val="24"/>
          <w:szCs w:val="24"/>
        </w:rPr>
      </w:pPr>
      <w:r w:rsidRPr="0012729E">
        <w:rPr>
          <w:rFonts w:ascii="Times New Roman" w:hAnsi="Times New Roman"/>
          <w:sz w:val="24"/>
          <w:szCs w:val="24"/>
        </w:rPr>
        <w:lastRenderedPageBreak/>
        <w:t>Future progress will require closer integration among microbiology, systems biology, bioinformatics, and artificial intelligence to develop clinically interpretable and globally scalable antimicrobial resistance prediction systems.</w:t>
      </w:r>
    </w:p>
    <w:p w14:paraId="33187CD3" w14:textId="77777777" w:rsidR="00320368" w:rsidRPr="0012729E" w:rsidRDefault="00320368" w:rsidP="00573F0C">
      <w:pPr>
        <w:rPr>
          <w:rFonts w:ascii="Times New Roman" w:hAnsi="Times New Roman"/>
          <w:sz w:val="24"/>
          <w:szCs w:val="24"/>
        </w:rPr>
      </w:pPr>
    </w:p>
    <w:p w14:paraId="4D796CF7" w14:textId="77777777" w:rsidR="00760E4A" w:rsidRPr="0012729E" w:rsidRDefault="00760E4A">
      <w:pPr>
        <w:rPr>
          <w:rFonts w:ascii="Times New Roman" w:hAnsi="Times New Roman"/>
          <w:b/>
          <w:bCs/>
          <w:sz w:val="24"/>
          <w:szCs w:val="24"/>
        </w:rPr>
      </w:pPr>
      <w:r w:rsidRPr="0012729E">
        <w:rPr>
          <w:rFonts w:ascii="Times New Roman" w:hAnsi="Times New Roman"/>
          <w:b/>
          <w:bCs/>
          <w:sz w:val="24"/>
          <w:szCs w:val="24"/>
        </w:rPr>
        <w:t>References</w:t>
      </w:r>
    </w:p>
    <w:p w14:paraId="4656100E" w14:textId="77777777" w:rsidR="00CA1A68" w:rsidRPr="0012729E" w:rsidRDefault="00760E4A" w:rsidP="00CA1A68">
      <w:pPr>
        <w:pStyle w:val="Bibliography"/>
        <w:rPr>
          <w:rFonts w:ascii="Times New Roman" w:hAnsi="Times New Roman"/>
          <w:sz w:val="24"/>
          <w:szCs w:val="24"/>
        </w:rPr>
      </w:pPr>
      <w:r w:rsidRPr="0012729E">
        <w:rPr>
          <w:rFonts w:ascii="Times New Roman" w:hAnsi="Times New Roman"/>
          <w:b/>
          <w:bCs/>
          <w:sz w:val="24"/>
          <w:szCs w:val="24"/>
        </w:rPr>
        <w:fldChar w:fldCharType="begin"/>
      </w:r>
      <w:r w:rsidRPr="0012729E">
        <w:rPr>
          <w:rFonts w:ascii="Times New Roman" w:hAnsi="Times New Roman"/>
          <w:b/>
          <w:bCs/>
          <w:sz w:val="24"/>
          <w:szCs w:val="24"/>
        </w:rPr>
        <w:instrText xml:space="preserve"> ADDIN ZOTERO_BIBL {"uncited":[],"omitted":[],"custom":[]} CSL_BIBLIOGRAPHY </w:instrText>
      </w:r>
      <w:r w:rsidRPr="0012729E">
        <w:rPr>
          <w:rFonts w:ascii="Times New Roman" w:hAnsi="Times New Roman"/>
          <w:b/>
          <w:bCs/>
          <w:sz w:val="24"/>
          <w:szCs w:val="24"/>
        </w:rPr>
        <w:fldChar w:fldCharType="separate"/>
      </w:r>
      <w:r w:rsidR="00CA1A68" w:rsidRPr="0012729E">
        <w:rPr>
          <w:rFonts w:ascii="Times New Roman" w:hAnsi="Times New Roman"/>
          <w:sz w:val="24"/>
          <w:szCs w:val="24"/>
        </w:rPr>
        <w:t xml:space="preserve">Abate, T. A., &amp; Birhanu, A. G. (2025). Antibiotic Use in Livestock and Environmental Antibiotic Resistance: A Narrative Review. </w:t>
      </w:r>
      <w:r w:rsidR="00CA1A68" w:rsidRPr="0012729E">
        <w:rPr>
          <w:rFonts w:ascii="Times New Roman" w:hAnsi="Times New Roman"/>
          <w:i/>
          <w:iCs/>
          <w:sz w:val="24"/>
          <w:szCs w:val="24"/>
        </w:rPr>
        <w:t>Environmental Health Insights</w:t>
      </w:r>
      <w:r w:rsidR="00CA1A68" w:rsidRPr="0012729E">
        <w:rPr>
          <w:rFonts w:ascii="Times New Roman" w:hAnsi="Times New Roman"/>
          <w:sz w:val="24"/>
          <w:szCs w:val="24"/>
        </w:rPr>
        <w:t xml:space="preserve">, </w:t>
      </w:r>
      <w:r w:rsidR="00CA1A68" w:rsidRPr="0012729E">
        <w:rPr>
          <w:rFonts w:ascii="Times New Roman" w:hAnsi="Times New Roman"/>
          <w:i/>
          <w:iCs/>
          <w:sz w:val="24"/>
          <w:szCs w:val="24"/>
        </w:rPr>
        <w:t>19</w:t>
      </w:r>
      <w:r w:rsidR="00CA1A68" w:rsidRPr="0012729E">
        <w:rPr>
          <w:rFonts w:ascii="Times New Roman" w:hAnsi="Times New Roman"/>
          <w:sz w:val="24"/>
          <w:szCs w:val="24"/>
        </w:rPr>
        <w:t>, 11786302251357775. https://doi.org/10.1177/11786302251357775</w:t>
      </w:r>
    </w:p>
    <w:p w14:paraId="6EB2B82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Abbas, A., Barkhouse, A., Hackenberger, D., &amp; Wright, G. D. (2024). Antibiotic resistance: A key microbial survival mechanism that threatens public health. </w:t>
      </w:r>
      <w:r w:rsidRPr="0012729E">
        <w:rPr>
          <w:rFonts w:ascii="Times New Roman" w:hAnsi="Times New Roman"/>
          <w:i/>
          <w:iCs/>
          <w:sz w:val="24"/>
          <w:szCs w:val="24"/>
        </w:rPr>
        <w:t>Cell Host &amp; Microbe</w:t>
      </w:r>
      <w:r w:rsidRPr="0012729E">
        <w:rPr>
          <w:rFonts w:ascii="Times New Roman" w:hAnsi="Times New Roman"/>
          <w:sz w:val="24"/>
          <w:szCs w:val="24"/>
        </w:rPr>
        <w:t xml:space="preserve">, </w:t>
      </w:r>
      <w:r w:rsidRPr="0012729E">
        <w:rPr>
          <w:rFonts w:ascii="Times New Roman" w:hAnsi="Times New Roman"/>
          <w:i/>
          <w:iCs/>
          <w:sz w:val="24"/>
          <w:szCs w:val="24"/>
        </w:rPr>
        <w:t>32</w:t>
      </w:r>
      <w:r w:rsidRPr="0012729E">
        <w:rPr>
          <w:rFonts w:ascii="Times New Roman" w:hAnsi="Times New Roman"/>
          <w:sz w:val="24"/>
          <w:szCs w:val="24"/>
        </w:rPr>
        <w:t>(6), 837–851. https://doi.org/10.1016/j.chom.2024.05.015</w:t>
      </w:r>
    </w:p>
    <w:p w14:paraId="594EE26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Acierno, C., Barletta, F., Nevola, R., Rinaldi, L., Sasso, F. C., Adinolfi, L. E., &amp; Caturano, A. (2025). Metabolic Rewiring of Bacterial Pathogens in Response to Antibiotic Pressure—A Molecular Perspective.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26</w:t>
      </w:r>
      <w:r w:rsidRPr="0012729E">
        <w:rPr>
          <w:rFonts w:ascii="Times New Roman" w:hAnsi="Times New Roman"/>
          <w:sz w:val="24"/>
          <w:szCs w:val="24"/>
        </w:rPr>
        <w:t>(12), 5574. https://doi.org/10.3390/ijms26125574</w:t>
      </w:r>
    </w:p>
    <w:p w14:paraId="425001D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Ahmed, S. K., Hussein, S., Qurbani, K., Ibrahim, R. H., Fareeq, A., Mahmood, K. A., &amp; Mohamed, M. G. (2024). Antimicrobial resistance: Impacts, challenges, and future prospects. </w:t>
      </w:r>
      <w:r w:rsidRPr="0012729E">
        <w:rPr>
          <w:rFonts w:ascii="Times New Roman" w:hAnsi="Times New Roman"/>
          <w:i/>
          <w:iCs/>
          <w:sz w:val="24"/>
          <w:szCs w:val="24"/>
        </w:rPr>
        <w:t>Journal of Medicine, Surgery, and Public Health</w:t>
      </w:r>
      <w:r w:rsidRPr="0012729E">
        <w:rPr>
          <w:rFonts w:ascii="Times New Roman" w:hAnsi="Times New Roman"/>
          <w:sz w:val="24"/>
          <w:szCs w:val="24"/>
        </w:rPr>
        <w:t xml:space="preserve">, </w:t>
      </w:r>
      <w:r w:rsidRPr="0012729E">
        <w:rPr>
          <w:rFonts w:ascii="Times New Roman" w:hAnsi="Times New Roman"/>
          <w:i/>
          <w:iCs/>
          <w:sz w:val="24"/>
          <w:szCs w:val="24"/>
        </w:rPr>
        <w:t>2</w:t>
      </w:r>
      <w:r w:rsidRPr="0012729E">
        <w:rPr>
          <w:rFonts w:ascii="Times New Roman" w:hAnsi="Times New Roman"/>
          <w:sz w:val="24"/>
          <w:szCs w:val="24"/>
        </w:rPr>
        <w:t>, 100081. https://doi.org/10.1016/j.glmedi.2024.100081</w:t>
      </w:r>
    </w:p>
    <w:p w14:paraId="1263D4C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Al Zubaidi, S. M., Nasar, M. I., Notebaart, R. A., Ralser, M., &amp; Alam, M. T. (2025). An enzyme activation network reveals extensive regulatory crosstalk between metabolic pathways. </w:t>
      </w:r>
      <w:r w:rsidRPr="0012729E">
        <w:rPr>
          <w:rFonts w:ascii="Times New Roman" w:hAnsi="Times New Roman"/>
          <w:i/>
          <w:iCs/>
          <w:sz w:val="24"/>
          <w:szCs w:val="24"/>
        </w:rPr>
        <w:t>Molecular Systems Biology</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(7), 870–888. https://doi.org/10.1038/s44320-025-00111-7</w:t>
      </w:r>
    </w:p>
    <w:p w14:paraId="1AE67BD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Alakilli, S. Y. M., Ibrahim, M. N., Alanazi, A., El Azab, E. F., Alzhrani, K., Shahin, O. R., Mazhari, B. B. Z., &amp; Ahmed, M. A. A. S. (2026). AI-Driven Microbial Diagnostics: </w:t>
      </w:r>
      <w:r w:rsidRPr="0012729E">
        <w:rPr>
          <w:rFonts w:ascii="Times New Roman" w:hAnsi="Times New Roman"/>
          <w:sz w:val="24"/>
          <w:szCs w:val="24"/>
        </w:rPr>
        <w:lastRenderedPageBreak/>
        <w:t xml:space="preserve">Predicting Disease Signatures Through Microbial Pattern Recognition. </w:t>
      </w:r>
      <w:r w:rsidRPr="0012729E">
        <w:rPr>
          <w:rFonts w:ascii="Times New Roman" w:hAnsi="Times New Roman"/>
          <w:i/>
          <w:iCs/>
          <w:sz w:val="24"/>
          <w:szCs w:val="24"/>
        </w:rPr>
        <w:t>Diagnostics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(5), 688. https://doi.org/10.3390/diagnostics16050688</w:t>
      </w:r>
    </w:p>
    <w:p w14:paraId="1729744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Almatroudi, A. (2025). Biofilm Resilience: Molecular Mechanisms Driving Antibiotic Resistance in Clinical Contexts. </w:t>
      </w:r>
      <w:r w:rsidRPr="0012729E">
        <w:rPr>
          <w:rFonts w:ascii="Times New Roman" w:hAnsi="Times New Roman"/>
          <w:i/>
          <w:iCs/>
          <w:sz w:val="24"/>
          <w:szCs w:val="24"/>
        </w:rPr>
        <w:t>Biology</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 165. https://doi.org/10.3390/biology14020165</w:t>
      </w:r>
    </w:p>
    <w:p w14:paraId="2C5F39E3"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Almeida da Silva, P. E., Von Groll, A., Ramis, I., Reis, A. J., Ramos, D., &amp; Viveiros, M. (2025). Efflux systems driving resistance and virulence across biological domains. </w:t>
      </w:r>
      <w:r w:rsidRPr="0012729E">
        <w:rPr>
          <w:rFonts w:ascii="Times New Roman" w:hAnsi="Times New Roman"/>
          <w:i/>
          <w:iCs/>
          <w:sz w:val="24"/>
          <w:szCs w:val="24"/>
        </w:rPr>
        <w:t>PeerJ</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e20360. https://doi.org/10.7717/peerj.20360</w:t>
      </w:r>
    </w:p>
    <w:p w14:paraId="5C3C8EBB"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Avci, F. G. (2024). Unraveling bacterial stress responses: Implications for next-generation antimicrobial solutions. </w:t>
      </w:r>
      <w:r w:rsidRPr="0012729E">
        <w:rPr>
          <w:rFonts w:ascii="Times New Roman" w:hAnsi="Times New Roman"/>
          <w:i/>
          <w:iCs/>
          <w:sz w:val="24"/>
          <w:szCs w:val="24"/>
        </w:rPr>
        <w:t>World Journal of Microbiology &amp; Biotechnology</w:t>
      </w:r>
      <w:r w:rsidRPr="0012729E">
        <w:rPr>
          <w:rFonts w:ascii="Times New Roman" w:hAnsi="Times New Roman"/>
          <w:sz w:val="24"/>
          <w:szCs w:val="24"/>
        </w:rPr>
        <w:t xml:space="preserve">, </w:t>
      </w:r>
      <w:r w:rsidRPr="0012729E">
        <w:rPr>
          <w:rFonts w:ascii="Times New Roman" w:hAnsi="Times New Roman"/>
          <w:i/>
          <w:iCs/>
          <w:sz w:val="24"/>
          <w:szCs w:val="24"/>
        </w:rPr>
        <w:t>40</w:t>
      </w:r>
      <w:r w:rsidRPr="0012729E">
        <w:rPr>
          <w:rFonts w:ascii="Times New Roman" w:hAnsi="Times New Roman"/>
          <w:sz w:val="24"/>
          <w:szCs w:val="24"/>
        </w:rPr>
        <w:t>(9), 285. https://doi.org/10.1007/s11274-024-04090-z</w:t>
      </w:r>
    </w:p>
    <w:p w14:paraId="1A3C90E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Baig, Y., Ma, H. R., Xu, H., &amp; You, L. (2023). Autoencoder neural networks enable low dimensional structure analyses of microbial growth dynamics. </w:t>
      </w:r>
      <w:r w:rsidRPr="0012729E">
        <w:rPr>
          <w:rFonts w:ascii="Times New Roman" w:hAnsi="Times New Roman"/>
          <w:i/>
          <w:iCs/>
          <w:sz w:val="24"/>
          <w:szCs w:val="24"/>
        </w:rPr>
        <w:t>Nature Communications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 7937. https://doi.org/10.1038/s41467-023-43455-0</w:t>
      </w:r>
    </w:p>
    <w:p w14:paraId="208F8FC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Baweja, R., Singh, M., Shukla, S., Ravi, R., Ahmad, R., &amp; Mishra, A. (2025). Antimicrobial resistance: Mechanism, causes, prevention and societal impact.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9</w:t>
      </w:r>
      <w:r w:rsidRPr="0012729E">
        <w:rPr>
          <w:rFonts w:ascii="Times New Roman" w:hAnsi="Times New Roman"/>
          <w:sz w:val="24"/>
          <w:szCs w:val="24"/>
        </w:rPr>
        <w:t>, 100617. https://doi.org/10.1016/j.microb.2025.100617</w:t>
      </w:r>
    </w:p>
    <w:p w14:paraId="3E8BEFC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Bhuiyan, M. N. I. (2025). Biofilm, resistance, and quorum sensing: The triple threat in bacterial pathogenesis.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9</w:t>
      </w:r>
      <w:r w:rsidRPr="0012729E">
        <w:rPr>
          <w:rFonts w:ascii="Times New Roman" w:hAnsi="Times New Roman"/>
          <w:sz w:val="24"/>
          <w:szCs w:val="24"/>
        </w:rPr>
        <w:t>, 100578. https://doi.org/10.1016/j.microb.2025.100578</w:t>
      </w:r>
    </w:p>
    <w:p w14:paraId="1979A1D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Bilal, H., Khan, M. N., Khan, S., Shafiq, M., Fang, W., Khan, R. U., Rahman, M. U., Li, X., Lv, Q.-L., &amp; Xu, B. (2025a). The role of artificial intelligence and machine learning in predicting and combating antimicrobial resistance.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423–439. https://doi.org/10.1016/j.csbj.2025.01.006</w:t>
      </w:r>
    </w:p>
    <w:p w14:paraId="6A43AAE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Bilal, H., Khan, M. N., Khan, S., Shafiq, M., Fang, W., Khan, R. U., Rahman, M. U., Li, X., Lv, Q.-L., &amp; Xu, B. (2025b). The role of artificial intelligence and machine learning in predicting and combating antimicrobial resistance.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423–439. https://doi.org/10.1016/j.csbj.2025.01.006</w:t>
      </w:r>
    </w:p>
    <w:p w14:paraId="4101017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Bobate, S., Mahalle, S., Dafale, N. A., &amp; Bajaj, A. (2023). Emergence of environmental antibiotic resistance: Mechanism, monitoring and management. </w:t>
      </w:r>
      <w:r w:rsidRPr="0012729E">
        <w:rPr>
          <w:rFonts w:ascii="Times New Roman" w:hAnsi="Times New Roman"/>
          <w:i/>
          <w:iCs/>
          <w:sz w:val="24"/>
          <w:szCs w:val="24"/>
        </w:rPr>
        <w:t>Environmental Advances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100409. https://doi.org/10.1016/j.envadv.2023.100409</w:t>
      </w:r>
    </w:p>
    <w:p w14:paraId="5EA1207E"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Branda, F., &amp; Scarpa, F. (2024). Implications of Artificial Intelligence in Addressing Antimicrobial Resistance: Innovations, Global Challenges, and Healthcare’s Future. </w:t>
      </w:r>
      <w:r w:rsidRPr="0012729E">
        <w:rPr>
          <w:rFonts w:ascii="Times New Roman" w:hAnsi="Times New Roman"/>
          <w:i/>
          <w:iCs/>
          <w:sz w:val="24"/>
          <w:szCs w:val="24"/>
        </w:rPr>
        <w:t>Antibiotics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(6), 502. https://doi.org/10.3390/antibiotics13060502</w:t>
      </w:r>
    </w:p>
    <w:p w14:paraId="666876C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Burmeister, A. R. (2015). Horizontal Gene Transfer. </w:t>
      </w:r>
      <w:r w:rsidRPr="0012729E">
        <w:rPr>
          <w:rFonts w:ascii="Times New Roman" w:hAnsi="Times New Roman"/>
          <w:i/>
          <w:iCs/>
          <w:sz w:val="24"/>
          <w:szCs w:val="24"/>
        </w:rPr>
        <w:t>Evolution, Medicine, and Public Health</w:t>
      </w:r>
      <w:r w:rsidRPr="0012729E">
        <w:rPr>
          <w:rFonts w:ascii="Times New Roman" w:hAnsi="Times New Roman"/>
          <w:sz w:val="24"/>
          <w:szCs w:val="24"/>
        </w:rPr>
        <w:t xml:space="preserve">, </w:t>
      </w:r>
      <w:r w:rsidRPr="0012729E">
        <w:rPr>
          <w:rFonts w:ascii="Times New Roman" w:hAnsi="Times New Roman"/>
          <w:i/>
          <w:iCs/>
          <w:sz w:val="24"/>
          <w:szCs w:val="24"/>
        </w:rPr>
        <w:t>2015</w:t>
      </w:r>
      <w:r w:rsidRPr="0012729E">
        <w:rPr>
          <w:rFonts w:ascii="Times New Roman" w:hAnsi="Times New Roman"/>
          <w:sz w:val="24"/>
          <w:szCs w:val="24"/>
        </w:rPr>
        <w:t>(1), 193–194. https://doi.org/10.1093/emph/eov018</w:t>
      </w:r>
    </w:p>
    <w:p w14:paraId="50A2D8C3"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Cao, S., Liu, J., &amp; Li, Y. (2025). Harnessing multi-omics and machine learning for predicting immune checkpoint blockade responses: Advances, challenges, and future directions. </w:t>
      </w:r>
      <w:r w:rsidRPr="0012729E">
        <w:rPr>
          <w:rFonts w:ascii="Times New Roman" w:hAnsi="Times New Roman"/>
          <w:i/>
          <w:iCs/>
          <w:sz w:val="24"/>
          <w:szCs w:val="24"/>
        </w:rPr>
        <w:t>Fundamental Research</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(1), 62–76. https://doi.org/10.1016/j.fmre.2025.08.009</w:t>
      </w:r>
    </w:p>
    <w:p w14:paraId="12628A7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CDC. (2025, January 31). </w:t>
      </w:r>
      <w:r w:rsidRPr="0012729E">
        <w:rPr>
          <w:rFonts w:ascii="Times New Roman" w:hAnsi="Times New Roman"/>
          <w:i/>
          <w:iCs/>
          <w:sz w:val="24"/>
          <w:szCs w:val="24"/>
        </w:rPr>
        <w:t>About Antimicrobial Resistance</w:t>
      </w:r>
      <w:r w:rsidRPr="0012729E">
        <w:rPr>
          <w:rFonts w:ascii="Times New Roman" w:hAnsi="Times New Roman"/>
          <w:sz w:val="24"/>
          <w:szCs w:val="24"/>
        </w:rPr>
        <w:t>. Antimicrobial Resistance. https://www.cdc.gov/antimicrobial-resistance/about/index.html</w:t>
      </w:r>
    </w:p>
    <w:p w14:paraId="6966674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CDC. (2026, April 3). </w:t>
      </w:r>
      <w:r w:rsidRPr="0012729E">
        <w:rPr>
          <w:rFonts w:ascii="Times New Roman" w:hAnsi="Times New Roman"/>
          <w:i/>
          <w:iCs/>
          <w:sz w:val="24"/>
          <w:szCs w:val="24"/>
        </w:rPr>
        <w:t>About Microbial Ecology</w:t>
      </w:r>
      <w:r w:rsidRPr="0012729E">
        <w:rPr>
          <w:rFonts w:ascii="Times New Roman" w:hAnsi="Times New Roman"/>
          <w:sz w:val="24"/>
          <w:szCs w:val="24"/>
        </w:rPr>
        <w:t>. Antimicrobial Resistance. https://www.cdc.gov/antimicrobial-resistance/about/about-microbial-ecology.html</w:t>
      </w:r>
    </w:p>
    <w:p w14:paraId="1894A7D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Cesaro, A., Hoffman, S. C., Das, P., &amp; de la Fuente-Nunez, C. (2025). Challenges and applications of artificial intelligence in infectious diseases and antimicrobial resistance. </w:t>
      </w:r>
      <w:r w:rsidRPr="0012729E">
        <w:rPr>
          <w:rFonts w:ascii="Times New Roman" w:hAnsi="Times New Roman"/>
          <w:i/>
          <w:iCs/>
          <w:sz w:val="24"/>
          <w:szCs w:val="24"/>
        </w:rPr>
        <w:t>Npj Antimicrobials and Resistance</w:t>
      </w:r>
      <w:r w:rsidRPr="0012729E">
        <w:rPr>
          <w:rFonts w:ascii="Times New Roman" w:hAnsi="Times New Roman"/>
          <w:sz w:val="24"/>
          <w:szCs w:val="24"/>
        </w:rPr>
        <w:t xml:space="preserve">, </w:t>
      </w:r>
      <w:r w:rsidRPr="0012729E">
        <w:rPr>
          <w:rFonts w:ascii="Times New Roman" w:hAnsi="Times New Roman"/>
          <w:i/>
          <w:iCs/>
          <w:sz w:val="24"/>
          <w:szCs w:val="24"/>
        </w:rPr>
        <w:t>3</w:t>
      </w:r>
      <w:r w:rsidRPr="0012729E">
        <w:rPr>
          <w:rFonts w:ascii="Times New Roman" w:hAnsi="Times New Roman"/>
          <w:sz w:val="24"/>
          <w:szCs w:val="24"/>
        </w:rPr>
        <w:t>, 2. https://doi.org/10.1038/s44259-024-00068-x</w:t>
      </w:r>
    </w:p>
    <w:p w14:paraId="19F6F06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Che, Y., Zhang, C., Xing, J., Xi, Q., Shao, Y., Zhao, L., Guo, S., &amp; Zuo, Y. (2025). Machine Learning-Based identification of resistance genes associated with sunflower broomrape. </w:t>
      </w:r>
      <w:r w:rsidRPr="0012729E">
        <w:rPr>
          <w:rFonts w:ascii="Times New Roman" w:hAnsi="Times New Roman"/>
          <w:i/>
          <w:iCs/>
          <w:sz w:val="24"/>
          <w:szCs w:val="24"/>
        </w:rPr>
        <w:t>Plant Methods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(1), 62. https://doi.org/10.1186/s13007-025-01383-8</w:t>
      </w:r>
    </w:p>
    <w:p w14:paraId="317102A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Chen, X., &amp; Ishwaran, H. (2012). Random Forests for Genomic Data Analysis. </w:t>
      </w:r>
      <w:r w:rsidRPr="0012729E">
        <w:rPr>
          <w:rFonts w:ascii="Times New Roman" w:hAnsi="Times New Roman"/>
          <w:i/>
          <w:iCs/>
          <w:sz w:val="24"/>
          <w:szCs w:val="24"/>
        </w:rPr>
        <w:t>Genomics</w:t>
      </w:r>
      <w:r w:rsidRPr="0012729E">
        <w:rPr>
          <w:rFonts w:ascii="Times New Roman" w:hAnsi="Times New Roman"/>
          <w:sz w:val="24"/>
          <w:szCs w:val="24"/>
        </w:rPr>
        <w:t xml:space="preserve">, </w:t>
      </w:r>
      <w:r w:rsidRPr="0012729E">
        <w:rPr>
          <w:rFonts w:ascii="Times New Roman" w:hAnsi="Times New Roman"/>
          <w:i/>
          <w:iCs/>
          <w:sz w:val="24"/>
          <w:szCs w:val="24"/>
        </w:rPr>
        <w:t>99</w:t>
      </w:r>
      <w:r w:rsidRPr="0012729E">
        <w:rPr>
          <w:rFonts w:ascii="Times New Roman" w:hAnsi="Times New Roman"/>
          <w:sz w:val="24"/>
          <w:szCs w:val="24"/>
        </w:rPr>
        <w:t>(6), 323–329. https://doi.org/10.1016/j.ygeno.2012.04.003</w:t>
      </w:r>
    </w:p>
    <w:p w14:paraId="577F575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Chiregi, M., Mazinani, M., &amp; Mirzarezaee, M. (2025). A new feature selection method using deep learning and graph representation in high-dimensional datasets. </w:t>
      </w:r>
      <w:r w:rsidRPr="0012729E">
        <w:rPr>
          <w:rFonts w:ascii="Times New Roman" w:hAnsi="Times New Roman"/>
          <w:i/>
          <w:iCs/>
          <w:sz w:val="24"/>
          <w:szCs w:val="24"/>
        </w:rPr>
        <w:t>Knowledge-Based Systems</w:t>
      </w:r>
      <w:r w:rsidRPr="0012729E">
        <w:rPr>
          <w:rFonts w:ascii="Times New Roman" w:hAnsi="Times New Roman"/>
          <w:sz w:val="24"/>
          <w:szCs w:val="24"/>
        </w:rPr>
        <w:t xml:space="preserve">, </w:t>
      </w:r>
      <w:r w:rsidRPr="0012729E">
        <w:rPr>
          <w:rFonts w:ascii="Times New Roman" w:hAnsi="Times New Roman"/>
          <w:i/>
          <w:iCs/>
          <w:sz w:val="24"/>
          <w:szCs w:val="24"/>
        </w:rPr>
        <w:t>329</w:t>
      </w:r>
      <w:r w:rsidRPr="0012729E">
        <w:rPr>
          <w:rFonts w:ascii="Times New Roman" w:hAnsi="Times New Roman"/>
          <w:sz w:val="24"/>
          <w:szCs w:val="24"/>
        </w:rPr>
        <w:t>, 114338. https://doi.org/10.1016/j.knosys.2025.114338</w:t>
      </w:r>
    </w:p>
    <w:p w14:paraId="4B47B2C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Coleman, K., Schroeder, A., &amp; Li, M. (2024). Unlocking the power of spatial omics with AI. </w:t>
      </w:r>
      <w:r w:rsidRPr="0012729E">
        <w:rPr>
          <w:rFonts w:ascii="Times New Roman" w:hAnsi="Times New Roman"/>
          <w:i/>
          <w:iCs/>
          <w:sz w:val="24"/>
          <w:szCs w:val="24"/>
        </w:rPr>
        <w:t>Nature Methods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(8), 1378–1381. https://doi.org/10.1038/s41592-024-02363-x</w:t>
      </w:r>
    </w:p>
    <w:p w14:paraId="18A238E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Collins, J. A., &amp; Osheroff, N. (2024). Gyrase and Topoisomerase IV: Recycling Old Targets for New Antibacterials to Combat Fluoroquinolone Resistance. </w:t>
      </w:r>
      <w:r w:rsidRPr="0012729E">
        <w:rPr>
          <w:rFonts w:ascii="Times New Roman" w:hAnsi="Times New Roman"/>
          <w:i/>
          <w:iCs/>
          <w:sz w:val="24"/>
          <w:szCs w:val="24"/>
        </w:rPr>
        <w:t>ACS Infectious Diseases</w:t>
      </w:r>
      <w:r w:rsidRPr="0012729E">
        <w:rPr>
          <w:rFonts w:ascii="Times New Roman" w:hAnsi="Times New Roman"/>
          <w:sz w:val="24"/>
          <w:szCs w:val="24"/>
        </w:rPr>
        <w:t xml:space="preserve">, </w:t>
      </w:r>
      <w:r w:rsidRPr="0012729E">
        <w:rPr>
          <w:rFonts w:ascii="Times New Roman" w:hAnsi="Times New Roman"/>
          <w:i/>
          <w:iCs/>
          <w:sz w:val="24"/>
          <w:szCs w:val="24"/>
        </w:rPr>
        <w:t>10</w:t>
      </w:r>
      <w:r w:rsidRPr="0012729E">
        <w:rPr>
          <w:rFonts w:ascii="Times New Roman" w:hAnsi="Times New Roman"/>
          <w:sz w:val="24"/>
          <w:szCs w:val="24"/>
        </w:rPr>
        <w:t>(4), 1097–1115. https://doi.org/10.1021/acsinfecdis.4c00128</w:t>
      </w:r>
    </w:p>
    <w:p w14:paraId="226E1A7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Cross, B. J., Partridge, S. R., &amp; Sheppard, A. E. (2026). Impacts of mobile genetic elements on antimicrobial resistance genes in gram-negative pathogens: Current insights and genomic approaches. </w:t>
      </w:r>
      <w:r w:rsidRPr="0012729E">
        <w:rPr>
          <w:rFonts w:ascii="Times New Roman" w:hAnsi="Times New Roman"/>
          <w:i/>
          <w:iCs/>
          <w:sz w:val="24"/>
          <w:szCs w:val="24"/>
        </w:rPr>
        <w:t>Microbiological Research</w:t>
      </w:r>
      <w:r w:rsidRPr="0012729E">
        <w:rPr>
          <w:rFonts w:ascii="Times New Roman" w:hAnsi="Times New Roman"/>
          <w:sz w:val="24"/>
          <w:szCs w:val="24"/>
        </w:rPr>
        <w:t xml:space="preserve">, </w:t>
      </w:r>
      <w:r w:rsidRPr="0012729E">
        <w:rPr>
          <w:rFonts w:ascii="Times New Roman" w:hAnsi="Times New Roman"/>
          <w:i/>
          <w:iCs/>
          <w:sz w:val="24"/>
          <w:szCs w:val="24"/>
        </w:rPr>
        <w:t>302</w:t>
      </w:r>
      <w:r w:rsidRPr="0012729E">
        <w:rPr>
          <w:rFonts w:ascii="Times New Roman" w:hAnsi="Times New Roman"/>
          <w:sz w:val="24"/>
          <w:szCs w:val="24"/>
        </w:rPr>
        <w:t>, 128340. https://doi.org/10.1016/j.micres.2025.128340</w:t>
      </w:r>
    </w:p>
    <w:p w14:paraId="74F9F63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Elbaiomy, R. G., El‐Sappah, A. H., Guo, R., Luo, X., Deng, S., Du, M., Jian, X., Bakeer, M., Li, Z., &amp; Zhang, Z. (2025). Antibiotic Resistance: A Genetic and Physiological Perspective. </w:t>
      </w:r>
      <w:r w:rsidRPr="0012729E">
        <w:rPr>
          <w:rFonts w:ascii="Times New Roman" w:hAnsi="Times New Roman"/>
          <w:i/>
          <w:iCs/>
          <w:sz w:val="24"/>
          <w:szCs w:val="24"/>
        </w:rPr>
        <w:t>MedComm</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(11), e70447. https://doi.org/10.1002/mco2.70447</w:t>
      </w:r>
    </w:p>
    <w:p w14:paraId="34674B30"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Elendu, C., Amaechi, D. C., Okatta, A. U., Amaechi, E. C., Elendu, T. C., Ezeh, C. P., &amp; Elendu, I. D. (2024). The impact of simulation-based training in medical education: A review. </w:t>
      </w:r>
      <w:r w:rsidRPr="0012729E">
        <w:rPr>
          <w:rFonts w:ascii="Times New Roman" w:hAnsi="Times New Roman"/>
          <w:i/>
          <w:iCs/>
          <w:sz w:val="24"/>
          <w:szCs w:val="24"/>
        </w:rPr>
        <w:t>Medicine</w:t>
      </w:r>
      <w:r w:rsidRPr="0012729E">
        <w:rPr>
          <w:rFonts w:ascii="Times New Roman" w:hAnsi="Times New Roman"/>
          <w:sz w:val="24"/>
          <w:szCs w:val="24"/>
        </w:rPr>
        <w:t xml:space="preserve">, </w:t>
      </w:r>
      <w:r w:rsidRPr="0012729E">
        <w:rPr>
          <w:rFonts w:ascii="Times New Roman" w:hAnsi="Times New Roman"/>
          <w:i/>
          <w:iCs/>
          <w:sz w:val="24"/>
          <w:szCs w:val="24"/>
        </w:rPr>
        <w:t>103</w:t>
      </w:r>
      <w:r w:rsidRPr="0012729E">
        <w:rPr>
          <w:rFonts w:ascii="Times New Roman" w:hAnsi="Times New Roman"/>
          <w:sz w:val="24"/>
          <w:szCs w:val="24"/>
        </w:rPr>
        <w:t>(27), e38813. https://doi.org/10.1097/MD.0000000000038813</w:t>
      </w:r>
    </w:p>
    <w:p w14:paraId="79BC34B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Fahim, Y. A., Hasani, I. W., Kabba, S., &amp; Ragab, W. M. (2025). Artificial intelligence in healthcare and medicine: Clinical applications, therapeutic advances, and future perspectives. </w:t>
      </w:r>
      <w:r w:rsidRPr="0012729E">
        <w:rPr>
          <w:rFonts w:ascii="Times New Roman" w:hAnsi="Times New Roman"/>
          <w:i/>
          <w:iCs/>
          <w:sz w:val="24"/>
          <w:szCs w:val="24"/>
        </w:rPr>
        <w:t>European Journal of Medical Research</w:t>
      </w:r>
      <w:r w:rsidRPr="0012729E">
        <w:rPr>
          <w:rFonts w:ascii="Times New Roman" w:hAnsi="Times New Roman"/>
          <w:sz w:val="24"/>
          <w:szCs w:val="24"/>
        </w:rPr>
        <w:t xml:space="preserve">, </w:t>
      </w:r>
      <w:r w:rsidRPr="0012729E">
        <w:rPr>
          <w:rFonts w:ascii="Times New Roman" w:hAnsi="Times New Roman"/>
          <w:i/>
          <w:iCs/>
          <w:sz w:val="24"/>
          <w:szCs w:val="24"/>
        </w:rPr>
        <w:t>30</w:t>
      </w:r>
      <w:r w:rsidRPr="0012729E">
        <w:rPr>
          <w:rFonts w:ascii="Times New Roman" w:hAnsi="Times New Roman"/>
          <w:sz w:val="24"/>
          <w:szCs w:val="24"/>
        </w:rPr>
        <w:t>, 848. https://doi.org/10.1186/s40001-025-03196-w</w:t>
      </w:r>
    </w:p>
    <w:p w14:paraId="443E7CB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Fareed, M. M., &amp; Shityakov, S. (2026). Artificial Intelligence-Enabled Foodomics: Integrating Multi-Omics, Personalized Drug Discovery, Nutrition, and Sustainable Food Systems. </w:t>
      </w:r>
      <w:r w:rsidRPr="0012729E">
        <w:rPr>
          <w:rFonts w:ascii="Times New Roman" w:hAnsi="Times New Roman"/>
          <w:i/>
          <w:iCs/>
          <w:sz w:val="24"/>
          <w:szCs w:val="24"/>
        </w:rPr>
        <w:t>In Silico Research in Biomedicine</w:t>
      </w:r>
      <w:r w:rsidRPr="0012729E">
        <w:rPr>
          <w:rFonts w:ascii="Times New Roman" w:hAnsi="Times New Roman"/>
          <w:sz w:val="24"/>
          <w:szCs w:val="24"/>
        </w:rPr>
        <w:t>, 100378. https://doi.org/10.1016/j.insi.2026.100378</w:t>
      </w:r>
    </w:p>
    <w:p w14:paraId="2C432943"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Gaurav, A., Bakht, P., Saini, M., Pandey, S., &amp; Pathania, R. (2023). Role of bacterial efflux pumps in antibiotic resistance, virulence, and strategies to discover novel efflux pump inhibitors. </w:t>
      </w:r>
      <w:r w:rsidRPr="0012729E">
        <w:rPr>
          <w:rFonts w:ascii="Times New Roman" w:hAnsi="Times New Roman"/>
          <w:i/>
          <w:iCs/>
          <w:sz w:val="24"/>
          <w:szCs w:val="24"/>
        </w:rPr>
        <w:t>Microbiology</w:t>
      </w:r>
      <w:r w:rsidRPr="0012729E">
        <w:rPr>
          <w:rFonts w:ascii="Times New Roman" w:hAnsi="Times New Roman"/>
          <w:sz w:val="24"/>
          <w:szCs w:val="24"/>
        </w:rPr>
        <w:t xml:space="preserve">, </w:t>
      </w:r>
      <w:r w:rsidRPr="0012729E">
        <w:rPr>
          <w:rFonts w:ascii="Times New Roman" w:hAnsi="Times New Roman"/>
          <w:i/>
          <w:iCs/>
          <w:sz w:val="24"/>
          <w:szCs w:val="24"/>
        </w:rPr>
        <w:t>169</w:t>
      </w:r>
      <w:r w:rsidRPr="0012729E">
        <w:rPr>
          <w:rFonts w:ascii="Times New Roman" w:hAnsi="Times New Roman"/>
          <w:sz w:val="24"/>
          <w:szCs w:val="24"/>
        </w:rPr>
        <w:t>(5), 001333. https://doi.org/10.1099/mic.0.001333</w:t>
      </w:r>
    </w:p>
    <w:p w14:paraId="2792AC5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Ghosh, N., Santoni, D., Saha, I., &amp; Felici, G. (2025). A review on the applications of Transformer-based language models for nucleotide sequence analysis.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1244–1254. https://doi.org/10.1016/j.csbj.2025.03.024</w:t>
      </w:r>
    </w:p>
    <w:p w14:paraId="40EA0D2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Goldiș, A., Dragomir, R., Mercioni, M. A., Goldiș, C., Sirca, D., Enatescu, I., &amp; Belei, O. (2025). Introducing a Novel Personalized Microbiome-Based Treatment for Inflammatory Bowel Disease: Results from NostraBiome’s Internal Validation Study. </w:t>
      </w:r>
      <w:r w:rsidRPr="0012729E">
        <w:rPr>
          <w:rFonts w:ascii="Times New Roman" w:hAnsi="Times New Roman"/>
          <w:i/>
          <w:iCs/>
          <w:sz w:val="24"/>
          <w:szCs w:val="24"/>
        </w:rPr>
        <w:t>Biomedicines</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(4), 795. https://doi.org/10.3390/biomedicines13040795</w:t>
      </w:r>
    </w:p>
    <w:p w14:paraId="6E08381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Grari, O., Ezrari, S., El Yandouzi, I., Benaissa, E., Ben Lahlou, Y., Lahmer, M., Saddari, A., Elouennass, M., &amp; Maleb, A. (2025). A comprehensive review on biofilm-associated infections: Mechanisms, diagnostic challenges, and innovative therapeutic strategies.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 100436. https://doi.org/10.1016/j.microb.2025.100436</w:t>
      </w:r>
    </w:p>
    <w:p w14:paraId="4C5C7B6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Grohmann, E., Muth, G., &amp; Espinosa, M. (2003). Conjugative Plasmid Transfer in Gram-Positive Bacteria. </w:t>
      </w:r>
      <w:r w:rsidRPr="0012729E">
        <w:rPr>
          <w:rFonts w:ascii="Times New Roman" w:hAnsi="Times New Roman"/>
          <w:i/>
          <w:iCs/>
          <w:sz w:val="24"/>
          <w:szCs w:val="24"/>
        </w:rPr>
        <w:t>Microbiology and Molecular Biology Reviews</w:t>
      </w:r>
      <w:r w:rsidRPr="0012729E">
        <w:rPr>
          <w:rFonts w:ascii="Times New Roman" w:hAnsi="Times New Roman"/>
          <w:sz w:val="24"/>
          <w:szCs w:val="24"/>
        </w:rPr>
        <w:t xml:space="preserve">, </w:t>
      </w:r>
      <w:r w:rsidRPr="0012729E">
        <w:rPr>
          <w:rFonts w:ascii="Times New Roman" w:hAnsi="Times New Roman"/>
          <w:i/>
          <w:iCs/>
          <w:sz w:val="24"/>
          <w:szCs w:val="24"/>
        </w:rPr>
        <w:t>67</w:t>
      </w:r>
      <w:r w:rsidRPr="0012729E">
        <w:rPr>
          <w:rFonts w:ascii="Times New Roman" w:hAnsi="Times New Roman"/>
          <w:sz w:val="24"/>
          <w:szCs w:val="24"/>
        </w:rPr>
        <w:t>(2), 277–301. https://doi.org/10.1128/MMBR.67.2.277-301.2003</w:t>
      </w:r>
    </w:p>
    <w:p w14:paraId="12F82A4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Gu, W., Richter, X.-Y. L., &amp; Johnson, D. R. (2026). Managing microbial interactions in environmental biotechnology: Can we scale interaction principles? </w:t>
      </w:r>
      <w:r w:rsidRPr="0012729E">
        <w:rPr>
          <w:rFonts w:ascii="Times New Roman" w:hAnsi="Times New Roman"/>
          <w:i/>
          <w:iCs/>
          <w:sz w:val="24"/>
          <w:szCs w:val="24"/>
        </w:rPr>
        <w:t>Trends in Microbiology</w:t>
      </w:r>
      <w:r w:rsidRPr="0012729E">
        <w:rPr>
          <w:rFonts w:ascii="Times New Roman" w:hAnsi="Times New Roman"/>
          <w:sz w:val="24"/>
          <w:szCs w:val="24"/>
        </w:rPr>
        <w:t>. https://doi.org/10.1016/j.tim.2026.04.003</w:t>
      </w:r>
    </w:p>
    <w:p w14:paraId="557A3D7B"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Haredasht, F. N., Amrollahi, F., Maddali, M. V., Marshall, N., Ma, S. P., Cooper, L. N., Johnson, A. O., Wei, Z., Medford, R. J., Kanjilal, S., Banaei, N., Deresinski, S., Goldstein, M. K., Asch, S. M., Chang, A., &amp; Chen, J. H. (2025). Antibiotic Resistance Microbiology Dataset (ARMD): A Resource for Antimicrobial Resistance from EHRs. </w:t>
      </w:r>
      <w:r w:rsidRPr="0012729E">
        <w:rPr>
          <w:rFonts w:ascii="Times New Roman" w:hAnsi="Times New Roman"/>
          <w:i/>
          <w:iCs/>
          <w:sz w:val="24"/>
          <w:szCs w:val="24"/>
        </w:rPr>
        <w:t>ArXiv</w:t>
      </w:r>
      <w:r w:rsidRPr="0012729E">
        <w:rPr>
          <w:rFonts w:ascii="Times New Roman" w:hAnsi="Times New Roman"/>
          <w:sz w:val="24"/>
          <w:szCs w:val="24"/>
        </w:rPr>
        <w:t>, arXiv:2503.07664v2.</w:t>
      </w:r>
    </w:p>
    <w:p w14:paraId="4D957C2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Hornisch, M., &amp; Piazza, I. (2025). Regulation of gene expression through protein-metabolite interactions. </w:t>
      </w:r>
      <w:r w:rsidRPr="0012729E">
        <w:rPr>
          <w:rFonts w:ascii="Times New Roman" w:hAnsi="Times New Roman"/>
          <w:i/>
          <w:iCs/>
          <w:sz w:val="24"/>
          <w:szCs w:val="24"/>
        </w:rPr>
        <w:t>Npj Metabolic Health and Disease</w:t>
      </w:r>
      <w:r w:rsidRPr="0012729E">
        <w:rPr>
          <w:rFonts w:ascii="Times New Roman" w:hAnsi="Times New Roman"/>
          <w:sz w:val="24"/>
          <w:szCs w:val="24"/>
        </w:rPr>
        <w:t xml:space="preserve">, </w:t>
      </w:r>
      <w:r w:rsidRPr="0012729E">
        <w:rPr>
          <w:rFonts w:ascii="Times New Roman" w:hAnsi="Times New Roman"/>
          <w:i/>
          <w:iCs/>
          <w:sz w:val="24"/>
          <w:szCs w:val="24"/>
        </w:rPr>
        <w:t>3</w:t>
      </w:r>
      <w:r w:rsidRPr="0012729E">
        <w:rPr>
          <w:rFonts w:ascii="Times New Roman" w:hAnsi="Times New Roman"/>
          <w:sz w:val="24"/>
          <w:szCs w:val="24"/>
        </w:rPr>
        <w:t>, 7. https://doi.org/10.1038/s44324-024-00047-w</w:t>
      </w:r>
    </w:p>
    <w:p w14:paraId="7AC920F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Howey, R., Adam, J., Adamski, J., Atabaki, N. N., Brunak, S., Chmura, P. J., De Masi, F., Dermitzakis, E. T., Fernandez-Tajes, J. J., Forgie, I. M., Franks, P. W., Giordano, G. N., Haid, M., Hansen, T., Hansen, T. H., Harms, P. P., Hattersley, A. T., Hong, M., Jacobsen, U. P., … Cordell, H. J. (2025). Bayesian network imputation methods applied to multi-omics data identify putative causal relationships in a type 2 diabetes dataset containing incomplete data: An IMI DIRECT Study. </w:t>
      </w:r>
      <w:r w:rsidRPr="0012729E">
        <w:rPr>
          <w:rFonts w:ascii="Times New Roman" w:hAnsi="Times New Roman"/>
          <w:i/>
          <w:iCs/>
          <w:sz w:val="24"/>
          <w:szCs w:val="24"/>
        </w:rPr>
        <w:t>PLOS Genetics</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(7), e1011776. https://doi.org/10.1371/journal.pgen.1011776</w:t>
      </w:r>
    </w:p>
    <w:p w14:paraId="11035990"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Hrițcu, L. D., Boghian, V., Pavel, G., Hrițcu, T. D., Nechifor, F., Spataru, A., Cherșunaru, A. A., Munteanu, A., Ciocoiu, M., &amp; Spataru, M.-C. (2025). Systematic Review: Exploring </w:t>
      </w:r>
      <w:r w:rsidRPr="0012729E">
        <w:rPr>
          <w:rFonts w:ascii="Times New Roman" w:hAnsi="Times New Roman"/>
          <w:sz w:val="24"/>
          <w:szCs w:val="24"/>
        </w:rPr>
        <w:lastRenderedPageBreak/>
        <w:t xml:space="preserve">Inter-Species Variability in Diabetes Mellitus for Translational Medicine. </w:t>
      </w:r>
      <w:r w:rsidRPr="0012729E">
        <w:rPr>
          <w:rFonts w:ascii="Times New Roman" w:hAnsi="Times New Roman"/>
          <w:i/>
          <w:iCs/>
          <w:sz w:val="24"/>
          <w:szCs w:val="24"/>
        </w:rPr>
        <w:t>Life</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(1). https://doi.org/10.3390/life16010064</w:t>
      </w:r>
    </w:p>
    <w:p w14:paraId="488FA01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Huang, Y.-S., &amp; Zhou, H. (2025). Breakthrough Advances in Beta-Lactamase Inhibitors: New Synthesized Compounds and Mechanisms of Action Against Drug-Resistant Bacteria. </w:t>
      </w:r>
      <w:r w:rsidRPr="0012729E">
        <w:rPr>
          <w:rFonts w:ascii="Times New Roman" w:hAnsi="Times New Roman"/>
          <w:i/>
          <w:iCs/>
          <w:sz w:val="24"/>
          <w:szCs w:val="24"/>
        </w:rPr>
        <w:t>Pharmaceuticals</w:t>
      </w:r>
      <w:r w:rsidRPr="0012729E">
        <w:rPr>
          <w:rFonts w:ascii="Times New Roman" w:hAnsi="Times New Roman"/>
          <w:sz w:val="24"/>
          <w:szCs w:val="24"/>
        </w:rPr>
        <w:t xml:space="preserve">, </w:t>
      </w:r>
      <w:r w:rsidRPr="0012729E">
        <w:rPr>
          <w:rFonts w:ascii="Times New Roman" w:hAnsi="Times New Roman"/>
          <w:i/>
          <w:iCs/>
          <w:sz w:val="24"/>
          <w:szCs w:val="24"/>
        </w:rPr>
        <w:t>18</w:t>
      </w:r>
      <w:r w:rsidRPr="0012729E">
        <w:rPr>
          <w:rFonts w:ascii="Times New Roman" w:hAnsi="Times New Roman"/>
          <w:sz w:val="24"/>
          <w:szCs w:val="24"/>
        </w:rPr>
        <w:t>(2). https://doi.org/10.3390/ph18020206</w:t>
      </w:r>
    </w:p>
    <w:p w14:paraId="48FD3D5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Iimaa, T., Batmunkh, M., Dulguun, B., Dorjsuren, B., Turmunkh, T., Tserennadmid, E., Surenjav, U., Choidash, B., &amp; Gereltuya, R. (2025). Bacterial Heavy Metal Resistance in Contaminated Soil. </w:t>
      </w:r>
      <w:r w:rsidRPr="0012729E">
        <w:rPr>
          <w:rFonts w:ascii="Times New Roman" w:hAnsi="Times New Roman"/>
          <w:i/>
          <w:iCs/>
          <w:sz w:val="24"/>
          <w:szCs w:val="24"/>
        </w:rPr>
        <w:t>Journal of Microbiology and Biotechnology</w:t>
      </w:r>
      <w:r w:rsidRPr="0012729E">
        <w:rPr>
          <w:rFonts w:ascii="Times New Roman" w:hAnsi="Times New Roman"/>
          <w:sz w:val="24"/>
          <w:szCs w:val="24"/>
        </w:rPr>
        <w:t xml:space="preserve">, </w:t>
      </w:r>
      <w:r w:rsidRPr="0012729E">
        <w:rPr>
          <w:rFonts w:ascii="Times New Roman" w:hAnsi="Times New Roman"/>
          <w:i/>
          <w:iCs/>
          <w:sz w:val="24"/>
          <w:szCs w:val="24"/>
        </w:rPr>
        <w:t>35</w:t>
      </w:r>
      <w:r w:rsidRPr="0012729E">
        <w:rPr>
          <w:rFonts w:ascii="Times New Roman" w:hAnsi="Times New Roman"/>
          <w:sz w:val="24"/>
          <w:szCs w:val="24"/>
        </w:rPr>
        <w:t>, e2411073. https://doi.org/10.4014/jmb.2411.11073</w:t>
      </w:r>
    </w:p>
    <w:p w14:paraId="3627FCA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Jia, X., Xiong, Y., Xu, Y., Chen, F., Han, P., Qu, J., He, Q., &amp; Rao, G. (n.d.). Machine learning-selected minimal features drive high-accuracy rule-based antibiotic susceptibility predictions for Staphylococcus aureus via metagenomic sequencing. </w:t>
      </w:r>
      <w:r w:rsidRPr="0012729E">
        <w:rPr>
          <w:rFonts w:ascii="Times New Roman" w:hAnsi="Times New Roman"/>
          <w:i/>
          <w:iCs/>
          <w:sz w:val="24"/>
          <w:szCs w:val="24"/>
        </w:rPr>
        <w:t>Microbiology Spectrum</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(8), e00556-25. https://doi.org/10.1128/spectrum.00556-25</w:t>
      </w:r>
    </w:p>
    <w:p w14:paraId="3714E47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Khodadadi, E., Zeinalzadeh, E., Taghizadeh, S., Mehramouz, B., Kamounah, F. S., Khodadadi, E., Ganbarov, K., Yousefi, B., Bastami, M., &amp; Kafil, H. S. (2020). Proteomic Applications in Antimicrobial Resistance and Clinical Microbiology Studies. </w:t>
      </w:r>
      <w:r w:rsidRPr="0012729E">
        <w:rPr>
          <w:rFonts w:ascii="Times New Roman" w:hAnsi="Times New Roman"/>
          <w:i/>
          <w:iCs/>
          <w:sz w:val="24"/>
          <w:szCs w:val="24"/>
        </w:rPr>
        <w:t>Infection and Drug Resistance</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 1785–1806. https://doi.org/10.2147/IDR.S238446</w:t>
      </w:r>
    </w:p>
    <w:p w14:paraId="378D99D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Krawczyk, S. J., Leśniczak-Staszak, M., Gowin, E., &amp; Szaflarski, W. (2024). Mechanistic Insights into Clinically Relevant Ribosome-Targeting Antibiotics. </w:t>
      </w:r>
      <w:r w:rsidRPr="0012729E">
        <w:rPr>
          <w:rFonts w:ascii="Times New Roman" w:hAnsi="Times New Roman"/>
          <w:i/>
          <w:iCs/>
          <w:sz w:val="24"/>
          <w:szCs w:val="24"/>
        </w:rPr>
        <w:t>Biomolecules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(10). https://doi.org/10.3390/biom14101263</w:t>
      </w:r>
    </w:p>
    <w:p w14:paraId="4E53F3E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Larsson, D. G. J., &amp; Flach, C.-F. (2022). Antibiotic resistance in the environment. </w:t>
      </w:r>
      <w:r w:rsidRPr="0012729E">
        <w:rPr>
          <w:rFonts w:ascii="Times New Roman" w:hAnsi="Times New Roman"/>
          <w:i/>
          <w:iCs/>
          <w:sz w:val="24"/>
          <w:szCs w:val="24"/>
        </w:rPr>
        <w:t>Nature Reviews. Microbiology</w:t>
      </w:r>
      <w:r w:rsidRPr="0012729E">
        <w:rPr>
          <w:rFonts w:ascii="Times New Roman" w:hAnsi="Times New Roman"/>
          <w:sz w:val="24"/>
          <w:szCs w:val="24"/>
        </w:rPr>
        <w:t xml:space="preserve">, </w:t>
      </w:r>
      <w:r w:rsidRPr="0012729E">
        <w:rPr>
          <w:rFonts w:ascii="Times New Roman" w:hAnsi="Times New Roman"/>
          <w:i/>
          <w:iCs/>
          <w:sz w:val="24"/>
          <w:szCs w:val="24"/>
        </w:rPr>
        <w:t>20</w:t>
      </w:r>
      <w:r w:rsidRPr="0012729E">
        <w:rPr>
          <w:rFonts w:ascii="Times New Roman" w:hAnsi="Times New Roman"/>
          <w:sz w:val="24"/>
          <w:szCs w:val="24"/>
        </w:rPr>
        <w:t>(5), 257–269. https://doi.org/10.1038/s41579-021-00649-x</w:t>
      </w:r>
    </w:p>
    <w:p w14:paraId="05C07EC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Lawal, O. P., Babatunde, J. O., Owusu-Ansah, S., Ani, C. P., Adegbesan, A. C., Hashim, H., Okeke, J. C., Okei, N. C., Igunma, A. A., Ubebe, D. O., Ugoagwu, K. U., Agbo, O. S., &amp; Ani, C. F. (2025). Antibiogram and Molecular Characterization of Extended-Spectrum Beta-Lactamase-Producing Klebsiella pneumoniae in a Nigerian Teaching Hospital. </w:t>
      </w:r>
      <w:r w:rsidRPr="0012729E">
        <w:rPr>
          <w:rFonts w:ascii="Times New Roman" w:hAnsi="Times New Roman"/>
          <w:i/>
          <w:iCs/>
          <w:sz w:val="24"/>
          <w:szCs w:val="24"/>
        </w:rPr>
        <w:t>Microbes, Infection and Chemotherapy</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 e2305–e2305. https://doi.org/10.54034/mic.e2305</w:t>
      </w:r>
    </w:p>
    <w:p w14:paraId="44CC189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Lawal, O. P., Igwe, E. P., Olosunde, A., Chisom, E. P., Okeh, D. U., Olowookere, A. K., Adedayo, O. A., Agu, C. P., Mustapha, F. A., Odubo, F. E., &amp; Orobator, E. T. (2025). Integrating Real-Time Data and Machine Learning in Predicting Infectious Disease Outbreaks: Enhancing Response Strategies in Sub-Saharan Africa. </w:t>
      </w:r>
      <w:r w:rsidRPr="0012729E">
        <w:rPr>
          <w:rFonts w:ascii="Times New Roman" w:hAnsi="Times New Roman"/>
          <w:i/>
          <w:iCs/>
          <w:sz w:val="24"/>
          <w:szCs w:val="24"/>
        </w:rPr>
        <w:t>Asian Journal of Microbiology and Biotechnology</w:t>
      </w:r>
      <w:r w:rsidRPr="0012729E">
        <w:rPr>
          <w:rFonts w:ascii="Times New Roman" w:hAnsi="Times New Roman"/>
          <w:sz w:val="24"/>
          <w:szCs w:val="24"/>
        </w:rPr>
        <w:t xml:space="preserve">, </w:t>
      </w:r>
      <w:r w:rsidRPr="0012729E">
        <w:rPr>
          <w:rFonts w:ascii="Times New Roman" w:hAnsi="Times New Roman"/>
          <w:i/>
          <w:iCs/>
          <w:sz w:val="24"/>
          <w:szCs w:val="24"/>
        </w:rPr>
        <w:t>10</w:t>
      </w:r>
      <w:r w:rsidRPr="0012729E">
        <w:rPr>
          <w:rFonts w:ascii="Times New Roman" w:hAnsi="Times New Roman"/>
          <w:sz w:val="24"/>
          <w:szCs w:val="24"/>
        </w:rPr>
        <w:t>(1), 147–163. https://doi.org/10.56557/ajmab/2025/v10i19371</w:t>
      </w:r>
    </w:p>
    <w:p w14:paraId="64D84E9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Lee, C. J., &amp; Yoon, H. (2024). Metabolic Adaptation and Cellular Stress Response As Targets for Cancer Therapy. </w:t>
      </w:r>
      <w:r w:rsidRPr="0012729E">
        <w:rPr>
          <w:rFonts w:ascii="Times New Roman" w:hAnsi="Times New Roman"/>
          <w:i/>
          <w:iCs/>
          <w:sz w:val="24"/>
          <w:szCs w:val="24"/>
        </w:rPr>
        <w:t>The World Journal of Men’s Health</w:t>
      </w:r>
      <w:r w:rsidRPr="0012729E">
        <w:rPr>
          <w:rFonts w:ascii="Times New Roman" w:hAnsi="Times New Roman"/>
          <w:sz w:val="24"/>
          <w:szCs w:val="24"/>
        </w:rPr>
        <w:t xml:space="preserve">, </w:t>
      </w:r>
      <w:r w:rsidRPr="0012729E">
        <w:rPr>
          <w:rFonts w:ascii="Times New Roman" w:hAnsi="Times New Roman"/>
          <w:i/>
          <w:iCs/>
          <w:sz w:val="24"/>
          <w:szCs w:val="24"/>
        </w:rPr>
        <w:t>42</w:t>
      </w:r>
      <w:r w:rsidRPr="0012729E">
        <w:rPr>
          <w:rFonts w:ascii="Times New Roman" w:hAnsi="Times New Roman"/>
          <w:sz w:val="24"/>
          <w:szCs w:val="24"/>
        </w:rPr>
        <w:t>(1), 62–70. https://doi.org/10.5534/wjmh.230153</w:t>
      </w:r>
    </w:p>
    <w:p w14:paraId="594AF83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Li, J.-H., Tseng, Y.-J., Chen, S.-H., &amp; Chen, K.-F. (2026). Artificial intelligence in infection surveillance: Data integration, applications and future directions. </w:t>
      </w:r>
      <w:r w:rsidRPr="0012729E">
        <w:rPr>
          <w:rFonts w:ascii="Times New Roman" w:hAnsi="Times New Roman"/>
          <w:i/>
          <w:iCs/>
          <w:sz w:val="24"/>
          <w:szCs w:val="24"/>
        </w:rPr>
        <w:t>Biomedical Journal</w:t>
      </w:r>
      <w:r w:rsidRPr="0012729E">
        <w:rPr>
          <w:rFonts w:ascii="Times New Roman" w:hAnsi="Times New Roman"/>
          <w:sz w:val="24"/>
          <w:szCs w:val="24"/>
        </w:rPr>
        <w:t xml:space="preserve">, </w:t>
      </w:r>
      <w:r w:rsidRPr="0012729E">
        <w:rPr>
          <w:rFonts w:ascii="Times New Roman" w:hAnsi="Times New Roman"/>
          <w:i/>
          <w:iCs/>
          <w:sz w:val="24"/>
          <w:szCs w:val="24"/>
        </w:rPr>
        <w:t>49</w:t>
      </w:r>
      <w:r w:rsidRPr="0012729E">
        <w:rPr>
          <w:rFonts w:ascii="Times New Roman" w:hAnsi="Times New Roman"/>
          <w:sz w:val="24"/>
          <w:szCs w:val="24"/>
        </w:rPr>
        <w:t>(2), 100929. https://doi.org/10.1016/j.bj.2025.100929</w:t>
      </w:r>
    </w:p>
    <w:p w14:paraId="2C21A3F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Li, W., Zhou, Y., Luo, Z., Tan, M., Yin, R., &amp; Li, J. (2025). XGBoost-based machine learning model combining clinical and ultrasound data for personalized prediction of thyroid nodule malignancy. </w:t>
      </w:r>
      <w:r w:rsidRPr="0012729E">
        <w:rPr>
          <w:rFonts w:ascii="Times New Roman" w:hAnsi="Times New Roman"/>
          <w:i/>
          <w:iCs/>
          <w:sz w:val="24"/>
          <w:szCs w:val="24"/>
        </w:rPr>
        <w:t>Frontiers in Endocrinology</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 1639639. https://doi.org/10.3389/fendo.2025.1639639</w:t>
      </w:r>
    </w:p>
    <w:p w14:paraId="219BD48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Loganathan, P. (2026). Harnessing artificial intelligence and machine learning for next-generation bioremediation. </w:t>
      </w:r>
      <w:r w:rsidRPr="0012729E">
        <w:rPr>
          <w:rFonts w:ascii="Times New Roman" w:hAnsi="Times New Roman"/>
          <w:i/>
          <w:iCs/>
          <w:sz w:val="24"/>
          <w:szCs w:val="24"/>
        </w:rPr>
        <w:t>Chemical Engineering Journal Advances</w:t>
      </w:r>
      <w:r w:rsidRPr="0012729E">
        <w:rPr>
          <w:rFonts w:ascii="Times New Roman" w:hAnsi="Times New Roman"/>
          <w:sz w:val="24"/>
          <w:szCs w:val="24"/>
        </w:rPr>
        <w:t xml:space="preserve">, </w:t>
      </w:r>
      <w:r w:rsidRPr="0012729E">
        <w:rPr>
          <w:rFonts w:ascii="Times New Roman" w:hAnsi="Times New Roman"/>
          <w:i/>
          <w:iCs/>
          <w:sz w:val="24"/>
          <w:szCs w:val="24"/>
        </w:rPr>
        <w:t>25</w:t>
      </w:r>
      <w:r w:rsidRPr="0012729E">
        <w:rPr>
          <w:rFonts w:ascii="Times New Roman" w:hAnsi="Times New Roman"/>
          <w:sz w:val="24"/>
          <w:szCs w:val="24"/>
        </w:rPr>
        <w:t>, 101052. https://doi.org/10.1016/j.ceja.2026.101052</w:t>
      </w:r>
    </w:p>
    <w:p w14:paraId="7234454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Lowe, R., Shirley, N., Bleackley, M., Dolan, S., &amp; Shafee, T. (2017). Transcriptomics technologies. </w:t>
      </w:r>
      <w:r w:rsidRPr="0012729E">
        <w:rPr>
          <w:rFonts w:ascii="Times New Roman" w:hAnsi="Times New Roman"/>
          <w:i/>
          <w:iCs/>
          <w:sz w:val="24"/>
          <w:szCs w:val="24"/>
        </w:rPr>
        <w:t>PLoS Computational Biology</w:t>
      </w:r>
      <w:r w:rsidRPr="0012729E">
        <w:rPr>
          <w:rFonts w:ascii="Times New Roman" w:hAnsi="Times New Roman"/>
          <w:sz w:val="24"/>
          <w:szCs w:val="24"/>
        </w:rPr>
        <w:t xml:space="preserve">, </w:t>
      </w:r>
      <w:r w:rsidRPr="0012729E">
        <w:rPr>
          <w:rFonts w:ascii="Times New Roman" w:hAnsi="Times New Roman"/>
          <w:i/>
          <w:iCs/>
          <w:sz w:val="24"/>
          <w:szCs w:val="24"/>
        </w:rPr>
        <w:t>13</w:t>
      </w:r>
      <w:r w:rsidRPr="0012729E">
        <w:rPr>
          <w:rFonts w:ascii="Times New Roman" w:hAnsi="Times New Roman"/>
          <w:sz w:val="24"/>
          <w:szCs w:val="24"/>
        </w:rPr>
        <w:t>(5), e1005457. https://doi.org/10.1371/journal.pcbi.1005457</w:t>
      </w:r>
    </w:p>
    <w:p w14:paraId="5A52D4F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Lu, Y., Li, X., Abd El-Aty, A. M., Ju, X., &amp; Yong, Y. (2025). Host–Microbe Interactions: Prospects of Machine Learning and Deep Learning Technologies in Animal Viral Disease Management. </w:t>
      </w:r>
      <w:r w:rsidRPr="0012729E">
        <w:rPr>
          <w:rFonts w:ascii="Times New Roman" w:hAnsi="Times New Roman"/>
          <w:i/>
          <w:iCs/>
          <w:sz w:val="24"/>
          <w:szCs w:val="24"/>
        </w:rPr>
        <w:t>Veterinary Sciences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(12), 1129. https://doi.org/10.3390/vetsci12121129</w:t>
      </w:r>
    </w:p>
    <w:p w14:paraId="36C1D53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Ma, Z. F., &amp; Lee, Y. Y. (2025). The Role of the Gut Microbiota in Health, Diet, and Disease with a Focus on Obesity. </w:t>
      </w:r>
      <w:r w:rsidRPr="0012729E">
        <w:rPr>
          <w:rFonts w:ascii="Times New Roman" w:hAnsi="Times New Roman"/>
          <w:i/>
          <w:iCs/>
          <w:sz w:val="24"/>
          <w:szCs w:val="24"/>
        </w:rPr>
        <w:t>Foods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(3). https://doi.org/10.3390/foods14030492</w:t>
      </w:r>
    </w:p>
    <w:p w14:paraId="451E4B2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Martínez, J., &amp; Rojo, F. (2011). Metabolic regulation of antibiotic resistance. </w:t>
      </w:r>
      <w:r w:rsidRPr="0012729E">
        <w:rPr>
          <w:rFonts w:ascii="Times New Roman" w:hAnsi="Times New Roman"/>
          <w:i/>
          <w:iCs/>
          <w:sz w:val="24"/>
          <w:szCs w:val="24"/>
        </w:rPr>
        <w:t>FEMS Microbiology Reviews</w:t>
      </w:r>
      <w:r w:rsidRPr="0012729E">
        <w:rPr>
          <w:rFonts w:ascii="Times New Roman" w:hAnsi="Times New Roman"/>
          <w:sz w:val="24"/>
          <w:szCs w:val="24"/>
        </w:rPr>
        <w:t xml:space="preserve">, </w:t>
      </w:r>
      <w:r w:rsidRPr="0012729E">
        <w:rPr>
          <w:rFonts w:ascii="Times New Roman" w:hAnsi="Times New Roman"/>
          <w:i/>
          <w:iCs/>
          <w:sz w:val="24"/>
          <w:szCs w:val="24"/>
        </w:rPr>
        <w:t>35</w:t>
      </w:r>
      <w:r w:rsidRPr="0012729E">
        <w:rPr>
          <w:rFonts w:ascii="Times New Roman" w:hAnsi="Times New Roman"/>
          <w:sz w:val="24"/>
          <w:szCs w:val="24"/>
        </w:rPr>
        <w:t>, 768–789. https://doi.org/10.1111/j.1574-6976.2011.00282.x</w:t>
      </w:r>
    </w:p>
    <w:p w14:paraId="363596F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Masselot--Joubert, L., &amp; Renzo, M. A. D. (2025). ATP-Binding Cassette (ABC) Transporters and Antibiotic Resistance: Specialized Systems for Capsular Polysaccharide Export in Gram-Negative Pathogens. </w:t>
      </w:r>
      <w:r w:rsidRPr="0012729E">
        <w:rPr>
          <w:rFonts w:ascii="Times New Roman" w:hAnsi="Times New Roman"/>
          <w:i/>
          <w:iCs/>
          <w:sz w:val="24"/>
          <w:szCs w:val="24"/>
        </w:rPr>
        <w:t>Polysaccharides</w:t>
      </w:r>
      <w:r w:rsidRPr="0012729E">
        <w:rPr>
          <w:rFonts w:ascii="Times New Roman" w:hAnsi="Times New Roman"/>
          <w:sz w:val="24"/>
          <w:szCs w:val="24"/>
        </w:rPr>
        <w:t xml:space="preserve">, </w:t>
      </w:r>
      <w:r w:rsidRPr="0012729E">
        <w:rPr>
          <w:rFonts w:ascii="Times New Roman" w:hAnsi="Times New Roman"/>
          <w:i/>
          <w:iCs/>
          <w:sz w:val="24"/>
          <w:szCs w:val="24"/>
        </w:rPr>
        <w:t>6</w:t>
      </w:r>
      <w:r w:rsidRPr="0012729E">
        <w:rPr>
          <w:rFonts w:ascii="Times New Roman" w:hAnsi="Times New Roman"/>
          <w:sz w:val="24"/>
          <w:szCs w:val="24"/>
        </w:rPr>
        <w:t>(2). https://doi.org/10.3390/polysaccharides6020038</w:t>
      </w:r>
    </w:p>
    <w:p w14:paraId="40EC86D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Munita, J. M., &amp; Arias, C. A. (2016). Mechanisms of Antibiotic Resistance. </w:t>
      </w:r>
      <w:r w:rsidRPr="0012729E">
        <w:rPr>
          <w:rFonts w:ascii="Times New Roman" w:hAnsi="Times New Roman"/>
          <w:i/>
          <w:iCs/>
          <w:sz w:val="24"/>
          <w:szCs w:val="24"/>
        </w:rPr>
        <w:t>Microbiology Spectrum</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(2), 10.1128/microbiolspec.VMBF-0016–2015. https://doi.org/10.1128/microbiolspec.VMBF-0016-2015</w:t>
      </w:r>
    </w:p>
    <w:p w14:paraId="4CFE10DE"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Mustafa, A. S. (2024). Whole Genome Sequencing: Applications in Clinical Bacteriology. </w:t>
      </w:r>
      <w:r w:rsidRPr="0012729E">
        <w:rPr>
          <w:rFonts w:ascii="Times New Roman" w:hAnsi="Times New Roman"/>
          <w:i/>
          <w:iCs/>
          <w:sz w:val="24"/>
          <w:szCs w:val="24"/>
        </w:rPr>
        <w:t>Medical Principles and Practice</w:t>
      </w:r>
      <w:r w:rsidRPr="0012729E">
        <w:rPr>
          <w:rFonts w:ascii="Times New Roman" w:hAnsi="Times New Roman"/>
          <w:sz w:val="24"/>
          <w:szCs w:val="24"/>
        </w:rPr>
        <w:t xml:space="preserve">, </w:t>
      </w:r>
      <w:r w:rsidRPr="0012729E">
        <w:rPr>
          <w:rFonts w:ascii="Times New Roman" w:hAnsi="Times New Roman"/>
          <w:i/>
          <w:iCs/>
          <w:sz w:val="24"/>
          <w:szCs w:val="24"/>
        </w:rPr>
        <w:t>33</w:t>
      </w:r>
      <w:r w:rsidRPr="0012729E">
        <w:rPr>
          <w:rFonts w:ascii="Times New Roman" w:hAnsi="Times New Roman"/>
          <w:sz w:val="24"/>
          <w:szCs w:val="24"/>
        </w:rPr>
        <w:t>(3), 185–197. https://doi.org/10.1159/000538002</w:t>
      </w:r>
    </w:p>
    <w:p w14:paraId="49D9ECE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Nam, N. N., Do, H. D. K., Trinh, K. T. L., &amp; Lee, N. Y. (2023). Metagenomics: An Effective Approach for Exploring Microbial Diversity and Functions. </w:t>
      </w:r>
      <w:r w:rsidRPr="0012729E">
        <w:rPr>
          <w:rFonts w:ascii="Times New Roman" w:hAnsi="Times New Roman"/>
          <w:i/>
          <w:iCs/>
          <w:sz w:val="24"/>
          <w:szCs w:val="24"/>
        </w:rPr>
        <w:t>Foods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(11). https://doi.org/10.3390/foods12112140</w:t>
      </w:r>
    </w:p>
    <w:p w14:paraId="4862A5C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Nazir, A., Nazir, A., Zuhair, V., Aman, S., Sadiq, S. U. R., Hasan, A. H., Tariq, M., Rehman, L. U., Mustapha, M. J., &amp; Bulimbe, D. B. (2025). The Global Challenge of Antimicrobial Resistance: Mechanisms, Case Studies, and Mitigation Approaches. </w:t>
      </w:r>
      <w:r w:rsidRPr="0012729E">
        <w:rPr>
          <w:rFonts w:ascii="Times New Roman" w:hAnsi="Times New Roman"/>
          <w:i/>
          <w:iCs/>
          <w:sz w:val="24"/>
          <w:szCs w:val="24"/>
        </w:rPr>
        <w:t>Health Science Reports</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(7), e71077. https://doi.org/10.1002/hsr2.71077</w:t>
      </w:r>
    </w:p>
    <w:p w14:paraId="0B7F665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Nimmana, B. K., &amp; Nguyen, A. D. (2026). Antibiotic Resistance. In </w:t>
      </w:r>
      <w:r w:rsidRPr="0012729E">
        <w:rPr>
          <w:rFonts w:ascii="Times New Roman" w:hAnsi="Times New Roman"/>
          <w:i/>
          <w:iCs/>
          <w:sz w:val="24"/>
          <w:szCs w:val="24"/>
        </w:rPr>
        <w:t>StatPearls</w:t>
      </w:r>
      <w:r w:rsidRPr="0012729E">
        <w:rPr>
          <w:rFonts w:ascii="Times New Roman" w:hAnsi="Times New Roman"/>
          <w:sz w:val="24"/>
          <w:szCs w:val="24"/>
        </w:rPr>
        <w:t>. StatPearls Publishing. http://www.ncbi.nlm.nih.gov/books/NBK513277/</w:t>
      </w:r>
    </w:p>
    <w:p w14:paraId="3184F7C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Pathak, A., Theagarajan, R., Rizqi, M. M., Nugraha, A. S., Boruah, T., Pratiksha, Kumar, H., Naik, B., Yadav, S., Jha, A. K., Trivedi, A., Gupta, A. K., &amp; Kumar, P. (2025). AI-enabled drug and molecular discovery: Computational methods, platforms, and translational horizons. </w:t>
      </w:r>
      <w:r w:rsidRPr="0012729E">
        <w:rPr>
          <w:rFonts w:ascii="Times New Roman" w:hAnsi="Times New Roman"/>
          <w:i/>
          <w:iCs/>
          <w:sz w:val="24"/>
          <w:szCs w:val="24"/>
        </w:rPr>
        <w:t>Discover Molecules</w:t>
      </w:r>
      <w:r w:rsidRPr="0012729E">
        <w:rPr>
          <w:rFonts w:ascii="Times New Roman" w:hAnsi="Times New Roman"/>
          <w:sz w:val="24"/>
          <w:szCs w:val="24"/>
        </w:rPr>
        <w:t xml:space="preserve">, </w:t>
      </w:r>
      <w:r w:rsidRPr="0012729E">
        <w:rPr>
          <w:rFonts w:ascii="Times New Roman" w:hAnsi="Times New Roman"/>
          <w:i/>
          <w:iCs/>
          <w:sz w:val="24"/>
          <w:szCs w:val="24"/>
        </w:rPr>
        <w:t>2</w:t>
      </w:r>
      <w:r w:rsidRPr="0012729E">
        <w:rPr>
          <w:rFonts w:ascii="Times New Roman" w:hAnsi="Times New Roman"/>
          <w:sz w:val="24"/>
          <w:szCs w:val="24"/>
        </w:rPr>
        <w:t>(1), 32. https://doi.org/10.1007/s44345-025-00037-5</w:t>
      </w:r>
    </w:p>
    <w:p w14:paraId="5522A300"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Popoola, B. M., Adeyemi, O. A., &amp; Samson, O. J. (2025). Antibiotic-resistant bacteria in tropical freshwater ecosystems: A review of occurrence, distribution and environmental implications. </w:t>
      </w:r>
      <w:r w:rsidRPr="0012729E">
        <w:rPr>
          <w:rFonts w:ascii="Times New Roman" w:hAnsi="Times New Roman"/>
          <w:i/>
          <w:iCs/>
          <w:sz w:val="24"/>
          <w:szCs w:val="24"/>
        </w:rPr>
        <w:t>The Microbe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 100457. https://doi.org/10.1016/j.microb.2025.100457</w:t>
      </w:r>
    </w:p>
    <w:p w14:paraId="2CD40DB2"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Punch, R., Azani, R., Ellison, C., Majury, A., Hynds, P. D., Payne, S. J., &amp; Brown, R. S. (2025). The surveillance of antimicrobial resistance in wastewater from a one health perspective: A global scoping and temporal review (2014–2024). </w:t>
      </w:r>
      <w:r w:rsidRPr="0012729E">
        <w:rPr>
          <w:rFonts w:ascii="Times New Roman" w:hAnsi="Times New Roman"/>
          <w:i/>
          <w:iCs/>
          <w:sz w:val="24"/>
          <w:szCs w:val="24"/>
        </w:rPr>
        <w:t>One Health</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 101139. https://doi.org/10.1016/j.onehlt.2025.101139</w:t>
      </w:r>
    </w:p>
    <w:p w14:paraId="5E1E1F3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Ren, Y., Chakraborty, T., Doijad, S., Falgenhauer, L., Falgenhauer, J., Goesmann, A., Hauschild, A.-C., Schwengers, O., &amp; Heider, D. (2021). Prediction of antimicrobial resistance based </w:t>
      </w:r>
      <w:r w:rsidRPr="0012729E">
        <w:rPr>
          <w:rFonts w:ascii="Times New Roman" w:hAnsi="Times New Roman"/>
          <w:sz w:val="24"/>
          <w:szCs w:val="24"/>
        </w:rPr>
        <w:lastRenderedPageBreak/>
        <w:t xml:space="preserve">on whole-genome sequencing and machine learning. </w:t>
      </w:r>
      <w:r w:rsidRPr="0012729E">
        <w:rPr>
          <w:rFonts w:ascii="Times New Roman" w:hAnsi="Times New Roman"/>
          <w:i/>
          <w:iCs/>
          <w:sz w:val="24"/>
          <w:szCs w:val="24"/>
        </w:rPr>
        <w:t>Bioinformatics</w:t>
      </w:r>
      <w:r w:rsidRPr="0012729E">
        <w:rPr>
          <w:rFonts w:ascii="Times New Roman" w:hAnsi="Times New Roman"/>
          <w:sz w:val="24"/>
          <w:szCs w:val="24"/>
        </w:rPr>
        <w:t xml:space="preserve">, </w:t>
      </w:r>
      <w:r w:rsidRPr="0012729E">
        <w:rPr>
          <w:rFonts w:ascii="Times New Roman" w:hAnsi="Times New Roman"/>
          <w:i/>
          <w:iCs/>
          <w:sz w:val="24"/>
          <w:szCs w:val="24"/>
        </w:rPr>
        <w:t>38</w:t>
      </w:r>
      <w:r w:rsidRPr="0012729E">
        <w:rPr>
          <w:rFonts w:ascii="Times New Roman" w:hAnsi="Times New Roman"/>
          <w:sz w:val="24"/>
          <w:szCs w:val="24"/>
        </w:rPr>
        <w:t>(2), 325–334. https://doi.org/10.1093/bioinformatics/btab681</w:t>
      </w:r>
    </w:p>
    <w:p w14:paraId="44A0214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Romano, K. P., &amp; Hung, D. T. (2023). Targeting LPS biosynthesis and transport in gram-negative bacteria in the era of multi-drug resistance. </w:t>
      </w:r>
      <w:r w:rsidRPr="0012729E">
        <w:rPr>
          <w:rFonts w:ascii="Times New Roman" w:hAnsi="Times New Roman"/>
          <w:i/>
          <w:iCs/>
          <w:sz w:val="24"/>
          <w:szCs w:val="24"/>
        </w:rPr>
        <w:t>Biochimica et Biophysica Acta (BBA) - Molecular Cell Research</w:t>
      </w:r>
      <w:r w:rsidRPr="0012729E">
        <w:rPr>
          <w:rFonts w:ascii="Times New Roman" w:hAnsi="Times New Roman"/>
          <w:sz w:val="24"/>
          <w:szCs w:val="24"/>
        </w:rPr>
        <w:t xml:space="preserve">, </w:t>
      </w:r>
      <w:r w:rsidRPr="0012729E">
        <w:rPr>
          <w:rFonts w:ascii="Times New Roman" w:hAnsi="Times New Roman"/>
          <w:i/>
          <w:iCs/>
          <w:sz w:val="24"/>
          <w:szCs w:val="24"/>
        </w:rPr>
        <w:t>1870</w:t>
      </w:r>
      <w:r w:rsidRPr="0012729E">
        <w:rPr>
          <w:rFonts w:ascii="Times New Roman" w:hAnsi="Times New Roman"/>
          <w:sz w:val="24"/>
          <w:szCs w:val="24"/>
        </w:rPr>
        <w:t>(3), 119407. https://doi.org/10.1016/j.bbamcr.2022.119407</w:t>
      </w:r>
    </w:p>
    <w:p w14:paraId="4E295F4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Rumi, M., Nguyen, L., Davis, B., Brown, C., Pruden, A., &amp; Zhang, L. (2025). </w:t>
      </w:r>
      <w:r w:rsidRPr="0012729E">
        <w:rPr>
          <w:rFonts w:ascii="Times New Roman" w:hAnsi="Times New Roman"/>
          <w:i/>
          <w:iCs/>
          <w:sz w:val="24"/>
          <w:szCs w:val="24"/>
        </w:rPr>
        <w:t>Mapping the underlying drivers of resistome risk across diverse environments</w:t>
      </w:r>
      <w:r w:rsidRPr="0012729E">
        <w:rPr>
          <w:rFonts w:ascii="Times New Roman" w:hAnsi="Times New Roman"/>
          <w:sz w:val="24"/>
          <w:szCs w:val="24"/>
        </w:rPr>
        <w:t>. https://doi.org/10.21203/rs.3.rs-7085902/v1</w:t>
      </w:r>
    </w:p>
    <w:p w14:paraId="243939BB"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Salama, R. A., Abdel Kader, R. G., &amp; Wadid, N. A. (2026). Artificial intelligence in combating challenges in antimicrobial resistance: A narrative review. </w:t>
      </w:r>
      <w:r w:rsidRPr="0012729E">
        <w:rPr>
          <w:rFonts w:ascii="Times New Roman" w:hAnsi="Times New Roman"/>
          <w:i/>
          <w:iCs/>
          <w:sz w:val="24"/>
          <w:szCs w:val="24"/>
        </w:rPr>
        <w:t>Infection Prevention in Practice</w:t>
      </w:r>
      <w:r w:rsidRPr="0012729E">
        <w:rPr>
          <w:rFonts w:ascii="Times New Roman" w:hAnsi="Times New Roman"/>
          <w:sz w:val="24"/>
          <w:szCs w:val="24"/>
        </w:rPr>
        <w:t xml:space="preserve">, </w:t>
      </w:r>
      <w:r w:rsidRPr="0012729E">
        <w:rPr>
          <w:rFonts w:ascii="Times New Roman" w:hAnsi="Times New Roman"/>
          <w:i/>
          <w:iCs/>
          <w:sz w:val="24"/>
          <w:szCs w:val="24"/>
        </w:rPr>
        <w:t>8</w:t>
      </w:r>
      <w:r w:rsidRPr="0012729E">
        <w:rPr>
          <w:rFonts w:ascii="Times New Roman" w:hAnsi="Times New Roman"/>
          <w:sz w:val="24"/>
          <w:szCs w:val="24"/>
        </w:rPr>
        <w:t>(2), 100522. https://doi.org/10.1016/j.infpip.2026.100522</w:t>
      </w:r>
    </w:p>
    <w:p w14:paraId="426875F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Samreen, Ahmad, I., Malak, H. A., &amp; Abulreesh, H. H. (2021). Environmental antimicrobial resistance and its drivers: A potential threat to public health. </w:t>
      </w:r>
      <w:r w:rsidRPr="0012729E">
        <w:rPr>
          <w:rFonts w:ascii="Times New Roman" w:hAnsi="Times New Roman"/>
          <w:i/>
          <w:iCs/>
          <w:sz w:val="24"/>
          <w:szCs w:val="24"/>
        </w:rPr>
        <w:t>Journal of Global Antimicrobial Resistance</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101–111. https://doi.org/10.1016/j.jgar.2021.08.001</w:t>
      </w:r>
    </w:p>
    <w:p w14:paraId="3C82D6C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Sánchez-Corona, C. G., Gonzalez-Avila, L. U., Hernández-Cortez, C., Rojas-Vargas, J., Castro-Escarpulli, G., &amp; Castelán-Sánchez, H. G. (2025). Impact of Heavy Metal and Resistance Genes on Antimicrobial Resistance: Ecological and Public Health Implications. </w:t>
      </w:r>
      <w:r w:rsidRPr="0012729E">
        <w:rPr>
          <w:rFonts w:ascii="Times New Roman" w:hAnsi="Times New Roman"/>
          <w:i/>
          <w:iCs/>
          <w:sz w:val="24"/>
          <w:szCs w:val="24"/>
        </w:rPr>
        <w:t>Genes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(6), 625. https://doi.org/10.3390/genes16060625</w:t>
      </w:r>
    </w:p>
    <w:p w14:paraId="02758947"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Scheuerl, T., &amp; Rivett, D. W. (2026). A Concept Using α‐Niche Evolution Within Bacterial Communities to Direct β‐Niche Evolution of Focal Species. </w:t>
      </w:r>
      <w:r w:rsidRPr="0012729E">
        <w:rPr>
          <w:rFonts w:ascii="Times New Roman" w:hAnsi="Times New Roman"/>
          <w:i/>
          <w:iCs/>
          <w:sz w:val="24"/>
          <w:szCs w:val="24"/>
        </w:rPr>
        <w:t>Environmental Microbiology</w:t>
      </w:r>
      <w:r w:rsidRPr="0012729E">
        <w:rPr>
          <w:rFonts w:ascii="Times New Roman" w:hAnsi="Times New Roman"/>
          <w:sz w:val="24"/>
          <w:szCs w:val="24"/>
        </w:rPr>
        <w:t xml:space="preserve">, </w:t>
      </w:r>
      <w:r w:rsidRPr="0012729E">
        <w:rPr>
          <w:rFonts w:ascii="Times New Roman" w:hAnsi="Times New Roman"/>
          <w:i/>
          <w:iCs/>
          <w:sz w:val="24"/>
          <w:szCs w:val="24"/>
        </w:rPr>
        <w:t>28</w:t>
      </w:r>
      <w:r w:rsidRPr="0012729E">
        <w:rPr>
          <w:rFonts w:ascii="Times New Roman" w:hAnsi="Times New Roman"/>
          <w:sz w:val="24"/>
          <w:szCs w:val="24"/>
        </w:rPr>
        <w:t>(3), e70255. https://doi.org/10.1111/1462-2920.70255</w:t>
      </w:r>
    </w:p>
    <w:p w14:paraId="7220102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Serrano, D. R., Luciano, F. C., Anaya, B. J., Ongoren, B., Kara, A., Molina, G., Ramirez, B. I., Sánchez-Guirales, S. A., Simon, J. A., Tomietto, G., Rapti, C., Ruiz, H. K., Rawat, S., Kumar, D., &amp; Lalatsa, A. (2024). Artificial Intelligence (AI) Applications in Drug Discovery and Drug Delivery: Revolutionizing Personalized Medicine. </w:t>
      </w:r>
      <w:r w:rsidRPr="0012729E">
        <w:rPr>
          <w:rFonts w:ascii="Times New Roman" w:hAnsi="Times New Roman"/>
          <w:i/>
          <w:iCs/>
          <w:sz w:val="24"/>
          <w:szCs w:val="24"/>
        </w:rPr>
        <w:t>Pharmaceutics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(10), 1328. https://doi.org/10.3390/pharmaceutics16101328</w:t>
      </w:r>
    </w:p>
    <w:p w14:paraId="5317A9B1"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Shayista, H., Prasad, M. N. N., Raj, S. N., Prasad, A., Lakshmi, S., Ranjini, H. K., Manju, K., Ravikumara, Chouhan, R. S., Khohlova, O. Y., Perianova, O. V., &amp; Baker, S. (2025). Complexity of antibiotic resistance and its impact on gut microbiota dynamics. </w:t>
      </w:r>
      <w:r w:rsidRPr="0012729E">
        <w:rPr>
          <w:rFonts w:ascii="Times New Roman" w:hAnsi="Times New Roman"/>
          <w:i/>
          <w:iCs/>
          <w:sz w:val="24"/>
          <w:szCs w:val="24"/>
        </w:rPr>
        <w:t>Engineering Microbiology</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(1), 100187. https://doi.org/10.1016/j.engmic.2024.100187</w:t>
      </w:r>
    </w:p>
    <w:p w14:paraId="4DD5C4D7"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Shen, Y., Zhang, P., Luo, J., Chen, S., Gu, S., Lin, Z., &amp; Tang, Z. (2026). Artificial Intelligence Drives Advances in Multi-Omics Analysis and Precision Medicine for Sepsis. </w:t>
      </w:r>
      <w:r w:rsidRPr="0012729E">
        <w:rPr>
          <w:rFonts w:ascii="Times New Roman" w:hAnsi="Times New Roman"/>
          <w:i/>
          <w:iCs/>
          <w:sz w:val="24"/>
          <w:szCs w:val="24"/>
        </w:rPr>
        <w:t>Biomedicines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 261. https://doi.org/10.3390/biomedicines14020261</w:t>
      </w:r>
    </w:p>
    <w:p w14:paraId="1CED484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Shokri Garjan, H., Samadi Pakchin, P., &amp; Ferdousi, R. (2025). Computational prediction and conformation of relationships among microbes, drugs and diseases. </w:t>
      </w:r>
      <w:r w:rsidRPr="0012729E">
        <w:rPr>
          <w:rFonts w:ascii="Times New Roman" w:hAnsi="Times New Roman"/>
          <w:i/>
          <w:iCs/>
          <w:sz w:val="24"/>
          <w:szCs w:val="24"/>
        </w:rPr>
        <w:t>Scientific Reports</w:t>
      </w:r>
      <w:r w:rsidRPr="0012729E">
        <w:rPr>
          <w:rFonts w:ascii="Times New Roman" w:hAnsi="Times New Roman"/>
          <w:sz w:val="24"/>
          <w:szCs w:val="24"/>
        </w:rPr>
        <w:t xml:space="preserve">, </w:t>
      </w:r>
      <w:r w:rsidRPr="0012729E">
        <w:rPr>
          <w:rFonts w:ascii="Times New Roman" w:hAnsi="Times New Roman"/>
          <w:i/>
          <w:iCs/>
          <w:sz w:val="24"/>
          <w:szCs w:val="24"/>
        </w:rPr>
        <w:t>16</w:t>
      </w:r>
      <w:r w:rsidRPr="0012729E">
        <w:rPr>
          <w:rFonts w:ascii="Times New Roman" w:hAnsi="Times New Roman"/>
          <w:sz w:val="24"/>
          <w:szCs w:val="24"/>
        </w:rPr>
        <w:t>, 53. https://doi.org/10.1038/s41598-025-29306-6</w:t>
      </w:r>
    </w:p>
    <w:p w14:paraId="55FA4293"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Shuto, H., Maeda, T., Koike, C., Takahashi, M., Mandai, M., &amp; Matsuyama, T. (2025). Hidden Markov models reveal behavioral state dynamics in depth-related locomotion in mice. </w:t>
      </w:r>
      <w:r w:rsidRPr="0012729E">
        <w:rPr>
          <w:rFonts w:ascii="Times New Roman" w:hAnsi="Times New Roman"/>
          <w:i/>
          <w:iCs/>
          <w:sz w:val="24"/>
          <w:szCs w:val="24"/>
        </w:rPr>
        <w:t>PLOS One</w:t>
      </w:r>
      <w:r w:rsidRPr="0012729E">
        <w:rPr>
          <w:rFonts w:ascii="Times New Roman" w:hAnsi="Times New Roman"/>
          <w:sz w:val="24"/>
          <w:szCs w:val="24"/>
        </w:rPr>
        <w:t xml:space="preserve">, </w:t>
      </w:r>
      <w:r w:rsidRPr="0012729E">
        <w:rPr>
          <w:rFonts w:ascii="Times New Roman" w:hAnsi="Times New Roman"/>
          <w:i/>
          <w:iCs/>
          <w:sz w:val="24"/>
          <w:szCs w:val="24"/>
        </w:rPr>
        <w:t>20</w:t>
      </w:r>
      <w:r w:rsidRPr="0012729E">
        <w:rPr>
          <w:rFonts w:ascii="Times New Roman" w:hAnsi="Times New Roman"/>
          <w:sz w:val="24"/>
          <w:szCs w:val="24"/>
        </w:rPr>
        <w:t>(8), e0329367. https://doi.org/10.1371/journal.pone.0329367</w:t>
      </w:r>
    </w:p>
    <w:p w14:paraId="7CD8F47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Sibilio, P., De Smaele, E., Paci, P., &amp; Conte, F. (2025). Integrating multi-omics data: Methods and applications in human complex diseases. </w:t>
      </w:r>
      <w:r w:rsidRPr="0012729E">
        <w:rPr>
          <w:rFonts w:ascii="Times New Roman" w:hAnsi="Times New Roman"/>
          <w:i/>
          <w:iCs/>
          <w:sz w:val="24"/>
          <w:szCs w:val="24"/>
        </w:rPr>
        <w:t>Biotechnology Reports</w:t>
      </w:r>
      <w:r w:rsidRPr="0012729E">
        <w:rPr>
          <w:rFonts w:ascii="Times New Roman" w:hAnsi="Times New Roman"/>
          <w:sz w:val="24"/>
          <w:szCs w:val="24"/>
        </w:rPr>
        <w:t xml:space="preserve">, </w:t>
      </w:r>
      <w:r w:rsidRPr="0012729E">
        <w:rPr>
          <w:rFonts w:ascii="Times New Roman" w:hAnsi="Times New Roman"/>
          <w:i/>
          <w:iCs/>
          <w:sz w:val="24"/>
          <w:szCs w:val="24"/>
        </w:rPr>
        <w:t>48</w:t>
      </w:r>
      <w:r w:rsidRPr="0012729E">
        <w:rPr>
          <w:rFonts w:ascii="Times New Roman" w:hAnsi="Times New Roman"/>
          <w:sz w:val="24"/>
          <w:szCs w:val="24"/>
        </w:rPr>
        <w:t>, e00938. https://doi.org/10.1016/j.btre.2025.e00938</w:t>
      </w:r>
    </w:p>
    <w:p w14:paraId="2A285F9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Singh, R., &amp; Kim, K. (2025). Environmental occurrence of antibiotic resistance, control measures and challenges in finding therapeutic management. </w:t>
      </w:r>
      <w:r w:rsidRPr="0012729E">
        <w:rPr>
          <w:rFonts w:ascii="Times New Roman" w:hAnsi="Times New Roman"/>
          <w:i/>
          <w:iCs/>
          <w:sz w:val="24"/>
          <w:szCs w:val="24"/>
        </w:rPr>
        <w:t>Emerging Contaminants</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(1), 100440. https://doi.org/10.1016/j.emcon.2024.100440</w:t>
      </w:r>
    </w:p>
    <w:p w14:paraId="69E8DBC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Sobral, A. F., Cunha, A., Silva, V., Gil-Martins, E., Silva, R., &amp; Barbosa, D. J. (2024). Unveiling the Therapeutic Potential of Folate-Dependent One-Carbon Metabolism in Cancer and Neurodegeneration.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25</w:t>
      </w:r>
      <w:r w:rsidRPr="0012729E">
        <w:rPr>
          <w:rFonts w:ascii="Times New Roman" w:hAnsi="Times New Roman"/>
          <w:sz w:val="24"/>
          <w:szCs w:val="24"/>
        </w:rPr>
        <w:t>(17), 9339. https://doi.org/10.3390/ijms25179339</w:t>
      </w:r>
    </w:p>
    <w:p w14:paraId="2544680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Soufi, L., Kampouris, I. D., Lüneberg, K., Heyde, B. J., Pulami, D., Glaeser, S. P., Siebe, C., Siemens, J., Smalla, K., Grohmann, E., &amp; Gallego, S. (2025). Wastewater-borne pollutants influenced antibiotic resistance genes and mobile genetic elements in the soil without affecting the bacterial community composition in a changing wastewater irrigation system. </w:t>
      </w:r>
      <w:r w:rsidRPr="0012729E">
        <w:rPr>
          <w:rFonts w:ascii="Times New Roman" w:hAnsi="Times New Roman"/>
          <w:i/>
          <w:iCs/>
          <w:sz w:val="24"/>
          <w:szCs w:val="24"/>
        </w:rPr>
        <w:t>Journal of Hazardous Materials</w:t>
      </w:r>
      <w:r w:rsidRPr="0012729E">
        <w:rPr>
          <w:rFonts w:ascii="Times New Roman" w:hAnsi="Times New Roman"/>
          <w:sz w:val="24"/>
          <w:szCs w:val="24"/>
        </w:rPr>
        <w:t xml:space="preserve">, </w:t>
      </w:r>
      <w:r w:rsidRPr="0012729E">
        <w:rPr>
          <w:rFonts w:ascii="Times New Roman" w:hAnsi="Times New Roman"/>
          <w:i/>
          <w:iCs/>
          <w:sz w:val="24"/>
          <w:szCs w:val="24"/>
        </w:rPr>
        <w:t>494</w:t>
      </w:r>
      <w:r w:rsidRPr="0012729E">
        <w:rPr>
          <w:rFonts w:ascii="Times New Roman" w:hAnsi="Times New Roman"/>
          <w:sz w:val="24"/>
          <w:szCs w:val="24"/>
        </w:rPr>
        <w:t>, 138680. https://doi.org/10.1016/j.jhazmat.2025.138680</w:t>
      </w:r>
    </w:p>
    <w:p w14:paraId="4C572B8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Srinak, N., Krüger, F., Kaleta, C., &amp; Taubenheim, J. (2025). Metabolic modeling of host-microbe interactions. </w:t>
      </w:r>
      <w:r w:rsidRPr="0012729E">
        <w:rPr>
          <w:rFonts w:ascii="Times New Roman" w:hAnsi="Times New Roman"/>
          <w:i/>
          <w:iCs/>
          <w:sz w:val="24"/>
          <w:szCs w:val="24"/>
        </w:rPr>
        <w:t>Computational and Structural Biotechnology Journal</w:t>
      </w:r>
      <w:r w:rsidRPr="0012729E">
        <w:rPr>
          <w:rFonts w:ascii="Times New Roman" w:hAnsi="Times New Roman"/>
          <w:sz w:val="24"/>
          <w:szCs w:val="24"/>
        </w:rPr>
        <w:t xml:space="preserve">, </w:t>
      </w:r>
      <w:r w:rsidRPr="0012729E">
        <w:rPr>
          <w:rFonts w:ascii="Times New Roman" w:hAnsi="Times New Roman"/>
          <w:i/>
          <w:iCs/>
          <w:sz w:val="24"/>
          <w:szCs w:val="24"/>
        </w:rPr>
        <w:t>27</w:t>
      </w:r>
      <w:r w:rsidRPr="0012729E">
        <w:rPr>
          <w:rFonts w:ascii="Times New Roman" w:hAnsi="Times New Roman"/>
          <w:sz w:val="24"/>
          <w:szCs w:val="24"/>
        </w:rPr>
        <w:t>, 4304–4319. https://doi.org/10.1016/j.csbj.2025.10.006</w:t>
      </w:r>
    </w:p>
    <w:p w14:paraId="472ED91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Sun, G., &amp; Zhou, Y.-H. (2024). Predicting Microbiome Growth Dynamics under Environmental Perturbations. </w:t>
      </w:r>
      <w:r w:rsidRPr="0012729E">
        <w:rPr>
          <w:rFonts w:ascii="Times New Roman" w:hAnsi="Times New Roman"/>
          <w:i/>
          <w:iCs/>
          <w:sz w:val="24"/>
          <w:szCs w:val="24"/>
        </w:rPr>
        <w:t>Applied Microbiology</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(2), 948–958. https://doi.org/10.3390/applmicrobiol4020064</w:t>
      </w:r>
    </w:p>
    <w:p w14:paraId="6B4A9CB8"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Sun, S. (2025). Emerging antibiotic resistance by various novel proteins/enzymes. </w:t>
      </w:r>
      <w:r w:rsidRPr="0012729E">
        <w:rPr>
          <w:rFonts w:ascii="Times New Roman" w:hAnsi="Times New Roman"/>
          <w:i/>
          <w:iCs/>
          <w:sz w:val="24"/>
          <w:szCs w:val="24"/>
        </w:rPr>
        <w:t>European Journal of Clinical Microbiology &amp; Infectious Diseases</w:t>
      </w:r>
      <w:r w:rsidRPr="0012729E">
        <w:rPr>
          <w:rFonts w:ascii="Times New Roman" w:hAnsi="Times New Roman"/>
          <w:sz w:val="24"/>
          <w:szCs w:val="24"/>
        </w:rPr>
        <w:t xml:space="preserve">, </w:t>
      </w:r>
      <w:r w:rsidRPr="0012729E">
        <w:rPr>
          <w:rFonts w:ascii="Times New Roman" w:hAnsi="Times New Roman"/>
          <w:i/>
          <w:iCs/>
          <w:sz w:val="24"/>
          <w:szCs w:val="24"/>
        </w:rPr>
        <w:t>44</w:t>
      </w:r>
      <w:r w:rsidRPr="0012729E">
        <w:rPr>
          <w:rFonts w:ascii="Times New Roman" w:hAnsi="Times New Roman"/>
          <w:sz w:val="24"/>
          <w:szCs w:val="24"/>
        </w:rPr>
        <w:t>(7), 1551–1566. https://doi.org/10.1007/s10096-025-05126-4</w:t>
      </w:r>
    </w:p>
    <w:p w14:paraId="286B317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Testa, B., &amp; Krämer, S. (2007). The Biochemistry of Drug Metabolism—An Introduction. Part 3. Reactions of Hydrolysis and Their Enzymes. </w:t>
      </w:r>
      <w:r w:rsidRPr="0012729E">
        <w:rPr>
          <w:rFonts w:ascii="Times New Roman" w:hAnsi="Times New Roman"/>
          <w:i/>
          <w:iCs/>
          <w:sz w:val="24"/>
          <w:szCs w:val="24"/>
        </w:rPr>
        <w:t>Chemistry &amp; Biodiversity</w:t>
      </w:r>
      <w:r w:rsidRPr="0012729E">
        <w:rPr>
          <w:rFonts w:ascii="Times New Roman" w:hAnsi="Times New Roman"/>
          <w:sz w:val="24"/>
          <w:szCs w:val="24"/>
        </w:rPr>
        <w:t xml:space="preserve">, </w:t>
      </w:r>
      <w:r w:rsidRPr="0012729E">
        <w:rPr>
          <w:rFonts w:ascii="Times New Roman" w:hAnsi="Times New Roman"/>
          <w:i/>
          <w:iCs/>
          <w:sz w:val="24"/>
          <w:szCs w:val="24"/>
        </w:rPr>
        <w:t>4</w:t>
      </w:r>
      <w:r w:rsidRPr="0012729E">
        <w:rPr>
          <w:rFonts w:ascii="Times New Roman" w:hAnsi="Times New Roman"/>
          <w:sz w:val="24"/>
          <w:szCs w:val="24"/>
        </w:rPr>
        <w:t>, 2031–2122. https://doi.org/10.1002/chin.200750268</w:t>
      </w:r>
    </w:p>
    <w:p w14:paraId="33563897"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Uddin, T. M., Chakraborty, A. J., Khusro, A., Zidan, B. R. M., Mitra, S., Emran, T. B., Dhama, K., Ripon, Md. K. H., Gajdács, M., Sahibzada, M. U. K., Hossain, Md. J., &amp; Koirala, N. (2021). Antibiotic resistance in microbes: History, mechanisms, therapeutic strategies and future prospects. </w:t>
      </w:r>
      <w:r w:rsidRPr="0012729E">
        <w:rPr>
          <w:rFonts w:ascii="Times New Roman" w:hAnsi="Times New Roman"/>
          <w:i/>
          <w:iCs/>
          <w:sz w:val="24"/>
          <w:szCs w:val="24"/>
        </w:rPr>
        <w:t>Journal of Infection and Public Health, Special Issue on Antimicrobial Resistance</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(12), 1750–1766. https://doi.org/10.1016/j.jiph.2021.10.020</w:t>
      </w:r>
    </w:p>
    <w:p w14:paraId="0DC5CAD5"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Vesel, N., Stare, E., Štefanič, P., Floccari, V. A., Mandic-Mulec, I., &amp; Dragoš, A. (2025). Naturally competent bacteria and their genetic parasites—A battle for control over horizontal gene transfer? </w:t>
      </w:r>
      <w:r w:rsidRPr="0012729E">
        <w:rPr>
          <w:rFonts w:ascii="Times New Roman" w:hAnsi="Times New Roman"/>
          <w:i/>
          <w:iCs/>
          <w:sz w:val="24"/>
          <w:szCs w:val="24"/>
        </w:rPr>
        <w:t>FEMS Microbiology Reviews</w:t>
      </w:r>
      <w:r w:rsidRPr="0012729E">
        <w:rPr>
          <w:rFonts w:ascii="Times New Roman" w:hAnsi="Times New Roman"/>
          <w:sz w:val="24"/>
          <w:szCs w:val="24"/>
        </w:rPr>
        <w:t xml:space="preserve">, </w:t>
      </w:r>
      <w:r w:rsidRPr="0012729E">
        <w:rPr>
          <w:rFonts w:ascii="Times New Roman" w:hAnsi="Times New Roman"/>
          <w:i/>
          <w:iCs/>
          <w:sz w:val="24"/>
          <w:szCs w:val="24"/>
        </w:rPr>
        <w:t>49</w:t>
      </w:r>
      <w:r w:rsidRPr="0012729E">
        <w:rPr>
          <w:rFonts w:ascii="Times New Roman" w:hAnsi="Times New Roman"/>
          <w:sz w:val="24"/>
          <w:szCs w:val="24"/>
        </w:rPr>
        <w:t>, fuaf035. https://doi.org/10.1093/femsre/fuaf035</w:t>
      </w:r>
    </w:p>
    <w:p w14:paraId="7802F5E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Vitorino, R. (2024). Transforming Clinical Research: The Power of High-Throughput Omics Integration. </w:t>
      </w:r>
      <w:r w:rsidRPr="0012729E">
        <w:rPr>
          <w:rFonts w:ascii="Times New Roman" w:hAnsi="Times New Roman"/>
          <w:i/>
          <w:iCs/>
          <w:sz w:val="24"/>
          <w:szCs w:val="24"/>
        </w:rPr>
        <w:t>Proteomes</w:t>
      </w:r>
      <w:r w:rsidRPr="0012729E">
        <w:rPr>
          <w:rFonts w:ascii="Times New Roman" w:hAnsi="Times New Roman"/>
          <w:sz w:val="24"/>
          <w:szCs w:val="24"/>
        </w:rPr>
        <w:t xml:space="preserve">, </w:t>
      </w:r>
      <w:r w:rsidRPr="0012729E">
        <w:rPr>
          <w:rFonts w:ascii="Times New Roman" w:hAnsi="Times New Roman"/>
          <w:i/>
          <w:iCs/>
          <w:sz w:val="24"/>
          <w:szCs w:val="24"/>
        </w:rPr>
        <w:t>12</w:t>
      </w:r>
      <w:r w:rsidRPr="0012729E">
        <w:rPr>
          <w:rFonts w:ascii="Times New Roman" w:hAnsi="Times New Roman"/>
          <w:sz w:val="24"/>
          <w:szCs w:val="24"/>
        </w:rPr>
        <w:t>(3), 25. https://doi.org/10.3390/proteomes12030025</w:t>
      </w:r>
    </w:p>
    <w:p w14:paraId="24A0F61D"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Wang, C., &amp; O’Connell, M. J. (2025). Autoencoders with shared and specific embeddings for multi-omics data integration. </w:t>
      </w:r>
      <w:r w:rsidRPr="0012729E">
        <w:rPr>
          <w:rFonts w:ascii="Times New Roman" w:hAnsi="Times New Roman"/>
          <w:i/>
          <w:iCs/>
          <w:sz w:val="24"/>
          <w:szCs w:val="24"/>
        </w:rPr>
        <w:t>BMC Bioinformatics</w:t>
      </w:r>
      <w:r w:rsidRPr="0012729E">
        <w:rPr>
          <w:rFonts w:ascii="Times New Roman" w:hAnsi="Times New Roman"/>
          <w:sz w:val="24"/>
          <w:szCs w:val="24"/>
        </w:rPr>
        <w:t xml:space="preserve">, </w:t>
      </w:r>
      <w:r w:rsidRPr="0012729E">
        <w:rPr>
          <w:rFonts w:ascii="Times New Roman" w:hAnsi="Times New Roman"/>
          <w:i/>
          <w:iCs/>
          <w:sz w:val="24"/>
          <w:szCs w:val="24"/>
        </w:rPr>
        <w:t>26</w:t>
      </w:r>
      <w:r w:rsidRPr="0012729E">
        <w:rPr>
          <w:rFonts w:ascii="Times New Roman" w:hAnsi="Times New Roman"/>
          <w:sz w:val="24"/>
          <w:szCs w:val="24"/>
        </w:rPr>
        <w:t>, 214. https://doi.org/10.1186/s12859-025-06245-7</w:t>
      </w:r>
    </w:p>
    <w:p w14:paraId="4E0E83C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Wang, L., Gu, X., Hui, K., Yu, T., Yuan, Y., Chen, G., &amp; Tan, W. (2025). Interactions between antibiotic resistance genes and soil environmental factors: Coupling, antagonism, and synergism. </w:t>
      </w:r>
      <w:r w:rsidRPr="0012729E">
        <w:rPr>
          <w:rFonts w:ascii="Times New Roman" w:hAnsi="Times New Roman"/>
          <w:i/>
          <w:iCs/>
          <w:sz w:val="24"/>
          <w:szCs w:val="24"/>
        </w:rPr>
        <w:t>Emerging Contaminants</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(4), 100578. https://doi.org/10.1016/j.emcon.2025.100578</w:t>
      </w:r>
    </w:p>
    <w:p w14:paraId="1DE29A47"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Wang, M.-K., Wang, J., Wang, F.-X., Hu, X.-L., He, X.-P., James, T. D., Liu, H., &amp; Su, J.-C. (2026). Antibacterial biomaterials: Disruption of antibiotic tolerance for resistance </w:t>
      </w:r>
      <w:r w:rsidRPr="0012729E">
        <w:rPr>
          <w:rFonts w:ascii="Times New Roman" w:hAnsi="Times New Roman"/>
          <w:sz w:val="24"/>
          <w:szCs w:val="24"/>
        </w:rPr>
        <w:lastRenderedPageBreak/>
        <w:t xml:space="preserve">prevention. </w:t>
      </w:r>
      <w:r w:rsidRPr="0012729E">
        <w:rPr>
          <w:rFonts w:ascii="Times New Roman" w:hAnsi="Times New Roman"/>
          <w:i/>
          <w:iCs/>
          <w:sz w:val="24"/>
          <w:szCs w:val="24"/>
        </w:rPr>
        <w:t>Coordination Chemistry Reviews</w:t>
      </w:r>
      <w:r w:rsidRPr="0012729E">
        <w:rPr>
          <w:rFonts w:ascii="Times New Roman" w:hAnsi="Times New Roman"/>
          <w:sz w:val="24"/>
          <w:szCs w:val="24"/>
        </w:rPr>
        <w:t xml:space="preserve">, </w:t>
      </w:r>
      <w:r w:rsidRPr="0012729E">
        <w:rPr>
          <w:rFonts w:ascii="Times New Roman" w:hAnsi="Times New Roman"/>
          <w:i/>
          <w:iCs/>
          <w:sz w:val="24"/>
          <w:szCs w:val="24"/>
        </w:rPr>
        <w:t>550</w:t>
      </w:r>
      <w:r w:rsidRPr="0012729E">
        <w:rPr>
          <w:rFonts w:ascii="Times New Roman" w:hAnsi="Times New Roman"/>
          <w:sz w:val="24"/>
          <w:szCs w:val="24"/>
        </w:rPr>
        <w:t>, 217368. https://doi.org/10.1016/j.ccr.2025.217368</w:t>
      </w:r>
    </w:p>
    <w:p w14:paraId="19454A9F"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Wang, Y., Zhan, F., Huang, C., &amp; Huang, Y. (2024). GBNSS: A Method Based on Graph Neural Networks (GNNs) for Global Biological Network Similarity Search. </w:t>
      </w:r>
      <w:r w:rsidRPr="0012729E">
        <w:rPr>
          <w:rFonts w:ascii="Times New Roman" w:hAnsi="Times New Roman"/>
          <w:i/>
          <w:iCs/>
          <w:sz w:val="24"/>
          <w:szCs w:val="24"/>
        </w:rPr>
        <w:t>Applied Sciences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(21). https://doi.org/10.3390/app14219844</w:t>
      </w:r>
    </w:p>
    <w:p w14:paraId="124C6B6A"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Woodhams, D. C., Bletz, M. C., Becker, C. G., Bender, H. A., Buitrago-Rosas, D., Diebboll, H., Huynh, R., Kearns, P. J., Kueneman, J., Kurosawa, E., LaBumbard, B. C., Lyons, C., McNally, K., Schliep, K., Shankar, N., Tokash-Peters, A. G., Vences, M., &amp; Whetstone, R. (2020). Host-associated microbiomes are predicted by immune system complexity and climate. </w:t>
      </w:r>
      <w:r w:rsidRPr="0012729E">
        <w:rPr>
          <w:rFonts w:ascii="Times New Roman" w:hAnsi="Times New Roman"/>
          <w:i/>
          <w:iCs/>
          <w:sz w:val="24"/>
          <w:szCs w:val="24"/>
        </w:rPr>
        <w:t>Genome Biology</w:t>
      </w:r>
      <w:r w:rsidRPr="0012729E">
        <w:rPr>
          <w:rFonts w:ascii="Times New Roman" w:hAnsi="Times New Roman"/>
          <w:sz w:val="24"/>
          <w:szCs w:val="24"/>
        </w:rPr>
        <w:t xml:space="preserve">, </w:t>
      </w:r>
      <w:r w:rsidRPr="0012729E">
        <w:rPr>
          <w:rFonts w:ascii="Times New Roman" w:hAnsi="Times New Roman"/>
          <w:i/>
          <w:iCs/>
          <w:sz w:val="24"/>
          <w:szCs w:val="24"/>
        </w:rPr>
        <w:t>21</w:t>
      </w:r>
      <w:r w:rsidRPr="0012729E">
        <w:rPr>
          <w:rFonts w:ascii="Times New Roman" w:hAnsi="Times New Roman"/>
          <w:sz w:val="24"/>
          <w:szCs w:val="24"/>
        </w:rPr>
        <w:t>(1), 23. https://doi.org/10.1186/s13059-019-1908-8</w:t>
      </w:r>
    </w:p>
    <w:p w14:paraId="18C17716"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Wu-Mo, C., Flores-González, A., Meléndez-Delgado, J., Ortiz-Gómez, V., Meléndez-González, H., &amp; Maldonado-Hernández, R. (2026). Artificial Intelligence-Driven Discovery and Optimization of Antimicrobial Peptides Targeting ESKAPE Pathogens and Multidrug-Resistant Fungi. </w:t>
      </w:r>
      <w:r w:rsidRPr="0012729E">
        <w:rPr>
          <w:rFonts w:ascii="Times New Roman" w:hAnsi="Times New Roman"/>
          <w:i/>
          <w:iCs/>
          <w:sz w:val="24"/>
          <w:szCs w:val="24"/>
        </w:rPr>
        <w:t>Microorganisms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(3). https://doi.org/10.3390/microorganisms14030591</w:t>
      </w:r>
    </w:p>
    <w:p w14:paraId="51023599"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Xie, M., Wang, J., Wang, F., Wang, J., Yan, Y., Feng, K., &amp; Chen, B. (2025). A Review of Genomic, Transcriptomic, and Proteomic Applications in Edible Fungi Biology: Current Status and Future Directions. </w:t>
      </w:r>
      <w:r w:rsidRPr="0012729E">
        <w:rPr>
          <w:rFonts w:ascii="Times New Roman" w:hAnsi="Times New Roman"/>
          <w:i/>
          <w:iCs/>
          <w:sz w:val="24"/>
          <w:szCs w:val="24"/>
        </w:rPr>
        <w:t>Journal of Fungi</w:t>
      </w:r>
      <w:r w:rsidRPr="0012729E">
        <w:rPr>
          <w:rFonts w:ascii="Times New Roman" w:hAnsi="Times New Roman"/>
          <w:sz w:val="24"/>
          <w:szCs w:val="24"/>
        </w:rPr>
        <w:t xml:space="preserve">, </w:t>
      </w:r>
      <w:r w:rsidRPr="0012729E">
        <w:rPr>
          <w:rFonts w:ascii="Times New Roman" w:hAnsi="Times New Roman"/>
          <w:i/>
          <w:iCs/>
          <w:sz w:val="24"/>
          <w:szCs w:val="24"/>
        </w:rPr>
        <w:t>11</w:t>
      </w:r>
      <w:r w:rsidRPr="0012729E">
        <w:rPr>
          <w:rFonts w:ascii="Times New Roman" w:hAnsi="Times New Roman"/>
          <w:sz w:val="24"/>
          <w:szCs w:val="24"/>
        </w:rPr>
        <w:t>(6), 422. https://doi.org/10.3390/jof11060422</w:t>
      </w:r>
    </w:p>
    <w:p w14:paraId="5CCF07AC"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Xie, Y., Lu, H., Liu, Y., Hu, G., Lian, S., Liu, J., Pang, S., Zhu, G., &amp; Ding, X. (2025). Unveiling the Mechanisms of Bacterial Resistance and Countermeasures. </w:t>
      </w:r>
      <w:r w:rsidRPr="0012729E">
        <w:rPr>
          <w:rFonts w:ascii="Times New Roman" w:hAnsi="Times New Roman"/>
          <w:i/>
          <w:iCs/>
          <w:sz w:val="24"/>
          <w:szCs w:val="24"/>
        </w:rPr>
        <w:t>Pathogens</w:t>
      </w:r>
      <w:r w:rsidRPr="0012729E">
        <w:rPr>
          <w:rFonts w:ascii="Times New Roman" w:hAnsi="Times New Roman"/>
          <w:sz w:val="24"/>
          <w:szCs w:val="24"/>
        </w:rPr>
        <w:t xml:space="preserve">, </w:t>
      </w:r>
      <w:r w:rsidRPr="0012729E">
        <w:rPr>
          <w:rFonts w:ascii="Times New Roman" w:hAnsi="Times New Roman"/>
          <w:i/>
          <w:iCs/>
          <w:sz w:val="24"/>
          <w:szCs w:val="24"/>
        </w:rPr>
        <w:t>14</w:t>
      </w:r>
      <w:r w:rsidRPr="0012729E">
        <w:rPr>
          <w:rFonts w:ascii="Times New Roman" w:hAnsi="Times New Roman"/>
          <w:sz w:val="24"/>
          <w:szCs w:val="24"/>
        </w:rPr>
        <w:t>(11). https://doi.org/10.3390/pathogens14111085</w:t>
      </w:r>
    </w:p>
    <w:p w14:paraId="0D662A3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lastRenderedPageBreak/>
        <w:t xml:space="preserve">Yue, T., Wang, Y., Zhang, L., Gu, C., Xue, H., Wang, W., Lyu, Q., &amp; Dun, Y. (2023). Deep Learning for Genomics: From Early Neural Nets to Modern Large Language Models. </w:t>
      </w:r>
      <w:r w:rsidRPr="0012729E">
        <w:rPr>
          <w:rFonts w:ascii="Times New Roman" w:hAnsi="Times New Roman"/>
          <w:i/>
          <w:iCs/>
          <w:sz w:val="24"/>
          <w:szCs w:val="24"/>
        </w:rPr>
        <w:t>International Journal of Molecular Sciences</w:t>
      </w:r>
      <w:r w:rsidRPr="0012729E">
        <w:rPr>
          <w:rFonts w:ascii="Times New Roman" w:hAnsi="Times New Roman"/>
          <w:sz w:val="24"/>
          <w:szCs w:val="24"/>
        </w:rPr>
        <w:t xml:space="preserve">, </w:t>
      </w:r>
      <w:r w:rsidRPr="0012729E">
        <w:rPr>
          <w:rFonts w:ascii="Times New Roman" w:hAnsi="Times New Roman"/>
          <w:i/>
          <w:iCs/>
          <w:sz w:val="24"/>
          <w:szCs w:val="24"/>
        </w:rPr>
        <w:t>24</w:t>
      </w:r>
      <w:r w:rsidRPr="0012729E">
        <w:rPr>
          <w:rFonts w:ascii="Times New Roman" w:hAnsi="Times New Roman"/>
          <w:sz w:val="24"/>
          <w:szCs w:val="24"/>
        </w:rPr>
        <w:t>(21). https://doi.org/10.3390/ijms242115858</w:t>
      </w:r>
    </w:p>
    <w:p w14:paraId="236DC2C4" w14:textId="77777777" w:rsidR="00CA1A68" w:rsidRPr="0012729E" w:rsidRDefault="00CA1A68" w:rsidP="00CA1A68">
      <w:pPr>
        <w:pStyle w:val="Bibliography"/>
        <w:rPr>
          <w:rFonts w:ascii="Times New Roman" w:hAnsi="Times New Roman"/>
          <w:sz w:val="24"/>
          <w:szCs w:val="24"/>
        </w:rPr>
      </w:pPr>
      <w:r w:rsidRPr="0012729E">
        <w:rPr>
          <w:rFonts w:ascii="Times New Roman" w:hAnsi="Times New Roman"/>
          <w:sz w:val="24"/>
          <w:szCs w:val="24"/>
        </w:rPr>
        <w:t xml:space="preserve">Zhao, A. P., Li, S., Cao, Z., Hu, P. J.-H., Wang, J., Xiang, Y., Xie, D., &amp; Lu, X. (2024). AI for science: Predicting infectious diseases. </w:t>
      </w:r>
      <w:r w:rsidRPr="0012729E">
        <w:rPr>
          <w:rFonts w:ascii="Times New Roman" w:hAnsi="Times New Roman"/>
          <w:i/>
          <w:iCs/>
          <w:sz w:val="24"/>
          <w:szCs w:val="24"/>
        </w:rPr>
        <w:t>Journal of Safety Science and Resilience</w:t>
      </w:r>
      <w:r w:rsidRPr="0012729E">
        <w:rPr>
          <w:rFonts w:ascii="Times New Roman" w:hAnsi="Times New Roman"/>
          <w:sz w:val="24"/>
          <w:szCs w:val="24"/>
        </w:rPr>
        <w:t xml:space="preserve">, </w:t>
      </w:r>
      <w:r w:rsidRPr="0012729E">
        <w:rPr>
          <w:rFonts w:ascii="Times New Roman" w:hAnsi="Times New Roman"/>
          <w:i/>
          <w:iCs/>
          <w:sz w:val="24"/>
          <w:szCs w:val="24"/>
        </w:rPr>
        <w:t>5</w:t>
      </w:r>
      <w:r w:rsidRPr="0012729E">
        <w:rPr>
          <w:rFonts w:ascii="Times New Roman" w:hAnsi="Times New Roman"/>
          <w:sz w:val="24"/>
          <w:szCs w:val="24"/>
        </w:rPr>
        <w:t>(2), 130–146. https://doi.org/10.1016/j.jnlssr.2024.02.002</w:t>
      </w:r>
    </w:p>
    <w:p w14:paraId="44D5A3AF" w14:textId="77777777" w:rsidR="00760E4A" w:rsidRPr="0012729E" w:rsidRDefault="00760E4A">
      <w:pPr>
        <w:rPr>
          <w:rFonts w:ascii="Times New Roman" w:hAnsi="Times New Roman"/>
          <w:b/>
          <w:bCs/>
          <w:sz w:val="24"/>
          <w:szCs w:val="24"/>
        </w:rPr>
      </w:pPr>
      <w:r w:rsidRPr="0012729E">
        <w:rPr>
          <w:rFonts w:ascii="Times New Roman" w:hAnsi="Times New Roman"/>
          <w:b/>
          <w:bCs/>
          <w:sz w:val="24"/>
          <w:szCs w:val="24"/>
        </w:rPr>
        <w:fldChar w:fldCharType="end"/>
      </w:r>
    </w:p>
    <w:sectPr w:rsidR="00760E4A" w:rsidRPr="001272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E139" w14:textId="77777777" w:rsidR="00A05292" w:rsidRDefault="00A05292" w:rsidP="00F070CE">
      <w:pPr>
        <w:spacing w:after="0" w:line="240" w:lineRule="auto"/>
      </w:pPr>
      <w:r>
        <w:separator/>
      </w:r>
    </w:p>
  </w:endnote>
  <w:endnote w:type="continuationSeparator" w:id="0">
    <w:p w14:paraId="6B18D5E3" w14:textId="77777777" w:rsidR="00A05292" w:rsidRDefault="00A05292" w:rsidP="00F07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9013" w14:textId="77777777" w:rsidR="000C3E5D" w:rsidRDefault="000C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F4E44" w14:textId="77777777" w:rsidR="000C3E5D" w:rsidRDefault="000C3E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AFD4" w14:textId="77777777" w:rsidR="000C3E5D" w:rsidRDefault="000C3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C6B97" w14:textId="77777777" w:rsidR="00A05292" w:rsidRDefault="00A05292" w:rsidP="00F070CE">
      <w:pPr>
        <w:spacing w:after="0" w:line="240" w:lineRule="auto"/>
      </w:pPr>
      <w:r>
        <w:separator/>
      </w:r>
    </w:p>
  </w:footnote>
  <w:footnote w:type="continuationSeparator" w:id="0">
    <w:p w14:paraId="272A073D" w14:textId="77777777" w:rsidR="00A05292" w:rsidRDefault="00A05292" w:rsidP="00F07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1B7B" w14:textId="1A3020D1" w:rsidR="000C3E5D" w:rsidRDefault="000C3E5D">
    <w:pPr>
      <w:pStyle w:val="Header"/>
    </w:pPr>
    <w:r>
      <w:rPr>
        <w:noProof/>
      </w:rPr>
      <w:pict w14:anchorId="0CE076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8" o:spid="_x0000_s1026" type="#_x0000_t136" style="position:absolute;margin-left:0;margin-top:0;width:555.6pt;height:104.15pt;rotation:315;z-index:-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4984" w14:textId="0E4B1C89" w:rsidR="000C3E5D" w:rsidRDefault="000C3E5D">
    <w:pPr>
      <w:pStyle w:val="Header"/>
    </w:pPr>
    <w:r>
      <w:rPr>
        <w:noProof/>
      </w:rPr>
      <w:pict w14:anchorId="6A16F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9" o:spid="_x0000_s1027" type="#_x0000_t136" style="position:absolute;margin-left:0;margin-top:0;width:555.6pt;height:104.15pt;rotation:315;z-index:-1;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8A4E" w14:textId="770DC9C1" w:rsidR="000C3E5D" w:rsidRDefault="000C3E5D">
    <w:pPr>
      <w:pStyle w:val="Header"/>
    </w:pPr>
    <w:r>
      <w:rPr>
        <w:noProof/>
      </w:rPr>
      <w:pict w14:anchorId="164F3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9437" o:spid="_x0000_s1025" type="#_x0000_t136" style="position:absolute;margin-left:0;margin-top:0;width:555.6pt;height:104.15pt;rotation:315;z-index:-3;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37C7C"/>
    <w:multiLevelType w:val="multilevel"/>
    <w:tmpl w:val="C93A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DA08C7"/>
    <w:multiLevelType w:val="multilevel"/>
    <w:tmpl w:val="DC48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E57A32"/>
    <w:multiLevelType w:val="multilevel"/>
    <w:tmpl w:val="2AB6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28427A"/>
    <w:multiLevelType w:val="multilevel"/>
    <w:tmpl w:val="1654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85057B"/>
    <w:multiLevelType w:val="multilevel"/>
    <w:tmpl w:val="D114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61F48E6"/>
    <w:multiLevelType w:val="multilevel"/>
    <w:tmpl w:val="D2B4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02380">
    <w:abstractNumId w:val="3"/>
  </w:num>
  <w:num w:numId="2" w16cid:durableId="1165974752">
    <w:abstractNumId w:val="0"/>
  </w:num>
  <w:num w:numId="3" w16cid:durableId="1384449300">
    <w:abstractNumId w:val="2"/>
  </w:num>
  <w:num w:numId="4" w16cid:durableId="317730995">
    <w:abstractNumId w:val="5"/>
  </w:num>
  <w:num w:numId="5" w16cid:durableId="1312103450">
    <w:abstractNumId w:val="4"/>
  </w:num>
  <w:num w:numId="6" w16cid:durableId="1240943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Moves/>
  <w:defaultTabStop w:val="72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37E0"/>
    <w:rsid w:val="00022A3B"/>
    <w:rsid w:val="000257FE"/>
    <w:rsid w:val="00040F0A"/>
    <w:rsid w:val="0005386D"/>
    <w:rsid w:val="00054125"/>
    <w:rsid w:val="000C3E5D"/>
    <w:rsid w:val="0011017C"/>
    <w:rsid w:val="0012729E"/>
    <w:rsid w:val="00134A5D"/>
    <w:rsid w:val="0016481A"/>
    <w:rsid w:val="001827C6"/>
    <w:rsid w:val="001A09C0"/>
    <w:rsid w:val="001A4829"/>
    <w:rsid w:val="001B24FB"/>
    <w:rsid w:val="002040CC"/>
    <w:rsid w:val="00204D9A"/>
    <w:rsid w:val="0022539B"/>
    <w:rsid w:val="00233DAF"/>
    <w:rsid w:val="00246C1F"/>
    <w:rsid w:val="002542B0"/>
    <w:rsid w:val="00265CC1"/>
    <w:rsid w:val="00294D44"/>
    <w:rsid w:val="002E1364"/>
    <w:rsid w:val="00305621"/>
    <w:rsid w:val="003072EA"/>
    <w:rsid w:val="00313652"/>
    <w:rsid w:val="00320368"/>
    <w:rsid w:val="00332609"/>
    <w:rsid w:val="00347FCF"/>
    <w:rsid w:val="0036187A"/>
    <w:rsid w:val="00363338"/>
    <w:rsid w:val="0039472A"/>
    <w:rsid w:val="003A1EB4"/>
    <w:rsid w:val="003F4941"/>
    <w:rsid w:val="00484010"/>
    <w:rsid w:val="004933C3"/>
    <w:rsid w:val="004C3F03"/>
    <w:rsid w:val="004E5619"/>
    <w:rsid w:val="00506808"/>
    <w:rsid w:val="00521391"/>
    <w:rsid w:val="00545188"/>
    <w:rsid w:val="00560E3E"/>
    <w:rsid w:val="00570CD1"/>
    <w:rsid w:val="00573F0C"/>
    <w:rsid w:val="005860BE"/>
    <w:rsid w:val="005A657F"/>
    <w:rsid w:val="005B4C93"/>
    <w:rsid w:val="005D1739"/>
    <w:rsid w:val="005D33D5"/>
    <w:rsid w:val="006146F2"/>
    <w:rsid w:val="00620306"/>
    <w:rsid w:val="006472EA"/>
    <w:rsid w:val="00663416"/>
    <w:rsid w:val="00672B95"/>
    <w:rsid w:val="006910E5"/>
    <w:rsid w:val="006A53C0"/>
    <w:rsid w:val="006B1C55"/>
    <w:rsid w:val="006C3342"/>
    <w:rsid w:val="006D18A8"/>
    <w:rsid w:val="006E5E97"/>
    <w:rsid w:val="0070163D"/>
    <w:rsid w:val="0072335B"/>
    <w:rsid w:val="00760E4A"/>
    <w:rsid w:val="00784E8F"/>
    <w:rsid w:val="007A3724"/>
    <w:rsid w:val="007C032A"/>
    <w:rsid w:val="007C3D5B"/>
    <w:rsid w:val="007F2E1C"/>
    <w:rsid w:val="00801826"/>
    <w:rsid w:val="00810B50"/>
    <w:rsid w:val="00817989"/>
    <w:rsid w:val="0082409D"/>
    <w:rsid w:val="00830534"/>
    <w:rsid w:val="00837E61"/>
    <w:rsid w:val="00863080"/>
    <w:rsid w:val="0089410F"/>
    <w:rsid w:val="008D37E0"/>
    <w:rsid w:val="008E5844"/>
    <w:rsid w:val="008F24B5"/>
    <w:rsid w:val="00930415"/>
    <w:rsid w:val="0093781A"/>
    <w:rsid w:val="0097639D"/>
    <w:rsid w:val="009A1084"/>
    <w:rsid w:val="009A5533"/>
    <w:rsid w:val="009E3153"/>
    <w:rsid w:val="009E51C3"/>
    <w:rsid w:val="00A020B4"/>
    <w:rsid w:val="00A05292"/>
    <w:rsid w:val="00A10C2B"/>
    <w:rsid w:val="00A15304"/>
    <w:rsid w:val="00A22DE9"/>
    <w:rsid w:val="00A329FA"/>
    <w:rsid w:val="00A476CE"/>
    <w:rsid w:val="00A715F4"/>
    <w:rsid w:val="00A823E8"/>
    <w:rsid w:val="00A8548A"/>
    <w:rsid w:val="00AB3E5E"/>
    <w:rsid w:val="00B31310"/>
    <w:rsid w:val="00B32D9E"/>
    <w:rsid w:val="00B421F2"/>
    <w:rsid w:val="00BF6DE2"/>
    <w:rsid w:val="00C162F7"/>
    <w:rsid w:val="00C22116"/>
    <w:rsid w:val="00C4426F"/>
    <w:rsid w:val="00C8235C"/>
    <w:rsid w:val="00C901B4"/>
    <w:rsid w:val="00C923F6"/>
    <w:rsid w:val="00C92B00"/>
    <w:rsid w:val="00CA1A68"/>
    <w:rsid w:val="00CC4609"/>
    <w:rsid w:val="00CD26DE"/>
    <w:rsid w:val="00CE4636"/>
    <w:rsid w:val="00CF6F85"/>
    <w:rsid w:val="00D14B74"/>
    <w:rsid w:val="00D332F7"/>
    <w:rsid w:val="00D377F4"/>
    <w:rsid w:val="00D37D24"/>
    <w:rsid w:val="00D51522"/>
    <w:rsid w:val="00D65C8E"/>
    <w:rsid w:val="00D842F3"/>
    <w:rsid w:val="00D97373"/>
    <w:rsid w:val="00DC1430"/>
    <w:rsid w:val="00E14F42"/>
    <w:rsid w:val="00E346CA"/>
    <w:rsid w:val="00E600EF"/>
    <w:rsid w:val="00EB573F"/>
    <w:rsid w:val="00F070CE"/>
    <w:rsid w:val="00F25FED"/>
    <w:rsid w:val="00F322EC"/>
    <w:rsid w:val="00F358AE"/>
    <w:rsid w:val="00F41337"/>
    <w:rsid w:val="00F62CAC"/>
    <w:rsid w:val="00F72251"/>
    <w:rsid w:val="00F836ED"/>
    <w:rsid w:val="00FE4C1E"/>
    <w:rsid w:val="00FF7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4EB13D"/>
  <w15:docId w15:val="{797005E0-FD01-4B1F-B34C-FA4FF65F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0CE"/>
    <w:pPr>
      <w:tabs>
        <w:tab w:val="center" w:pos="4680"/>
        <w:tab w:val="right" w:pos="9360"/>
      </w:tabs>
    </w:pPr>
  </w:style>
  <w:style w:type="character" w:customStyle="1" w:styleId="HeaderChar">
    <w:name w:val="Header Char"/>
    <w:link w:val="Header"/>
    <w:uiPriority w:val="99"/>
    <w:rsid w:val="00F070CE"/>
    <w:rPr>
      <w:sz w:val="22"/>
      <w:szCs w:val="22"/>
    </w:rPr>
  </w:style>
  <w:style w:type="paragraph" w:styleId="Footer">
    <w:name w:val="footer"/>
    <w:basedOn w:val="Normal"/>
    <w:link w:val="FooterChar"/>
    <w:uiPriority w:val="99"/>
    <w:unhideWhenUsed/>
    <w:rsid w:val="00F070CE"/>
    <w:pPr>
      <w:tabs>
        <w:tab w:val="center" w:pos="4680"/>
        <w:tab w:val="right" w:pos="9360"/>
      </w:tabs>
    </w:pPr>
  </w:style>
  <w:style w:type="character" w:customStyle="1" w:styleId="FooterChar">
    <w:name w:val="Footer Char"/>
    <w:link w:val="Footer"/>
    <w:uiPriority w:val="99"/>
    <w:rsid w:val="00F070CE"/>
    <w:rPr>
      <w:sz w:val="22"/>
      <w:szCs w:val="22"/>
    </w:rPr>
  </w:style>
  <w:style w:type="table" w:styleId="TableGridLight">
    <w:name w:val="Grid Table Light"/>
    <w:basedOn w:val="TableNormal"/>
    <w:uiPriority w:val="40"/>
    <w:rsid w:val="0030562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5860BE"/>
    <w:rPr>
      <w:rFonts w:ascii="Times New Roman" w:hAnsi="Times New Roman"/>
      <w:sz w:val="24"/>
      <w:szCs w:val="24"/>
    </w:rPr>
  </w:style>
  <w:style w:type="paragraph" w:styleId="Bibliography">
    <w:name w:val="Bibliography"/>
    <w:basedOn w:val="Normal"/>
    <w:next w:val="Normal"/>
    <w:uiPriority w:val="37"/>
    <w:unhideWhenUsed/>
    <w:rsid w:val="00760E4A"/>
    <w:pPr>
      <w:spacing w:after="0" w:line="480" w:lineRule="auto"/>
      <w:ind w:left="720" w:hanging="720"/>
    </w:pPr>
  </w:style>
  <w:style w:type="character" w:styleId="Hyperlink">
    <w:name w:val="Hyperlink"/>
    <w:uiPriority w:val="99"/>
    <w:unhideWhenUsed/>
    <w:rsid w:val="006B1C55"/>
    <w:rPr>
      <w:color w:val="0000FF"/>
      <w:u w:val="single"/>
    </w:rPr>
  </w:style>
  <w:style w:type="character" w:styleId="UnresolvedMention">
    <w:name w:val="Unresolved Mention"/>
    <w:uiPriority w:val="99"/>
    <w:semiHidden/>
    <w:unhideWhenUsed/>
    <w:rsid w:val="006B1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574</TotalTime>
  <Pages>31</Pages>
  <Words>47586</Words>
  <Characters>271241</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24048RN6CG</dc:creator>
  <cp:lastModifiedBy>SDI 1180</cp:lastModifiedBy>
  <cp:revision>100</cp:revision>
  <dcterms:created xsi:type="dcterms:W3CDTF">2026-05-25T20:37:00Z</dcterms:created>
  <dcterms:modified xsi:type="dcterms:W3CDTF">2026-05-30T10:53:00Z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0e74bfc8db4c4e38b59caf2592ac963c</vt:lpwstr>
  </property>
  <property fmtid="{D5CDD505-2E9C-101B-9397-08002B2CF9AE}" pid="3" name="GrammarlyDocumentId">
    <vt:lpwstr>f3451b16-e6f2-422a-81d7-e63d2dc985ba</vt:lpwstr>
  </property>
  <property fmtid="{D5CDD505-2E9C-101B-9397-08002B2CF9AE}" pid="4" name="ZOTERO_PREF_1">
    <vt:lpwstr>&lt;data data-version="3" zotero-version="7.0.30"&gt;&lt;session id="1oO4UsQL"/&gt;&lt;style id="http://www.zotero.org/styles/apa" locale="en-US" hasBibliography="1" bibliographyStyleHasBeenSet="1"/&gt;&lt;prefs&gt;&lt;pref name="fieldType" value="Field"/&gt;&lt;/prefs&gt;&lt;/data&gt;</vt:lpwstr>
  </property>
</Properties>
</file>