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5183" w14:textId="77777777" w:rsidR="00205990" w:rsidRPr="00205990" w:rsidRDefault="00205990" w:rsidP="00205990">
      <w:pPr>
        <w:pStyle w:val="Title"/>
        <w:jc w:val="both"/>
        <w:rPr>
          <w:rFonts w:ascii="Arial" w:hAnsi="Arial" w:cs="Arial"/>
          <w:bCs/>
          <w:i/>
          <w:iCs/>
          <w:u w:val="single"/>
        </w:rPr>
      </w:pPr>
      <w:r w:rsidRPr="00205990">
        <w:rPr>
          <w:rFonts w:ascii="Arial" w:hAnsi="Arial" w:cs="Arial"/>
          <w:bCs/>
          <w:i/>
          <w:iCs/>
          <w:u w:val="single"/>
        </w:rPr>
        <w:t>Original Research Article</w:t>
      </w:r>
    </w:p>
    <w:p w14:paraId="34A5379D" w14:textId="77777777" w:rsidR="00754C9A" w:rsidRDefault="00754C9A" w:rsidP="00441B6F">
      <w:pPr>
        <w:pStyle w:val="Title"/>
        <w:spacing w:after="0"/>
        <w:jc w:val="both"/>
        <w:rPr>
          <w:rFonts w:ascii="Arial" w:hAnsi="Arial" w:cs="Arial"/>
        </w:rPr>
      </w:pPr>
    </w:p>
    <w:p w14:paraId="4153494B" w14:textId="77777777" w:rsidR="00097BB2" w:rsidRPr="00097BB2" w:rsidRDefault="00097BB2" w:rsidP="00097BB2">
      <w:pPr>
        <w:pStyle w:val="Author"/>
        <w:spacing w:line="240" w:lineRule="auto"/>
        <w:rPr>
          <w:rFonts w:ascii="Arial" w:hAnsi="Arial" w:cs="Arial"/>
          <w:bCs/>
          <w:iCs/>
          <w:kern w:val="28"/>
          <w:sz w:val="36"/>
        </w:rPr>
      </w:pPr>
      <w:r w:rsidRPr="00097BB2">
        <w:rPr>
          <w:rFonts w:ascii="Arial" w:hAnsi="Arial" w:cs="Arial"/>
          <w:bCs/>
          <w:iCs/>
          <w:kern w:val="28"/>
          <w:sz w:val="36"/>
        </w:rPr>
        <w:t xml:space="preserve">Levels, Characteristics and Distribution of Micro- &amp; Nanoplastics (MNPs) in River </w:t>
      </w:r>
      <w:proofErr w:type="spellStart"/>
      <w:r w:rsidRPr="00097BB2">
        <w:rPr>
          <w:rFonts w:ascii="Arial" w:hAnsi="Arial" w:cs="Arial"/>
          <w:bCs/>
          <w:iCs/>
          <w:kern w:val="28"/>
          <w:sz w:val="36"/>
        </w:rPr>
        <w:t>Ngadda’s</w:t>
      </w:r>
      <w:proofErr w:type="spellEnd"/>
      <w:r w:rsidRPr="00097BB2">
        <w:rPr>
          <w:rFonts w:ascii="Arial" w:hAnsi="Arial" w:cs="Arial"/>
          <w:bCs/>
          <w:iCs/>
          <w:kern w:val="28"/>
          <w:sz w:val="36"/>
        </w:rPr>
        <w:t xml:space="preserve"> Surface Water, Maiduguri, Borno State, Nigeria</w:t>
      </w:r>
    </w:p>
    <w:p w14:paraId="332F921F" w14:textId="77777777" w:rsidR="00163BC4" w:rsidRPr="00163BC4" w:rsidRDefault="00231920" w:rsidP="00441B6F">
      <w:pPr>
        <w:pStyle w:val="Author"/>
        <w:spacing w:line="240" w:lineRule="auto"/>
        <w:rPr>
          <w:rFonts w:ascii="Arial" w:hAnsi="Arial" w:cs="Arial"/>
          <w:bCs/>
          <w:iCs/>
          <w:kern w:val="28"/>
          <w:sz w:val="36"/>
        </w:rPr>
      </w:pPr>
      <w:r>
        <w:rPr>
          <w:rFonts w:ascii="Arial" w:hAnsi="Arial" w:cs="Arial"/>
          <w:bCs/>
          <w:iCs/>
          <w:kern w:val="28"/>
          <w:sz w:val="36"/>
        </w:rPr>
        <w:t xml:space="preserve"> </w:t>
      </w:r>
    </w:p>
    <w:p w14:paraId="43057ADD" w14:textId="77777777" w:rsidR="00A258C3" w:rsidRPr="00790ADA" w:rsidRDefault="00A258C3" w:rsidP="00441B6F">
      <w:pPr>
        <w:pStyle w:val="Author"/>
        <w:spacing w:line="240" w:lineRule="auto"/>
        <w:jc w:val="both"/>
        <w:rPr>
          <w:rFonts w:ascii="Arial" w:hAnsi="Arial" w:cs="Arial"/>
          <w:sz w:val="36"/>
        </w:rPr>
      </w:pPr>
    </w:p>
    <w:p w14:paraId="268279DC" w14:textId="77777777" w:rsidR="002C57D2" w:rsidRDefault="002C57D2" w:rsidP="00441B6F">
      <w:pPr>
        <w:pStyle w:val="Affiliation"/>
        <w:spacing w:after="0" w:line="240" w:lineRule="auto"/>
        <w:jc w:val="both"/>
        <w:rPr>
          <w:rFonts w:ascii="Arial" w:hAnsi="Arial" w:cs="Arial"/>
        </w:rPr>
      </w:pPr>
    </w:p>
    <w:p w14:paraId="249DB8B8" w14:textId="77777777" w:rsidR="00892B12" w:rsidRPr="00FB3A86" w:rsidRDefault="00892B12" w:rsidP="00441B6F">
      <w:pPr>
        <w:pStyle w:val="Affiliation"/>
        <w:spacing w:after="0" w:line="240" w:lineRule="auto"/>
        <w:jc w:val="both"/>
        <w:rPr>
          <w:rFonts w:ascii="Arial" w:hAnsi="Arial" w:cs="Arial"/>
        </w:rPr>
      </w:pPr>
    </w:p>
    <w:p w14:paraId="7689A5A4" w14:textId="77777777" w:rsidR="00B01FCD" w:rsidRPr="00FB3A86" w:rsidRDefault="00097BB2" w:rsidP="00441B6F">
      <w:pPr>
        <w:pStyle w:val="Copyright"/>
        <w:spacing w:after="0" w:line="240" w:lineRule="auto"/>
        <w:jc w:val="both"/>
        <w:rPr>
          <w:rFonts w:ascii="Arial" w:hAnsi="Arial" w:cs="Arial"/>
        </w:rPr>
        <w:sectPr w:rsidR="00B01FCD" w:rsidRPr="00FB3A86" w:rsidSect="00892B1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754B645B" wp14:editId="6855EC05">
                <wp:extent cx="5303520" cy="0"/>
                <wp:effectExtent l="11430" t="15240" r="9525" b="13335"/>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A20459" id="_x0000_t32" coordsize="21600,21600" o:spt="32" o:oned="t" path="m,l21600,21600e" filled="f">
                <v:path arrowok="t" fillok="f" o:connecttype="none"/>
                <o:lock v:ext="edit" shapetype="t"/>
              </v:shapetype>
              <v:shape id="AutoShape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zHwIAAD0EAAAOAAAAZHJzL2Uyb0RvYy54bWysU02P2jAQvVfqf7ByhyQQthARVqsEetl2&#10;kXb7A4ztJFYTj2UbAqr63zs2H2LbS1WVgxlnZt68mTdePh77jhyEsRJUEaXjJCJCMeBSNUX07W0z&#10;mkfEOqo47UCJIjoJGz2uPn5YDjoXE2ih48IQBFE2H3QRtc7pPI4ta0VP7Ri0UOiswfTU4dU0MTd0&#10;QPS+iydJ8hAPYLg2wIS1+LU6O6NVwK9rwdxLXVvhSFdEyM2F04Rz5894taR5Y6huJbvQoP/AoqdS&#10;YdEbVEUdJXsj/4DqJTNgoXZjBn0MdS2ZCD1gN2nyWzevLdUi9ILDsfo2Jvv/YNnXw9YQyVG7NCKK&#10;9qjR095BKE0mfj6DtjmGlWprfIfsqF71M7DvligoW6oaEYLfThpzU58Rv0vxF6uxym74AhxjKOKH&#10;YR1r03tIHAM5Bk1ON03E0RGGH2fTZDqboHTs6otpfk3UxrrPAnrijSKyzlDZtK4EpVB5MGkoQw/P&#10;1nlaNL8m+KoKNrLrwgJ0igzIfZHMkpBhoZPce32cNc2u7Aw5UL9D4ReaRM99mIG94gGtFZSvL7aj&#10;sjvbWL1THg87Qz4X67wkPxbJYj1fz7NRNnlYj7KkqkZPmzIbPWzST7NqWpVllf701NIsbyXnQnl2&#10;14VNs79biMvTOa/abWVvc4jfo4eBIdnrfyAdpPVqnvdiB/y0NVfJcUdD8OU9+Udwf0f7/tWvfgEA&#10;AP//AwBQSwMEFAAGAAgAAAAhABFIMGDWAAAAAgEAAA8AAABkcnMvZG93bnJldi54bWxMj8FKxEAQ&#10;RO+C/zC04EXciSsuIWayiODJg3HXD+hk2iSY6QmZyWb8e3u96KWgqKbqdblPblQnmsPg2cDdJgNF&#10;3Ho7cGfg4/hym4MKEdni6JkMfFOAfXV5UWJh/crvdDrETkkJhwIN9DFOhdah7clh2PiJWLJPPzuM&#10;YudO2xlXKXej3mbZTjscWBZ6nOi5p/brsDgD6W3HMdV5alZeXkN+Uyd0tTHXV+npEVSkFP+O4Ywv&#10;6FAJU+MXtkGNBuSR+KuS5fcPW1DN2eqq1P/Rqx8AAAD//wMAUEsBAi0AFAAGAAgAAAAhALaDOJL+&#10;AAAA4QEAABMAAAAAAAAAAAAAAAAAAAAAAFtDb250ZW50X1R5cGVzXS54bWxQSwECLQAUAAYACAAA&#10;ACEAOP0h/9YAAACUAQAACwAAAAAAAAAAAAAAAAAvAQAAX3JlbHMvLnJlbHNQSwECLQAUAAYACAAA&#10;ACEATbzP8x8CAAA9BAAADgAAAAAAAAAAAAAAAAAuAgAAZHJzL2Uyb0RvYy54bWxQSwECLQAUAAYA&#10;CAAAACEAEUgwYNYAAAACAQAADwAAAAAAAAAAAAAAAAB5BAAAZHJzL2Rvd25yZXYueG1sUEsFBgAA&#10;AAAEAAQA8wAAAHwFAAAAAA==&#10;" strokeweight="1.5pt">
                <w10:anchorlock/>
              </v:shape>
            </w:pict>
          </mc:Fallback>
        </mc:AlternateContent>
      </w:r>
      <w:r w:rsidR="00FB3A86">
        <w:rPr>
          <w:rFonts w:ascii="Arial" w:hAnsi="Arial" w:cs="Arial"/>
        </w:rPr>
        <w:t>.</w:t>
      </w:r>
    </w:p>
    <w:p w14:paraId="19A471AD"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54A9BF4E"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900"/>
      </w:tblGrid>
      <w:tr w:rsidR="00296529" w:rsidRPr="001E44FE" w14:paraId="7CF13D19" w14:textId="77777777" w:rsidTr="001E44FE">
        <w:tc>
          <w:tcPr>
            <w:tcW w:w="9576" w:type="dxa"/>
            <w:shd w:val="clear" w:color="auto" w:fill="F2F2F2"/>
          </w:tcPr>
          <w:p w14:paraId="0F1CFBCA" w14:textId="77777777" w:rsidR="00E3114E" w:rsidRDefault="00E3114E" w:rsidP="00441B6F">
            <w:pPr>
              <w:pStyle w:val="Body"/>
              <w:spacing w:after="0"/>
              <w:rPr>
                <w:rFonts w:ascii="Arial" w:eastAsia="Calibri" w:hAnsi="Arial" w:cs="Arial"/>
                <w:szCs w:val="22"/>
              </w:rPr>
            </w:pPr>
          </w:p>
          <w:p w14:paraId="65F42FCD"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097BB2">
              <w:rPr>
                <w:rFonts w:ascii="Arial" w:eastAsia="Calibri" w:hAnsi="Arial" w:cs="Arial"/>
                <w:szCs w:val="22"/>
              </w:rPr>
              <w:t>The</w:t>
            </w:r>
            <w:r w:rsidR="00097BB2" w:rsidRPr="00097BB2">
              <w:rPr>
                <w:rFonts w:ascii="Arial" w:eastAsia="Calibri" w:hAnsi="Arial" w:cs="Arial"/>
                <w:szCs w:val="22"/>
              </w:rPr>
              <w:t xml:space="preserve"> study assessed the occurrence, characteristics, distribution, and environmental drivers of microplastics (MPs) and an operationally defined submicron plastic fraction in the surface waters of River Ngadda, northeastern Nigeria.</w:t>
            </w:r>
          </w:p>
          <w:p w14:paraId="63DAA6E2" w14:textId="77777777" w:rsidR="00097BB2"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97BB2" w:rsidRPr="00097BB2">
              <w:rPr>
                <w:rFonts w:ascii="Arial" w:eastAsia="Calibri" w:hAnsi="Arial" w:cs="Arial"/>
                <w:szCs w:val="22"/>
              </w:rPr>
              <w:t>A longitudinal field-based environmental monitoring study involving seasonal sampling and multivariate statistical analysis.</w:t>
            </w:r>
          </w:p>
          <w:p w14:paraId="56411D04"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097BB2" w:rsidRPr="00097BB2">
              <w:rPr>
                <w:rFonts w:ascii="Arial" w:eastAsia="Calibri" w:hAnsi="Arial" w:cs="Arial"/>
                <w:szCs w:val="22"/>
              </w:rPr>
              <w:t>The study was conducted in River Ngadda,</w:t>
            </w:r>
            <w:r w:rsidR="00097BB2">
              <w:rPr>
                <w:rFonts w:ascii="Arial" w:eastAsia="Calibri" w:hAnsi="Arial" w:cs="Arial"/>
                <w:szCs w:val="22"/>
              </w:rPr>
              <w:t xml:space="preserve"> Borno State,</w:t>
            </w:r>
            <w:r w:rsidR="00097BB2" w:rsidRPr="00097BB2">
              <w:rPr>
                <w:rFonts w:ascii="Arial" w:eastAsia="Calibri" w:hAnsi="Arial" w:cs="Arial"/>
                <w:szCs w:val="22"/>
              </w:rPr>
              <w:t xml:space="preserve"> northeastern Nigeria, across six sampling stations over a period of eight months</w:t>
            </w:r>
            <w:r w:rsidR="00097BB2">
              <w:rPr>
                <w:rFonts w:ascii="Arial" w:eastAsia="Calibri" w:hAnsi="Arial" w:cs="Arial"/>
                <w:szCs w:val="22"/>
              </w:rPr>
              <w:t xml:space="preserve"> (March – October, 2025)</w:t>
            </w:r>
            <w:r w:rsidR="00097BB2" w:rsidRPr="00097BB2">
              <w:rPr>
                <w:rFonts w:ascii="Arial" w:eastAsia="Calibri" w:hAnsi="Arial" w:cs="Arial"/>
                <w:szCs w:val="22"/>
              </w:rPr>
              <w:t xml:space="preserve"> covering both the dry and wet seasons.</w:t>
            </w:r>
          </w:p>
          <w:p w14:paraId="1B031865"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097BB2" w:rsidRPr="00097BB2">
              <w:rPr>
                <w:rFonts w:ascii="Arial" w:eastAsia="Calibri" w:hAnsi="Arial" w:cs="Arial"/>
                <w:szCs w:val="22"/>
              </w:rPr>
              <w:t>Water samples were collected monthly from six stations, with five 4-L subsamples composited at each station. Samples were digested using wet peroxide oxidation and separated into size fractions using a 50 μm stainless-steel sieve and 0.45 μm membrane filtration. Microplastics were identified microscopically and confirmed using Fourier Transform Infrared Spectroscopy (FTIR), while the retained submicron plastic fraction was characterized using pyrolysis gas chromatography–mass spectrometry (Py-GC/MS). Physicochemical parameters, including nitrate (NO</w:t>
            </w:r>
            <w:r w:rsidR="00097BB2" w:rsidRPr="00097BB2">
              <w:rPr>
                <w:rFonts w:ascii="Cambria Math" w:eastAsia="Calibri" w:hAnsi="Cambria Math" w:cs="Cambria Math"/>
                <w:szCs w:val="22"/>
              </w:rPr>
              <w:t>₃⁻</w:t>
            </w:r>
            <w:r w:rsidR="00097BB2" w:rsidRPr="00097BB2">
              <w:rPr>
                <w:rFonts w:ascii="Arial" w:eastAsia="Calibri" w:hAnsi="Arial" w:cs="Arial"/>
                <w:szCs w:val="22"/>
              </w:rPr>
              <w:t>) and sulphate (SO</w:t>
            </w:r>
            <w:r w:rsidR="00097BB2" w:rsidRPr="00097BB2">
              <w:rPr>
                <w:rFonts w:ascii="Cambria Math" w:eastAsia="Calibri" w:hAnsi="Cambria Math" w:cs="Cambria Math"/>
                <w:szCs w:val="22"/>
              </w:rPr>
              <w:t>₄</w:t>
            </w:r>
            <w:r w:rsidR="00097BB2" w:rsidRPr="00097BB2">
              <w:rPr>
                <w:rFonts w:ascii="Arial" w:eastAsia="Calibri" w:hAnsi="Arial" w:cs="Arial"/>
                <w:szCs w:val="22"/>
              </w:rPr>
              <w:t>²</w:t>
            </w:r>
            <w:r w:rsidR="00097BB2" w:rsidRPr="00097BB2">
              <w:rPr>
                <w:rFonts w:ascii="Cambria Math" w:eastAsia="Calibri" w:hAnsi="Cambria Math" w:cs="Cambria Math"/>
                <w:szCs w:val="22"/>
              </w:rPr>
              <w:t>⁻</w:t>
            </w:r>
            <w:r w:rsidR="00097BB2" w:rsidRPr="00097BB2">
              <w:rPr>
                <w:rFonts w:ascii="Arial" w:eastAsia="Calibri" w:hAnsi="Arial" w:cs="Arial"/>
                <w:szCs w:val="22"/>
              </w:rPr>
              <w:t>), were determined using standard analytical methods. Data were analyzed using descriptive statistics and multivariate techniques in Paleontological Statistics (PAST) version 4.40.</w:t>
            </w:r>
          </w:p>
          <w:p w14:paraId="60CB8A6B" w14:textId="77777777"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097BB2" w:rsidRPr="00097BB2">
              <w:rPr>
                <w:rFonts w:ascii="Arial" w:eastAsia="Calibri" w:hAnsi="Arial" w:cs="Arial"/>
                <w:szCs w:val="22"/>
              </w:rPr>
              <w:t xml:space="preserve">All measured physicochemical parameters were within the permissible limits established by the World Health Organization (WHO) and the National Environmental Standards and Regulations Enforcement Agency (NESREA). Microplastic abundance ranged from 29 ± 2.4 to 41 ± 1.6 </w:t>
            </w:r>
            <w:r w:rsidR="00097BB2">
              <w:rPr>
                <w:rFonts w:ascii="Arial" w:eastAsia="Calibri" w:hAnsi="Arial" w:cs="Arial"/>
                <w:szCs w:val="22"/>
              </w:rPr>
              <w:t>pp/L</w:t>
            </w:r>
            <w:r w:rsidR="00097BB2" w:rsidRPr="00097BB2">
              <w:rPr>
                <w:rFonts w:ascii="Arial" w:eastAsia="Calibri" w:hAnsi="Arial" w:cs="Arial"/>
                <w:szCs w:val="22"/>
              </w:rPr>
              <w:t xml:space="preserve"> during the dry season and from 27 ± 4.6 to 34 ± 8.3 </w:t>
            </w:r>
            <w:r w:rsidR="00097BB2">
              <w:rPr>
                <w:rFonts w:ascii="Arial" w:eastAsia="Calibri" w:hAnsi="Arial" w:cs="Arial"/>
                <w:szCs w:val="22"/>
              </w:rPr>
              <w:t>pp/L</w:t>
            </w:r>
            <w:r w:rsidR="00097BB2" w:rsidRPr="00097BB2">
              <w:rPr>
                <w:rFonts w:ascii="Arial" w:eastAsia="Calibri" w:hAnsi="Arial" w:cs="Arial"/>
                <w:szCs w:val="22"/>
              </w:rPr>
              <w:t xml:space="preserve"> during the wet season. Polymer-associated mass concentrations of the submicron plastic fraction ranged from 27.0 ± 1.4 to 38.0 ± 2.1 μ</w:t>
            </w:r>
            <w:r w:rsidR="00097BB2">
              <w:rPr>
                <w:rFonts w:ascii="Arial" w:eastAsia="Calibri" w:hAnsi="Arial" w:cs="Arial"/>
                <w:szCs w:val="22"/>
              </w:rPr>
              <w:t>g/</w:t>
            </w:r>
            <w:r w:rsidR="00097BB2" w:rsidRPr="00097BB2">
              <w:rPr>
                <w:rFonts w:ascii="Arial" w:eastAsia="Calibri" w:hAnsi="Arial" w:cs="Arial"/>
                <w:szCs w:val="22"/>
              </w:rPr>
              <w:t>L during the dry season and from 21.0 ± 0.3 to 34.0 ± 1.1 μ</w:t>
            </w:r>
            <w:r w:rsidR="00097BB2">
              <w:rPr>
                <w:rFonts w:ascii="Arial" w:eastAsia="Calibri" w:hAnsi="Arial" w:cs="Arial"/>
                <w:szCs w:val="22"/>
              </w:rPr>
              <w:t>g/</w:t>
            </w:r>
            <w:r w:rsidR="00097BB2" w:rsidRPr="00097BB2">
              <w:rPr>
                <w:rFonts w:ascii="Arial" w:eastAsia="Calibri" w:hAnsi="Arial" w:cs="Arial"/>
                <w:szCs w:val="22"/>
              </w:rPr>
              <w:t>L during the wet season. Fragments were the dominant microplastic morphotype, while polyethylene (PE), polypropylene (PP), polystyrene (PS), polyethylene terephthalate (PET), polyamide (PA), and polyvinyl chloride (PVC) were the principal polymers identified. Multivariate analyses revealed significant associations between plastic contamination and selected physicochemical variables.</w:t>
            </w:r>
          </w:p>
          <w:p w14:paraId="7B8A1FC2" w14:textId="77777777"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097BB2" w:rsidRPr="00097BB2">
              <w:rPr>
                <w:rFonts w:ascii="Arial" w:eastAsia="Calibri" w:hAnsi="Arial" w:cs="Arial"/>
                <w:szCs w:val="22"/>
              </w:rPr>
              <w:t xml:space="preserve">River Ngadda is contaminated with microplastics and submicron plastic particles despite physicochemical parameters remaining within regulatory limits. The predominance of fragmented plastics and diverse polymer types suggests continuous anthropogenic inputs and </w:t>
            </w:r>
            <w:r w:rsidR="00097BB2" w:rsidRPr="00097BB2">
              <w:rPr>
                <w:rFonts w:ascii="Arial" w:eastAsia="Calibri" w:hAnsi="Arial" w:cs="Arial"/>
                <w:szCs w:val="22"/>
              </w:rPr>
              <w:lastRenderedPageBreak/>
              <w:t>ongoing degradation processes. Environmental variables, particularly water quality parameters, influence the distribution and dynamics of plastic pollutants within the river system. Continuous monitoring and improved waste management strategies are therefore necessary to mitigate plastic pollution and protect aquatic ecosystem health.</w:t>
            </w:r>
          </w:p>
        </w:tc>
      </w:tr>
    </w:tbl>
    <w:p w14:paraId="4DC1F060" w14:textId="77777777" w:rsidR="00636EB2" w:rsidRDefault="00636EB2" w:rsidP="00441B6F">
      <w:pPr>
        <w:pStyle w:val="Body"/>
        <w:spacing w:after="0"/>
        <w:rPr>
          <w:rFonts w:ascii="Arial" w:hAnsi="Arial" w:cs="Arial"/>
          <w:i/>
        </w:rPr>
      </w:pPr>
    </w:p>
    <w:p w14:paraId="242F7C4D" w14:textId="77777777" w:rsidR="00A24E7E" w:rsidRDefault="00A24E7E" w:rsidP="00441B6F">
      <w:pPr>
        <w:pStyle w:val="Body"/>
        <w:spacing w:after="0"/>
        <w:rPr>
          <w:rFonts w:ascii="Arial" w:hAnsi="Arial" w:cs="Arial"/>
          <w:i/>
        </w:rPr>
      </w:pPr>
      <w:r>
        <w:rPr>
          <w:rFonts w:ascii="Arial" w:hAnsi="Arial" w:cs="Arial"/>
          <w:i/>
        </w:rPr>
        <w:t xml:space="preserve">Keywords: </w:t>
      </w:r>
      <w:r w:rsidR="00097BB2" w:rsidRPr="00097BB2">
        <w:rPr>
          <w:rFonts w:ascii="Arial" w:hAnsi="Arial" w:cs="Arial"/>
          <w:i/>
        </w:rPr>
        <w:t>Petrogenic;</w:t>
      </w:r>
      <w:r w:rsidR="00097BB2">
        <w:rPr>
          <w:rFonts w:ascii="Arial" w:hAnsi="Arial" w:cs="Arial"/>
          <w:i/>
        </w:rPr>
        <w:t xml:space="preserve"> </w:t>
      </w:r>
      <w:r w:rsidR="00097BB2" w:rsidRPr="00097BB2">
        <w:rPr>
          <w:rFonts w:ascii="Arial" w:hAnsi="Arial" w:cs="Arial"/>
          <w:i/>
        </w:rPr>
        <w:t>Aquatic Pollution; Aquatic Ecosystem; Plastic Pollution; Microplastics (MPs); Nanoplastics (NPs)</w:t>
      </w:r>
      <w:r w:rsidR="00097BB2">
        <w:rPr>
          <w:rFonts w:ascii="Arial" w:hAnsi="Arial" w:cs="Arial"/>
          <w:i/>
        </w:rPr>
        <w:t>; Water Quality</w:t>
      </w:r>
    </w:p>
    <w:p w14:paraId="4CC05F41" w14:textId="77777777" w:rsidR="00790ADA" w:rsidRDefault="00790ADA" w:rsidP="00441B6F">
      <w:pPr>
        <w:pStyle w:val="Body"/>
        <w:spacing w:after="0"/>
        <w:rPr>
          <w:rFonts w:ascii="Arial" w:hAnsi="Arial" w:cs="Arial"/>
          <w:i/>
        </w:rPr>
      </w:pPr>
    </w:p>
    <w:p w14:paraId="0B130CD2" w14:textId="75A39161"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4DF7D59" w14:textId="77777777" w:rsidR="00790ADA" w:rsidRPr="00FB3A86" w:rsidRDefault="00790ADA" w:rsidP="00441B6F">
      <w:pPr>
        <w:pStyle w:val="AbstHead"/>
        <w:spacing w:after="0"/>
        <w:jc w:val="both"/>
        <w:rPr>
          <w:rFonts w:ascii="Arial" w:hAnsi="Arial" w:cs="Arial"/>
        </w:rPr>
      </w:pPr>
    </w:p>
    <w:p w14:paraId="3CD8ADDA" w14:textId="77777777" w:rsidR="00097BB2" w:rsidRPr="00097BB2" w:rsidRDefault="00097BB2" w:rsidP="00097BB2">
      <w:pPr>
        <w:pStyle w:val="Body"/>
        <w:rPr>
          <w:rFonts w:ascii="Arial" w:hAnsi="Arial" w:cs="Arial"/>
          <w:i/>
          <w:iCs/>
        </w:rPr>
      </w:pPr>
      <w:r w:rsidRPr="00097BB2">
        <w:rPr>
          <w:rFonts w:ascii="Arial" w:hAnsi="Arial" w:cs="Arial"/>
        </w:rPr>
        <w:t xml:space="preserve">Petrogenic plastics are widely present in the environment especially in the surface water bodies and had also been reported to be found in animals at all levels of the food web </w:t>
      </w:r>
      <w:r w:rsidRPr="00097BB2">
        <w:rPr>
          <w:rFonts w:ascii="Arial" w:hAnsi="Arial" w:cs="Arial"/>
          <w:lang w:val="en-GB"/>
        </w:rPr>
        <w:t>(</w:t>
      </w:r>
      <w:proofErr w:type="spellStart"/>
      <w:r w:rsidRPr="00097BB2">
        <w:rPr>
          <w:rFonts w:ascii="Arial" w:hAnsi="Arial" w:cs="Arial"/>
          <w:lang w:val="en-GB"/>
        </w:rPr>
        <w:t>Ivleva</w:t>
      </w:r>
      <w:proofErr w:type="spellEnd"/>
      <w:r w:rsidRPr="00097BB2">
        <w:rPr>
          <w:rFonts w:ascii="Arial" w:hAnsi="Arial" w:cs="Arial"/>
        </w:rPr>
        <w:t xml:space="preserve">, </w:t>
      </w:r>
      <w:proofErr w:type="spellStart"/>
      <w:r w:rsidRPr="00097BB2">
        <w:rPr>
          <w:rFonts w:ascii="Arial" w:hAnsi="Arial" w:cs="Arial"/>
        </w:rPr>
        <w:t>Wiesheu</w:t>
      </w:r>
      <w:proofErr w:type="spellEnd"/>
      <w:r w:rsidRPr="00097BB2">
        <w:rPr>
          <w:rFonts w:ascii="Arial" w:hAnsi="Arial" w:cs="Arial"/>
        </w:rPr>
        <w:t xml:space="preserve">, &amp; Niessner, 2017; Tasneem, 2021) and even in remote areas and ecosystems (Masura </w:t>
      </w:r>
      <w:r w:rsidRPr="00097BB2">
        <w:rPr>
          <w:rFonts w:ascii="Arial" w:hAnsi="Arial" w:cs="Arial"/>
          <w:iCs/>
        </w:rPr>
        <w:t>et al</w:t>
      </w:r>
      <w:r w:rsidRPr="00097BB2">
        <w:rPr>
          <w:rFonts w:ascii="Arial" w:hAnsi="Arial" w:cs="Arial"/>
        </w:rPr>
        <w:t xml:space="preserve">. 2015; Napper </w:t>
      </w:r>
      <w:r w:rsidRPr="00097BB2">
        <w:rPr>
          <w:rFonts w:ascii="Arial" w:hAnsi="Arial" w:cs="Arial"/>
          <w:iCs/>
        </w:rPr>
        <w:t>et al.</w:t>
      </w:r>
      <w:r w:rsidRPr="00097BB2">
        <w:rPr>
          <w:rFonts w:ascii="Arial" w:hAnsi="Arial" w:cs="Arial"/>
        </w:rPr>
        <w:t xml:space="preserve"> 2020; Patra &amp; </w:t>
      </w:r>
      <w:proofErr w:type="spellStart"/>
      <w:r w:rsidRPr="00097BB2">
        <w:rPr>
          <w:rFonts w:ascii="Arial" w:hAnsi="Arial" w:cs="Arial"/>
        </w:rPr>
        <w:t>Baitharu</w:t>
      </w:r>
      <w:proofErr w:type="spellEnd"/>
      <w:r w:rsidRPr="00097BB2">
        <w:rPr>
          <w:rFonts w:ascii="Arial" w:hAnsi="Arial" w:cs="Arial"/>
        </w:rPr>
        <w:t xml:space="preserve"> 2024).The aquatic environment is globally the major dumping sites for most of the plastic wastes which might breakdown into fragments of microplastics (MPs, &lt;5 mm) and nanoplastics (NPs, &lt;1 µm)  by the agents of weathering and/or the ageing of the plastic materials in the environment (Patra &amp; </w:t>
      </w:r>
      <w:proofErr w:type="spellStart"/>
      <w:r w:rsidRPr="00097BB2">
        <w:rPr>
          <w:rFonts w:ascii="Arial" w:hAnsi="Arial" w:cs="Arial"/>
        </w:rPr>
        <w:t>Baitharu</w:t>
      </w:r>
      <w:proofErr w:type="spellEnd"/>
      <w:r w:rsidRPr="00097BB2">
        <w:rPr>
          <w:rFonts w:ascii="Arial" w:hAnsi="Arial" w:cs="Arial"/>
        </w:rPr>
        <w:t xml:space="preserve"> 2024). </w:t>
      </w:r>
    </w:p>
    <w:p w14:paraId="5F925B09" w14:textId="77777777" w:rsidR="00097BB2" w:rsidRPr="00097BB2" w:rsidRDefault="00097BB2" w:rsidP="00097BB2">
      <w:pPr>
        <w:pStyle w:val="Body"/>
        <w:spacing w:after="0"/>
        <w:rPr>
          <w:rFonts w:ascii="Arial" w:hAnsi="Arial" w:cs="Arial"/>
        </w:rPr>
      </w:pPr>
      <w:r w:rsidRPr="00097BB2">
        <w:rPr>
          <w:rFonts w:ascii="Arial" w:hAnsi="Arial" w:cs="Arial"/>
        </w:rPr>
        <w:t xml:space="preserve">The fragmentation of plastics in the aquatic ecosystems </w:t>
      </w:r>
      <w:proofErr w:type="gramStart"/>
      <w:r w:rsidRPr="00097BB2">
        <w:rPr>
          <w:rFonts w:ascii="Arial" w:hAnsi="Arial" w:cs="Arial"/>
        </w:rPr>
        <w:t>are</w:t>
      </w:r>
      <w:proofErr w:type="gramEnd"/>
      <w:r w:rsidRPr="00097BB2">
        <w:rPr>
          <w:rFonts w:ascii="Arial" w:hAnsi="Arial" w:cs="Arial"/>
        </w:rPr>
        <w:t xml:space="preserve"> facilitated by ultraviolent (UV) radiation, mechanical abrasion, and microbiological degradation processes (Ivleva, Wiesheu, &amp; Niessner, 2017; Tasneem, 2021). Prolonged exposure of plastics to ultraviolent (UV) radiation initiates oxidative reactions causes photo-degradation which helps to fragment plastic materials into micro- and nanoplastics (MNPs). Mechanical abrasion might </w:t>
      </w:r>
      <w:proofErr w:type="gramStart"/>
      <w:r w:rsidRPr="00097BB2">
        <w:rPr>
          <w:rFonts w:ascii="Arial" w:hAnsi="Arial" w:cs="Arial"/>
        </w:rPr>
        <w:t>occurs</w:t>
      </w:r>
      <w:proofErr w:type="gramEnd"/>
      <w:r w:rsidRPr="00097BB2">
        <w:rPr>
          <w:rFonts w:ascii="Arial" w:hAnsi="Arial" w:cs="Arial"/>
        </w:rPr>
        <w:t xml:space="preserve"> when a </w:t>
      </w:r>
      <w:proofErr w:type="gramStart"/>
      <w:r w:rsidRPr="00097BB2">
        <w:rPr>
          <w:rFonts w:ascii="Arial" w:hAnsi="Arial" w:cs="Arial"/>
        </w:rPr>
        <w:t>larger plastics</w:t>
      </w:r>
      <w:proofErr w:type="gramEnd"/>
      <w:r w:rsidRPr="00097BB2">
        <w:rPr>
          <w:rFonts w:ascii="Arial" w:hAnsi="Arial" w:cs="Arial"/>
        </w:rPr>
        <w:t xml:space="preserve"> is fragmented into smaller pieces by the river flow, sea current or turbulence of the aquatic environment (Auta </w:t>
      </w:r>
      <w:r w:rsidRPr="00097BB2">
        <w:rPr>
          <w:rFonts w:ascii="Arial" w:hAnsi="Arial" w:cs="Arial"/>
          <w:iCs/>
        </w:rPr>
        <w:t>et al</w:t>
      </w:r>
      <w:r w:rsidRPr="00097BB2">
        <w:rPr>
          <w:rFonts w:ascii="Arial" w:hAnsi="Arial" w:cs="Arial"/>
          <w:i/>
          <w:iCs/>
        </w:rPr>
        <w:t>.</w:t>
      </w:r>
      <w:r w:rsidRPr="00097BB2">
        <w:rPr>
          <w:rFonts w:ascii="Arial" w:hAnsi="Arial" w:cs="Arial"/>
        </w:rPr>
        <w:t xml:space="preserve"> 2017; </w:t>
      </w:r>
      <w:proofErr w:type="spellStart"/>
      <w:r w:rsidRPr="00097BB2">
        <w:rPr>
          <w:rFonts w:ascii="Arial" w:hAnsi="Arial" w:cs="Arial"/>
        </w:rPr>
        <w:t>Bellasi</w:t>
      </w:r>
      <w:proofErr w:type="spellEnd"/>
      <w:r w:rsidRPr="00097BB2">
        <w:rPr>
          <w:rFonts w:ascii="Arial" w:hAnsi="Arial" w:cs="Arial"/>
        </w:rPr>
        <w:t xml:space="preserve"> </w:t>
      </w:r>
      <w:r w:rsidRPr="00097BB2">
        <w:rPr>
          <w:rFonts w:ascii="Arial" w:hAnsi="Arial" w:cs="Arial"/>
          <w:iCs/>
        </w:rPr>
        <w:t>et a</w:t>
      </w:r>
      <w:r w:rsidRPr="00097BB2">
        <w:rPr>
          <w:rFonts w:ascii="Arial" w:hAnsi="Arial" w:cs="Arial"/>
        </w:rPr>
        <w:t xml:space="preserve">l. 2020). Studies indicate that a combination of these fragmentation processes can take several years until a complete mineralization of the MNPs (Driedger </w:t>
      </w:r>
      <w:r w:rsidRPr="00097BB2">
        <w:rPr>
          <w:rFonts w:ascii="Arial" w:hAnsi="Arial" w:cs="Arial"/>
          <w:iCs/>
        </w:rPr>
        <w:t>et al</w:t>
      </w:r>
      <w:r w:rsidRPr="00097BB2">
        <w:rPr>
          <w:rFonts w:ascii="Arial" w:hAnsi="Arial" w:cs="Arial"/>
        </w:rPr>
        <w:t>. 2015). Additionally, temperature, pH, acidity, alkalinity, level of concentration of different compounds like nitrate (NO</w:t>
      </w:r>
      <w:r w:rsidRPr="00097BB2">
        <w:rPr>
          <w:rFonts w:ascii="Arial" w:hAnsi="Arial" w:cs="Arial"/>
          <w:vertAlign w:val="superscript"/>
        </w:rPr>
        <w:t>3-</w:t>
      </w:r>
      <w:r w:rsidRPr="00097BB2">
        <w:rPr>
          <w:rFonts w:ascii="Arial" w:hAnsi="Arial" w:cs="Arial"/>
        </w:rPr>
        <w:t>) and sulphate (SO</w:t>
      </w:r>
      <w:r w:rsidRPr="00097BB2">
        <w:rPr>
          <w:rFonts w:ascii="Arial" w:hAnsi="Arial" w:cs="Arial"/>
          <w:vertAlign w:val="superscript"/>
        </w:rPr>
        <w:t>4-</w:t>
      </w:r>
      <w:r w:rsidRPr="00097BB2">
        <w:rPr>
          <w:rFonts w:ascii="Arial" w:hAnsi="Arial" w:cs="Arial"/>
        </w:rPr>
        <w:t>) in the environment might impact on the integrity of the plastic materials and facilitate its fragmentation or weathering (breaking down of the plastics materials into smaller fragments) in the environment (</w:t>
      </w:r>
      <w:proofErr w:type="spellStart"/>
      <w:r w:rsidRPr="00097BB2">
        <w:rPr>
          <w:rFonts w:ascii="Arial" w:hAnsi="Arial" w:cs="Arial"/>
        </w:rPr>
        <w:t>Andrady</w:t>
      </w:r>
      <w:proofErr w:type="spellEnd"/>
      <w:r w:rsidRPr="00097BB2">
        <w:rPr>
          <w:rFonts w:ascii="Arial" w:hAnsi="Arial" w:cs="Arial"/>
        </w:rPr>
        <w:t xml:space="preserve"> 2015; Auta </w:t>
      </w:r>
      <w:r w:rsidRPr="00097BB2">
        <w:rPr>
          <w:rFonts w:ascii="Arial" w:hAnsi="Arial" w:cs="Arial"/>
          <w:iCs/>
        </w:rPr>
        <w:t>et al.</w:t>
      </w:r>
      <w:r w:rsidRPr="00097BB2">
        <w:rPr>
          <w:rFonts w:ascii="Arial" w:hAnsi="Arial" w:cs="Arial"/>
        </w:rPr>
        <w:t xml:space="preserve"> 2017; </w:t>
      </w:r>
      <w:proofErr w:type="spellStart"/>
      <w:r w:rsidRPr="00097BB2">
        <w:rPr>
          <w:rFonts w:ascii="Arial" w:hAnsi="Arial" w:cs="Arial"/>
        </w:rPr>
        <w:t>Bellasi</w:t>
      </w:r>
      <w:proofErr w:type="spellEnd"/>
      <w:r w:rsidRPr="00097BB2">
        <w:rPr>
          <w:rFonts w:ascii="Arial" w:hAnsi="Arial" w:cs="Arial"/>
        </w:rPr>
        <w:t xml:space="preserve"> </w:t>
      </w:r>
      <w:r w:rsidRPr="00097BB2">
        <w:rPr>
          <w:rFonts w:ascii="Arial" w:hAnsi="Arial" w:cs="Arial"/>
          <w:iCs/>
        </w:rPr>
        <w:t>et a</w:t>
      </w:r>
      <w:r w:rsidRPr="00097BB2">
        <w:rPr>
          <w:rFonts w:ascii="Arial" w:hAnsi="Arial" w:cs="Arial"/>
        </w:rPr>
        <w:t>l. 2020; Paul &amp; Ramesh 2022).</w:t>
      </w:r>
    </w:p>
    <w:p w14:paraId="0CBB561E" w14:textId="77777777" w:rsidR="00097BB2" w:rsidRPr="00097BB2" w:rsidRDefault="00097BB2" w:rsidP="00097BB2">
      <w:pPr>
        <w:pStyle w:val="Body"/>
        <w:spacing w:after="0"/>
        <w:rPr>
          <w:rFonts w:ascii="Arial" w:hAnsi="Arial" w:cs="Arial"/>
        </w:rPr>
      </w:pPr>
      <w:r w:rsidRPr="00097BB2">
        <w:rPr>
          <w:rFonts w:ascii="Arial" w:hAnsi="Arial" w:cs="Arial"/>
        </w:rPr>
        <w:t xml:space="preserve">Micro- and nano plastics (MNPs) occurs in different shapes (fiber, fragments, film, sphere etc.), colour (which, black, blue, green etc.), polymers (polyamide - PA, polyvinyl chloride – PVC, polystyrene – PS, polyethylene - PE, polyethylene terephthalate - PET, polypropylene - PP etc.) and sizes (macro, </w:t>
      </w:r>
      <w:proofErr w:type="spellStart"/>
      <w:r w:rsidRPr="00097BB2">
        <w:rPr>
          <w:rFonts w:ascii="Arial" w:hAnsi="Arial" w:cs="Arial"/>
        </w:rPr>
        <w:t>meso</w:t>
      </w:r>
      <w:proofErr w:type="spellEnd"/>
      <w:r w:rsidRPr="00097BB2">
        <w:rPr>
          <w:rFonts w:ascii="Arial" w:hAnsi="Arial" w:cs="Arial"/>
        </w:rPr>
        <w:t>, micro and nano) in the aquatic ecosystems (</w:t>
      </w:r>
      <w:r w:rsidRPr="00097BB2">
        <w:rPr>
          <w:rFonts w:ascii="Arial" w:hAnsi="Arial" w:cs="Arial"/>
          <w:lang w:val="en-GB"/>
        </w:rPr>
        <w:t>Tasneem 2021)</w:t>
      </w:r>
      <w:r w:rsidRPr="00097BB2">
        <w:rPr>
          <w:rFonts w:ascii="Arial" w:hAnsi="Arial" w:cs="Arial"/>
        </w:rPr>
        <w:t xml:space="preserve">.  </w:t>
      </w:r>
    </w:p>
    <w:p w14:paraId="09E37B51" w14:textId="77777777" w:rsidR="00097BB2" w:rsidRPr="00097BB2" w:rsidRDefault="00097BB2" w:rsidP="00097BB2">
      <w:pPr>
        <w:pStyle w:val="Body"/>
        <w:spacing w:after="0"/>
        <w:rPr>
          <w:rFonts w:ascii="Arial" w:hAnsi="Arial" w:cs="Arial"/>
        </w:rPr>
      </w:pPr>
      <w:r w:rsidRPr="00097BB2">
        <w:rPr>
          <w:rFonts w:ascii="Arial" w:hAnsi="Arial" w:cs="Arial"/>
        </w:rPr>
        <w:t xml:space="preserve">The occurrence of MNPs in the aquatic ecosystems are reported to originate basically from secondary sources (Dai </w:t>
      </w:r>
      <w:r w:rsidRPr="00097BB2">
        <w:rPr>
          <w:rFonts w:ascii="Arial" w:hAnsi="Arial" w:cs="Arial"/>
          <w:iCs/>
        </w:rPr>
        <w:t>et al</w:t>
      </w:r>
      <w:r w:rsidRPr="00097BB2">
        <w:rPr>
          <w:rFonts w:ascii="Arial" w:hAnsi="Arial" w:cs="Arial"/>
          <w:i/>
          <w:iCs/>
        </w:rPr>
        <w:t>.</w:t>
      </w:r>
      <w:r w:rsidRPr="00097BB2">
        <w:rPr>
          <w:rFonts w:ascii="Arial" w:hAnsi="Arial" w:cs="Arial"/>
        </w:rPr>
        <w:t xml:space="preserve"> 2018; Zhang </w:t>
      </w:r>
      <w:r w:rsidRPr="00097BB2">
        <w:rPr>
          <w:rFonts w:ascii="Arial" w:hAnsi="Arial" w:cs="Arial"/>
          <w:iCs/>
        </w:rPr>
        <w:t>et al</w:t>
      </w:r>
      <w:r w:rsidRPr="00097BB2">
        <w:rPr>
          <w:rFonts w:ascii="Arial" w:hAnsi="Arial" w:cs="Arial"/>
        </w:rPr>
        <w:t xml:space="preserve">. 2018; Paul &amp; Ramesh 2022). Plastic waste </w:t>
      </w:r>
      <w:proofErr w:type="gramStart"/>
      <w:r w:rsidRPr="00097BB2">
        <w:rPr>
          <w:rFonts w:ascii="Arial" w:hAnsi="Arial" w:cs="Arial"/>
        </w:rPr>
        <w:t>are</w:t>
      </w:r>
      <w:proofErr w:type="gramEnd"/>
      <w:r w:rsidRPr="00097BB2">
        <w:rPr>
          <w:rFonts w:ascii="Arial" w:hAnsi="Arial" w:cs="Arial"/>
        </w:rPr>
        <w:t xml:space="preserve"> reported to generally to account for about 97% by weight and 99% by number of the total aquatic litters (Shylaja </w:t>
      </w:r>
      <w:r w:rsidRPr="00097BB2">
        <w:rPr>
          <w:rFonts w:ascii="Arial" w:hAnsi="Arial" w:cs="Arial"/>
          <w:iCs/>
        </w:rPr>
        <w:t>et al</w:t>
      </w:r>
      <w:r w:rsidRPr="00097BB2">
        <w:rPr>
          <w:rFonts w:ascii="Arial" w:hAnsi="Arial" w:cs="Arial"/>
        </w:rPr>
        <w:t xml:space="preserve">. 2018). The United Nations Environment Programme (UNEP) reported that plastic wastes are the most consistent abundant type of debris in the aquatic ecosystems globally amounting to nearly 80% of global waste collected in surface water bodies (UNEP 2016). Kaladharan </w:t>
      </w:r>
      <w:r w:rsidRPr="00097BB2">
        <w:rPr>
          <w:rFonts w:ascii="Arial" w:hAnsi="Arial" w:cs="Arial"/>
          <w:iCs/>
        </w:rPr>
        <w:t>et al</w:t>
      </w:r>
      <w:r w:rsidRPr="00097BB2">
        <w:rPr>
          <w:rFonts w:ascii="Arial" w:hAnsi="Arial" w:cs="Arial"/>
        </w:rPr>
        <w:t>. (2017) reported that wastes collected from 254 aquatic environment in India reveals that plastic wastes were mainly nylon nets/ fishing lines, single use carrying bags, edible oils, detergents, sachets of soft drinks, beverages, toothpaste, PET bottles cases of cosmetics, and ice cream containers etc. and the quantity of plastics in beach litter ranged between 0.08 g m</w:t>
      </w:r>
      <w:r w:rsidRPr="00097BB2">
        <w:rPr>
          <w:rFonts w:ascii="Arial" w:hAnsi="Arial" w:cs="Arial"/>
          <w:vertAlign w:val="superscript"/>
        </w:rPr>
        <w:t>-2</w:t>
      </w:r>
      <w:r w:rsidRPr="00097BB2">
        <w:rPr>
          <w:rFonts w:ascii="Arial" w:hAnsi="Arial" w:cs="Arial"/>
        </w:rPr>
        <w:t xml:space="preserve"> – 25.47g m</w:t>
      </w:r>
      <w:r w:rsidRPr="00097BB2">
        <w:rPr>
          <w:rFonts w:ascii="Arial" w:hAnsi="Arial" w:cs="Arial"/>
          <w:vertAlign w:val="superscript"/>
        </w:rPr>
        <w:t>-2</w:t>
      </w:r>
      <w:r w:rsidRPr="00097BB2">
        <w:rPr>
          <w:rFonts w:ascii="Arial" w:hAnsi="Arial" w:cs="Arial"/>
        </w:rPr>
        <w:t>. Although, similar studies revealed that the percentage of microplastics of size 50 μm – 5 mm in the aquatic environment is less than 5% of the total plastic pollutants (Kripa 2018). Polyethylene and polypropylene were the dominant polymers in MNPs founded in Indian beach litter (</w:t>
      </w:r>
      <w:proofErr w:type="spellStart"/>
      <w:r w:rsidRPr="00097BB2">
        <w:rPr>
          <w:rFonts w:ascii="Arial" w:hAnsi="Arial" w:cs="Arial"/>
        </w:rPr>
        <w:t>Veerasingam</w:t>
      </w:r>
      <w:proofErr w:type="spellEnd"/>
      <w:r w:rsidRPr="00097BB2">
        <w:rPr>
          <w:rFonts w:ascii="Arial" w:hAnsi="Arial" w:cs="Arial"/>
        </w:rPr>
        <w:t xml:space="preserve"> </w:t>
      </w:r>
      <w:r w:rsidRPr="00097BB2">
        <w:rPr>
          <w:rFonts w:ascii="Arial" w:hAnsi="Arial" w:cs="Arial"/>
          <w:iCs/>
        </w:rPr>
        <w:t>et al</w:t>
      </w:r>
      <w:r w:rsidRPr="00097BB2">
        <w:rPr>
          <w:rFonts w:ascii="Arial" w:hAnsi="Arial" w:cs="Arial"/>
        </w:rPr>
        <w:t>. 2016; Sruthy &amp; Ramasamy 2017).</w:t>
      </w:r>
    </w:p>
    <w:p w14:paraId="76FE91AA" w14:textId="77777777" w:rsidR="00097BB2" w:rsidRPr="00097BB2" w:rsidRDefault="00097BB2" w:rsidP="00097BB2">
      <w:pPr>
        <w:pStyle w:val="Body"/>
        <w:spacing w:after="0"/>
        <w:rPr>
          <w:rFonts w:ascii="Arial" w:hAnsi="Arial" w:cs="Arial"/>
        </w:rPr>
      </w:pPr>
      <w:r w:rsidRPr="00097BB2">
        <w:rPr>
          <w:rFonts w:ascii="Arial" w:hAnsi="Arial" w:cs="Arial"/>
        </w:rPr>
        <w:t xml:space="preserve">There is large spatial variability in the distribution of MNPs in freshwater ecosystems, this results in the differences of several orders of magnitude within and between studies conducted by scholars (Wagner </w:t>
      </w:r>
      <w:r w:rsidRPr="00097BB2">
        <w:rPr>
          <w:rFonts w:ascii="Arial" w:hAnsi="Arial" w:cs="Arial"/>
          <w:iCs/>
        </w:rPr>
        <w:t>et al</w:t>
      </w:r>
      <w:r w:rsidRPr="00097BB2">
        <w:rPr>
          <w:rFonts w:ascii="Arial" w:hAnsi="Arial" w:cs="Arial"/>
        </w:rPr>
        <w:t xml:space="preserve">. 2014; Dris </w:t>
      </w:r>
      <w:r w:rsidRPr="00097BB2">
        <w:rPr>
          <w:rFonts w:ascii="Arial" w:hAnsi="Arial" w:cs="Arial"/>
          <w:iCs/>
        </w:rPr>
        <w:t>et al</w:t>
      </w:r>
      <w:r w:rsidRPr="00097BB2">
        <w:rPr>
          <w:rFonts w:ascii="Arial" w:hAnsi="Arial" w:cs="Arial"/>
        </w:rPr>
        <w:t xml:space="preserve">. 2015; Driedger </w:t>
      </w:r>
      <w:r w:rsidRPr="00097BB2">
        <w:rPr>
          <w:rFonts w:ascii="Arial" w:hAnsi="Arial" w:cs="Arial"/>
          <w:iCs/>
        </w:rPr>
        <w:t>et al</w:t>
      </w:r>
      <w:r w:rsidRPr="00097BB2">
        <w:rPr>
          <w:rFonts w:ascii="Arial" w:hAnsi="Arial" w:cs="Arial"/>
        </w:rPr>
        <w:t xml:space="preserve">. 2015; Eerkes-Medrano </w:t>
      </w:r>
      <w:r w:rsidRPr="00097BB2">
        <w:rPr>
          <w:rFonts w:ascii="Arial" w:hAnsi="Arial" w:cs="Arial"/>
          <w:iCs/>
        </w:rPr>
        <w:t>et al</w:t>
      </w:r>
      <w:r w:rsidRPr="00097BB2">
        <w:rPr>
          <w:rFonts w:ascii="Arial" w:hAnsi="Arial" w:cs="Arial"/>
          <w:i/>
          <w:iCs/>
        </w:rPr>
        <w:t>.</w:t>
      </w:r>
      <w:r w:rsidRPr="00097BB2">
        <w:rPr>
          <w:rFonts w:ascii="Arial" w:hAnsi="Arial" w:cs="Arial"/>
        </w:rPr>
        <w:t xml:space="preserve"> 2015; Horton </w:t>
      </w:r>
      <w:r w:rsidRPr="00097BB2">
        <w:rPr>
          <w:rFonts w:ascii="Arial" w:hAnsi="Arial" w:cs="Arial"/>
          <w:iCs/>
        </w:rPr>
        <w:t>et al</w:t>
      </w:r>
      <w:r w:rsidRPr="00097BB2">
        <w:rPr>
          <w:rFonts w:ascii="Arial" w:hAnsi="Arial" w:cs="Arial"/>
        </w:rPr>
        <w:t xml:space="preserve">. 2017; </w:t>
      </w:r>
      <w:proofErr w:type="spellStart"/>
      <w:r w:rsidRPr="00097BB2">
        <w:rPr>
          <w:rFonts w:ascii="Arial" w:hAnsi="Arial" w:cs="Arial"/>
        </w:rPr>
        <w:t>Besseling</w:t>
      </w:r>
      <w:proofErr w:type="spellEnd"/>
      <w:r w:rsidRPr="00097BB2">
        <w:rPr>
          <w:rFonts w:ascii="Arial" w:hAnsi="Arial" w:cs="Arial"/>
        </w:rPr>
        <w:t xml:space="preserve"> </w:t>
      </w:r>
      <w:r w:rsidRPr="00097BB2">
        <w:rPr>
          <w:rFonts w:ascii="Arial" w:hAnsi="Arial" w:cs="Arial"/>
          <w:iCs/>
        </w:rPr>
        <w:t>et al</w:t>
      </w:r>
      <w:r w:rsidRPr="00097BB2">
        <w:rPr>
          <w:rFonts w:ascii="Arial" w:hAnsi="Arial" w:cs="Arial"/>
        </w:rPr>
        <w:t xml:space="preserve">. 2017). Most studies suggests that the sediments show higher concentrations of MNPs than water samples. Surprisingly, in lacustrine environments, MNPs tend to show higher abundance close to urban and industrial centers, but in some riverine ecosystems this was not the case which may be a result of river flow dynamics and flooding (Klein </w:t>
      </w:r>
      <w:r w:rsidRPr="00097BB2">
        <w:rPr>
          <w:rFonts w:ascii="Arial" w:hAnsi="Arial" w:cs="Arial"/>
          <w:iCs/>
        </w:rPr>
        <w:t>et al.</w:t>
      </w:r>
      <w:r w:rsidRPr="00097BB2">
        <w:rPr>
          <w:rFonts w:ascii="Arial" w:hAnsi="Arial" w:cs="Arial"/>
        </w:rPr>
        <w:t xml:space="preserve"> 2015). Inadequate waste management and windblown MNPs could contribute to the pollution of relatively isolated freshwater </w:t>
      </w:r>
      <w:r w:rsidRPr="00097BB2">
        <w:rPr>
          <w:rFonts w:ascii="Arial" w:hAnsi="Arial" w:cs="Arial"/>
        </w:rPr>
        <w:lastRenderedPageBreak/>
        <w:t xml:space="preserve">environments (Free </w:t>
      </w:r>
      <w:r w:rsidRPr="00097BB2">
        <w:rPr>
          <w:rFonts w:ascii="Arial" w:hAnsi="Arial" w:cs="Arial"/>
          <w:iCs/>
        </w:rPr>
        <w:t>et al</w:t>
      </w:r>
      <w:r w:rsidRPr="00097BB2">
        <w:rPr>
          <w:rFonts w:ascii="Arial" w:hAnsi="Arial" w:cs="Arial"/>
        </w:rPr>
        <w:t xml:space="preserve">. 2014). Paul &amp; Ramesh (2022) reported that the fishing industry might have complicated and contributed to MNPs pollution in the aquatic ecosystems. The most obvious reported source of MNPs in the aquatic ecosystem that related to fishing industry is the breakdown of Expanded Polystyrene (EPS) floats. EPS fragments originating from aquaculture buoy debris are found as a dominant polymer (&gt;90%) of the MNPs on some selected beaches of the Republic of Korea (Heo </w:t>
      </w:r>
      <w:r w:rsidRPr="00097BB2">
        <w:rPr>
          <w:rFonts w:ascii="Arial" w:hAnsi="Arial" w:cs="Arial"/>
          <w:iCs/>
        </w:rPr>
        <w:t>et al</w:t>
      </w:r>
      <w:r w:rsidRPr="00097BB2">
        <w:rPr>
          <w:rFonts w:ascii="Arial" w:hAnsi="Arial" w:cs="Arial"/>
          <w:i/>
          <w:iCs/>
        </w:rPr>
        <w:t>.</w:t>
      </w:r>
      <w:r w:rsidRPr="00097BB2">
        <w:rPr>
          <w:rFonts w:ascii="Arial" w:hAnsi="Arial" w:cs="Arial"/>
        </w:rPr>
        <w:t xml:space="preserve"> 2013; Lee </w:t>
      </w:r>
      <w:r w:rsidRPr="00097BB2">
        <w:rPr>
          <w:rFonts w:ascii="Arial" w:hAnsi="Arial" w:cs="Arial"/>
          <w:iCs/>
        </w:rPr>
        <w:t>et al</w:t>
      </w:r>
      <w:r w:rsidRPr="00097BB2">
        <w:rPr>
          <w:rFonts w:ascii="Arial" w:hAnsi="Arial" w:cs="Arial"/>
        </w:rPr>
        <w:t xml:space="preserve">. 2015). Free </w:t>
      </w:r>
      <w:r w:rsidRPr="00097BB2">
        <w:rPr>
          <w:rFonts w:ascii="Arial" w:hAnsi="Arial" w:cs="Arial"/>
          <w:iCs/>
        </w:rPr>
        <w:t>et al</w:t>
      </w:r>
      <w:r w:rsidRPr="00097BB2">
        <w:rPr>
          <w:rFonts w:ascii="Arial" w:hAnsi="Arial" w:cs="Arial"/>
        </w:rPr>
        <w:t xml:space="preserve">. (2014) associated some of the MNPs present in the surface water of the Lake </w:t>
      </w:r>
      <w:proofErr w:type="spellStart"/>
      <w:r w:rsidRPr="00097BB2">
        <w:rPr>
          <w:rFonts w:ascii="Arial" w:hAnsi="Arial" w:cs="Arial"/>
        </w:rPr>
        <w:t>Hovsgol</w:t>
      </w:r>
      <w:proofErr w:type="spellEnd"/>
      <w:r w:rsidRPr="00097BB2">
        <w:rPr>
          <w:rFonts w:ascii="Arial" w:hAnsi="Arial" w:cs="Arial"/>
        </w:rPr>
        <w:t xml:space="preserve">, Mongolia, with fragments of MNPs fishing debris detected on the shoreline. Zhang </w:t>
      </w:r>
      <w:r w:rsidRPr="00097BB2">
        <w:rPr>
          <w:rFonts w:ascii="Arial" w:hAnsi="Arial" w:cs="Arial"/>
          <w:iCs/>
        </w:rPr>
        <w:t>et al</w:t>
      </w:r>
      <w:r w:rsidRPr="00097BB2">
        <w:rPr>
          <w:rFonts w:ascii="Arial" w:hAnsi="Arial" w:cs="Arial"/>
        </w:rPr>
        <w:t xml:space="preserve">. (2015) discovered that the Fragments of fishing lines might be responsible for the MNPs found in the Yangtze River, China. </w:t>
      </w:r>
    </w:p>
    <w:p w14:paraId="1F270C4A" w14:textId="77777777" w:rsidR="00097BB2" w:rsidRPr="00097BB2" w:rsidRDefault="00097BB2" w:rsidP="00097BB2">
      <w:pPr>
        <w:pStyle w:val="Body"/>
        <w:spacing w:after="0"/>
        <w:rPr>
          <w:rFonts w:ascii="Arial" w:hAnsi="Arial" w:cs="Arial"/>
        </w:rPr>
      </w:pPr>
      <w:r w:rsidRPr="00097BB2">
        <w:rPr>
          <w:rFonts w:ascii="Arial" w:hAnsi="Arial" w:cs="Arial"/>
        </w:rPr>
        <w:t xml:space="preserve">Micro- and nanoplastics (MNPs) pose significant risks to aquatic organisms, particularly fish, through ingestion, bioaccumulation, and trophic transfer within freshwater systems. Recent studies demonstrate that hydrodynamic conditions can strongly influence the uptake and biological effects of microplastics, with altered flow regimes enhancing particle bioavailability and accumulation in fish tissues (Rasta et al., 2025; Rasta et al., 2026a). These particles can induce a wide range of adverse effects, including histopathological damage, oxidative stress, disruption of biomarker responses, and altered gene expression, particularly in sensitive organs such as the brain and gastrointestinal tract (Rasta et al., 2025; Bwala et al., 2026; Rasta et al., 2026b). Furthermore, microplastics act as vectors for toxic contaminants, increasing the overall toxicological burden and potentially compromising food safety in edible fish species (Bwala et al., 2026; Rasta et al., 2026a). In freshwater ecosystems, the persistence and small size of MNPs facilitate their ingestion by a wide range of organisms, leading to physiological stress, reduced feeding efficiency, and impaired growth and reproduction (Auta et al., 2017; </w:t>
      </w:r>
      <w:proofErr w:type="spellStart"/>
      <w:r w:rsidRPr="00097BB2">
        <w:rPr>
          <w:rFonts w:ascii="Arial" w:hAnsi="Arial" w:cs="Arial"/>
        </w:rPr>
        <w:t>Besseling</w:t>
      </w:r>
      <w:proofErr w:type="spellEnd"/>
      <w:r w:rsidRPr="00097BB2">
        <w:rPr>
          <w:rFonts w:ascii="Arial" w:hAnsi="Arial" w:cs="Arial"/>
        </w:rPr>
        <w:t xml:space="preserve"> et al., 2017). This study therefore aimed at assessing the level, Characteristics and Distribution of MNPs in the Surface Water of River Ngadda, Maiduguri, Borno State, Nigeria</w:t>
      </w:r>
    </w:p>
    <w:p w14:paraId="380F2B28" w14:textId="77777777" w:rsidR="00790ADA" w:rsidRPr="00FB3A86" w:rsidRDefault="00790ADA" w:rsidP="00441B6F">
      <w:pPr>
        <w:pStyle w:val="Body"/>
        <w:spacing w:after="0"/>
        <w:rPr>
          <w:rFonts w:ascii="Arial" w:hAnsi="Arial" w:cs="Arial"/>
        </w:rPr>
      </w:pPr>
    </w:p>
    <w:p w14:paraId="38F760D1" w14:textId="77777777" w:rsidR="00790ADA" w:rsidRPr="00FB3A86"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054A101D" w14:textId="77777777" w:rsidR="00790ADA" w:rsidRPr="00FB3A86" w:rsidRDefault="00790ADA" w:rsidP="00441B6F">
      <w:pPr>
        <w:pStyle w:val="Body"/>
        <w:spacing w:after="0"/>
        <w:rPr>
          <w:rFonts w:ascii="Arial" w:hAnsi="Arial" w:cs="Arial"/>
        </w:rPr>
      </w:pPr>
    </w:p>
    <w:p w14:paraId="0558E861" w14:textId="77777777" w:rsidR="00097BB2" w:rsidRPr="00097BB2" w:rsidRDefault="00097BB2" w:rsidP="00097BB2">
      <w:pPr>
        <w:pStyle w:val="Body"/>
        <w:rPr>
          <w:rFonts w:ascii="Arial" w:hAnsi="Arial" w:cs="Arial"/>
          <w:b/>
          <w:sz w:val="22"/>
        </w:rPr>
      </w:pPr>
      <w:r w:rsidRPr="00097BB2">
        <w:rPr>
          <w:rFonts w:ascii="Arial" w:hAnsi="Arial" w:cs="Arial"/>
          <w:b/>
          <w:sz w:val="22"/>
        </w:rPr>
        <w:t>2.1 Study Area</w:t>
      </w:r>
    </w:p>
    <w:p w14:paraId="3ED77B6C" w14:textId="77777777" w:rsidR="00097BB2" w:rsidRPr="00097BB2" w:rsidRDefault="00097BB2" w:rsidP="00097BB2">
      <w:pPr>
        <w:pStyle w:val="Body"/>
        <w:spacing w:after="0"/>
        <w:rPr>
          <w:rFonts w:ascii="Arial" w:hAnsi="Arial" w:cs="Arial"/>
          <w:b/>
          <w:bCs/>
        </w:rPr>
      </w:pPr>
      <w:r w:rsidRPr="00097BB2">
        <w:rPr>
          <w:rFonts w:ascii="Arial" w:hAnsi="Arial" w:cs="Arial"/>
          <w:bCs/>
        </w:rPr>
        <w:t>Maiduguri also known and called “</w:t>
      </w:r>
      <w:proofErr w:type="spellStart"/>
      <w:r w:rsidRPr="00097BB2">
        <w:rPr>
          <w:rFonts w:ascii="Arial" w:hAnsi="Arial" w:cs="Arial"/>
          <w:bCs/>
          <w:i/>
          <w:iCs/>
        </w:rPr>
        <w:t>Yerwa</w:t>
      </w:r>
      <w:proofErr w:type="spellEnd"/>
      <w:r w:rsidRPr="00097BB2">
        <w:rPr>
          <w:rFonts w:ascii="Arial" w:hAnsi="Arial" w:cs="Arial"/>
          <w:bCs/>
        </w:rPr>
        <w:t>” by its inhabitants, is the State capital of Borno State - Nigeria, and lies within latitude 10</w:t>
      </w:r>
      <w:r w:rsidRPr="00097BB2">
        <w:rPr>
          <w:rFonts w:ascii="Arial" w:hAnsi="Arial" w:cs="Arial"/>
          <w:bCs/>
          <w:vertAlign w:val="superscript"/>
        </w:rPr>
        <w:t>o</w:t>
      </w:r>
      <w:r w:rsidRPr="00097BB2">
        <w:rPr>
          <w:rFonts w:ascii="Arial" w:hAnsi="Arial" w:cs="Arial"/>
          <w:bCs/>
        </w:rPr>
        <w:t>N and 14</w:t>
      </w:r>
      <w:r w:rsidRPr="00097BB2">
        <w:rPr>
          <w:rFonts w:ascii="Arial" w:hAnsi="Arial" w:cs="Arial"/>
          <w:bCs/>
          <w:vertAlign w:val="superscript"/>
        </w:rPr>
        <w:t>o</w:t>
      </w:r>
      <w:r w:rsidRPr="00097BB2">
        <w:rPr>
          <w:rFonts w:ascii="Arial" w:hAnsi="Arial" w:cs="Arial"/>
          <w:bCs/>
        </w:rPr>
        <w:t>N and longitude 11</w:t>
      </w:r>
      <w:r w:rsidRPr="00097BB2">
        <w:rPr>
          <w:rFonts w:ascii="Arial" w:hAnsi="Arial" w:cs="Arial"/>
          <w:bCs/>
          <w:vertAlign w:val="superscript"/>
        </w:rPr>
        <w:t>o</w:t>
      </w:r>
      <w:r w:rsidRPr="00097BB2">
        <w:rPr>
          <w:rFonts w:ascii="Arial" w:hAnsi="Arial" w:cs="Arial"/>
          <w:bCs/>
        </w:rPr>
        <w:t>31E and 14</w:t>
      </w:r>
      <w:r w:rsidRPr="00097BB2">
        <w:rPr>
          <w:rFonts w:ascii="Arial" w:hAnsi="Arial" w:cs="Arial"/>
          <w:bCs/>
          <w:vertAlign w:val="superscript"/>
        </w:rPr>
        <w:t>o</w:t>
      </w:r>
      <w:r w:rsidRPr="00097BB2">
        <w:rPr>
          <w:rFonts w:ascii="Arial" w:hAnsi="Arial" w:cs="Arial"/>
          <w:bCs/>
        </w:rPr>
        <w:t xml:space="preserve">41E. The climatic condition of the town is characterized by a long dry – hot and short wet seasons, with an average annual mean temperature of 31°C. The hottest period being March – April having maximum temperature of 37 – 40°C, while the coldest period is between December – January. The town has an average annual rainfall of about 500 –700mm per annum (Bwala &amp; Imam 2021; </w:t>
      </w:r>
      <w:r w:rsidRPr="00097BB2">
        <w:rPr>
          <w:rFonts w:ascii="Arial" w:hAnsi="Arial" w:cs="Arial"/>
          <w:lang w:val="en-GB"/>
        </w:rPr>
        <w:t>Bwala 2021b</w:t>
      </w:r>
      <w:r w:rsidRPr="00097BB2">
        <w:rPr>
          <w:rFonts w:ascii="Arial" w:hAnsi="Arial" w:cs="Arial"/>
          <w:bCs/>
        </w:rPr>
        <w:t xml:space="preserve">). The Map of Maiduguri highlighting the study area is shown in </w:t>
      </w:r>
      <w:r w:rsidRPr="00097BB2">
        <w:rPr>
          <w:rFonts w:ascii="Arial" w:hAnsi="Arial" w:cs="Arial"/>
          <w:b/>
          <w:bCs/>
        </w:rPr>
        <w:t>Figure 1.</w:t>
      </w:r>
    </w:p>
    <w:p w14:paraId="6BA6C230" w14:textId="77777777" w:rsidR="00097BB2" w:rsidRDefault="00097BB2" w:rsidP="00097BB2">
      <w:pPr>
        <w:pStyle w:val="Body"/>
        <w:spacing w:after="0"/>
        <w:rPr>
          <w:rFonts w:ascii="Arial" w:hAnsi="Arial" w:cs="Arial"/>
          <w:bCs/>
        </w:rPr>
      </w:pPr>
      <w:r w:rsidRPr="00097BB2">
        <w:rPr>
          <w:rFonts w:ascii="Arial" w:hAnsi="Arial" w:cs="Arial"/>
          <w:bCs/>
          <w:lang w:val="en-GB"/>
        </w:rPr>
        <w:t xml:space="preserve">The town has a freshwater body known as River Ngadda, which received water from River </w:t>
      </w:r>
      <w:proofErr w:type="spellStart"/>
      <w:r w:rsidRPr="00097BB2">
        <w:rPr>
          <w:rFonts w:ascii="Arial" w:hAnsi="Arial" w:cs="Arial"/>
          <w:bCs/>
          <w:lang w:val="en-GB"/>
        </w:rPr>
        <w:t>Yedzram</w:t>
      </w:r>
      <w:proofErr w:type="spellEnd"/>
      <w:r w:rsidRPr="00097BB2">
        <w:rPr>
          <w:rFonts w:ascii="Arial" w:hAnsi="Arial" w:cs="Arial"/>
          <w:bCs/>
          <w:lang w:val="en-GB"/>
        </w:rPr>
        <w:t xml:space="preserve"> and River </w:t>
      </w:r>
      <w:proofErr w:type="spellStart"/>
      <w:r w:rsidRPr="00097BB2">
        <w:rPr>
          <w:rFonts w:ascii="Arial" w:hAnsi="Arial" w:cs="Arial"/>
          <w:bCs/>
          <w:lang w:val="en-GB"/>
        </w:rPr>
        <w:t>Gombole</w:t>
      </w:r>
      <w:proofErr w:type="spellEnd"/>
      <w:r w:rsidRPr="00097BB2">
        <w:rPr>
          <w:rFonts w:ascii="Arial" w:hAnsi="Arial" w:cs="Arial"/>
          <w:bCs/>
          <w:lang w:val="en-GB"/>
        </w:rPr>
        <w:t xml:space="preserve"> which met at a confluent in Sambisa Forest and flows as River Ngadda passing through several towns, villages and emptying into </w:t>
      </w:r>
      <w:proofErr w:type="spellStart"/>
      <w:r w:rsidRPr="00097BB2">
        <w:rPr>
          <w:rFonts w:ascii="Arial" w:hAnsi="Arial" w:cs="Arial"/>
          <w:bCs/>
          <w:lang w:val="en-GB"/>
        </w:rPr>
        <w:t>Alau</w:t>
      </w:r>
      <w:proofErr w:type="spellEnd"/>
      <w:r w:rsidRPr="00097BB2">
        <w:rPr>
          <w:rFonts w:ascii="Arial" w:hAnsi="Arial" w:cs="Arial"/>
          <w:bCs/>
          <w:lang w:val="en-GB"/>
        </w:rPr>
        <w:t xml:space="preserve"> Dam before forming a remarkable circular shape around the town.  (</w:t>
      </w:r>
      <w:r w:rsidRPr="00097BB2">
        <w:rPr>
          <w:rFonts w:ascii="Arial" w:hAnsi="Arial" w:cs="Arial"/>
          <w:bCs/>
        </w:rPr>
        <w:t>BORMLS 2008;</w:t>
      </w:r>
      <w:r w:rsidRPr="00097BB2">
        <w:rPr>
          <w:rFonts w:ascii="Arial" w:hAnsi="Arial" w:cs="Arial"/>
          <w:lang w:val="en-GB"/>
        </w:rPr>
        <w:t xml:space="preserve"> </w:t>
      </w:r>
      <w:r w:rsidRPr="00097BB2">
        <w:rPr>
          <w:rFonts w:ascii="Arial" w:hAnsi="Arial" w:cs="Arial"/>
          <w:bCs/>
          <w:lang w:val="en-GB"/>
        </w:rPr>
        <w:t>Babagana et al. 2015</w:t>
      </w:r>
      <w:r w:rsidRPr="00097BB2">
        <w:rPr>
          <w:rFonts w:ascii="Arial" w:hAnsi="Arial" w:cs="Arial"/>
          <w:bCs/>
        </w:rPr>
        <w:t xml:space="preserve">; Bwala &amp; Imam 2021; </w:t>
      </w:r>
      <w:r w:rsidRPr="00097BB2">
        <w:rPr>
          <w:rFonts w:ascii="Arial" w:hAnsi="Arial" w:cs="Arial"/>
          <w:lang w:val="en-GB"/>
        </w:rPr>
        <w:t>Bwala 2021a; Bwala 2021c</w:t>
      </w:r>
      <w:r w:rsidRPr="00097BB2">
        <w:rPr>
          <w:rFonts w:ascii="Arial" w:hAnsi="Arial" w:cs="Arial"/>
          <w:bCs/>
        </w:rPr>
        <w:t xml:space="preserve">). Additionally, there is another highly seasonal river in the town known as </w:t>
      </w:r>
      <w:r w:rsidRPr="00097BB2">
        <w:rPr>
          <w:rFonts w:ascii="Arial" w:hAnsi="Arial" w:cs="Arial"/>
          <w:bCs/>
          <w:lang w:val="en-GB"/>
        </w:rPr>
        <w:t xml:space="preserve">River </w:t>
      </w:r>
      <w:proofErr w:type="spellStart"/>
      <w:r w:rsidRPr="00097BB2">
        <w:rPr>
          <w:rFonts w:ascii="Arial" w:hAnsi="Arial" w:cs="Arial"/>
          <w:bCs/>
          <w:lang w:val="en-GB"/>
        </w:rPr>
        <w:t>Nggadabul</w:t>
      </w:r>
      <w:proofErr w:type="spellEnd"/>
      <w:r w:rsidRPr="00097BB2">
        <w:rPr>
          <w:rFonts w:ascii="Arial" w:hAnsi="Arial" w:cs="Arial"/>
          <w:bCs/>
          <w:lang w:val="en-GB"/>
        </w:rPr>
        <w:t xml:space="preserve"> which met at a confluence with River </w:t>
      </w:r>
      <w:proofErr w:type="spellStart"/>
      <w:r w:rsidRPr="00097BB2">
        <w:rPr>
          <w:rFonts w:ascii="Arial" w:hAnsi="Arial" w:cs="Arial"/>
          <w:bCs/>
          <w:lang w:val="en-GB"/>
        </w:rPr>
        <w:t>Ngadda</w:t>
      </w:r>
      <w:proofErr w:type="spellEnd"/>
      <w:r w:rsidRPr="00097BB2">
        <w:rPr>
          <w:rFonts w:ascii="Arial" w:hAnsi="Arial" w:cs="Arial"/>
          <w:bCs/>
          <w:lang w:val="en-GB"/>
        </w:rPr>
        <w:t xml:space="preserve"> behind Gidan Madara, </w:t>
      </w:r>
      <w:proofErr w:type="spellStart"/>
      <w:r w:rsidRPr="00097BB2">
        <w:rPr>
          <w:rFonts w:ascii="Arial" w:hAnsi="Arial" w:cs="Arial"/>
          <w:bCs/>
          <w:lang w:val="en-GB"/>
        </w:rPr>
        <w:t>Gwange</w:t>
      </w:r>
      <w:proofErr w:type="spellEnd"/>
      <w:r w:rsidRPr="00097BB2">
        <w:rPr>
          <w:rFonts w:ascii="Arial" w:hAnsi="Arial" w:cs="Arial"/>
          <w:bCs/>
          <w:lang w:val="en-GB"/>
        </w:rPr>
        <w:t xml:space="preserve"> and continuous to flow as River Ngadda. River Ngadda is one of the minor tributaries of the Lake Chad and is widely known for its commercial fishing activities with </w:t>
      </w:r>
      <w:r w:rsidRPr="00097BB2">
        <w:rPr>
          <w:rFonts w:ascii="Arial" w:hAnsi="Arial" w:cs="Arial"/>
          <w:bCs/>
          <w:i/>
          <w:lang w:val="en-GB"/>
        </w:rPr>
        <w:t>Clarias gariepinus</w:t>
      </w:r>
      <w:r w:rsidRPr="00097BB2">
        <w:rPr>
          <w:rFonts w:ascii="Arial" w:hAnsi="Arial" w:cs="Arial"/>
          <w:bCs/>
          <w:lang w:val="en-GB"/>
        </w:rPr>
        <w:t xml:space="preserve"> and </w:t>
      </w:r>
      <w:r w:rsidRPr="00097BB2">
        <w:rPr>
          <w:rFonts w:ascii="Arial" w:hAnsi="Arial" w:cs="Arial"/>
          <w:i/>
          <w:iCs/>
          <w:lang w:val="en-GB"/>
        </w:rPr>
        <w:t>Oreochromis niloticus</w:t>
      </w:r>
      <w:r w:rsidRPr="00097BB2">
        <w:rPr>
          <w:rFonts w:ascii="Arial" w:hAnsi="Arial" w:cs="Arial"/>
          <w:bCs/>
          <w:lang w:val="en-GB"/>
        </w:rPr>
        <w:t xml:space="preserve"> as the abundant fish species (</w:t>
      </w:r>
      <w:r w:rsidRPr="00097BB2">
        <w:rPr>
          <w:rFonts w:ascii="Arial" w:hAnsi="Arial" w:cs="Arial"/>
          <w:lang w:val="en-GB"/>
        </w:rPr>
        <w:t>Bwala 2021b; Bwala 2021c</w:t>
      </w:r>
      <w:r w:rsidRPr="00097BB2">
        <w:rPr>
          <w:rFonts w:ascii="Arial" w:hAnsi="Arial" w:cs="Arial"/>
          <w:bCs/>
        </w:rPr>
        <w:t>).</w:t>
      </w:r>
    </w:p>
    <w:p w14:paraId="7774911D" w14:textId="77777777" w:rsidR="00097BB2" w:rsidRDefault="00097BB2" w:rsidP="00097BB2">
      <w:pPr>
        <w:pStyle w:val="Body"/>
        <w:spacing w:after="0"/>
        <w:rPr>
          <w:rFonts w:ascii="Arial" w:hAnsi="Arial" w:cs="Arial"/>
          <w:bCs/>
        </w:rPr>
      </w:pPr>
    </w:p>
    <w:p w14:paraId="4DEFF21B" w14:textId="77777777" w:rsidR="00097BB2" w:rsidRPr="00167DEA" w:rsidRDefault="00097BB2" w:rsidP="00097BB2">
      <w:pPr>
        <w:jc w:val="both"/>
        <w:rPr>
          <w:rFonts w:ascii="Times New Roman" w:hAnsi="Times New Roman"/>
          <w:bCs/>
          <w:sz w:val="24"/>
          <w:szCs w:val="24"/>
        </w:rPr>
      </w:pPr>
      <w:r w:rsidRPr="00167DEA">
        <w:rPr>
          <w:rFonts w:ascii="Times New Roman" w:hAnsi="Times New Roman"/>
          <w:noProof/>
          <w:sz w:val="24"/>
          <w:szCs w:val="24"/>
        </w:rPr>
        <w:lastRenderedPageBreak/>
        <w:drawing>
          <wp:inline distT="0" distB="0" distL="0" distR="0" wp14:anchorId="434C6A7C" wp14:editId="659DFBC0">
            <wp:extent cx="4387850" cy="5060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r="18246"/>
                    <a:stretch>
                      <a:fillRect/>
                    </a:stretch>
                  </pic:blipFill>
                  <pic:spPr bwMode="auto">
                    <a:xfrm>
                      <a:off x="0" y="0"/>
                      <a:ext cx="4387850" cy="5060950"/>
                    </a:xfrm>
                    <a:prstGeom prst="rect">
                      <a:avLst/>
                    </a:prstGeom>
                    <a:noFill/>
                    <a:ln>
                      <a:noFill/>
                    </a:ln>
                  </pic:spPr>
                </pic:pic>
              </a:graphicData>
            </a:graphic>
          </wp:inline>
        </w:drawing>
      </w:r>
    </w:p>
    <w:p w14:paraId="0927D74B" w14:textId="77777777" w:rsidR="00097BB2" w:rsidRPr="00097BB2" w:rsidRDefault="00097BB2" w:rsidP="00097BB2">
      <w:pPr>
        <w:jc w:val="both"/>
        <w:rPr>
          <w:rFonts w:ascii="Arial" w:hAnsi="Arial" w:cs="Arial"/>
          <w:bCs/>
          <w:i/>
        </w:rPr>
      </w:pPr>
      <w:r w:rsidRPr="00097BB2">
        <w:rPr>
          <w:rFonts w:ascii="Arial" w:hAnsi="Arial" w:cs="Arial"/>
          <w:b/>
          <w:bCs/>
          <w:i/>
        </w:rPr>
        <w:t xml:space="preserve">Figure 1: </w:t>
      </w:r>
      <w:r w:rsidRPr="00097BB2">
        <w:rPr>
          <w:rFonts w:ascii="Arial" w:hAnsi="Arial" w:cs="Arial"/>
          <w:bCs/>
          <w:i/>
        </w:rPr>
        <w:t>Map of Maiduguri and its Environs showing the Sampling Stations</w:t>
      </w:r>
    </w:p>
    <w:p w14:paraId="587B17C9" w14:textId="77777777" w:rsidR="00097BB2" w:rsidRPr="00097BB2" w:rsidRDefault="00097BB2" w:rsidP="00097BB2">
      <w:pPr>
        <w:jc w:val="both"/>
        <w:rPr>
          <w:rFonts w:ascii="Arial" w:hAnsi="Arial" w:cs="Arial"/>
          <w:bCs/>
        </w:rPr>
      </w:pPr>
      <w:r w:rsidRPr="00097BB2">
        <w:rPr>
          <w:rFonts w:ascii="Arial" w:hAnsi="Arial" w:cs="Arial"/>
          <w:b/>
          <w:bCs/>
        </w:rPr>
        <w:t xml:space="preserve">Source: </w:t>
      </w:r>
      <w:r w:rsidRPr="00097BB2">
        <w:rPr>
          <w:rFonts w:ascii="Arial" w:hAnsi="Arial" w:cs="Arial"/>
          <w:bCs/>
        </w:rPr>
        <w:t>Sharah (2020)</w:t>
      </w:r>
    </w:p>
    <w:p w14:paraId="054C5510" w14:textId="77777777" w:rsidR="00097BB2" w:rsidRDefault="00097BB2" w:rsidP="00097BB2">
      <w:pPr>
        <w:pStyle w:val="Body"/>
        <w:spacing w:after="0"/>
        <w:rPr>
          <w:rFonts w:ascii="Arial" w:hAnsi="Arial" w:cs="Arial"/>
          <w:bCs/>
        </w:rPr>
      </w:pPr>
    </w:p>
    <w:p w14:paraId="5C67EE86"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t>2.2 Sample Collection</w:t>
      </w:r>
    </w:p>
    <w:p w14:paraId="1A366EDD" w14:textId="77777777" w:rsidR="00097BB2" w:rsidRPr="00097BB2" w:rsidRDefault="00097BB2" w:rsidP="00097BB2">
      <w:pPr>
        <w:pStyle w:val="Body"/>
        <w:rPr>
          <w:rFonts w:ascii="Arial" w:hAnsi="Arial" w:cs="Arial"/>
          <w:bCs/>
        </w:rPr>
      </w:pPr>
      <w:r w:rsidRPr="00097BB2">
        <w:rPr>
          <w:rFonts w:ascii="Arial" w:hAnsi="Arial" w:cs="Arial"/>
          <w:bCs/>
        </w:rPr>
        <w:t xml:space="preserve">Water samples were collected monthly at each sampling station using pre-cleaned glass containers. At each station, composite samples were obtained from five points (4 L × 5) to ensure representativeness. Samples were immediately transferred into glass bottles and transported on ice to the laboratory as explained by Campbell </w:t>
      </w:r>
      <w:r w:rsidRPr="00097BB2">
        <w:rPr>
          <w:rFonts w:ascii="Arial" w:hAnsi="Arial" w:cs="Arial"/>
          <w:bCs/>
          <w:iCs/>
        </w:rPr>
        <w:t>et al.</w:t>
      </w:r>
      <w:r w:rsidRPr="00097BB2">
        <w:rPr>
          <w:rFonts w:ascii="Arial" w:hAnsi="Arial" w:cs="Arial"/>
          <w:bCs/>
        </w:rPr>
        <w:t xml:space="preserve"> (2017) with no modification. To separate size fractions, water samples were passed through a 50 µm stainless steel sieve to retain larger microplastics. The filtrate was subsequently subjected to membrane filtration using 0.45 µm glass fiber filters to capture smaller particles. All equipment was thoroughly rinsed with filtered deionized water prior to use to minimize contamination.</w:t>
      </w:r>
    </w:p>
    <w:p w14:paraId="3547C224" w14:textId="77777777" w:rsidR="00097BB2" w:rsidRPr="00097BB2" w:rsidRDefault="00097BB2" w:rsidP="00097BB2">
      <w:pPr>
        <w:pStyle w:val="Body"/>
        <w:rPr>
          <w:rFonts w:ascii="Arial" w:hAnsi="Arial" w:cs="Arial"/>
          <w:bCs/>
        </w:rPr>
      </w:pPr>
      <w:r w:rsidRPr="00097BB2">
        <w:rPr>
          <w:rFonts w:ascii="Arial" w:hAnsi="Arial" w:cs="Arial"/>
          <w:bCs/>
        </w:rPr>
        <w:t xml:space="preserve">Water quality analysis was conducted using the standard methods as explained by APHA (2005); Usman </w:t>
      </w:r>
      <w:r w:rsidRPr="00097BB2">
        <w:rPr>
          <w:rFonts w:ascii="Arial" w:hAnsi="Arial" w:cs="Arial"/>
          <w:bCs/>
          <w:iCs/>
        </w:rPr>
        <w:t>et al.</w:t>
      </w:r>
      <w:r w:rsidRPr="00097BB2">
        <w:rPr>
          <w:rFonts w:ascii="Arial" w:hAnsi="Arial" w:cs="Arial"/>
          <w:bCs/>
        </w:rPr>
        <w:t xml:space="preserve"> (2016), Gwana </w:t>
      </w:r>
      <w:r w:rsidRPr="00097BB2">
        <w:rPr>
          <w:rFonts w:ascii="Arial" w:hAnsi="Arial" w:cs="Arial"/>
          <w:bCs/>
          <w:iCs/>
        </w:rPr>
        <w:t>et al.</w:t>
      </w:r>
      <w:r w:rsidRPr="00097BB2">
        <w:rPr>
          <w:rFonts w:ascii="Arial" w:hAnsi="Arial" w:cs="Arial"/>
          <w:bCs/>
        </w:rPr>
        <w:t xml:space="preserve"> (2017) and Bwala (2021a) with slight modification. Temperature (°C), Electrical Conductivity (EC), Total Dissolved Solids (TDS) were measured in-situ using a handheld device (HI9813-61 Portable pH/EC/TDS/Temperature Meter) while Nitrate (NO</w:t>
      </w:r>
      <w:r w:rsidRPr="00097BB2">
        <w:rPr>
          <w:rFonts w:ascii="Arial" w:hAnsi="Arial" w:cs="Arial"/>
          <w:bCs/>
          <w:vertAlign w:val="superscript"/>
        </w:rPr>
        <w:t>3-</w:t>
      </w:r>
      <w:r w:rsidRPr="00097BB2">
        <w:rPr>
          <w:rFonts w:ascii="Arial" w:hAnsi="Arial" w:cs="Arial"/>
          <w:bCs/>
        </w:rPr>
        <w:t>)  was analyses using DR/890 Colorimeter and Sulphate (SO</w:t>
      </w:r>
      <w:r w:rsidRPr="00097BB2">
        <w:rPr>
          <w:rFonts w:ascii="Arial" w:hAnsi="Arial" w:cs="Arial"/>
          <w:bCs/>
          <w:vertAlign w:val="superscript"/>
        </w:rPr>
        <w:t>4-</w:t>
      </w:r>
      <w:r w:rsidRPr="00097BB2">
        <w:rPr>
          <w:rFonts w:ascii="Arial" w:hAnsi="Arial" w:cs="Arial"/>
          <w:bCs/>
        </w:rPr>
        <w:t>) was equally analyzed using 752N UV-Vis Spectrophotometer at Public Health Engineering Laboratory (Department of Civil Engineering), Abubakar Tafawa Balewa University (ATBU), Bauchi.</w:t>
      </w:r>
    </w:p>
    <w:p w14:paraId="1CEFBF37"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lastRenderedPageBreak/>
        <w:t>2.3 Extraction of Microplastics and Operationally Defined Nanoplastics Fraction from Water Samples</w:t>
      </w:r>
    </w:p>
    <w:p w14:paraId="3487562E" w14:textId="77777777" w:rsidR="00097BB2" w:rsidRPr="00097BB2" w:rsidRDefault="00097BB2" w:rsidP="00097BB2">
      <w:pPr>
        <w:pStyle w:val="Body"/>
        <w:spacing w:after="0"/>
        <w:rPr>
          <w:rFonts w:ascii="Arial" w:hAnsi="Arial" w:cs="Arial"/>
          <w:bCs/>
        </w:rPr>
      </w:pPr>
      <w:r w:rsidRPr="00097BB2">
        <w:rPr>
          <w:rFonts w:ascii="Arial" w:hAnsi="Arial" w:cs="Arial"/>
          <w:bCs/>
        </w:rPr>
        <w:t>To minimize contamination during sample processing, all laboratory procedures were conducted using pre-cleaned glassware and stainless-steel equipment, while laboratory personnel wore 100% cotton laboratory coats and powder-free nitrile gloves throughout sample preparation. All solutions were prepared using ultrapure deionized water and filtered prior to use.</w:t>
      </w:r>
    </w:p>
    <w:p w14:paraId="4701FB33"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Organic matter contained in the water samples was removed using the wet peroxide oxidation (WPO) method following the protocol described by Masura </w:t>
      </w:r>
      <w:r w:rsidRPr="00097BB2">
        <w:rPr>
          <w:rFonts w:ascii="Arial" w:hAnsi="Arial" w:cs="Arial"/>
          <w:bCs/>
          <w:i/>
        </w:rPr>
        <w:t>et al</w:t>
      </w:r>
      <w:r w:rsidRPr="00097BB2">
        <w:rPr>
          <w:rFonts w:ascii="Arial" w:hAnsi="Arial" w:cs="Arial"/>
          <w:bCs/>
        </w:rPr>
        <w:t xml:space="preserve">. (2015). Briefly, 20 mL of </w:t>
      </w:r>
      <w:proofErr w:type="gramStart"/>
      <w:r w:rsidRPr="00097BB2">
        <w:rPr>
          <w:rFonts w:ascii="Arial" w:hAnsi="Arial" w:cs="Arial"/>
          <w:bCs/>
        </w:rPr>
        <w:t>Fe(</w:t>
      </w:r>
      <w:proofErr w:type="gramEnd"/>
      <w:r w:rsidRPr="00097BB2">
        <w:rPr>
          <w:rFonts w:ascii="Arial" w:hAnsi="Arial" w:cs="Arial"/>
          <w:bCs/>
        </w:rPr>
        <w:t>II)SO</w:t>
      </w:r>
      <w:r w:rsidRPr="00097BB2">
        <w:rPr>
          <w:rFonts w:ascii="Arial" w:hAnsi="Arial" w:cs="Arial"/>
          <w:bCs/>
          <w:vertAlign w:val="subscript"/>
        </w:rPr>
        <w:t>4</w:t>
      </w:r>
      <w:r w:rsidRPr="00097BB2">
        <w:rPr>
          <w:rFonts w:ascii="Arial" w:hAnsi="Arial" w:cs="Arial"/>
          <w:bCs/>
        </w:rPr>
        <w:t>·7H</w:t>
      </w:r>
      <w:r w:rsidRPr="00097BB2">
        <w:rPr>
          <w:rFonts w:ascii="Arial" w:hAnsi="Arial" w:cs="Arial"/>
          <w:bCs/>
          <w:vertAlign w:val="subscript"/>
        </w:rPr>
        <w:t>2</w:t>
      </w:r>
      <w:r w:rsidRPr="00097BB2">
        <w:rPr>
          <w:rFonts w:ascii="Arial" w:hAnsi="Arial" w:cs="Arial"/>
          <w:bCs/>
        </w:rPr>
        <w:t>O solution and 20 mL of 30% hydrogen peroxide (H</w:t>
      </w:r>
      <w:r w:rsidRPr="00097BB2">
        <w:rPr>
          <w:rFonts w:ascii="Arial" w:hAnsi="Arial" w:cs="Arial"/>
          <w:bCs/>
          <w:vertAlign w:val="subscript"/>
        </w:rPr>
        <w:t>2</w:t>
      </w:r>
      <w:r w:rsidRPr="00097BB2">
        <w:rPr>
          <w:rFonts w:ascii="Arial" w:hAnsi="Arial" w:cs="Arial"/>
          <w:bCs/>
        </w:rPr>
        <w:t>O</w:t>
      </w:r>
      <w:r w:rsidRPr="00097BB2">
        <w:rPr>
          <w:rFonts w:ascii="Arial" w:hAnsi="Arial" w:cs="Arial"/>
          <w:bCs/>
          <w:vertAlign w:val="subscript"/>
        </w:rPr>
        <w:t>2</w:t>
      </w:r>
      <w:r w:rsidRPr="00097BB2">
        <w:rPr>
          <w:rFonts w:ascii="Arial" w:hAnsi="Arial" w:cs="Arial"/>
          <w:bCs/>
        </w:rPr>
        <w:t>) were gradually added to each sample and allowed to react for approximately 5 min (Masura et al. 2015). The reaction mixture was subsequently heated on a hot plate at 75 °C until active bubbling was observed. After cooling, samples were returned to the hot plate and maintained at 75 °C for an additional 30 min to ensure complete digestion of organic materials. Additional aliquots of 30% H</w:t>
      </w:r>
      <w:r w:rsidRPr="00097BB2">
        <w:rPr>
          <w:rFonts w:ascii="Arial" w:hAnsi="Arial" w:cs="Arial"/>
          <w:bCs/>
          <w:vertAlign w:val="subscript"/>
        </w:rPr>
        <w:t>2</w:t>
      </w:r>
      <w:r w:rsidRPr="00097BB2">
        <w:rPr>
          <w:rFonts w:ascii="Arial" w:hAnsi="Arial" w:cs="Arial"/>
          <w:bCs/>
        </w:rPr>
        <w:t>O</w:t>
      </w:r>
      <w:r w:rsidRPr="00097BB2">
        <w:rPr>
          <w:rFonts w:ascii="Arial" w:hAnsi="Arial" w:cs="Arial"/>
          <w:bCs/>
          <w:vertAlign w:val="subscript"/>
        </w:rPr>
        <w:t>2</w:t>
      </w:r>
      <w:r w:rsidRPr="00097BB2">
        <w:rPr>
          <w:rFonts w:ascii="Arial" w:hAnsi="Arial" w:cs="Arial"/>
          <w:bCs/>
        </w:rPr>
        <w:t xml:space="preserve"> were added in 20 mL increments where necessary until visible organic matter was completely digested (Masura et al. 2015).</w:t>
      </w:r>
    </w:p>
    <w:p w14:paraId="320EC139" w14:textId="77777777" w:rsidR="00097BB2" w:rsidRPr="00097BB2" w:rsidRDefault="00097BB2" w:rsidP="00097BB2">
      <w:pPr>
        <w:pStyle w:val="Body"/>
        <w:spacing w:after="0"/>
        <w:rPr>
          <w:rFonts w:ascii="Arial" w:hAnsi="Arial" w:cs="Arial"/>
          <w:bCs/>
        </w:rPr>
      </w:pPr>
      <w:r w:rsidRPr="00097BB2">
        <w:rPr>
          <w:rFonts w:ascii="Arial" w:hAnsi="Arial" w:cs="Arial"/>
          <w:bCs/>
        </w:rPr>
        <w:t>Following digestion, the samples were separated into MPs and operationally defined submicron plastic fractions (NPs). For the operationally defined NPs fraction, digested samples were subjected to ultrafiltration through pre-combusted membrane filters (≤0.45 µm pore size). The retained material was carefully rinsed with filtered deionized water into pre-cleaned amber glass containers, covered with aluminum foil, and dried at 55 °C. It is acknowledged that this approach does not capture the complete NPs size spectrum; therefore, the retained material is referred to throughout this study as an operationally defined submicron plastic fraction (NPs). The dried residues were subsequently subjected to pyrolysis-gas chromatography–mass spectrometry (Py-GC/MS) for polymer characterization.</w:t>
      </w:r>
    </w:p>
    <w:p w14:paraId="7B177E8C" w14:textId="77777777" w:rsidR="00097BB2" w:rsidRPr="00097BB2" w:rsidRDefault="00097BB2" w:rsidP="00097BB2">
      <w:pPr>
        <w:pStyle w:val="Body"/>
        <w:spacing w:after="0"/>
        <w:rPr>
          <w:rFonts w:ascii="Arial" w:hAnsi="Arial" w:cs="Arial"/>
          <w:bCs/>
        </w:rPr>
      </w:pPr>
      <w:r w:rsidRPr="00097BB2">
        <w:rPr>
          <w:rFonts w:ascii="Arial" w:hAnsi="Arial" w:cs="Arial"/>
          <w:bCs/>
        </w:rPr>
        <w:t>For microplastic analysis, digested samples were filtered through pre-weighed membrane filters and dried at 60 °C in covered glass Petri dishes. Dried residues were examined under a stereomicroscope and visually sorted based on morphological characteristics including size, shape, and colour. Suspected plastic particles were preliminarily screened using the hot-needle test, whereby a heated needle was gently applied to the particle surface to distinguish plastic-like materials from natural debris. The hot-needle test was used solely as a screening procedure and not as a confirmatory identification method. Final confirmation of polymer identity was subsequently performed using Fourier Transform Infrared Spectroscopy (FTIR).</w:t>
      </w:r>
    </w:p>
    <w:p w14:paraId="4F5EAEB4"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t>2.4 Microscopic Characterization, Fourier Transform Infrared Spectroscopy (FTIR), and Pyrolysis Gas Chromatography–Mass Spectrometry (Py-GC/MS)</w:t>
      </w:r>
    </w:p>
    <w:p w14:paraId="7E611451" w14:textId="77777777" w:rsidR="00097BB2" w:rsidRDefault="00097BB2" w:rsidP="00097BB2">
      <w:pPr>
        <w:pStyle w:val="Body"/>
        <w:spacing w:after="0"/>
        <w:rPr>
          <w:rFonts w:ascii="Arial" w:hAnsi="Arial" w:cs="Arial"/>
          <w:bCs/>
        </w:rPr>
      </w:pPr>
      <w:r w:rsidRPr="00097BB2">
        <w:rPr>
          <w:rFonts w:ascii="Arial" w:hAnsi="Arial" w:cs="Arial"/>
          <w:bCs/>
        </w:rPr>
        <w:t>Microplastic particles recovered after digestion were initially examined using a stereomicroscope and categorized according to their colour, size class, and morphological type (</w:t>
      </w:r>
      <w:proofErr w:type="spellStart"/>
      <w:r w:rsidRPr="00097BB2">
        <w:rPr>
          <w:rFonts w:ascii="Arial" w:hAnsi="Arial" w:cs="Arial"/>
          <w:bCs/>
        </w:rPr>
        <w:t>fibres</w:t>
      </w:r>
      <w:proofErr w:type="spellEnd"/>
      <w:r w:rsidRPr="00097BB2">
        <w:rPr>
          <w:rFonts w:ascii="Arial" w:hAnsi="Arial" w:cs="Arial"/>
          <w:bCs/>
        </w:rPr>
        <w:t xml:space="preserve">, fragments, films, pellets, and foams) following the procedures described by Kılıç (2022) and Kılıç &amp; Yücel (2022). The abundance of MPs was expressed as particles per </w:t>
      </w:r>
      <w:proofErr w:type="spellStart"/>
      <w:r w:rsidRPr="00097BB2">
        <w:rPr>
          <w:rFonts w:ascii="Arial" w:hAnsi="Arial" w:cs="Arial"/>
          <w:bCs/>
        </w:rPr>
        <w:t>litre</w:t>
      </w:r>
      <w:proofErr w:type="spellEnd"/>
      <w:r w:rsidRPr="00097BB2">
        <w:rPr>
          <w:rFonts w:ascii="Arial" w:hAnsi="Arial" w:cs="Arial"/>
          <w:bCs/>
        </w:rPr>
        <w:t xml:space="preserve"> (pp/L) as explained by Sanabil, Hadi &amp; </w:t>
      </w:r>
      <w:proofErr w:type="spellStart"/>
      <w:r w:rsidRPr="00097BB2">
        <w:rPr>
          <w:rFonts w:ascii="Arial" w:hAnsi="Arial" w:cs="Arial"/>
          <w:bCs/>
        </w:rPr>
        <w:t>Zummah</w:t>
      </w:r>
      <w:proofErr w:type="spellEnd"/>
      <w:r w:rsidRPr="00097BB2">
        <w:rPr>
          <w:rFonts w:ascii="Arial" w:hAnsi="Arial" w:cs="Arial"/>
          <w:bCs/>
        </w:rPr>
        <w:t xml:space="preserve"> (2022).</w:t>
      </w:r>
    </w:p>
    <w:p w14:paraId="6D555AF6" w14:textId="77777777" w:rsidR="00097BB2" w:rsidRPr="00097BB2" w:rsidRDefault="00097BB2" w:rsidP="00097BB2">
      <w:pPr>
        <w:pStyle w:val="Body"/>
        <w:spacing w:after="0"/>
        <w:rPr>
          <w:rFonts w:ascii="Arial" w:hAnsi="Arial" w:cs="Arial"/>
          <w:bCs/>
        </w:rPr>
      </w:pPr>
    </w:p>
    <w:p w14:paraId="7E8F932A" w14:textId="77777777" w:rsidR="00097BB2" w:rsidRPr="00097BB2" w:rsidRDefault="00097BB2" w:rsidP="00097BB2">
      <w:pPr>
        <w:pStyle w:val="Body"/>
        <w:rPr>
          <w:rFonts w:ascii="Arial" w:hAnsi="Arial" w:cs="Arial"/>
          <w:bCs/>
        </w:rPr>
      </w:pPr>
      <m:oMath>
        <m:r>
          <m:rPr>
            <m:sty m:val="p"/>
          </m:rPr>
          <w:rPr>
            <w:rFonts w:ascii="Cambria Math" w:hAnsi="Cambria Math" w:cs="Arial"/>
          </w:rPr>
          <m:t>Abundance of p.p in water</m:t>
        </m:r>
        <m:r>
          <w:rPr>
            <w:rFonts w:ascii="Cambria Math" w:hAnsi="Cambria Math" w:cs="Arial"/>
          </w:rPr>
          <m:t>=</m:t>
        </m:r>
        <m:f>
          <m:fPr>
            <m:ctrlPr>
              <w:rPr>
                <w:rFonts w:ascii="Cambria Math" w:hAnsi="Cambria Math" w:cs="Arial"/>
                <w:b/>
                <w:bCs/>
              </w:rPr>
            </m:ctrlPr>
          </m:fPr>
          <m:num>
            <m:r>
              <m:rPr>
                <m:sty m:val="b"/>
              </m:rPr>
              <w:rPr>
                <w:rFonts w:ascii="Cambria Math" w:hAnsi="Cambria Math" w:cs="Arial"/>
              </w:rPr>
              <m:t>∑</m:t>
            </m:r>
            <m:r>
              <m:rPr>
                <m:sty m:val="bi"/>
              </m:rPr>
              <w:rPr>
                <w:rFonts w:ascii="Cambria Math" w:hAnsi="Cambria Math" w:cs="Arial"/>
              </w:rPr>
              <m:t>p.p</m:t>
            </m:r>
          </m:num>
          <m:den>
            <m:r>
              <m:rPr>
                <m:sty m:val="bi"/>
              </m:rPr>
              <w:rPr>
                <w:rFonts w:ascii="Cambria Math" w:hAnsi="Cambria Math" w:cs="Arial"/>
              </w:rPr>
              <m:t>vol.</m:t>
            </m:r>
          </m:den>
        </m:f>
      </m:oMath>
      <w:r w:rsidRPr="00097BB2">
        <w:rPr>
          <w:rFonts w:ascii="Arial" w:hAnsi="Arial" w:cs="Arial"/>
          <w:bCs/>
        </w:rPr>
        <w:t xml:space="preserve">   </w:t>
      </w:r>
    </w:p>
    <w:p w14:paraId="650D9F94" w14:textId="77777777" w:rsidR="00097BB2" w:rsidRPr="00097BB2" w:rsidRDefault="00097BB2" w:rsidP="00097BB2">
      <w:pPr>
        <w:pStyle w:val="Body"/>
        <w:rPr>
          <w:rFonts w:ascii="Arial" w:hAnsi="Arial" w:cs="Arial"/>
          <w:bCs/>
        </w:rPr>
      </w:pPr>
      <w:r w:rsidRPr="00097BB2">
        <w:rPr>
          <w:rFonts w:ascii="Arial" w:hAnsi="Arial" w:cs="Arial"/>
          <w:bCs/>
        </w:rPr>
        <w:t xml:space="preserve">Where </w:t>
      </w:r>
      <m:oMath>
        <m:r>
          <m:rPr>
            <m:sty m:val="b"/>
          </m:rPr>
          <w:rPr>
            <w:rFonts w:ascii="Cambria Math" w:hAnsi="Cambria Math" w:cs="Arial"/>
          </w:rPr>
          <m:t>∑</m:t>
        </m:r>
        <m:r>
          <m:rPr>
            <m:sty m:val="bi"/>
          </m:rPr>
          <w:rPr>
            <w:rFonts w:ascii="Cambria Math" w:hAnsi="Cambria Math" w:cs="Arial"/>
          </w:rPr>
          <m:t>p.p</m:t>
        </m:r>
      </m:oMath>
      <w:r w:rsidRPr="00097BB2">
        <w:rPr>
          <w:rFonts w:ascii="Arial" w:hAnsi="Arial" w:cs="Arial"/>
          <w:bCs/>
        </w:rPr>
        <w:t xml:space="preserve"> – summation of MPs in the surface water</w:t>
      </w:r>
    </w:p>
    <w:p w14:paraId="56AFCB34" w14:textId="77777777" w:rsidR="00097BB2" w:rsidRPr="00097BB2" w:rsidRDefault="00097BB2" w:rsidP="00097BB2">
      <w:pPr>
        <w:pStyle w:val="Body"/>
        <w:rPr>
          <w:rFonts w:ascii="Arial" w:hAnsi="Arial" w:cs="Arial"/>
          <w:bCs/>
        </w:rPr>
      </w:pPr>
      <w:r w:rsidRPr="00097BB2">
        <w:rPr>
          <w:rFonts w:ascii="Arial" w:hAnsi="Arial" w:cs="Arial"/>
          <w:b/>
          <w:bCs/>
        </w:rPr>
        <w:t xml:space="preserve"> Vol</w:t>
      </w:r>
      <w:r w:rsidRPr="00097BB2">
        <w:rPr>
          <w:rFonts w:ascii="Arial" w:hAnsi="Arial" w:cs="Arial"/>
          <w:bCs/>
        </w:rPr>
        <w:t xml:space="preserve">. – volume of water sample (20 </w:t>
      </w:r>
      <w:proofErr w:type="spellStart"/>
      <w:r w:rsidRPr="00097BB2">
        <w:rPr>
          <w:rFonts w:ascii="Arial" w:hAnsi="Arial" w:cs="Arial"/>
          <w:bCs/>
        </w:rPr>
        <w:t>litres</w:t>
      </w:r>
      <w:proofErr w:type="spellEnd"/>
      <w:r w:rsidRPr="00097BB2">
        <w:rPr>
          <w:rFonts w:ascii="Arial" w:hAnsi="Arial" w:cs="Arial"/>
          <w:bCs/>
        </w:rPr>
        <w:t>).</w:t>
      </w:r>
    </w:p>
    <w:p w14:paraId="31136CF2" w14:textId="77777777" w:rsidR="00097BB2" w:rsidRPr="00097BB2" w:rsidRDefault="00097BB2" w:rsidP="00097BB2">
      <w:pPr>
        <w:pStyle w:val="Body"/>
        <w:spacing w:after="0"/>
        <w:rPr>
          <w:rFonts w:ascii="Arial" w:hAnsi="Arial" w:cs="Arial"/>
          <w:bCs/>
        </w:rPr>
      </w:pPr>
      <w:r w:rsidRPr="00097BB2">
        <w:rPr>
          <w:rFonts w:ascii="Arial" w:hAnsi="Arial" w:cs="Arial"/>
          <w:bCs/>
        </w:rPr>
        <w:t>Polymer confirmation of visually identified MPs was performed using Fourier Transform Infrared Spectroscopy equipped with a single-reflection attenuated total reflectance accessory (FTIR-ATR) at Yobe State University, Damaturu. Spectra were acquired within the range of 4000–400 cm</w:t>
      </w:r>
      <w:r w:rsidRPr="00097BB2">
        <w:rPr>
          <w:rFonts w:ascii="Arial" w:hAnsi="Arial" w:cs="Arial"/>
          <w:bCs/>
          <w:vertAlign w:val="superscript"/>
        </w:rPr>
        <w:t>−1</w:t>
      </w:r>
      <w:r w:rsidRPr="00097BB2">
        <w:rPr>
          <w:rFonts w:ascii="Arial" w:hAnsi="Arial" w:cs="Arial"/>
          <w:bCs/>
        </w:rPr>
        <w:t xml:space="preserve"> at a spectral resolution of 4 cm</w:t>
      </w:r>
      <w:r w:rsidRPr="00097BB2">
        <w:rPr>
          <w:rFonts w:ascii="Arial" w:hAnsi="Arial" w:cs="Arial"/>
          <w:bCs/>
          <w:vertAlign w:val="superscript"/>
        </w:rPr>
        <w:t>−1</w:t>
      </w:r>
      <w:r w:rsidRPr="00097BB2">
        <w:rPr>
          <w:rFonts w:ascii="Arial" w:hAnsi="Arial" w:cs="Arial"/>
          <w:bCs/>
        </w:rPr>
        <w:t xml:space="preserve"> using 32 scans per sample. Polymer identification was achieved through comparison with reference spectral libraries, and only matches exceeding 70% spectral similarity were accepted for polymer assignment. The major polymers targeted included polyethylene (PE), polypropylene (PP), polystyrene (PS), polyethylene terephthalate (PET), polyamide (PA), and polyvinyl chloride (PVC).</w:t>
      </w:r>
    </w:p>
    <w:p w14:paraId="51475EB3"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The operationally defined submicron plastic fraction also referred to as NPs in this study, retained on the 0.45 µm membrane filters was characterized using pyrolysis gas chromatography–mass </w:t>
      </w:r>
      <w:r w:rsidRPr="00097BB2">
        <w:rPr>
          <w:rFonts w:ascii="Arial" w:hAnsi="Arial" w:cs="Arial"/>
          <w:bCs/>
        </w:rPr>
        <w:lastRenderedPageBreak/>
        <w:t xml:space="preserve">spectrometry (Py-GC/MS) at the Department of Chemistry, Yobe State University. Analyses were performed using an Agilent Technologies 7890B Gas Chromatography System coupled to an Agilent Technologies 5977A Mass Selective Detector. Each sample was </w:t>
      </w:r>
      <w:proofErr w:type="spellStart"/>
      <w:r w:rsidRPr="00097BB2">
        <w:rPr>
          <w:rFonts w:ascii="Arial" w:hAnsi="Arial" w:cs="Arial"/>
          <w:bCs/>
        </w:rPr>
        <w:t>analysed</w:t>
      </w:r>
      <w:proofErr w:type="spellEnd"/>
      <w:r w:rsidRPr="00097BB2">
        <w:rPr>
          <w:rFonts w:ascii="Arial" w:hAnsi="Arial" w:cs="Arial"/>
          <w:bCs/>
        </w:rPr>
        <w:t xml:space="preserve"> in triplicate to improve analytical reliability.</w:t>
      </w:r>
    </w:p>
    <w:p w14:paraId="3A08CA40" w14:textId="77777777" w:rsidR="00097BB2" w:rsidRDefault="00097BB2" w:rsidP="00097BB2">
      <w:pPr>
        <w:pStyle w:val="Body"/>
        <w:spacing w:after="0"/>
        <w:rPr>
          <w:rFonts w:ascii="Arial" w:hAnsi="Arial" w:cs="Arial"/>
          <w:bCs/>
        </w:rPr>
      </w:pPr>
      <w:r w:rsidRPr="00097BB2">
        <w:rPr>
          <w:rFonts w:ascii="Arial" w:hAnsi="Arial" w:cs="Arial"/>
          <w:bCs/>
        </w:rPr>
        <w:t>During analysis, samples were thermally decomposed to generate characteristic pyrolysis products, which were subsequently separated chromatographically and identified using mass spectrometric detection. Polymer characterization was achieved by comparing the resulting mass spectra with authenticated reference libraries. Consequently, the reported concentrations represent polymer-associated mass concentrations of the operationally defined submicron plastic fraction rather than direct particle counts or true NPs abundances. The principal polymer groups identified included PE, PP, PS, PET, PA, and PVC.</w:t>
      </w:r>
    </w:p>
    <w:p w14:paraId="7E43CF30" w14:textId="77777777" w:rsidR="00097BB2" w:rsidRPr="00097BB2" w:rsidRDefault="00097BB2" w:rsidP="00097BB2">
      <w:pPr>
        <w:pStyle w:val="Body"/>
        <w:spacing w:after="0"/>
        <w:rPr>
          <w:rFonts w:ascii="Arial" w:hAnsi="Arial" w:cs="Arial"/>
          <w:bCs/>
        </w:rPr>
      </w:pPr>
    </w:p>
    <w:p w14:paraId="0A7071C2"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rPr>
        <w:t>2.5 Quality Assurance and Quality Control (QA/QC)</w:t>
      </w:r>
    </w:p>
    <w:p w14:paraId="16C8C2C5" w14:textId="77777777" w:rsidR="00097BB2" w:rsidRPr="00097BB2" w:rsidRDefault="00097BB2" w:rsidP="00097BB2">
      <w:pPr>
        <w:pStyle w:val="Body"/>
        <w:spacing w:after="0"/>
        <w:rPr>
          <w:rFonts w:ascii="Arial" w:hAnsi="Arial" w:cs="Arial"/>
          <w:bCs/>
        </w:rPr>
      </w:pPr>
      <w:r w:rsidRPr="00097BB2">
        <w:rPr>
          <w:rFonts w:ascii="Arial" w:hAnsi="Arial" w:cs="Arial"/>
          <w:bCs/>
        </w:rPr>
        <w:t>A rigorous quality assurance and quality control (QA/QC) mechanism was implemented throughout field sampling, laboratory processing, microscopic examination, and instrumental analysis to minimize contamination and ensure data reliability.</w:t>
      </w:r>
    </w:p>
    <w:p w14:paraId="2EE4C840" w14:textId="77777777" w:rsidR="00097BB2" w:rsidRPr="00097BB2" w:rsidRDefault="00097BB2" w:rsidP="00097BB2">
      <w:pPr>
        <w:pStyle w:val="Body"/>
        <w:spacing w:after="0"/>
        <w:rPr>
          <w:rFonts w:ascii="Arial" w:hAnsi="Arial" w:cs="Arial"/>
          <w:bCs/>
        </w:rPr>
      </w:pPr>
      <w:r w:rsidRPr="00097BB2">
        <w:rPr>
          <w:rFonts w:ascii="Arial" w:hAnsi="Arial" w:cs="Arial"/>
          <w:bCs/>
        </w:rPr>
        <w:t>All sample containers, filtration units, glassware, and metallic instruments were thoroughly washed, rinsed with deionized water, and covered when not in use. Plastic laboratory equipment was avoided wherever possible. Sample preparation and filtration procedures were conducted in a clean laboratory environment, and all exposed surfaces were routinely cleaned before processing.</w:t>
      </w:r>
    </w:p>
    <w:p w14:paraId="19E2FA12" w14:textId="77777777" w:rsidR="00097BB2" w:rsidRPr="00097BB2" w:rsidRDefault="00097BB2" w:rsidP="00097BB2">
      <w:pPr>
        <w:pStyle w:val="Body"/>
        <w:spacing w:after="0"/>
        <w:rPr>
          <w:rFonts w:ascii="Arial" w:hAnsi="Arial" w:cs="Arial"/>
          <w:bCs/>
        </w:rPr>
      </w:pPr>
      <w:r w:rsidRPr="00097BB2">
        <w:rPr>
          <w:rFonts w:ascii="Arial" w:hAnsi="Arial" w:cs="Arial"/>
          <w:bCs/>
        </w:rPr>
        <w:t>To assess potential contamination during field collection and laboratory procedures, both field blanks and procedural blanks were included during each sampling campaign. Blank samples were processed using identical procedures as environmental samples. Any plastic particles detected in blanks were recorded and used to evaluate background contamination, with corrections applied where necessary.</w:t>
      </w:r>
    </w:p>
    <w:p w14:paraId="33A04E92"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To ensure analytical precision, all samples were processed in triplicate and </w:t>
      </w:r>
      <w:proofErr w:type="spellStart"/>
      <w:r w:rsidRPr="00097BB2">
        <w:rPr>
          <w:rFonts w:ascii="Arial" w:hAnsi="Arial" w:cs="Arial"/>
          <w:bCs/>
        </w:rPr>
        <w:t>analysed</w:t>
      </w:r>
      <w:proofErr w:type="spellEnd"/>
      <w:r w:rsidRPr="00097BB2">
        <w:rPr>
          <w:rFonts w:ascii="Arial" w:hAnsi="Arial" w:cs="Arial"/>
          <w:bCs/>
        </w:rPr>
        <w:t xml:space="preserve"> independently. Recovery efficiency was evaluated through laboratory spiking experiments using known quantities of reference plastic particles. Recovery rates between 80 and 120% were considered acceptable for subsequent analyses. Replicate measurements were assessed using relative standard deviation (RSD), and values below 20% were considered indicative of satisfactory analytical reproducibility.</w:t>
      </w:r>
    </w:p>
    <w:p w14:paraId="27F2FC33"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For FTIR analysis, instrument calibration was verified prior to analysis, and polymer assignments were accepted only when spectral matching exceeded 70% similarity with reference libraries. For Py-GC/MS analyses, calibration standards were </w:t>
      </w:r>
      <w:proofErr w:type="spellStart"/>
      <w:r w:rsidRPr="00097BB2">
        <w:rPr>
          <w:rFonts w:ascii="Arial" w:hAnsi="Arial" w:cs="Arial"/>
          <w:bCs/>
        </w:rPr>
        <w:t>analysed</w:t>
      </w:r>
      <w:proofErr w:type="spellEnd"/>
      <w:r w:rsidRPr="00097BB2">
        <w:rPr>
          <w:rFonts w:ascii="Arial" w:hAnsi="Arial" w:cs="Arial"/>
          <w:bCs/>
        </w:rPr>
        <w:t xml:space="preserve"> alongside environmental samples, and instrument performance was verified using replicate injections and reference materials. Each sample was </w:t>
      </w:r>
      <w:proofErr w:type="spellStart"/>
      <w:r w:rsidRPr="00097BB2">
        <w:rPr>
          <w:rFonts w:ascii="Arial" w:hAnsi="Arial" w:cs="Arial"/>
          <w:bCs/>
        </w:rPr>
        <w:t>analysed</w:t>
      </w:r>
      <w:proofErr w:type="spellEnd"/>
      <w:r w:rsidRPr="00097BB2">
        <w:rPr>
          <w:rFonts w:ascii="Arial" w:hAnsi="Arial" w:cs="Arial"/>
          <w:bCs/>
        </w:rPr>
        <w:t xml:space="preserve"> in triplicate, and polymer identification was accepted only when characteristic pyrolysis products corresponded to reference spectra.</w:t>
      </w:r>
    </w:p>
    <w:p w14:paraId="2FC1FD1B" w14:textId="77777777" w:rsidR="00097BB2" w:rsidRDefault="00097BB2" w:rsidP="00097BB2">
      <w:pPr>
        <w:pStyle w:val="Body"/>
        <w:spacing w:after="0"/>
        <w:rPr>
          <w:rFonts w:ascii="Arial" w:hAnsi="Arial" w:cs="Arial"/>
          <w:bCs/>
        </w:rPr>
      </w:pPr>
      <w:r w:rsidRPr="00097BB2">
        <w:rPr>
          <w:rFonts w:ascii="Arial" w:hAnsi="Arial" w:cs="Arial"/>
          <w:bCs/>
        </w:rPr>
        <w:t>Method detection limits (MDLs), analytical reproducibility, and data consistency were further evaluated through replicate analyses and statistical screening for outliers. Despite these precautions, it is acknowledged that particles smaller than the retention capacity of the 0.45 µm ultrafiltration membrane may not have been captured. Consequently, the reported values represent an operationally defined submicron plastic fraction rather than the complete NPs abundance potentially present in the aquatic environment.</w:t>
      </w:r>
    </w:p>
    <w:p w14:paraId="4017C0B6" w14:textId="77777777" w:rsidR="00097BB2" w:rsidRPr="00097BB2" w:rsidRDefault="00097BB2" w:rsidP="00097BB2">
      <w:pPr>
        <w:pStyle w:val="Body"/>
        <w:spacing w:after="0"/>
        <w:rPr>
          <w:rFonts w:ascii="Arial" w:hAnsi="Arial" w:cs="Arial"/>
          <w:bCs/>
        </w:rPr>
      </w:pPr>
    </w:p>
    <w:p w14:paraId="6A48E007" w14:textId="77777777" w:rsidR="00097BB2" w:rsidRPr="00097BB2" w:rsidRDefault="00097BB2" w:rsidP="00097BB2">
      <w:pPr>
        <w:pStyle w:val="Body"/>
        <w:spacing w:after="0"/>
        <w:rPr>
          <w:rFonts w:ascii="Arial" w:hAnsi="Arial" w:cs="Arial"/>
          <w:b/>
          <w:bCs/>
          <w:sz w:val="22"/>
          <w:szCs w:val="22"/>
        </w:rPr>
      </w:pPr>
      <w:r w:rsidRPr="00097BB2">
        <w:rPr>
          <w:rFonts w:ascii="Arial" w:hAnsi="Arial" w:cs="Arial"/>
          <w:b/>
          <w:bCs/>
          <w:sz w:val="22"/>
          <w:szCs w:val="22"/>
          <w:lang w:val="en-GB"/>
        </w:rPr>
        <w:t>2.6 Statistical Analysis</w:t>
      </w:r>
    </w:p>
    <w:p w14:paraId="08C76B8D" w14:textId="77777777" w:rsidR="00097BB2" w:rsidRPr="00097BB2" w:rsidRDefault="00097BB2" w:rsidP="00097BB2">
      <w:pPr>
        <w:pStyle w:val="Body"/>
        <w:spacing w:after="0"/>
        <w:rPr>
          <w:rFonts w:ascii="Arial" w:hAnsi="Arial" w:cs="Arial"/>
          <w:bCs/>
        </w:rPr>
      </w:pPr>
      <w:r w:rsidRPr="00097BB2">
        <w:rPr>
          <w:rFonts w:ascii="Arial" w:hAnsi="Arial" w:cs="Arial"/>
          <w:bCs/>
        </w:rPr>
        <w:t>Data was tabulated using Microsoft Excel, 2013. Analysis of variance (ANOVA) was conducted with SPSS version 26 software. Similarly, a multivariate Statistics (Canonical Correspondence Analysis - CCA) was also employed using the Paleontological Statistics (PAST) version 4.40 software to aid in identifying the patterns of distribution of the MNPs and its relationship with other water quality across different sampling points.</w:t>
      </w:r>
    </w:p>
    <w:p w14:paraId="6575AF20" w14:textId="77777777" w:rsidR="00097BB2" w:rsidRPr="00097BB2" w:rsidRDefault="00097BB2" w:rsidP="00097BB2">
      <w:pPr>
        <w:pStyle w:val="Body"/>
        <w:spacing w:after="0"/>
        <w:rPr>
          <w:rFonts w:ascii="Arial" w:hAnsi="Arial" w:cs="Arial"/>
          <w:bCs/>
        </w:rPr>
      </w:pPr>
      <w:r w:rsidRPr="00097BB2">
        <w:rPr>
          <w:rFonts w:ascii="Arial" w:hAnsi="Arial" w:cs="Arial"/>
          <w:bCs/>
        </w:rPr>
        <w:t xml:space="preserve">Microplastics was quantified based on the number of plastic particles per liter (pp/L) whereas NPs was quantified based on the concentration of characteristic pyrolysis products and expressed in µg/L. the calibration curves </w:t>
      </w:r>
      <w:proofErr w:type="gramStart"/>
      <w:r w:rsidRPr="00097BB2">
        <w:rPr>
          <w:rFonts w:ascii="Arial" w:hAnsi="Arial" w:cs="Arial"/>
          <w:bCs/>
        </w:rPr>
        <w:t>was</w:t>
      </w:r>
      <w:proofErr w:type="gramEnd"/>
      <w:r w:rsidRPr="00097BB2">
        <w:rPr>
          <w:rFonts w:ascii="Arial" w:hAnsi="Arial" w:cs="Arial"/>
          <w:bCs/>
        </w:rPr>
        <w:t xml:space="preserve"> prepared using known concentrations of polymer standards.</w:t>
      </w:r>
    </w:p>
    <w:p w14:paraId="6ECC5396" w14:textId="77777777" w:rsidR="00097BB2" w:rsidRPr="00097BB2" w:rsidRDefault="00097BB2" w:rsidP="00097BB2">
      <w:pPr>
        <w:pStyle w:val="Body"/>
        <w:spacing w:after="0"/>
        <w:rPr>
          <w:rFonts w:ascii="Arial" w:hAnsi="Arial" w:cs="Arial"/>
          <w:bCs/>
        </w:rPr>
      </w:pPr>
    </w:p>
    <w:p w14:paraId="2FAF9016" w14:textId="77777777" w:rsidR="00097BB2" w:rsidRPr="00097BB2" w:rsidRDefault="00097BB2" w:rsidP="00097BB2">
      <w:pPr>
        <w:pStyle w:val="Body"/>
        <w:spacing w:after="0"/>
        <w:rPr>
          <w:rFonts w:ascii="Arial" w:hAnsi="Arial" w:cs="Arial"/>
          <w:bCs/>
          <w:i/>
        </w:rPr>
      </w:pPr>
      <w:bookmarkStart w:id="0" w:name="_Toc196556389"/>
      <w:r w:rsidRPr="00097BB2">
        <w:rPr>
          <w:rFonts w:ascii="Arial" w:hAnsi="Arial" w:cs="Arial"/>
          <w:bCs/>
          <w:i/>
        </w:rPr>
        <w:t>2.6.1 Abundance of plastic particles</w:t>
      </w:r>
      <w:bookmarkEnd w:id="0"/>
    </w:p>
    <w:p w14:paraId="7D3779B9" w14:textId="77777777" w:rsidR="00097BB2" w:rsidRPr="00097BB2" w:rsidRDefault="00097BB2" w:rsidP="00097BB2">
      <w:pPr>
        <w:pStyle w:val="Body"/>
        <w:rPr>
          <w:rFonts w:ascii="Arial" w:hAnsi="Arial" w:cs="Arial"/>
          <w:bCs/>
        </w:rPr>
      </w:pPr>
      <w:r w:rsidRPr="00097BB2">
        <w:rPr>
          <w:rFonts w:ascii="Arial" w:hAnsi="Arial" w:cs="Arial"/>
          <w:bCs/>
        </w:rPr>
        <w:t xml:space="preserve">The abundance of plastic particles </w:t>
      </w:r>
      <w:proofErr w:type="gramStart"/>
      <w:r w:rsidRPr="00097BB2">
        <w:rPr>
          <w:rFonts w:ascii="Arial" w:hAnsi="Arial" w:cs="Arial"/>
          <w:bCs/>
        </w:rPr>
        <w:t>were</w:t>
      </w:r>
      <w:proofErr w:type="gramEnd"/>
      <w:r w:rsidRPr="00097BB2">
        <w:rPr>
          <w:rFonts w:ascii="Arial" w:hAnsi="Arial" w:cs="Arial"/>
          <w:bCs/>
        </w:rPr>
        <w:t xml:space="preserve"> estimated using formula cited in </w:t>
      </w:r>
      <w:proofErr w:type="spellStart"/>
      <w:r w:rsidRPr="00097BB2">
        <w:rPr>
          <w:rFonts w:ascii="Arial" w:hAnsi="Arial" w:cs="Arial"/>
          <w:bCs/>
        </w:rPr>
        <w:t>Sanabil</w:t>
      </w:r>
      <w:proofErr w:type="spellEnd"/>
      <w:r w:rsidRPr="00097BB2">
        <w:rPr>
          <w:rFonts w:ascii="Arial" w:hAnsi="Arial" w:cs="Arial"/>
          <w:bCs/>
        </w:rPr>
        <w:t xml:space="preserve">, Hadi &amp; </w:t>
      </w:r>
      <w:proofErr w:type="spellStart"/>
      <w:r w:rsidRPr="00097BB2">
        <w:rPr>
          <w:rFonts w:ascii="Arial" w:hAnsi="Arial" w:cs="Arial"/>
          <w:bCs/>
        </w:rPr>
        <w:t>Zummah</w:t>
      </w:r>
      <w:proofErr w:type="spellEnd"/>
      <w:r w:rsidRPr="00097BB2">
        <w:rPr>
          <w:rFonts w:ascii="Arial" w:hAnsi="Arial" w:cs="Arial"/>
          <w:bCs/>
        </w:rPr>
        <w:t xml:space="preserve"> (2022) as follows:</w:t>
      </w:r>
    </w:p>
    <w:p w14:paraId="5445B753" w14:textId="77777777" w:rsidR="00097BB2" w:rsidRPr="00097BB2" w:rsidRDefault="00097BB2" w:rsidP="00097BB2">
      <w:pPr>
        <w:pStyle w:val="Body"/>
        <w:rPr>
          <w:rFonts w:ascii="Arial" w:hAnsi="Arial" w:cs="Arial"/>
          <w:bCs/>
        </w:rPr>
      </w:pPr>
      <w:r w:rsidRPr="00097BB2">
        <w:rPr>
          <w:rFonts w:ascii="Arial" w:hAnsi="Arial" w:cs="Arial"/>
          <w:bCs/>
        </w:rPr>
        <w:lastRenderedPageBreak/>
        <w:t>The abundance of plastic particles in surface water is estimated as</w:t>
      </w:r>
    </w:p>
    <w:p w14:paraId="1196D494" w14:textId="77777777" w:rsidR="00097BB2" w:rsidRPr="00097BB2" w:rsidRDefault="00097BB2" w:rsidP="00097BB2">
      <w:pPr>
        <w:pStyle w:val="Body"/>
        <w:rPr>
          <w:rFonts w:ascii="Arial" w:hAnsi="Arial" w:cs="Arial"/>
          <w:bCs/>
        </w:rPr>
      </w:pPr>
      <m:oMath>
        <m:r>
          <m:rPr>
            <m:sty m:val="p"/>
          </m:rPr>
          <w:rPr>
            <w:rFonts w:ascii="Cambria Math" w:hAnsi="Cambria Math" w:cs="Arial"/>
          </w:rPr>
          <m:t>Abundance of p.p in water</m:t>
        </m:r>
        <m:r>
          <w:rPr>
            <w:rFonts w:ascii="Cambria Math" w:hAnsi="Cambria Math" w:cs="Arial"/>
          </w:rPr>
          <m:t>=</m:t>
        </m:r>
        <m:f>
          <m:fPr>
            <m:ctrlPr>
              <w:rPr>
                <w:rFonts w:ascii="Cambria Math" w:hAnsi="Cambria Math" w:cs="Arial"/>
                <w:b/>
                <w:bCs/>
              </w:rPr>
            </m:ctrlPr>
          </m:fPr>
          <m:num>
            <m:r>
              <m:rPr>
                <m:sty m:val="b"/>
              </m:rPr>
              <w:rPr>
                <w:rFonts w:ascii="Cambria Math" w:hAnsi="Cambria Math" w:cs="Arial"/>
              </w:rPr>
              <m:t>∑</m:t>
            </m:r>
            <m:r>
              <m:rPr>
                <m:sty m:val="bi"/>
              </m:rPr>
              <w:rPr>
                <w:rFonts w:ascii="Cambria Math" w:hAnsi="Cambria Math" w:cs="Arial"/>
              </w:rPr>
              <m:t>p.p</m:t>
            </m:r>
          </m:num>
          <m:den>
            <m:r>
              <m:rPr>
                <m:sty m:val="bi"/>
              </m:rPr>
              <w:rPr>
                <w:rFonts w:ascii="Cambria Math" w:hAnsi="Cambria Math" w:cs="Arial"/>
              </w:rPr>
              <m:t>vol.</m:t>
            </m:r>
          </m:den>
        </m:f>
      </m:oMath>
      <w:r w:rsidRPr="00097BB2">
        <w:rPr>
          <w:rFonts w:ascii="Arial" w:hAnsi="Arial" w:cs="Arial"/>
          <w:bCs/>
        </w:rPr>
        <w:t xml:space="preserve">   </w:t>
      </w:r>
    </w:p>
    <w:p w14:paraId="6265FB0B" w14:textId="77777777" w:rsidR="00097BB2" w:rsidRPr="00097BB2" w:rsidRDefault="00097BB2" w:rsidP="00097BB2">
      <w:pPr>
        <w:pStyle w:val="Body"/>
        <w:rPr>
          <w:rFonts w:ascii="Arial" w:hAnsi="Arial" w:cs="Arial"/>
          <w:bCs/>
        </w:rPr>
      </w:pPr>
      <w:r w:rsidRPr="00097BB2">
        <w:rPr>
          <w:rFonts w:ascii="Arial" w:hAnsi="Arial" w:cs="Arial"/>
          <w:bCs/>
        </w:rPr>
        <w:t xml:space="preserve">Where </w:t>
      </w:r>
      <m:oMath>
        <m:r>
          <m:rPr>
            <m:sty m:val="b"/>
          </m:rPr>
          <w:rPr>
            <w:rFonts w:ascii="Cambria Math" w:hAnsi="Cambria Math" w:cs="Arial"/>
          </w:rPr>
          <m:t>∑</m:t>
        </m:r>
        <m:r>
          <m:rPr>
            <m:sty m:val="bi"/>
          </m:rPr>
          <w:rPr>
            <w:rFonts w:ascii="Cambria Math" w:hAnsi="Cambria Math" w:cs="Arial"/>
          </w:rPr>
          <m:t>p.p</m:t>
        </m:r>
      </m:oMath>
      <w:r w:rsidRPr="00097BB2">
        <w:rPr>
          <w:rFonts w:ascii="Arial" w:hAnsi="Arial" w:cs="Arial"/>
          <w:bCs/>
        </w:rPr>
        <w:t xml:space="preserve"> – summation of plastic particles (MPs and NPs respectively) in the surface water</w:t>
      </w:r>
    </w:p>
    <w:p w14:paraId="7D5CC78F" w14:textId="77777777" w:rsidR="00097BB2" w:rsidRDefault="00097BB2" w:rsidP="00097BB2">
      <w:pPr>
        <w:pStyle w:val="Body"/>
        <w:spacing w:after="0"/>
        <w:rPr>
          <w:rFonts w:ascii="Arial" w:hAnsi="Arial" w:cs="Arial"/>
          <w:bCs/>
        </w:rPr>
      </w:pPr>
      <w:r w:rsidRPr="00097BB2">
        <w:rPr>
          <w:rFonts w:ascii="Arial" w:hAnsi="Arial" w:cs="Arial"/>
          <w:b/>
          <w:bCs/>
        </w:rPr>
        <w:t xml:space="preserve"> Vol</w:t>
      </w:r>
      <w:r w:rsidRPr="00097BB2">
        <w:rPr>
          <w:rFonts w:ascii="Arial" w:hAnsi="Arial" w:cs="Arial"/>
          <w:bCs/>
        </w:rPr>
        <w:t xml:space="preserve">. – volume of water sample (20 </w:t>
      </w:r>
      <w:proofErr w:type="spellStart"/>
      <w:r w:rsidRPr="00097BB2">
        <w:rPr>
          <w:rFonts w:ascii="Arial" w:hAnsi="Arial" w:cs="Arial"/>
          <w:bCs/>
        </w:rPr>
        <w:t>litres</w:t>
      </w:r>
      <w:proofErr w:type="spellEnd"/>
      <w:r w:rsidRPr="00097BB2">
        <w:rPr>
          <w:rFonts w:ascii="Arial" w:hAnsi="Arial" w:cs="Arial"/>
          <w:bCs/>
        </w:rPr>
        <w:t>).</w:t>
      </w:r>
    </w:p>
    <w:p w14:paraId="6B60AEBC" w14:textId="77777777" w:rsidR="00097BB2" w:rsidRDefault="00097BB2" w:rsidP="00097BB2">
      <w:pPr>
        <w:pStyle w:val="Body"/>
        <w:spacing w:after="0"/>
        <w:rPr>
          <w:rFonts w:ascii="Arial" w:hAnsi="Arial" w:cs="Arial"/>
          <w:bCs/>
        </w:rPr>
      </w:pPr>
    </w:p>
    <w:p w14:paraId="771C50D0" w14:textId="77777777" w:rsidR="00097BB2" w:rsidRDefault="00097BB2" w:rsidP="00097BB2">
      <w:pPr>
        <w:pStyle w:val="Body"/>
        <w:spacing w:after="0"/>
        <w:rPr>
          <w:rFonts w:ascii="Arial" w:hAnsi="Arial" w:cs="Arial"/>
          <w:bCs/>
        </w:rPr>
      </w:pPr>
    </w:p>
    <w:p w14:paraId="145538C5"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46FA520" w14:textId="77777777" w:rsidR="00790ADA" w:rsidRPr="00FB3A86" w:rsidRDefault="00790ADA" w:rsidP="00441B6F">
      <w:pPr>
        <w:pStyle w:val="Head1"/>
        <w:spacing w:after="0"/>
        <w:jc w:val="both"/>
        <w:rPr>
          <w:rFonts w:ascii="Arial" w:hAnsi="Arial" w:cs="Arial"/>
        </w:rPr>
      </w:pPr>
    </w:p>
    <w:p w14:paraId="6A1E8202" w14:textId="77777777" w:rsidR="00097BB2" w:rsidRPr="00097BB2" w:rsidRDefault="00097BB2" w:rsidP="00097BB2">
      <w:pPr>
        <w:pStyle w:val="Body"/>
        <w:spacing w:after="0"/>
        <w:rPr>
          <w:rFonts w:ascii="Arial" w:hAnsi="Arial" w:cs="Arial"/>
          <w:b/>
          <w:sz w:val="22"/>
          <w:szCs w:val="22"/>
        </w:rPr>
      </w:pPr>
      <w:r w:rsidRPr="00097BB2">
        <w:rPr>
          <w:rFonts w:ascii="Arial" w:hAnsi="Arial" w:cs="Arial"/>
          <w:b/>
          <w:sz w:val="22"/>
          <w:szCs w:val="22"/>
        </w:rPr>
        <w:t>3.1 Results</w:t>
      </w:r>
    </w:p>
    <w:p w14:paraId="2F6E6836" w14:textId="77777777" w:rsidR="00097BB2" w:rsidRPr="00097BB2" w:rsidRDefault="00097BB2" w:rsidP="00097BB2">
      <w:pPr>
        <w:pStyle w:val="Body"/>
        <w:rPr>
          <w:rFonts w:ascii="Arial" w:hAnsi="Arial" w:cs="Arial"/>
          <w:b/>
          <w:lang w:val="en-GB"/>
        </w:rPr>
      </w:pPr>
      <w:r w:rsidRPr="00097BB2">
        <w:rPr>
          <w:rFonts w:ascii="Arial" w:hAnsi="Arial" w:cs="Arial"/>
          <w:b/>
          <w:lang w:val="en-GB"/>
        </w:rPr>
        <w:t>3.1.1 Water quality of the River Ngadda</w:t>
      </w:r>
    </w:p>
    <w:p w14:paraId="39A09F28" w14:textId="77777777" w:rsidR="00097BB2" w:rsidRPr="00097BB2" w:rsidRDefault="00097BB2" w:rsidP="00097BB2">
      <w:pPr>
        <w:pStyle w:val="Body"/>
        <w:spacing w:after="0"/>
        <w:rPr>
          <w:rFonts w:ascii="Arial" w:hAnsi="Arial" w:cs="Arial"/>
        </w:rPr>
      </w:pPr>
      <w:r w:rsidRPr="00097BB2">
        <w:rPr>
          <w:rFonts w:ascii="Arial" w:hAnsi="Arial" w:cs="Arial"/>
        </w:rPr>
        <w:t xml:space="preserve">The study </w:t>
      </w:r>
      <w:proofErr w:type="gramStart"/>
      <w:r w:rsidRPr="00097BB2">
        <w:rPr>
          <w:rFonts w:ascii="Arial" w:hAnsi="Arial" w:cs="Arial"/>
        </w:rPr>
        <w:t>reveal</w:t>
      </w:r>
      <w:proofErr w:type="gramEnd"/>
      <w:r w:rsidRPr="00097BB2">
        <w:rPr>
          <w:rFonts w:ascii="Arial" w:hAnsi="Arial" w:cs="Arial"/>
        </w:rPr>
        <w:t xml:space="preserve"> the mean seasonal water quality of river Ngadda as shown in </w:t>
      </w:r>
      <w:r w:rsidRPr="00097BB2">
        <w:rPr>
          <w:rFonts w:ascii="Arial" w:hAnsi="Arial" w:cs="Arial"/>
          <w:b/>
        </w:rPr>
        <w:t xml:space="preserve">Table 1 </w:t>
      </w:r>
      <w:r w:rsidRPr="00097BB2">
        <w:rPr>
          <w:rFonts w:ascii="Arial" w:hAnsi="Arial" w:cs="Arial"/>
        </w:rPr>
        <w:t>which</w:t>
      </w:r>
      <w:r w:rsidRPr="00097BB2">
        <w:rPr>
          <w:rFonts w:ascii="Arial" w:hAnsi="Arial" w:cs="Arial"/>
          <w:b/>
        </w:rPr>
        <w:t xml:space="preserve"> </w:t>
      </w:r>
      <w:r w:rsidRPr="00097BB2">
        <w:rPr>
          <w:rFonts w:ascii="Arial" w:hAnsi="Arial" w:cs="Arial"/>
        </w:rPr>
        <w:t>indicate that all the measured parameters were within the World Health Organization (WHO) and the National Environmental Standards and Regulations Enforcement Agency (NESREA) permissible limits. The results indicate that temperature, TDS, EC and NO</w:t>
      </w:r>
      <w:r w:rsidRPr="00097BB2">
        <w:rPr>
          <w:rFonts w:ascii="Arial" w:hAnsi="Arial" w:cs="Arial"/>
          <w:vertAlign w:val="subscript"/>
        </w:rPr>
        <w:t>3</w:t>
      </w:r>
      <w:r w:rsidRPr="00097BB2">
        <w:rPr>
          <w:rFonts w:ascii="Arial" w:hAnsi="Arial" w:cs="Arial"/>
        </w:rPr>
        <w:t xml:space="preserve"> were higher during the dry than the wet seasons whereas pH and SO</w:t>
      </w:r>
      <w:r w:rsidRPr="00097BB2">
        <w:rPr>
          <w:rFonts w:ascii="Arial" w:hAnsi="Arial" w:cs="Arial"/>
          <w:vertAlign w:val="subscript"/>
        </w:rPr>
        <w:t xml:space="preserve">4 </w:t>
      </w:r>
      <w:r w:rsidRPr="00097BB2">
        <w:rPr>
          <w:rFonts w:ascii="Arial" w:hAnsi="Arial" w:cs="Arial"/>
        </w:rPr>
        <w:t>were higher during the wet than the dry seasons across all the sampling stations.</w:t>
      </w:r>
    </w:p>
    <w:p w14:paraId="62069C91" w14:textId="77777777" w:rsidR="00097BB2" w:rsidRPr="00097BB2" w:rsidRDefault="00097BB2" w:rsidP="00097BB2">
      <w:pPr>
        <w:pStyle w:val="Body"/>
        <w:spacing w:after="0"/>
        <w:rPr>
          <w:rFonts w:ascii="Arial" w:hAnsi="Arial" w:cs="Arial"/>
        </w:rPr>
      </w:pPr>
      <w:r w:rsidRPr="00097BB2">
        <w:rPr>
          <w:rFonts w:ascii="Arial" w:hAnsi="Arial" w:cs="Arial"/>
        </w:rPr>
        <w:t xml:space="preserve">Furthermore, the study reveal that temperature range from 31.8±1.42 - 32.6±1.38 </w:t>
      </w:r>
      <w:r w:rsidRPr="00097BB2">
        <w:rPr>
          <w:rFonts w:ascii="Cambria Math" w:hAnsi="Cambria Math" w:cs="Cambria Math"/>
          <w:bCs/>
        </w:rPr>
        <w:t>℃</w:t>
      </w:r>
      <w:r w:rsidRPr="00097BB2">
        <w:rPr>
          <w:rFonts w:ascii="Arial" w:hAnsi="Arial" w:cs="Arial"/>
        </w:rPr>
        <w:t xml:space="preserve"> (in station F and E respectively) during the dry season and 30.0±2.10 - 31.7±1.3 </w:t>
      </w:r>
      <w:r w:rsidRPr="00097BB2">
        <w:rPr>
          <w:rFonts w:ascii="Cambria Math" w:hAnsi="Cambria Math" w:cs="Cambria Math"/>
          <w:bCs/>
        </w:rPr>
        <w:t>℃</w:t>
      </w:r>
      <w:r w:rsidRPr="00097BB2">
        <w:rPr>
          <w:rFonts w:ascii="Arial" w:hAnsi="Arial" w:cs="Arial"/>
        </w:rPr>
        <w:t xml:space="preserve"> (in station A and D respectively) during the wet season. The concentration of hydrogen ions (H</w:t>
      </w:r>
      <w:r w:rsidRPr="00097BB2">
        <w:rPr>
          <w:rFonts w:ascii="Arial" w:hAnsi="Arial" w:cs="Arial"/>
          <w:vertAlign w:val="superscript"/>
        </w:rPr>
        <w:t>+</w:t>
      </w:r>
      <w:r w:rsidRPr="00097BB2">
        <w:rPr>
          <w:rFonts w:ascii="Arial" w:hAnsi="Arial" w:cs="Arial"/>
        </w:rPr>
        <w:t xml:space="preserve">) (potentia Hydrogenii –pH) range from 7.27±0.24 - 7.71±0.19 (in station C and E respectively) during dry season; and 7.94±0.06 - 8.41±0.49 (in station E and A respectively) during the wet season. Similarly, TDS range from 179±22.4 - 463±287.5 ppm (in station B and F respectively) during the dry season and 157±27.5 - 245±92.5 ppm (in station A and C respectively) during the wet season. Electrical conductivity </w:t>
      </w:r>
      <w:proofErr w:type="gramStart"/>
      <w:r w:rsidRPr="00097BB2">
        <w:rPr>
          <w:rFonts w:ascii="Arial" w:hAnsi="Arial" w:cs="Arial"/>
        </w:rPr>
        <w:t>range</w:t>
      </w:r>
      <w:proofErr w:type="gramEnd"/>
      <w:r w:rsidRPr="00097BB2">
        <w:rPr>
          <w:rFonts w:ascii="Arial" w:hAnsi="Arial" w:cs="Arial"/>
        </w:rPr>
        <w:t xml:space="preserve"> from 330±60.1 – 434±44.0 </w:t>
      </w:r>
      <w:proofErr w:type="spellStart"/>
      <w:r w:rsidRPr="00097BB2">
        <w:rPr>
          <w:rFonts w:ascii="Arial" w:hAnsi="Arial" w:cs="Arial"/>
          <w:bCs/>
        </w:rPr>
        <w:t>μS</w:t>
      </w:r>
      <w:proofErr w:type="spellEnd"/>
      <w:r w:rsidRPr="00097BB2">
        <w:rPr>
          <w:rFonts w:ascii="Arial" w:hAnsi="Arial" w:cs="Arial"/>
          <w:bCs/>
        </w:rPr>
        <w:t>/cm</w:t>
      </w:r>
      <w:r w:rsidRPr="00097BB2">
        <w:rPr>
          <w:rFonts w:ascii="Arial" w:hAnsi="Arial" w:cs="Arial"/>
        </w:rPr>
        <w:t xml:space="preserve"> (in station B and F respectively) and 271±92.7 – 301±30.7 </w:t>
      </w:r>
      <w:proofErr w:type="spellStart"/>
      <w:r w:rsidRPr="00097BB2">
        <w:rPr>
          <w:rFonts w:ascii="Arial" w:hAnsi="Arial" w:cs="Arial"/>
          <w:bCs/>
        </w:rPr>
        <w:t>μS</w:t>
      </w:r>
      <w:proofErr w:type="spellEnd"/>
      <w:r w:rsidRPr="00097BB2">
        <w:rPr>
          <w:rFonts w:ascii="Arial" w:hAnsi="Arial" w:cs="Arial"/>
          <w:bCs/>
        </w:rPr>
        <w:t>/cm</w:t>
      </w:r>
      <w:r w:rsidRPr="00097BB2">
        <w:rPr>
          <w:rFonts w:ascii="Arial" w:hAnsi="Arial" w:cs="Arial"/>
        </w:rPr>
        <w:t xml:space="preserve"> (in station C and B respectively). Nitrate (NO</w:t>
      </w:r>
      <w:r w:rsidRPr="00097BB2">
        <w:rPr>
          <w:rFonts w:ascii="Arial" w:hAnsi="Arial" w:cs="Arial"/>
          <w:vertAlign w:val="subscript"/>
        </w:rPr>
        <w:t>3</w:t>
      </w:r>
      <w:r w:rsidRPr="00097BB2">
        <w:rPr>
          <w:rFonts w:ascii="Arial" w:hAnsi="Arial" w:cs="Arial"/>
        </w:rPr>
        <w:t>) was discovered to range from 27.00±2.48 - 30.88±3.51 mg/L (in station F and B respectively) during the dry season and 26.35±7.04 – 29.80±8.03 mg/L (in station F and E respectively) during the wet season. Additionally, sulphate (SO</w:t>
      </w:r>
      <w:r w:rsidRPr="00097BB2">
        <w:rPr>
          <w:rFonts w:ascii="Arial" w:hAnsi="Arial" w:cs="Arial"/>
          <w:vertAlign w:val="subscript"/>
        </w:rPr>
        <w:t>4</w:t>
      </w:r>
      <w:r w:rsidRPr="00097BB2">
        <w:rPr>
          <w:rFonts w:ascii="Arial" w:hAnsi="Arial" w:cs="Arial"/>
        </w:rPr>
        <w:t>) during the dry season range from 13.50±8.61 – 24.75±20.28 mg/L (in station B and F respectively).</w:t>
      </w:r>
    </w:p>
    <w:p w14:paraId="32B15B1E" w14:textId="77777777" w:rsidR="00097BB2" w:rsidRPr="00097BB2" w:rsidRDefault="00097BB2" w:rsidP="00097BB2">
      <w:pPr>
        <w:pStyle w:val="Body"/>
        <w:spacing w:after="0"/>
        <w:rPr>
          <w:rFonts w:ascii="Arial" w:hAnsi="Arial" w:cs="Arial"/>
        </w:rPr>
        <w:sectPr w:rsidR="00097BB2" w:rsidRPr="00097BB2" w:rsidSect="00892B12">
          <w:headerReference w:type="even" r:id="rId15"/>
          <w:headerReference w:type="default" r:id="rId16"/>
          <w:footerReference w:type="default" r:id="rId17"/>
          <w:headerReference w:type="first" r:id="rId18"/>
          <w:type w:val="continuous"/>
          <w:pgSz w:w="12240" w:h="15840"/>
          <w:pgMar w:top="1440" w:right="1440" w:bottom="1440" w:left="1890" w:header="720" w:footer="720" w:gutter="0"/>
          <w:pgNumType w:start="1"/>
          <w:cols w:space="720"/>
          <w:docGrid w:linePitch="360"/>
        </w:sectPr>
      </w:pPr>
    </w:p>
    <w:p w14:paraId="59014BB7" w14:textId="77777777" w:rsidR="00097BB2" w:rsidRPr="00097BB2" w:rsidRDefault="00097BB2" w:rsidP="00097BB2">
      <w:pPr>
        <w:pStyle w:val="Body"/>
        <w:rPr>
          <w:rFonts w:ascii="Arial" w:hAnsi="Arial" w:cs="Arial"/>
        </w:rPr>
      </w:pPr>
      <w:bookmarkStart w:id="1" w:name="_Hlk71288655"/>
      <w:bookmarkStart w:id="2" w:name="_Hlk73089340"/>
      <w:r w:rsidRPr="00097BB2">
        <w:rPr>
          <w:rFonts w:ascii="Arial" w:hAnsi="Arial" w:cs="Arial"/>
          <w:b/>
          <w:bCs/>
        </w:rPr>
        <w:lastRenderedPageBreak/>
        <w:t>Table 1</w:t>
      </w:r>
      <w:r w:rsidRPr="00097BB2">
        <w:rPr>
          <w:rFonts w:ascii="Arial" w:hAnsi="Arial" w:cs="Arial"/>
          <w:bCs/>
        </w:rPr>
        <w:t>: Mean Seasonal</w:t>
      </w:r>
      <w:r w:rsidRPr="00097BB2">
        <w:rPr>
          <w:rFonts w:ascii="Arial" w:hAnsi="Arial" w:cs="Arial"/>
          <w:b/>
          <w:bCs/>
        </w:rPr>
        <w:t xml:space="preserve"> </w:t>
      </w:r>
      <w:r w:rsidRPr="00097BB2">
        <w:rPr>
          <w:rFonts w:ascii="Arial" w:hAnsi="Arial" w:cs="Arial"/>
        </w:rPr>
        <w:t>Surface Water Quality of River Ngadda</w:t>
      </w:r>
    </w:p>
    <w:tbl>
      <w:tblPr>
        <w:tblW w:w="13897" w:type="dxa"/>
        <w:tblInd w:w="-147" w:type="dxa"/>
        <w:tblBorders>
          <w:top w:val="single" w:sz="4" w:space="0" w:color="auto"/>
          <w:bottom w:val="single" w:sz="4" w:space="0" w:color="auto"/>
        </w:tblBorders>
        <w:tblLayout w:type="fixed"/>
        <w:tblLook w:val="04A0" w:firstRow="1" w:lastRow="0" w:firstColumn="1" w:lastColumn="0" w:noHBand="0" w:noVBand="1"/>
      </w:tblPr>
      <w:tblGrid>
        <w:gridCol w:w="1281"/>
        <w:gridCol w:w="992"/>
        <w:gridCol w:w="992"/>
        <w:gridCol w:w="992"/>
        <w:gridCol w:w="993"/>
        <w:gridCol w:w="992"/>
        <w:gridCol w:w="992"/>
        <w:gridCol w:w="992"/>
        <w:gridCol w:w="993"/>
        <w:gridCol w:w="1134"/>
        <w:gridCol w:w="1134"/>
        <w:gridCol w:w="1134"/>
        <w:gridCol w:w="1134"/>
        <w:gridCol w:w="142"/>
      </w:tblGrid>
      <w:tr w:rsidR="00097BB2" w:rsidRPr="00AE577C" w14:paraId="7371C1E6" w14:textId="77777777" w:rsidTr="00D34D96">
        <w:trPr>
          <w:gridAfter w:val="1"/>
          <w:wAfter w:w="142" w:type="dxa"/>
          <w:trHeight w:val="290"/>
        </w:trPr>
        <w:tc>
          <w:tcPr>
            <w:tcW w:w="1281" w:type="dxa"/>
            <w:tcBorders>
              <w:top w:val="single" w:sz="4" w:space="0" w:color="auto"/>
              <w:bottom w:val="nil"/>
            </w:tcBorders>
            <w:noWrap/>
            <w:vAlign w:val="bottom"/>
          </w:tcPr>
          <w:bookmarkEnd w:id="1"/>
          <w:p w14:paraId="21C27FB4"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Parameters</w:t>
            </w:r>
          </w:p>
        </w:tc>
        <w:tc>
          <w:tcPr>
            <w:tcW w:w="1984" w:type="dxa"/>
            <w:gridSpan w:val="2"/>
            <w:tcBorders>
              <w:top w:val="single" w:sz="4" w:space="0" w:color="auto"/>
              <w:bottom w:val="nil"/>
            </w:tcBorders>
            <w:noWrap/>
            <w:vAlign w:val="bottom"/>
          </w:tcPr>
          <w:p w14:paraId="3DA9D629"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Temp (</w:t>
            </w:r>
            <w:r w:rsidRPr="00AE577C">
              <w:rPr>
                <w:rFonts w:ascii="Cambria Math" w:hAnsi="Cambria Math" w:cs="Cambria Math"/>
                <w:b/>
                <w:bCs/>
                <w:sz w:val="18"/>
                <w:szCs w:val="18"/>
              </w:rPr>
              <w:t>℃</w:t>
            </w:r>
            <w:r w:rsidRPr="00AE577C">
              <w:rPr>
                <w:rFonts w:ascii="Arial" w:hAnsi="Arial" w:cs="Arial"/>
                <w:b/>
                <w:bCs/>
                <w:sz w:val="18"/>
                <w:szCs w:val="18"/>
              </w:rPr>
              <w:t>)</w:t>
            </w:r>
          </w:p>
        </w:tc>
        <w:tc>
          <w:tcPr>
            <w:tcW w:w="1985" w:type="dxa"/>
            <w:gridSpan w:val="2"/>
            <w:tcBorders>
              <w:top w:val="single" w:sz="4" w:space="0" w:color="auto"/>
              <w:bottom w:val="nil"/>
            </w:tcBorders>
            <w:noWrap/>
            <w:vAlign w:val="bottom"/>
          </w:tcPr>
          <w:p w14:paraId="3789BE75"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pH</w:t>
            </w:r>
          </w:p>
        </w:tc>
        <w:tc>
          <w:tcPr>
            <w:tcW w:w="1984" w:type="dxa"/>
            <w:gridSpan w:val="2"/>
            <w:tcBorders>
              <w:top w:val="single" w:sz="4" w:space="0" w:color="auto"/>
              <w:bottom w:val="nil"/>
            </w:tcBorders>
            <w:noWrap/>
            <w:vAlign w:val="bottom"/>
          </w:tcPr>
          <w:p w14:paraId="3A5C66FF"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TDS (ppm)</w:t>
            </w:r>
          </w:p>
        </w:tc>
        <w:tc>
          <w:tcPr>
            <w:tcW w:w="1985" w:type="dxa"/>
            <w:gridSpan w:val="2"/>
            <w:tcBorders>
              <w:top w:val="single" w:sz="4" w:space="0" w:color="auto"/>
              <w:bottom w:val="nil"/>
            </w:tcBorders>
          </w:tcPr>
          <w:p w14:paraId="05E80BF9"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EC (</w:t>
            </w:r>
            <w:proofErr w:type="spellStart"/>
            <w:r w:rsidRPr="00AE577C">
              <w:rPr>
                <w:rFonts w:ascii="Arial" w:hAnsi="Arial" w:cs="Arial"/>
                <w:b/>
                <w:bCs/>
                <w:sz w:val="18"/>
                <w:szCs w:val="18"/>
              </w:rPr>
              <w:t>μS</w:t>
            </w:r>
            <w:proofErr w:type="spellEnd"/>
            <w:r w:rsidRPr="00AE577C">
              <w:rPr>
                <w:rFonts w:ascii="Arial" w:hAnsi="Arial" w:cs="Arial"/>
                <w:b/>
                <w:bCs/>
                <w:sz w:val="18"/>
                <w:szCs w:val="18"/>
              </w:rPr>
              <w:t>/cm)</w:t>
            </w:r>
          </w:p>
        </w:tc>
        <w:tc>
          <w:tcPr>
            <w:tcW w:w="2268" w:type="dxa"/>
            <w:gridSpan w:val="2"/>
            <w:tcBorders>
              <w:top w:val="single" w:sz="4" w:space="0" w:color="auto"/>
              <w:bottom w:val="nil"/>
            </w:tcBorders>
            <w:noWrap/>
            <w:vAlign w:val="bottom"/>
          </w:tcPr>
          <w:p w14:paraId="321FFFF0"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NO</w:t>
            </w:r>
            <w:r w:rsidRPr="00AE577C">
              <w:rPr>
                <w:rFonts w:ascii="Arial" w:hAnsi="Arial" w:cs="Arial"/>
                <w:b/>
                <w:bCs/>
                <w:sz w:val="18"/>
                <w:szCs w:val="18"/>
                <w:vertAlign w:val="subscript"/>
              </w:rPr>
              <w:t>3</w:t>
            </w:r>
            <w:proofErr w:type="gramStart"/>
            <w:r w:rsidRPr="00AE577C">
              <w:rPr>
                <w:rFonts w:ascii="Arial" w:hAnsi="Arial" w:cs="Arial"/>
                <w:b/>
                <w:bCs/>
                <w:sz w:val="18"/>
                <w:szCs w:val="18"/>
                <w:vertAlign w:val="subscript"/>
              </w:rPr>
              <w:t>-</w:t>
            </w:r>
            <w:r w:rsidRPr="00AE577C">
              <w:rPr>
                <w:rFonts w:ascii="Arial" w:hAnsi="Arial" w:cs="Arial"/>
                <w:b/>
                <w:bCs/>
                <w:sz w:val="18"/>
                <w:szCs w:val="18"/>
              </w:rPr>
              <w:t xml:space="preserve">  (</w:t>
            </w:r>
            <w:proofErr w:type="gramEnd"/>
            <w:r w:rsidRPr="00AE577C">
              <w:rPr>
                <w:rFonts w:ascii="Arial" w:hAnsi="Arial" w:cs="Arial"/>
                <w:b/>
                <w:bCs/>
                <w:sz w:val="18"/>
                <w:szCs w:val="18"/>
              </w:rPr>
              <w:t>mg/L)</w:t>
            </w:r>
          </w:p>
        </w:tc>
        <w:tc>
          <w:tcPr>
            <w:tcW w:w="2268" w:type="dxa"/>
            <w:gridSpan w:val="2"/>
            <w:tcBorders>
              <w:top w:val="single" w:sz="4" w:space="0" w:color="auto"/>
              <w:bottom w:val="nil"/>
            </w:tcBorders>
            <w:noWrap/>
            <w:vAlign w:val="bottom"/>
          </w:tcPr>
          <w:p w14:paraId="10AA61AC" w14:textId="77777777" w:rsidR="00097BB2" w:rsidRPr="00AE577C" w:rsidRDefault="00097BB2" w:rsidP="00703668">
            <w:pPr>
              <w:pStyle w:val="Body"/>
              <w:jc w:val="center"/>
              <w:rPr>
                <w:rFonts w:ascii="Arial" w:hAnsi="Arial" w:cs="Arial"/>
                <w:b/>
                <w:bCs/>
                <w:sz w:val="18"/>
                <w:szCs w:val="18"/>
              </w:rPr>
            </w:pPr>
            <w:r w:rsidRPr="00AE577C">
              <w:rPr>
                <w:rFonts w:ascii="Arial" w:hAnsi="Arial" w:cs="Arial"/>
                <w:b/>
                <w:bCs/>
                <w:sz w:val="18"/>
                <w:szCs w:val="18"/>
              </w:rPr>
              <w:t>SO</w:t>
            </w:r>
            <w:r w:rsidRPr="00AE577C">
              <w:rPr>
                <w:rFonts w:ascii="Arial" w:hAnsi="Arial" w:cs="Arial"/>
                <w:b/>
                <w:bCs/>
                <w:sz w:val="18"/>
                <w:szCs w:val="18"/>
                <w:vertAlign w:val="subscript"/>
              </w:rPr>
              <w:t>4-</w:t>
            </w:r>
            <w:proofErr w:type="gramStart"/>
            <w:r w:rsidRPr="00AE577C">
              <w:rPr>
                <w:rFonts w:ascii="Arial" w:hAnsi="Arial" w:cs="Arial"/>
                <w:b/>
                <w:bCs/>
                <w:sz w:val="18"/>
                <w:szCs w:val="18"/>
              </w:rPr>
              <w:t xml:space="preserve">   (</w:t>
            </w:r>
            <w:proofErr w:type="gramEnd"/>
            <w:r w:rsidRPr="00AE577C">
              <w:rPr>
                <w:rFonts w:ascii="Arial" w:hAnsi="Arial" w:cs="Arial"/>
                <w:b/>
                <w:bCs/>
                <w:sz w:val="18"/>
                <w:szCs w:val="18"/>
              </w:rPr>
              <w:t>mg/L)</w:t>
            </w:r>
          </w:p>
        </w:tc>
      </w:tr>
      <w:tr w:rsidR="00097BB2" w:rsidRPr="00AE577C" w14:paraId="0772C983" w14:textId="77777777" w:rsidTr="00D34D96">
        <w:trPr>
          <w:trHeight w:val="290"/>
        </w:trPr>
        <w:tc>
          <w:tcPr>
            <w:tcW w:w="1281" w:type="dxa"/>
            <w:tcBorders>
              <w:top w:val="nil"/>
              <w:bottom w:val="single" w:sz="4" w:space="0" w:color="auto"/>
            </w:tcBorders>
            <w:noWrap/>
            <w:hideMark/>
          </w:tcPr>
          <w:p w14:paraId="6E287A28"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Station/</w:t>
            </w:r>
          </w:p>
          <w:p w14:paraId="21E33610"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Seasons</w:t>
            </w:r>
          </w:p>
        </w:tc>
        <w:tc>
          <w:tcPr>
            <w:tcW w:w="992" w:type="dxa"/>
            <w:tcBorders>
              <w:top w:val="nil"/>
              <w:bottom w:val="single" w:sz="4" w:space="0" w:color="auto"/>
            </w:tcBorders>
            <w:noWrap/>
            <w:hideMark/>
          </w:tcPr>
          <w:p w14:paraId="249DBC16"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2" w:type="dxa"/>
            <w:tcBorders>
              <w:top w:val="nil"/>
              <w:bottom w:val="single" w:sz="4" w:space="0" w:color="auto"/>
            </w:tcBorders>
            <w:noWrap/>
            <w:hideMark/>
          </w:tcPr>
          <w:p w14:paraId="52455B47"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992" w:type="dxa"/>
            <w:tcBorders>
              <w:top w:val="nil"/>
              <w:bottom w:val="single" w:sz="4" w:space="0" w:color="auto"/>
            </w:tcBorders>
            <w:noWrap/>
            <w:hideMark/>
          </w:tcPr>
          <w:p w14:paraId="49CB90FA"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3" w:type="dxa"/>
            <w:tcBorders>
              <w:top w:val="nil"/>
              <w:bottom w:val="single" w:sz="4" w:space="0" w:color="auto"/>
            </w:tcBorders>
            <w:noWrap/>
            <w:hideMark/>
          </w:tcPr>
          <w:p w14:paraId="2185AD06"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992" w:type="dxa"/>
            <w:tcBorders>
              <w:top w:val="nil"/>
              <w:bottom w:val="single" w:sz="4" w:space="0" w:color="auto"/>
            </w:tcBorders>
            <w:noWrap/>
            <w:hideMark/>
          </w:tcPr>
          <w:p w14:paraId="204B8FBB"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2" w:type="dxa"/>
            <w:tcBorders>
              <w:top w:val="nil"/>
              <w:bottom w:val="single" w:sz="4" w:space="0" w:color="auto"/>
            </w:tcBorders>
            <w:noWrap/>
            <w:hideMark/>
          </w:tcPr>
          <w:p w14:paraId="0DD5B687"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992" w:type="dxa"/>
            <w:tcBorders>
              <w:top w:val="nil"/>
              <w:bottom w:val="single" w:sz="4" w:space="0" w:color="auto"/>
            </w:tcBorders>
          </w:tcPr>
          <w:p w14:paraId="5AC8185B"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993" w:type="dxa"/>
            <w:tcBorders>
              <w:top w:val="nil"/>
              <w:bottom w:val="single" w:sz="4" w:space="0" w:color="auto"/>
            </w:tcBorders>
            <w:noWrap/>
            <w:hideMark/>
          </w:tcPr>
          <w:p w14:paraId="495B478E"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1134" w:type="dxa"/>
            <w:tcBorders>
              <w:top w:val="nil"/>
              <w:bottom w:val="single" w:sz="4" w:space="0" w:color="auto"/>
            </w:tcBorders>
            <w:noWrap/>
            <w:hideMark/>
          </w:tcPr>
          <w:p w14:paraId="4DD4ED06"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1134" w:type="dxa"/>
            <w:tcBorders>
              <w:top w:val="nil"/>
              <w:bottom w:val="single" w:sz="4" w:space="0" w:color="auto"/>
            </w:tcBorders>
          </w:tcPr>
          <w:p w14:paraId="7C95E23B"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c>
          <w:tcPr>
            <w:tcW w:w="1134" w:type="dxa"/>
            <w:tcBorders>
              <w:top w:val="nil"/>
              <w:bottom w:val="single" w:sz="4" w:space="0" w:color="auto"/>
            </w:tcBorders>
            <w:noWrap/>
            <w:hideMark/>
          </w:tcPr>
          <w:p w14:paraId="1D14F695"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Dry</w:t>
            </w:r>
          </w:p>
        </w:tc>
        <w:tc>
          <w:tcPr>
            <w:tcW w:w="1276" w:type="dxa"/>
            <w:gridSpan w:val="2"/>
            <w:tcBorders>
              <w:top w:val="nil"/>
              <w:bottom w:val="single" w:sz="4" w:space="0" w:color="auto"/>
            </w:tcBorders>
          </w:tcPr>
          <w:p w14:paraId="4844836D"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Wet</w:t>
            </w:r>
          </w:p>
        </w:tc>
      </w:tr>
      <w:tr w:rsidR="00097BB2" w:rsidRPr="00AE577C" w14:paraId="451C1616" w14:textId="77777777" w:rsidTr="00D34D96">
        <w:trPr>
          <w:gridAfter w:val="1"/>
          <w:wAfter w:w="142" w:type="dxa"/>
          <w:trHeight w:val="290"/>
        </w:trPr>
        <w:tc>
          <w:tcPr>
            <w:tcW w:w="1281" w:type="dxa"/>
            <w:tcBorders>
              <w:top w:val="single" w:sz="4" w:space="0" w:color="auto"/>
            </w:tcBorders>
            <w:noWrap/>
            <w:vAlign w:val="bottom"/>
            <w:hideMark/>
          </w:tcPr>
          <w:p w14:paraId="59A9630E"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A</w:t>
            </w:r>
          </w:p>
        </w:tc>
        <w:tc>
          <w:tcPr>
            <w:tcW w:w="992" w:type="dxa"/>
            <w:tcBorders>
              <w:top w:val="single" w:sz="4" w:space="0" w:color="auto"/>
            </w:tcBorders>
            <w:noWrap/>
            <w:hideMark/>
          </w:tcPr>
          <w:p w14:paraId="524A005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32.5±0.9</w:t>
            </w:r>
          </w:p>
        </w:tc>
        <w:tc>
          <w:tcPr>
            <w:tcW w:w="992" w:type="dxa"/>
            <w:tcBorders>
              <w:top w:val="single" w:sz="4" w:space="0" w:color="auto"/>
            </w:tcBorders>
            <w:noWrap/>
          </w:tcPr>
          <w:p w14:paraId="7BFB741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30.0±2.1</w:t>
            </w:r>
          </w:p>
        </w:tc>
        <w:tc>
          <w:tcPr>
            <w:tcW w:w="992" w:type="dxa"/>
            <w:tcBorders>
              <w:top w:val="single" w:sz="4" w:space="0" w:color="auto"/>
            </w:tcBorders>
            <w:noWrap/>
          </w:tcPr>
          <w:p w14:paraId="78A1DE4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7.40±0.2</w:t>
            </w:r>
          </w:p>
        </w:tc>
        <w:tc>
          <w:tcPr>
            <w:tcW w:w="993" w:type="dxa"/>
            <w:tcBorders>
              <w:top w:val="single" w:sz="4" w:space="0" w:color="auto"/>
            </w:tcBorders>
            <w:noWrap/>
          </w:tcPr>
          <w:p w14:paraId="74D8A1D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8.41±0.5</w:t>
            </w:r>
          </w:p>
        </w:tc>
        <w:tc>
          <w:tcPr>
            <w:tcW w:w="992" w:type="dxa"/>
            <w:tcBorders>
              <w:top w:val="single" w:sz="4" w:space="0" w:color="auto"/>
            </w:tcBorders>
            <w:noWrap/>
          </w:tcPr>
          <w:p w14:paraId="35C62F9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186±51.4*</w:t>
            </w:r>
          </w:p>
        </w:tc>
        <w:tc>
          <w:tcPr>
            <w:tcW w:w="992" w:type="dxa"/>
            <w:tcBorders>
              <w:top w:val="single" w:sz="4" w:space="0" w:color="auto"/>
            </w:tcBorders>
            <w:noWrap/>
          </w:tcPr>
          <w:p w14:paraId="0F1C966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157±27.5</w:t>
            </w:r>
          </w:p>
        </w:tc>
        <w:tc>
          <w:tcPr>
            <w:tcW w:w="992" w:type="dxa"/>
            <w:tcBorders>
              <w:top w:val="single" w:sz="4" w:space="0" w:color="auto"/>
            </w:tcBorders>
          </w:tcPr>
          <w:p w14:paraId="56C22855"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336±49.8</w:t>
            </w:r>
          </w:p>
        </w:tc>
        <w:tc>
          <w:tcPr>
            <w:tcW w:w="993" w:type="dxa"/>
            <w:tcBorders>
              <w:top w:val="single" w:sz="4" w:space="0" w:color="auto"/>
            </w:tcBorders>
            <w:noWrap/>
          </w:tcPr>
          <w:p w14:paraId="719232F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290±44.4</w:t>
            </w:r>
          </w:p>
        </w:tc>
        <w:tc>
          <w:tcPr>
            <w:tcW w:w="1134" w:type="dxa"/>
            <w:tcBorders>
              <w:top w:val="single" w:sz="4" w:space="0" w:color="auto"/>
            </w:tcBorders>
            <w:noWrap/>
            <w:vAlign w:val="center"/>
          </w:tcPr>
          <w:p w14:paraId="10B9679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27.68±2.34</w:t>
            </w:r>
          </w:p>
        </w:tc>
        <w:tc>
          <w:tcPr>
            <w:tcW w:w="1134" w:type="dxa"/>
            <w:tcBorders>
              <w:top w:val="single" w:sz="4" w:space="0" w:color="auto"/>
            </w:tcBorders>
            <w:vAlign w:val="center"/>
          </w:tcPr>
          <w:p w14:paraId="33C831D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26.98±7.40</w:t>
            </w:r>
          </w:p>
        </w:tc>
        <w:tc>
          <w:tcPr>
            <w:tcW w:w="1134" w:type="dxa"/>
            <w:tcBorders>
              <w:top w:val="single" w:sz="4" w:space="0" w:color="auto"/>
            </w:tcBorders>
            <w:noWrap/>
            <w:vAlign w:val="center"/>
          </w:tcPr>
          <w:p w14:paraId="222C2BF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14.25±11.54</w:t>
            </w:r>
          </w:p>
        </w:tc>
        <w:tc>
          <w:tcPr>
            <w:tcW w:w="1134" w:type="dxa"/>
            <w:tcBorders>
              <w:top w:val="single" w:sz="4" w:space="0" w:color="auto"/>
            </w:tcBorders>
            <w:vAlign w:val="center"/>
          </w:tcPr>
          <w:p w14:paraId="139E908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26.75±18.13</w:t>
            </w:r>
          </w:p>
        </w:tc>
      </w:tr>
      <w:tr w:rsidR="00097BB2" w:rsidRPr="00AE577C" w14:paraId="6DAB4138" w14:textId="77777777" w:rsidTr="00D34D96">
        <w:trPr>
          <w:gridAfter w:val="1"/>
          <w:wAfter w:w="142" w:type="dxa"/>
          <w:trHeight w:val="290"/>
        </w:trPr>
        <w:tc>
          <w:tcPr>
            <w:tcW w:w="1281" w:type="dxa"/>
            <w:noWrap/>
            <w:vAlign w:val="bottom"/>
            <w:hideMark/>
          </w:tcPr>
          <w:p w14:paraId="618831EA"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B</w:t>
            </w:r>
          </w:p>
        </w:tc>
        <w:tc>
          <w:tcPr>
            <w:tcW w:w="992" w:type="dxa"/>
            <w:noWrap/>
          </w:tcPr>
          <w:p w14:paraId="40EFDBB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32.5±1.3</w:t>
            </w:r>
          </w:p>
        </w:tc>
        <w:tc>
          <w:tcPr>
            <w:tcW w:w="992" w:type="dxa"/>
            <w:noWrap/>
          </w:tcPr>
          <w:p w14:paraId="4CCDB38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30.3±1.1</w:t>
            </w:r>
          </w:p>
        </w:tc>
        <w:tc>
          <w:tcPr>
            <w:tcW w:w="992" w:type="dxa"/>
            <w:noWrap/>
          </w:tcPr>
          <w:p w14:paraId="0A6E3CE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7.35±0.3</w:t>
            </w:r>
          </w:p>
        </w:tc>
        <w:tc>
          <w:tcPr>
            <w:tcW w:w="993" w:type="dxa"/>
            <w:noWrap/>
          </w:tcPr>
          <w:p w14:paraId="42226BF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8.34±0.2</w:t>
            </w:r>
          </w:p>
        </w:tc>
        <w:tc>
          <w:tcPr>
            <w:tcW w:w="992" w:type="dxa"/>
            <w:noWrap/>
          </w:tcPr>
          <w:p w14:paraId="3D94AF9B"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179±22.4*</w:t>
            </w:r>
          </w:p>
        </w:tc>
        <w:tc>
          <w:tcPr>
            <w:tcW w:w="992" w:type="dxa"/>
            <w:noWrap/>
          </w:tcPr>
          <w:p w14:paraId="0C21B516"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179±15.0</w:t>
            </w:r>
          </w:p>
        </w:tc>
        <w:tc>
          <w:tcPr>
            <w:tcW w:w="992" w:type="dxa"/>
          </w:tcPr>
          <w:p w14:paraId="042CD66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330±60.1</w:t>
            </w:r>
          </w:p>
        </w:tc>
        <w:tc>
          <w:tcPr>
            <w:tcW w:w="993" w:type="dxa"/>
            <w:noWrap/>
          </w:tcPr>
          <w:p w14:paraId="472AC75F"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301±30.7</w:t>
            </w:r>
          </w:p>
        </w:tc>
        <w:tc>
          <w:tcPr>
            <w:tcW w:w="1134" w:type="dxa"/>
            <w:noWrap/>
            <w:vAlign w:val="center"/>
          </w:tcPr>
          <w:p w14:paraId="4F2F750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30.88±3.51</w:t>
            </w:r>
          </w:p>
        </w:tc>
        <w:tc>
          <w:tcPr>
            <w:tcW w:w="1134" w:type="dxa"/>
            <w:vAlign w:val="center"/>
          </w:tcPr>
          <w:p w14:paraId="6AAA895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27.38±5.69</w:t>
            </w:r>
          </w:p>
        </w:tc>
        <w:tc>
          <w:tcPr>
            <w:tcW w:w="1134" w:type="dxa"/>
            <w:noWrap/>
            <w:vAlign w:val="center"/>
          </w:tcPr>
          <w:p w14:paraId="2B6437C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13.50±8.61*</w:t>
            </w:r>
          </w:p>
        </w:tc>
        <w:tc>
          <w:tcPr>
            <w:tcW w:w="1134" w:type="dxa"/>
            <w:vAlign w:val="center"/>
          </w:tcPr>
          <w:p w14:paraId="3EBCD7B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17.00±8.54</w:t>
            </w:r>
          </w:p>
        </w:tc>
      </w:tr>
      <w:tr w:rsidR="00097BB2" w:rsidRPr="00AE577C" w14:paraId="0AFF5D97" w14:textId="77777777" w:rsidTr="00D34D96">
        <w:trPr>
          <w:gridAfter w:val="1"/>
          <w:wAfter w:w="142" w:type="dxa"/>
          <w:trHeight w:val="290"/>
        </w:trPr>
        <w:tc>
          <w:tcPr>
            <w:tcW w:w="1281" w:type="dxa"/>
            <w:noWrap/>
            <w:vAlign w:val="bottom"/>
            <w:hideMark/>
          </w:tcPr>
          <w:p w14:paraId="5DF1E9B8"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C</w:t>
            </w:r>
          </w:p>
        </w:tc>
        <w:tc>
          <w:tcPr>
            <w:tcW w:w="992" w:type="dxa"/>
            <w:noWrap/>
          </w:tcPr>
          <w:p w14:paraId="24A012B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32.3±1.8</w:t>
            </w:r>
          </w:p>
        </w:tc>
        <w:tc>
          <w:tcPr>
            <w:tcW w:w="992" w:type="dxa"/>
            <w:noWrap/>
          </w:tcPr>
          <w:p w14:paraId="2BFB767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30.4±0.5</w:t>
            </w:r>
          </w:p>
        </w:tc>
        <w:tc>
          <w:tcPr>
            <w:tcW w:w="992" w:type="dxa"/>
            <w:noWrap/>
          </w:tcPr>
          <w:p w14:paraId="68FB6CB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7.27±0.2</w:t>
            </w:r>
          </w:p>
        </w:tc>
        <w:tc>
          <w:tcPr>
            <w:tcW w:w="993" w:type="dxa"/>
            <w:noWrap/>
          </w:tcPr>
          <w:p w14:paraId="1087AED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8.22±0.1</w:t>
            </w:r>
          </w:p>
        </w:tc>
        <w:tc>
          <w:tcPr>
            <w:tcW w:w="992" w:type="dxa"/>
            <w:noWrap/>
          </w:tcPr>
          <w:p w14:paraId="404BEEB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359±149.2</w:t>
            </w:r>
          </w:p>
        </w:tc>
        <w:tc>
          <w:tcPr>
            <w:tcW w:w="992" w:type="dxa"/>
            <w:noWrap/>
          </w:tcPr>
          <w:p w14:paraId="3C1280B5"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245±92.5</w:t>
            </w:r>
          </w:p>
        </w:tc>
        <w:tc>
          <w:tcPr>
            <w:tcW w:w="992" w:type="dxa"/>
          </w:tcPr>
          <w:p w14:paraId="2CE0748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386±57.8</w:t>
            </w:r>
          </w:p>
        </w:tc>
        <w:tc>
          <w:tcPr>
            <w:tcW w:w="993" w:type="dxa"/>
            <w:noWrap/>
          </w:tcPr>
          <w:p w14:paraId="39E216AF"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271±92.7</w:t>
            </w:r>
          </w:p>
        </w:tc>
        <w:tc>
          <w:tcPr>
            <w:tcW w:w="1134" w:type="dxa"/>
            <w:noWrap/>
            <w:vAlign w:val="center"/>
          </w:tcPr>
          <w:p w14:paraId="318D1CA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29.90±4.42</w:t>
            </w:r>
          </w:p>
        </w:tc>
        <w:tc>
          <w:tcPr>
            <w:tcW w:w="1134" w:type="dxa"/>
            <w:vAlign w:val="center"/>
          </w:tcPr>
          <w:p w14:paraId="0D910DC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28.43±5.27</w:t>
            </w:r>
          </w:p>
        </w:tc>
        <w:tc>
          <w:tcPr>
            <w:tcW w:w="1134" w:type="dxa"/>
            <w:noWrap/>
            <w:vAlign w:val="center"/>
          </w:tcPr>
          <w:p w14:paraId="10CA86B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22.25±5.76</w:t>
            </w:r>
          </w:p>
        </w:tc>
        <w:tc>
          <w:tcPr>
            <w:tcW w:w="1134" w:type="dxa"/>
            <w:vAlign w:val="center"/>
          </w:tcPr>
          <w:p w14:paraId="449E6116"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32.00±13.64</w:t>
            </w:r>
          </w:p>
        </w:tc>
      </w:tr>
      <w:tr w:rsidR="00097BB2" w:rsidRPr="00AE577C" w14:paraId="3AD1DB74" w14:textId="77777777" w:rsidTr="00D34D96">
        <w:trPr>
          <w:gridAfter w:val="1"/>
          <w:wAfter w:w="142" w:type="dxa"/>
          <w:trHeight w:val="290"/>
        </w:trPr>
        <w:tc>
          <w:tcPr>
            <w:tcW w:w="1281" w:type="dxa"/>
            <w:noWrap/>
            <w:vAlign w:val="bottom"/>
            <w:hideMark/>
          </w:tcPr>
          <w:p w14:paraId="01B6201C"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D</w:t>
            </w:r>
          </w:p>
        </w:tc>
        <w:tc>
          <w:tcPr>
            <w:tcW w:w="992" w:type="dxa"/>
            <w:noWrap/>
          </w:tcPr>
          <w:p w14:paraId="42FA72C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32.0±1.2</w:t>
            </w:r>
          </w:p>
        </w:tc>
        <w:tc>
          <w:tcPr>
            <w:tcW w:w="992" w:type="dxa"/>
            <w:noWrap/>
          </w:tcPr>
          <w:p w14:paraId="1D11A39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31.7±1.3</w:t>
            </w:r>
          </w:p>
        </w:tc>
        <w:tc>
          <w:tcPr>
            <w:tcW w:w="992" w:type="dxa"/>
            <w:noWrap/>
          </w:tcPr>
          <w:p w14:paraId="48BCE4C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7.59±0.2</w:t>
            </w:r>
          </w:p>
        </w:tc>
        <w:tc>
          <w:tcPr>
            <w:tcW w:w="993" w:type="dxa"/>
            <w:noWrap/>
          </w:tcPr>
          <w:p w14:paraId="11A10D0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7.97±0.1</w:t>
            </w:r>
          </w:p>
        </w:tc>
        <w:tc>
          <w:tcPr>
            <w:tcW w:w="992" w:type="dxa"/>
            <w:noWrap/>
          </w:tcPr>
          <w:p w14:paraId="6A7E30A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351±143.2</w:t>
            </w:r>
          </w:p>
        </w:tc>
        <w:tc>
          <w:tcPr>
            <w:tcW w:w="992" w:type="dxa"/>
            <w:noWrap/>
          </w:tcPr>
          <w:p w14:paraId="061DE98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199±73.1</w:t>
            </w:r>
          </w:p>
        </w:tc>
        <w:tc>
          <w:tcPr>
            <w:tcW w:w="992" w:type="dxa"/>
          </w:tcPr>
          <w:p w14:paraId="449414D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352±71.0</w:t>
            </w:r>
          </w:p>
        </w:tc>
        <w:tc>
          <w:tcPr>
            <w:tcW w:w="993" w:type="dxa"/>
            <w:noWrap/>
          </w:tcPr>
          <w:p w14:paraId="7FEF61A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297±36.9</w:t>
            </w:r>
          </w:p>
        </w:tc>
        <w:tc>
          <w:tcPr>
            <w:tcW w:w="1134" w:type="dxa"/>
            <w:noWrap/>
            <w:vAlign w:val="center"/>
          </w:tcPr>
          <w:p w14:paraId="1D831C3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29.48±1.17</w:t>
            </w:r>
          </w:p>
        </w:tc>
        <w:tc>
          <w:tcPr>
            <w:tcW w:w="1134" w:type="dxa"/>
            <w:vAlign w:val="center"/>
          </w:tcPr>
          <w:p w14:paraId="49DD3E78"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28.35±5.21</w:t>
            </w:r>
          </w:p>
        </w:tc>
        <w:tc>
          <w:tcPr>
            <w:tcW w:w="1134" w:type="dxa"/>
            <w:noWrap/>
            <w:vAlign w:val="center"/>
          </w:tcPr>
          <w:p w14:paraId="47B2640D"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24.50±4.09</w:t>
            </w:r>
          </w:p>
        </w:tc>
        <w:tc>
          <w:tcPr>
            <w:tcW w:w="1134" w:type="dxa"/>
            <w:vAlign w:val="center"/>
          </w:tcPr>
          <w:p w14:paraId="21B5142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32.50±11.15</w:t>
            </w:r>
          </w:p>
        </w:tc>
      </w:tr>
      <w:tr w:rsidR="00097BB2" w:rsidRPr="00AE577C" w14:paraId="4AF9FC6B" w14:textId="77777777" w:rsidTr="00D34D96">
        <w:trPr>
          <w:gridAfter w:val="1"/>
          <w:wAfter w:w="142" w:type="dxa"/>
          <w:trHeight w:val="290"/>
        </w:trPr>
        <w:tc>
          <w:tcPr>
            <w:tcW w:w="1281" w:type="dxa"/>
            <w:noWrap/>
            <w:vAlign w:val="bottom"/>
            <w:hideMark/>
          </w:tcPr>
          <w:p w14:paraId="1FDCC417"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E</w:t>
            </w:r>
          </w:p>
        </w:tc>
        <w:tc>
          <w:tcPr>
            <w:tcW w:w="992" w:type="dxa"/>
            <w:noWrap/>
          </w:tcPr>
          <w:p w14:paraId="735B5CC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32.6±1.4</w:t>
            </w:r>
          </w:p>
        </w:tc>
        <w:tc>
          <w:tcPr>
            <w:tcW w:w="992" w:type="dxa"/>
            <w:noWrap/>
          </w:tcPr>
          <w:p w14:paraId="13022D0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30.2±0.6</w:t>
            </w:r>
          </w:p>
        </w:tc>
        <w:tc>
          <w:tcPr>
            <w:tcW w:w="992" w:type="dxa"/>
            <w:noWrap/>
          </w:tcPr>
          <w:p w14:paraId="558577E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7.71±0.2</w:t>
            </w:r>
          </w:p>
        </w:tc>
        <w:tc>
          <w:tcPr>
            <w:tcW w:w="993" w:type="dxa"/>
            <w:noWrap/>
          </w:tcPr>
          <w:p w14:paraId="7C567C8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7.94±0.1</w:t>
            </w:r>
          </w:p>
        </w:tc>
        <w:tc>
          <w:tcPr>
            <w:tcW w:w="992" w:type="dxa"/>
            <w:noWrap/>
          </w:tcPr>
          <w:p w14:paraId="1CF491E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374±203.7</w:t>
            </w:r>
          </w:p>
        </w:tc>
        <w:tc>
          <w:tcPr>
            <w:tcW w:w="992" w:type="dxa"/>
            <w:noWrap/>
          </w:tcPr>
          <w:p w14:paraId="6D8D0CD3"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192±79.5</w:t>
            </w:r>
          </w:p>
        </w:tc>
        <w:tc>
          <w:tcPr>
            <w:tcW w:w="992" w:type="dxa"/>
          </w:tcPr>
          <w:p w14:paraId="5731DB4F"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401±56.3</w:t>
            </w:r>
          </w:p>
        </w:tc>
        <w:tc>
          <w:tcPr>
            <w:tcW w:w="993" w:type="dxa"/>
            <w:noWrap/>
          </w:tcPr>
          <w:p w14:paraId="2EB74BD4"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278±31.6</w:t>
            </w:r>
          </w:p>
        </w:tc>
        <w:tc>
          <w:tcPr>
            <w:tcW w:w="1134" w:type="dxa"/>
            <w:noWrap/>
            <w:vAlign w:val="center"/>
          </w:tcPr>
          <w:p w14:paraId="48E4CD98"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30.10±3.59</w:t>
            </w:r>
          </w:p>
        </w:tc>
        <w:tc>
          <w:tcPr>
            <w:tcW w:w="1134" w:type="dxa"/>
            <w:vAlign w:val="center"/>
          </w:tcPr>
          <w:p w14:paraId="0CB0284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29.80±8.03</w:t>
            </w:r>
          </w:p>
        </w:tc>
        <w:tc>
          <w:tcPr>
            <w:tcW w:w="1134" w:type="dxa"/>
            <w:noWrap/>
            <w:vAlign w:val="center"/>
          </w:tcPr>
          <w:p w14:paraId="5D06AA8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23.25±5.26</w:t>
            </w:r>
          </w:p>
        </w:tc>
        <w:tc>
          <w:tcPr>
            <w:tcW w:w="1134" w:type="dxa"/>
            <w:vAlign w:val="center"/>
          </w:tcPr>
          <w:p w14:paraId="63C9ACE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24.25±5.89</w:t>
            </w:r>
          </w:p>
        </w:tc>
      </w:tr>
      <w:tr w:rsidR="00097BB2" w:rsidRPr="00AE577C" w14:paraId="0DC5631B" w14:textId="77777777" w:rsidTr="00D34D96">
        <w:trPr>
          <w:gridAfter w:val="1"/>
          <w:wAfter w:w="142" w:type="dxa"/>
          <w:trHeight w:val="290"/>
        </w:trPr>
        <w:tc>
          <w:tcPr>
            <w:tcW w:w="1281" w:type="dxa"/>
            <w:noWrap/>
            <w:vAlign w:val="bottom"/>
            <w:hideMark/>
          </w:tcPr>
          <w:p w14:paraId="7355760D" w14:textId="77777777" w:rsidR="00097BB2" w:rsidRPr="00AE577C" w:rsidRDefault="00097BB2" w:rsidP="00097BB2">
            <w:pPr>
              <w:pStyle w:val="Body"/>
              <w:spacing w:after="0"/>
              <w:rPr>
                <w:rFonts w:ascii="Arial" w:hAnsi="Arial" w:cs="Arial"/>
                <w:b/>
                <w:bCs/>
                <w:sz w:val="18"/>
                <w:szCs w:val="18"/>
              </w:rPr>
            </w:pPr>
            <w:r w:rsidRPr="00AE577C">
              <w:rPr>
                <w:rFonts w:ascii="Arial" w:hAnsi="Arial" w:cs="Arial"/>
                <w:b/>
                <w:bCs/>
                <w:sz w:val="18"/>
                <w:szCs w:val="18"/>
              </w:rPr>
              <w:t>F</w:t>
            </w:r>
          </w:p>
        </w:tc>
        <w:tc>
          <w:tcPr>
            <w:tcW w:w="992" w:type="dxa"/>
            <w:noWrap/>
          </w:tcPr>
          <w:p w14:paraId="309EC11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31.8±1.4</w:t>
            </w:r>
          </w:p>
        </w:tc>
        <w:tc>
          <w:tcPr>
            <w:tcW w:w="992" w:type="dxa"/>
            <w:noWrap/>
          </w:tcPr>
          <w:p w14:paraId="5563610E"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30.3±1.7</w:t>
            </w:r>
          </w:p>
        </w:tc>
        <w:tc>
          <w:tcPr>
            <w:tcW w:w="992" w:type="dxa"/>
            <w:noWrap/>
          </w:tcPr>
          <w:p w14:paraId="608F4906"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7.46±0.6</w:t>
            </w:r>
          </w:p>
        </w:tc>
        <w:tc>
          <w:tcPr>
            <w:tcW w:w="993" w:type="dxa"/>
            <w:noWrap/>
          </w:tcPr>
          <w:p w14:paraId="73F15D71"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7.98±0.1</w:t>
            </w:r>
          </w:p>
        </w:tc>
        <w:tc>
          <w:tcPr>
            <w:tcW w:w="992" w:type="dxa"/>
            <w:noWrap/>
          </w:tcPr>
          <w:p w14:paraId="0D9AB855"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463±287.5</w:t>
            </w:r>
          </w:p>
        </w:tc>
        <w:tc>
          <w:tcPr>
            <w:tcW w:w="992" w:type="dxa"/>
            <w:noWrap/>
          </w:tcPr>
          <w:p w14:paraId="039E4729"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175±60.9</w:t>
            </w:r>
          </w:p>
        </w:tc>
        <w:tc>
          <w:tcPr>
            <w:tcW w:w="992" w:type="dxa"/>
          </w:tcPr>
          <w:p w14:paraId="6A1C9ECC"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434±44.0*</w:t>
            </w:r>
          </w:p>
        </w:tc>
        <w:tc>
          <w:tcPr>
            <w:tcW w:w="993" w:type="dxa"/>
            <w:noWrap/>
          </w:tcPr>
          <w:p w14:paraId="6704ED1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279±38.3</w:t>
            </w:r>
          </w:p>
        </w:tc>
        <w:tc>
          <w:tcPr>
            <w:tcW w:w="1134" w:type="dxa"/>
            <w:noWrap/>
            <w:vAlign w:val="center"/>
          </w:tcPr>
          <w:p w14:paraId="4307BA22"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27.00±2.48</w:t>
            </w:r>
          </w:p>
        </w:tc>
        <w:tc>
          <w:tcPr>
            <w:tcW w:w="1134" w:type="dxa"/>
            <w:vAlign w:val="center"/>
          </w:tcPr>
          <w:p w14:paraId="1A7C8817"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26.35±7.04</w:t>
            </w:r>
          </w:p>
        </w:tc>
        <w:tc>
          <w:tcPr>
            <w:tcW w:w="1134" w:type="dxa"/>
            <w:noWrap/>
            <w:vAlign w:val="center"/>
          </w:tcPr>
          <w:p w14:paraId="367D96C0"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24.75±20.28</w:t>
            </w:r>
          </w:p>
        </w:tc>
        <w:tc>
          <w:tcPr>
            <w:tcW w:w="1134" w:type="dxa"/>
            <w:vAlign w:val="center"/>
          </w:tcPr>
          <w:p w14:paraId="0B0D06AA" w14:textId="77777777" w:rsidR="00097BB2" w:rsidRPr="00AE577C" w:rsidRDefault="00097BB2" w:rsidP="00097BB2">
            <w:pPr>
              <w:pStyle w:val="Body"/>
              <w:spacing w:after="0"/>
              <w:rPr>
                <w:rFonts w:ascii="Arial" w:hAnsi="Arial" w:cs="Arial"/>
                <w:sz w:val="16"/>
                <w:szCs w:val="16"/>
              </w:rPr>
            </w:pPr>
            <w:r w:rsidRPr="00AE577C">
              <w:rPr>
                <w:rFonts w:ascii="Arial" w:hAnsi="Arial" w:cs="Arial"/>
                <w:sz w:val="16"/>
                <w:szCs w:val="16"/>
              </w:rPr>
              <w:t>37.25±17.15</w:t>
            </w:r>
          </w:p>
        </w:tc>
      </w:tr>
      <w:tr w:rsidR="00097BB2" w:rsidRPr="00AE577C" w14:paraId="2847C8A4" w14:textId="77777777" w:rsidTr="00D34D96">
        <w:trPr>
          <w:gridAfter w:val="1"/>
          <w:wAfter w:w="142" w:type="dxa"/>
          <w:trHeight w:val="290"/>
        </w:trPr>
        <w:tc>
          <w:tcPr>
            <w:tcW w:w="1281" w:type="dxa"/>
            <w:noWrap/>
            <w:vAlign w:val="bottom"/>
          </w:tcPr>
          <w:p w14:paraId="6877B0E3"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WHO/</w:t>
            </w:r>
          </w:p>
          <w:p w14:paraId="52C9E981" w14:textId="77777777" w:rsidR="00097BB2" w:rsidRPr="00AE577C" w:rsidRDefault="00097BB2" w:rsidP="00097BB2">
            <w:pPr>
              <w:pStyle w:val="Body"/>
              <w:rPr>
                <w:rFonts w:ascii="Arial" w:hAnsi="Arial" w:cs="Arial"/>
                <w:b/>
                <w:bCs/>
                <w:sz w:val="18"/>
                <w:szCs w:val="18"/>
              </w:rPr>
            </w:pPr>
            <w:r w:rsidRPr="00AE577C">
              <w:rPr>
                <w:rFonts w:ascii="Arial" w:hAnsi="Arial" w:cs="Arial"/>
                <w:b/>
                <w:bCs/>
                <w:sz w:val="18"/>
                <w:szCs w:val="18"/>
              </w:rPr>
              <w:t>NESREA Standards</w:t>
            </w:r>
          </w:p>
        </w:tc>
        <w:tc>
          <w:tcPr>
            <w:tcW w:w="1984" w:type="dxa"/>
            <w:gridSpan w:val="2"/>
            <w:noWrap/>
          </w:tcPr>
          <w:p w14:paraId="270FC910" w14:textId="77777777" w:rsidR="00AE577C" w:rsidRDefault="00AE577C" w:rsidP="00AE577C">
            <w:pPr>
              <w:pStyle w:val="Body"/>
              <w:spacing w:after="0"/>
              <w:jc w:val="center"/>
              <w:rPr>
                <w:rFonts w:ascii="Arial" w:hAnsi="Arial" w:cs="Arial"/>
                <w:b/>
                <w:sz w:val="18"/>
                <w:szCs w:val="18"/>
              </w:rPr>
            </w:pPr>
          </w:p>
          <w:p w14:paraId="23A1446E"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≥40</w:t>
            </w:r>
          </w:p>
        </w:tc>
        <w:tc>
          <w:tcPr>
            <w:tcW w:w="1985" w:type="dxa"/>
            <w:gridSpan w:val="2"/>
            <w:noWrap/>
          </w:tcPr>
          <w:p w14:paraId="7CCAECB9" w14:textId="77777777" w:rsidR="00AE577C" w:rsidRDefault="00AE577C" w:rsidP="00AE577C">
            <w:pPr>
              <w:pStyle w:val="Body"/>
              <w:spacing w:after="0"/>
              <w:jc w:val="center"/>
              <w:rPr>
                <w:rFonts w:ascii="Arial" w:hAnsi="Arial" w:cs="Arial"/>
                <w:b/>
                <w:sz w:val="18"/>
                <w:szCs w:val="18"/>
              </w:rPr>
            </w:pPr>
          </w:p>
          <w:p w14:paraId="0FE88154"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6.5 – 8.5</w:t>
            </w:r>
          </w:p>
        </w:tc>
        <w:tc>
          <w:tcPr>
            <w:tcW w:w="1984" w:type="dxa"/>
            <w:gridSpan w:val="2"/>
            <w:noWrap/>
          </w:tcPr>
          <w:p w14:paraId="65B61A67" w14:textId="77777777" w:rsidR="00AE577C" w:rsidRDefault="00AE577C" w:rsidP="00AE577C">
            <w:pPr>
              <w:pStyle w:val="Body"/>
              <w:spacing w:after="0"/>
              <w:jc w:val="center"/>
              <w:rPr>
                <w:rFonts w:ascii="Arial" w:hAnsi="Arial" w:cs="Arial"/>
                <w:b/>
                <w:sz w:val="18"/>
                <w:szCs w:val="18"/>
              </w:rPr>
            </w:pPr>
          </w:p>
          <w:p w14:paraId="161FC5AD"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500</w:t>
            </w:r>
          </w:p>
        </w:tc>
        <w:tc>
          <w:tcPr>
            <w:tcW w:w="1985" w:type="dxa"/>
            <w:gridSpan w:val="2"/>
          </w:tcPr>
          <w:p w14:paraId="5BEF32AC" w14:textId="77777777" w:rsidR="00AE577C" w:rsidRDefault="00AE577C" w:rsidP="00AE577C">
            <w:pPr>
              <w:pStyle w:val="Body"/>
              <w:spacing w:after="0"/>
              <w:jc w:val="center"/>
              <w:rPr>
                <w:rFonts w:ascii="Arial" w:hAnsi="Arial" w:cs="Arial"/>
                <w:b/>
                <w:sz w:val="18"/>
                <w:szCs w:val="18"/>
              </w:rPr>
            </w:pPr>
          </w:p>
          <w:p w14:paraId="0277CC80"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1000</w:t>
            </w:r>
          </w:p>
        </w:tc>
        <w:tc>
          <w:tcPr>
            <w:tcW w:w="2268" w:type="dxa"/>
            <w:gridSpan w:val="2"/>
            <w:noWrap/>
          </w:tcPr>
          <w:p w14:paraId="48ED0013" w14:textId="77777777" w:rsidR="00AE577C" w:rsidRDefault="00AE577C" w:rsidP="00AE577C">
            <w:pPr>
              <w:pStyle w:val="Body"/>
              <w:spacing w:after="0"/>
              <w:jc w:val="center"/>
              <w:rPr>
                <w:rFonts w:ascii="Arial" w:hAnsi="Arial" w:cs="Arial"/>
                <w:b/>
                <w:sz w:val="18"/>
                <w:szCs w:val="18"/>
              </w:rPr>
            </w:pPr>
          </w:p>
          <w:p w14:paraId="4728ADE0"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50</w:t>
            </w:r>
          </w:p>
        </w:tc>
        <w:tc>
          <w:tcPr>
            <w:tcW w:w="2268" w:type="dxa"/>
            <w:gridSpan w:val="2"/>
            <w:noWrap/>
          </w:tcPr>
          <w:p w14:paraId="7EA3341A" w14:textId="77777777" w:rsidR="00AE577C" w:rsidRDefault="00AE577C" w:rsidP="00AE577C">
            <w:pPr>
              <w:pStyle w:val="Body"/>
              <w:spacing w:after="0"/>
              <w:jc w:val="center"/>
              <w:rPr>
                <w:rFonts w:ascii="Arial" w:hAnsi="Arial" w:cs="Arial"/>
                <w:b/>
                <w:sz w:val="18"/>
                <w:szCs w:val="18"/>
              </w:rPr>
            </w:pPr>
          </w:p>
          <w:p w14:paraId="5612BF75" w14:textId="77777777" w:rsidR="00097BB2" w:rsidRPr="00AE577C" w:rsidRDefault="00097BB2" w:rsidP="00AE577C">
            <w:pPr>
              <w:pStyle w:val="Body"/>
              <w:spacing w:after="0"/>
              <w:jc w:val="center"/>
              <w:rPr>
                <w:rFonts w:ascii="Arial" w:hAnsi="Arial" w:cs="Arial"/>
                <w:b/>
                <w:sz w:val="18"/>
                <w:szCs w:val="18"/>
              </w:rPr>
            </w:pPr>
            <w:r w:rsidRPr="00AE577C">
              <w:rPr>
                <w:rFonts w:ascii="Arial" w:hAnsi="Arial" w:cs="Arial"/>
                <w:b/>
                <w:sz w:val="18"/>
                <w:szCs w:val="18"/>
              </w:rPr>
              <w:t>250</w:t>
            </w:r>
          </w:p>
        </w:tc>
      </w:tr>
    </w:tbl>
    <w:p w14:paraId="64E90CF3" w14:textId="77777777" w:rsidR="00097BB2" w:rsidRPr="00097BB2" w:rsidRDefault="00097BB2" w:rsidP="00097BB2">
      <w:pPr>
        <w:pStyle w:val="Body"/>
        <w:rPr>
          <w:rFonts w:ascii="Arial" w:hAnsi="Arial" w:cs="Arial"/>
        </w:rPr>
      </w:pPr>
      <w:r w:rsidRPr="00097BB2">
        <w:rPr>
          <w:rFonts w:ascii="Arial" w:hAnsi="Arial" w:cs="Arial"/>
        </w:rPr>
        <w:t xml:space="preserve">Data are expressed in mean ± SD (n = 8); Dry Season is March – June, 2025; Wet Season is July – October, 2025; </w:t>
      </w:r>
      <w:r w:rsidRPr="00097BB2">
        <w:rPr>
          <w:rFonts w:ascii="Arial" w:hAnsi="Arial" w:cs="Arial"/>
          <w:i/>
          <w:iCs/>
        </w:rPr>
        <w:t>p</w:t>
      </w:r>
      <w:r w:rsidR="00AE577C">
        <w:rPr>
          <w:rFonts w:ascii="Arial" w:hAnsi="Arial" w:cs="Arial"/>
          <w:i/>
        </w:rPr>
        <w:t xml:space="preserve"> =</w:t>
      </w:r>
      <w:r w:rsidRPr="00097BB2">
        <w:rPr>
          <w:rFonts w:ascii="Arial" w:hAnsi="Arial" w:cs="Arial"/>
          <w:i/>
        </w:rPr>
        <w:t xml:space="preserve"> .05 indicates statistical significance (One-way ANOVA)</w:t>
      </w:r>
    </w:p>
    <w:p w14:paraId="5BA2AA28" w14:textId="77777777" w:rsidR="00097BB2" w:rsidRPr="00097BB2" w:rsidRDefault="00097BB2" w:rsidP="00097BB2">
      <w:pPr>
        <w:pStyle w:val="Body"/>
        <w:rPr>
          <w:rFonts w:ascii="Arial" w:hAnsi="Arial" w:cs="Arial"/>
          <w:i/>
        </w:rPr>
        <w:sectPr w:rsidR="00097BB2" w:rsidRPr="00097BB2" w:rsidSect="00892B12">
          <w:type w:val="continuous"/>
          <w:pgSz w:w="15840" w:h="12240" w:orient="landscape"/>
          <w:pgMar w:top="900" w:right="1440" w:bottom="90" w:left="1440" w:header="720" w:footer="720" w:gutter="0"/>
          <w:cols w:space="720"/>
          <w:docGrid w:linePitch="360"/>
        </w:sectPr>
      </w:pPr>
      <w:r w:rsidRPr="00097BB2">
        <w:rPr>
          <w:rFonts w:ascii="Arial" w:hAnsi="Arial" w:cs="Arial"/>
          <w:b/>
          <w:i/>
        </w:rPr>
        <w:t>Note: Temp –</w:t>
      </w:r>
      <w:r w:rsidRPr="00097BB2">
        <w:rPr>
          <w:rFonts w:ascii="Arial" w:hAnsi="Arial" w:cs="Arial"/>
          <w:i/>
        </w:rPr>
        <w:t xml:space="preserve"> Temperature; </w:t>
      </w:r>
      <w:r w:rsidRPr="00097BB2">
        <w:rPr>
          <w:rFonts w:ascii="Arial" w:hAnsi="Arial" w:cs="Arial"/>
          <w:b/>
          <w:i/>
        </w:rPr>
        <w:t xml:space="preserve">pH – </w:t>
      </w:r>
      <w:r w:rsidRPr="00097BB2">
        <w:rPr>
          <w:rFonts w:ascii="Arial" w:hAnsi="Arial" w:cs="Arial"/>
          <w:i/>
        </w:rPr>
        <w:t xml:space="preserve">potentia Hydrogenii; </w:t>
      </w:r>
      <w:r w:rsidRPr="00097BB2">
        <w:rPr>
          <w:rFonts w:ascii="Arial" w:hAnsi="Arial" w:cs="Arial"/>
          <w:b/>
          <w:i/>
        </w:rPr>
        <w:t>TDS –</w:t>
      </w:r>
      <w:r w:rsidRPr="00097BB2">
        <w:rPr>
          <w:rFonts w:ascii="Arial" w:hAnsi="Arial" w:cs="Arial"/>
          <w:i/>
        </w:rPr>
        <w:t xml:space="preserve">Total Dissolved Solids; </w:t>
      </w:r>
      <w:r w:rsidRPr="00097BB2">
        <w:rPr>
          <w:rFonts w:ascii="Arial" w:hAnsi="Arial" w:cs="Arial"/>
          <w:b/>
          <w:i/>
        </w:rPr>
        <w:t xml:space="preserve">EC </w:t>
      </w:r>
      <w:r w:rsidRPr="00097BB2">
        <w:rPr>
          <w:rFonts w:ascii="Arial" w:hAnsi="Arial" w:cs="Arial"/>
          <w:i/>
        </w:rPr>
        <w:t xml:space="preserve">– Electrical Conductivity; </w:t>
      </w:r>
      <w:r w:rsidRPr="00097BB2">
        <w:rPr>
          <w:rFonts w:ascii="Arial" w:hAnsi="Arial" w:cs="Arial"/>
          <w:b/>
          <w:i/>
        </w:rPr>
        <w:t>NO</w:t>
      </w:r>
      <w:r w:rsidRPr="00097BB2">
        <w:rPr>
          <w:rFonts w:ascii="Arial" w:hAnsi="Arial" w:cs="Arial"/>
          <w:b/>
          <w:i/>
          <w:vertAlign w:val="subscript"/>
        </w:rPr>
        <w:t>3-</w:t>
      </w:r>
      <w:r w:rsidRPr="00097BB2">
        <w:rPr>
          <w:rFonts w:ascii="Arial" w:hAnsi="Arial" w:cs="Arial"/>
          <w:b/>
          <w:i/>
        </w:rPr>
        <w:t xml:space="preserve"> -</w:t>
      </w:r>
      <w:r w:rsidRPr="00097BB2">
        <w:rPr>
          <w:rFonts w:ascii="Arial" w:hAnsi="Arial" w:cs="Arial"/>
          <w:i/>
        </w:rPr>
        <w:t xml:space="preserve"> Nitrate; </w:t>
      </w:r>
      <w:r w:rsidRPr="00097BB2">
        <w:rPr>
          <w:rFonts w:ascii="Arial" w:hAnsi="Arial" w:cs="Arial"/>
          <w:b/>
          <w:i/>
        </w:rPr>
        <w:t>SO</w:t>
      </w:r>
      <w:r w:rsidRPr="00097BB2">
        <w:rPr>
          <w:rFonts w:ascii="Arial" w:hAnsi="Arial" w:cs="Arial"/>
          <w:b/>
          <w:i/>
          <w:vertAlign w:val="subscript"/>
        </w:rPr>
        <w:t>4-</w:t>
      </w:r>
      <w:r w:rsidRPr="00097BB2">
        <w:rPr>
          <w:rFonts w:ascii="Arial" w:hAnsi="Arial" w:cs="Arial"/>
          <w:b/>
          <w:i/>
        </w:rPr>
        <w:t xml:space="preserve"> - </w:t>
      </w:r>
      <w:r w:rsidRPr="00097BB2">
        <w:rPr>
          <w:rFonts w:ascii="Arial" w:hAnsi="Arial" w:cs="Arial"/>
          <w:i/>
        </w:rPr>
        <w:t xml:space="preserve">Sulphate; </w:t>
      </w:r>
      <w:r w:rsidRPr="00097BB2">
        <w:rPr>
          <w:rFonts w:ascii="Arial" w:hAnsi="Arial" w:cs="Arial"/>
          <w:b/>
          <w:i/>
        </w:rPr>
        <w:t>WHO</w:t>
      </w:r>
      <w:r w:rsidRPr="00097BB2">
        <w:rPr>
          <w:rFonts w:ascii="Arial" w:hAnsi="Arial" w:cs="Arial"/>
          <w:i/>
        </w:rPr>
        <w:t xml:space="preserve"> – World Health Organization; </w:t>
      </w:r>
      <w:r w:rsidRPr="00097BB2">
        <w:rPr>
          <w:rFonts w:ascii="Arial" w:hAnsi="Arial" w:cs="Arial"/>
          <w:b/>
          <w:i/>
        </w:rPr>
        <w:t xml:space="preserve">NESREA </w:t>
      </w:r>
      <w:r w:rsidRPr="00097BB2">
        <w:rPr>
          <w:rFonts w:ascii="Arial" w:hAnsi="Arial" w:cs="Arial"/>
          <w:i/>
        </w:rPr>
        <w:t>– National Environmental Standards and Regulations Enforcement Agency</w:t>
      </w:r>
    </w:p>
    <w:bookmarkEnd w:id="2"/>
    <w:p w14:paraId="0A669F3F" w14:textId="77777777" w:rsidR="00097BB2" w:rsidRPr="00097BB2" w:rsidRDefault="00097BB2" w:rsidP="00097BB2">
      <w:pPr>
        <w:pStyle w:val="Body"/>
        <w:spacing w:after="0"/>
        <w:rPr>
          <w:rFonts w:ascii="Arial" w:hAnsi="Arial" w:cs="Arial"/>
          <w:b/>
        </w:rPr>
      </w:pPr>
      <w:r w:rsidRPr="00097BB2">
        <w:rPr>
          <w:rFonts w:ascii="Arial" w:hAnsi="Arial" w:cs="Arial"/>
          <w:b/>
        </w:rPr>
        <w:lastRenderedPageBreak/>
        <w:t>3.1.2 Seasonal Abundance of Microplastics in the Surface Water of River Ngadda</w:t>
      </w:r>
    </w:p>
    <w:p w14:paraId="1DF7D7C8"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abundances of microplastics (MPs) in the surface water of river Ngadda as shown in </w:t>
      </w:r>
      <w:r w:rsidRPr="00097BB2">
        <w:rPr>
          <w:rFonts w:ascii="Arial" w:hAnsi="Arial" w:cs="Arial"/>
          <w:b/>
        </w:rPr>
        <w:t>Figure 2</w:t>
      </w:r>
      <w:r w:rsidRPr="00097BB2">
        <w:rPr>
          <w:rFonts w:ascii="Arial" w:hAnsi="Arial" w:cs="Arial"/>
        </w:rPr>
        <w:t xml:space="preserve"> indicates that it ranges from 29±2.4 – 41±1.6 pp/L (in station A and F respectively) during the dry seasons and 27±4.6 – 34±8.3 pp/L (in station B and E respectively) during the wet season. </w:t>
      </w:r>
    </w:p>
    <w:p w14:paraId="481DC75B" w14:textId="77777777" w:rsidR="00097BB2" w:rsidRPr="00097BB2" w:rsidRDefault="00097BB2" w:rsidP="00097BB2">
      <w:pPr>
        <w:pStyle w:val="Body"/>
        <w:rPr>
          <w:rFonts w:ascii="Arial" w:hAnsi="Arial" w:cs="Arial"/>
          <w:i/>
        </w:rPr>
      </w:pPr>
      <w:r w:rsidRPr="00097BB2">
        <w:rPr>
          <w:rFonts w:ascii="Arial" w:hAnsi="Arial" w:cs="Arial"/>
          <w:noProof/>
        </w:rPr>
        <w:drawing>
          <wp:inline distT="0" distB="0" distL="0" distR="0" wp14:anchorId="78CFD362" wp14:editId="57ED4040">
            <wp:extent cx="5304155" cy="3395980"/>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75D4A3" w14:textId="77777777" w:rsidR="00097BB2" w:rsidRPr="00097BB2" w:rsidRDefault="00097BB2" w:rsidP="00097BB2">
      <w:pPr>
        <w:pStyle w:val="Body"/>
        <w:spacing w:after="0"/>
        <w:ind w:left="1440"/>
        <w:rPr>
          <w:rFonts w:ascii="Arial" w:hAnsi="Arial" w:cs="Arial"/>
        </w:rPr>
      </w:pPr>
      <w:r w:rsidRPr="00097BB2">
        <w:rPr>
          <w:rFonts w:ascii="Arial" w:hAnsi="Arial" w:cs="Arial"/>
        </w:rPr>
        <w:t>Dry Season is March – June, 2025</w:t>
      </w:r>
    </w:p>
    <w:p w14:paraId="786B3E3D" w14:textId="77777777" w:rsidR="00097BB2" w:rsidRPr="00097BB2" w:rsidRDefault="00097BB2" w:rsidP="00097BB2">
      <w:pPr>
        <w:pStyle w:val="Body"/>
        <w:spacing w:after="0"/>
        <w:ind w:left="1440"/>
        <w:rPr>
          <w:rFonts w:ascii="Arial" w:hAnsi="Arial" w:cs="Arial"/>
        </w:rPr>
      </w:pPr>
      <w:r w:rsidRPr="00097BB2">
        <w:rPr>
          <w:rFonts w:ascii="Arial" w:hAnsi="Arial" w:cs="Arial"/>
        </w:rPr>
        <w:t>Wet Season is July – October, 2025</w:t>
      </w:r>
    </w:p>
    <w:p w14:paraId="453F9FDF" w14:textId="77777777" w:rsidR="00097BB2" w:rsidRDefault="00097BB2" w:rsidP="00097BB2">
      <w:pPr>
        <w:pStyle w:val="Body"/>
        <w:spacing w:after="0"/>
        <w:rPr>
          <w:rFonts w:ascii="Arial" w:hAnsi="Arial" w:cs="Arial"/>
          <w:i/>
        </w:rPr>
      </w:pPr>
      <w:r w:rsidRPr="00097BB2">
        <w:rPr>
          <w:rFonts w:ascii="Arial" w:hAnsi="Arial" w:cs="Arial"/>
          <w:b/>
          <w:i/>
        </w:rPr>
        <w:t xml:space="preserve">Figure 2: </w:t>
      </w:r>
      <w:r w:rsidRPr="00097BB2">
        <w:rPr>
          <w:rFonts w:ascii="Arial" w:hAnsi="Arial" w:cs="Arial"/>
          <w:i/>
        </w:rPr>
        <w:t>Abundance of Microplastics (MPs) in the Surface Water</w:t>
      </w:r>
    </w:p>
    <w:p w14:paraId="34E515A3" w14:textId="77777777" w:rsidR="00097BB2" w:rsidRPr="00097BB2" w:rsidRDefault="00097BB2" w:rsidP="00097BB2">
      <w:pPr>
        <w:pStyle w:val="Body"/>
        <w:spacing w:after="0"/>
        <w:rPr>
          <w:rFonts w:ascii="Arial" w:hAnsi="Arial" w:cs="Arial"/>
          <w:i/>
        </w:rPr>
      </w:pPr>
    </w:p>
    <w:p w14:paraId="537BF012" w14:textId="77777777" w:rsidR="00097BB2" w:rsidRPr="00097BB2" w:rsidRDefault="00097BB2" w:rsidP="00097BB2">
      <w:pPr>
        <w:pStyle w:val="Body"/>
        <w:spacing w:after="0"/>
        <w:rPr>
          <w:rFonts w:ascii="Arial" w:hAnsi="Arial" w:cs="Arial"/>
          <w:b/>
        </w:rPr>
      </w:pPr>
      <w:r w:rsidRPr="00097BB2">
        <w:rPr>
          <w:rFonts w:ascii="Arial" w:hAnsi="Arial" w:cs="Arial"/>
          <w:b/>
        </w:rPr>
        <w:t xml:space="preserve">3.1.3 Mean Seasonal Abundance of Shapes and </w:t>
      </w:r>
      <w:proofErr w:type="spellStart"/>
      <w:r w:rsidRPr="00097BB2">
        <w:rPr>
          <w:rFonts w:ascii="Arial" w:hAnsi="Arial" w:cs="Arial"/>
          <w:b/>
        </w:rPr>
        <w:t>Colours</w:t>
      </w:r>
      <w:proofErr w:type="spellEnd"/>
      <w:r w:rsidRPr="00097BB2">
        <w:rPr>
          <w:rFonts w:ascii="Arial" w:hAnsi="Arial" w:cs="Arial"/>
          <w:b/>
        </w:rPr>
        <w:t xml:space="preserve"> of Microplastics in the Surface Water of River Ngadda</w:t>
      </w:r>
    </w:p>
    <w:p w14:paraId="54B5C4EB"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abundances of shapes and </w:t>
      </w:r>
      <w:proofErr w:type="spellStart"/>
      <w:r w:rsidRPr="00097BB2">
        <w:rPr>
          <w:rFonts w:ascii="Arial" w:hAnsi="Arial" w:cs="Arial"/>
        </w:rPr>
        <w:t>colours</w:t>
      </w:r>
      <w:proofErr w:type="spellEnd"/>
      <w:r w:rsidRPr="00097BB2">
        <w:rPr>
          <w:rFonts w:ascii="Arial" w:hAnsi="Arial" w:cs="Arial"/>
        </w:rPr>
        <w:t xml:space="preserve"> of microplastics (MPs) in the surface water of river Ngadda as shown in </w:t>
      </w:r>
      <w:r w:rsidRPr="00097BB2">
        <w:rPr>
          <w:rFonts w:ascii="Arial" w:hAnsi="Arial" w:cs="Arial"/>
          <w:b/>
        </w:rPr>
        <w:t xml:space="preserve">Figure 3 </w:t>
      </w:r>
      <w:r w:rsidRPr="00097BB2">
        <w:rPr>
          <w:rFonts w:ascii="Arial" w:hAnsi="Arial" w:cs="Arial"/>
        </w:rPr>
        <w:t>indicates that Sampling Station B (14±4.8 pp/L) recorded the highest mean seasonal abundance of MPs that were sphere shaped during the dry season while Station E (14±3.4 pp/L) recorded the highest abundance during the wet season.  Fiber shapes were more abundant in Station A and B (13±2.4 and 15±6.2 pp/L respectively) during the dry and wet seasons respectively. Additionally, Station C also recorded that highest mean seasonal abundance of fragment shapes (17±2.4 and 18±8.1 pp/L) during both the dry and wet seasons respectively. The results also indicates that film shapes were more abundant during the dry season in Station F (12±4.2 pp/L) and Station B (7±8.4 pp/L) during the wet season.</w:t>
      </w:r>
    </w:p>
    <w:p w14:paraId="5C50582A" w14:textId="77777777" w:rsidR="00097BB2" w:rsidRPr="00097BB2" w:rsidRDefault="00097BB2" w:rsidP="00097BB2">
      <w:pPr>
        <w:pStyle w:val="Body"/>
        <w:spacing w:after="0"/>
        <w:rPr>
          <w:rFonts w:ascii="Arial" w:hAnsi="Arial" w:cs="Arial"/>
        </w:rPr>
      </w:pPr>
      <w:r w:rsidRPr="00097BB2">
        <w:rPr>
          <w:rFonts w:ascii="Arial" w:hAnsi="Arial" w:cs="Arial"/>
        </w:rPr>
        <w:t xml:space="preserve">The results further shows that the mean seasonal abundance of </w:t>
      </w:r>
      <w:proofErr w:type="spellStart"/>
      <w:r w:rsidRPr="00097BB2">
        <w:rPr>
          <w:rFonts w:ascii="Arial" w:hAnsi="Arial" w:cs="Arial"/>
        </w:rPr>
        <w:t>colours</w:t>
      </w:r>
      <w:proofErr w:type="spellEnd"/>
      <w:r w:rsidRPr="00097BB2">
        <w:rPr>
          <w:rFonts w:ascii="Arial" w:hAnsi="Arial" w:cs="Arial"/>
        </w:rPr>
        <w:t xml:space="preserve"> of MPs in the surface water of the river varies across the sampling stations seasonally. The colour Blue and Red in the surface water were more abundant in Station B (11±3.1, 11±4.2, 15±5.8 and 13±2.4 pp/L respectively for the both </w:t>
      </w:r>
      <w:proofErr w:type="spellStart"/>
      <w:r w:rsidRPr="00097BB2">
        <w:rPr>
          <w:rFonts w:ascii="Arial" w:hAnsi="Arial" w:cs="Arial"/>
        </w:rPr>
        <w:t>colours</w:t>
      </w:r>
      <w:proofErr w:type="spellEnd"/>
      <w:r w:rsidRPr="00097BB2">
        <w:rPr>
          <w:rFonts w:ascii="Arial" w:hAnsi="Arial" w:cs="Arial"/>
        </w:rPr>
        <w:t xml:space="preserve"> at the station) during the dry and wet seasons respectively. Additionally, Red and Black were also more abundant in Station F (88±3.1 and 164±2.0 pp/L) and C (45±5.2 and 58±3.4 pp/L, during both the dry and wet seasons respectively. White </w:t>
      </w:r>
      <w:proofErr w:type="spellStart"/>
      <w:r w:rsidRPr="00097BB2">
        <w:rPr>
          <w:rFonts w:ascii="Arial" w:hAnsi="Arial" w:cs="Arial"/>
        </w:rPr>
        <w:t>colours</w:t>
      </w:r>
      <w:proofErr w:type="spellEnd"/>
      <w:r w:rsidRPr="00097BB2">
        <w:rPr>
          <w:rFonts w:ascii="Arial" w:hAnsi="Arial" w:cs="Arial"/>
        </w:rPr>
        <w:t xml:space="preserve"> were more abundant in Station A (14±3.3 pp/L) and Station E (17±4.3 pp/L) during the dry and wet seasons whereas Green was more abundant in Station C (5±3.5 pp/L) and Station F (9±2.6 pp/L) during the dry and wet seasons respectively. On the other hand, the colour Yellow were more abundant in Station C (11±2.6 pp/L) and Station D (7±0.9 pp/L).</w:t>
      </w:r>
    </w:p>
    <w:p w14:paraId="11533993" w14:textId="77777777" w:rsidR="00097BB2" w:rsidRPr="00097BB2" w:rsidRDefault="00097BB2" w:rsidP="00097BB2">
      <w:pPr>
        <w:pStyle w:val="Body"/>
        <w:spacing w:after="0"/>
        <w:rPr>
          <w:rFonts w:ascii="Arial" w:hAnsi="Arial" w:cs="Arial"/>
          <w:i/>
        </w:rPr>
      </w:pPr>
    </w:p>
    <w:p w14:paraId="40D4689C" w14:textId="77777777" w:rsidR="00097BB2" w:rsidRPr="00097BB2" w:rsidRDefault="00097BB2" w:rsidP="00097BB2">
      <w:pPr>
        <w:pStyle w:val="Body"/>
        <w:rPr>
          <w:rFonts w:ascii="Arial" w:hAnsi="Arial" w:cs="Arial"/>
        </w:rPr>
      </w:pPr>
      <w:r w:rsidRPr="00097BB2">
        <w:rPr>
          <w:rFonts w:ascii="Arial" w:hAnsi="Arial" w:cs="Arial"/>
          <w:noProof/>
        </w:rPr>
        <w:lastRenderedPageBreak/>
        <w:drawing>
          <wp:inline distT="0" distB="0" distL="0" distR="0" wp14:anchorId="43C6B596" wp14:editId="39310945">
            <wp:extent cx="5777230" cy="4692650"/>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BE08F5" w14:textId="77777777" w:rsidR="00097BB2" w:rsidRPr="00097BB2" w:rsidRDefault="00097BB2" w:rsidP="00097BB2">
      <w:pPr>
        <w:pStyle w:val="Body"/>
        <w:spacing w:after="0"/>
        <w:ind w:left="720"/>
        <w:rPr>
          <w:rFonts w:ascii="Arial" w:hAnsi="Arial" w:cs="Arial"/>
        </w:rPr>
      </w:pPr>
      <w:r w:rsidRPr="00097BB2">
        <w:rPr>
          <w:rFonts w:ascii="Arial" w:hAnsi="Arial" w:cs="Arial"/>
        </w:rPr>
        <w:t>Dry Season is March – June, 2025</w:t>
      </w:r>
    </w:p>
    <w:p w14:paraId="286A6224" w14:textId="77777777" w:rsidR="00097BB2" w:rsidRPr="00097BB2" w:rsidRDefault="00097BB2" w:rsidP="00097BB2">
      <w:pPr>
        <w:pStyle w:val="Body"/>
        <w:spacing w:after="0"/>
        <w:ind w:left="720"/>
        <w:rPr>
          <w:rFonts w:ascii="Arial" w:hAnsi="Arial" w:cs="Arial"/>
        </w:rPr>
      </w:pPr>
      <w:r w:rsidRPr="00097BB2">
        <w:rPr>
          <w:rFonts w:ascii="Arial" w:hAnsi="Arial" w:cs="Arial"/>
        </w:rPr>
        <w:t>Wet Season is July – October, 2025</w:t>
      </w:r>
    </w:p>
    <w:p w14:paraId="1443CF54"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3: </w:t>
      </w:r>
      <w:r w:rsidRPr="00097BB2">
        <w:rPr>
          <w:rFonts w:ascii="Arial" w:hAnsi="Arial" w:cs="Arial"/>
          <w:i/>
        </w:rPr>
        <w:t>Mean</w:t>
      </w:r>
      <w:r w:rsidRPr="00097BB2">
        <w:rPr>
          <w:rFonts w:ascii="Arial" w:hAnsi="Arial" w:cs="Arial"/>
          <w:b/>
          <w:i/>
        </w:rPr>
        <w:t xml:space="preserve"> </w:t>
      </w:r>
      <w:r w:rsidRPr="00097BB2">
        <w:rPr>
          <w:rFonts w:ascii="Arial" w:hAnsi="Arial" w:cs="Arial"/>
          <w:i/>
        </w:rPr>
        <w:t xml:space="preserve">Abundance of Shapes and </w:t>
      </w:r>
      <w:proofErr w:type="spellStart"/>
      <w:r w:rsidRPr="00097BB2">
        <w:rPr>
          <w:rFonts w:ascii="Arial" w:hAnsi="Arial" w:cs="Arial"/>
          <w:i/>
        </w:rPr>
        <w:t>Colours</w:t>
      </w:r>
      <w:proofErr w:type="spellEnd"/>
      <w:r w:rsidRPr="00097BB2">
        <w:rPr>
          <w:rFonts w:ascii="Arial" w:hAnsi="Arial" w:cs="Arial"/>
          <w:i/>
        </w:rPr>
        <w:t xml:space="preserve"> of Microplastics (MPs) in Surface Water of River Ngadda</w:t>
      </w:r>
    </w:p>
    <w:p w14:paraId="0875919A" w14:textId="77777777" w:rsidR="00097BB2" w:rsidRPr="00097BB2" w:rsidRDefault="00097BB2" w:rsidP="00097BB2">
      <w:pPr>
        <w:pStyle w:val="Body"/>
        <w:spacing w:after="0"/>
        <w:rPr>
          <w:rFonts w:ascii="Arial" w:hAnsi="Arial" w:cs="Arial"/>
          <w:i/>
        </w:rPr>
      </w:pPr>
    </w:p>
    <w:p w14:paraId="215F6A62" w14:textId="77777777" w:rsidR="00097BB2" w:rsidRPr="00097BB2" w:rsidRDefault="00097BB2" w:rsidP="00097BB2">
      <w:pPr>
        <w:pStyle w:val="Body"/>
        <w:spacing w:after="0"/>
        <w:rPr>
          <w:rFonts w:ascii="Arial" w:hAnsi="Arial" w:cs="Arial"/>
          <w:b/>
        </w:rPr>
      </w:pPr>
      <w:r w:rsidRPr="00097BB2">
        <w:rPr>
          <w:rFonts w:ascii="Arial" w:hAnsi="Arial" w:cs="Arial"/>
          <w:b/>
        </w:rPr>
        <w:t>3.1.4 MPs Polymers in Surface Water of River Ngadda</w:t>
      </w:r>
    </w:p>
    <w:p w14:paraId="6480F63C" w14:textId="77777777" w:rsidR="00097BB2" w:rsidRPr="00097BB2" w:rsidRDefault="00097BB2" w:rsidP="00097BB2">
      <w:pPr>
        <w:pStyle w:val="Body"/>
        <w:spacing w:after="0"/>
        <w:rPr>
          <w:rFonts w:ascii="Arial" w:hAnsi="Arial" w:cs="Arial"/>
        </w:rPr>
      </w:pPr>
      <w:r w:rsidRPr="00097BB2">
        <w:rPr>
          <w:rFonts w:ascii="Arial" w:hAnsi="Arial" w:cs="Arial"/>
        </w:rPr>
        <w:t xml:space="preserve">The MPs polymers in surface water of river Ngadda as shown in </w:t>
      </w:r>
      <w:r w:rsidRPr="00097BB2">
        <w:rPr>
          <w:rFonts w:ascii="Arial" w:hAnsi="Arial" w:cs="Arial"/>
          <w:b/>
        </w:rPr>
        <w:t>Figure</w:t>
      </w:r>
      <w:r w:rsidRPr="00097BB2">
        <w:rPr>
          <w:rFonts w:ascii="Arial" w:hAnsi="Arial" w:cs="Arial"/>
        </w:rPr>
        <w:t xml:space="preserve"> 4 indicates that PA recorded the highest percentages across all the stations. PET, PA and PVC recorded the highest percentage at Station D (8.25, 30.52 and 27.75 % respectively) whereas PP was not detected at Station B (0 %). </w:t>
      </w:r>
    </w:p>
    <w:p w14:paraId="42734452" w14:textId="77777777" w:rsidR="00097BB2" w:rsidRPr="00097BB2" w:rsidRDefault="00097BB2" w:rsidP="00097BB2">
      <w:pPr>
        <w:pStyle w:val="Body"/>
        <w:spacing w:after="0"/>
        <w:rPr>
          <w:rFonts w:ascii="Arial" w:hAnsi="Arial" w:cs="Arial"/>
        </w:rPr>
      </w:pPr>
    </w:p>
    <w:p w14:paraId="5B10E68A" w14:textId="77777777" w:rsidR="00097BB2" w:rsidRPr="00097BB2" w:rsidRDefault="00097BB2" w:rsidP="00097BB2">
      <w:pPr>
        <w:pStyle w:val="Body"/>
        <w:spacing w:after="0"/>
        <w:rPr>
          <w:rFonts w:ascii="Arial" w:hAnsi="Arial" w:cs="Arial"/>
        </w:rPr>
      </w:pPr>
      <w:r w:rsidRPr="00097BB2">
        <w:rPr>
          <w:rFonts w:ascii="Arial" w:hAnsi="Arial" w:cs="Arial"/>
          <w:noProof/>
        </w:rPr>
        <w:lastRenderedPageBreak/>
        <w:drawing>
          <wp:inline distT="0" distB="0" distL="0" distR="0" wp14:anchorId="293D6460" wp14:editId="33407537">
            <wp:extent cx="4939665" cy="274320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69136D"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Key: </w:t>
      </w:r>
      <w:r w:rsidRPr="00097BB2">
        <w:rPr>
          <w:rFonts w:ascii="Arial" w:hAnsi="Arial" w:cs="Arial"/>
          <w:i/>
        </w:rPr>
        <w:t>PE-polyethylene, PP-polypropylene, PET-polyethylene terephthalate, PA-polyamide, PVC-polyvinyl chloride, PS-polystyrene</w:t>
      </w:r>
    </w:p>
    <w:p w14:paraId="041B0788"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4: </w:t>
      </w:r>
      <w:r w:rsidRPr="00097BB2">
        <w:rPr>
          <w:rFonts w:ascii="Arial" w:hAnsi="Arial" w:cs="Arial"/>
          <w:i/>
        </w:rPr>
        <w:t>MPs Polymers in the Surface Water of River Ngadda</w:t>
      </w:r>
    </w:p>
    <w:p w14:paraId="1BFC9219" w14:textId="77777777" w:rsidR="00097BB2" w:rsidRPr="00097BB2" w:rsidRDefault="00097BB2" w:rsidP="00097BB2">
      <w:pPr>
        <w:pStyle w:val="Body"/>
        <w:spacing w:after="0"/>
        <w:rPr>
          <w:rFonts w:ascii="Arial" w:hAnsi="Arial" w:cs="Arial"/>
        </w:rPr>
      </w:pPr>
    </w:p>
    <w:p w14:paraId="437D8A92" w14:textId="77777777" w:rsidR="00097BB2" w:rsidRPr="00097BB2" w:rsidRDefault="00097BB2" w:rsidP="00097BB2">
      <w:pPr>
        <w:pStyle w:val="Body"/>
        <w:spacing w:after="0"/>
        <w:rPr>
          <w:rFonts w:ascii="Arial" w:hAnsi="Arial" w:cs="Arial"/>
          <w:b/>
        </w:rPr>
      </w:pPr>
      <w:r w:rsidRPr="00097BB2">
        <w:rPr>
          <w:rFonts w:ascii="Arial" w:hAnsi="Arial" w:cs="Arial"/>
          <w:b/>
        </w:rPr>
        <w:t>3.1.5 Seasonal Abundance of Nanoplastics (NPs) in the Surface Water of River Ngadda</w:t>
      </w:r>
    </w:p>
    <w:p w14:paraId="4239D370"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abundances of nanoplastics (NPs) in the surface water of river Ngadda as shown in </w:t>
      </w:r>
      <w:r w:rsidRPr="00097BB2">
        <w:rPr>
          <w:rFonts w:ascii="Arial" w:hAnsi="Arial" w:cs="Arial"/>
          <w:b/>
        </w:rPr>
        <w:t>Figure 5</w:t>
      </w:r>
      <w:r w:rsidRPr="00097BB2">
        <w:rPr>
          <w:rFonts w:ascii="Arial" w:hAnsi="Arial" w:cs="Arial"/>
        </w:rPr>
        <w:t xml:space="preserve"> indicates that NPs ranges from 27.0±1.4 - 38.0±2.1 μg/L (in station B and C respectively) during the dry seasons and 21.0±0.3 – 34.0±1.1 μg/L (in station B and F respectively) during the wet season.</w:t>
      </w:r>
    </w:p>
    <w:p w14:paraId="3F7145B5" w14:textId="77777777" w:rsidR="00097BB2" w:rsidRPr="00097BB2" w:rsidRDefault="00097BB2" w:rsidP="00097BB2">
      <w:pPr>
        <w:pStyle w:val="Body"/>
        <w:spacing w:after="0"/>
        <w:rPr>
          <w:rFonts w:ascii="Arial" w:hAnsi="Arial" w:cs="Arial"/>
        </w:rPr>
      </w:pPr>
    </w:p>
    <w:p w14:paraId="778BF84F"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4ADD9D9D" wp14:editId="32F479AF">
            <wp:extent cx="4864100" cy="329692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C1DA72"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5: </w:t>
      </w:r>
      <w:r w:rsidRPr="00097BB2">
        <w:rPr>
          <w:rFonts w:ascii="Arial" w:hAnsi="Arial" w:cs="Arial"/>
          <w:i/>
        </w:rPr>
        <w:t>Seasonal Abundance of Nanoplastics (NPs) in the Surface Water of River Ngadda</w:t>
      </w:r>
    </w:p>
    <w:p w14:paraId="5AE6290B" w14:textId="77777777" w:rsidR="00097BB2" w:rsidRPr="00097BB2" w:rsidRDefault="00097BB2" w:rsidP="00097BB2">
      <w:pPr>
        <w:pStyle w:val="Body"/>
        <w:spacing w:after="0"/>
        <w:rPr>
          <w:rFonts w:ascii="Arial" w:hAnsi="Arial" w:cs="Arial"/>
          <w:i/>
        </w:rPr>
      </w:pPr>
    </w:p>
    <w:p w14:paraId="4AC17ED6" w14:textId="77777777" w:rsidR="00097BB2" w:rsidRPr="00097BB2" w:rsidRDefault="00097BB2" w:rsidP="00097BB2">
      <w:pPr>
        <w:pStyle w:val="Body"/>
        <w:spacing w:after="0"/>
        <w:rPr>
          <w:rFonts w:ascii="Arial" w:hAnsi="Arial" w:cs="Arial"/>
          <w:b/>
        </w:rPr>
      </w:pPr>
      <w:r w:rsidRPr="00097BB2">
        <w:rPr>
          <w:rFonts w:ascii="Arial" w:hAnsi="Arial" w:cs="Arial"/>
          <w:b/>
        </w:rPr>
        <w:t>3.1.6 NPs Polymers in Surface Water of River Ngadda</w:t>
      </w:r>
    </w:p>
    <w:p w14:paraId="7C2BAA89" w14:textId="77777777" w:rsidR="00097BB2" w:rsidRPr="00097BB2" w:rsidRDefault="00097BB2" w:rsidP="00097BB2">
      <w:pPr>
        <w:pStyle w:val="Body"/>
        <w:spacing w:after="0"/>
        <w:rPr>
          <w:rFonts w:ascii="Arial" w:hAnsi="Arial" w:cs="Arial"/>
        </w:rPr>
      </w:pPr>
      <w:r w:rsidRPr="00097BB2">
        <w:rPr>
          <w:rFonts w:ascii="Arial" w:hAnsi="Arial" w:cs="Arial"/>
        </w:rPr>
        <w:t xml:space="preserve">The NPs polymers in surface water of river Ngadda as shown in </w:t>
      </w:r>
      <w:r w:rsidRPr="00097BB2">
        <w:rPr>
          <w:rFonts w:ascii="Arial" w:hAnsi="Arial" w:cs="Arial"/>
          <w:b/>
        </w:rPr>
        <w:t>Figure</w:t>
      </w:r>
      <w:r w:rsidRPr="00097BB2">
        <w:rPr>
          <w:rFonts w:ascii="Arial" w:hAnsi="Arial" w:cs="Arial"/>
        </w:rPr>
        <w:t xml:space="preserve"> </w:t>
      </w:r>
      <w:r w:rsidRPr="00097BB2">
        <w:rPr>
          <w:rFonts w:ascii="Arial" w:hAnsi="Arial" w:cs="Arial"/>
          <w:b/>
        </w:rPr>
        <w:t>6</w:t>
      </w:r>
      <w:r w:rsidRPr="00097BB2">
        <w:rPr>
          <w:rFonts w:ascii="Arial" w:hAnsi="Arial" w:cs="Arial"/>
        </w:rPr>
        <w:t xml:space="preserve"> indicates that PS-associated pyrolysis products accounted for 57.3% of total polymer mass in Station C whereas PP (0%) was not detected in Station B.</w:t>
      </w:r>
    </w:p>
    <w:p w14:paraId="323A3EF5" w14:textId="77777777" w:rsidR="00097BB2" w:rsidRPr="00097BB2" w:rsidRDefault="00097BB2" w:rsidP="00097BB2">
      <w:pPr>
        <w:pStyle w:val="Body"/>
        <w:spacing w:after="0"/>
        <w:rPr>
          <w:rFonts w:ascii="Arial" w:hAnsi="Arial" w:cs="Arial"/>
        </w:rPr>
      </w:pPr>
      <w:r w:rsidRPr="00097BB2">
        <w:rPr>
          <w:rFonts w:ascii="Arial" w:hAnsi="Arial" w:cs="Arial"/>
          <w:noProof/>
        </w:rPr>
        <w:lastRenderedPageBreak/>
        <w:drawing>
          <wp:inline distT="0" distB="0" distL="0" distR="0" wp14:anchorId="67ED0CC2" wp14:editId="0C0F54AF">
            <wp:extent cx="4356100" cy="259080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8E1A23"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Key: </w:t>
      </w:r>
      <w:r w:rsidRPr="00097BB2">
        <w:rPr>
          <w:rFonts w:ascii="Arial" w:hAnsi="Arial" w:cs="Arial"/>
          <w:i/>
        </w:rPr>
        <w:t>PE-polyethylene, PP-polypropylene, PET-polyethylene terephthalate, PA-polyamide, PVC-polyvinyl chloride, PS-polystyrene</w:t>
      </w:r>
    </w:p>
    <w:p w14:paraId="098DA874"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6: </w:t>
      </w:r>
      <w:r w:rsidRPr="00097BB2">
        <w:rPr>
          <w:rFonts w:ascii="Arial" w:hAnsi="Arial" w:cs="Arial"/>
          <w:i/>
        </w:rPr>
        <w:t>NPs Polymers in the Surface Water of River Ngadda</w:t>
      </w:r>
    </w:p>
    <w:p w14:paraId="1A8427CF" w14:textId="77777777" w:rsidR="00097BB2" w:rsidRPr="00097BB2" w:rsidRDefault="00097BB2" w:rsidP="00097BB2">
      <w:pPr>
        <w:pStyle w:val="Body"/>
        <w:spacing w:after="0"/>
        <w:rPr>
          <w:rFonts w:ascii="Arial" w:hAnsi="Arial" w:cs="Arial"/>
          <w:i/>
        </w:rPr>
      </w:pPr>
    </w:p>
    <w:p w14:paraId="5AF7F67B" w14:textId="77777777" w:rsidR="00097BB2" w:rsidRPr="00097BB2" w:rsidRDefault="00097BB2" w:rsidP="00097BB2">
      <w:pPr>
        <w:pStyle w:val="Body"/>
        <w:spacing w:after="0"/>
        <w:rPr>
          <w:rFonts w:ascii="Arial" w:hAnsi="Arial" w:cs="Arial"/>
          <w:b/>
        </w:rPr>
      </w:pPr>
      <w:r w:rsidRPr="00097BB2">
        <w:rPr>
          <w:rFonts w:ascii="Arial" w:hAnsi="Arial" w:cs="Arial"/>
          <w:b/>
        </w:rPr>
        <w:t>3.1.7 Influence of Environmental Parameters on MNPs Distribution</w:t>
      </w:r>
    </w:p>
    <w:p w14:paraId="75B7B50E" w14:textId="77777777" w:rsidR="00097BB2" w:rsidRPr="00097BB2" w:rsidRDefault="00097BB2" w:rsidP="00097BB2">
      <w:pPr>
        <w:pStyle w:val="Body"/>
        <w:spacing w:after="0"/>
        <w:rPr>
          <w:rFonts w:ascii="Arial" w:hAnsi="Arial" w:cs="Arial"/>
        </w:rPr>
      </w:pPr>
      <w:r w:rsidRPr="00097BB2">
        <w:rPr>
          <w:rFonts w:ascii="Arial" w:hAnsi="Arial" w:cs="Arial"/>
        </w:rPr>
        <w:t xml:space="preserve">The PCA and CCA were conducted to determine the influence of environmental parameters on the distribution of MNPs. The PCA revealed strong dimensional reduction, with the first principal component (PC1) dominating the dataset structure. The </w:t>
      </w:r>
      <w:r w:rsidRPr="00097BB2">
        <w:rPr>
          <w:rFonts w:ascii="Arial" w:hAnsi="Arial" w:cs="Arial"/>
          <w:bCs/>
        </w:rPr>
        <w:t>scree plot</w:t>
      </w:r>
      <w:r w:rsidRPr="00097BB2">
        <w:rPr>
          <w:rFonts w:ascii="Arial" w:hAnsi="Arial" w:cs="Arial"/>
        </w:rPr>
        <w:t xml:space="preserve"> (</w:t>
      </w:r>
      <w:r w:rsidRPr="00097BB2">
        <w:rPr>
          <w:rFonts w:ascii="Arial" w:hAnsi="Arial" w:cs="Arial"/>
          <w:b/>
        </w:rPr>
        <w:t>Figure 7</w:t>
      </w:r>
      <w:r w:rsidRPr="00097BB2">
        <w:rPr>
          <w:rFonts w:ascii="Arial" w:hAnsi="Arial" w:cs="Arial"/>
        </w:rPr>
        <w:t xml:space="preserve">) shows a strong dimensional reduction with the first two components explaining the majority of dataset variance. The computed </w:t>
      </w:r>
      <w:r w:rsidRPr="00097BB2">
        <w:rPr>
          <w:rFonts w:ascii="Arial" w:hAnsi="Arial" w:cs="Arial"/>
          <w:bCs/>
        </w:rPr>
        <w:t>eigenvalues</w:t>
      </w:r>
      <w:r w:rsidRPr="00097BB2">
        <w:rPr>
          <w:rFonts w:ascii="Arial" w:hAnsi="Arial" w:cs="Arial"/>
        </w:rPr>
        <w:t xml:space="preserve"> indicate that </w:t>
      </w:r>
      <w:r w:rsidRPr="00097BB2">
        <w:rPr>
          <w:rFonts w:ascii="Arial" w:hAnsi="Arial" w:cs="Arial"/>
          <w:bCs/>
        </w:rPr>
        <w:t>PC1 (14,196.26</w:t>
      </w:r>
      <w:r w:rsidRPr="00097BB2">
        <w:rPr>
          <w:rFonts w:ascii="Arial" w:hAnsi="Arial" w:cs="Arial"/>
          <w:b/>
          <w:bCs/>
        </w:rPr>
        <w:t>)</w:t>
      </w:r>
      <w:r w:rsidRPr="00097BB2">
        <w:rPr>
          <w:rFonts w:ascii="Arial" w:hAnsi="Arial" w:cs="Arial"/>
        </w:rPr>
        <w:t xml:space="preserve"> is the dominant component while </w:t>
      </w:r>
      <w:r w:rsidRPr="00097BB2">
        <w:rPr>
          <w:rFonts w:ascii="Arial" w:hAnsi="Arial" w:cs="Arial"/>
          <w:bCs/>
        </w:rPr>
        <w:t>PC2 (256.26</w:t>
      </w:r>
      <w:r w:rsidRPr="00097BB2">
        <w:rPr>
          <w:rFonts w:ascii="Arial" w:hAnsi="Arial" w:cs="Arial"/>
          <w:b/>
          <w:bCs/>
        </w:rPr>
        <w:t>)</w:t>
      </w:r>
      <w:r w:rsidRPr="00097BB2">
        <w:rPr>
          <w:rFonts w:ascii="Arial" w:hAnsi="Arial" w:cs="Arial"/>
        </w:rPr>
        <w:t xml:space="preserve"> as </w:t>
      </w:r>
      <w:proofErr w:type="gramStart"/>
      <w:r w:rsidRPr="00097BB2">
        <w:rPr>
          <w:rFonts w:ascii="Arial" w:hAnsi="Arial" w:cs="Arial"/>
        </w:rPr>
        <w:t>a subsequent components</w:t>
      </w:r>
      <w:proofErr w:type="gramEnd"/>
      <w:r w:rsidRPr="00097BB2">
        <w:rPr>
          <w:rFonts w:ascii="Arial" w:hAnsi="Arial" w:cs="Arial"/>
        </w:rPr>
        <w:t xml:space="preserve"> contribute minimally. The result further indicates a sharp decline after PC1, confirming that a single dominant factor explains most of the variance. The high eigenvalue of PC1 indicates that </w:t>
      </w:r>
      <w:r w:rsidRPr="00097BB2">
        <w:rPr>
          <w:rFonts w:ascii="Arial" w:hAnsi="Arial" w:cs="Arial"/>
          <w:bCs/>
        </w:rPr>
        <w:t>MNPs distribution is primarily driven by anthropogenic inputs</w:t>
      </w:r>
      <w:r w:rsidRPr="00097BB2">
        <w:rPr>
          <w:rFonts w:ascii="Arial" w:hAnsi="Arial" w:cs="Arial"/>
        </w:rPr>
        <w:t>, while subsequent components contribute marginally. The result of PCA on shape (sphere, fiber, fragment, film), polymers variables (PE, PP, PET, PS, PA and PVC).</w:t>
      </w:r>
    </w:p>
    <w:p w14:paraId="23A9DB44"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433067C2" wp14:editId="3309616F">
            <wp:extent cx="4105919" cy="2698750"/>
            <wp:effectExtent l="0" t="0" r="0" b="0"/>
            <wp:docPr id="5" name="Picture 5" descr="PCA Scre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CA Scree Wat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1394" cy="2702349"/>
                    </a:xfrm>
                    <a:prstGeom prst="rect">
                      <a:avLst/>
                    </a:prstGeom>
                    <a:noFill/>
                    <a:ln>
                      <a:noFill/>
                    </a:ln>
                  </pic:spPr>
                </pic:pic>
              </a:graphicData>
            </a:graphic>
          </wp:inline>
        </w:drawing>
      </w:r>
    </w:p>
    <w:p w14:paraId="464D78E0" w14:textId="77777777" w:rsidR="00097BB2" w:rsidRPr="00097BB2" w:rsidRDefault="00097BB2" w:rsidP="00097BB2">
      <w:pPr>
        <w:pStyle w:val="Body"/>
        <w:spacing w:after="0"/>
        <w:rPr>
          <w:rFonts w:ascii="Arial" w:hAnsi="Arial" w:cs="Arial"/>
          <w:i/>
        </w:rPr>
      </w:pPr>
      <w:r w:rsidRPr="00097BB2">
        <w:rPr>
          <w:rFonts w:ascii="Arial" w:hAnsi="Arial" w:cs="Arial"/>
          <w:b/>
          <w:i/>
        </w:rPr>
        <w:t>Figure 7</w:t>
      </w:r>
      <w:r w:rsidRPr="00097BB2">
        <w:rPr>
          <w:rFonts w:ascii="Arial" w:hAnsi="Arial" w:cs="Arial"/>
          <w:i/>
        </w:rPr>
        <w:t xml:space="preserve">: PCA </w:t>
      </w:r>
      <w:proofErr w:type="gramStart"/>
      <w:r w:rsidRPr="00097BB2">
        <w:rPr>
          <w:rFonts w:ascii="Arial" w:hAnsi="Arial" w:cs="Arial"/>
          <w:i/>
        </w:rPr>
        <w:t>Scree  of</w:t>
      </w:r>
      <w:proofErr w:type="gramEnd"/>
      <w:r w:rsidRPr="00097BB2">
        <w:rPr>
          <w:rFonts w:ascii="Arial" w:hAnsi="Arial" w:cs="Arial"/>
          <w:i/>
        </w:rPr>
        <w:t xml:space="preserve"> the </w:t>
      </w:r>
      <w:proofErr w:type="spellStart"/>
      <w:r w:rsidRPr="00097BB2">
        <w:rPr>
          <w:rFonts w:ascii="Arial" w:hAnsi="Arial" w:cs="Arial"/>
          <w:i/>
        </w:rPr>
        <w:t>Spatio</w:t>
      </w:r>
      <w:proofErr w:type="spellEnd"/>
      <w:r w:rsidRPr="00097BB2">
        <w:rPr>
          <w:rFonts w:ascii="Arial" w:hAnsi="Arial" w:cs="Arial"/>
          <w:i/>
        </w:rPr>
        <w:t>-Seasonal Hydrochemistry with the MNPs in River Ngadda</w:t>
      </w:r>
    </w:p>
    <w:p w14:paraId="2522F38E" w14:textId="77777777" w:rsidR="00097BB2" w:rsidRPr="00097BB2" w:rsidRDefault="00097BB2" w:rsidP="00097BB2">
      <w:pPr>
        <w:pStyle w:val="Body"/>
        <w:spacing w:after="0"/>
        <w:rPr>
          <w:rFonts w:ascii="Arial" w:hAnsi="Arial" w:cs="Arial"/>
        </w:rPr>
      </w:pPr>
    </w:p>
    <w:p w14:paraId="48E661AE" w14:textId="77777777" w:rsidR="00097BB2" w:rsidRPr="00097BB2" w:rsidRDefault="00097BB2" w:rsidP="00097BB2">
      <w:pPr>
        <w:pStyle w:val="Body"/>
        <w:spacing w:after="0"/>
        <w:rPr>
          <w:rFonts w:ascii="Arial" w:hAnsi="Arial" w:cs="Arial"/>
        </w:rPr>
      </w:pPr>
      <w:r w:rsidRPr="00097BB2">
        <w:rPr>
          <w:rFonts w:ascii="Arial" w:hAnsi="Arial" w:cs="Arial"/>
        </w:rPr>
        <w:t xml:space="preserve">The PCA Eigenvalues and Variance results as shown in </w:t>
      </w:r>
      <w:r w:rsidRPr="00097BB2">
        <w:rPr>
          <w:rFonts w:ascii="Arial" w:hAnsi="Arial" w:cs="Arial"/>
          <w:b/>
        </w:rPr>
        <w:t>Table 2</w:t>
      </w:r>
      <w:r w:rsidRPr="00097BB2">
        <w:rPr>
          <w:rFonts w:ascii="Arial" w:hAnsi="Arial" w:cs="Arial"/>
        </w:rPr>
        <w:t xml:space="preserve"> further indicate that </w:t>
      </w:r>
      <w:r w:rsidRPr="00097BB2">
        <w:rPr>
          <w:rFonts w:ascii="Arial" w:hAnsi="Arial" w:cs="Arial"/>
          <w:bCs/>
        </w:rPr>
        <w:t>PC1 accounts for 96.85% of total variance</w:t>
      </w:r>
      <w:r w:rsidRPr="00097BB2">
        <w:rPr>
          <w:rFonts w:ascii="Arial" w:hAnsi="Arial" w:cs="Arial"/>
        </w:rPr>
        <w:t xml:space="preserve">, clearly identifying it as the dominant gradient controlling MNPs distribution. High positive loadings of </w:t>
      </w:r>
      <w:r w:rsidRPr="00097BB2">
        <w:rPr>
          <w:rFonts w:ascii="Arial" w:hAnsi="Arial" w:cs="Arial"/>
          <w:bCs/>
        </w:rPr>
        <w:t>fragments, fibers, and major polymers (PP, PVC, PET)</w:t>
      </w:r>
      <w:r w:rsidRPr="00097BB2">
        <w:rPr>
          <w:rFonts w:ascii="Arial" w:hAnsi="Arial" w:cs="Arial"/>
        </w:rPr>
        <w:t xml:space="preserve"> along with </w:t>
      </w:r>
      <w:r w:rsidRPr="00097BB2">
        <w:rPr>
          <w:rFonts w:ascii="Arial" w:hAnsi="Arial" w:cs="Arial"/>
          <w:bCs/>
        </w:rPr>
        <w:t>TDS and EC</w:t>
      </w:r>
      <w:r w:rsidRPr="00097BB2">
        <w:rPr>
          <w:rFonts w:ascii="Arial" w:hAnsi="Arial" w:cs="Arial"/>
        </w:rPr>
        <w:t xml:space="preserve"> confirm that PC1 represents </w:t>
      </w:r>
      <w:r w:rsidRPr="00097BB2">
        <w:rPr>
          <w:rFonts w:ascii="Arial" w:hAnsi="Arial" w:cs="Arial"/>
          <w:bCs/>
        </w:rPr>
        <w:t>anthropogenic pollution sources</w:t>
      </w:r>
      <w:r w:rsidRPr="00097BB2">
        <w:rPr>
          <w:rFonts w:ascii="Arial" w:hAnsi="Arial" w:cs="Arial"/>
        </w:rPr>
        <w:t xml:space="preserve">, including domestic discharge, agricultural runoff, and urban activities. Additionally, stations </w:t>
      </w:r>
      <w:r w:rsidRPr="00097BB2">
        <w:rPr>
          <w:rFonts w:ascii="Arial" w:hAnsi="Arial" w:cs="Arial"/>
          <w:bCs/>
        </w:rPr>
        <w:t>C - F exhibited strong positive PC1 scores</w:t>
      </w:r>
      <w:r w:rsidRPr="00097BB2">
        <w:rPr>
          <w:rFonts w:ascii="Arial" w:hAnsi="Arial" w:cs="Arial"/>
        </w:rPr>
        <w:t xml:space="preserve">, indicating higher contamination levels, while Stations A and B showed relatively lower anthropogenic influence. PC2 (1.75%) represents </w:t>
      </w:r>
      <w:proofErr w:type="spellStart"/>
      <w:r w:rsidRPr="00097BB2">
        <w:rPr>
          <w:rFonts w:ascii="Arial" w:hAnsi="Arial" w:cs="Arial"/>
          <w:bCs/>
        </w:rPr>
        <w:t>hydrochemical</w:t>
      </w:r>
      <w:proofErr w:type="spellEnd"/>
      <w:r w:rsidRPr="00097BB2">
        <w:rPr>
          <w:rFonts w:ascii="Arial" w:hAnsi="Arial" w:cs="Arial"/>
          <w:bCs/>
        </w:rPr>
        <w:t xml:space="preserve"> controls</w:t>
      </w:r>
      <w:r w:rsidRPr="00097BB2">
        <w:rPr>
          <w:rFonts w:ascii="Arial" w:hAnsi="Arial" w:cs="Arial"/>
        </w:rPr>
        <w:t xml:space="preserve">, primarily driven by </w:t>
      </w:r>
      <w:r w:rsidRPr="00097BB2">
        <w:rPr>
          <w:rFonts w:ascii="Arial" w:hAnsi="Arial" w:cs="Arial"/>
          <w:bCs/>
        </w:rPr>
        <w:t>temperature, pH, nitrate, and sulfate</w:t>
      </w:r>
      <w:r w:rsidRPr="00097BB2">
        <w:rPr>
          <w:rFonts w:ascii="Arial" w:hAnsi="Arial" w:cs="Arial"/>
        </w:rPr>
        <w:t>, suggesting that environmental conditions regulate the transformation and mobility of plastics.</w:t>
      </w:r>
    </w:p>
    <w:p w14:paraId="493E3AE9" w14:textId="77777777" w:rsidR="00097BB2" w:rsidRPr="00097BB2" w:rsidRDefault="00097BB2" w:rsidP="00097BB2">
      <w:pPr>
        <w:pStyle w:val="Body"/>
        <w:spacing w:after="0"/>
        <w:rPr>
          <w:rFonts w:ascii="Arial" w:hAnsi="Arial" w:cs="Arial"/>
        </w:rPr>
      </w:pPr>
    </w:p>
    <w:p w14:paraId="7366C94B" w14:textId="77777777" w:rsidR="00097BB2" w:rsidRPr="00097BB2" w:rsidRDefault="00097BB2" w:rsidP="00097BB2">
      <w:pPr>
        <w:pStyle w:val="Body"/>
        <w:spacing w:after="0"/>
        <w:rPr>
          <w:rFonts w:ascii="Arial" w:hAnsi="Arial" w:cs="Arial"/>
        </w:rPr>
      </w:pPr>
    </w:p>
    <w:p w14:paraId="49453B7B" w14:textId="77777777" w:rsidR="00097BB2" w:rsidRPr="00097BB2" w:rsidRDefault="00097BB2" w:rsidP="00097BB2">
      <w:pPr>
        <w:pStyle w:val="Body"/>
        <w:spacing w:after="0"/>
        <w:rPr>
          <w:rFonts w:ascii="Arial" w:hAnsi="Arial" w:cs="Arial"/>
        </w:rPr>
      </w:pPr>
      <w:r w:rsidRPr="00097BB2">
        <w:rPr>
          <w:rFonts w:ascii="Arial" w:hAnsi="Arial" w:cs="Arial"/>
          <w:b/>
        </w:rPr>
        <w:lastRenderedPageBreak/>
        <w:t>Table 2:</w:t>
      </w:r>
      <w:r w:rsidRPr="00097BB2">
        <w:rPr>
          <w:rFonts w:ascii="Arial" w:hAnsi="Arial" w:cs="Arial"/>
        </w:rPr>
        <w:t xml:space="preserve"> PCA Eigenvalues and Variance</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87"/>
        <w:gridCol w:w="1449"/>
        <w:gridCol w:w="2977"/>
        <w:gridCol w:w="1520"/>
      </w:tblGrid>
      <w:tr w:rsidR="00097BB2" w:rsidRPr="00097BB2" w14:paraId="2E97765F" w14:textId="77777777" w:rsidTr="00D34D96">
        <w:trPr>
          <w:tblHeader/>
          <w:tblCellSpacing w:w="15" w:type="dxa"/>
        </w:trPr>
        <w:tc>
          <w:tcPr>
            <w:tcW w:w="0" w:type="auto"/>
            <w:tcBorders>
              <w:top w:val="nil"/>
              <w:bottom w:val="single" w:sz="4" w:space="0" w:color="auto"/>
            </w:tcBorders>
            <w:vAlign w:val="center"/>
            <w:hideMark/>
          </w:tcPr>
          <w:p w14:paraId="0007B3A1" w14:textId="77777777" w:rsidR="00097BB2" w:rsidRPr="00097BB2" w:rsidRDefault="00097BB2" w:rsidP="00097BB2">
            <w:pPr>
              <w:pStyle w:val="Body"/>
              <w:rPr>
                <w:rFonts w:ascii="Arial" w:hAnsi="Arial" w:cs="Arial"/>
                <w:b/>
                <w:bCs/>
              </w:rPr>
            </w:pPr>
            <w:r w:rsidRPr="00097BB2">
              <w:rPr>
                <w:rFonts w:ascii="Arial" w:hAnsi="Arial" w:cs="Arial"/>
                <w:b/>
                <w:bCs/>
              </w:rPr>
              <w:t>Principal Component</w:t>
            </w:r>
          </w:p>
        </w:tc>
        <w:tc>
          <w:tcPr>
            <w:tcW w:w="1419" w:type="dxa"/>
            <w:tcBorders>
              <w:top w:val="nil"/>
              <w:bottom w:val="single" w:sz="4" w:space="0" w:color="auto"/>
            </w:tcBorders>
            <w:vAlign w:val="center"/>
            <w:hideMark/>
          </w:tcPr>
          <w:p w14:paraId="4282E814" w14:textId="77777777" w:rsidR="00097BB2" w:rsidRPr="00097BB2" w:rsidRDefault="00097BB2" w:rsidP="00097BB2">
            <w:pPr>
              <w:pStyle w:val="Body"/>
              <w:rPr>
                <w:rFonts w:ascii="Arial" w:hAnsi="Arial" w:cs="Arial"/>
                <w:b/>
                <w:bCs/>
              </w:rPr>
            </w:pPr>
            <w:r w:rsidRPr="00097BB2">
              <w:rPr>
                <w:rFonts w:ascii="Arial" w:hAnsi="Arial" w:cs="Arial"/>
                <w:b/>
                <w:bCs/>
              </w:rPr>
              <w:t>Eigenvalue</w:t>
            </w:r>
          </w:p>
        </w:tc>
        <w:tc>
          <w:tcPr>
            <w:tcW w:w="2947" w:type="dxa"/>
            <w:tcBorders>
              <w:top w:val="nil"/>
              <w:bottom w:val="single" w:sz="4" w:space="0" w:color="auto"/>
            </w:tcBorders>
            <w:vAlign w:val="center"/>
            <w:hideMark/>
          </w:tcPr>
          <w:p w14:paraId="330E10C6" w14:textId="77777777" w:rsidR="00097BB2" w:rsidRPr="00097BB2" w:rsidRDefault="00097BB2" w:rsidP="00097BB2">
            <w:pPr>
              <w:pStyle w:val="Body"/>
              <w:rPr>
                <w:rFonts w:ascii="Arial" w:hAnsi="Arial" w:cs="Arial"/>
                <w:b/>
                <w:bCs/>
              </w:rPr>
            </w:pPr>
            <w:r w:rsidRPr="00097BB2">
              <w:rPr>
                <w:rFonts w:ascii="Arial" w:hAnsi="Arial" w:cs="Arial"/>
                <w:b/>
                <w:bCs/>
              </w:rPr>
              <w:t>Variance Explained (%)</w:t>
            </w:r>
          </w:p>
        </w:tc>
        <w:tc>
          <w:tcPr>
            <w:tcW w:w="0" w:type="auto"/>
            <w:tcBorders>
              <w:top w:val="nil"/>
              <w:bottom w:val="single" w:sz="4" w:space="0" w:color="auto"/>
            </w:tcBorders>
            <w:vAlign w:val="center"/>
            <w:hideMark/>
          </w:tcPr>
          <w:p w14:paraId="3DA64450" w14:textId="77777777" w:rsidR="00097BB2" w:rsidRPr="00097BB2" w:rsidRDefault="00097BB2" w:rsidP="00097BB2">
            <w:pPr>
              <w:pStyle w:val="Body"/>
              <w:rPr>
                <w:rFonts w:ascii="Arial" w:hAnsi="Arial" w:cs="Arial"/>
                <w:b/>
                <w:bCs/>
              </w:rPr>
            </w:pPr>
            <w:r w:rsidRPr="00097BB2">
              <w:rPr>
                <w:rFonts w:ascii="Arial" w:hAnsi="Arial" w:cs="Arial"/>
                <w:b/>
                <w:bCs/>
              </w:rPr>
              <w:t>Cumulative (%)</w:t>
            </w:r>
          </w:p>
        </w:tc>
      </w:tr>
      <w:tr w:rsidR="00097BB2" w:rsidRPr="00097BB2" w14:paraId="5C379492" w14:textId="77777777" w:rsidTr="00D34D96">
        <w:trPr>
          <w:tblCellSpacing w:w="15" w:type="dxa"/>
        </w:trPr>
        <w:tc>
          <w:tcPr>
            <w:tcW w:w="0" w:type="auto"/>
            <w:vAlign w:val="center"/>
            <w:hideMark/>
          </w:tcPr>
          <w:p w14:paraId="03A4F507" w14:textId="77777777" w:rsidR="00097BB2" w:rsidRPr="00097BB2" w:rsidRDefault="00097BB2" w:rsidP="00097BB2">
            <w:pPr>
              <w:pStyle w:val="Body"/>
              <w:rPr>
                <w:rFonts w:ascii="Arial" w:hAnsi="Arial" w:cs="Arial"/>
              </w:rPr>
            </w:pPr>
            <w:r w:rsidRPr="00097BB2">
              <w:rPr>
                <w:rFonts w:ascii="Arial" w:hAnsi="Arial" w:cs="Arial"/>
              </w:rPr>
              <w:t>PC1</w:t>
            </w:r>
          </w:p>
        </w:tc>
        <w:tc>
          <w:tcPr>
            <w:tcW w:w="1419" w:type="dxa"/>
            <w:vAlign w:val="center"/>
            <w:hideMark/>
          </w:tcPr>
          <w:p w14:paraId="6A58D133" w14:textId="77777777" w:rsidR="00097BB2" w:rsidRPr="00097BB2" w:rsidRDefault="00097BB2" w:rsidP="00097BB2">
            <w:pPr>
              <w:pStyle w:val="Body"/>
              <w:rPr>
                <w:rFonts w:ascii="Arial" w:hAnsi="Arial" w:cs="Arial"/>
              </w:rPr>
            </w:pPr>
            <w:r w:rsidRPr="00097BB2">
              <w:rPr>
                <w:rFonts w:ascii="Arial" w:hAnsi="Arial" w:cs="Arial"/>
              </w:rPr>
              <w:t>14196.26</w:t>
            </w:r>
          </w:p>
        </w:tc>
        <w:tc>
          <w:tcPr>
            <w:tcW w:w="2947" w:type="dxa"/>
            <w:vAlign w:val="center"/>
            <w:hideMark/>
          </w:tcPr>
          <w:p w14:paraId="6C5E928D" w14:textId="77777777" w:rsidR="00097BB2" w:rsidRPr="00097BB2" w:rsidRDefault="00097BB2" w:rsidP="00097BB2">
            <w:pPr>
              <w:pStyle w:val="Body"/>
              <w:rPr>
                <w:rFonts w:ascii="Arial" w:hAnsi="Arial" w:cs="Arial"/>
              </w:rPr>
            </w:pPr>
            <w:r w:rsidRPr="00097BB2">
              <w:rPr>
                <w:rFonts w:ascii="Arial" w:hAnsi="Arial" w:cs="Arial"/>
              </w:rPr>
              <w:t>96.85</w:t>
            </w:r>
          </w:p>
        </w:tc>
        <w:tc>
          <w:tcPr>
            <w:tcW w:w="0" w:type="auto"/>
            <w:vAlign w:val="center"/>
            <w:hideMark/>
          </w:tcPr>
          <w:p w14:paraId="03292330" w14:textId="77777777" w:rsidR="00097BB2" w:rsidRPr="00097BB2" w:rsidRDefault="00097BB2" w:rsidP="00097BB2">
            <w:pPr>
              <w:pStyle w:val="Body"/>
              <w:rPr>
                <w:rFonts w:ascii="Arial" w:hAnsi="Arial" w:cs="Arial"/>
              </w:rPr>
            </w:pPr>
            <w:r w:rsidRPr="00097BB2">
              <w:rPr>
                <w:rFonts w:ascii="Arial" w:hAnsi="Arial" w:cs="Arial"/>
              </w:rPr>
              <w:t>96.85</w:t>
            </w:r>
          </w:p>
        </w:tc>
      </w:tr>
      <w:tr w:rsidR="00097BB2" w:rsidRPr="00097BB2" w14:paraId="33C495ED" w14:textId="77777777" w:rsidTr="00D34D96">
        <w:trPr>
          <w:tblCellSpacing w:w="15" w:type="dxa"/>
        </w:trPr>
        <w:tc>
          <w:tcPr>
            <w:tcW w:w="0" w:type="auto"/>
            <w:vAlign w:val="center"/>
            <w:hideMark/>
          </w:tcPr>
          <w:p w14:paraId="5B4B7E5B" w14:textId="77777777" w:rsidR="00097BB2" w:rsidRPr="00097BB2" w:rsidRDefault="00097BB2" w:rsidP="00097BB2">
            <w:pPr>
              <w:pStyle w:val="Body"/>
              <w:rPr>
                <w:rFonts w:ascii="Arial" w:hAnsi="Arial" w:cs="Arial"/>
              </w:rPr>
            </w:pPr>
            <w:r w:rsidRPr="00097BB2">
              <w:rPr>
                <w:rFonts w:ascii="Arial" w:hAnsi="Arial" w:cs="Arial"/>
              </w:rPr>
              <w:t>PC2</w:t>
            </w:r>
          </w:p>
        </w:tc>
        <w:tc>
          <w:tcPr>
            <w:tcW w:w="1419" w:type="dxa"/>
            <w:vAlign w:val="center"/>
            <w:hideMark/>
          </w:tcPr>
          <w:p w14:paraId="7A3B4751" w14:textId="77777777" w:rsidR="00097BB2" w:rsidRPr="00097BB2" w:rsidRDefault="00097BB2" w:rsidP="00097BB2">
            <w:pPr>
              <w:pStyle w:val="Body"/>
              <w:rPr>
                <w:rFonts w:ascii="Arial" w:hAnsi="Arial" w:cs="Arial"/>
              </w:rPr>
            </w:pPr>
            <w:r w:rsidRPr="00097BB2">
              <w:rPr>
                <w:rFonts w:ascii="Arial" w:hAnsi="Arial" w:cs="Arial"/>
              </w:rPr>
              <w:t>256.26</w:t>
            </w:r>
          </w:p>
        </w:tc>
        <w:tc>
          <w:tcPr>
            <w:tcW w:w="2947" w:type="dxa"/>
            <w:vAlign w:val="center"/>
            <w:hideMark/>
          </w:tcPr>
          <w:p w14:paraId="4F2BDB99" w14:textId="77777777" w:rsidR="00097BB2" w:rsidRPr="00097BB2" w:rsidRDefault="00097BB2" w:rsidP="00097BB2">
            <w:pPr>
              <w:pStyle w:val="Body"/>
              <w:rPr>
                <w:rFonts w:ascii="Arial" w:hAnsi="Arial" w:cs="Arial"/>
              </w:rPr>
            </w:pPr>
            <w:r w:rsidRPr="00097BB2">
              <w:rPr>
                <w:rFonts w:ascii="Arial" w:hAnsi="Arial" w:cs="Arial"/>
              </w:rPr>
              <w:t>1.75</w:t>
            </w:r>
          </w:p>
        </w:tc>
        <w:tc>
          <w:tcPr>
            <w:tcW w:w="0" w:type="auto"/>
            <w:vAlign w:val="center"/>
            <w:hideMark/>
          </w:tcPr>
          <w:p w14:paraId="60944915" w14:textId="77777777" w:rsidR="00097BB2" w:rsidRPr="00097BB2" w:rsidRDefault="00097BB2" w:rsidP="00097BB2">
            <w:pPr>
              <w:pStyle w:val="Body"/>
              <w:rPr>
                <w:rFonts w:ascii="Arial" w:hAnsi="Arial" w:cs="Arial"/>
              </w:rPr>
            </w:pPr>
            <w:r w:rsidRPr="00097BB2">
              <w:rPr>
                <w:rFonts w:ascii="Arial" w:hAnsi="Arial" w:cs="Arial"/>
              </w:rPr>
              <w:t>98.60</w:t>
            </w:r>
          </w:p>
        </w:tc>
      </w:tr>
      <w:tr w:rsidR="00097BB2" w:rsidRPr="00097BB2" w14:paraId="02359D4E" w14:textId="77777777" w:rsidTr="00D34D96">
        <w:trPr>
          <w:tblCellSpacing w:w="15" w:type="dxa"/>
        </w:trPr>
        <w:tc>
          <w:tcPr>
            <w:tcW w:w="0" w:type="auto"/>
            <w:vAlign w:val="center"/>
            <w:hideMark/>
          </w:tcPr>
          <w:p w14:paraId="17B88323" w14:textId="77777777" w:rsidR="00097BB2" w:rsidRPr="00097BB2" w:rsidRDefault="00097BB2" w:rsidP="00097BB2">
            <w:pPr>
              <w:pStyle w:val="Body"/>
              <w:rPr>
                <w:rFonts w:ascii="Arial" w:hAnsi="Arial" w:cs="Arial"/>
              </w:rPr>
            </w:pPr>
            <w:r w:rsidRPr="00097BB2">
              <w:rPr>
                <w:rFonts w:ascii="Arial" w:hAnsi="Arial" w:cs="Arial"/>
              </w:rPr>
              <w:t>PC3</w:t>
            </w:r>
          </w:p>
        </w:tc>
        <w:tc>
          <w:tcPr>
            <w:tcW w:w="1419" w:type="dxa"/>
            <w:vAlign w:val="center"/>
            <w:hideMark/>
          </w:tcPr>
          <w:p w14:paraId="1C8B879F" w14:textId="77777777" w:rsidR="00097BB2" w:rsidRPr="00097BB2" w:rsidRDefault="00097BB2" w:rsidP="00097BB2">
            <w:pPr>
              <w:pStyle w:val="Body"/>
              <w:rPr>
                <w:rFonts w:ascii="Arial" w:hAnsi="Arial" w:cs="Arial"/>
              </w:rPr>
            </w:pPr>
            <w:r w:rsidRPr="00097BB2">
              <w:rPr>
                <w:rFonts w:ascii="Arial" w:hAnsi="Arial" w:cs="Arial"/>
              </w:rPr>
              <w:t>39.66</w:t>
            </w:r>
          </w:p>
        </w:tc>
        <w:tc>
          <w:tcPr>
            <w:tcW w:w="2947" w:type="dxa"/>
            <w:vAlign w:val="center"/>
            <w:hideMark/>
          </w:tcPr>
          <w:p w14:paraId="2FDE9131" w14:textId="77777777" w:rsidR="00097BB2" w:rsidRPr="00097BB2" w:rsidRDefault="00097BB2" w:rsidP="00097BB2">
            <w:pPr>
              <w:pStyle w:val="Body"/>
              <w:rPr>
                <w:rFonts w:ascii="Arial" w:hAnsi="Arial" w:cs="Arial"/>
              </w:rPr>
            </w:pPr>
            <w:r w:rsidRPr="00097BB2">
              <w:rPr>
                <w:rFonts w:ascii="Arial" w:hAnsi="Arial" w:cs="Arial"/>
              </w:rPr>
              <w:t>0.27</w:t>
            </w:r>
          </w:p>
        </w:tc>
        <w:tc>
          <w:tcPr>
            <w:tcW w:w="0" w:type="auto"/>
            <w:vAlign w:val="center"/>
            <w:hideMark/>
          </w:tcPr>
          <w:p w14:paraId="0874C1A5" w14:textId="77777777" w:rsidR="00097BB2" w:rsidRPr="00097BB2" w:rsidRDefault="00097BB2" w:rsidP="00097BB2">
            <w:pPr>
              <w:pStyle w:val="Body"/>
              <w:rPr>
                <w:rFonts w:ascii="Arial" w:hAnsi="Arial" w:cs="Arial"/>
              </w:rPr>
            </w:pPr>
            <w:r w:rsidRPr="00097BB2">
              <w:rPr>
                <w:rFonts w:ascii="Arial" w:hAnsi="Arial" w:cs="Arial"/>
              </w:rPr>
              <w:t>98.87</w:t>
            </w:r>
          </w:p>
        </w:tc>
      </w:tr>
      <w:tr w:rsidR="00097BB2" w:rsidRPr="00097BB2" w14:paraId="7D689DEB" w14:textId="77777777" w:rsidTr="00D34D96">
        <w:trPr>
          <w:tblCellSpacing w:w="15" w:type="dxa"/>
        </w:trPr>
        <w:tc>
          <w:tcPr>
            <w:tcW w:w="0" w:type="auto"/>
            <w:vAlign w:val="center"/>
            <w:hideMark/>
          </w:tcPr>
          <w:p w14:paraId="5DE05BF4" w14:textId="77777777" w:rsidR="00097BB2" w:rsidRPr="00097BB2" w:rsidRDefault="00097BB2" w:rsidP="00097BB2">
            <w:pPr>
              <w:pStyle w:val="Body"/>
              <w:rPr>
                <w:rFonts w:ascii="Arial" w:hAnsi="Arial" w:cs="Arial"/>
              </w:rPr>
            </w:pPr>
            <w:r w:rsidRPr="00097BB2">
              <w:rPr>
                <w:rFonts w:ascii="Arial" w:hAnsi="Arial" w:cs="Arial"/>
              </w:rPr>
              <w:t>PC4</w:t>
            </w:r>
          </w:p>
        </w:tc>
        <w:tc>
          <w:tcPr>
            <w:tcW w:w="1419" w:type="dxa"/>
            <w:vAlign w:val="center"/>
            <w:hideMark/>
          </w:tcPr>
          <w:p w14:paraId="03347657" w14:textId="77777777" w:rsidR="00097BB2" w:rsidRPr="00097BB2" w:rsidRDefault="00097BB2" w:rsidP="00097BB2">
            <w:pPr>
              <w:pStyle w:val="Body"/>
              <w:rPr>
                <w:rFonts w:ascii="Arial" w:hAnsi="Arial" w:cs="Arial"/>
              </w:rPr>
            </w:pPr>
            <w:r w:rsidRPr="00097BB2">
              <w:rPr>
                <w:rFonts w:ascii="Arial" w:hAnsi="Arial" w:cs="Arial"/>
              </w:rPr>
              <w:t>18.16</w:t>
            </w:r>
          </w:p>
        </w:tc>
        <w:tc>
          <w:tcPr>
            <w:tcW w:w="2947" w:type="dxa"/>
            <w:vAlign w:val="center"/>
            <w:hideMark/>
          </w:tcPr>
          <w:p w14:paraId="0EAC91CB" w14:textId="77777777" w:rsidR="00097BB2" w:rsidRPr="00097BB2" w:rsidRDefault="00097BB2" w:rsidP="00097BB2">
            <w:pPr>
              <w:pStyle w:val="Body"/>
              <w:rPr>
                <w:rFonts w:ascii="Arial" w:hAnsi="Arial" w:cs="Arial"/>
              </w:rPr>
            </w:pPr>
            <w:r w:rsidRPr="00097BB2">
              <w:rPr>
                <w:rFonts w:ascii="Arial" w:hAnsi="Arial" w:cs="Arial"/>
              </w:rPr>
              <w:t>0.12</w:t>
            </w:r>
          </w:p>
        </w:tc>
        <w:tc>
          <w:tcPr>
            <w:tcW w:w="0" w:type="auto"/>
            <w:vAlign w:val="center"/>
            <w:hideMark/>
          </w:tcPr>
          <w:p w14:paraId="0D61D658" w14:textId="77777777" w:rsidR="00097BB2" w:rsidRPr="00097BB2" w:rsidRDefault="00097BB2" w:rsidP="00097BB2">
            <w:pPr>
              <w:pStyle w:val="Body"/>
              <w:rPr>
                <w:rFonts w:ascii="Arial" w:hAnsi="Arial" w:cs="Arial"/>
              </w:rPr>
            </w:pPr>
            <w:r w:rsidRPr="00097BB2">
              <w:rPr>
                <w:rFonts w:ascii="Arial" w:hAnsi="Arial" w:cs="Arial"/>
              </w:rPr>
              <w:t>98.99</w:t>
            </w:r>
          </w:p>
        </w:tc>
      </w:tr>
      <w:tr w:rsidR="00097BB2" w:rsidRPr="00097BB2" w14:paraId="33D0EAE3" w14:textId="77777777" w:rsidTr="00D34D96">
        <w:trPr>
          <w:tblCellSpacing w:w="15" w:type="dxa"/>
        </w:trPr>
        <w:tc>
          <w:tcPr>
            <w:tcW w:w="0" w:type="auto"/>
            <w:vAlign w:val="center"/>
            <w:hideMark/>
          </w:tcPr>
          <w:p w14:paraId="317F4A2A" w14:textId="77777777" w:rsidR="00097BB2" w:rsidRPr="00097BB2" w:rsidRDefault="00097BB2" w:rsidP="00097BB2">
            <w:pPr>
              <w:pStyle w:val="Body"/>
              <w:rPr>
                <w:rFonts w:ascii="Arial" w:hAnsi="Arial" w:cs="Arial"/>
              </w:rPr>
            </w:pPr>
            <w:r w:rsidRPr="00097BB2">
              <w:rPr>
                <w:rFonts w:ascii="Arial" w:hAnsi="Arial" w:cs="Arial"/>
              </w:rPr>
              <w:t>PC5</w:t>
            </w:r>
          </w:p>
        </w:tc>
        <w:tc>
          <w:tcPr>
            <w:tcW w:w="1419" w:type="dxa"/>
            <w:vAlign w:val="center"/>
            <w:hideMark/>
          </w:tcPr>
          <w:p w14:paraId="7B4D0898" w14:textId="77777777" w:rsidR="00097BB2" w:rsidRPr="00097BB2" w:rsidRDefault="00097BB2" w:rsidP="00097BB2">
            <w:pPr>
              <w:pStyle w:val="Body"/>
              <w:rPr>
                <w:rFonts w:ascii="Arial" w:hAnsi="Arial" w:cs="Arial"/>
              </w:rPr>
            </w:pPr>
            <w:r w:rsidRPr="00097BB2">
              <w:rPr>
                <w:rFonts w:ascii="Arial" w:hAnsi="Arial" w:cs="Arial"/>
              </w:rPr>
              <w:t>1.81</w:t>
            </w:r>
          </w:p>
        </w:tc>
        <w:tc>
          <w:tcPr>
            <w:tcW w:w="2947" w:type="dxa"/>
            <w:vAlign w:val="center"/>
            <w:hideMark/>
          </w:tcPr>
          <w:p w14:paraId="554F992B" w14:textId="77777777" w:rsidR="00097BB2" w:rsidRPr="00097BB2" w:rsidRDefault="00097BB2" w:rsidP="00097BB2">
            <w:pPr>
              <w:pStyle w:val="Body"/>
              <w:rPr>
                <w:rFonts w:ascii="Arial" w:hAnsi="Arial" w:cs="Arial"/>
              </w:rPr>
            </w:pPr>
            <w:r w:rsidRPr="00097BB2">
              <w:rPr>
                <w:rFonts w:ascii="Arial" w:hAnsi="Arial" w:cs="Arial"/>
              </w:rPr>
              <w:t>0.01</w:t>
            </w:r>
          </w:p>
        </w:tc>
        <w:tc>
          <w:tcPr>
            <w:tcW w:w="0" w:type="auto"/>
            <w:vAlign w:val="center"/>
            <w:hideMark/>
          </w:tcPr>
          <w:p w14:paraId="69B3DA77" w14:textId="77777777" w:rsidR="00097BB2" w:rsidRPr="00097BB2" w:rsidRDefault="00097BB2" w:rsidP="00097BB2">
            <w:pPr>
              <w:pStyle w:val="Body"/>
              <w:rPr>
                <w:rFonts w:ascii="Arial" w:hAnsi="Arial" w:cs="Arial"/>
              </w:rPr>
            </w:pPr>
            <w:r w:rsidRPr="00097BB2">
              <w:rPr>
                <w:rFonts w:ascii="Arial" w:hAnsi="Arial" w:cs="Arial"/>
              </w:rPr>
              <w:t>100.00</w:t>
            </w:r>
          </w:p>
        </w:tc>
      </w:tr>
      <w:tr w:rsidR="00097BB2" w:rsidRPr="00097BB2" w14:paraId="5398A748" w14:textId="77777777" w:rsidTr="00D34D96">
        <w:trPr>
          <w:tblCellSpacing w:w="15" w:type="dxa"/>
        </w:trPr>
        <w:tc>
          <w:tcPr>
            <w:tcW w:w="0" w:type="auto"/>
            <w:vAlign w:val="center"/>
            <w:hideMark/>
          </w:tcPr>
          <w:p w14:paraId="70CFD044" w14:textId="77777777" w:rsidR="00097BB2" w:rsidRPr="00097BB2" w:rsidRDefault="00097BB2" w:rsidP="00097BB2">
            <w:pPr>
              <w:pStyle w:val="Body"/>
              <w:rPr>
                <w:rFonts w:ascii="Arial" w:hAnsi="Arial" w:cs="Arial"/>
              </w:rPr>
            </w:pPr>
            <w:r w:rsidRPr="00097BB2">
              <w:rPr>
                <w:rFonts w:ascii="Arial" w:hAnsi="Arial" w:cs="Arial"/>
              </w:rPr>
              <w:t>PC6</w:t>
            </w:r>
          </w:p>
        </w:tc>
        <w:tc>
          <w:tcPr>
            <w:tcW w:w="1419" w:type="dxa"/>
            <w:vAlign w:val="center"/>
            <w:hideMark/>
          </w:tcPr>
          <w:p w14:paraId="6F75BDAE" w14:textId="77777777" w:rsidR="00097BB2" w:rsidRPr="00097BB2" w:rsidRDefault="00097BB2" w:rsidP="00097BB2">
            <w:pPr>
              <w:pStyle w:val="Body"/>
              <w:rPr>
                <w:rFonts w:ascii="Arial" w:hAnsi="Arial" w:cs="Arial"/>
              </w:rPr>
            </w:pPr>
            <w:r w:rsidRPr="00097BB2">
              <w:rPr>
                <w:rFonts w:ascii="Arial" w:hAnsi="Arial" w:cs="Arial"/>
              </w:rPr>
              <w:t>~0</w:t>
            </w:r>
          </w:p>
        </w:tc>
        <w:tc>
          <w:tcPr>
            <w:tcW w:w="2947" w:type="dxa"/>
            <w:vAlign w:val="center"/>
            <w:hideMark/>
          </w:tcPr>
          <w:p w14:paraId="12FABB84" w14:textId="77777777" w:rsidR="00097BB2" w:rsidRPr="00097BB2" w:rsidRDefault="00097BB2" w:rsidP="00097BB2">
            <w:pPr>
              <w:pStyle w:val="Body"/>
              <w:rPr>
                <w:rFonts w:ascii="Arial" w:hAnsi="Arial" w:cs="Arial"/>
              </w:rPr>
            </w:pPr>
            <w:r w:rsidRPr="00097BB2">
              <w:rPr>
                <w:rFonts w:ascii="Arial" w:hAnsi="Arial" w:cs="Arial"/>
              </w:rPr>
              <w:t>~0</w:t>
            </w:r>
          </w:p>
        </w:tc>
        <w:tc>
          <w:tcPr>
            <w:tcW w:w="0" w:type="auto"/>
            <w:vAlign w:val="center"/>
            <w:hideMark/>
          </w:tcPr>
          <w:p w14:paraId="37F881CF" w14:textId="77777777" w:rsidR="00097BB2" w:rsidRPr="00097BB2" w:rsidRDefault="00097BB2" w:rsidP="00097BB2">
            <w:pPr>
              <w:pStyle w:val="Body"/>
              <w:rPr>
                <w:rFonts w:ascii="Arial" w:hAnsi="Arial" w:cs="Arial"/>
              </w:rPr>
            </w:pPr>
            <w:r w:rsidRPr="00097BB2">
              <w:rPr>
                <w:rFonts w:ascii="Arial" w:hAnsi="Arial" w:cs="Arial"/>
              </w:rPr>
              <w:t>100.00</w:t>
            </w:r>
          </w:p>
        </w:tc>
      </w:tr>
    </w:tbl>
    <w:p w14:paraId="22566121" w14:textId="77777777" w:rsidR="00097BB2" w:rsidRPr="00097BB2" w:rsidRDefault="00097BB2" w:rsidP="00097BB2">
      <w:pPr>
        <w:pStyle w:val="Body"/>
        <w:spacing w:after="0"/>
        <w:rPr>
          <w:rFonts w:ascii="Arial" w:hAnsi="Arial" w:cs="Arial"/>
        </w:rPr>
      </w:pPr>
    </w:p>
    <w:p w14:paraId="66D8FF02" w14:textId="77777777" w:rsidR="00097BB2" w:rsidRPr="00097BB2" w:rsidRDefault="00097BB2" w:rsidP="00097BB2">
      <w:pPr>
        <w:pStyle w:val="Body"/>
        <w:spacing w:after="0"/>
        <w:rPr>
          <w:rFonts w:ascii="Arial" w:hAnsi="Arial" w:cs="Arial"/>
        </w:rPr>
      </w:pPr>
      <w:r w:rsidRPr="00097BB2">
        <w:rPr>
          <w:rFonts w:ascii="Arial" w:hAnsi="Arial" w:cs="Arial"/>
        </w:rPr>
        <w:t xml:space="preserve">The PCA loadings and extraction in </w:t>
      </w:r>
      <w:r w:rsidRPr="00097BB2">
        <w:rPr>
          <w:rFonts w:ascii="Arial" w:hAnsi="Arial" w:cs="Arial"/>
          <w:b/>
        </w:rPr>
        <w:t>Table 3</w:t>
      </w:r>
      <w:r w:rsidRPr="00097BB2">
        <w:rPr>
          <w:rFonts w:ascii="Arial" w:hAnsi="Arial" w:cs="Arial"/>
        </w:rPr>
        <w:t xml:space="preserve"> revealed that </w:t>
      </w:r>
      <w:r w:rsidRPr="00097BB2">
        <w:rPr>
          <w:rFonts w:ascii="Arial" w:hAnsi="Arial" w:cs="Arial"/>
          <w:bCs/>
        </w:rPr>
        <w:t xml:space="preserve">PC1 </w:t>
      </w:r>
      <w:r w:rsidRPr="00097BB2">
        <w:rPr>
          <w:rFonts w:ascii="Arial" w:hAnsi="Arial" w:cs="Arial"/>
        </w:rPr>
        <w:t xml:space="preserve">suggested </w:t>
      </w:r>
      <w:r w:rsidRPr="00097BB2">
        <w:rPr>
          <w:rFonts w:ascii="Arial" w:hAnsi="Arial" w:cs="Arial"/>
          <w:bCs/>
        </w:rPr>
        <w:t>anthropogenic plastic pollution which is</w:t>
      </w:r>
      <w:r w:rsidRPr="00097BB2">
        <w:rPr>
          <w:rFonts w:ascii="Arial" w:hAnsi="Arial" w:cs="Arial"/>
        </w:rPr>
        <w:t xml:space="preserve"> strongly associated with: fragmented plastics, high abundance of polymer diversity (PET, PA, PP, PVC) and also high levels of TDS and EC whereas </w:t>
      </w:r>
      <w:r w:rsidRPr="00097BB2">
        <w:rPr>
          <w:rFonts w:ascii="Arial" w:hAnsi="Arial" w:cs="Arial"/>
          <w:bCs/>
        </w:rPr>
        <w:t xml:space="preserve">PC2 </w:t>
      </w:r>
      <w:r w:rsidRPr="00097BB2">
        <w:rPr>
          <w:rFonts w:ascii="Arial" w:hAnsi="Arial" w:cs="Arial"/>
        </w:rPr>
        <w:t xml:space="preserve">reflects </w:t>
      </w:r>
      <w:proofErr w:type="spellStart"/>
      <w:r w:rsidRPr="00097BB2">
        <w:rPr>
          <w:rFonts w:ascii="Arial" w:hAnsi="Arial" w:cs="Arial"/>
          <w:bCs/>
        </w:rPr>
        <w:t>hydrochemical</w:t>
      </w:r>
      <w:proofErr w:type="spellEnd"/>
      <w:r w:rsidRPr="00097BB2">
        <w:rPr>
          <w:rFonts w:ascii="Arial" w:hAnsi="Arial" w:cs="Arial"/>
          <w:bCs/>
        </w:rPr>
        <w:t xml:space="preserve"> processes</w:t>
      </w:r>
      <w:r w:rsidRPr="00097BB2">
        <w:rPr>
          <w:rFonts w:ascii="Arial" w:hAnsi="Arial" w:cs="Arial"/>
        </w:rPr>
        <w:t>, driven by nutrients loads (NO</w:t>
      </w:r>
      <w:r w:rsidRPr="00097BB2">
        <w:rPr>
          <w:rFonts w:ascii="Cambria Math" w:hAnsi="Cambria Math" w:cs="Cambria Math"/>
        </w:rPr>
        <w:t>₃⁻</w:t>
      </w:r>
      <w:r w:rsidRPr="00097BB2">
        <w:rPr>
          <w:rFonts w:ascii="Arial" w:hAnsi="Arial" w:cs="Arial"/>
        </w:rPr>
        <w:t>,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and also temperature and pH levels. The results further shows that Stations </w:t>
      </w:r>
      <w:r w:rsidRPr="00097BB2">
        <w:rPr>
          <w:rFonts w:ascii="Arial" w:hAnsi="Arial" w:cs="Arial"/>
          <w:bCs/>
        </w:rPr>
        <w:t>C, D, E, and F</w:t>
      </w:r>
      <w:r w:rsidRPr="00097BB2">
        <w:rPr>
          <w:rFonts w:ascii="Arial" w:hAnsi="Arial" w:cs="Arial"/>
        </w:rPr>
        <w:t xml:space="preserve"> cluster strongly along PC1, indicating </w:t>
      </w:r>
      <w:r w:rsidRPr="00097BB2">
        <w:rPr>
          <w:rFonts w:ascii="Arial" w:hAnsi="Arial" w:cs="Arial"/>
          <w:bCs/>
        </w:rPr>
        <w:t>high contamination zones</w:t>
      </w:r>
      <w:r w:rsidRPr="00097BB2">
        <w:rPr>
          <w:rFonts w:ascii="Arial" w:hAnsi="Arial" w:cs="Arial"/>
        </w:rPr>
        <w:t>, likely linked to agricultural runoff, domestic discharge, and urban activities (Bwala, 2021c; NESREA, 2011).</w:t>
      </w:r>
    </w:p>
    <w:p w14:paraId="2DBBEFA1" w14:textId="77777777" w:rsidR="00097BB2" w:rsidRPr="00097BB2" w:rsidRDefault="00097BB2" w:rsidP="00097BB2">
      <w:pPr>
        <w:pStyle w:val="Body"/>
        <w:spacing w:after="0"/>
        <w:rPr>
          <w:rFonts w:ascii="Arial" w:hAnsi="Arial" w:cs="Arial"/>
        </w:rPr>
      </w:pPr>
    </w:p>
    <w:p w14:paraId="1DE4CFA7" w14:textId="77777777" w:rsidR="00097BB2" w:rsidRPr="00097BB2" w:rsidRDefault="00097BB2" w:rsidP="00097BB2">
      <w:pPr>
        <w:pStyle w:val="Body"/>
        <w:spacing w:after="0"/>
        <w:rPr>
          <w:rFonts w:ascii="Arial" w:hAnsi="Arial" w:cs="Arial"/>
        </w:rPr>
      </w:pPr>
      <w:r w:rsidRPr="00097BB2">
        <w:rPr>
          <w:rFonts w:ascii="Arial" w:hAnsi="Arial" w:cs="Arial"/>
          <w:b/>
        </w:rPr>
        <w:t xml:space="preserve">Table 3: </w:t>
      </w:r>
      <w:r w:rsidRPr="00097BB2">
        <w:rPr>
          <w:rFonts w:ascii="Arial" w:hAnsi="Arial" w:cs="Arial"/>
        </w:rPr>
        <w:t>PCA Loadings and Extractions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509"/>
        <w:gridCol w:w="2927"/>
        <w:gridCol w:w="3632"/>
      </w:tblGrid>
      <w:tr w:rsidR="00097BB2" w:rsidRPr="00097BB2" w14:paraId="18B6D0B8" w14:textId="77777777" w:rsidTr="00D34D96">
        <w:trPr>
          <w:tblHeader/>
          <w:tblCellSpacing w:w="15" w:type="dxa"/>
        </w:trPr>
        <w:tc>
          <w:tcPr>
            <w:tcW w:w="0" w:type="auto"/>
            <w:tcBorders>
              <w:top w:val="single" w:sz="4" w:space="0" w:color="auto"/>
              <w:bottom w:val="single" w:sz="4" w:space="0" w:color="auto"/>
            </w:tcBorders>
            <w:vAlign w:val="center"/>
            <w:hideMark/>
          </w:tcPr>
          <w:p w14:paraId="6DFEFD2D" w14:textId="77777777" w:rsidR="00097BB2" w:rsidRPr="00097BB2" w:rsidRDefault="00097BB2" w:rsidP="00097BB2">
            <w:pPr>
              <w:pStyle w:val="Body"/>
              <w:rPr>
                <w:rFonts w:ascii="Arial" w:hAnsi="Arial" w:cs="Arial"/>
                <w:b/>
                <w:bCs/>
              </w:rPr>
            </w:pPr>
            <w:r w:rsidRPr="00097BB2">
              <w:rPr>
                <w:rFonts w:ascii="Arial" w:hAnsi="Arial" w:cs="Arial"/>
                <w:b/>
                <w:bCs/>
              </w:rPr>
              <w:t>Variable Group</w:t>
            </w:r>
          </w:p>
        </w:tc>
        <w:tc>
          <w:tcPr>
            <w:tcW w:w="0" w:type="auto"/>
            <w:tcBorders>
              <w:top w:val="single" w:sz="4" w:space="0" w:color="auto"/>
              <w:bottom w:val="single" w:sz="4" w:space="0" w:color="auto"/>
            </w:tcBorders>
            <w:vAlign w:val="center"/>
            <w:hideMark/>
          </w:tcPr>
          <w:p w14:paraId="6A439A6F" w14:textId="77777777" w:rsidR="00097BB2" w:rsidRPr="00097BB2" w:rsidRDefault="00097BB2" w:rsidP="00097BB2">
            <w:pPr>
              <w:pStyle w:val="Body"/>
              <w:rPr>
                <w:rFonts w:ascii="Arial" w:hAnsi="Arial" w:cs="Arial"/>
                <w:b/>
                <w:bCs/>
              </w:rPr>
            </w:pPr>
            <w:r w:rsidRPr="00097BB2">
              <w:rPr>
                <w:rFonts w:ascii="Arial" w:hAnsi="Arial" w:cs="Arial"/>
                <w:b/>
                <w:bCs/>
              </w:rPr>
              <w:t xml:space="preserve">      PC1 (Anthropogenic Load)</w:t>
            </w:r>
          </w:p>
        </w:tc>
        <w:tc>
          <w:tcPr>
            <w:tcW w:w="0" w:type="auto"/>
            <w:tcBorders>
              <w:top w:val="single" w:sz="4" w:space="0" w:color="auto"/>
              <w:bottom w:val="single" w:sz="4" w:space="0" w:color="auto"/>
            </w:tcBorders>
            <w:vAlign w:val="center"/>
            <w:hideMark/>
          </w:tcPr>
          <w:p w14:paraId="3E889487" w14:textId="77777777" w:rsidR="00097BB2" w:rsidRPr="00097BB2" w:rsidRDefault="00097BB2" w:rsidP="00097BB2">
            <w:pPr>
              <w:pStyle w:val="Body"/>
              <w:rPr>
                <w:rFonts w:ascii="Arial" w:hAnsi="Arial" w:cs="Arial"/>
                <w:b/>
                <w:bCs/>
              </w:rPr>
            </w:pPr>
            <w:r w:rsidRPr="00097BB2">
              <w:rPr>
                <w:rFonts w:ascii="Arial" w:hAnsi="Arial" w:cs="Arial"/>
                <w:b/>
                <w:bCs/>
              </w:rPr>
              <w:t xml:space="preserve">           PC2 (</w:t>
            </w:r>
            <w:proofErr w:type="spellStart"/>
            <w:r w:rsidRPr="00097BB2">
              <w:rPr>
                <w:rFonts w:ascii="Arial" w:hAnsi="Arial" w:cs="Arial"/>
                <w:b/>
                <w:bCs/>
              </w:rPr>
              <w:t>Hydrochemical</w:t>
            </w:r>
            <w:proofErr w:type="spellEnd"/>
            <w:r w:rsidRPr="00097BB2">
              <w:rPr>
                <w:rFonts w:ascii="Arial" w:hAnsi="Arial" w:cs="Arial"/>
                <w:b/>
                <w:bCs/>
              </w:rPr>
              <w:t xml:space="preserve"> Influence)</w:t>
            </w:r>
          </w:p>
        </w:tc>
      </w:tr>
      <w:tr w:rsidR="00097BB2" w:rsidRPr="00097BB2" w14:paraId="49A299FD" w14:textId="77777777" w:rsidTr="00D34D96">
        <w:trPr>
          <w:tblCellSpacing w:w="15" w:type="dxa"/>
        </w:trPr>
        <w:tc>
          <w:tcPr>
            <w:tcW w:w="0" w:type="auto"/>
            <w:vAlign w:val="center"/>
            <w:hideMark/>
          </w:tcPr>
          <w:p w14:paraId="3871D5DF" w14:textId="77777777" w:rsidR="00097BB2" w:rsidRPr="00097BB2" w:rsidRDefault="00097BB2" w:rsidP="00097BB2">
            <w:pPr>
              <w:pStyle w:val="Body"/>
              <w:rPr>
                <w:rFonts w:ascii="Arial" w:hAnsi="Arial" w:cs="Arial"/>
              </w:rPr>
            </w:pPr>
            <w:r w:rsidRPr="00097BB2">
              <w:rPr>
                <w:rFonts w:ascii="Arial" w:hAnsi="Arial" w:cs="Arial"/>
              </w:rPr>
              <w:t>Fragment</w:t>
            </w:r>
          </w:p>
        </w:tc>
        <w:tc>
          <w:tcPr>
            <w:tcW w:w="0" w:type="auto"/>
            <w:vAlign w:val="center"/>
            <w:hideMark/>
          </w:tcPr>
          <w:p w14:paraId="02269A3E" w14:textId="77777777" w:rsidR="00097BB2" w:rsidRPr="00097BB2" w:rsidRDefault="00097BB2" w:rsidP="00097BB2">
            <w:pPr>
              <w:pStyle w:val="Body"/>
              <w:rPr>
                <w:rFonts w:ascii="Arial" w:hAnsi="Arial" w:cs="Arial"/>
              </w:rPr>
            </w:pPr>
            <w:r w:rsidRPr="00097BB2">
              <w:rPr>
                <w:rFonts w:ascii="Arial" w:hAnsi="Arial" w:cs="Arial"/>
              </w:rPr>
              <w:t>+0.89</w:t>
            </w:r>
          </w:p>
        </w:tc>
        <w:tc>
          <w:tcPr>
            <w:tcW w:w="0" w:type="auto"/>
            <w:vAlign w:val="center"/>
            <w:hideMark/>
          </w:tcPr>
          <w:p w14:paraId="1DF7E1EA" w14:textId="77777777" w:rsidR="00097BB2" w:rsidRPr="00097BB2" w:rsidRDefault="00097BB2" w:rsidP="00097BB2">
            <w:pPr>
              <w:pStyle w:val="Body"/>
              <w:rPr>
                <w:rFonts w:ascii="Arial" w:hAnsi="Arial" w:cs="Arial"/>
              </w:rPr>
            </w:pPr>
            <w:r w:rsidRPr="00097BB2">
              <w:rPr>
                <w:rFonts w:ascii="Arial" w:hAnsi="Arial" w:cs="Arial"/>
              </w:rPr>
              <w:t>+0.21</w:t>
            </w:r>
          </w:p>
        </w:tc>
      </w:tr>
      <w:tr w:rsidR="00097BB2" w:rsidRPr="00097BB2" w14:paraId="199310B7" w14:textId="77777777" w:rsidTr="00D34D96">
        <w:trPr>
          <w:tblCellSpacing w:w="15" w:type="dxa"/>
        </w:trPr>
        <w:tc>
          <w:tcPr>
            <w:tcW w:w="0" w:type="auto"/>
            <w:vAlign w:val="center"/>
            <w:hideMark/>
          </w:tcPr>
          <w:p w14:paraId="7DFA506E" w14:textId="77777777" w:rsidR="00097BB2" w:rsidRPr="00097BB2" w:rsidRDefault="00097BB2" w:rsidP="00097BB2">
            <w:pPr>
              <w:pStyle w:val="Body"/>
              <w:rPr>
                <w:rFonts w:ascii="Arial" w:hAnsi="Arial" w:cs="Arial"/>
              </w:rPr>
            </w:pPr>
            <w:r w:rsidRPr="00097BB2">
              <w:rPr>
                <w:rFonts w:ascii="Arial" w:hAnsi="Arial" w:cs="Arial"/>
              </w:rPr>
              <w:t>Fiber</w:t>
            </w:r>
          </w:p>
        </w:tc>
        <w:tc>
          <w:tcPr>
            <w:tcW w:w="0" w:type="auto"/>
            <w:vAlign w:val="center"/>
            <w:hideMark/>
          </w:tcPr>
          <w:p w14:paraId="06EC7DC8" w14:textId="77777777" w:rsidR="00097BB2" w:rsidRPr="00097BB2" w:rsidRDefault="00097BB2" w:rsidP="00097BB2">
            <w:pPr>
              <w:pStyle w:val="Body"/>
              <w:rPr>
                <w:rFonts w:ascii="Arial" w:hAnsi="Arial" w:cs="Arial"/>
              </w:rPr>
            </w:pPr>
            <w:r w:rsidRPr="00097BB2">
              <w:rPr>
                <w:rFonts w:ascii="Arial" w:hAnsi="Arial" w:cs="Arial"/>
              </w:rPr>
              <w:t>+0.76</w:t>
            </w:r>
          </w:p>
        </w:tc>
        <w:tc>
          <w:tcPr>
            <w:tcW w:w="0" w:type="auto"/>
            <w:vAlign w:val="center"/>
            <w:hideMark/>
          </w:tcPr>
          <w:p w14:paraId="39A211D6" w14:textId="77777777" w:rsidR="00097BB2" w:rsidRPr="00097BB2" w:rsidRDefault="00097BB2" w:rsidP="00097BB2">
            <w:pPr>
              <w:pStyle w:val="Body"/>
              <w:rPr>
                <w:rFonts w:ascii="Arial" w:hAnsi="Arial" w:cs="Arial"/>
              </w:rPr>
            </w:pPr>
            <w:r w:rsidRPr="00097BB2">
              <w:rPr>
                <w:rFonts w:ascii="Arial" w:hAnsi="Arial" w:cs="Arial"/>
              </w:rPr>
              <w:t>+0.30</w:t>
            </w:r>
          </w:p>
        </w:tc>
      </w:tr>
      <w:tr w:rsidR="00097BB2" w:rsidRPr="00097BB2" w14:paraId="4D76FD99" w14:textId="77777777" w:rsidTr="00D34D96">
        <w:trPr>
          <w:tblCellSpacing w:w="15" w:type="dxa"/>
        </w:trPr>
        <w:tc>
          <w:tcPr>
            <w:tcW w:w="0" w:type="auto"/>
            <w:vAlign w:val="center"/>
            <w:hideMark/>
          </w:tcPr>
          <w:p w14:paraId="39F50B61" w14:textId="77777777" w:rsidR="00097BB2" w:rsidRPr="00097BB2" w:rsidRDefault="00097BB2" w:rsidP="00097BB2">
            <w:pPr>
              <w:pStyle w:val="Body"/>
              <w:rPr>
                <w:rFonts w:ascii="Arial" w:hAnsi="Arial" w:cs="Arial"/>
              </w:rPr>
            </w:pPr>
            <w:r w:rsidRPr="00097BB2">
              <w:rPr>
                <w:rFonts w:ascii="Arial" w:hAnsi="Arial" w:cs="Arial"/>
              </w:rPr>
              <w:t>Film</w:t>
            </w:r>
          </w:p>
        </w:tc>
        <w:tc>
          <w:tcPr>
            <w:tcW w:w="0" w:type="auto"/>
            <w:vAlign w:val="center"/>
            <w:hideMark/>
          </w:tcPr>
          <w:p w14:paraId="08C26C59" w14:textId="77777777" w:rsidR="00097BB2" w:rsidRPr="00097BB2" w:rsidRDefault="00097BB2" w:rsidP="00097BB2">
            <w:pPr>
              <w:pStyle w:val="Body"/>
              <w:rPr>
                <w:rFonts w:ascii="Arial" w:hAnsi="Arial" w:cs="Arial"/>
              </w:rPr>
            </w:pPr>
            <w:r w:rsidRPr="00097BB2">
              <w:rPr>
                <w:rFonts w:ascii="Arial" w:hAnsi="Arial" w:cs="Arial"/>
              </w:rPr>
              <w:t>+0.68</w:t>
            </w:r>
          </w:p>
        </w:tc>
        <w:tc>
          <w:tcPr>
            <w:tcW w:w="0" w:type="auto"/>
            <w:vAlign w:val="center"/>
            <w:hideMark/>
          </w:tcPr>
          <w:p w14:paraId="25C33939" w14:textId="77777777" w:rsidR="00097BB2" w:rsidRPr="00097BB2" w:rsidRDefault="00097BB2" w:rsidP="00097BB2">
            <w:pPr>
              <w:pStyle w:val="Body"/>
              <w:rPr>
                <w:rFonts w:ascii="Arial" w:hAnsi="Arial" w:cs="Arial"/>
              </w:rPr>
            </w:pPr>
            <w:r w:rsidRPr="00097BB2">
              <w:rPr>
                <w:rFonts w:ascii="Arial" w:hAnsi="Arial" w:cs="Arial"/>
              </w:rPr>
              <w:t>-0.22</w:t>
            </w:r>
          </w:p>
        </w:tc>
      </w:tr>
      <w:tr w:rsidR="00097BB2" w:rsidRPr="00097BB2" w14:paraId="38FDB15C" w14:textId="77777777" w:rsidTr="00D34D96">
        <w:trPr>
          <w:tblCellSpacing w:w="15" w:type="dxa"/>
        </w:trPr>
        <w:tc>
          <w:tcPr>
            <w:tcW w:w="0" w:type="auto"/>
            <w:vAlign w:val="center"/>
            <w:hideMark/>
          </w:tcPr>
          <w:p w14:paraId="68EBB1C5" w14:textId="77777777" w:rsidR="00097BB2" w:rsidRPr="00097BB2" w:rsidRDefault="00097BB2" w:rsidP="00097BB2">
            <w:pPr>
              <w:pStyle w:val="Body"/>
              <w:rPr>
                <w:rFonts w:ascii="Arial" w:hAnsi="Arial" w:cs="Arial"/>
              </w:rPr>
            </w:pPr>
            <w:r w:rsidRPr="00097BB2">
              <w:rPr>
                <w:rFonts w:ascii="Arial" w:hAnsi="Arial" w:cs="Arial"/>
              </w:rPr>
              <w:t>NPs (PET, PA)</w:t>
            </w:r>
          </w:p>
        </w:tc>
        <w:tc>
          <w:tcPr>
            <w:tcW w:w="0" w:type="auto"/>
            <w:vAlign w:val="center"/>
            <w:hideMark/>
          </w:tcPr>
          <w:p w14:paraId="350FAE94" w14:textId="77777777" w:rsidR="00097BB2" w:rsidRPr="00097BB2" w:rsidRDefault="00097BB2" w:rsidP="00097BB2">
            <w:pPr>
              <w:pStyle w:val="Body"/>
              <w:rPr>
                <w:rFonts w:ascii="Arial" w:hAnsi="Arial" w:cs="Arial"/>
              </w:rPr>
            </w:pPr>
            <w:r w:rsidRPr="00097BB2">
              <w:rPr>
                <w:rFonts w:ascii="Arial" w:hAnsi="Arial" w:cs="Arial"/>
              </w:rPr>
              <w:t>+0.91</w:t>
            </w:r>
          </w:p>
        </w:tc>
        <w:tc>
          <w:tcPr>
            <w:tcW w:w="0" w:type="auto"/>
            <w:vAlign w:val="center"/>
            <w:hideMark/>
          </w:tcPr>
          <w:p w14:paraId="35A93FB4" w14:textId="77777777" w:rsidR="00097BB2" w:rsidRPr="00097BB2" w:rsidRDefault="00097BB2" w:rsidP="00097BB2">
            <w:pPr>
              <w:pStyle w:val="Body"/>
              <w:rPr>
                <w:rFonts w:ascii="Arial" w:hAnsi="Arial" w:cs="Arial"/>
              </w:rPr>
            </w:pPr>
            <w:r w:rsidRPr="00097BB2">
              <w:rPr>
                <w:rFonts w:ascii="Arial" w:hAnsi="Arial" w:cs="Arial"/>
              </w:rPr>
              <w:t>+0.18</w:t>
            </w:r>
          </w:p>
        </w:tc>
      </w:tr>
      <w:tr w:rsidR="00097BB2" w:rsidRPr="00097BB2" w14:paraId="79D122E1" w14:textId="77777777" w:rsidTr="00D34D96">
        <w:trPr>
          <w:tblCellSpacing w:w="15" w:type="dxa"/>
        </w:trPr>
        <w:tc>
          <w:tcPr>
            <w:tcW w:w="0" w:type="auto"/>
            <w:vAlign w:val="center"/>
            <w:hideMark/>
          </w:tcPr>
          <w:p w14:paraId="7789EF82" w14:textId="77777777" w:rsidR="00097BB2" w:rsidRPr="00097BB2" w:rsidRDefault="00097BB2" w:rsidP="00097BB2">
            <w:pPr>
              <w:pStyle w:val="Body"/>
              <w:rPr>
                <w:rFonts w:ascii="Arial" w:hAnsi="Arial" w:cs="Arial"/>
              </w:rPr>
            </w:pPr>
            <w:r w:rsidRPr="00097BB2">
              <w:rPr>
                <w:rFonts w:ascii="Arial" w:hAnsi="Arial" w:cs="Arial"/>
              </w:rPr>
              <w:t>MPs (PP, PVC)</w:t>
            </w:r>
          </w:p>
        </w:tc>
        <w:tc>
          <w:tcPr>
            <w:tcW w:w="0" w:type="auto"/>
            <w:vAlign w:val="center"/>
            <w:hideMark/>
          </w:tcPr>
          <w:p w14:paraId="01B64D4F" w14:textId="77777777" w:rsidR="00097BB2" w:rsidRPr="00097BB2" w:rsidRDefault="00097BB2" w:rsidP="00097BB2">
            <w:pPr>
              <w:pStyle w:val="Body"/>
              <w:rPr>
                <w:rFonts w:ascii="Arial" w:hAnsi="Arial" w:cs="Arial"/>
              </w:rPr>
            </w:pPr>
            <w:r w:rsidRPr="00097BB2">
              <w:rPr>
                <w:rFonts w:ascii="Arial" w:hAnsi="Arial" w:cs="Arial"/>
              </w:rPr>
              <w:t>+0.85</w:t>
            </w:r>
          </w:p>
        </w:tc>
        <w:tc>
          <w:tcPr>
            <w:tcW w:w="0" w:type="auto"/>
            <w:vAlign w:val="center"/>
            <w:hideMark/>
          </w:tcPr>
          <w:p w14:paraId="49C08593" w14:textId="77777777" w:rsidR="00097BB2" w:rsidRPr="00097BB2" w:rsidRDefault="00097BB2" w:rsidP="00097BB2">
            <w:pPr>
              <w:pStyle w:val="Body"/>
              <w:rPr>
                <w:rFonts w:ascii="Arial" w:hAnsi="Arial" w:cs="Arial"/>
              </w:rPr>
            </w:pPr>
            <w:r w:rsidRPr="00097BB2">
              <w:rPr>
                <w:rFonts w:ascii="Arial" w:hAnsi="Arial" w:cs="Arial"/>
              </w:rPr>
              <w:t>+0.34</w:t>
            </w:r>
          </w:p>
        </w:tc>
      </w:tr>
      <w:tr w:rsidR="00097BB2" w:rsidRPr="00097BB2" w14:paraId="1BCCFCEC" w14:textId="77777777" w:rsidTr="00D34D96">
        <w:trPr>
          <w:tblCellSpacing w:w="15" w:type="dxa"/>
        </w:trPr>
        <w:tc>
          <w:tcPr>
            <w:tcW w:w="0" w:type="auto"/>
            <w:vAlign w:val="center"/>
            <w:hideMark/>
          </w:tcPr>
          <w:p w14:paraId="673417B5" w14:textId="77777777" w:rsidR="00097BB2" w:rsidRPr="00097BB2" w:rsidRDefault="00097BB2" w:rsidP="00097BB2">
            <w:pPr>
              <w:pStyle w:val="Body"/>
              <w:rPr>
                <w:rFonts w:ascii="Arial" w:hAnsi="Arial" w:cs="Arial"/>
              </w:rPr>
            </w:pPr>
            <w:r w:rsidRPr="00097BB2">
              <w:rPr>
                <w:rFonts w:ascii="Arial" w:hAnsi="Arial" w:cs="Arial"/>
              </w:rPr>
              <w:t>TDS</w:t>
            </w:r>
          </w:p>
        </w:tc>
        <w:tc>
          <w:tcPr>
            <w:tcW w:w="0" w:type="auto"/>
            <w:vAlign w:val="center"/>
            <w:hideMark/>
          </w:tcPr>
          <w:p w14:paraId="547E7243" w14:textId="77777777" w:rsidR="00097BB2" w:rsidRPr="00097BB2" w:rsidRDefault="00097BB2" w:rsidP="00097BB2">
            <w:pPr>
              <w:pStyle w:val="Body"/>
              <w:rPr>
                <w:rFonts w:ascii="Arial" w:hAnsi="Arial" w:cs="Arial"/>
              </w:rPr>
            </w:pPr>
            <w:r w:rsidRPr="00097BB2">
              <w:rPr>
                <w:rFonts w:ascii="Arial" w:hAnsi="Arial" w:cs="Arial"/>
              </w:rPr>
              <w:t>+0.82</w:t>
            </w:r>
          </w:p>
        </w:tc>
        <w:tc>
          <w:tcPr>
            <w:tcW w:w="0" w:type="auto"/>
            <w:vAlign w:val="center"/>
            <w:hideMark/>
          </w:tcPr>
          <w:p w14:paraId="11F269AE" w14:textId="77777777" w:rsidR="00097BB2" w:rsidRPr="00097BB2" w:rsidRDefault="00097BB2" w:rsidP="00097BB2">
            <w:pPr>
              <w:pStyle w:val="Body"/>
              <w:rPr>
                <w:rFonts w:ascii="Arial" w:hAnsi="Arial" w:cs="Arial"/>
              </w:rPr>
            </w:pPr>
            <w:r w:rsidRPr="00097BB2">
              <w:rPr>
                <w:rFonts w:ascii="Arial" w:hAnsi="Arial" w:cs="Arial"/>
              </w:rPr>
              <w:t>+0.41</w:t>
            </w:r>
          </w:p>
        </w:tc>
      </w:tr>
      <w:tr w:rsidR="00097BB2" w:rsidRPr="00097BB2" w14:paraId="07F60842" w14:textId="77777777" w:rsidTr="00D34D96">
        <w:trPr>
          <w:tblCellSpacing w:w="15" w:type="dxa"/>
        </w:trPr>
        <w:tc>
          <w:tcPr>
            <w:tcW w:w="0" w:type="auto"/>
            <w:vAlign w:val="center"/>
            <w:hideMark/>
          </w:tcPr>
          <w:p w14:paraId="220FB2DE" w14:textId="77777777" w:rsidR="00097BB2" w:rsidRPr="00097BB2" w:rsidRDefault="00097BB2" w:rsidP="00097BB2">
            <w:pPr>
              <w:pStyle w:val="Body"/>
              <w:rPr>
                <w:rFonts w:ascii="Arial" w:hAnsi="Arial" w:cs="Arial"/>
              </w:rPr>
            </w:pPr>
            <w:r w:rsidRPr="00097BB2">
              <w:rPr>
                <w:rFonts w:ascii="Arial" w:hAnsi="Arial" w:cs="Arial"/>
              </w:rPr>
              <w:t>EC</w:t>
            </w:r>
          </w:p>
        </w:tc>
        <w:tc>
          <w:tcPr>
            <w:tcW w:w="0" w:type="auto"/>
            <w:vAlign w:val="center"/>
            <w:hideMark/>
          </w:tcPr>
          <w:p w14:paraId="4F4DACEA" w14:textId="77777777" w:rsidR="00097BB2" w:rsidRPr="00097BB2" w:rsidRDefault="00097BB2" w:rsidP="00097BB2">
            <w:pPr>
              <w:pStyle w:val="Body"/>
              <w:rPr>
                <w:rFonts w:ascii="Arial" w:hAnsi="Arial" w:cs="Arial"/>
              </w:rPr>
            </w:pPr>
            <w:r w:rsidRPr="00097BB2">
              <w:rPr>
                <w:rFonts w:ascii="Arial" w:hAnsi="Arial" w:cs="Arial"/>
              </w:rPr>
              <w:t>+0.79</w:t>
            </w:r>
          </w:p>
        </w:tc>
        <w:tc>
          <w:tcPr>
            <w:tcW w:w="0" w:type="auto"/>
            <w:vAlign w:val="center"/>
            <w:hideMark/>
          </w:tcPr>
          <w:p w14:paraId="71EF64AC" w14:textId="77777777" w:rsidR="00097BB2" w:rsidRPr="00097BB2" w:rsidRDefault="00097BB2" w:rsidP="00097BB2">
            <w:pPr>
              <w:pStyle w:val="Body"/>
              <w:rPr>
                <w:rFonts w:ascii="Arial" w:hAnsi="Arial" w:cs="Arial"/>
              </w:rPr>
            </w:pPr>
            <w:r w:rsidRPr="00097BB2">
              <w:rPr>
                <w:rFonts w:ascii="Arial" w:hAnsi="Arial" w:cs="Arial"/>
              </w:rPr>
              <w:t>+0.52</w:t>
            </w:r>
          </w:p>
        </w:tc>
      </w:tr>
      <w:tr w:rsidR="00097BB2" w:rsidRPr="00097BB2" w14:paraId="77BA43D0" w14:textId="77777777" w:rsidTr="00D34D96">
        <w:trPr>
          <w:tblCellSpacing w:w="15" w:type="dxa"/>
        </w:trPr>
        <w:tc>
          <w:tcPr>
            <w:tcW w:w="0" w:type="auto"/>
            <w:vAlign w:val="center"/>
            <w:hideMark/>
          </w:tcPr>
          <w:p w14:paraId="04A78381" w14:textId="77777777" w:rsidR="00097BB2" w:rsidRPr="00097BB2" w:rsidRDefault="00097BB2" w:rsidP="00097BB2">
            <w:pPr>
              <w:pStyle w:val="Body"/>
              <w:rPr>
                <w:rFonts w:ascii="Arial" w:hAnsi="Arial" w:cs="Arial"/>
              </w:rPr>
            </w:pPr>
            <w:r w:rsidRPr="00097BB2">
              <w:rPr>
                <w:rFonts w:ascii="Arial" w:hAnsi="Arial" w:cs="Arial"/>
              </w:rPr>
              <w:t>NO</w:t>
            </w:r>
            <w:r w:rsidRPr="00097BB2">
              <w:rPr>
                <w:rFonts w:ascii="Cambria Math" w:hAnsi="Cambria Math" w:cs="Cambria Math"/>
              </w:rPr>
              <w:t>₃⁻</w:t>
            </w:r>
          </w:p>
        </w:tc>
        <w:tc>
          <w:tcPr>
            <w:tcW w:w="0" w:type="auto"/>
            <w:vAlign w:val="center"/>
            <w:hideMark/>
          </w:tcPr>
          <w:p w14:paraId="296C8FD5" w14:textId="77777777" w:rsidR="00097BB2" w:rsidRPr="00097BB2" w:rsidRDefault="00097BB2" w:rsidP="00097BB2">
            <w:pPr>
              <w:pStyle w:val="Body"/>
              <w:rPr>
                <w:rFonts w:ascii="Arial" w:hAnsi="Arial" w:cs="Arial"/>
              </w:rPr>
            </w:pPr>
            <w:r w:rsidRPr="00097BB2">
              <w:rPr>
                <w:rFonts w:ascii="Arial" w:hAnsi="Arial" w:cs="Arial"/>
              </w:rPr>
              <w:t>+0.61</w:t>
            </w:r>
          </w:p>
        </w:tc>
        <w:tc>
          <w:tcPr>
            <w:tcW w:w="0" w:type="auto"/>
            <w:vAlign w:val="center"/>
            <w:hideMark/>
          </w:tcPr>
          <w:p w14:paraId="44D6990C" w14:textId="77777777" w:rsidR="00097BB2" w:rsidRPr="00097BB2" w:rsidRDefault="00097BB2" w:rsidP="00097BB2">
            <w:pPr>
              <w:pStyle w:val="Body"/>
              <w:rPr>
                <w:rFonts w:ascii="Arial" w:hAnsi="Arial" w:cs="Arial"/>
              </w:rPr>
            </w:pPr>
            <w:r w:rsidRPr="00097BB2">
              <w:rPr>
                <w:rFonts w:ascii="Arial" w:hAnsi="Arial" w:cs="Arial"/>
              </w:rPr>
              <w:t>+0.70</w:t>
            </w:r>
          </w:p>
        </w:tc>
      </w:tr>
      <w:tr w:rsidR="00097BB2" w:rsidRPr="00097BB2" w14:paraId="7D9751A8" w14:textId="77777777" w:rsidTr="00D34D96">
        <w:trPr>
          <w:tblCellSpacing w:w="15" w:type="dxa"/>
        </w:trPr>
        <w:tc>
          <w:tcPr>
            <w:tcW w:w="0" w:type="auto"/>
            <w:vAlign w:val="center"/>
            <w:hideMark/>
          </w:tcPr>
          <w:p w14:paraId="3FC87654" w14:textId="77777777" w:rsidR="00097BB2" w:rsidRPr="00097BB2" w:rsidRDefault="00097BB2" w:rsidP="00097BB2">
            <w:pPr>
              <w:pStyle w:val="Body"/>
              <w:rPr>
                <w:rFonts w:ascii="Arial" w:hAnsi="Arial" w:cs="Arial"/>
              </w:rPr>
            </w:pPr>
            <w:r w:rsidRPr="00097BB2">
              <w:rPr>
                <w:rFonts w:ascii="Arial" w:hAnsi="Arial" w:cs="Arial"/>
              </w:rPr>
              <w:t>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p>
        </w:tc>
        <w:tc>
          <w:tcPr>
            <w:tcW w:w="0" w:type="auto"/>
            <w:vAlign w:val="center"/>
            <w:hideMark/>
          </w:tcPr>
          <w:p w14:paraId="0870406C" w14:textId="77777777" w:rsidR="00097BB2" w:rsidRPr="00097BB2" w:rsidRDefault="00097BB2" w:rsidP="00097BB2">
            <w:pPr>
              <w:pStyle w:val="Body"/>
              <w:rPr>
                <w:rFonts w:ascii="Arial" w:hAnsi="Arial" w:cs="Arial"/>
              </w:rPr>
            </w:pPr>
            <w:r w:rsidRPr="00097BB2">
              <w:rPr>
                <w:rFonts w:ascii="Arial" w:hAnsi="Arial" w:cs="Arial"/>
              </w:rPr>
              <w:t>+0.58</w:t>
            </w:r>
          </w:p>
        </w:tc>
        <w:tc>
          <w:tcPr>
            <w:tcW w:w="0" w:type="auto"/>
            <w:vAlign w:val="center"/>
            <w:hideMark/>
          </w:tcPr>
          <w:p w14:paraId="556422C9" w14:textId="77777777" w:rsidR="00097BB2" w:rsidRPr="00097BB2" w:rsidRDefault="00097BB2" w:rsidP="00097BB2">
            <w:pPr>
              <w:pStyle w:val="Body"/>
              <w:rPr>
                <w:rFonts w:ascii="Arial" w:hAnsi="Arial" w:cs="Arial"/>
              </w:rPr>
            </w:pPr>
            <w:r w:rsidRPr="00097BB2">
              <w:rPr>
                <w:rFonts w:ascii="Arial" w:hAnsi="Arial" w:cs="Arial"/>
              </w:rPr>
              <w:t>+0.73</w:t>
            </w:r>
          </w:p>
        </w:tc>
      </w:tr>
      <w:tr w:rsidR="00097BB2" w:rsidRPr="00097BB2" w14:paraId="6734D62F" w14:textId="77777777" w:rsidTr="00D34D96">
        <w:trPr>
          <w:tblCellSpacing w:w="15" w:type="dxa"/>
        </w:trPr>
        <w:tc>
          <w:tcPr>
            <w:tcW w:w="0" w:type="auto"/>
            <w:vAlign w:val="center"/>
            <w:hideMark/>
          </w:tcPr>
          <w:p w14:paraId="312495AA" w14:textId="77777777" w:rsidR="00097BB2" w:rsidRPr="00097BB2" w:rsidRDefault="00097BB2" w:rsidP="00097BB2">
            <w:pPr>
              <w:pStyle w:val="Body"/>
              <w:rPr>
                <w:rFonts w:ascii="Arial" w:hAnsi="Arial" w:cs="Arial"/>
              </w:rPr>
            </w:pPr>
            <w:r w:rsidRPr="00097BB2">
              <w:rPr>
                <w:rFonts w:ascii="Arial" w:hAnsi="Arial" w:cs="Arial"/>
              </w:rPr>
              <w:t>Temperature</w:t>
            </w:r>
          </w:p>
        </w:tc>
        <w:tc>
          <w:tcPr>
            <w:tcW w:w="0" w:type="auto"/>
            <w:vAlign w:val="center"/>
            <w:hideMark/>
          </w:tcPr>
          <w:p w14:paraId="638E6981" w14:textId="77777777" w:rsidR="00097BB2" w:rsidRPr="00097BB2" w:rsidRDefault="00097BB2" w:rsidP="00097BB2">
            <w:pPr>
              <w:pStyle w:val="Body"/>
              <w:rPr>
                <w:rFonts w:ascii="Arial" w:hAnsi="Arial" w:cs="Arial"/>
              </w:rPr>
            </w:pPr>
            <w:r w:rsidRPr="00097BB2">
              <w:rPr>
                <w:rFonts w:ascii="Arial" w:hAnsi="Arial" w:cs="Arial"/>
              </w:rPr>
              <w:t>+0.22</w:t>
            </w:r>
          </w:p>
        </w:tc>
        <w:tc>
          <w:tcPr>
            <w:tcW w:w="0" w:type="auto"/>
            <w:vAlign w:val="center"/>
            <w:hideMark/>
          </w:tcPr>
          <w:p w14:paraId="69727664" w14:textId="77777777" w:rsidR="00097BB2" w:rsidRPr="00097BB2" w:rsidRDefault="00097BB2" w:rsidP="00097BB2">
            <w:pPr>
              <w:pStyle w:val="Body"/>
              <w:rPr>
                <w:rFonts w:ascii="Arial" w:hAnsi="Arial" w:cs="Arial"/>
              </w:rPr>
            </w:pPr>
            <w:r w:rsidRPr="00097BB2">
              <w:rPr>
                <w:rFonts w:ascii="Arial" w:hAnsi="Arial" w:cs="Arial"/>
              </w:rPr>
              <w:t>+0.81</w:t>
            </w:r>
          </w:p>
        </w:tc>
      </w:tr>
      <w:tr w:rsidR="00097BB2" w:rsidRPr="00097BB2" w14:paraId="7AF98432" w14:textId="77777777" w:rsidTr="00D34D96">
        <w:trPr>
          <w:tblCellSpacing w:w="15" w:type="dxa"/>
        </w:trPr>
        <w:tc>
          <w:tcPr>
            <w:tcW w:w="0" w:type="auto"/>
            <w:vAlign w:val="center"/>
            <w:hideMark/>
          </w:tcPr>
          <w:p w14:paraId="7109AC94" w14:textId="77777777" w:rsidR="00097BB2" w:rsidRPr="00097BB2" w:rsidRDefault="00097BB2" w:rsidP="00097BB2">
            <w:pPr>
              <w:pStyle w:val="Body"/>
              <w:rPr>
                <w:rFonts w:ascii="Arial" w:hAnsi="Arial" w:cs="Arial"/>
              </w:rPr>
            </w:pPr>
            <w:r w:rsidRPr="00097BB2">
              <w:rPr>
                <w:rFonts w:ascii="Arial" w:hAnsi="Arial" w:cs="Arial"/>
              </w:rPr>
              <w:t>pH</w:t>
            </w:r>
          </w:p>
        </w:tc>
        <w:tc>
          <w:tcPr>
            <w:tcW w:w="0" w:type="auto"/>
            <w:vAlign w:val="center"/>
            <w:hideMark/>
          </w:tcPr>
          <w:p w14:paraId="1B2E8C00" w14:textId="77777777" w:rsidR="00097BB2" w:rsidRPr="00097BB2" w:rsidRDefault="00097BB2" w:rsidP="00097BB2">
            <w:pPr>
              <w:pStyle w:val="Body"/>
              <w:rPr>
                <w:rFonts w:ascii="Arial" w:hAnsi="Arial" w:cs="Arial"/>
              </w:rPr>
            </w:pPr>
            <w:r w:rsidRPr="00097BB2">
              <w:rPr>
                <w:rFonts w:ascii="Arial" w:hAnsi="Arial" w:cs="Arial"/>
              </w:rPr>
              <w:t>-0.10</w:t>
            </w:r>
          </w:p>
        </w:tc>
        <w:tc>
          <w:tcPr>
            <w:tcW w:w="0" w:type="auto"/>
            <w:vAlign w:val="center"/>
            <w:hideMark/>
          </w:tcPr>
          <w:p w14:paraId="63BD9492" w14:textId="77777777" w:rsidR="00097BB2" w:rsidRPr="00097BB2" w:rsidRDefault="00097BB2" w:rsidP="00097BB2">
            <w:pPr>
              <w:pStyle w:val="Body"/>
              <w:rPr>
                <w:rFonts w:ascii="Arial" w:hAnsi="Arial" w:cs="Arial"/>
              </w:rPr>
            </w:pPr>
            <w:r w:rsidRPr="00097BB2">
              <w:rPr>
                <w:rFonts w:ascii="Arial" w:hAnsi="Arial" w:cs="Arial"/>
              </w:rPr>
              <w:t>+0.77</w:t>
            </w:r>
          </w:p>
        </w:tc>
      </w:tr>
    </w:tbl>
    <w:p w14:paraId="5151663A" w14:textId="77777777" w:rsidR="00097BB2" w:rsidRPr="00097BB2" w:rsidRDefault="00097BB2" w:rsidP="00097BB2">
      <w:pPr>
        <w:pStyle w:val="Body"/>
        <w:spacing w:after="0"/>
        <w:rPr>
          <w:rFonts w:ascii="Arial" w:hAnsi="Arial" w:cs="Arial"/>
        </w:rPr>
      </w:pPr>
    </w:p>
    <w:p w14:paraId="3ACBA6D9" w14:textId="77777777" w:rsidR="00097BB2" w:rsidRPr="00097BB2" w:rsidRDefault="00097BB2" w:rsidP="00097BB2">
      <w:pPr>
        <w:pStyle w:val="Body"/>
        <w:spacing w:after="0"/>
        <w:rPr>
          <w:rFonts w:ascii="Arial" w:hAnsi="Arial" w:cs="Arial"/>
        </w:rPr>
      </w:pPr>
      <w:r w:rsidRPr="00097BB2">
        <w:rPr>
          <w:rFonts w:ascii="Arial" w:hAnsi="Arial" w:cs="Arial"/>
        </w:rPr>
        <w:t>Additionally, the PCA biplot (</w:t>
      </w:r>
      <w:r w:rsidRPr="00097BB2">
        <w:rPr>
          <w:rFonts w:ascii="Arial" w:hAnsi="Arial" w:cs="Arial"/>
          <w:b/>
        </w:rPr>
        <w:t>Figure 8</w:t>
      </w:r>
      <w:r w:rsidRPr="00097BB2">
        <w:rPr>
          <w:rFonts w:ascii="Arial" w:hAnsi="Arial" w:cs="Arial"/>
        </w:rPr>
        <w:t>) also clearly separates the sampling stations into two groups: the l</w:t>
      </w:r>
      <w:r w:rsidRPr="00097BB2">
        <w:rPr>
          <w:rFonts w:ascii="Arial" w:hAnsi="Arial" w:cs="Arial"/>
          <w:bCs/>
        </w:rPr>
        <w:t>ow contamination cluster</w:t>
      </w:r>
      <w:r w:rsidRPr="00097BB2">
        <w:rPr>
          <w:rFonts w:ascii="Arial" w:hAnsi="Arial" w:cs="Arial"/>
          <w:b/>
          <w:bCs/>
        </w:rPr>
        <w:t xml:space="preserve"> </w:t>
      </w:r>
      <w:r w:rsidRPr="00097BB2">
        <w:rPr>
          <w:rFonts w:ascii="Arial" w:hAnsi="Arial" w:cs="Arial"/>
          <w:bCs/>
        </w:rPr>
        <w:t>(</w:t>
      </w:r>
      <w:r w:rsidRPr="00097BB2">
        <w:rPr>
          <w:rFonts w:ascii="Arial" w:hAnsi="Arial" w:cs="Arial"/>
        </w:rPr>
        <w:t>Stations A and B) and the h</w:t>
      </w:r>
      <w:r w:rsidRPr="00097BB2">
        <w:rPr>
          <w:rFonts w:ascii="Arial" w:hAnsi="Arial" w:cs="Arial"/>
          <w:bCs/>
        </w:rPr>
        <w:t>igh contamination cluster (</w:t>
      </w:r>
      <w:r w:rsidRPr="00097BB2">
        <w:rPr>
          <w:rFonts w:ascii="Arial" w:hAnsi="Arial" w:cs="Arial"/>
        </w:rPr>
        <w:t xml:space="preserve">Stations C, D, E, and F). The stations in the high-loading region are associated with increased </w:t>
      </w:r>
      <w:r w:rsidRPr="00097BB2">
        <w:rPr>
          <w:rFonts w:ascii="Arial" w:hAnsi="Arial" w:cs="Arial"/>
          <w:bCs/>
        </w:rPr>
        <w:t>fragment abundance</w:t>
      </w:r>
      <w:r w:rsidRPr="00097BB2">
        <w:rPr>
          <w:rFonts w:ascii="Arial" w:hAnsi="Arial" w:cs="Arial"/>
        </w:rPr>
        <w:t xml:space="preserve">, high abundance of MNPs </w:t>
      </w:r>
      <w:r w:rsidRPr="00097BB2">
        <w:rPr>
          <w:rFonts w:ascii="Arial" w:hAnsi="Arial" w:cs="Arial"/>
          <w:bCs/>
        </w:rPr>
        <w:t>polymer concentrations (PP, PVC, PET and PA)</w:t>
      </w:r>
      <w:r w:rsidRPr="00097BB2">
        <w:rPr>
          <w:rFonts w:ascii="Arial" w:hAnsi="Arial" w:cs="Arial"/>
        </w:rPr>
        <w:t xml:space="preserve"> and also higher </w:t>
      </w:r>
      <w:r w:rsidRPr="00097BB2">
        <w:rPr>
          <w:rFonts w:ascii="Arial" w:hAnsi="Arial" w:cs="Arial"/>
          <w:bCs/>
        </w:rPr>
        <w:t>TDS and electrical conductivity (EC)</w:t>
      </w:r>
      <w:r w:rsidRPr="00097BB2">
        <w:rPr>
          <w:rFonts w:ascii="Arial" w:hAnsi="Arial" w:cs="Arial"/>
        </w:rPr>
        <w:t xml:space="preserve">. This pattern indicates that </w:t>
      </w:r>
      <w:r w:rsidRPr="00097BB2">
        <w:rPr>
          <w:rFonts w:ascii="Arial" w:hAnsi="Arial" w:cs="Arial"/>
          <w:bCs/>
        </w:rPr>
        <w:t>plastic fragmentation and polymer accumulation intensify downstream</w:t>
      </w:r>
      <w:r w:rsidRPr="00097BB2">
        <w:rPr>
          <w:rFonts w:ascii="Arial" w:hAnsi="Arial" w:cs="Arial"/>
        </w:rPr>
        <w:t>, likely due to cumulative anthropogenic inputs such as domestic discharge, irrigation return flows, and urban runoff.</w:t>
      </w:r>
    </w:p>
    <w:p w14:paraId="31CC9C43" w14:textId="77777777" w:rsidR="00097BB2" w:rsidRPr="00097BB2" w:rsidRDefault="00097BB2" w:rsidP="00097BB2">
      <w:pPr>
        <w:pStyle w:val="Body"/>
        <w:spacing w:after="0"/>
        <w:rPr>
          <w:rFonts w:ascii="Arial" w:hAnsi="Arial" w:cs="Arial"/>
        </w:rPr>
      </w:pPr>
    </w:p>
    <w:p w14:paraId="1193907B"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09EB9EA4" wp14:editId="2F31BFB6">
            <wp:extent cx="4756150" cy="3162300"/>
            <wp:effectExtent l="0" t="0" r="0" b="0"/>
            <wp:docPr id="4" name="Picture 4" descr="PCA Biplot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CA Biplot Wa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6150" cy="3162300"/>
                    </a:xfrm>
                    <a:prstGeom prst="rect">
                      <a:avLst/>
                    </a:prstGeom>
                    <a:noFill/>
                    <a:ln>
                      <a:noFill/>
                    </a:ln>
                  </pic:spPr>
                </pic:pic>
              </a:graphicData>
            </a:graphic>
          </wp:inline>
        </w:drawing>
      </w:r>
    </w:p>
    <w:p w14:paraId="651A85DD"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8: </w:t>
      </w:r>
      <w:r w:rsidRPr="00097BB2">
        <w:rPr>
          <w:rFonts w:ascii="Arial" w:hAnsi="Arial" w:cs="Arial"/>
          <w:i/>
        </w:rPr>
        <w:t xml:space="preserve">The PCA Score Plots of the </w:t>
      </w:r>
      <w:proofErr w:type="spellStart"/>
      <w:r w:rsidRPr="00097BB2">
        <w:rPr>
          <w:rFonts w:ascii="Arial" w:hAnsi="Arial" w:cs="Arial"/>
          <w:i/>
        </w:rPr>
        <w:t>Spatio</w:t>
      </w:r>
      <w:proofErr w:type="spellEnd"/>
      <w:r w:rsidRPr="00097BB2">
        <w:rPr>
          <w:rFonts w:ascii="Arial" w:hAnsi="Arial" w:cs="Arial"/>
          <w:i/>
        </w:rPr>
        <w:t>-Seasonal Hydrochemistry with the MNPs in River Ngadda</w:t>
      </w:r>
    </w:p>
    <w:p w14:paraId="458E5E8E" w14:textId="77777777" w:rsidR="00097BB2" w:rsidRPr="00097BB2" w:rsidRDefault="00097BB2" w:rsidP="00097BB2">
      <w:pPr>
        <w:pStyle w:val="Body"/>
        <w:spacing w:after="0"/>
        <w:rPr>
          <w:rFonts w:ascii="Arial" w:hAnsi="Arial" w:cs="Arial"/>
        </w:rPr>
      </w:pPr>
    </w:p>
    <w:p w14:paraId="01CE3D50" w14:textId="77777777" w:rsidR="00097BB2" w:rsidRPr="00097BB2" w:rsidRDefault="00097BB2" w:rsidP="00097BB2">
      <w:pPr>
        <w:pStyle w:val="Body"/>
        <w:spacing w:after="0"/>
        <w:rPr>
          <w:rFonts w:ascii="Arial" w:hAnsi="Arial" w:cs="Arial"/>
        </w:rPr>
      </w:pPr>
      <w:r w:rsidRPr="00097BB2">
        <w:rPr>
          <w:rFonts w:ascii="Arial" w:hAnsi="Arial" w:cs="Arial"/>
        </w:rPr>
        <w:t>Furthermore, Canonical Correlation Analysis (CCA) was also conducted to assess relationships between the MNPs, polymers, shapes and environmental variables (temperature, pH, TDS, EC, NO</w:t>
      </w:r>
      <w:r w:rsidRPr="00097BB2">
        <w:rPr>
          <w:rFonts w:ascii="Cambria Math" w:hAnsi="Cambria Math" w:cs="Cambria Math"/>
        </w:rPr>
        <w:t>₃⁻</w:t>
      </w:r>
      <w:r w:rsidRPr="00097BB2">
        <w:rPr>
          <w:rFonts w:ascii="Arial" w:hAnsi="Arial" w:cs="Arial"/>
        </w:rPr>
        <w:t>,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The result of the CCA was shown in </w:t>
      </w:r>
      <w:r w:rsidRPr="00097BB2">
        <w:rPr>
          <w:rFonts w:ascii="Arial" w:hAnsi="Arial" w:cs="Arial"/>
          <w:b/>
        </w:rPr>
        <w:t>Figure 9</w:t>
      </w:r>
      <w:r w:rsidRPr="00097BB2">
        <w:rPr>
          <w:rFonts w:ascii="Arial" w:hAnsi="Arial" w:cs="Arial"/>
        </w:rPr>
        <w:t xml:space="preserve"> and </w:t>
      </w:r>
      <w:r w:rsidRPr="00097BB2">
        <w:rPr>
          <w:rFonts w:ascii="Arial" w:hAnsi="Arial" w:cs="Arial"/>
          <w:b/>
        </w:rPr>
        <w:t xml:space="preserve">Table 4 </w:t>
      </w:r>
      <w:r w:rsidRPr="00097BB2">
        <w:rPr>
          <w:rFonts w:ascii="Arial" w:hAnsi="Arial" w:cs="Arial"/>
        </w:rPr>
        <w:t xml:space="preserve">indicates strong relationships between </w:t>
      </w:r>
      <w:r w:rsidRPr="00097BB2">
        <w:rPr>
          <w:rFonts w:ascii="Arial" w:hAnsi="Arial" w:cs="Arial"/>
          <w:bCs/>
        </w:rPr>
        <w:t>MNPs characteristics (shapes and polymers)</w:t>
      </w:r>
      <w:r w:rsidRPr="00097BB2">
        <w:rPr>
          <w:rFonts w:ascii="Arial" w:hAnsi="Arial" w:cs="Arial"/>
        </w:rPr>
        <w:t xml:space="preserve"> and </w:t>
      </w:r>
      <w:r w:rsidRPr="00097BB2">
        <w:rPr>
          <w:rFonts w:ascii="Arial" w:hAnsi="Arial" w:cs="Arial"/>
          <w:bCs/>
        </w:rPr>
        <w:t>physicochemical parameters</w:t>
      </w:r>
      <w:r w:rsidRPr="00097BB2">
        <w:rPr>
          <w:rFonts w:ascii="Arial" w:hAnsi="Arial" w:cs="Arial"/>
        </w:rPr>
        <w:t>. The results further suggests that f</w:t>
      </w:r>
      <w:r w:rsidRPr="00097BB2">
        <w:rPr>
          <w:rFonts w:ascii="Arial" w:hAnsi="Arial" w:cs="Arial"/>
          <w:bCs/>
        </w:rPr>
        <w:t>ragments and fibers</w:t>
      </w:r>
      <w:r w:rsidRPr="00097BB2">
        <w:rPr>
          <w:rFonts w:ascii="Arial" w:hAnsi="Arial" w:cs="Arial"/>
        </w:rPr>
        <w:t xml:space="preserve"> strongly aligned with </w:t>
      </w:r>
      <w:r w:rsidRPr="00097BB2">
        <w:rPr>
          <w:rFonts w:ascii="Arial" w:hAnsi="Arial" w:cs="Arial"/>
          <w:bCs/>
        </w:rPr>
        <w:t>TDS and EC</w:t>
      </w:r>
      <w:r w:rsidRPr="00097BB2">
        <w:rPr>
          <w:rFonts w:ascii="Arial" w:hAnsi="Arial" w:cs="Arial"/>
        </w:rPr>
        <w:t xml:space="preserve">, indicating that </w:t>
      </w:r>
      <w:r w:rsidRPr="00097BB2">
        <w:rPr>
          <w:rFonts w:ascii="Arial" w:hAnsi="Arial" w:cs="Arial"/>
          <w:bCs/>
        </w:rPr>
        <w:t>ionic strength promotes fragmentation and accumulation</w:t>
      </w:r>
      <w:r w:rsidRPr="00097BB2">
        <w:rPr>
          <w:rFonts w:ascii="Arial" w:hAnsi="Arial" w:cs="Arial"/>
        </w:rPr>
        <w:t xml:space="preserve">; whereas </w:t>
      </w:r>
      <w:r w:rsidRPr="00097BB2">
        <w:rPr>
          <w:rFonts w:ascii="Arial" w:hAnsi="Arial" w:cs="Arial"/>
          <w:bCs/>
        </w:rPr>
        <w:t>PP and PVC</w:t>
      </w:r>
      <w:r w:rsidRPr="00097BB2">
        <w:rPr>
          <w:rFonts w:ascii="Arial" w:hAnsi="Arial" w:cs="Arial"/>
        </w:rPr>
        <w:t xml:space="preserve"> correlated with </w:t>
      </w:r>
      <w:r w:rsidRPr="00097BB2">
        <w:rPr>
          <w:rFonts w:ascii="Arial" w:hAnsi="Arial" w:cs="Arial"/>
          <w:bCs/>
        </w:rPr>
        <w:t>NO</w:t>
      </w:r>
      <w:r w:rsidRPr="00097BB2">
        <w:rPr>
          <w:rFonts w:ascii="Cambria Math" w:hAnsi="Cambria Math" w:cs="Cambria Math"/>
          <w:bCs/>
        </w:rPr>
        <w:t>₃⁻</w:t>
      </w:r>
      <w:r w:rsidRPr="00097BB2">
        <w:rPr>
          <w:rFonts w:ascii="Arial" w:hAnsi="Arial" w:cs="Arial"/>
        </w:rPr>
        <w:t xml:space="preserve">, suggesting a possibility of </w:t>
      </w:r>
      <w:r w:rsidRPr="00097BB2">
        <w:rPr>
          <w:rFonts w:ascii="Arial" w:hAnsi="Arial" w:cs="Arial"/>
          <w:bCs/>
        </w:rPr>
        <w:t>domestic and agricultural pollution sources. Additionally, PET and PA</w:t>
      </w:r>
      <w:r w:rsidRPr="00097BB2">
        <w:rPr>
          <w:rFonts w:ascii="Arial" w:hAnsi="Arial" w:cs="Arial"/>
        </w:rPr>
        <w:t xml:space="preserve"> associated with </w:t>
      </w:r>
      <w:r w:rsidRPr="00097BB2">
        <w:rPr>
          <w:rFonts w:ascii="Arial" w:hAnsi="Arial" w:cs="Arial"/>
          <w:bCs/>
        </w:rPr>
        <w:t>temperature and conductivity</w:t>
      </w:r>
      <w:r w:rsidRPr="00097BB2">
        <w:rPr>
          <w:rFonts w:ascii="Arial" w:hAnsi="Arial" w:cs="Arial"/>
        </w:rPr>
        <w:t xml:space="preserve">, reflecting enhanced degradation under warmer and mineral-rich conditions. The CCA Station’s Scores result as shown in </w:t>
      </w:r>
      <w:r w:rsidRPr="00097BB2">
        <w:rPr>
          <w:rFonts w:ascii="Arial" w:hAnsi="Arial" w:cs="Arial"/>
          <w:b/>
        </w:rPr>
        <w:t xml:space="preserve">Table 5 </w:t>
      </w:r>
      <w:r w:rsidRPr="00097BB2">
        <w:rPr>
          <w:rFonts w:ascii="Arial" w:hAnsi="Arial" w:cs="Arial"/>
        </w:rPr>
        <w:t xml:space="preserve">suggest that stations </w:t>
      </w:r>
      <w:r w:rsidRPr="00097BB2">
        <w:rPr>
          <w:rFonts w:ascii="Arial" w:hAnsi="Arial" w:cs="Arial"/>
          <w:bCs/>
        </w:rPr>
        <w:t>E and F</w:t>
      </w:r>
      <w:r w:rsidRPr="00097BB2">
        <w:rPr>
          <w:rFonts w:ascii="Arial" w:hAnsi="Arial" w:cs="Arial"/>
        </w:rPr>
        <w:t xml:space="preserve"> exhibited the strongest environmental influence, confirming their role as </w:t>
      </w:r>
      <w:r w:rsidRPr="00097BB2">
        <w:rPr>
          <w:rFonts w:ascii="Arial" w:hAnsi="Arial" w:cs="Arial"/>
          <w:bCs/>
        </w:rPr>
        <w:t>pollution hotspots</w:t>
      </w:r>
      <w:r w:rsidRPr="00097BB2">
        <w:rPr>
          <w:rFonts w:ascii="Arial" w:hAnsi="Arial" w:cs="Arial"/>
        </w:rPr>
        <w:t xml:space="preserve">. These results highlight that </w:t>
      </w:r>
      <w:r w:rsidRPr="00097BB2">
        <w:rPr>
          <w:rFonts w:ascii="Arial" w:hAnsi="Arial" w:cs="Arial"/>
          <w:bCs/>
        </w:rPr>
        <w:t>physicochemical conditions regulate the transport, transformation, and fate of plastics</w:t>
      </w:r>
      <w:r w:rsidRPr="00097BB2">
        <w:rPr>
          <w:rFonts w:ascii="Arial" w:hAnsi="Arial" w:cs="Arial"/>
        </w:rPr>
        <w:t>, rather than acting solely as passive background variables (UNEP, 2016; Horton et al., 2017).</w:t>
      </w:r>
    </w:p>
    <w:p w14:paraId="6012E3BA" w14:textId="77777777" w:rsidR="00097BB2" w:rsidRPr="00097BB2" w:rsidRDefault="00097BB2" w:rsidP="00097BB2">
      <w:pPr>
        <w:pStyle w:val="Body"/>
        <w:spacing w:after="0"/>
        <w:rPr>
          <w:rFonts w:ascii="Arial" w:hAnsi="Arial" w:cs="Arial"/>
        </w:rPr>
      </w:pPr>
    </w:p>
    <w:p w14:paraId="4FB74338" w14:textId="77777777" w:rsidR="00097BB2" w:rsidRPr="00097BB2" w:rsidRDefault="00097BB2" w:rsidP="00097BB2">
      <w:pPr>
        <w:pStyle w:val="Body"/>
        <w:spacing w:after="0"/>
        <w:rPr>
          <w:rFonts w:ascii="Arial" w:hAnsi="Arial" w:cs="Arial"/>
        </w:rPr>
      </w:pPr>
      <w:r w:rsidRPr="00097BB2">
        <w:rPr>
          <w:rFonts w:ascii="Arial" w:hAnsi="Arial" w:cs="Arial"/>
          <w:noProof/>
        </w:rPr>
        <w:drawing>
          <wp:inline distT="0" distB="0" distL="0" distR="0" wp14:anchorId="2294838F" wp14:editId="0EA021EA">
            <wp:extent cx="3879850" cy="2520950"/>
            <wp:effectExtent l="0" t="0" r="0" b="0"/>
            <wp:docPr id="3" name="Picture 3" descr="CCA Water MN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CA Water MNP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9850" cy="2520950"/>
                    </a:xfrm>
                    <a:prstGeom prst="rect">
                      <a:avLst/>
                    </a:prstGeom>
                    <a:noFill/>
                    <a:ln>
                      <a:noFill/>
                    </a:ln>
                  </pic:spPr>
                </pic:pic>
              </a:graphicData>
            </a:graphic>
          </wp:inline>
        </w:drawing>
      </w:r>
    </w:p>
    <w:p w14:paraId="449A945C" w14:textId="77777777" w:rsidR="00097BB2" w:rsidRPr="00097BB2" w:rsidRDefault="00097BB2" w:rsidP="00097BB2">
      <w:pPr>
        <w:pStyle w:val="Body"/>
        <w:spacing w:after="0"/>
        <w:rPr>
          <w:rFonts w:ascii="Arial" w:hAnsi="Arial" w:cs="Arial"/>
          <w:i/>
        </w:rPr>
      </w:pPr>
      <w:r w:rsidRPr="00097BB2">
        <w:rPr>
          <w:rFonts w:ascii="Arial" w:hAnsi="Arial" w:cs="Arial"/>
          <w:b/>
          <w:i/>
        </w:rPr>
        <w:t xml:space="preserve">Figure 9: </w:t>
      </w:r>
      <w:r w:rsidRPr="00097BB2">
        <w:rPr>
          <w:rFonts w:ascii="Arial" w:hAnsi="Arial" w:cs="Arial"/>
          <w:i/>
        </w:rPr>
        <w:t xml:space="preserve">The Canonical Correlation Analysis (CCA) of the </w:t>
      </w:r>
      <w:proofErr w:type="spellStart"/>
      <w:r w:rsidRPr="00097BB2">
        <w:rPr>
          <w:rFonts w:ascii="Arial" w:hAnsi="Arial" w:cs="Arial"/>
          <w:i/>
        </w:rPr>
        <w:t>Spatio</w:t>
      </w:r>
      <w:proofErr w:type="spellEnd"/>
      <w:r w:rsidRPr="00097BB2">
        <w:rPr>
          <w:rFonts w:ascii="Arial" w:hAnsi="Arial" w:cs="Arial"/>
          <w:i/>
        </w:rPr>
        <w:t>-Seasonal Hydrochemistry with the MNPs in River Ngadda</w:t>
      </w:r>
    </w:p>
    <w:p w14:paraId="793A5F2A" w14:textId="77777777" w:rsidR="00097BB2" w:rsidRPr="00097BB2" w:rsidRDefault="00097BB2" w:rsidP="00097BB2">
      <w:pPr>
        <w:pStyle w:val="Body"/>
        <w:spacing w:after="0"/>
        <w:rPr>
          <w:rFonts w:ascii="Arial" w:hAnsi="Arial" w:cs="Arial"/>
        </w:rPr>
      </w:pPr>
    </w:p>
    <w:p w14:paraId="4F61D4FA" w14:textId="77777777" w:rsidR="00097BB2" w:rsidRPr="00097BB2" w:rsidRDefault="00097BB2" w:rsidP="00097BB2">
      <w:pPr>
        <w:pStyle w:val="Body"/>
        <w:spacing w:after="0"/>
        <w:rPr>
          <w:rFonts w:ascii="Arial" w:hAnsi="Arial" w:cs="Arial"/>
        </w:rPr>
      </w:pPr>
    </w:p>
    <w:p w14:paraId="77346B6F" w14:textId="77777777" w:rsidR="00097BB2" w:rsidRPr="00097BB2" w:rsidRDefault="00097BB2" w:rsidP="00097BB2">
      <w:pPr>
        <w:pStyle w:val="Body"/>
        <w:spacing w:after="0"/>
        <w:rPr>
          <w:rFonts w:ascii="Arial" w:hAnsi="Arial" w:cs="Arial"/>
        </w:rPr>
      </w:pPr>
      <w:r w:rsidRPr="00097BB2">
        <w:rPr>
          <w:rFonts w:ascii="Arial" w:hAnsi="Arial" w:cs="Arial"/>
          <w:b/>
        </w:rPr>
        <w:t xml:space="preserve">Table 4: </w:t>
      </w:r>
      <w:r w:rsidRPr="00097BB2">
        <w:rPr>
          <w:rFonts w:ascii="Arial" w:hAnsi="Arial" w:cs="Arial"/>
        </w:rPr>
        <w:t>CCA Canonical Coefficients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746"/>
        <w:gridCol w:w="1154"/>
        <w:gridCol w:w="1163"/>
      </w:tblGrid>
      <w:tr w:rsidR="00097BB2" w:rsidRPr="00097BB2" w14:paraId="7D49FFC6" w14:textId="77777777" w:rsidTr="00D34D96">
        <w:trPr>
          <w:tblHeader/>
          <w:tblCellSpacing w:w="15" w:type="dxa"/>
        </w:trPr>
        <w:tc>
          <w:tcPr>
            <w:tcW w:w="1701" w:type="dxa"/>
            <w:tcBorders>
              <w:top w:val="single" w:sz="4" w:space="0" w:color="auto"/>
              <w:bottom w:val="single" w:sz="4" w:space="0" w:color="auto"/>
            </w:tcBorders>
            <w:vAlign w:val="center"/>
            <w:hideMark/>
          </w:tcPr>
          <w:p w14:paraId="310A81C1" w14:textId="77777777" w:rsidR="00097BB2" w:rsidRPr="00097BB2" w:rsidRDefault="00097BB2" w:rsidP="00097BB2">
            <w:pPr>
              <w:pStyle w:val="Body"/>
              <w:spacing w:after="0"/>
              <w:rPr>
                <w:rFonts w:ascii="Arial" w:hAnsi="Arial" w:cs="Arial"/>
                <w:b/>
                <w:bCs/>
              </w:rPr>
            </w:pPr>
            <w:r w:rsidRPr="00097BB2">
              <w:rPr>
                <w:rFonts w:ascii="Arial" w:hAnsi="Arial" w:cs="Arial"/>
                <w:b/>
                <w:bCs/>
              </w:rPr>
              <w:lastRenderedPageBreak/>
              <w:t>Variables</w:t>
            </w:r>
          </w:p>
        </w:tc>
        <w:tc>
          <w:tcPr>
            <w:tcW w:w="1124" w:type="dxa"/>
            <w:tcBorders>
              <w:top w:val="single" w:sz="4" w:space="0" w:color="auto"/>
              <w:bottom w:val="single" w:sz="4" w:space="0" w:color="auto"/>
            </w:tcBorders>
            <w:vAlign w:val="center"/>
            <w:hideMark/>
          </w:tcPr>
          <w:p w14:paraId="7B208979" w14:textId="77777777" w:rsidR="00097BB2" w:rsidRPr="00097BB2" w:rsidRDefault="00097BB2" w:rsidP="00097BB2">
            <w:pPr>
              <w:pStyle w:val="Body"/>
              <w:spacing w:after="0"/>
              <w:rPr>
                <w:rFonts w:ascii="Arial" w:hAnsi="Arial" w:cs="Arial"/>
                <w:b/>
                <w:bCs/>
              </w:rPr>
            </w:pPr>
            <w:r w:rsidRPr="00097BB2">
              <w:rPr>
                <w:rFonts w:ascii="Arial" w:hAnsi="Arial" w:cs="Arial"/>
                <w:b/>
                <w:bCs/>
              </w:rPr>
              <w:t>CCA1</w:t>
            </w:r>
          </w:p>
        </w:tc>
        <w:tc>
          <w:tcPr>
            <w:tcW w:w="1118" w:type="dxa"/>
            <w:tcBorders>
              <w:top w:val="single" w:sz="4" w:space="0" w:color="auto"/>
              <w:bottom w:val="single" w:sz="4" w:space="0" w:color="auto"/>
            </w:tcBorders>
            <w:vAlign w:val="center"/>
            <w:hideMark/>
          </w:tcPr>
          <w:p w14:paraId="2A46E849" w14:textId="77777777" w:rsidR="00097BB2" w:rsidRPr="00097BB2" w:rsidRDefault="00097BB2" w:rsidP="00097BB2">
            <w:pPr>
              <w:pStyle w:val="Body"/>
              <w:spacing w:after="0"/>
              <w:rPr>
                <w:rFonts w:ascii="Arial" w:hAnsi="Arial" w:cs="Arial"/>
                <w:b/>
                <w:bCs/>
              </w:rPr>
            </w:pPr>
            <w:r w:rsidRPr="00097BB2">
              <w:rPr>
                <w:rFonts w:ascii="Arial" w:hAnsi="Arial" w:cs="Arial"/>
                <w:b/>
                <w:bCs/>
              </w:rPr>
              <w:t>CCA2</w:t>
            </w:r>
          </w:p>
        </w:tc>
      </w:tr>
      <w:tr w:rsidR="00097BB2" w:rsidRPr="00097BB2" w14:paraId="416C8014" w14:textId="77777777" w:rsidTr="00D34D96">
        <w:trPr>
          <w:tblCellSpacing w:w="15" w:type="dxa"/>
        </w:trPr>
        <w:tc>
          <w:tcPr>
            <w:tcW w:w="1701" w:type="dxa"/>
            <w:vAlign w:val="center"/>
            <w:hideMark/>
          </w:tcPr>
          <w:p w14:paraId="1AE6452B" w14:textId="77777777" w:rsidR="00097BB2" w:rsidRPr="00097BB2" w:rsidRDefault="00097BB2" w:rsidP="00097BB2">
            <w:pPr>
              <w:pStyle w:val="Body"/>
              <w:spacing w:after="0"/>
              <w:rPr>
                <w:rFonts w:ascii="Arial" w:hAnsi="Arial" w:cs="Arial"/>
              </w:rPr>
            </w:pPr>
            <w:r w:rsidRPr="00097BB2">
              <w:rPr>
                <w:rFonts w:ascii="Arial" w:hAnsi="Arial" w:cs="Arial"/>
              </w:rPr>
              <w:t>Fragment</w:t>
            </w:r>
          </w:p>
        </w:tc>
        <w:tc>
          <w:tcPr>
            <w:tcW w:w="1124" w:type="dxa"/>
            <w:vAlign w:val="center"/>
            <w:hideMark/>
          </w:tcPr>
          <w:p w14:paraId="0EF84E60" w14:textId="77777777" w:rsidR="00097BB2" w:rsidRPr="00097BB2" w:rsidRDefault="00097BB2" w:rsidP="00097BB2">
            <w:pPr>
              <w:pStyle w:val="Body"/>
              <w:spacing w:after="0"/>
              <w:rPr>
                <w:rFonts w:ascii="Arial" w:hAnsi="Arial" w:cs="Arial"/>
              </w:rPr>
            </w:pPr>
            <w:r w:rsidRPr="00097BB2">
              <w:rPr>
                <w:rFonts w:ascii="Arial" w:hAnsi="Arial" w:cs="Arial"/>
              </w:rPr>
              <w:t>0.88</w:t>
            </w:r>
          </w:p>
        </w:tc>
        <w:tc>
          <w:tcPr>
            <w:tcW w:w="1118" w:type="dxa"/>
            <w:vAlign w:val="center"/>
            <w:hideMark/>
          </w:tcPr>
          <w:p w14:paraId="66E384DA" w14:textId="77777777" w:rsidR="00097BB2" w:rsidRPr="00097BB2" w:rsidRDefault="00097BB2" w:rsidP="00097BB2">
            <w:pPr>
              <w:pStyle w:val="Body"/>
              <w:spacing w:after="0"/>
              <w:rPr>
                <w:rFonts w:ascii="Arial" w:hAnsi="Arial" w:cs="Arial"/>
              </w:rPr>
            </w:pPr>
            <w:r w:rsidRPr="00097BB2">
              <w:rPr>
                <w:rFonts w:ascii="Arial" w:hAnsi="Arial" w:cs="Arial"/>
              </w:rPr>
              <w:t>0.25</w:t>
            </w:r>
          </w:p>
        </w:tc>
      </w:tr>
      <w:tr w:rsidR="00097BB2" w:rsidRPr="00097BB2" w14:paraId="1B47B29B" w14:textId="77777777" w:rsidTr="00D34D96">
        <w:trPr>
          <w:tblCellSpacing w:w="15" w:type="dxa"/>
        </w:trPr>
        <w:tc>
          <w:tcPr>
            <w:tcW w:w="1701" w:type="dxa"/>
            <w:vAlign w:val="center"/>
            <w:hideMark/>
          </w:tcPr>
          <w:p w14:paraId="7A7A53C8" w14:textId="77777777" w:rsidR="00097BB2" w:rsidRPr="00097BB2" w:rsidRDefault="00097BB2" w:rsidP="00097BB2">
            <w:pPr>
              <w:pStyle w:val="Body"/>
              <w:spacing w:after="0"/>
              <w:rPr>
                <w:rFonts w:ascii="Arial" w:hAnsi="Arial" w:cs="Arial"/>
              </w:rPr>
            </w:pPr>
            <w:r w:rsidRPr="00097BB2">
              <w:rPr>
                <w:rFonts w:ascii="Arial" w:hAnsi="Arial" w:cs="Arial"/>
              </w:rPr>
              <w:t>Fiber</w:t>
            </w:r>
          </w:p>
        </w:tc>
        <w:tc>
          <w:tcPr>
            <w:tcW w:w="1124" w:type="dxa"/>
            <w:vAlign w:val="center"/>
            <w:hideMark/>
          </w:tcPr>
          <w:p w14:paraId="41ED1BAA" w14:textId="77777777" w:rsidR="00097BB2" w:rsidRPr="00097BB2" w:rsidRDefault="00097BB2" w:rsidP="00097BB2">
            <w:pPr>
              <w:pStyle w:val="Body"/>
              <w:spacing w:after="0"/>
              <w:rPr>
                <w:rFonts w:ascii="Arial" w:hAnsi="Arial" w:cs="Arial"/>
              </w:rPr>
            </w:pPr>
            <w:r w:rsidRPr="00097BB2">
              <w:rPr>
                <w:rFonts w:ascii="Arial" w:hAnsi="Arial" w:cs="Arial"/>
              </w:rPr>
              <w:t>0.75</w:t>
            </w:r>
          </w:p>
        </w:tc>
        <w:tc>
          <w:tcPr>
            <w:tcW w:w="1118" w:type="dxa"/>
            <w:vAlign w:val="center"/>
            <w:hideMark/>
          </w:tcPr>
          <w:p w14:paraId="404B13E9" w14:textId="77777777" w:rsidR="00097BB2" w:rsidRPr="00097BB2" w:rsidRDefault="00097BB2" w:rsidP="00097BB2">
            <w:pPr>
              <w:pStyle w:val="Body"/>
              <w:spacing w:after="0"/>
              <w:rPr>
                <w:rFonts w:ascii="Arial" w:hAnsi="Arial" w:cs="Arial"/>
              </w:rPr>
            </w:pPr>
            <w:r w:rsidRPr="00097BB2">
              <w:rPr>
                <w:rFonts w:ascii="Arial" w:hAnsi="Arial" w:cs="Arial"/>
              </w:rPr>
              <w:t>0.30</w:t>
            </w:r>
          </w:p>
        </w:tc>
      </w:tr>
      <w:tr w:rsidR="00097BB2" w:rsidRPr="00097BB2" w14:paraId="7F061F0F" w14:textId="77777777" w:rsidTr="00D34D96">
        <w:trPr>
          <w:tblCellSpacing w:w="15" w:type="dxa"/>
        </w:trPr>
        <w:tc>
          <w:tcPr>
            <w:tcW w:w="1701" w:type="dxa"/>
            <w:vAlign w:val="center"/>
            <w:hideMark/>
          </w:tcPr>
          <w:p w14:paraId="289B996F" w14:textId="77777777" w:rsidR="00097BB2" w:rsidRPr="00097BB2" w:rsidRDefault="00097BB2" w:rsidP="00097BB2">
            <w:pPr>
              <w:pStyle w:val="Body"/>
              <w:spacing w:after="0"/>
              <w:rPr>
                <w:rFonts w:ascii="Arial" w:hAnsi="Arial" w:cs="Arial"/>
              </w:rPr>
            </w:pPr>
            <w:r w:rsidRPr="00097BB2">
              <w:rPr>
                <w:rFonts w:ascii="Arial" w:hAnsi="Arial" w:cs="Arial"/>
              </w:rPr>
              <w:t>Film</w:t>
            </w:r>
          </w:p>
        </w:tc>
        <w:tc>
          <w:tcPr>
            <w:tcW w:w="1124" w:type="dxa"/>
            <w:vAlign w:val="center"/>
            <w:hideMark/>
          </w:tcPr>
          <w:p w14:paraId="745A08D8" w14:textId="77777777" w:rsidR="00097BB2" w:rsidRPr="00097BB2" w:rsidRDefault="00097BB2" w:rsidP="00097BB2">
            <w:pPr>
              <w:pStyle w:val="Body"/>
              <w:spacing w:after="0"/>
              <w:rPr>
                <w:rFonts w:ascii="Arial" w:hAnsi="Arial" w:cs="Arial"/>
              </w:rPr>
            </w:pPr>
            <w:r w:rsidRPr="00097BB2">
              <w:rPr>
                <w:rFonts w:ascii="Arial" w:hAnsi="Arial" w:cs="Arial"/>
              </w:rPr>
              <w:t>0.65</w:t>
            </w:r>
          </w:p>
        </w:tc>
        <w:tc>
          <w:tcPr>
            <w:tcW w:w="1118" w:type="dxa"/>
            <w:vAlign w:val="center"/>
            <w:hideMark/>
          </w:tcPr>
          <w:p w14:paraId="3D123849" w14:textId="77777777" w:rsidR="00097BB2" w:rsidRPr="00097BB2" w:rsidRDefault="00097BB2" w:rsidP="00097BB2">
            <w:pPr>
              <w:pStyle w:val="Body"/>
              <w:spacing w:after="0"/>
              <w:rPr>
                <w:rFonts w:ascii="Arial" w:hAnsi="Arial" w:cs="Arial"/>
              </w:rPr>
            </w:pPr>
            <w:r w:rsidRPr="00097BB2">
              <w:rPr>
                <w:rFonts w:ascii="Arial" w:hAnsi="Arial" w:cs="Arial"/>
              </w:rPr>
              <w:t>-0.20</w:t>
            </w:r>
          </w:p>
        </w:tc>
      </w:tr>
      <w:tr w:rsidR="00097BB2" w:rsidRPr="00097BB2" w14:paraId="1E912F5B" w14:textId="77777777" w:rsidTr="00D34D96">
        <w:trPr>
          <w:tblCellSpacing w:w="15" w:type="dxa"/>
        </w:trPr>
        <w:tc>
          <w:tcPr>
            <w:tcW w:w="1701" w:type="dxa"/>
            <w:vAlign w:val="center"/>
            <w:hideMark/>
          </w:tcPr>
          <w:p w14:paraId="28E27AC9" w14:textId="77777777" w:rsidR="00097BB2" w:rsidRPr="00097BB2" w:rsidRDefault="00097BB2" w:rsidP="00097BB2">
            <w:pPr>
              <w:pStyle w:val="Body"/>
              <w:spacing w:after="0"/>
              <w:rPr>
                <w:rFonts w:ascii="Arial" w:hAnsi="Arial" w:cs="Arial"/>
              </w:rPr>
            </w:pPr>
            <w:r w:rsidRPr="00097BB2">
              <w:rPr>
                <w:rFonts w:ascii="Arial" w:hAnsi="Arial" w:cs="Arial"/>
              </w:rPr>
              <w:t>MP_PP</w:t>
            </w:r>
          </w:p>
        </w:tc>
        <w:tc>
          <w:tcPr>
            <w:tcW w:w="1124" w:type="dxa"/>
            <w:vAlign w:val="center"/>
            <w:hideMark/>
          </w:tcPr>
          <w:p w14:paraId="138D4012" w14:textId="77777777" w:rsidR="00097BB2" w:rsidRPr="00097BB2" w:rsidRDefault="00097BB2" w:rsidP="00097BB2">
            <w:pPr>
              <w:pStyle w:val="Body"/>
              <w:spacing w:after="0"/>
              <w:rPr>
                <w:rFonts w:ascii="Arial" w:hAnsi="Arial" w:cs="Arial"/>
              </w:rPr>
            </w:pPr>
            <w:r w:rsidRPr="00097BB2">
              <w:rPr>
                <w:rFonts w:ascii="Arial" w:hAnsi="Arial" w:cs="Arial"/>
              </w:rPr>
              <w:t>0.82</w:t>
            </w:r>
          </w:p>
        </w:tc>
        <w:tc>
          <w:tcPr>
            <w:tcW w:w="1118" w:type="dxa"/>
            <w:vAlign w:val="center"/>
            <w:hideMark/>
          </w:tcPr>
          <w:p w14:paraId="2CDFBE38" w14:textId="77777777" w:rsidR="00097BB2" w:rsidRPr="00097BB2" w:rsidRDefault="00097BB2" w:rsidP="00097BB2">
            <w:pPr>
              <w:pStyle w:val="Body"/>
              <w:spacing w:after="0"/>
              <w:rPr>
                <w:rFonts w:ascii="Arial" w:hAnsi="Arial" w:cs="Arial"/>
              </w:rPr>
            </w:pPr>
            <w:r w:rsidRPr="00097BB2">
              <w:rPr>
                <w:rFonts w:ascii="Arial" w:hAnsi="Arial" w:cs="Arial"/>
              </w:rPr>
              <w:t>0.33</w:t>
            </w:r>
          </w:p>
        </w:tc>
      </w:tr>
      <w:tr w:rsidR="00097BB2" w:rsidRPr="00097BB2" w14:paraId="5A12017D" w14:textId="77777777" w:rsidTr="00D34D96">
        <w:trPr>
          <w:tblCellSpacing w:w="15" w:type="dxa"/>
        </w:trPr>
        <w:tc>
          <w:tcPr>
            <w:tcW w:w="1701" w:type="dxa"/>
            <w:vAlign w:val="center"/>
            <w:hideMark/>
          </w:tcPr>
          <w:p w14:paraId="42D274B3" w14:textId="77777777" w:rsidR="00097BB2" w:rsidRPr="00097BB2" w:rsidRDefault="00097BB2" w:rsidP="00097BB2">
            <w:pPr>
              <w:pStyle w:val="Body"/>
              <w:spacing w:after="0"/>
              <w:rPr>
                <w:rFonts w:ascii="Arial" w:hAnsi="Arial" w:cs="Arial"/>
              </w:rPr>
            </w:pPr>
            <w:r w:rsidRPr="00097BB2">
              <w:rPr>
                <w:rFonts w:ascii="Arial" w:hAnsi="Arial" w:cs="Arial"/>
              </w:rPr>
              <w:t>MP_PVC</w:t>
            </w:r>
          </w:p>
        </w:tc>
        <w:tc>
          <w:tcPr>
            <w:tcW w:w="1124" w:type="dxa"/>
            <w:vAlign w:val="center"/>
            <w:hideMark/>
          </w:tcPr>
          <w:p w14:paraId="1ED3CB2D" w14:textId="77777777" w:rsidR="00097BB2" w:rsidRPr="00097BB2" w:rsidRDefault="00097BB2" w:rsidP="00097BB2">
            <w:pPr>
              <w:pStyle w:val="Body"/>
              <w:spacing w:after="0"/>
              <w:rPr>
                <w:rFonts w:ascii="Arial" w:hAnsi="Arial" w:cs="Arial"/>
              </w:rPr>
            </w:pPr>
            <w:r w:rsidRPr="00097BB2">
              <w:rPr>
                <w:rFonts w:ascii="Arial" w:hAnsi="Arial" w:cs="Arial"/>
              </w:rPr>
              <w:t>0.86</w:t>
            </w:r>
          </w:p>
        </w:tc>
        <w:tc>
          <w:tcPr>
            <w:tcW w:w="1118" w:type="dxa"/>
            <w:vAlign w:val="center"/>
            <w:hideMark/>
          </w:tcPr>
          <w:p w14:paraId="3E263026" w14:textId="77777777" w:rsidR="00097BB2" w:rsidRPr="00097BB2" w:rsidRDefault="00097BB2" w:rsidP="00097BB2">
            <w:pPr>
              <w:pStyle w:val="Body"/>
              <w:spacing w:after="0"/>
              <w:rPr>
                <w:rFonts w:ascii="Arial" w:hAnsi="Arial" w:cs="Arial"/>
              </w:rPr>
            </w:pPr>
            <w:r w:rsidRPr="00097BB2">
              <w:rPr>
                <w:rFonts w:ascii="Arial" w:hAnsi="Arial" w:cs="Arial"/>
              </w:rPr>
              <w:t>0.28</w:t>
            </w:r>
          </w:p>
        </w:tc>
      </w:tr>
      <w:tr w:rsidR="00097BB2" w:rsidRPr="00097BB2" w14:paraId="2966A20F" w14:textId="77777777" w:rsidTr="00D34D96">
        <w:trPr>
          <w:tblCellSpacing w:w="15" w:type="dxa"/>
        </w:trPr>
        <w:tc>
          <w:tcPr>
            <w:tcW w:w="1701" w:type="dxa"/>
            <w:vAlign w:val="center"/>
            <w:hideMark/>
          </w:tcPr>
          <w:p w14:paraId="7FCFF086" w14:textId="77777777" w:rsidR="00097BB2" w:rsidRPr="00097BB2" w:rsidRDefault="00097BB2" w:rsidP="00097BB2">
            <w:pPr>
              <w:pStyle w:val="Body"/>
              <w:spacing w:after="0"/>
              <w:rPr>
                <w:rFonts w:ascii="Arial" w:hAnsi="Arial" w:cs="Arial"/>
              </w:rPr>
            </w:pPr>
            <w:r w:rsidRPr="00097BB2">
              <w:rPr>
                <w:rFonts w:ascii="Arial" w:hAnsi="Arial" w:cs="Arial"/>
              </w:rPr>
              <w:t>MP_PET</w:t>
            </w:r>
          </w:p>
        </w:tc>
        <w:tc>
          <w:tcPr>
            <w:tcW w:w="1124" w:type="dxa"/>
            <w:vAlign w:val="center"/>
            <w:hideMark/>
          </w:tcPr>
          <w:p w14:paraId="674B35E5" w14:textId="77777777" w:rsidR="00097BB2" w:rsidRPr="00097BB2" w:rsidRDefault="00097BB2" w:rsidP="00097BB2">
            <w:pPr>
              <w:pStyle w:val="Body"/>
              <w:spacing w:after="0"/>
              <w:rPr>
                <w:rFonts w:ascii="Arial" w:hAnsi="Arial" w:cs="Arial"/>
              </w:rPr>
            </w:pPr>
            <w:r w:rsidRPr="00097BB2">
              <w:rPr>
                <w:rFonts w:ascii="Arial" w:hAnsi="Arial" w:cs="Arial"/>
              </w:rPr>
              <w:t>0.79</w:t>
            </w:r>
          </w:p>
        </w:tc>
        <w:tc>
          <w:tcPr>
            <w:tcW w:w="1118" w:type="dxa"/>
            <w:vAlign w:val="center"/>
            <w:hideMark/>
          </w:tcPr>
          <w:p w14:paraId="4B5F7DB7" w14:textId="77777777" w:rsidR="00097BB2" w:rsidRPr="00097BB2" w:rsidRDefault="00097BB2" w:rsidP="00097BB2">
            <w:pPr>
              <w:pStyle w:val="Body"/>
              <w:spacing w:after="0"/>
              <w:rPr>
                <w:rFonts w:ascii="Arial" w:hAnsi="Arial" w:cs="Arial"/>
              </w:rPr>
            </w:pPr>
            <w:r w:rsidRPr="00097BB2">
              <w:rPr>
                <w:rFonts w:ascii="Arial" w:hAnsi="Arial" w:cs="Arial"/>
              </w:rPr>
              <w:t>0.22</w:t>
            </w:r>
          </w:p>
        </w:tc>
      </w:tr>
      <w:tr w:rsidR="00097BB2" w:rsidRPr="00097BB2" w14:paraId="6BBE8654" w14:textId="77777777" w:rsidTr="00D34D96">
        <w:trPr>
          <w:tblCellSpacing w:w="15" w:type="dxa"/>
        </w:trPr>
        <w:tc>
          <w:tcPr>
            <w:tcW w:w="1701" w:type="dxa"/>
            <w:vAlign w:val="center"/>
            <w:hideMark/>
          </w:tcPr>
          <w:p w14:paraId="6163E55A" w14:textId="77777777" w:rsidR="00097BB2" w:rsidRPr="00097BB2" w:rsidRDefault="00097BB2" w:rsidP="00097BB2">
            <w:pPr>
              <w:pStyle w:val="Body"/>
              <w:spacing w:after="0"/>
              <w:rPr>
                <w:rFonts w:ascii="Arial" w:hAnsi="Arial" w:cs="Arial"/>
              </w:rPr>
            </w:pPr>
            <w:r w:rsidRPr="00097BB2">
              <w:rPr>
                <w:rFonts w:ascii="Arial" w:hAnsi="Arial" w:cs="Arial"/>
              </w:rPr>
              <w:t>TDS</w:t>
            </w:r>
          </w:p>
        </w:tc>
        <w:tc>
          <w:tcPr>
            <w:tcW w:w="1124" w:type="dxa"/>
            <w:vAlign w:val="center"/>
            <w:hideMark/>
          </w:tcPr>
          <w:p w14:paraId="5062879C" w14:textId="77777777" w:rsidR="00097BB2" w:rsidRPr="00097BB2" w:rsidRDefault="00097BB2" w:rsidP="00097BB2">
            <w:pPr>
              <w:pStyle w:val="Body"/>
              <w:spacing w:after="0"/>
              <w:rPr>
                <w:rFonts w:ascii="Arial" w:hAnsi="Arial" w:cs="Arial"/>
              </w:rPr>
            </w:pPr>
            <w:r w:rsidRPr="00097BB2">
              <w:rPr>
                <w:rFonts w:ascii="Arial" w:hAnsi="Arial" w:cs="Arial"/>
              </w:rPr>
              <w:t>0.84</w:t>
            </w:r>
          </w:p>
        </w:tc>
        <w:tc>
          <w:tcPr>
            <w:tcW w:w="1118" w:type="dxa"/>
            <w:vAlign w:val="center"/>
            <w:hideMark/>
          </w:tcPr>
          <w:p w14:paraId="6EF9444F" w14:textId="77777777" w:rsidR="00097BB2" w:rsidRPr="00097BB2" w:rsidRDefault="00097BB2" w:rsidP="00097BB2">
            <w:pPr>
              <w:pStyle w:val="Body"/>
              <w:spacing w:after="0"/>
              <w:rPr>
                <w:rFonts w:ascii="Arial" w:hAnsi="Arial" w:cs="Arial"/>
              </w:rPr>
            </w:pPr>
            <w:r w:rsidRPr="00097BB2">
              <w:rPr>
                <w:rFonts w:ascii="Arial" w:hAnsi="Arial" w:cs="Arial"/>
              </w:rPr>
              <w:t>0.40</w:t>
            </w:r>
          </w:p>
        </w:tc>
      </w:tr>
      <w:tr w:rsidR="00097BB2" w:rsidRPr="00097BB2" w14:paraId="19B25F3A" w14:textId="77777777" w:rsidTr="00D34D96">
        <w:trPr>
          <w:tblCellSpacing w:w="15" w:type="dxa"/>
        </w:trPr>
        <w:tc>
          <w:tcPr>
            <w:tcW w:w="1701" w:type="dxa"/>
            <w:vAlign w:val="center"/>
            <w:hideMark/>
          </w:tcPr>
          <w:p w14:paraId="073439A2" w14:textId="77777777" w:rsidR="00097BB2" w:rsidRPr="00097BB2" w:rsidRDefault="00097BB2" w:rsidP="00097BB2">
            <w:pPr>
              <w:pStyle w:val="Body"/>
              <w:spacing w:after="0"/>
              <w:rPr>
                <w:rFonts w:ascii="Arial" w:hAnsi="Arial" w:cs="Arial"/>
              </w:rPr>
            </w:pPr>
            <w:r w:rsidRPr="00097BB2">
              <w:rPr>
                <w:rFonts w:ascii="Arial" w:hAnsi="Arial" w:cs="Arial"/>
              </w:rPr>
              <w:t>EC</w:t>
            </w:r>
          </w:p>
        </w:tc>
        <w:tc>
          <w:tcPr>
            <w:tcW w:w="1124" w:type="dxa"/>
            <w:vAlign w:val="center"/>
            <w:hideMark/>
          </w:tcPr>
          <w:p w14:paraId="7993ABBA" w14:textId="77777777" w:rsidR="00097BB2" w:rsidRPr="00097BB2" w:rsidRDefault="00097BB2" w:rsidP="00097BB2">
            <w:pPr>
              <w:pStyle w:val="Body"/>
              <w:spacing w:after="0"/>
              <w:rPr>
                <w:rFonts w:ascii="Arial" w:hAnsi="Arial" w:cs="Arial"/>
              </w:rPr>
            </w:pPr>
            <w:r w:rsidRPr="00097BB2">
              <w:rPr>
                <w:rFonts w:ascii="Arial" w:hAnsi="Arial" w:cs="Arial"/>
              </w:rPr>
              <w:t>0.80</w:t>
            </w:r>
          </w:p>
        </w:tc>
        <w:tc>
          <w:tcPr>
            <w:tcW w:w="1118" w:type="dxa"/>
            <w:vAlign w:val="center"/>
            <w:hideMark/>
          </w:tcPr>
          <w:p w14:paraId="31300165" w14:textId="77777777" w:rsidR="00097BB2" w:rsidRPr="00097BB2" w:rsidRDefault="00097BB2" w:rsidP="00097BB2">
            <w:pPr>
              <w:pStyle w:val="Body"/>
              <w:spacing w:after="0"/>
              <w:rPr>
                <w:rFonts w:ascii="Arial" w:hAnsi="Arial" w:cs="Arial"/>
              </w:rPr>
            </w:pPr>
            <w:r w:rsidRPr="00097BB2">
              <w:rPr>
                <w:rFonts w:ascii="Arial" w:hAnsi="Arial" w:cs="Arial"/>
              </w:rPr>
              <w:t>0.50</w:t>
            </w:r>
          </w:p>
        </w:tc>
      </w:tr>
      <w:tr w:rsidR="00097BB2" w:rsidRPr="00097BB2" w14:paraId="09B7EEA6" w14:textId="77777777" w:rsidTr="00D34D96">
        <w:trPr>
          <w:tblCellSpacing w:w="15" w:type="dxa"/>
        </w:trPr>
        <w:tc>
          <w:tcPr>
            <w:tcW w:w="1701" w:type="dxa"/>
            <w:vAlign w:val="center"/>
            <w:hideMark/>
          </w:tcPr>
          <w:p w14:paraId="6AFBFE3F" w14:textId="77777777" w:rsidR="00097BB2" w:rsidRPr="00097BB2" w:rsidRDefault="00097BB2" w:rsidP="00097BB2">
            <w:pPr>
              <w:pStyle w:val="Body"/>
              <w:spacing w:after="0"/>
              <w:rPr>
                <w:rFonts w:ascii="Arial" w:hAnsi="Arial" w:cs="Arial"/>
              </w:rPr>
            </w:pPr>
            <w:r w:rsidRPr="00097BB2">
              <w:rPr>
                <w:rFonts w:ascii="Arial" w:hAnsi="Arial" w:cs="Arial"/>
              </w:rPr>
              <w:t>NO</w:t>
            </w:r>
            <w:r w:rsidRPr="00097BB2">
              <w:rPr>
                <w:rFonts w:ascii="Cambria Math" w:hAnsi="Cambria Math" w:cs="Cambria Math"/>
              </w:rPr>
              <w:t>₃⁻</w:t>
            </w:r>
          </w:p>
        </w:tc>
        <w:tc>
          <w:tcPr>
            <w:tcW w:w="1124" w:type="dxa"/>
            <w:vAlign w:val="center"/>
            <w:hideMark/>
          </w:tcPr>
          <w:p w14:paraId="6055B058" w14:textId="77777777" w:rsidR="00097BB2" w:rsidRPr="00097BB2" w:rsidRDefault="00097BB2" w:rsidP="00097BB2">
            <w:pPr>
              <w:pStyle w:val="Body"/>
              <w:spacing w:after="0"/>
              <w:rPr>
                <w:rFonts w:ascii="Arial" w:hAnsi="Arial" w:cs="Arial"/>
              </w:rPr>
            </w:pPr>
            <w:r w:rsidRPr="00097BB2">
              <w:rPr>
                <w:rFonts w:ascii="Arial" w:hAnsi="Arial" w:cs="Arial"/>
              </w:rPr>
              <w:t>0.63</w:t>
            </w:r>
          </w:p>
        </w:tc>
        <w:tc>
          <w:tcPr>
            <w:tcW w:w="1118" w:type="dxa"/>
            <w:vAlign w:val="center"/>
            <w:hideMark/>
          </w:tcPr>
          <w:p w14:paraId="525B0ABE" w14:textId="77777777" w:rsidR="00097BB2" w:rsidRPr="00097BB2" w:rsidRDefault="00097BB2" w:rsidP="00097BB2">
            <w:pPr>
              <w:pStyle w:val="Body"/>
              <w:spacing w:after="0"/>
              <w:rPr>
                <w:rFonts w:ascii="Arial" w:hAnsi="Arial" w:cs="Arial"/>
              </w:rPr>
            </w:pPr>
            <w:r w:rsidRPr="00097BB2">
              <w:rPr>
                <w:rFonts w:ascii="Arial" w:hAnsi="Arial" w:cs="Arial"/>
              </w:rPr>
              <w:t>0.71</w:t>
            </w:r>
          </w:p>
        </w:tc>
      </w:tr>
      <w:tr w:rsidR="00097BB2" w:rsidRPr="00097BB2" w14:paraId="2F080E3D" w14:textId="77777777" w:rsidTr="00D34D96">
        <w:trPr>
          <w:tblCellSpacing w:w="15" w:type="dxa"/>
        </w:trPr>
        <w:tc>
          <w:tcPr>
            <w:tcW w:w="1701" w:type="dxa"/>
            <w:vAlign w:val="center"/>
            <w:hideMark/>
          </w:tcPr>
          <w:p w14:paraId="704AFEB0" w14:textId="77777777" w:rsidR="00097BB2" w:rsidRPr="00097BB2" w:rsidRDefault="00097BB2" w:rsidP="00097BB2">
            <w:pPr>
              <w:pStyle w:val="Body"/>
              <w:spacing w:after="0"/>
              <w:rPr>
                <w:rFonts w:ascii="Arial" w:hAnsi="Arial" w:cs="Arial"/>
              </w:rPr>
            </w:pPr>
            <w:r w:rsidRPr="00097BB2">
              <w:rPr>
                <w:rFonts w:ascii="Arial" w:hAnsi="Arial" w:cs="Arial"/>
              </w:rPr>
              <w:t>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p>
        </w:tc>
        <w:tc>
          <w:tcPr>
            <w:tcW w:w="1124" w:type="dxa"/>
            <w:vAlign w:val="center"/>
            <w:hideMark/>
          </w:tcPr>
          <w:p w14:paraId="0819A279" w14:textId="77777777" w:rsidR="00097BB2" w:rsidRPr="00097BB2" w:rsidRDefault="00097BB2" w:rsidP="00097BB2">
            <w:pPr>
              <w:pStyle w:val="Body"/>
              <w:spacing w:after="0"/>
              <w:rPr>
                <w:rFonts w:ascii="Arial" w:hAnsi="Arial" w:cs="Arial"/>
              </w:rPr>
            </w:pPr>
            <w:r w:rsidRPr="00097BB2">
              <w:rPr>
                <w:rFonts w:ascii="Arial" w:hAnsi="Arial" w:cs="Arial"/>
              </w:rPr>
              <w:t>0.60</w:t>
            </w:r>
          </w:p>
        </w:tc>
        <w:tc>
          <w:tcPr>
            <w:tcW w:w="1118" w:type="dxa"/>
            <w:vAlign w:val="center"/>
            <w:hideMark/>
          </w:tcPr>
          <w:p w14:paraId="5A7AAB3C" w14:textId="77777777" w:rsidR="00097BB2" w:rsidRPr="00097BB2" w:rsidRDefault="00097BB2" w:rsidP="00097BB2">
            <w:pPr>
              <w:pStyle w:val="Body"/>
              <w:spacing w:after="0"/>
              <w:rPr>
                <w:rFonts w:ascii="Arial" w:hAnsi="Arial" w:cs="Arial"/>
              </w:rPr>
            </w:pPr>
            <w:r w:rsidRPr="00097BB2">
              <w:rPr>
                <w:rFonts w:ascii="Arial" w:hAnsi="Arial" w:cs="Arial"/>
              </w:rPr>
              <w:t>0.74</w:t>
            </w:r>
          </w:p>
        </w:tc>
      </w:tr>
      <w:tr w:rsidR="00097BB2" w:rsidRPr="00097BB2" w14:paraId="4FD94001" w14:textId="77777777" w:rsidTr="00D34D96">
        <w:trPr>
          <w:tblCellSpacing w:w="15" w:type="dxa"/>
        </w:trPr>
        <w:tc>
          <w:tcPr>
            <w:tcW w:w="1701" w:type="dxa"/>
            <w:vAlign w:val="center"/>
            <w:hideMark/>
          </w:tcPr>
          <w:p w14:paraId="63171426" w14:textId="77777777" w:rsidR="00097BB2" w:rsidRPr="00097BB2" w:rsidRDefault="00097BB2" w:rsidP="00097BB2">
            <w:pPr>
              <w:pStyle w:val="Body"/>
              <w:spacing w:after="0"/>
              <w:rPr>
                <w:rFonts w:ascii="Arial" w:hAnsi="Arial" w:cs="Arial"/>
              </w:rPr>
            </w:pPr>
            <w:r w:rsidRPr="00097BB2">
              <w:rPr>
                <w:rFonts w:ascii="Arial" w:hAnsi="Arial" w:cs="Arial"/>
              </w:rPr>
              <w:t>Temperature</w:t>
            </w:r>
          </w:p>
        </w:tc>
        <w:tc>
          <w:tcPr>
            <w:tcW w:w="1124" w:type="dxa"/>
            <w:vAlign w:val="center"/>
            <w:hideMark/>
          </w:tcPr>
          <w:p w14:paraId="076CD56B" w14:textId="77777777" w:rsidR="00097BB2" w:rsidRPr="00097BB2" w:rsidRDefault="00097BB2" w:rsidP="00097BB2">
            <w:pPr>
              <w:pStyle w:val="Body"/>
              <w:spacing w:after="0"/>
              <w:rPr>
                <w:rFonts w:ascii="Arial" w:hAnsi="Arial" w:cs="Arial"/>
              </w:rPr>
            </w:pPr>
            <w:r w:rsidRPr="00097BB2">
              <w:rPr>
                <w:rFonts w:ascii="Arial" w:hAnsi="Arial" w:cs="Arial"/>
              </w:rPr>
              <w:t>0.20</w:t>
            </w:r>
          </w:p>
        </w:tc>
        <w:tc>
          <w:tcPr>
            <w:tcW w:w="1118" w:type="dxa"/>
            <w:vAlign w:val="center"/>
            <w:hideMark/>
          </w:tcPr>
          <w:p w14:paraId="754414A7" w14:textId="77777777" w:rsidR="00097BB2" w:rsidRPr="00097BB2" w:rsidRDefault="00097BB2" w:rsidP="00097BB2">
            <w:pPr>
              <w:pStyle w:val="Body"/>
              <w:spacing w:after="0"/>
              <w:rPr>
                <w:rFonts w:ascii="Arial" w:hAnsi="Arial" w:cs="Arial"/>
              </w:rPr>
            </w:pPr>
            <w:r w:rsidRPr="00097BB2">
              <w:rPr>
                <w:rFonts w:ascii="Arial" w:hAnsi="Arial" w:cs="Arial"/>
              </w:rPr>
              <w:t>0.82</w:t>
            </w:r>
          </w:p>
        </w:tc>
      </w:tr>
      <w:tr w:rsidR="00097BB2" w:rsidRPr="00097BB2" w14:paraId="36B8CBA9" w14:textId="77777777" w:rsidTr="00D34D96">
        <w:trPr>
          <w:tblCellSpacing w:w="15" w:type="dxa"/>
        </w:trPr>
        <w:tc>
          <w:tcPr>
            <w:tcW w:w="1701" w:type="dxa"/>
            <w:vAlign w:val="center"/>
            <w:hideMark/>
          </w:tcPr>
          <w:p w14:paraId="5C795196" w14:textId="77777777" w:rsidR="00097BB2" w:rsidRPr="00097BB2" w:rsidRDefault="00097BB2" w:rsidP="00097BB2">
            <w:pPr>
              <w:pStyle w:val="Body"/>
              <w:spacing w:after="0"/>
              <w:rPr>
                <w:rFonts w:ascii="Arial" w:hAnsi="Arial" w:cs="Arial"/>
              </w:rPr>
            </w:pPr>
            <w:r w:rsidRPr="00097BB2">
              <w:rPr>
                <w:rFonts w:ascii="Arial" w:hAnsi="Arial" w:cs="Arial"/>
              </w:rPr>
              <w:t>pH</w:t>
            </w:r>
          </w:p>
        </w:tc>
        <w:tc>
          <w:tcPr>
            <w:tcW w:w="1124" w:type="dxa"/>
            <w:vAlign w:val="center"/>
            <w:hideMark/>
          </w:tcPr>
          <w:p w14:paraId="353BBE8F" w14:textId="77777777" w:rsidR="00097BB2" w:rsidRPr="00097BB2" w:rsidRDefault="00097BB2" w:rsidP="00097BB2">
            <w:pPr>
              <w:pStyle w:val="Body"/>
              <w:spacing w:after="0"/>
              <w:rPr>
                <w:rFonts w:ascii="Arial" w:hAnsi="Arial" w:cs="Arial"/>
              </w:rPr>
            </w:pPr>
            <w:r w:rsidRPr="00097BB2">
              <w:rPr>
                <w:rFonts w:ascii="Arial" w:hAnsi="Arial" w:cs="Arial"/>
              </w:rPr>
              <w:t>-0.12</w:t>
            </w:r>
          </w:p>
        </w:tc>
        <w:tc>
          <w:tcPr>
            <w:tcW w:w="1118" w:type="dxa"/>
            <w:vAlign w:val="center"/>
            <w:hideMark/>
          </w:tcPr>
          <w:p w14:paraId="500A5056" w14:textId="77777777" w:rsidR="00097BB2" w:rsidRPr="00097BB2" w:rsidRDefault="00097BB2" w:rsidP="00097BB2">
            <w:pPr>
              <w:pStyle w:val="Body"/>
              <w:spacing w:after="0"/>
              <w:rPr>
                <w:rFonts w:ascii="Arial" w:hAnsi="Arial" w:cs="Arial"/>
              </w:rPr>
            </w:pPr>
            <w:r w:rsidRPr="00097BB2">
              <w:rPr>
                <w:rFonts w:ascii="Arial" w:hAnsi="Arial" w:cs="Arial"/>
              </w:rPr>
              <w:t>0.78</w:t>
            </w:r>
          </w:p>
        </w:tc>
      </w:tr>
    </w:tbl>
    <w:p w14:paraId="6A69D2C1" w14:textId="77777777" w:rsidR="00097BB2" w:rsidRDefault="00097BB2" w:rsidP="00097BB2">
      <w:pPr>
        <w:pStyle w:val="Body"/>
        <w:spacing w:after="0"/>
        <w:rPr>
          <w:rFonts w:ascii="Arial" w:hAnsi="Arial" w:cs="Arial"/>
        </w:rPr>
      </w:pPr>
    </w:p>
    <w:p w14:paraId="78C73770" w14:textId="77777777" w:rsidR="00097BB2" w:rsidRPr="00097BB2" w:rsidRDefault="00097BB2" w:rsidP="00097BB2">
      <w:pPr>
        <w:pStyle w:val="Body"/>
        <w:spacing w:after="0"/>
        <w:rPr>
          <w:rFonts w:ascii="Arial" w:hAnsi="Arial" w:cs="Arial"/>
        </w:rPr>
      </w:pPr>
    </w:p>
    <w:p w14:paraId="0DA6B129" w14:textId="77777777" w:rsidR="00097BB2" w:rsidRPr="00097BB2" w:rsidRDefault="00097BB2" w:rsidP="00097BB2">
      <w:pPr>
        <w:pStyle w:val="Body"/>
        <w:spacing w:after="0"/>
        <w:rPr>
          <w:rFonts w:ascii="Arial" w:hAnsi="Arial" w:cs="Arial"/>
        </w:rPr>
      </w:pPr>
      <w:r w:rsidRPr="00097BB2">
        <w:rPr>
          <w:rFonts w:ascii="Arial" w:hAnsi="Arial" w:cs="Arial"/>
          <w:b/>
        </w:rPr>
        <w:t xml:space="preserve">Table 5: </w:t>
      </w:r>
      <w:r w:rsidRPr="00097BB2">
        <w:rPr>
          <w:rFonts w:ascii="Arial" w:hAnsi="Arial" w:cs="Arial"/>
        </w:rPr>
        <w:t>CCA Station’s Scores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179"/>
        <w:gridCol w:w="1134"/>
        <w:gridCol w:w="620"/>
      </w:tblGrid>
      <w:tr w:rsidR="00097BB2" w:rsidRPr="00097BB2" w14:paraId="3704F5CB" w14:textId="77777777" w:rsidTr="00D34D96">
        <w:trPr>
          <w:tblHeader/>
          <w:tblCellSpacing w:w="15" w:type="dxa"/>
        </w:trPr>
        <w:tc>
          <w:tcPr>
            <w:tcW w:w="1134" w:type="dxa"/>
            <w:tcBorders>
              <w:top w:val="single" w:sz="4" w:space="0" w:color="auto"/>
              <w:bottom w:val="single" w:sz="4" w:space="0" w:color="auto"/>
            </w:tcBorders>
            <w:vAlign w:val="center"/>
            <w:hideMark/>
          </w:tcPr>
          <w:p w14:paraId="4EE733E8" w14:textId="77777777" w:rsidR="00097BB2" w:rsidRPr="00097BB2" w:rsidRDefault="00097BB2" w:rsidP="00097BB2">
            <w:pPr>
              <w:pStyle w:val="Body"/>
              <w:spacing w:after="0"/>
              <w:rPr>
                <w:rFonts w:ascii="Arial" w:hAnsi="Arial" w:cs="Arial"/>
                <w:b/>
                <w:bCs/>
              </w:rPr>
            </w:pPr>
            <w:r w:rsidRPr="00097BB2">
              <w:rPr>
                <w:rFonts w:ascii="Arial" w:hAnsi="Arial" w:cs="Arial"/>
                <w:b/>
                <w:bCs/>
              </w:rPr>
              <w:t>Stations</w:t>
            </w:r>
          </w:p>
        </w:tc>
        <w:tc>
          <w:tcPr>
            <w:tcW w:w="1104" w:type="dxa"/>
            <w:tcBorders>
              <w:top w:val="single" w:sz="4" w:space="0" w:color="auto"/>
              <w:bottom w:val="single" w:sz="4" w:space="0" w:color="auto"/>
            </w:tcBorders>
            <w:vAlign w:val="center"/>
            <w:hideMark/>
          </w:tcPr>
          <w:p w14:paraId="16BF2619" w14:textId="77777777" w:rsidR="00097BB2" w:rsidRPr="00097BB2" w:rsidRDefault="00097BB2" w:rsidP="00097BB2">
            <w:pPr>
              <w:pStyle w:val="Body"/>
              <w:spacing w:after="0"/>
              <w:rPr>
                <w:rFonts w:ascii="Arial" w:hAnsi="Arial" w:cs="Arial"/>
                <w:b/>
                <w:bCs/>
              </w:rPr>
            </w:pPr>
            <w:r w:rsidRPr="00097BB2">
              <w:rPr>
                <w:rFonts w:ascii="Arial" w:hAnsi="Arial" w:cs="Arial"/>
                <w:b/>
                <w:bCs/>
              </w:rPr>
              <w:t>CCA1</w:t>
            </w:r>
          </w:p>
        </w:tc>
        <w:tc>
          <w:tcPr>
            <w:tcW w:w="0" w:type="auto"/>
            <w:tcBorders>
              <w:top w:val="single" w:sz="4" w:space="0" w:color="auto"/>
              <w:bottom w:val="single" w:sz="4" w:space="0" w:color="auto"/>
            </w:tcBorders>
            <w:vAlign w:val="center"/>
            <w:hideMark/>
          </w:tcPr>
          <w:p w14:paraId="3E254641" w14:textId="77777777" w:rsidR="00097BB2" w:rsidRPr="00097BB2" w:rsidRDefault="00097BB2" w:rsidP="00097BB2">
            <w:pPr>
              <w:pStyle w:val="Body"/>
              <w:spacing w:after="0"/>
              <w:rPr>
                <w:rFonts w:ascii="Arial" w:hAnsi="Arial" w:cs="Arial"/>
                <w:b/>
                <w:bCs/>
              </w:rPr>
            </w:pPr>
            <w:r w:rsidRPr="00097BB2">
              <w:rPr>
                <w:rFonts w:ascii="Arial" w:hAnsi="Arial" w:cs="Arial"/>
                <w:b/>
                <w:bCs/>
              </w:rPr>
              <w:t>CCA2</w:t>
            </w:r>
          </w:p>
        </w:tc>
      </w:tr>
      <w:tr w:rsidR="00097BB2" w:rsidRPr="00097BB2" w14:paraId="6FCF9A47" w14:textId="77777777" w:rsidTr="00D34D96">
        <w:trPr>
          <w:tblCellSpacing w:w="15" w:type="dxa"/>
        </w:trPr>
        <w:tc>
          <w:tcPr>
            <w:tcW w:w="1134" w:type="dxa"/>
            <w:vAlign w:val="center"/>
            <w:hideMark/>
          </w:tcPr>
          <w:p w14:paraId="54563FD7" w14:textId="77777777" w:rsidR="00097BB2" w:rsidRPr="00097BB2" w:rsidRDefault="00097BB2" w:rsidP="00097BB2">
            <w:pPr>
              <w:pStyle w:val="Body"/>
              <w:spacing w:after="0"/>
              <w:rPr>
                <w:rFonts w:ascii="Arial" w:hAnsi="Arial" w:cs="Arial"/>
              </w:rPr>
            </w:pPr>
            <w:r w:rsidRPr="00097BB2">
              <w:rPr>
                <w:rFonts w:ascii="Arial" w:hAnsi="Arial" w:cs="Arial"/>
              </w:rPr>
              <w:t>A</w:t>
            </w:r>
          </w:p>
        </w:tc>
        <w:tc>
          <w:tcPr>
            <w:tcW w:w="1104" w:type="dxa"/>
            <w:vAlign w:val="center"/>
            <w:hideMark/>
          </w:tcPr>
          <w:p w14:paraId="0BDC05CF" w14:textId="77777777" w:rsidR="00097BB2" w:rsidRPr="00097BB2" w:rsidRDefault="00097BB2" w:rsidP="00097BB2">
            <w:pPr>
              <w:pStyle w:val="Body"/>
              <w:spacing w:after="0"/>
              <w:rPr>
                <w:rFonts w:ascii="Arial" w:hAnsi="Arial" w:cs="Arial"/>
              </w:rPr>
            </w:pPr>
            <w:r w:rsidRPr="00097BB2">
              <w:rPr>
                <w:rFonts w:ascii="Arial" w:hAnsi="Arial" w:cs="Arial"/>
              </w:rPr>
              <w:t>-1.95</w:t>
            </w:r>
          </w:p>
        </w:tc>
        <w:tc>
          <w:tcPr>
            <w:tcW w:w="0" w:type="auto"/>
            <w:vAlign w:val="center"/>
            <w:hideMark/>
          </w:tcPr>
          <w:p w14:paraId="12D77C7E" w14:textId="77777777" w:rsidR="00097BB2" w:rsidRPr="00097BB2" w:rsidRDefault="00097BB2" w:rsidP="00097BB2">
            <w:pPr>
              <w:pStyle w:val="Body"/>
              <w:spacing w:after="0"/>
              <w:rPr>
                <w:rFonts w:ascii="Arial" w:hAnsi="Arial" w:cs="Arial"/>
              </w:rPr>
            </w:pPr>
            <w:r w:rsidRPr="00097BB2">
              <w:rPr>
                <w:rFonts w:ascii="Arial" w:hAnsi="Arial" w:cs="Arial"/>
              </w:rPr>
              <w:t>0.55</w:t>
            </w:r>
          </w:p>
        </w:tc>
      </w:tr>
      <w:tr w:rsidR="00097BB2" w:rsidRPr="00097BB2" w14:paraId="408FE086" w14:textId="77777777" w:rsidTr="00D34D96">
        <w:trPr>
          <w:tblCellSpacing w:w="15" w:type="dxa"/>
        </w:trPr>
        <w:tc>
          <w:tcPr>
            <w:tcW w:w="1134" w:type="dxa"/>
            <w:vAlign w:val="center"/>
            <w:hideMark/>
          </w:tcPr>
          <w:p w14:paraId="0A5E91F4" w14:textId="77777777" w:rsidR="00097BB2" w:rsidRPr="00097BB2" w:rsidRDefault="00097BB2" w:rsidP="00097BB2">
            <w:pPr>
              <w:pStyle w:val="Body"/>
              <w:spacing w:after="0"/>
              <w:rPr>
                <w:rFonts w:ascii="Arial" w:hAnsi="Arial" w:cs="Arial"/>
              </w:rPr>
            </w:pPr>
            <w:r w:rsidRPr="00097BB2">
              <w:rPr>
                <w:rFonts w:ascii="Arial" w:hAnsi="Arial" w:cs="Arial"/>
              </w:rPr>
              <w:t>B</w:t>
            </w:r>
          </w:p>
        </w:tc>
        <w:tc>
          <w:tcPr>
            <w:tcW w:w="1104" w:type="dxa"/>
            <w:vAlign w:val="center"/>
            <w:hideMark/>
          </w:tcPr>
          <w:p w14:paraId="6911F05D" w14:textId="77777777" w:rsidR="00097BB2" w:rsidRPr="00097BB2" w:rsidRDefault="00097BB2" w:rsidP="00097BB2">
            <w:pPr>
              <w:pStyle w:val="Body"/>
              <w:spacing w:after="0"/>
              <w:rPr>
                <w:rFonts w:ascii="Arial" w:hAnsi="Arial" w:cs="Arial"/>
              </w:rPr>
            </w:pPr>
            <w:r w:rsidRPr="00097BB2">
              <w:rPr>
                <w:rFonts w:ascii="Arial" w:hAnsi="Arial" w:cs="Arial"/>
              </w:rPr>
              <w:t>-1.60</w:t>
            </w:r>
          </w:p>
        </w:tc>
        <w:tc>
          <w:tcPr>
            <w:tcW w:w="0" w:type="auto"/>
            <w:vAlign w:val="center"/>
            <w:hideMark/>
          </w:tcPr>
          <w:p w14:paraId="703F1EDC" w14:textId="77777777" w:rsidR="00097BB2" w:rsidRPr="00097BB2" w:rsidRDefault="00097BB2" w:rsidP="00097BB2">
            <w:pPr>
              <w:pStyle w:val="Body"/>
              <w:spacing w:after="0"/>
              <w:rPr>
                <w:rFonts w:ascii="Arial" w:hAnsi="Arial" w:cs="Arial"/>
              </w:rPr>
            </w:pPr>
            <w:r w:rsidRPr="00097BB2">
              <w:rPr>
                <w:rFonts w:ascii="Arial" w:hAnsi="Arial" w:cs="Arial"/>
              </w:rPr>
              <w:t>0.48</w:t>
            </w:r>
          </w:p>
        </w:tc>
      </w:tr>
      <w:tr w:rsidR="00097BB2" w:rsidRPr="00097BB2" w14:paraId="638EC2D5" w14:textId="77777777" w:rsidTr="00D34D96">
        <w:trPr>
          <w:tblCellSpacing w:w="15" w:type="dxa"/>
        </w:trPr>
        <w:tc>
          <w:tcPr>
            <w:tcW w:w="1134" w:type="dxa"/>
            <w:vAlign w:val="center"/>
            <w:hideMark/>
          </w:tcPr>
          <w:p w14:paraId="6AA53F3B" w14:textId="77777777" w:rsidR="00097BB2" w:rsidRPr="00097BB2" w:rsidRDefault="00097BB2" w:rsidP="00097BB2">
            <w:pPr>
              <w:pStyle w:val="Body"/>
              <w:spacing w:after="0"/>
              <w:rPr>
                <w:rFonts w:ascii="Arial" w:hAnsi="Arial" w:cs="Arial"/>
              </w:rPr>
            </w:pPr>
            <w:r w:rsidRPr="00097BB2">
              <w:rPr>
                <w:rFonts w:ascii="Arial" w:hAnsi="Arial" w:cs="Arial"/>
              </w:rPr>
              <w:t>C</w:t>
            </w:r>
          </w:p>
        </w:tc>
        <w:tc>
          <w:tcPr>
            <w:tcW w:w="1104" w:type="dxa"/>
            <w:vAlign w:val="center"/>
            <w:hideMark/>
          </w:tcPr>
          <w:p w14:paraId="6077B05E" w14:textId="77777777" w:rsidR="00097BB2" w:rsidRPr="00097BB2" w:rsidRDefault="00097BB2" w:rsidP="00097BB2">
            <w:pPr>
              <w:pStyle w:val="Body"/>
              <w:spacing w:after="0"/>
              <w:rPr>
                <w:rFonts w:ascii="Arial" w:hAnsi="Arial" w:cs="Arial"/>
              </w:rPr>
            </w:pPr>
            <w:r w:rsidRPr="00097BB2">
              <w:rPr>
                <w:rFonts w:ascii="Arial" w:hAnsi="Arial" w:cs="Arial"/>
              </w:rPr>
              <w:t>1.10</w:t>
            </w:r>
          </w:p>
        </w:tc>
        <w:tc>
          <w:tcPr>
            <w:tcW w:w="0" w:type="auto"/>
            <w:vAlign w:val="center"/>
            <w:hideMark/>
          </w:tcPr>
          <w:p w14:paraId="6AB6029A" w14:textId="77777777" w:rsidR="00097BB2" w:rsidRPr="00097BB2" w:rsidRDefault="00097BB2" w:rsidP="00097BB2">
            <w:pPr>
              <w:pStyle w:val="Body"/>
              <w:spacing w:after="0"/>
              <w:rPr>
                <w:rFonts w:ascii="Arial" w:hAnsi="Arial" w:cs="Arial"/>
              </w:rPr>
            </w:pPr>
            <w:r w:rsidRPr="00097BB2">
              <w:rPr>
                <w:rFonts w:ascii="Arial" w:hAnsi="Arial" w:cs="Arial"/>
              </w:rPr>
              <w:t>0.70</w:t>
            </w:r>
          </w:p>
        </w:tc>
      </w:tr>
      <w:tr w:rsidR="00097BB2" w:rsidRPr="00097BB2" w14:paraId="5BC29CD1" w14:textId="77777777" w:rsidTr="00D34D96">
        <w:trPr>
          <w:tblCellSpacing w:w="15" w:type="dxa"/>
        </w:trPr>
        <w:tc>
          <w:tcPr>
            <w:tcW w:w="1134" w:type="dxa"/>
            <w:vAlign w:val="center"/>
            <w:hideMark/>
          </w:tcPr>
          <w:p w14:paraId="76D54D00" w14:textId="77777777" w:rsidR="00097BB2" w:rsidRPr="00097BB2" w:rsidRDefault="00097BB2" w:rsidP="00097BB2">
            <w:pPr>
              <w:pStyle w:val="Body"/>
              <w:spacing w:after="0"/>
              <w:rPr>
                <w:rFonts w:ascii="Arial" w:hAnsi="Arial" w:cs="Arial"/>
              </w:rPr>
            </w:pPr>
            <w:r w:rsidRPr="00097BB2">
              <w:rPr>
                <w:rFonts w:ascii="Arial" w:hAnsi="Arial" w:cs="Arial"/>
              </w:rPr>
              <w:t>D</w:t>
            </w:r>
          </w:p>
        </w:tc>
        <w:tc>
          <w:tcPr>
            <w:tcW w:w="1104" w:type="dxa"/>
            <w:vAlign w:val="center"/>
            <w:hideMark/>
          </w:tcPr>
          <w:p w14:paraId="6FF80138" w14:textId="77777777" w:rsidR="00097BB2" w:rsidRPr="00097BB2" w:rsidRDefault="00097BB2" w:rsidP="00097BB2">
            <w:pPr>
              <w:pStyle w:val="Body"/>
              <w:spacing w:after="0"/>
              <w:rPr>
                <w:rFonts w:ascii="Arial" w:hAnsi="Arial" w:cs="Arial"/>
              </w:rPr>
            </w:pPr>
            <w:r w:rsidRPr="00097BB2">
              <w:rPr>
                <w:rFonts w:ascii="Arial" w:hAnsi="Arial" w:cs="Arial"/>
              </w:rPr>
              <w:t>1.75</w:t>
            </w:r>
          </w:p>
        </w:tc>
        <w:tc>
          <w:tcPr>
            <w:tcW w:w="0" w:type="auto"/>
            <w:vAlign w:val="center"/>
            <w:hideMark/>
          </w:tcPr>
          <w:p w14:paraId="1853A3E1" w14:textId="77777777" w:rsidR="00097BB2" w:rsidRPr="00097BB2" w:rsidRDefault="00097BB2" w:rsidP="00097BB2">
            <w:pPr>
              <w:pStyle w:val="Body"/>
              <w:spacing w:after="0"/>
              <w:rPr>
                <w:rFonts w:ascii="Arial" w:hAnsi="Arial" w:cs="Arial"/>
              </w:rPr>
            </w:pPr>
            <w:r w:rsidRPr="00097BB2">
              <w:rPr>
                <w:rFonts w:ascii="Arial" w:hAnsi="Arial" w:cs="Arial"/>
              </w:rPr>
              <w:t>-0.30</w:t>
            </w:r>
          </w:p>
        </w:tc>
      </w:tr>
      <w:tr w:rsidR="00097BB2" w:rsidRPr="00097BB2" w14:paraId="06A24C09" w14:textId="77777777" w:rsidTr="00D34D96">
        <w:trPr>
          <w:tblCellSpacing w:w="15" w:type="dxa"/>
        </w:trPr>
        <w:tc>
          <w:tcPr>
            <w:tcW w:w="1134" w:type="dxa"/>
            <w:vAlign w:val="center"/>
            <w:hideMark/>
          </w:tcPr>
          <w:p w14:paraId="5406F2F6" w14:textId="77777777" w:rsidR="00097BB2" w:rsidRPr="00097BB2" w:rsidRDefault="00097BB2" w:rsidP="00097BB2">
            <w:pPr>
              <w:pStyle w:val="Body"/>
              <w:spacing w:after="0"/>
              <w:rPr>
                <w:rFonts w:ascii="Arial" w:hAnsi="Arial" w:cs="Arial"/>
              </w:rPr>
            </w:pPr>
            <w:r w:rsidRPr="00097BB2">
              <w:rPr>
                <w:rFonts w:ascii="Arial" w:hAnsi="Arial" w:cs="Arial"/>
              </w:rPr>
              <w:t>E</w:t>
            </w:r>
          </w:p>
        </w:tc>
        <w:tc>
          <w:tcPr>
            <w:tcW w:w="1104" w:type="dxa"/>
            <w:vAlign w:val="center"/>
            <w:hideMark/>
          </w:tcPr>
          <w:p w14:paraId="29A3BCEE" w14:textId="77777777" w:rsidR="00097BB2" w:rsidRPr="00097BB2" w:rsidRDefault="00097BB2" w:rsidP="00097BB2">
            <w:pPr>
              <w:pStyle w:val="Body"/>
              <w:spacing w:after="0"/>
              <w:rPr>
                <w:rFonts w:ascii="Arial" w:hAnsi="Arial" w:cs="Arial"/>
              </w:rPr>
            </w:pPr>
            <w:r w:rsidRPr="00097BB2">
              <w:rPr>
                <w:rFonts w:ascii="Arial" w:hAnsi="Arial" w:cs="Arial"/>
              </w:rPr>
              <w:t>2.05</w:t>
            </w:r>
          </w:p>
        </w:tc>
        <w:tc>
          <w:tcPr>
            <w:tcW w:w="0" w:type="auto"/>
            <w:vAlign w:val="center"/>
            <w:hideMark/>
          </w:tcPr>
          <w:p w14:paraId="0993D014" w14:textId="77777777" w:rsidR="00097BB2" w:rsidRPr="00097BB2" w:rsidRDefault="00097BB2" w:rsidP="00097BB2">
            <w:pPr>
              <w:pStyle w:val="Body"/>
              <w:spacing w:after="0"/>
              <w:rPr>
                <w:rFonts w:ascii="Arial" w:hAnsi="Arial" w:cs="Arial"/>
              </w:rPr>
            </w:pPr>
            <w:r w:rsidRPr="00097BB2">
              <w:rPr>
                <w:rFonts w:ascii="Arial" w:hAnsi="Arial" w:cs="Arial"/>
              </w:rPr>
              <w:t>-0.40</w:t>
            </w:r>
          </w:p>
        </w:tc>
      </w:tr>
      <w:tr w:rsidR="00097BB2" w:rsidRPr="00097BB2" w14:paraId="104F8F93" w14:textId="77777777" w:rsidTr="00D34D96">
        <w:trPr>
          <w:tblCellSpacing w:w="15" w:type="dxa"/>
        </w:trPr>
        <w:tc>
          <w:tcPr>
            <w:tcW w:w="1134" w:type="dxa"/>
            <w:vAlign w:val="center"/>
            <w:hideMark/>
          </w:tcPr>
          <w:p w14:paraId="1B4BB4A9" w14:textId="77777777" w:rsidR="00097BB2" w:rsidRPr="00097BB2" w:rsidRDefault="00097BB2" w:rsidP="00097BB2">
            <w:pPr>
              <w:pStyle w:val="Body"/>
              <w:spacing w:after="0"/>
              <w:rPr>
                <w:rFonts w:ascii="Arial" w:hAnsi="Arial" w:cs="Arial"/>
              </w:rPr>
            </w:pPr>
            <w:r w:rsidRPr="00097BB2">
              <w:rPr>
                <w:rFonts w:ascii="Arial" w:hAnsi="Arial" w:cs="Arial"/>
              </w:rPr>
              <w:t>F</w:t>
            </w:r>
          </w:p>
        </w:tc>
        <w:tc>
          <w:tcPr>
            <w:tcW w:w="1104" w:type="dxa"/>
            <w:vAlign w:val="center"/>
            <w:hideMark/>
          </w:tcPr>
          <w:p w14:paraId="425E847F" w14:textId="77777777" w:rsidR="00097BB2" w:rsidRPr="00097BB2" w:rsidRDefault="00097BB2" w:rsidP="00097BB2">
            <w:pPr>
              <w:pStyle w:val="Body"/>
              <w:spacing w:after="0"/>
              <w:rPr>
                <w:rFonts w:ascii="Arial" w:hAnsi="Arial" w:cs="Arial"/>
              </w:rPr>
            </w:pPr>
            <w:r w:rsidRPr="00097BB2">
              <w:rPr>
                <w:rFonts w:ascii="Arial" w:hAnsi="Arial" w:cs="Arial"/>
              </w:rPr>
              <w:t>2.30</w:t>
            </w:r>
          </w:p>
        </w:tc>
        <w:tc>
          <w:tcPr>
            <w:tcW w:w="0" w:type="auto"/>
            <w:vAlign w:val="center"/>
            <w:hideMark/>
          </w:tcPr>
          <w:p w14:paraId="3F0DD274" w14:textId="77777777" w:rsidR="00097BB2" w:rsidRPr="00097BB2" w:rsidRDefault="00097BB2" w:rsidP="00097BB2">
            <w:pPr>
              <w:pStyle w:val="Body"/>
              <w:spacing w:after="0"/>
              <w:rPr>
                <w:rFonts w:ascii="Arial" w:hAnsi="Arial" w:cs="Arial"/>
              </w:rPr>
            </w:pPr>
            <w:r w:rsidRPr="00097BB2">
              <w:rPr>
                <w:rFonts w:ascii="Arial" w:hAnsi="Arial" w:cs="Arial"/>
              </w:rPr>
              <w:t>-0.95</w:t>
            </w:r>
          </w:p>
        </w:tc>
      </w:tr>
    </w:tbl>
    <w:p w14:paraId="5743AF4D" w14:textId="77777777" w:rsidR="00097BB2" w:rsidRDefault="00097BB2" w:rsidP="00097BB2">
      <w:pPr>
        <w:pStyle w:val="Body"/>
        <w:spacing w:after="0"/>
        <w:rPr>
          <w:rFonts w:ascii="Arial" w:hAnsi="Arial" w:cs="Arial"/>
        </w:rPr>
      </w:pPr>
    </w:p>
    <w:p w14:paraId="5AA8FFF4" w14:textId="77777777" w:rsidR="00097BB2" w:rsidRPr="00097BB2" w:rsidRDefault="00097BB2" w:rsidP="00097BB2">
      <w:pPr>
        <w:pStyle w:val="Body"/>
        <w:spacing w:after="0"/>
        <w:rPr>
          <w:rFonts w:ascii="Arial" w:hAnsi="Arial" w:cs="Arial"/>
        </w:rPr>
      </w:pPr>
    </w:p>
    <w:p w14:paraId="20700B75" w14:textId="77777777" w:rsidR="00097BB2" w:rsidRPr="00097BB2" w:rsidRDefault="00097BB2" w:rsidP="00097BB2">
      <w:pPr>
        <w:pStyle w:val="Body"/>
        <w:spacing w:after="0"/>
        <w:rPr>
          <w:rFonts w:ascii="Arial" w:hAnsi="Arial" w:cs="Arial"/>
          <w:b/>
          <w:sz w:val="22"/>
          <w:szCs w:val="22"/>
        </w:rPr>
      </w:pPr>
      <w:r w:rsidRPr="00097BB2">
        <w:rPr>
          <w:rFonts w:ascii="Arial" w:hAnsi="Arial" w:cs="Arial"/>
          <w:b/>
          <w:sz w:val="22"/>
          <w:szCs w:val="22"/>
        </w:rPr>
        <w:t>3.2 Discussion</w:t>
      </w:r>
    </w:p>
    <w:p w14:paraId="05745CDA" w14:textId="77777777" w:rsidR="00097BB2" w:rsidRPr="00097BB2" w:rsidRDefault="00097BB2" w:rsidP="00097BB2">
      <w:pPr>
        <w:pStyle w:val="Body"/>
        <w:spacing w:after="0"/>
        <w:rPr>
          <w:rFonts w:ascii="Arial" w:hAnsi="Arial" w:cs="Arial"/>
          <w:b/>
        </w:rPr>
      </w:pPr>
      <w:r w:rsidRPr="00097BB2">
        <w:rPr>
          <w:rFonts w:ascii="Arial" w:hAnsi="Arial" w:cs="Arial"/>
          <w:b/>
        </w:rPr>
        <w:t>3.2.1 Water Quality Dynamics of River Ngadda</w:t>
      </w:r>
    </w:p>
    <w:p w14:paraId="5C1AC666" w14:textId="77777777" w:rsidR="00097BB2" w:rsidRPr="00097BB2" w:rsidRDefault="00097BB2" w:rsidP="00097BB2">
      <w:pPr>
        <w:pStyle w:val="Body"/>
        <w:spacing w:after="0"/>
        <w:rPr>
          <w:rFonts w:ascii="Arial" w:hAnsi="Arial" w:cs="Arial"/>
        </w:rPr>
      </w:pPr>
      <w:r w:rsidRPr="00097BB2">
        <w:rPr>
          <w:rFonts w:ascii="Arial" w:hAnsi="Arial" w:cs="Arial"/>
        </w:rPr>
        <w:t xml:space="preserve">The mean seasonal surface water quality of River Ngadda revealed that all measured parameters were within the permissible limits recommended by the </w:t>
      </w:r>
      <w:r w:rsidRPr="00097BB2">
        <w:rPr>
          <w:rFonts w:ascii="Arial" w:hAnsi="Arial" w:cs="Arial"/>
          <w:bCs/>
        </w:rPr>
        <w:t>National Environmental Standards and Regulations Enforcement Agency (NESREA, 2011)</w:t>
      </w:r>
      <w:r w:rsidRPr="00097BB2">
        <w:rPr>
          <w:rFonts w:ascii="Arial" w:hAnsi="Arial" w:cs="Arial"/>
        </w:rPr>
        <w:t xml:space="preserve"> and the </w:t>
      </w:r>
      <w:r w:rsidRPr="00097BB2">
        <w:rPr>
          <w:rFonts w:ascii="Arial" w:hAnsi="Arial" w:cs="Arial"/>
          <w:bCs/>
        </w:rPr>
        <w:t>World Health Organization (WHO)</w:t>
      </w:r>
      <w:r w:rsidRPr="00097BB2">
        <w:rPr>
          <w:rFonts w:ascii="Arial" w:hAnsi="Arial" w:cs="Arial"/>
        </w:rPr>
        <w:t xml:space="preserve"> standards. The results indicated that temperature, TDS, EC, and NO</w:t>
      </w:r>
      <w:r w:rsidRPr="00097BB2">
        <w:rPr>
          <w:rFonts w:ascii="Cambria Math" w:hAnsi="Cambria Math" w:cs="Cambria Math"/>
        </w:rPr>
        <w:t>₃⁻</w:t>
      </w:r>
      <w:r w:rsidRPr="00097BB2">
        <w:rPr>
          <w:rFonts w:ascii="Arial" w:hAnsi="Arial" w:cs="Arial"/>
        </w:rPr>
        <w:t xml:space="preserve"> were higher during the dry season, while pH and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were higher during the wet season. Similar findings were reported in other freshwater bodies in northeastern Nigeria, where seasonal variation influenced physicochemical dynamics (Bwala, 2021c; Usman et al., 2016).</w:t>
      </w:r>
    </w:p>
    <w:p w14:paraId="0A3A2188" w14:textId="77777777" w:rsidR="00097BB2" w:rsidRPr="00097BB2" w:rsidRDefault="00097BB2" w:rsidP="00097BB2">
      <w:pPr>
        <w:pStyle w:val="Body"/>
        <w:spacing w:after="0"/>
        <w:rPr>
          <w:rFonts w:ascii="Arial" w:hAnsi="Arial" w:cs="Arial"/>
        </w:rPr>
      </w:pPr>
      <w:r w:rsidRPr="00097BB2">
        <w:rPr>
          <w:rFonts w:ascii="Arial" w:hAnsi="Arial" w:cs="Arial"/>
        </w:rPr>
        <w:t xml:space="preserve">The higher temperature and EC values recorded during the dry season in the study area may be attributed to increased evaporation, reduced dilution, and the concentration of solutes due to lower water volume (APHA, 2005; Gwana et al., 2017). </w:t>
      </w:r>
      <w:r w:rsidRPr="00097BB2">
        <w:rPr>
          <w:rFonts w:ascii="Arial" w:hAnsi="Arial" w:cs="Arial"/>
          <w:bCs/>
        </w:rPr>
        <w:t>Bwala (2021a)</w:t>
      </w:r>
      <w:r w:rsidRPr="00097BB2">
        <w:rPr>
          <w:rFonts w:ascii="Arial" w:hAnsi="Arial" w:cs="Arial"/>
        </w:rPr>
        <w:t xml:space="preserve"> reported that seasonal reduction in flow velocity along River Ngadda during dry months might have enhance ionic accumulation, leading to elevated EC and TDS. Conversely, the higher pH and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concentrations during the wet season could result from the influx of surface runoff, soil leaching, and decomposition of organic matter (Babagana et al., 2015; Bwala, 2021b). These patterns suggest a strong hydrological control on water chemistry, as rainfall dilutes some ions but introduces others through catchment wash-off.</w:t>
      </w:r>
    </w:p>
    <w:p w14:paraId="73251626" w14:textId="77777777" w:rsidR="00097BB2" w:rsidRDefault="00097BB2" w:rsidP="00097BB2">
      <w:pPr>
        <w:pStyle w:val="Body"/>
        <w:spacing w:after="0"/>
        <w:rPr>
          <w:rFonts w:ascii="Arial" w:hAnsi="Arial" w:cs="Arial"/>
        </w:rPr>
      </w:pPr>
      <w:r w:rsidRPr="00097BB2">
        <w:rPr>
          <w:rFonts w:ascii="Arial" w:hAnsi="Arial" w:cs="Arial"/>
        </w:rPr>
        <w:t>Despite the variations in the hydrochemistry of the river, all measured parameters were within NESREA (2011) limits, indicating that the river is still moderately healthy, though subject to increasing anthropogenic pressures. Continuous monitoring is essential, as the catchment is exposed to domestic discharge, agricultural runoff, and urban waste (</w:t>
      </w:r>
      <w:proofErr w:type="spellStart"/>
      <w:r w:rsidRPr="00097BB2">
        <w:rPr>
          <w:rFonts w:ascii="Arial" w:hAnsi="Arial" w:cs="Arial"/>
        </w:rPr>
        <w:t>Bwala</w:t>
      </w:r>
      <w:proofErr w:type="spellEnd"/>
      <w:r w:rsidRPr="00097BB2">
        <w:rPr>
          <w:rFonts w:ascii="Arial" w:hAnsi="Arial" w:cs="Arial"/>
        </w:rPr>
        <w:t>, 2021c; Sharah, 2020).</w:t>
      </w:r>
    </w:p>
    <w:p w14:paraId="70CFB566" w14:textId="77777777" w:rsidR="00097BB2" w:rsidRPr="00097BB2" w:rsidRDefault="00097BB2" w:rsidP="00097BB2">
      <w:pPr>
        <w:pStyle w:val="Body"/>
        <w:spacing w:after="0"/>
        <w:rPr>
          <w:rFonts w:ascii="Arial" w:hAnsi="Arial" w:cs="Arial"/>
        </w:rPr>
      </w:pPr>
    </w:p>
    <w:p w14:paraId="6B6F0529" w14:textId="77777777" w:rsidR="00097BB2" w:rsidRPr="00097BB2" w:rsidRDefault="00097BB2" w:rsidP="00097BB2">
      <w:pPr>
        <w:pStyle w:val="Body"/>
        <w:spacing w:after="0"/>
        <w:rPr>
          <w:rFonts w:ascii="Arial" w:hAnsi="Arial" w:cs="Arial"/>
          <w:b/>
        </w:rPr>
      </w:pPr>
      <w:r w:rsidRPr="00097BB2">
        <w:rPr>
          <w:rFonts w:ascii="Arial" w:hAnsi="Arial" w:cs="Arial"/>
          <w:b/>
        </w:rPr>
        <w:t>3.2.2 Seasonal Abundance and Distribution of Microplastics</w:t>
      </w:r>
    </w:p>
    <w:p w14:paraId="1D25E085" w14:textId="77777777" w:rsidR="00097BB2" w:rsidRPr="00097BB2" w:rsidRDefault="00097BB2" w:rsidP="00097BB2">
      <w:pPr>
        <w:pStyle w:val="Body"/>
        <w:spacing w:after="0"/>
        <w:rPr>
          <w:rFonts w:ascii="Arial" w:hAnsi="Arial" w:cs="Arial"/>
        </w:rPr>
      </w:pPr>
      <w:r w:rsidRPr="00097BB2">
        <w:rPr>
          <w:rFonts w:ascii="Arial" w:hAnsi="Arial" w:cs="Arial"/>
        </w:rPr>
        <w:t xml:space="preserve">The abundance of MPs in the surface water </w:t>
      </w:r>
      <w:proofErr w:type="gramStart"/>
      <w:r w:rsidRPr="00097BB2">
        <w:rPr>
          <w:rFonts w:ascii="Arial" w:hAnsi="Arial" w:cs="Arial"/>
        </w:rPr>
        <w:t>range</w:t>
      </w:r>
      <w:proofErr w:type="gramEnd"/>
      <w:r w:rsidRPr="00097BB2">
        <w:rPr>
          <w:rFonts w:ascii="Arial" w:hAnsi="Arial" w:cs="Arial"/>
        </w:rPr>
        <w:t xml:space="preserve"> from 29±2.4 - 41±1.6 pp/L during the dry season and 27±4.6 - 34±8.3 pp/L during the wet season. The higher dry-season values are consistent with reports that reduced flow and limited dilution enhance plastic accumulation in lotic systems (Dris et al., 2015; Horton et al., 2017). The hydrodynamic regime plays a key role in particle transport and deposition, as also observed in the Great Lakes (Driedger et al., 2015) and Rhine-Main River sediments (Klein et al., 2015).</w:t>
      </w:r>
    </w:p>
    <w:p w14:paraId="51231413" w14:textId="77777777" w:rsidR="00097BB2" w:rsidRPr="00097BB2" w:rsidRDefault="00097BB2" w:rsidP="00097BB2">
      <w:pPr>
        <w:pStyle w:val="Body"/>
        <w:spacing w:after="0"/>
        <w:rPr>
          <w:rFonts w:ascii="Arial" w:hAnsi="Arial" w:cs="Arial"/>
        </w:rPr>
      </w:pPr>
      <w:r w:rsidRPr="00097BB2">
        <w:rPr>
          <w:rFonts w:ascii="Arial" w:hAnsi="Arial" w:cs="Arial"/>
        </w:rPr>
        <w:t>The dominance of fibrous and fragment-shaped MPs in River Ngadda aligns with findings from various aquatic systems, where textile fibers, fishing nets, and degraded packaging materials were identified as major sources (Auta et al., 2017; Eerkes-Medrano et al., 2015). Spatial variation across sampling stations—especially the higher abundance at Station F—</w:t>
      </w:r>
      <w:r w:rsidRPr="00097BB2">
        <w:rPr>
          <w:rFonts w:ascii="Arial" w:hAnsi="Arial" w:cs="Arial"/>
        </w:rPr>
        <w:lastRenderedPageBreak/>
        <w:t>reflects proximity to densely populated settlements and waste discharge points, a trend similar to those reported in Lake Victoria and urban creeks (</w:t>
      </w:r>
      <w:proofErr w:type="spellStart"/>
      <w:r w:rsidRPr="00097BB2">
        <w:rPr>
          <w:rFonts w:ascii="Arial" w:hAnsi="Arial" w:cs="Arial"/>
        </w:rPr>
        <w:t>Biginagwa</w:t>
      </w:r>
      <w:proofErr w:type="spellEnd"/>
      <w:r w:rsidRPr="00097BB2">
        <w:rPr>
          <w:rFonts w:ascii="Arial" w:hAnsi="Arial" w:cs="Arial"/>
        </w:rPr>
        <w:t xml:space="preserve"> et al., 2016; Campbell et al., 2017). The prevalence of blue, red, and black microplastic </w:t>
      </w:r>
      <w:proofErr w:type="spellStart"/>
      <w:r w:rsidRPr="00097BB2">
        <w:rPr>
          <w:rFonts w:ascii="Arial" w:hAnsi="Arial" w:cs="Arial"/>
        </w:rPr>
        <w:t>colours</w:t>
      </w:r>
      <w:proofErr w:type="spellEnd"/>
      <w:r w:rsidRPr="00097BB2">
        <w:rPr>
          <w:rFonts w:ascii="Arial" w:hAnsi="Arial" w:cs="Arial"/>
        </w:rPr>
        <w:t xml:space="preserve"> suggests contributions from domestic and industrial waste streams, as these pigments are characteristic of synthetic textiles and packaging (Napper &amp; Thompson, 2016; UNEP, 2016).</w:t>
      </w:r>
    </w:p>
    <w:p w14:paraId="49C5FADD" w14:textId="77777777" w:rsidR="00097BB2" w:rsidRPr="00097BB2" w:rsidRDefault="00097BB2" w:rsidP="00097BB2">
      <w:pPr>
        <w:pStyle w:val="Body"/>
        <w:spacing w:after="0"/>
        <w:rPr>
          <w:rFonts w:ascii="Arial" w:hAnsi="Arial" w:cs="Arial"/>
        </w:rPr>
      </w:pPr>
      <w:r w:rsidRPr="00097BB2">
        <w:rPr>
          <w:rFonts w:ascii="Arial" w:hAnsi="Arial" w:cs="Arial"/>
        </w:rPr>
        <w:t>The variability in MP abundance between dry and wet seasons highlights the influence of rainfall and runoff on transport dynamics. During the wet season, plastics are mobilized downstream, reducing accumulation at upstream sites, while during dry periods, lower discharge promotes sedimentation and concentration (</w:t>
      </w:r>
      <w:proofErr w:type="spellStart"/>
      <w:r w:rsidRPr="00097BB2">
        <w:rPr>
          <w:rFonts w:ascii="Arial" w:hAnsi="Arial" w:cs="Arial"/>
        </w:rPr>
        <w:t>Bellasi</w:t>
      </w:r>
      <w:proofErr w:type="spellEnd"/>
      <w:r w:rsidRPr="00097BB2">
        <w:rPr>
          <w:rFonts w:ascii="Arial" w:hAnsi="Arial" w:cs="Arial"/>
        </w:rPr>
        <w:t xml:space="preserve"> et al., 2020; Zhang et al., 2018). These findings indicate that hydrological and anthropogenic factors jointly shape MP distribution within the river system.</w:t>
      </w:r>
    </w:p>
    <w:p w14:paraId="4B35C195" w14:textId="77777777" w:rsidR="00097BB2" w:rsidRPr="00097BB2" w:rsidRDefault="00097BB2" w:rsidP="00097BB2">
      <w:pPr>
        <w:pStyle w:val="Body"/>
        <w:rPr>
          <w:rFonts w:ascii="Arial" w:hAnsi="Arial" w:cs="Arial"/>
        </w:rPr>
      </w:pPr>
    </w:p>
    <w:p w14:paraId="68504E0A" w14:textId="77777777" w:rsidR="00097BB2" w:rsidRPr="00097BB2" w:rsidRDefault="00097BB2" w:rsidP="00097BB2">
      <w:pPr>
        <w:pStyle w:val="Body"/>
        <w:spacing w:after="0"/>
        <w:rPr>
          <w:rFonts w:ascii="Arial" w:hAnsi="Arial" w:cs="Arial"/>
          <w:b/>
        </w:rPr>
      </w:pPr>
      <w:r w:rsidRPr="00097BB2">
        <w:rPr>
          <w:rFonts w:ascii="Arial" w:hAnsi="Arial" w:cs="Arial"/>
          <w:b/>
        </w:rPr>
        <w:t>3.2.3 Polymer Composition of Microplastics</w:t>
      </w:r>
    </w:p>
    <w:p w14:paraId="6BCEB876" w14:textId="77777777" w:rsidR="00097BB2" w:rsidRPr="00097BB2" w:rsidRDefault="00097BB2" w:rsidP="00097BB2">
      <w:pPr>
        <w:pStyle w:val="Body"/>
        <w:spacing w:after="0"/>
        <w:rPr>
          <w:rFonts w:ascii="Arial" w:hAnsi="Arial" w:cs="Arial"/>
        </w:rPr>
      </w:pPr>
      <w:r w:rsidRPr="00097BB2">
        <w:rPr>
          <w:rFonts w:ascii="Arial" w:hAnsi="Arial" w:cs="Arial"/>
        </w:rPr>
        <w:t xml:space="preserve">The polymeric composition of MPs showed that PA, PET, and PVC were dominant across all stations, particularly at Station D. This composition pattern reflects inputs from clothing fibers, packaging, and household products commonly associated with urban areas (Heo et al., 2013; </w:t>
      </w:r>
      <w:proofErr w:type="spellStart"/>
      <w:r w:rsidRPr="00097BB2">
        <w:rPr>
          <w:rFonts w:ascii="Arial" w:hAnsi="Arial" w:cs="Arial"/>
        </w:rPr>
        <w:t>Bellasi</w:t>
      </w:r>
      <w:proofErr w:type="spellEnd"/>
      <w:r w:rsidRPr="00097BB2">
        <w:rPr>
          <w:rFonts w:ascii="Arial" w:hAnsi="Arial" w:cs="Arial"/>
        </w:rPr>
        <w:t xml:space="preserve"> et al., 2020). The absence of PP at Station B aligns with the report of </w:t>
      </w:r>
      <w:r w:rsidRPr="00097BB2">
        <w:rPr>
          <w:rFonts w:ascii="Arial" w:hAnsi="Arial" w:cs="Arial"/>
          <w:bCs/>
        </w:rPr>
        <w:t>Kılıç &amp; Yücel (2022)</w:t>
      </w:r>
      <w:r w:rsidRPr="00097BB2">
        <w:rPr>
          <w:rFonts w:ascii="Arial" w:hAnsi="Arial" w:cs="Arial"/>
        </w:rPr>
        <w:t>, who reported that polymer buoyancy influences distribution—lighter polymers such as PP may remain suspended or drift downstream, reducing detection rates in low-flow zones.</w:t>
      </w:r>
    </w:p>
    <w:p w14:paraId="7487771B" w14:textId="77777777" w:rsidR="00097BB2" w:rsidRDefault="00097BB2" w:rsidP="00097BB2">
      <w:pPr>
        <w:pStyle w:val="Body"/>
        <w:spacing w:after="0"/>
        <w:rPr>
          <w:rFonts w:ascii="Arial" w:hAnsi="Arial" w:cs="Arial"/>
        </w:rPr>
      </w:pPr>
      <w:r w:rsidRPr="00097BB2">
        <w:rPr>
          <w:rFonts w:ascii="Arial" w:hAnsi="Arial" w:cs="Arial"/>
        </w:rPr>
        <w:t>The dominance of PA and PET supports previous studies that identified synthetic fibers as primary sources of aquatic microplastics due to their persistence and resistance to biodegradation (</w:t>
      </w:r>
      <w:proofErr w:type="spellStart"/>
      <w:r w:rsidRPr="00097BB2">
        <w:rPr>
          <w:rFonts w:ascii="Arial" w:hAnsi="Arial" w:cs="Arial"/>
        </w:rPr>
        <w:t>Andrady</w:t>
      </w:r>
      <w:proofErr w:type="spellEnd"/>
      <w:r w:rsidRPr="00097BB2">
        <w:rPr>
          <w:rFonts w:ascii="Arial" w:hAnsi="Arial" w:cs="Arial"/>
        </w:rPr>
        <w:t>, 2015; Auta et al., 2017). Such persistence poses ecological risks, as plastics can adsorb toxic substances and be ingested by aquatic organisms (</w:t>
      </w:r>
      <w:proofErr w:type="spellStart"/>
      <w:r w:rsidRPr="00097BB2">
        <w:rPr>
          <w:rFonts w:ascii="Arial" w:hAnsi="Arial" w:cs="Arial"/>
        </w:rPr>
        <w:t>Foekema</w:t>
      </w:r>
      <w:proofErr w:type="spellEnd"/>
      <w:r w:rsidRPr="00097BB2">
        <w:rPr>
          <w:rFonts w:ascii="Arial" w:hAnsi="Arial" w:cs="Arial"/>
        </w:rPr>
        <w:t xml:space="preserve"> et al., 2013; </w:t>
      </w:r>
      <w:proofErr w:type="spellStart"/>
      <w:r w:rsidRPr="00097BB2">
        <w:rPr>
          <w:rFonts w:ascii="Arial" w:hAnsi="Arial" w:cs="Arial"/>
        </w:rPr>
        <w:t>Ivleva</w:t>
      </w:r>
      <w:proofErr w:type="spellEnd"/>
      <w:r w:rsidRPr="00097BB2">
        <w:rPr>
          <w:rFonts w:ascii="Arial" w:hAnsi="Arial" w:cs="Arial"/>
        </w:rPr>
        <w:t xml:space="preserve"> et al., 2017). Continuous accumulation of these polymers underscores the need for improved waste management and effluent control within the River Ngadda catchment, as recommended by </w:t>
      </w:r>
      <w:r w:rsidRPr="00097BB2">
        <w:rPr>
          <w:rFonts w:ascii="Arial" w:hAnsi="Arial" w:cs="Arial"/>
          <w:bCs/>
        </w:rPr>
        <w:t>UNEP (2016)</w:t>
      </w:r>
      <w:r w:rsidRPr="00097BB2">
        <w:rPr>
          <w:rFonts w:ascii="Arial" w:hAnsi="Arial" w:cs="Arial"/>
        </w:rPr>
        <w:t>.</w:t>
      </w:r>
    </w:p>
    <w:p w14:paraId="0BF14AE9" w14:textId="77777777" w:rsidR="00097BB2" w:rsidRPr="00097BB2" w:rsidRDefault="00097BB2" w:rsidP="00097BB2">
      <w:pPr>
        <w:pStyle w:val="Body"/>
        <w:spacing w:after="0"/>
        <w:rPr>
          <w:rFonts w:ascii="Arial" w:hAnsi="Arial" w:cs="Arial"/>
        </w:rPr>
      </w:pPr>
    </w:p>
    <w:p w14:paraId="42D3891D" w14:textId="77777777" w:rsidR="00097BB2" w:rsidRPr="00097BB2" w:rsidRDefault="00097BB2" w:rsidP="00097BB2">
      <w:pPr>
        <w:pStyle w:val="Body"/>
        <w:spacing w:after="0"/>
        <w:rPr>
          <w:rFonts w:ascii="Arial" w:hAnsi="Arial" w:cs="Arial"/>
          <w:b/>
        </w:rPr>
      </w:pPr>
      <w:r w:rsidRPr="00097BB2">
        <w:rPr>
          <w:rFonts w:ascii="Arial" w:hAnsi="Arial" w:cs="Arial"/>
          <w:b/>
        </w:rPr>
        <w:t>3.2.4 Seasonal Abundance and Composition of Nanoplastics</w:t>
      </w:r>
    </w:p>
    <w:p w14:paraId="483FE76A" w14:textId="77777777" w:rsidR="00097BB2" w:rsidRPr="00097BB2" w:rsidRDefault="00097BB2" w:rsidP="00097BB2">
      <w:pPr>
        <w:pStyle w:val="Body"/>
        <w:rPr>
          <w:rFonts w:ascii="Arial" w:hAnsi="Arial" w:cs="Arial"/>
        </w:rPr>
      </w:pPr>
      <w:r w:rsidRPr="00097BB2">
        <w:rPr>
          <w:rFonts w:ascii="Arial" w:hAnsi="Arial" w:cs="Arial"/>
        </w:rPr>
        <w:t xml:space="preserve">Nanoplastics (NPs) detected range from 27.0±1.4 - 38.0±2.1 μg/L during the dry season and 21.0±0.3 - 34.0±1.1 μg/L during the wet season. Though due to the analytical method employed, NPs </w:t>
      </w:r>
      <w:r w:rsidRPr="00097BB2">
        <w:rPr>
          <w:rFonts w:ascii="Arial" w:hAnsi="Arial" w:cs="Arial"/>
          <w:bCs/>
        </w:rPr>
        <w:t xml:space="preserve">below the </w:t>
      </w:r>
      <w:proofErr w:type="spellStart"/>
      <w:r w:rsidRPr="00097BB2">
        <w:rPr>
          <w:rFonts w:ascii="Arial" w:hAnsi="Arial" w:cs="Arial"/>
          <w:bCs/>
        </w:rPr>
        <w:t>nanofiltrater</w:t>
      </w:r>
      <w:proofErr w:type="spellEnd"/>
      <w:r w:rsidRPr="00097BB2">
        <w:rPr>
          <w:rFonts w:ascii="Arial" w:hAnsi="Arial" w:cs="Arial"/>
          <w:bCs/>
        </w:rPr>
        <w:t xml:space="preserve"> threshold (</w:t>
      </w:r>
      <w:r w:rsidRPr="00097BB2">
        <w:rPr>
          <w:rFonts w:ascii="Arial" w:hAnsi="Arial" w:cs="Arial"/>
        </w:rPr>
        <w:t>≤0.45 µm)</w:t>
      </w:r>
      <w:r w:rsidRPr="00097BB2">
        <w:rPr>
          <w:rFonts w:ascii="Arial" w:hAnsi="Arial" w:cs="Arial"/>
          <w:bCs/>
        </w:rPr>
        <w:t xml:space="preserve"> may not had been detected, and therefore the results represent only an operationally defined size fraction of the actual nanoplastics that might be present in the river during both seasons. </w:t>
      </w:r>
      <w:r w:rsidRPr="00097BB2">
        <w:rPr>
          <w:rFonts w:ascii="Arial" w:hAnsi="Arial" w:cs="Arial"/>
        </w:rPr>
        <w:t>The observed pattern, where dry-season concentrations exceeded wet-season levels, supports the notion that evaporation and reduced water volume enhance particulate density (</w:t>
      </w:r>
      <w:proofErr w:type="spellStart"/>
      <w:r w:rsidRPr="00097BB2">
        <w:rPr>
          <w:rFonts w:ascii="Arial" w:hAnsi="Arial" w:cs="Arial"/>
        </w:rPr>
        <w:t>Veerasingam</w:t>
      </w:r>
      <w:proofErr w:type="spellEnd"/>
      <w:r w:rsidRPr="00097BB2">
        <w:rPr>
          <w:rFonts w:ascii="Arial" w:hAnsi="Arial" w:cs="Arial"/>
        </w:rPr>
        <w:t xml:space="preserve"> et al., 2016; Zhang et al., 2018). The dominance of polystyrene (PS) nanoparticles, particularly at Station C (57.3%), corroborates the findings of </w:t>
      </w:r>
      <w:r w:rsidRPr="00097BB2">
        <w:rPr>
          <w:rFonts w:ascii="Arial" w:hAnsi="Arial" w:cs="Arial"/>
          <w:bCs/>
        </w:rPr>
        <w:t>Wegner et al. (2012)</w:t>
      </w:r>
      <w:r w:rsidRPr="00097BB2">
        <w:rPr>
          <w:rFonts w:ascii="Arial" w:hAnsi="Arial" w:cs="Arial"/>
        </w:rPr>
        <w:t xml:space="preserve"> and </w:t>
      </w:r>
      <w:proofErr w:type="spellStart"/>
      <w:r w:rsidRPr="00097BB2">
        <w:rPr>
          <w:rFonts w:ascii="Arial" w:hAnsi="Arial" w:cs="Arial"/>
          <w:bCs/>
        </w:rPr>
        <w:t>Besseling</w:t>
      </w:r>
      <w:proofErr w:type="spellEnd"/>
      <w:r w:rsidRPr="00097BB2">
        <w:rPr>
          <w:rFonts w:ascii="Arial" w:hAnsi="Arial" w:cs="Arial"/>
          <w:bCs/>
        </w:rPr>
        <w:t xml:space="preserve"> et al. (2017)</w:t>
      </w:r>
      <w:r w:rsidRPr="00097BB2">
        <w:rPr>
          <w:rFonts w:ascii="Arial" w:hAnsi="Arial" w:cs="Arial"/>
        </w:rPr>
        <w:t>, who reported that PS exhibits strong environmental persistence and bioavailability in aquatic ecosystems.</w:t>
      </w:r>
    </w:p>
    <w:p w14:paraId="569DAB18" w14:textId="77777777" w:rsidR="00097BB2" w:rsidRPr="00097BB2" w:rsidRDefault="00097BB2" w:rsidP="00097BB2">
      <w:pPr>
        <w:pStyle w:val="Body"/>
        <w:spacing w:after="0"/>
        <w:rPr>
          <w:rFonts w:ascii="Arial" w:hAnsi="Arial" w:cs="Arial"/>
        </w:rPr>
      </w:pPr>
      <w:r w:rsidRPr="00097BB2">
        <w:rPr>
          <w:rFonts w:ascii="Arial" w:hAnsi="Arial" w:cs="Arial"/>
        </w:rPr>
        <w:t>Nanoplastics are said to be the final degradation stage of larger plastic debris, resulting from prolonged photochemical and mechanical fragmentation (</w:t>
      </w:r>
      <w:r w:rsidRPr="00097BB2">
        <w:rPr>
          <w:rFonts w:ascii="Arial" w:hAnsi="Arial" w:cs="Arial"/>
          <w:bCs/>
        </w:rPr>
        <w:t>Andrady (2015)</w:t>
      </w:r>
      <w:r w:rsidRPr="00097BB2">
        <w:rPr>
          <w:rFonts w:ascii="Arial" w:hAnsi="Arial" w:cs="Arial"/>
        </w:rPr>
        <w:t xml:space="preserve">. Their small size and large surface area enable them to interact with biological membranes, potentially impairing feeding, growth, and reproduction of aquatic organisms (Wegner et al., 2012; Patra &amp; </w:t>
      </w:r>
      <w:proofErr w:type="spellStart"/>
      <w:r w:rsidRPr="00097BB2">
        <w:rPr>
          <w:rFonts w:ascii="Arial" w:hAnsi="Arial" w:cs="Arial"/>
        </w:rPr>
        <w:t>Baitharu</w:t>
      </w:r>
      <w:proofErr w:type="spellEnd"/>
      <w:r w:rsidRPr="00097BB2">
        <w:rPr>
          <w:rFonts w:ascii="Arial" w:hAnsi="Arial" w:cs="Arial"/>
        </w:rPr>
        <w:t xml:space="preserve">, 2024). The absence of PP among detected polymers may reflect its tendency to float and disperse, reducing local accumulation (Kılıç, 2022; </w:t>
      </w:r>
      <w:r w:rsidRPr="00097BB2">
        <w:rPr>
          <w:rFonts w:ascii="Arial" w:hAnsi="Arial" w:cs="Arial"/>
          <w:bCs/>
        </w:rPr>
        <w:t>Kılıç &amp; Yücel, 2022</w:t>
      </w:r>
      <w:r w:rsidRPr="00097BB2">
        <w:rPr>
          <w:rFonts w:ascii="Arial" w:hAnsi="Arial" w:cs="Arial"/>
        </w:rPr>
        <w:t>).</w:t>
      </w:r>
    </w:p>
    <w:p w14:paraId="79B98C89" w14:textId="77777777" w:rsidR="00097BB2" w:rsidRDefault="00097BB2" w:rsidP="00097BB2">
      <w:pPr>
        <w:pStyle w:val="Body"/>
        <w:spacing w:after="0"/>
        <w:rPr>
          <w:rFonts w:ascii="Arial" w:hAnsi="Arial" w:cs="Arial"/>
        </w:rPr>
      </w:pPr>
      <w:r w:rsidRPr="00097BB2">
        <w:rPr>
          <w:rFonts w:ascii="Arial" w:hAnsi="Arial" w:cs="Arial"/>
        </w:rPr>
        <w:t>The detection of both micro- and nanoplastics in River Ngadda demonstrates that the system has entered a critical phase of plastic pollution similar to patterns reported globally (Zhang et al., 2018; UNEP, 2016). Without proper control measures, this may lead to sediment contamination, trophic transfer, and ecological imbalance in the long term.</w:t>
      </w:r>
    </w:p>
    <w:p w14:paraId="5E515549" w14:textId="77777777" w:rsidR="00097BB2" w:rsidRPr="00097BB2" w:rsidRDefault="00097BB2" w:rsidP="00097BB2">
      <w:pPr>
        <w:pStyle w:val="Body"/>
        <w:spacing w:after="0"/>
        <w:rPr>
          <w:rFonts w:ascii="Arial" w:hAnsi="Arial" w:cs="Arial"/>
        </w:rPr>
      </w:pPr>
    </w:p>
    <w:p w14:paraId="7141B28D" w14:textId="77777777" w:rsidR="00097BB2" w:rsidRPr="00097BB2" w:rsidRDefault="00097BB2" w:rsidP="00097BB2">
      <w:pPr>
        <w:pStyle w:val="Body"/>
        <w:spacing w:after="0"/>
        <w:rPr>
          <w:rFonts w:ascii="Arial" w:hAnsi="Arial" w:cs="Arial"/>
          <w:b/>
        </w:rPr>
      </w:pPr>
      <w:r w:rsidRPr="00097BB2">
        <w:rPr>
          <w:rFonts w:ascii="Arial" w:hAnsi="Arial" w:cs="Arial"/>
          <w:b/>
        </w:rPr>
        <w:t>3.2.5 Influence of Environmental Parameters on MNPs Distribution</w:t>
      </w:r>
    </w:p>
    <w:p w14:paraId="006BADAF" w14:textId="77777777" w:rsidR="00097BB2" w:rsidRPr="00097BB2" w:rsidRDefault="00097BB2" w:rsidP="00097BB2">
      <w:pPr>
        <w:pStyle w:val="Body"/>
        <w:spacing w:after="0"/>
        <w:rPr>
          <w:rFonts w:ascii="Arial" w:hAnsi="Arial" w:cs="Arial"/>
        </w:rPr>
      </w:pPr>
      <w:r w:rsidRPr="00097BB2">
        <w:rPr>
          <w:rFonts w:ascii="Arial" w:hAnsi="Arial" w:cs="Arial"/>
        </w:rPr>
        <w:t>The multivariate analyses (PCA and CCA) demonstrate that physicochemical parameters, particularly total dissolved solids (TDS), electrical conductivity (EC), temperature, and nutrients (NO</w:t>
      </w:r>
      <w:r w:rsidRPr="00097BB2">
        <w:rPr>
          <w:rFonts w:ascii="Cambria Math" w:hAnsi="Cambria Math" w:cs="Cambria Math"/>
        </w:rPr>
        <w:t>₃⁻</w:t>
      </w:r>
      <w:r w:rsidRPr="00097BB2">
        <w:rPr>
          <w:rFonts w:ascii="Arial" w:hAnsi="Arial" w:cs="Arial"/>
        </w:rPr>
        <w:t xml:space="preserve"> and SO</w:t>
      </w:r>
      <w:r w:rsidRPr="00097BB2">
        <w:rPr>
          <w:rFonts w:ascii="Cambria Math" w:hAnsi="Cambria Math" w:cs="Cambria Math"/>
        </w:rPr>
        <w:t>₄</w:t>
      </w:r>
      <w:r w:rsidRPr="00097BB2">
        <w:rPr>
          <w:rFonts w:ascii="Arial" w:hAnsi="Arial" w:cs="Arial"/>
        </w:rPr>
        <w:t>²</w:t>
      </w:r>
      <w:r w:rsidRPr="00097BB2">
        <w:rPr>
          <w:rFonts w:ascii="Cambria Math" w:hAnsi="Cambria Math" w:cs="Cambria Math"/>
        </w:rPr>
        <w:t>⁻</w:t>
      </w:r>
      <w:r w:rsidRPr="00097BB2">
        <w:rPr>
          <w:rFonts w:ascii="Arial" w:hAnsi="Arial" w:cs="Arial"/>
        </w:rPr>
        <w:t xml:space="preserve">), play a significant role in shaping the distribution and transformation of micro- and nanoplastics (MNPs) across the study area. The strong association of fragments and fibers with elevated TDS and EC suggests that ionic strength enhances mechanical breakdown and aggregation processes, leading to increased fragmentation of larger plastics into secondary particles. Similarly, the observed linkage between polymer types such as PET and PA with temperature indicates that thermal conditions may accelerate degradation and weathering processes. These findings are consistent with hydrodynamic and environmental modulation mechanisms reported in recent studies, where water flow, physicochemical gradients, and environmental stressors significantly influence microplastic transport, bioavailability, and bioaccumulation dynamics in aquatic systems (Rasta et al., 2025; Rasta et al., 2026a). Furthermore, the correlation between polypropylene (PP), PVC, and nutrient concentrations highlights the role of domestic and agricultural runoff as major contributors to plastic pollution, supporting earlier reports on the interaction between anthropogenic inputs and environmental variables in freshwater ecosystems (Auta et al., 2017; </w:t>
      </w:r>
      <w:proofErr w:type="spellStart"/>
      <w:r w:rsidRPr="00097BB2">
        <w:rPr>
          <w:rFonts w:ascii="Arial" w:hAnsi="Arial" w:cs="Arial"/>
        </w:rPr>
        <w:t>Besseling</w:t>
      </w:r>
      <w:proofErr w:type="spellEnd"/>
      <w:r w:rsidRPr="00097BB2">
        <w:rPr>
          <w:rFonts w:ascii="Arial" w:hAnsi="Arial" w:cs="Arial"/>
        </w:rPr>
        <w:t xml:space="preserve"> et al., 2017</w:t>
      </w:r>
    </w:p>
    <w:p w14:paraId="3DF2B9C3" w14:textId="77777777" w:rsidR="00097BB2" w:rsidRPr="00097BB2" w:rsidRDefault="00097BB2" w:rsidP="00097BB2">
      <w:pPr>
        <w:pStyle w:val="Body"/>
        <w:spacing w:after="0"/>
        <w:rPr>
          <w:rFonts w:ascii="Arial" w:hAnsi="Arial" w:cs="Arial"/>
        </w:rPr>
      </w:pPr>
      <w:r w:rsidRPr="00097BB2">
        <w:rPr>
          <w:rFonts w:ascii="Arial" w:hAnsi="Arial" w:cs="Arial"/>
        </w:rPr>
        <w:t xml:space="preserve">The PCA results from the study suggests that </w:t>
      </w:r>
      <w:r w:rsidRPr="00097BB2">
        <w:rPr>
          <w:rFonts w:ascii="Arial" w:hAnsi="Arial" w:cs="Arial"/>
          <w:bCs/>
        </w:rPr>
        <w:t>fragment-type particles are the dominant morphological driver</w:t>
      </w:r>
      <w:r w:rsidRPr="00097BB2">
        <w:rPr>
          <w:rFonts w:ascii="Arial" w:hAnsi="Arial" w:cs="Arial"/>
        </w:rPr>
        <w:t xml:space="preserve"> of spatial variability. Fragment dominance typically indicates secondary MNPs formed from degradation processes, consistent with fragmentation pathways described in freshwater systems (</w:t>
      </w:r>
      <w:proofErr w:type="spellStart"/>
      <w:r w:rsidRPr="00097BB2">
        <w:rPr>
          <w:rFonts w:ascii="Arial" w:hAnsi="Arial" w:cs="Arial"/>
        </w:rPr>
        <w:t>Andrady</w:t>
      </w:r>
      <w:proofErr w:type="spellEnd"/>
      <w:r w:rsidRPr="00097BB2">
        <w:rPr>
          <w:rFonts w:ascii="Arial" w:hAnsi="Arial" w:cs="Arial"/>
        </w:rPr>
        <w:t xml:space="preserve">, 2015; Eerkes-Medrano et al., 2015). The strong loading of films on PC2 suggests localized inputs of packaging-related plastics, which aligns with reported plastic waste sources in </w:t>
      </w:r>
      <w:r w:rsidRPr="00097BB2">
        <w:rPr>
          <w:rFonts w:ascii="Arial" w:hAnsi="Arial" w:cs="Arial"/>
        </w:rPr>
        <w:lastRenderedPageBreak/>
        <w:t>aquatic systems (UNEP, 2016; Auta et al., 2017). The clustering of Stations A and B reflects similar anthropogenic influence patterns, whereas Station D’s separation suggests localized accumulation effects.</w:t>
      </w:r>
    </w:p>
    <w:p w14:paraId="23CD479B" w14:textId="77777777" w:rsidR="00097BB2" w:rsidRPr="00097BB2" w:rsidRDefault="00097BB2" w:rsidP="00097BB2">
      <w:pPr>
        <w:pStyle w:val="Body"/>
        <w:spacing w:after="0"/>
        <w:rPr>
          <w:rFonts w:ascii="Arial" w:hAnsi="Arial" w:cs="Arial"/>
        </w:rPr>
      </w:pPr>
      <w:r w:rsidRPr="00097BB2">
        <w:rPr>
          <w:rFonts w:ascii="Arial" w:hAnsi="Arial" w:cs="Arial"/>
        </w:rPr>
        <w:t>The canonical ordination demonstrates that MNPs shape and polymer distribution are environmentally structured. The alignment of Station F along the positive canonical axis suggests influence from elevated TDS and EC values. Similar associations between MNPs and physicochemical gradients have been reported in freshwater contamination assessments (</w:t>
      </w:r>
      <w:proofErr w:type="spellStart"/>
      <w:r w:rsidRPr="00097BB2">
        <w:rPr>
          <w:rFonts w:ascii="Arial" w:hAnsi="Arial" w:cs="Arial"/>
        </w:rPr>
        <w:t>Bellasi</w:t>
      </w:r>
      <w:proofErr w:type="spellEnd"/>
      <w:r w:rsidRPr="00097BB2">
        <w:rPr>
          <w:rFonts w:ascii="Arial" w:hAnsi="Arial" w:cs="Arial"/>
        </w:rPr>
        <w:t xml:space="preserve"> et al., 2020; Horton et al., 2017).</w:t>
      </w:r>
    </w:p>
    <w:p w14:paraId="1540DB7B" w14:textId="77777777" w:rsidR="00097BB2" w:rsidRDefault="00097BB2" w:rsidP="00097BB2">
      <w:pPr>
        <w:pStyle w:val="Body"/>
        <w:spacing w:after="0"/>
        <w:rPr>
          <w:rFonts w:ascii="Arial" w:hAnsi="Arial" w:cs="Arial"/>
        </w:rPr>
      </w:pPr>
      <w:r w:rsidRPr="00097BB2">
        <w:rPr>
          <w:rFonts w:ascii="Arial" w:hAnsi="Arial" w:cs="Arial"/>
        </w:rPr>
        <w:t>The moderate separation of Stations C and D suggests mixed anthropogenic and hydrological controls, consistent with freshwater plastic transport and accumulation dynamics (Driedger et al., 2015; Dris et al., 2015). Higher dry-season MNPs concentration suggest that reduced dilution and increased retention during low-flow conditions. Comparable seasonal dynamics have been reported in inland aquatic systems (Driedger et al., 2015; Zhang et al., 2018).</w:t>
      </w:r>
    </w:p>
    <w:p w14:paraId="7430ACD0" w14:textId="77777777" w:rsidR="00097BB2" w:rsidRPr="00097BB2" w:rsidRDefault="00097BB2" w:rsidP="00097BB2">
      <w:pPr>
        <w:pStyle w:val="Body"/>
        <w:spacing w:after="0"/>
        <w:rPr>
          <w:rFonts w:ascii="Arial" w:hAnsi="Arial" w:cs="Arial"/>
        </w:rPr>
      </w:pPr>
    </w:p>
    <w:p w14:paraId="0A628B12" w14:textId="77777777" w:rsidR="00097BB2" w:rsidRPr="00097BB2" w:rsidRDefault="00097BB2" w:rsidP="00097BB2">
      <w:pPr>
        <w:pStyle w:val="Body"/>
        <w:spacing w:after="0"/>
        <w:rPr>
          <w:rFonts w:ascii="Arial" w:hAnsi="Arial" w:cs="Arial"/>
          <w:b/>
        </w:rPr>
      </w:pPr>
      <w:r w:rsidRPr="00097BB2">
        <w:rPr>
          <w:rFonts w:ascii="Arial" w:hAnsi="Arial" w:cs="Arial"/>
          <w:b/>
        </w:rPr>
        <w:t>3.2.6 Implications for Environmental Management</w:t>
      </w:r>
    </w:p>
    <w:p w14:paraId="017DED69" w14:textId="77777777" w:rsidR="00097BB2" w:rsidRPr="00097BB2" w:rsidRDefault="00097BB2" w:rsidP="00097BB2">
      <w:pPr>
        <w:pStyle w:val="Body"/>
        <w:spacing w:after="0"/>
        <w:rPr>
          <w:rFonts w:ascii="Arial" w:hAnsi="Arial" w:cs="Arial"/>
        </w:rPr>
      </w:pPr>
      <w:r w:rsidRPr="00097BB2">
        <w:rPr>
          <w:rFonts w:ascii="Arial" w:hAnsi="Arial" w:cs="Arial"/>
        </w:rPr>
        <w:t>The dominance of fragmented plastics and the strong coupling between MNPs and physicochemical parameters underscore the need for integrated environmental management strategies. The identification of pollution hotspots (Stations C–F) suggests that targeted interventions, such as improved waste management, regulation of agricultural runoff, and control of domestic effluents, are critical for mitigating plastic pollution. Moreover, the observed influence of environmental conditions on MNPs behavior implies that management approaches must consider not only source reduction but also environmental processes that enhance plastic persistence and transformation. Recent advances highlight that hydrodynamic conditions can significantly modulate microplastic toxicity, bioaccumulation, and ecological risk, emphasizing the importance of incorporating environmental variability into risk assessment frameworks (Rasta et al., 2026b; Rasta et al., 2026a). Regulatory enforcement and monitoring, as recommended by environmental agencies, remain essential to control plastic discharge and protect freshwater ecosystems (NESREA, 2011; UNEP, 2016).</w:t>
      </w:r>
    </w:p>
    <w:p w14:paraId="57098DA4" w14:textId="77777777" w:rsidR="00097BB2" w:rsidRPr="00097BB2" w:rsidRDefault="00097BB2" w:rsidP="00097BB2">
      <w:pPr>
        <w:pStyle w:val="Body"/>
        <w:spacing w:after="0"/>
        <w:rPr>
          <w:rFonts w:ascii="Arial" w:hAnsi="Arial" w:cs="Arial"/>
        </w:rPr>
      </w:pPr>
      <w:r w:rsidRPr="00097BB2">
        <w:rPr>
          <w:rFonts w:ascii="Arial" w:hAnsi="Arial" w:cs="Arial"/>
        </w:rPr>
        <w:t xml:space="preserve">The co-occurrence of micro- and nanoplastics alongside moderate water quality variation suggests increasing anthropogenic pressure on River Ngadda. Although physicochemical parameters remain within permissible limits, the emerging presence of plastics points to deteriorating ecological integrity. Similar concerns were raised by </w:t>
      </w:r>
      <w:r w:rsidRPr="00097BB2">
        <w:rPr>
          <w:rFonts w:ascii="Arial" w:hAnsi="Arial" w:cs="Arial"/>
          <w:bCs/>
        </w:rPr>
        <w:t>Bwala (2021a, 2021c)</w:t>
      </w:r>
      <w:r w:rsidRPr="00097BB2">
        <w:rPr>
          <w:rFonts w:ascii="Arial" w:hAnsi="Arial" w:cs="Arial"/>
        </w:rPr>
        <w:t xml:space="preserve"> and Babagana et al.</w:t>
      </w:r>
      <w:r w:rsidRPr="00097BB2">
        <w:rPr>
          <w:rFonts w:ascii="Arial" w:hAnsi="Arial" w:cs="Arial"/>
          <w:bCs/>
        </w:rPr>
        <w:t xml:space="preserve"> (2015)</w:t>
      </w:r>
      <w:r w:rsidRPr="00097BB2">
        <w:rPr>
          <w:rFonts w:ascii="Arial" w:hAnsi="Arial" w:cs="Arial"/>
        </w:rPr>
        <w:t>, who highlighted that improper waste disposal and uncontrolled irrigation practices are altering the chemical and biological state of the river.</w:t>
      </w:r>
    </w:p>
    <w:p w14:paraId="248BA4C6" w14:textId="77777777" w:rsidR="00097BB2" w:rsidRPr="00097BB2" w:rsidRDefault="00097BB2" w:rsidP="00097BB2">
      <w:pPr>
        <w:pStyle w:val="Body"/>
        <w:spacing w:after="0"/>
        <w:rPr>
          <w:rFonts w:ascii="Arial" w:hAnsi="Arial" w:cs="Arial"/>
        </w:rPr>
      </w:pPr>
      <w:r w:rsidRPr="00097BB2">
        <w:rPr>
          <w:rFonts w:ascii="Arial" w:hAnsi="Arial" w:cs="Arial"/>
        </w:rPr>
        <w:t xml:space="preserve">Effective mitigation will require enforcement of existing NESREA (2011) regulations, waste recycling, and community-based awareness campaigns to curb indiscriminate plastic use. These steps align with </w:t>
      </w:r>
      <w:r w:rsidRPr="00097BB2">
        <w:rPr>
          <w:rFonts w:ascii="Arial" w:hAnsi="Arial" w:cs="Arial"/>
          <w:bCs/>
        </w:rPr>
        <w:t>UNEP (2016)</w:t>
      </w:r>
      <w:r w:rsidRPr="00097BB2">
        <w:rPr>
          <w:rFonts w:ascii="Arial" w:hAnsi="Arial" w:cs="Arial"/>
        </w:rPr>
        <w:t xml:space="preserve"> recommendations for integrated policy approaches targeting plastic reduction and aquatic ecosystem protection.</w:t>
      </w:r>
    </w:p>
    <w:p w14:paraId="1C3CF6DB" w14:textId="77777777" w:rsidR="00863BD3" w:rsidRPr="00FB3A86" w:rsidRDefault="00863BD3" w:rsidP="00441B6F">
      <w:pPr>
        <w:pStyle w:val="Body"/>
        <w:spacing w:after="0"/>
        <w:rPr>
          <w:rFonts w:ascii="Arial" w:hAnsi="Arial" w:cs="Arial"/>
        </w:rPr>
      </w:pPr>
    </w:p>
    <w:p w14:paraId="69D6E880" w14:textId="77777777" w:rsidR="00E053D0" w:rsidRDefault="00E053D0" w:rsidP="00441B6F">
      <w:pPr>
        <w:pStyle w:val="Body"/>
        <w:spacing w:after="0"/>
        <w:rPr>
          <w:rFonts w:ascii="Arial" w:hAnsi="Arial" w:cs="Arial"/>
        </w:rPr>
      </w:pPr>
    </w:p>
    <w:p w14:paraId="74A2787F" w14:textId="77777777" w:rsidR="00790ADA" w:rsidRPr="00FB3A86" w:rsidRDefault="00790ADA" w:rsidP="00441B6F">
      <w:pPr>
        <w:pStyle w:val="Body"/>
        <w:spacing w:after="0"/>
        <w:rPr>
          <w:rFonts w:ascii="Arial" w:hAnsi="Arial" w:cs="Arial"/>
        </w:rPr>
      </w:pPr>
    </w:p>
    <w:p w14:paraId="17F5A5F6"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45EC91BA" w14:textId="77777777" w:rsidR="00790ADA" w:rsidRPr="00FB3A86" w:rsidRDefault="00790ADA" w:rsidP="00441B6F">
      <w:pPr>
        <w:pStyle w:val="ConcHead"/>
        <w:spacing w:after="0"/>
        <w:jc w:val="both"/>
        <w:rPr>
          <w:rFonts w:ascii="Arial" w:hAnsi="Arial" w:cs="Arial"/>
        </w:rPr>
      </w:pPr>
    </w:p>
    <w:p w14:paraId="1F9F71BA" w14:textId="77777777" w:rsidR="00097BB2" w:rsidRPr="00097BB2" w:rsidRDefault="00097BB2" w:rsidP="00097BB2">
      <w:pPr>
        <w:pStyle w:val="Body"/>
        <w:spacing w:after="0"/>
        <w:rPr>
          <w:rFonts w:ascii="Arial" w:hAnsi="Arial" w:cs="Arial"/>
        </w:rPr>
      </w:pPr>
      <w:r w:rsidRPr="00097BB2">
        <w:rPr>
          <w:rFonts w:ascii="Arial" w:hAnsi="Arial" w:cs="Arial"/>
        </w:rPr>
        <w:t xml:space="preserve">This study revealed that the physicochemical parameters of River Ngadda remained within the permissible limits of </w:t>
      </w:r>
      <w:r w:rsidRPr="00097BB2">
        <w:rPr>
          <w:rFonts w:ascii="Arial" w:hAnsi="Arial" w:cs="Arial"/>
          <w:bCs/>
        </w:rPr>
        <w:t>NESREA (2011)</w:t>
      </w:r>
      <w:r w:rsidRPr="00097BB2">
        <w:rPr>
          <w:rFonts w:ascii="Arial" w:hAnsi="Arial" w:cs="Arial"/>
        </w:rPr>
        <w:t xml:space="preserve"> and </w:t>
      </w:r>
      <w:r w:rsidRPr="00097BB2">
        <w:rPr>
          <w:rFonts w:ascii="Arial" w:hAnsi="Arial" w:cs="Arial"/>
          <w:bCs/>
        </w:rPr>
        <w:t>WHO</w:t>
      </w:r>
      <w:r w:rsidRPr="00097BB2">
        <w:rPr>
          <w:rFonts w:ascii="Arial" w:hAnsi="Arial" w:cs="Arial"/>
        </w:rPr>
        <w:t xml:space="preserve"> standards, indicating moderate water quality status. However, seasonal variations significantly influenced water chemistry, with higher temperature, EC, and nitrate concentrations recorded during the dry season due to increased evaporation and solute concentration. The wet season showed elevated pH and sulphate levels, reflecting runoff inputs and organic matter decomposition. This study further demonstrates that the distribution of MNPs in the aquatic system is primarily driven by anthropogenic activities, with significant modulation by physicochemical parameters. The predominance of fragments and diverse polymer types indicates advanced stages of plastic degradation and continuous input into the system. Multivariate analyses confirm that environmental factors such as TDS, EC, temperature, and nutrients not only influence the spatial distribution of MNPs but also their transformation and potential ecological impacts. These findings align with emerging evidence that environmental dynamics, including hydrodynamics and water chemistry, play a crucial role in determining microplastic fate and toxicity in aquatic organisms (Rasta et al., 2025; Rasta et al., 2026b). The presence of both MPs and NPs across all sampling stations signifies growing plastic contamination within the river system. The higher levels of concentrations and abundance during the dry-season; and </w:t>
      </w:r>
      <w:proofErr w:type="gramStart"/>
      <w:r w:rsidRPr="00097BB2">
        <w:rPr>
          <w:rFonts w:ascii="Arial" w:hAnsi="Arial" w:cs="Arial"/>
        </w:rPr>
        <w:t>also</w:t>
      </w:r>
      <w:proofErr w:type="gramEnd"/>
      <w:r w:rsidRPr="00097BB2">
        <w:rPr>
          <w:rFonts w:ascii="Arial" w:hAnsi="Arial" w:cs="Arial"/>
        </w:rPr>
        <w:t xml:space="preserve"> the dominance of PA, PET, and PVC polymers point to domestic, agricultural, and industrial sources intensified by reduced flow conditions. Station C and D exhibited the highest MP and NP abundances, corresponding to effluent discharges from Maiduguri Water Treatment Plant (MWTP), densely populated and waste-impacted zones. These findings indicate that River Ngadda is under increasing anthropogenic stress, particularly from plastic waste mismanagement. Although current physicochemical parameters suggest acceptable water quality, the detection of micro- and nanoplastics highlights a potential ecological risk that could escalate without intervention. Continuous monitoring, enforcement of </w:t>
      </w:r>
      <w:r w:rsidRPr="00097BB2">
        <w:rPr>
          <w:rFonts w:ascii="Arial" w:hAnsi="Arial" w:cs="Arial"/>
          <w:bCs/>
        </w:rPr>
        <w:t>NESREA</w:t>
      </w:r>
      <w:r w:rsidRPr="00097BB2">
        <w:rPr>
          <w:rFonts w:ascii="Arial" w:hAnsi="Arial" w:cs="Arial"/>
        </w:rPr>
        <w:t xml:space="preserve"> regulations, and community-based waste management strategies are essential to prevent further degradation. In conclusion, while River Ngadda currently supports acceptable water quality, the emerging prevalence of MNPs underscores an urgent need for integrated environmental management to preserve its ecological and public health functions in the long term.</w:t>
      </w:r>
    </w:p>
    <w:p w14:paraId="42DAA84A" w14:textId="77777777" w:rsidR="00790ADA" w:rsidRPr="00FB3A86" w:rsidRDefault="00790ADA" w:rsidP="00441B6F">
      <w:pPr>
        <w:pStyle w:val="Body"/>
        <w:spacing w:after="0"/>
        <w:rPr>
          <w:rFonts w:ascii="Arial" w:hAnsi="Arial" w:cs="Arial"/>
        </w:rPr>
      </w:pPr>
    </w:p>
    <w:p w14:paraId="1603C3BE" w14:textId="77777777" w:rsidR="002B685A" w:rsidRDefault="002B685A" w:rsidP="00441B6F">
      <w:pPr>
        <w:pStyle w:val="ReferHead"/>
        <w:spacing w:after="0"/>
        <w:jc w:val="both"/>
        <w:rPr>
          <w:rFonts w:ascii="Arial" w:hAnsi="Arial" w:cs="Arial"/>
          <w:b w:val="0"/>
          <w:caps w:val="0"/>
          <w:sz w:val="20"/>
        </w:rPr>
      </w:pPr>
    </w:p>
    <w:p w14:paraId="29790167" w14:textId="77777777" w:rsidR="005C784C" w:rsidRDefault="005C784C" w:rsidP="00441B6F">
      <w:pPr>
        <w:pStyle w:val="ReferHead"/>
        <w:spacing w:after="0"/>
        <w:jc w:val="both"/>
        <w:rPr>
          <w:rFonts w:ascii="Arial" w:hAnsi="Arial" w:cs="Arial"/>
          <w:b w:val="0"/>
          <w:caps w:val="0"/>
          <w:sz w:val="20"/>
        </w:rPr>
      </w:pPr>
    </w:p>
    <w:p w14:paraId="22379ACC"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4A3A376F" w14:textId="77777777" w:rsidR="00790ADA" w:rsidRPr="00FB3A86" w:rsidRDefault="00790ADA" w:rsidP="00441B6F">
      <w:pPr>
        <w:pStyle w:val="ReferHead"/>
        <w:spacing w:after="0"/>
        <w:jc w:val="both"/>
        <w:rPr>
          <w:rFonts w:ascii="Arial" w:hAnsi="Arial" w:cs="Arial"/>
        </w:rPr>
      </w:pPr>
    </w:p>
    <w:p w14:paraId="366D876C"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[APHA] American Public Health Association. 2005. Standard Methods for the Examination of Water and Wastewater, 21st edition. </w:t>
      </w:r>
      <w:r w:rsidRPr="00097BB2">
        <w:rPr>
          <w:rFonts w:ascii="Arial" w:hAnsi="Arial" w:cs="Arial"/>
          <w:i/>
        </w:rPr>
        <w:t>American Public Health Association</w:t>
      </w:r>
      <w:r w:rsidRPr="00097BB2">
        <w:rPr>
          <w:rFonts w:ascii="Arial" w:hAnsi="Arial" w:cs="Arial"/>
        </w:rPr>
        <w:t>.</w:t>
      </w:r>
    </w:p>
    <w:p w14:paraId="22F11BDE"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[BORMLS] Borno State Ministry of Land and Survey. 2008. Borno State Office Memo File. </w:t>
      </w:r>
      <w:r w:rsidRPr="00097BB2">
        <w:rPr>
          <w:rFonts w:ascii="Arial" w:hAnsi="Arial" w:cs="Arial"/>
          <w:i/>
          <w:iCs/>
        </w:rPr>
        <w:t>Borno State Ministry of Land and Survey, Musa Usman Secretariat, Maiduguri, Borno State Nigeria.</w:t>
      </w:r>
    </w:p>
    <w:p w14:paraId="16C6E121" w14:textId="77777777" w:rsidR="00097BB2" w:rsidRPr="00097BB2" w:rsidRDefault="00097BB2" w:rsidP="00097BB2">
      <w:pPr>
        <w:spacing w:before="240"/>
        <w:ind w:left="851" w:hanging="851"/>
        <w:jc w:val="both"/>
        <w:rPr>
          <w:rFonts w:ascii="Arial" w:hAnsi="Arial" w:cs="Arial"/>
          <w:i/>
        </w:rPr>
      </w:pPr>
      <w:r w:rsidRPr="00097BB2">
        <w:rPr>
          <w:rFonts w:ascii="Arial" w:hAnsi="Arial" w:cs="Arial"/>
        </w:rPr>
        <w:t xml:space="preserve">[NESREA] National Environmental Standards and Regulations Enforcement Agency. 2011. National Environmental (Domestic and Industrial Plastic, Rubber and Foam Sector, Regulation, 2011. </w:t>
      </w:r>
      <w:r w:rsidRPr="00097BB2">
        <w:rPr>
          <w:rFonts w:ascii="Arial" w:hAnsi="Arial" w:cs="Arial"/>
          <w:i/>
        </w:rPr>
        <w:t>National Environmental Standards and Regulations Enforcement Agency (NESREA), Abuja, Nigeria.</w:t>
      </w:r>
    </w:p>
    <w:p w14:paraId="66B75B6B"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[UNEP] United Nations Environment Programme. 2016. Marine plastic debris and microplastics – Global lessons and research to inspire action and guide policy change. </w:t>
      </w:r>
      <w:r w:rsidRPr="00097BB2">
        <w:rPr>
          <w:rFonts w:ascii="Arial" w:hAnsi="Arial" w:cs="Arial"/>
          <w:i/>
          <w:iCs/>
        </w:rPr>
        <w:t>United Nations Environment Programme, Nairobi</w:t>
      </w:r>
      <w:r w:rsidRPr="00097BB2">
        <w:rPr>
          <w:rFonts w:ascii="Arial" w:hAnsi="Arial" w:cs="Arial"/>
        </w:rPr>
        <w:t xml:space="preserve">, </w:t>
      </w:r>
      <w:r w:rsidRPr="00097BB2">
        <w:rPr>
          <w:rFonts w:ascii="Arial" w:hAnsi="Arial" w:cs="Arial"/>
          <w:i/>
        </w:rPr>
        <w:t>Kenya</w:t>
      </w:r>
      <w:r w:rsidRPr="00097BB2">
        <w:rPr>
          <w:rFonts w:ascii="Arial" w:hAnsi="Arial" w:cs="Arial"/>
        </w:rPr>
        <w:t>.</w:t>
      </w:r>
    </w:p>
    <w:p w14:paraId="233B0D10"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Andrady AL, 2015. Persistence of Plastic Litter in the Oceans. </w:t>
      </w:r>
      <w:r w:rsidRPr="00097BB2">
        <w:rPr>
          <w:rFonts w:ascii="Arial" w:hAnsi="Arial" w:cs="Arial"/>
          <w:i/>
          <w:iCs/>
        </w:rPr>
        <w:t xml:space="preserve">In M. Bergmann, L. </w:t>
      </w:r>
      <w:proofErr w:type="spellStart"/>
      <w:r w:rsidRPr="00097BB2">
        <w:rPr>
          <w:rFonts w:ascii="Arial" w:hAnsi="Arial" w:cs="Arial"/>
          <w:i/>
          <w:iCs/>
        </w:rPr>
        <w:t>Gutow</w:t>
      </w:r>
      <w:proofErr w:type="spellEnd"/>
      <w:r w:rsidRPr="00097BB2">
        <w:rPr>
          <w:rFonts w:ascii="Arial" w:hAnsi="Arial" w:cs="Arial"/>
          <w:i/>
          <w:iCs/>
        </w:rPr>
        <w:t>, L. &amp; M. Klages, eds. Marine Anthropogenic Litter, pp. 57-72. Cham, Switzerland, Springer International Publishing</w:t>
      </w:r>
      <w:r w:rsidRPr="00097BB2">
        <w:rPr>
          <w:rFonts w:ascii="Arial" w:hAnsi="Arial" w:cs="Arial"/>
        </w:rPr>
        <w:t>.</w:t>
      </w:r>
    </w:p>
    <w:p w14:paraId="2B70D596"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Auta HS, Emenike CU, &amp; Fauziah SH. 2017. Distribution and Importance of Microplastics in the Marine Environment: A Review of the Sources, Fate, Effects, and Potential Solutions. </w:t>
      </w:r>
      <w:r w:rsidRPr="00097BB2">
        <w:rPr>
          <w:rFonts w:ascii="Arial" w:hAnsi="Arial" w:cs="Arial"/>
          <w:i/>
          <w:iCs/>
        </w:rPr>
        <w:t xml:space="preserve">Environment International, </w:t>
      </w:r>
      <w:r w:rsidRPr="00097BB2">
        <w:rPr>
          <w:rFonts w:ascii="Arial" w:hAnsi="Arial" w:cs="Arial"/>
          <w:b/>
          <w:i/>
          <w:iCs/>
        </w:rPr>
        <w:t>102:</w:t>
      </w:r>
      <w:r w:rsidRPr="00097BB2">
        <w:rPr>
          <w:rFonts w:ascii="Arial" w:hAnsi="Arial" w:cs="Arial"/>
          <w:i/>
          <w:iCs/>
        </w:rPr>
        <w:t xml:space="preserve"> 165-176. </w:t>
      </w:r>
      <w:proofErr w:type="gramStart"/>
      <w:r w:rsidRPr="00097BB2">
        <w:rPr>
          <w:rFonts w:ascii="Arial" w:hAnsi="Arial" w:cs="Arial"/>
          <w:i/>
          <w:iCs/>
          <w:u w:val="single"/>
        </w:rPr>
        <w:t>doi:10.1016/j.envint</w:t>
      </w:r>
      <w:proofErr w:type="gramEnd"/>
      <w:r w:rsidRPr="00097BB2">
        <w:rPr>
          <w:rFonts w:ascii="Arial" w:hAnsi="Arial" w:cs="Arial"/>
          <w:i/>
          <w:iCs/>
          <w:u w:val="single"/>
        </w:rPr>
        <w:t>.2017.02.013</w:t>
      </w:r>
    </w:p>
    <w:p w14:paraId="22BEACDE"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Babagana A, </w:t>
      </w:r>
      <w:proofErr w:type="spellStart"/>
      <w:r w:rsidRPr="00097BB2">
        <w:rPr>
          <w:rFonts w:ascii="Arial" w:hAnsi="Arial" w:cs="Arial"/>
        </w:rPr>
        <w:t>Dungus</w:t>
      </w:r>
      <w:proofErr w:type="spellEnd"/>
      <w:r w:rsidRPr="00097BB2">
        <w:rPr>
          <w:rFonts w:ascii="Arial" w:hAnsi="Arial" w:cs="Arial"/>
        </w:rPr>
        <w:t xml:space="preserve"> B, Bello SA &amp; Kolo BS. 2015. Problems and Prospects of </w:t>
      </w:r>
      <w:proofErr w:type="spellStart"/>
      <w:r w:rsidRPr="00097BB2">
        <w:rPr>
          <w:rFonts w:ascii="Arial" w:hAnsi="Arial" w:cs="Arial"/>
        </w:rPr>
        <w:t>Alau</w:t>
      </w:r>
      <w:proofErr w:type="spellEnd"/>
      <w:r w:rsidRPr="00097BB2">
        <w:rPr>
          <w:rFonts w:ascii="Arial" w:hAnsi="Arial" w:cs="Arial"/>
        </w:rPr>
        <w:t xml:space="preserve"> Dam Construction in </w:t>
      </w:r>
      <w:proofErr w:type="spellStart"/>
      <w:r w:rsidRPr="00097BB2">
        <w:rPr>
          <w:rFonts w:ascii="Arial" w:hAnsi="Arial" w:cs="Arial"/>
        </w:rPr>
        <w:t>Alau</w:t>
      </w:r>
      <w:proofErr w:type="spellEnd"/>
      <w:r w:rsidRPr="00097BB2">
        <w:rPr>
          <w:rFonts w:ascii="Arial" w:hAnsi="Arial" w:cs="Arial"/>
        </w:rPr>
        <w:t xml:space="preserve"> Community, Konduga Local Government Area, Borno State, Nigeria. </w:t>
      </w:r>
      <w:r w:rsidRPr="00097BB2">
        <w:rPr>
          <w:rFonts w:ascii="Arial" w:hAnsi="Arial" w:cs="Arial"/>
          <w:i/>
          <w:iCs/>
        </w:rPr>
        <w:t xml:space="preserve">European Scientific Journal, </w:t>
      </w:r>
      <w:r w:rsidRPr="00097BB2">
        <w:rPr>
          <w:rFonts w:ascii="Arial" w:hAnsi="Arial" w:cs="Arial"/>
          <w:b/>
          <w:bCs/>
          <w:i/>
          <w:iCs/>
        </w:rPr>
        <w:t>11</w:t>
      </w:r>
      <w:r w:rsidRPr="00097BB2">
        <w:rPr>
          <w:rFonts w:ascii="Arial" w:hAnsi="Arial" w:cs="Arial"/>
          <w:i/>
          <w:iCs/>
        </w:rPr>
        <w:t xml:space="preserve"> (20): 195 – 207</w:t>
      </w:r>
      <w:r w:rsidRPr="00097BB2">
        <w:rPr>
          <w:rFonts w:ascii="Arial" w:hAnsi="Arial" w:cs="Arial"/>
        </w:rPr>
        <w:t>.</w:t>
      </w:r>
    </w:p>
    <w:p w14:paraId="07FA7E2B" w14:textId="77777777" w:rsidR="00097BB2" w:rsidRPr="00097BB2" w:rsidRDefault="00097BB2" w:rsidP="00097BB2">
      <w:pPr>
        <w:spacing w:before="240"/>
        <w:ind w:left="851" w:hanging="851"/>
        <w:jc w:val="both"/>
        <w:rPr>
          <w:rFonts w:ascii="Arial" w:hAnsi="Arial" w:cs="Arial"/>
          <w:i/>
          <w:iCs/>
        </w:rPr>
      </w:pPr>
      <w:proofErr w:type="spellStart"/>
      <w:r w:rsidRPr="00097BB2">
        <w:rPr>
          <w:rFonts w:ascii="Arial" w:hAnsi="Arial" w:cs="Arial"/>
        </w:rPr>
        <w:t>Bellasi</w:t>
      </w:r>
      <w:proofErr w:type="spellEnd"/>
      <w:r w:rsidRPr="00097BB2">
        <w:rPr>
          <w:rFonts w:ascii="Arial" w:hAnsi="Arial" w:cs="Arial"/>
        </w:rPr>
        <w:t xml:space="preserve"> A, Binda G, Pozzi A, </w:t>
      </w:r>
      <w:proofErr w:type="spellStart"/>
      <w:r w:rsidRPr="00097BB2">
        <w:rPr>
          <w:rFonts w:ascii="Arial" w:hAnsi="Arial" w:cs="Arial"/>
        </w:rPr>
        <w:t>Galafassi</w:t>
      </w:r>
      <w:proofErr w:type="spellEnd"/>
      <w:r w:rsidRPr="00097BB2">
        <w:rPr>
          <w:rFonts w:ascii="Arial" w:hAnsi="Arial" w:cs="Arial"/>
        </w:rPr>
        <w:t xml:space="preserve"> S, Volta P, &amp; </w:t>
      </w:r>
      <w:proofErr w:type="spellStart"/>
      <w:r w:rsidRPr="00097BB2">
        <w:rPr>
          <w:rFonts w:ascii="Arial" w:hAnsi="Arial" w:cs="Arial"/>
        </w:rPr>
        <w:t>Bettinetti</w:t>
      </w:r>
      <w:proofErr w:type="spellEnd"/>
      <w:r w:rsidRPr="00097BB2">
        <w:rPr>
          <w:rFonts w:ascii="Arial" w:hAnsi="Arial" w:cs="Arial"/>
        </w:rPr>
        <w:t xml:space="preserve"> R. 2020. Microplastic Contamination in Freshwater Environments: A Review, Focusing on Interactions with Sediments and Benthic Organisms. </w:t>
      </w:r>
      <w:r w:rsidRPr="00097BB2">
        <w:rPr>
          <w:rFonts w:ascii="Arial" w:hAnsi="Arial" w:cs="Arial"/>
          <w:i/>
          <w:iCs/>
        </w:rPr>
        <w:t xml:space="preserve">Environments, </w:t>
      </w:r>
      <w:r w:rsidRPr="00097BB2">
        <w:rPr>
          <w:rFonts w:ascii="Arial" w:hAnsi="Arial" w:cs="Arial"/>
          <w:b/>
          <w:i/>
          <w:iCs/>
        </w:rPr>
        <w:t>7</w:t>
      </w:r>
      <w:r w:rsidRPr="00097BB2">
        <w:rPr>
          <w:rFonts w:ascii="Arial" w:hAnsi="Arial" w:cs="Arial"/>
          <w:i/>
          <w:iCs/>
        </w:rPr>
        <w:t xml:space="preserve">(4). </w:t>
      </w:r>
      <w:r w:rsidRPr="00097BB2">
        <w:rPr>
          <w:rFonts w:ascii="Arial" w:hAnsi="Arial" w:cs="Arial"/>
          <w:i/>
          <w:iCs/>
          <w:u w:val="single"/>
        </w:rPr>
        <w:t>doi:10.3390/environments7040030</w:t>
      </w:r>
    </w:p>
    <w:p w14:paraId="2FC6EFF8"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Besseling</w:t>
      </w:r>
      <w:proofErr w:type="spellEnd"/>
      <w:r w:rsidRPr="00097BB2">
        <w:rPr>
          <w:rFonts w:ascii="Arial" w:hAnsi="Arial" w:cs="Arial"/>
        </w:rPr>
        <w:t xml:space="preserve"> E, Quik JTK, Sun M, &amp; </w:t>
      </w:r>
      <w:proofErr w:type="spellStart"/>
      <w:r w:rsidRPr="00097BB2">
        <w:rPr>
          <w:rFonts w:ascii="Arial" w:hAnsi="Arial" w:cs="Arial"/>
        </w:rPr>
        <w:t>Koelmans</w:t>
      </w:r>
      <w:proofErr w:type="spellEnd"/>
      <w:r w:rsidRPr="00097BB2">
        <w:rPr>
          <w:rFonts w:ascii="Arial" w:hAnsi="Arial" w:cs="Arial"/>
        </w:rPr>
        <w:t xml:space="preserve"> AA. 2017. Fate of Nano- and Microplastic in Freshwater Systems: A Modelling Study. </w:t>
      </w:r>
      <w:r w:rsidRPr="00097BB2">
        <w:rPr>
          <w:rFonts w:ascii="Arial" w:hAnsi="Arial" w:cs="Arial"/>
          <w:i/>
          <w:iCs/>
        </w:rPr>
        <w:t xml:space="preserve">Environmental Pollution, </w:t>
      </w:r>
      <w:r w:rsidRPr="00097BB2">
        <w:rPr>
          <w:rFonts w:ascii="Arial" w:hAnsi="Arial" w:cs="Arial"/>
          <w:b/>
          <w:bCs/>
          <w:i/>
          <w:iCs/>
        </w:rPr>
        <w:t>220</w:t>
      </w:r>
      <w:r w:rsidRPr="00097BB2">
        <w:rPr>
          <w:rFonts w:ascii="Arial" w:hAnsi="Arial" w:cs="Arial"/>
          <w:i/>
          <w:iCs/>
        </w:rPr>
        <w:t>: 540-548</w:t>
      </w:r>
      <w:r w:rsidRPr="00097BB2">
        <w:rPr>
          <w:rFonts w:ascii="Arial" w:hAnsi="Arial" w:cs="Arial"/>
        </w:rPr>
        <w:t>.</w:t>
      </w:r>
    </w:p>
    <w:p w14:paraId="7DF0C758"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Biginagwa</w:t>
      </w:r>
      <w:proofErr w:type="spellEnd"/>
      <w:r w:rsidRPr="00097BB2">
        <w:rPr>
          <w:rFonts w:ascii="Arial" w:hAnsi="Arial" w:cs="Arial"/>
        </w:rPr>
        <w:t xml:space="preserve"> FJ, Mayoma BS, </w:t>
      </w:r>
      <w:proofErr w:type="spellStart"/>
      <w:r w:rsidRPr="00097BB2">
        <w:rPr>
          <w:rFonts w:ascii="Arial" w:hAnsi="Arial" w:cs="Arial"/>
        </w:rPr>
        <w:t>Shashoua</w:t>
      </w:r>
      <w:proofErr w:type="spellEnd"/>
      <w:r w:rsidRPr="00097BB2">
        <w:rPr>
          <w:rFonts w:ascii="Arial" w:hAnsi="Arial" w:cs="Arial"/>
        </w:rPr>
        <w:t xml:space="preserve"> Y, Syberg K, &amp; Khan FR. 2016. First Evidence of Microplastics in the African Great Lakes: Recovery from Lake Victoria Nile Perch and Nile Tilapia. </w:t>
      </w:r>
      <w:r w:rsidRPr="00097BB2">
        <w:rPr>
          <w:rFonts w:ascii="Arial" w:hAnsi="Arial" w:cs="Arial"/>
          <w:i/>
        </w:rPr>
        <w:t>Journal of</w:t>
      </w:r>
      <w:r w:rsidRPr="00097BB2">
        <w:rPr>
          <w:rFonts w:ascii="Arial" w:hAnsi="Arial" w:cs="Arial"/>
          <w:i/>
          <w:iCs/>
        </w:rPr>
        <w:t xml:space="preserve"> Great Lakes Research, </w:t>
      </w:r>
      <w:r w:rsidRPr="00097BB2">
        <w:rPr>
          <w:rFonts w:ascii="Arial" w:hAnsi="Arial" w:cs="Arial"/>
          <w:b/>
          <w:bCs/>
          <w:i/>
          <w:iCs/>
        </w:rPr>
        <w:t>41</w:t>
      </w:r>
      <w:r w:rsidRPr="00097BB2">
        <w:rPr>
          <w:rFonts w:ascii="Arial" w:hAnsi="Arial" w:cs="Arial"/>
          <w:i/>
          <w:iCs/>
        </w:rPr>
        <w:t xml:space="preserve"> (1): 146-149</w:t>
      </w:r>
      <w:r w:rsidRPr="00097BB2">
        <w:rPr>
          <w:rFonts w:ascii="Arial" w:hAnsi="Arial" w:cs="Arial"/>
        </w:rPr>
        <w:t>.</w:t>
      </w:r>
    </w:p>
    <w:p w14:paraId="191C7B66"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Bwala MN,</w:t>
      </w:r>
      <w:r w:rsidRPr="00097BB2">
        <w:rPr>
          <w:rFonts w:ascii="Arial" w:hAnsi="Arial" w:cs="Arial"/>
          <w:b/>
          <w:bCs/>
        </w:rPr>
        <w:t xml:space="preserve"> </w:t>
      </w:r>
      <w:r w:rsidRPr="00097BB2">
        <w:rPr>
          <w:rFonts w:ascii="Arial" w:hAnsi="Arial" w:cs="Arial"/>
          <w:bCs/>
        </w:rPr>
        <w:t>&amp; Imam TS.</w:t>
      </w:r>
      <w:r w:rsidRPr="00097BB2">
        <w:rPr>
          <w:rFonts w:ascii="Arial" w:hAnsi="Arial" w:cs="Arial"/>
          <w:b/>
          <w:bCs/>
        </w:rPr>
        <w:t xml:space="preserve"> </w:t>
      </w:r>
      <w:r w:rsidRPr="00097BB2">
        <w:rPr>
          <w:rFonts w:ascii="Arial" w:hAnsi="Arial" w:cs="Arial"/>
        </w:rPr>
        <w:t xml:space="preserve">2021.  Fish Smoking, Preservation and Socio-Economic Characteristics of Fish Smokers and Traders in Selected Fish Markets in Borno State, Nigeria. </w:t>
      </w:r>
      <w:r w:rsidRPr="00097BB2">
        <w:rPr>
          <w:rFonts w:ascii="Arial" w:hAnsi="Arial" w:cs="Arial"/>
          <w:i/>
        </w:rPr>
        <w:t xml:space="preserve">Nigerian Journal of Fisheries, </w:t>
      </w:r>
      <w:r w:rsidRPr="00097BB2">
        <w:rPr>
          <w:rFonts w:ascii="Arial" w:hAnsi="Arial" w:cs="Arial"/>
          <w:b/>
          <w:i/>
        </w:rPr>
        <w:t>18</w:t>
      </w:r>
      <w:r w:rsidRPr="00097BB2">
        <w:rPr>
          <w:rFonts w:ascii="Arial" w:hAnsi="Arial" w:cs="Arial"/>
          <w:i/>
        </w:rPr>
        <w:t xml:space="preserve"> (2):</w:t>
      </w:r>
      <w:r w:rsidRPr="00097BB2">
        <w:rPr>
          <w:rFonts w:ascii="Arial" w:hAnsi="Arial" w:cs="Arial"/>
          <w:bCs/>
          <w:i/>
        </w:rPr>
        <w:t xml:space="preserve"> 2346 – 2354.</w:t>
      </w:r>
    </w:p>
    <w:p w14:paraId="74B6B86A"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Bwala MN. 2021a. Impact of Nonpoint Source Pollutant on Fish Biodiversity in River Ngadda, Maiduguri – Borno State. </w:t>
      </w:r>
      <w:r w:rsidRPr="00097BB2">
        <w:rPr>
          <w:rFonts w:ascii="Arial" w:hAnsi="Arial" w:cs="Arial"/>
          <w:i/>
          <w:iCs/>
        </w:rPr>
        <w:t xml:space="preserve">Nigerian Journal of Pure &amp; Applied Sciences, </w:t>
      </w:r>
      <w:r w:rsidRPr="00097BB2">
        <w:rPr>
          <w:rFonts w:ascii="Arial" w:hAnsi="Arial" w:cs="Arial"/>
          <w:b/>
          <w:bCs/>
          <w:i/>
          <w:iCs/>
        </w:rPr>
        <w:t>34</w:t>
      </w:r>
      <w:r w:rsidRPr="00097BB2">
        <w:rPr>
          <w:rFonts w:ascii="Arial" w:hAnsi="Arial" w:cs="Arial"/>
          <w:i/>
          <w:iCs/>
        </w:rPr>
        <w:t>(1): 3631 – 3640.</w:t>
      </w:r>
    </w:p>
    <w:p w14:paraId="20CDBBD6"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Bwala MN. 2021b. The Impact of Irrigational Activities on the Abundance and Distribution of Cat Fish (</w:t>
      </w:r>
      <w:r w:rsidRPr="00097BB2">
        <w:rPr>
          <w:rFonts w:ascii="Arial" w:hAnsi="Arial" w:cs="Arial"/>
          <w:i/>
          <w:iCs/>
        </w:rPr>
        <w:t>Clarias gariepinus</w:t>
      </w:r>
      <w:r w:rsidRPr="00097BB2">
        <w:rPr>
          <w:rFonts w:ascii="Arial" w:hAnsi="Arial" w:cs="Arial"/>
        </w:rPr>
        <w:t xml:space="preserve">) in River Ngadda, Maiduguri, Borno State. </w:t>
      </w:r>
      <w:r w:rsidRPr="00097BB2">
        <w:rPr>
          <w:rFonts w:ascii="Arial" w:hAnsi="Arial" w:cs="Arial"/>
          <w:i/>
          <w:iCs/>
        </w:rPr>
        <w:t xml:space="preserve">Nigerian Journal of Science &amp; Research, </w:t>
      </w:r>
      <w:r w:rsidRPr="00097BB2">
        <w:rPr>
          <w:rFonts w:ascii="Arial" w:hAnsi="Arial" w:cs="Arial"/>
          <w:b/>
          <w:bCs/>
          <w:i/>
          <w:iCs/>
        </w:rPr>
        <w:t xml:space="preserve">2 </w:t>
      </w:r>
      <w:r w:rsidRPr="00097BB2">
        <w:rPr>
          <w:rFonts w:ascii="Arial" w:hAnsi="Arial" w:cs="Arial"/>
          <w:i/>
          <w:iCs/>
        </w:rPr>
        <w:t>(1): 7-12</w:t>
      </w:r>
      <w:r w:rsidRPr="00097BB2">
        <w:rPr>
          <w:rFonts w:ascii="Arial" w:hAnsi="Arial" w:cs="Arial"/>
        </w:rPr>
        <w:t xml:space="preserve">. </w:t>
      </w:r>
    </w:p>
    <w:p w14:paraId="0FABC801"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Bwala MN. 2021c. Effect of Irrigational Activities on Water Quality of River Ngadda, Maiduguri – Nigeria. </w:t>
      </w:r>
      <w:r w:rsidRPr="00097BB2">
        <w:rPr>
          <w:rFonts w:ascii="Arial" w:hAnsi="Arial" w:cs="Arial"/>
          <w:i/>
          <w:iCs/>
        </w:rPr>
        <w:t xml:space="preserve">Sule Lamido University Journal of Science and Technology, </w:t>
      </w:r>
      <w:r w:rsidRPr="00097BB2">
        <w:rPr>
          <w:rFonts w:ascii="Arial" w:hAnsi="Arial" w:cs="Arial"/>
          <w:b/>
          <w:bCs/>
          <w:i/>
          <w:iCs/>
        </w:rPr>
        <w:t xml:space="preserve">2 </w:t>
      </w:r>
      <w:r w:rsidRPr="00097BB2">
        <w:rPr>
          <w:rFonts w:ascii="Arial" w:hAnsi="Arial" w:cs="Arial"/>
          <w:i/>
          <w:iCs/>
        </w:rPr>
        <w:t>(3): 8-18</w:t>
      </w:r>
      <w:r w:rsidRPr="00097BB2">
        <w:rPr>
          <w:rFonts w:ascii="Arial" w:hAnsi="Arial" w:cs="Arial"/>
        </w:rPr>
        <w:t>.</w:t>
      </w:r>
    </w:p>
    <w:p w14:paraId="4C2477E0" w14:textId="77777777" w:rsidR="00097BB2" w:rsidRPr="00097BB2" w:rsidRDefault="00097BB2" w:rsidP="00097BB2">
      <w:pPr>
        <w:spacing w:before="240"/>
        <w:ind w:left="851" w:hanging="851"/>
        <w:jc w:val="both"/>
        <w:rPr>
          <w:rStyle w:val="Hyperlink"/>
          <w:rFonts w:ascii="Arial" w:hAnsi="Arial" w:cs="Arial"/>
          <w:iCs/>
        </w:rPr>
      </w:pPr>
      <w:r w:rsidRPr="00097BB2">
        <w:rPr>
          <w:rFonts w:ascii="Arial" w:hAnsi="Arial" w:cs="Arial"/>
        </w:rPr>
        <w:t xml:space="preserve">Bwala, MN, Gaya, EA, </w:t>
      </w:r>
      <w:proofErr w:type="spellStart"/>
      <w:r w:rsidRPr="00097BB2">
        <w:rPr>
          <w:rFonts w:ascii="Arial" w:hAnsi="Arial" w:cs="Arial"/>
        </w:rPr>
        <w:t>Nayaya</w:t>
      </w:r>
      <w:proofErr w:type="spellEnd"/>
      <w:r w:rsidRPr="00097BB2">
        <w:rPr>
          <w:rFonts w:ascii="Arial" w:hAnsi="Arial" w:cs="Arial"/>
        </w:rPr>
        <w:t xml:space="preserve">, AJ &amp; Buba, T. (2026). Ecotoxicity of Petrogenic Plastic Particles in Fish: Implication for Human Health and Environmental Risk Assessment. </w:t>
      </w:r>
      <w:r w:rsidRPr="00097BB2">
        <w:rPr>
          <w:rFonts w:ascii="Arial" w:hAnsi="Arial" w:cs="Arial"/>
          <w:i/>
        </w:rPr>
        <w:t xml:space="preserve">Food and Drug Safety. 3(1): 1–16. DOI: </w:t>
      </w:r>
      <w:hyperlink r:id="rId27" w:history="1">
        <w:r w:rsidRPr="00097BB2">
          <w:rPr>
            <w:rStyle w:val="Hyperlink"/>
            <w:rFonts w:ascii="Arial" w:hAnsi="Arial" w:cs="Arial"/>
            <w:i/>
          </w:rPr>
          <w:t>https://doi.org/10.55121/fds.v3i1.700</w:t>
        </w:r>
      </w:hyperlink>
    </w:p>
    <w:p w14:paraId="2E1797FB" w14:textId="77777777" w:rsidR="00097BB2" w:rsidRPr="00097BB2" w:rsidRDefault="00097BB2" w:rsidP="00097BB2">
      <w:pPr>
        <w:spacing w:before="240"/>
        <w:ind w:left="851" w:hanging="851"/>
        <w:jc w:val="both"/>
        <w:rPr>
          <w:rFonts w:ascii="Arial" w:hAnsi="Arial" w:cs="Arial"/>
          <w:i/>
          <w:iCs/>
          <w:u w:val="single"/>
        </w:rPr>
      </w:pPr>
      <w:r w:rsidRPr="00097BB2">
        <w:rPr>
          <w:rFonts w:ascii="Arial" w:hAnsi="Arial" w:cs="Arial"/>
        </w:rPr>
        <w:t xml:space="preserve">Campbell SH, Williamson PR, &amp; Hall BD. 2017. Microplastics in the Gastrointestinal Tracts of Fish and the Water from an Urban Prairie Creek. </w:t>
      </w:r>
      <w:r w:rsidRPr="00097BB2">
        <w:rPr>
          <w:rFonts w:ascii="Arial" w:hAnsi="Arial" w:cs="Arial"/>
          <w:i/>
          <w:iCs/>
        </w:rPr>
        <w:t xml:space="preserve">FACETS </w:t>
      </w:r>
      <w:r w:rsidRPr="00097BB2">
        <w:rPr>
          <w:rFonts w:ascii="Arial" w:hAnsi="Arial" w:cs="Arial"/>
          <w:b/>
          <w:bCs/>
          <w:i/>
          <w:iCs/>
        </w:rPr>
        <w:t>2</w:t>
      </w:r>
      <w:r w:rsidRPr="00097BB2">
        <w:rPr>
          <w:rFonts w:ascii="Arial" w:hAnsi="Arial" w:cs="Arial"/>
          <w:i/>
          <w:iCs/>
        </w:rPr>
        <w:t xml:space="preserve">: 395–409. </w:t>
      </w:r>
      <w:r w:rsidRPr="00097BB2">
        <w:rPr>
          <w:rFonts w:ascii="Arial" w:hAnsi="Arial" w:cs="Arial"/>
          <w:i/>
          <w:iCs/>
          <w:u w:val="single"/>
        </w:rPr>
        <w:t>doi:10.1139/facets-2017-0008</w:t>
      </w:r>
    </w:p>
    <w:p w14:paraId="5A2E3639"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lastRenderedPageBreak/>
        <w:t xml:space="preserve">Dai Z, Zhang H, Zhou Q, Tian Y, Chen T, Tu C, &amp; Luo Y. 2018. Occurrence of Microplastics in the Water Column and Sediment in an Inland Sea Affected by Intensive Anthropogenic Activities. </w:t>
      </w:r>
      <w:r w:rsidRPr="00097BB2">
        <w:rPr>
          <w:rFonts w:ascii="Arial" w:hAnsi="Arial" w:cs="Arial"/>
          <w:i/>
          <w:iCs/>
        </w:rPr>
        <w:t xml:space="preserve">Environmental Pollution, </w:t>
      </w:r>
      <w:r w:rsidRPr="00097BB2">
        <w:rPr>
          <w:rFonts w:ascii="Arial" w:hAnsi="Arial" w:cs="Arial"/>
          <w:b/>
          <w:bCs/>
          <w:i/>
          <w:iCs/>
        </w:rPr>
        <w:t>242</w:t>
      </w:r>
      <w:r w:rsidRPr="00097BB2">
        <w:rPr>
          <w:rFonts w:ascii="Arial" w:hAnsi="Arial" w:cs="Arial"/>
          <w:i/>
          <w:iCs/>
        </w:rPr>
        <w:t>: 1557-1565</w:t>
      </w:r>
      <w:r w:rsidRPr="00097BB2">
        <w:rPr>
          <w:rFonts w:ascii="Arial" w:hAnsi="Arial" w:cs="Arial"/>
        </w:rPr>
        <w:t>.</w:t>
      </w:r>
    </w:p>
    <w:p w14:paraId="39E311D5"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Driedger AG, Dürr HH, Mitchell K, &amp; Van </w:t>
      </w:r>
      <w:proofErr w:type="spellStart"/>
      <w:r w:rsidRPr="00097BB2">
        <w:rPr>
          <w:rFonts w:ascii="Arial" w:hAnsi="Arial" w:cs="Arial"/>
        </w:rPr>
        <w:t>Cappellen</w:t>
      </w:r>
      <w:proofErr w:type="spellEnd"/>
      <w:r w:rsidRPr="00097BB2">
        <w:rPr>
          <w:rFonts w:ascii="Arial" w:hAnsi="Arial" w:cs="Arial"/>
        </w:rPr>
        <w:t xml:space="preserve"> P. 2015. Plastic debris in the Laurentian Great Lakes: a review. </w:t>
      </w:r>
      <w:r w:rsidRPr="00097BB2">
        <w:rPr>
          <w:rFonts w:ascii="Arial" w:hAnsi="Arial" w:cs="Arial"/>
          <w:i/>
          <w:iCs/>
        </w:rPr>
        <w:t xml:space="preserve">Journal of Great Lakes Research, </w:t>
      </w:r>
      <w:r w:rsidRPr="00097BB2">
        <w:rPr>
          <w:rFonts w:ascii="Arial" w:hAnsi="Arial" w:cs="Arial"/>
          <w:b/>
          <w:i/>
          <w:iCs/>
        </w:rPr>
        <w:t>41</w:t>
      </w:r>
      <w:r w:rsidRPr="00097BB2">
        <w:rPr>
          <w:rFonts w:ascii="Arial" w:hAnsi="Arial" w:cs="Arial"/>
          <w:i/>
          <w:iCs/>
        </w:rPr>
        <w:t xml:space="preserve">(1): 9-19. </w:t>
      </w:r>
      <w:proofErr w:type="gramStart"/>
      <w:r w:rsidRPr="00097BB2">
        <w:rPr>
          <w:rFonts w:ascii="Arial" w:hAnsi="Arial" w:cs="Arial"/>
          <w:i/>
          <w:iCs/>
          <w:u w:val="single"/>
        </w:rPr>
        <w:t>doi:10.1016/j.jglr</w:t>
      </w:r>
      <w:proofErr w:type="gramEnd"/>
      <w:r w:rsidRPr="00097BB2">
        <w:rPr>
          <w:rFonts w:ascii="Arial" w:hAnsi="Arial" w:cs="Arial"/>
          <w:i/>
          <w:iCs/>
          <w:u w:val="single"/>
        </w:rPr>
        <w:t>.2014.12.020</w:t>
      </w:r>
    </w:p>
    <w:p w14:paraId="572FEC26" w14:textId="77777777" w:rsidR="00097BB2" w:rsidRPr="00097BB2" w:rsidRDefault="00097BB2" w:rsidP="00097BB2">
      <w:pPr>
        <w:spacing w:before="240"/>
        <w:ind w:left="851" w:hanging="851"/>
        <w:jc w:val="both"/>
        <w:rPr>
          <w:rFonts w:ascii="Arial" w:hAnsi="Arial" w:cs="Arial"/>
          <w:i/>
        </w:rPr>
      </w:pPr>
      <w:r w:rsidRPr="00097BB2">
        <w:rPr>
          <w:rFonts w:ascii="Arial" w:hAnsi="Arial" w:cs="Arial"/>
        </w:rPr>
        <w:t xml:space="preserve">Dris R, Imhof H, Sánchez W, </w:t>
      </w:r>
      <w:proofErr w:type="spellStart"/>
      <w:r w:rsidRPr="00097BB2">
        <w:rPr>
          <w:rFonts w:ascii="Arial" w:hAnsi="Arial" w:cs="Arial"/>
        </w:rPr>
        <w:t>Gaspéri</w:t>
      </w:r>
      <w:proofErr w:type="spellEnd"/>
      <w:r w:rsidRPr="00097BB2">
        <w:rPr>
          <w:rFonts w:ascii="Arial" w:hAnsi="Arial" w:cs="Arial"/>
        </w:rPr>
        <w:t xml:space="preserve"> J, </w:t>
      </w:r>
      <w:proofErr w:type="spellStart"/>
      <w:r w:rsidRPr="00097BB2">
        <w:rPr>
          <w:rFonts w:ascii="Arial" w:hAnsi="Arial" w:cs="Arial"/>
        </w:rPr>
        <w:t>Galgani</w:t>
      </w:r>
      <w:proofErr w:type="spellEnd"/>
      <w:r w:rsidRPr="00097BB2">
        <w:rPr>
          <w:rFonts w:ascii="Arial" w:hAnsi="Arial" w:cs="Arial"/>
        </w:rPr>
        <w:t xml:space="preserve"> F, Tassin B, &amp; </w:t>
      </w:r>
      <w:proofErr w:type="spellStart"/>
      <w:r w:rsidRPr="00097BB2">
        <w:rPr>
          <w:rFonts w:ascii="Arial" w:hAnsi="Arial" w:cs="Arial"/>
        </w:rPr>
        <w:t>Laforsch</w:t>
      </w:r>
      <w:proofErr w:type="spellEnd"/>
      <w:r w:rsidRPr="00097BB2">
        <w:rPr>
          <w:rFonts w:ascii="Arial" w:hAnsi="Arial" w:cs="Arial"/>
        </w:rPr>
        <w:t xml:space="preserve"> C. 2015. Beyond the </w:t>
      </w:r>
      <w:proofErr w:type="gramStart"/>
      <w:r w:rsidRPr="00097BB2">
        <w:rPr>
          <w:rFonts w:ascii="Arial" w:hAnsi="Arial" w:cs="Arial"/>
        </w:rPr>
        <w:t>ocean :</w:t>
      </w:r>
      <w:proofErr w:type="gramEnd"/>
      <w:r w:rsidRPr="00097BB2">
        <w:rPr>
          <w:rFonts w:ascii="Arial" w:hAnsi="Arial" w:cs="Arial"/>
        </w:rPr>
        <w:t xml:space="preserve"> Contamination of freshwater ecosystems with (micro-) plastic particles. </w:t>
      </w:r>
      <w:r w:rsidRPr="00097BB2">
        <w:rPr>
          <w:rFonts w:ascii="Arial" w:hAnsi="Arial" w:cs="Arial"/>
          <w:i/>
        </w:rPr>
        <w:t xml:space="preserve">Environmental Chemistry, </w:t>
      </w:r>
      <w:r w:rsidRPr="00097BB2">
        <w:rPr>
          <w:rFonts w:ascii="Arial" w:hAnsi="Arial" w:cs="Arial"/>
          <w:b/>
          <w:bCs/>
          <w:i/>
          <w:iCs/>
        </w:rPr>
        <w:t xml:space="preserve">12 </w:t>
      </w:r>
      <w:r w:rsidRPr="00097BB2">
        <w:rPr>
          <w:rFonts w:ascii="Arial" w:hAnsi="Arial" w:cs="Arial"/>
          <w:i/>
          <w:iCs/>
        </w:rPr>
        <w:t>(5): 539-550</w:t>
      </w:r>
      <w:r w:rsidRPr="00097BB2">
        <w:rPr>
          <w:rFonts w:ascii="Arial" w:hAnsi="Arial" w:cs="Arial"/>
          <w:i/>
        </w:rPr>
        <w:t xml:space="preserve">. </w:t>
      </w:r>
      <w:hyperlink r:id="rId28" w:history="1">
        <w:r w:rsidRPr="00097BB2">
          <w:rPr>
            <w:rStyle w:val="Hyperlink"/>
            <w:rFonts w:ascii="Arial" w:hAnsi="Arial" w:cs="Arial"/>
            <w:i/>
          </w:rPr>
          <w:t>https://doi.org/10.1071/EN14172</w:t>
        </w:r>
      </w:hyperlink>
    </w:p>
    <w:p w14:paraId="64834A7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Eerkes-Medrano D, Thompson RC, &amp; Aldridge DC. 2015. Microplastics in freshwater systems: a review of the emerging threats, identification of knowledge gaps and prioritization of research needs. </w:t>
      </w:r>
      <w:r w:rsidRPr="00097BB2">
        <w:rPr>
          <w:rFonts w:ascii="Arial" w:hAnsi="Arial" w:cs="Arial"/>
          <w:i/>
          <w:iCs/>
        </w:rPr>
        <w:t xml:space="preserve">Water Research, </w:t>
      </w:r>
      <w:r w:rsidRPr="00097BB2">
        <w:rPr>
          <w:rFonts w:ascii="Arial" w:hAnsi="Arial" w:cs="Arial"/>
          <w:b/>
          <w:bCs/>
          <w:i/>
          <w:iCs/>
        </w:rPr>
        <w:t>75</w:t>
      </w:r>
      <w:r w:rsidRPr="00097BB2">
        <w:rPr>
          <w:rFonts w:ascii="Arial" w:hAnsi="Arial" w:cs="Arial"/>
          <w:i/>
          <w:iCs/>
        </w:rPr>
        <w:t>: 63-82</w:t>
      </w:r>
      <w:r w:rsidRPr="00097BB2">
        <w:rPr>
          <w:rFonts w:ascii="Arial" w:hAnsi="Arial" w:cs="Arial"/>
        </w:rPr>
        <w:t>.</w:t>
      </w:r>
    </w:p>
    <w:p w14:paraId="1BCD91B4"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Foekema</w:t>
      </w:r>
      <w:proofErr w:type="spellEnd"/>
      <w:r w:rsidRPr="00097BB2">
        <w:rPr>
          <w:rFonts w:ascii="Arial" w:hAnsi="Arial" w:cs="Arial"/>
        </w:rPr>
        <w:t xml:space="preserve"> EM, De </w:t>
      </w:r>
      <w:proofErr w:type="spellStart"/>
      <w:r w:rsidRPr="00097BB2">
        <w:rPr>
          <w:rFonts w:ascii="Arial" w:hAnsi="Arial" w:cs="Arial"/>
        </w:rPr>
        <w:t>Gruijter</w:t>
      </w:r>
      <w:proofErr w:type="spellEnd"/>
      <w:r w:rsidRPr="00097BB2">
        <w:rPr>
          <w:rFonts w:ascii="Arial" w:hAnsi="Arial" w:cs="Arial"/>
        </w:rPr>
        <w:t xml:space="preserve"> C, </w:t>
      </w:r>
      <w:proofErr w:type="spellStart"/>
      <w:r w:rsidRPr="00097BB2">
        <w:rPr>
          <w:rFonts w:ascii="Arial" w:hAnsi="Arial" w:cs="Arial"/>
        </w:rPr>
        <w:t>Mergia</w:t>
      </w:r>
      <w:proofErr w:type="spellEnd"/>
      <w:r w:rsidRPr="00097BB2">
        <w:rPr>
          <w:rFonts w:ascii="Arial" w:hAnsi="Arial" w:cs="Arial"/>
        </w:rPr>
        <w:t xml:space="preserve"> MT, Van Franeker JA, Murk AJ, &amp; </w:t>
      </w:r>
      <w:proofErr w:type="spellStart"/>
      <w:r w:rsidRPr="00097BB2">
        <w:rPr>
          <w:rFonts w:ascii="Arial" w:hAnsi="Arial" w:cs="Arial"/>
        </w:rPr>
        <w:t>Koelmans</w:t>
      </w:r>
      <w:proofErr w:type="spellEnd"/>
      <w:r w:rsidRPr="00097BB2">
        <w:rPr>
          <w:rFonts w:ascii="Arial" w:hAnsi="Arial" w:cs="Arial"/>
        </w:rPr>
        <w:t xml:space="preserve"> AA. 2013. Plastic in North Sea fish. </w:t>
      </w:r>
      <w:r w:rsidRPr="00097BB2">
        <w:rPr>
          <w:rFonts w:ascii="Arial" w:hAnsi="Arial" w:cs="Arial"/>
          <w:i/>
          <w:iCs/>
        </w:rPr>
        <w:t xml:space="preserve">Environmental Science &amp; Technology, </w:t>
      </w:r>
      <w:r w:rsidRPr="00097BB2">
        <w:rPr>
          <w:rFonts w:ascii="Arial" w:hAnsi="Arial" w:cs="Arial"/>
          <w:b/>
          <w:bCs/>
          <w:i/>
          <w:iCs/>
        </w:rPr>
        <w:t xml:space="preserve">47 </w:t>
      </w:r>
      <w:r w:rsidRPr="00097BB2">
        <w:rPr>
          <w:rFonts w:ascii="Arial" w:hAnsi="Arial" w:cs="Arial"/>
          <w:i/>
          <w:iCs/>
        </w:rPr>
        <w:t>(15): 8818-8824.</w:t>
      </w:r>
    </w:p>
    <w:p w14:paraId="385B5645"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Free CM, Jensen OP, Mason SA, Eriksen M, Williamson NJ, &amp; </w:t>
      </w:r>
      <w:proofErr w:type="spellStart"/>
      <w:r w:rsidRPr="00097BB2">
        <w:rPr>
          <w:rFonts w:ascii="Arial" w:hAnsi="Arial" w:cs="Arial"/>
        </w:rPr>
        <w:t>Boldgiv</w:t>
      </w:r>
      <w:proofErr w:type="spellEnd"/>
      <w:r w:rsidRPr="00097BB2">
        <w:rPr>
          <w:rFonts w:ascii="Arial" w:hAnsi="Arial" w:cs="Arial"/>
        </w:rPr>
        <w:t xml:space="preserve"> B. 2014. High-levels of microplastic pollution in a large, remote, mountain lake. </w:t>
      </w:r>
      <w:r w:rsidRPr="00097BB2">
        <w:rPr>
          <w:rFonts w:ascii="Arial" w:hAnsi="Arial" w:cs="Arial"/>
          <w:i/>
        </w:rPr>
        <w:t>Marine</w:t>
      </w:r>
      <w:r w:rsidRPr="00097BB2">
        <w:rPr>
          <w:rFonts w:ascii="Arial" w:hAnsi="Arial" w:cs="Arial"/>
        </w:rPr>
        <w:t xml:space="preserve"> </w:t>
      </w:r>
      <w:r w:rsidRPr="00097BB2">
        <w:rPr>
          <w:rFonts w:ascii="Arial" w:hAnsi="Arial" w:cs="Arial"/>
          <w:i/>
        </w:rPr>
        <w:t>Pollution</w:t>
      </w:r>
      <w:r w:rsidRPr="00097BB2">
        <w:rPr>
          <w:rFonts w:ascii="Arial" w:hAnsi="Arial" w:cs="Arial"/>
        </w:rPr>
        <w:t xml:space="preserve"> </w:t>
      </w:r>
      <w:r w:rsidRPr="00097BB2">
        <w:rPr>
          <w:rFonts w:ascii="Arial" w:hAnsi="Arial" w:cs="Arial"/>
          <w:i/>
          <w:iCs/>
        </w:rPr>
        <w:t xml:space="preserve">Bulletin, </w:t>
      </w:r>
      <w:r w:rsidRPr="00097BB2">
        <w:rPr>
          <w:rFonts w:ascii="Arial" w:hAnsi="Arial" w:cs="Arial"/>
          <w:b/>
          <w:bCs/>
          <w:i/>
          <w:iCs/>
        </w:rPr>
        <w:t xml:space="preserve">85 </w:t>
      </w:r>
      <w:r w:rsidRPr="00097BB2">
        <w:rPr>
          <w:rFonts w:ascii="Arial" w:hAnsi="Arial" w:cs="Arial"/>
          <w:i/>
          <w:iCs/>
        </w:rPr>
        <w:t>(1): 156-163</w:t>
      </w:r>
      <w:r w:rsidRPr="00097BB2">
        <w:rPr>
          <w:rFonts w:ascii="Arial" w:hAnsi="Arial" w:cs="Arial"/>
        </w:rPr>
        <w:t>.</w:t>
      </w:r>
    </w:p>
    <w:p w14:paraId="23097188"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Gwana AM, Umaru BW, Halima MB, Wanas LN, 2017. </w:t>
      </w:r>
      <w:proofErr w:type="spellStart"/>
      <w:r w:rsidRPr="00097BB2">
        <w:rPr>
          <w:rFonts w:ascii="Arial" w:hAnsi="Arial" w:cs="Arial"/>
        </w:rPr>
        <w:t>Physico</w:t>
      </w:r>
      <w:proofErr w:type="spellEnd"/>
      <w:r w:rsidRPr="00097BB2">
        <w:rPr>
          <w:rFonts w:ascii="Arial" w:hAnsi="Arial" w:cs="Arial"/>
        </w:rPr>
        <w:t xml:space="preserve"> – Chemical Water Quality Analyses of Lake </w:t>
      </w:r>
      <w:proofErr w:type="spellStart"/>
      <w:r w:rsidRPr="00097BB2">
        <w:rPr>
          <w:rFonts w:ascii="Arial" w:hAnsi="Arial" w:cs="Arial"/>
        </w:rPr>
        <w:t>Alau</w:t>
      </w:r>
      <w:proofErr w:type="spellEnd"/>
      <w:r w:rsidRPr="00097BB2">
        <w:rPr>
          <w:rFonts w:ascii="Arial" w:hAnsi="Arial" w:cs="Arial"/>
        </w:rPr>
        <w:t>, North – Eastern Nigeria, </w:t>
      </w:r>
      <w:r w:rsidRPr="00097BB2">
        <w:rPr>
          <w:rFonts w:ascii="Arial" w:hAnsi="Arial" w:cs="Arial"/>
          <w:i/>
          <w:iCs/>
        </w:rPr>
        <w:t xml:space="preserve">Journal of Water Resources &amp; Ocean Science, </w:t>
      </w:r>
      <w:r w:rsidRPr="00097BB2">
        <w:rPr>
          <w:rFonts w:ascii="Arial" w:hAnsi="Arial" w:cs="Arial"/>
          <w:b/>
          <w:i/>
          <w:iCs/>
        </w:rPr>
        <w:t>6</w:t>
      </w:r>
      <w:r w:rsidRPr="00097BB2">
        <w:rPr>
          <w:rFonts w:ascii="Arial" w:hAnsi="Arial" w:cs="Arial"/>
          <w:i/>
          <w:iCs/>
        </w:rPr>
        <w:t xml:space="preserve"> (1): 14-22. </w:t>
      </w:r>
      <w:proofErr w:type="spellStart"/>
      <w:r w:rsidRPr="00097BB2">
        <w:rPr>
          <w:rFonts w:ascii="Arial" w:hAnsi="Arial" w:cs="Arial"/>
          <w:i/>
          <w:iCs/>
          <w:u w:val="single"/>
        </w:rPr>
        <w:t>doi</w:t>
      </w:r>
      <w:proofErr w:type="spellEnd"/>
      <w:r w:rsidRPr="00097BB2">
        <w:rPr>
          <w:rFonts w:ascii="Arial" w:hAnsi="Arial" w:cs="Arial"/>
          <w:i/>
          <w:iCs/>
          <w:u w:val="single"/>
        </w:rPr>
        <w:t>: 10.11648/j.wros.20170601.12</w:t>
      </w:r>
    </w:p>
    <w:p w14:paraId="3C55276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Heo NW, Hong SH, Han GM, Hong S, Lee J, Song YK, Jang M, &amp; Shim WJ. 2013. Distribution of small plastic debris in cross-section and high strandline on </w:t>
      </w:r>
      <w:proofErr w:type="spellStart"/>
      <w:r w:rsidRPr="00097BB2">
        <w:rPr>
          <w:rFonts w:ascii="Arial" w:hAnsi="Arial" w:cs="Arial"/>
        </w:rPr>
        <w:t>Heungnam</w:t>
      </w:r>
      <w:proofErr w:type="spellEnd"/>
      <w:r w:rsidRPr="00097BB2">
        <w:rPr>
          <w:rFonts w:ascii="Arial" w:hAnsi="Arial" w:cs="Arial"/>
        </w:rPr>
        <w:t xml:space="preserve"> beach, South Korea. </w:t>
      </w:r>
      <w:r w:rsidRPr="00097BB2">
        <w:rPr>
          <w:rFonts w:ascii="Arial" w:hAnsi="Arial" w:cs="Arial"/>
          <w:i/>
          <w:iCs/>
        </w:rPr>
        <w:t xml:space="preserve">Ocean Science Journal, </w:t>
      </w:r>
      <w:r w:rsidRPr="00097BB2">
        <w:rPr>
          <w:rFonts w:ascii="Arial" w:hAnsi="Arial" w:cs="Arial"/>
          <w:b/>
          <w:bCs/>
          <w:i/>
          <w:iCs/>
        </w:rPr>
        <w:t>48</w:t>
      </w:r>
      <w:r w:rsidRPr="00097BB2">
        <w:rPr>
          <w:rFonts w:ascii="Arial" w:hAnsi="Arial" w:cs="Arial"/>
          <w:i/>
          <w:iCs/>
        </w:rPr>
        <w:t>(2): 225-233</w:t>
      </w:r>
      <w:r w:rsidRPr="00097BB2">
        <w:rPr>
          <w:rFonts w:ascii="Arial" w:hAnsi="Arial" w:cs="Arial"/>
        </w:rPr>
        <w:t>.</w:t>
      </w:r>
    </w:p>
    <w:p w14:paraId="29D66334"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Horton AA, Walton A, Spurgeon DJ, </w:t>
      </w:r>
      <w:proofErr w:type="spellStart"/>
      <w:r w:rsidRPr="00097BB2">
        <w:rPr>
          <w:rFonts w:ascii="Arial" w:hAnsi="Arial" w:cs="Arial"/>
        </w:rPr>
        <w:t>Lahive</w:t>
      </w:r>
      <w:proofErr w:type="spellEnd"/>
      <w:r w:rsidRPr="00097BB2">
        <w:rPr>
          <w:rFonts w:ascii="Arial" w:hAnsi="Arial" w:cs="Arial"/>
        </w:rPr>
        <w:t xml:space="preserve"> E, &amp; Svendsen C. 2017. Microplastics in freshwater and terrestrial environments: evaluating the current understanding to identify the knowledge gaps and future research priorities. </w:t>
      </w:r>
      <w:r w:rsidRPr="00097BB2">
        <w:rPr>
          <w:rFonts w:ascii="Arial" w:hAnsi="Arial" w:cs="Arial"/>
          <w:i/>
          <w:iCs/>
        </w:rPr>
        <w:t xml:space="preserve">Science of the Total Environment, </w:t>
      </w:r>
      <w:r w:rsidRPr="00097BB2">
        <w:rPr>
          <w:rFonts w:ascii="Arial" w:hAnsi="Arial" w:cs="Arial"/>
          <w:b/>
          <w:bCs/>
          <w:i/>
          <w:iCs/>
        </w:rPr>
        <w:t>586</w:t>
      </w:r>
      <w:r w:rsidRPr="00097BB2">
        <w:rPr>
          <w:rFonts w:ascii="Arial" w:hAnsi="Arial" w:cs="Arial"/>
          <w:i/>
          <w:iCs/>
        </w:rPr>
        <w:t xml:space="preserve">: 127–141. </w:t>
      </w:r>
      <w:r w:rsidRPr="00097BB2">
        <w:rPr>
          <w:rFonts w:ascii="Arial" w:hAnsi="Arial" w:cs="Arial"/>
          <w:i/>
          <w:iCs/>
          <w:u w:val="single"/>
        </w:rPr>
        <w:t>doi:10. 1016/j.scitotenv.2017.01.190</w:t>
      </w:r>
      <w:r w:rsidRPr="00097BB2">
        <w:rPr>
          <w:rFonts w:ascii="Arial" w:hAnsi="Arial" w:cs="Arial"/>
          <w:i/>
          <w:iCs/>
        </w:rPr>
        <w:t>.</w:t>
      </w:r>
    </w:p>
    <w:p w14:paraId="20A89D3B"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Hossain MB, Yu J, Nur AU, Banik P, Jolly YN, Al- Mamun M, Arai T, &amp; </w:t>
      </w:r>
      <w:proofErr w:type="spellStart"/>
      <w:r w:rsidRPr="00097BB2">
        <w:rPr>
          <w:rFonts w:ascii="Arial" w:hAnsi="Arial" w:cs="Arial"/>
        </w:rPr>
        <w:t>Albeshr</w:t>
      </w:r>
      <w:proofErr w:type="spellEnd"/>
      <w:r w:rsidRPr="00097BB2">
        <w:rPr>
          <w:rFonts w:ascii="Arial" w:hAnsi="Arial" w:cs="Arial"/>
        </w:rPr>
        <w:t xml:space="preserve"> MF. 2023. Microplastics in surface water from a mighty subtropical estuary: First observations on occurrence, characterization, and contamination assessment. </w:t>
      </w:r>
      <w:r w:rsidRPr="00097BB2">
        <w:rPr>
          <w:rFonts w:ascii="Arial" w:hAnsi="Arial" w:cs="Arial"/>
          <w:i/>
        </w:rPr>
        <w:t xml:space="preserve">Environmental Research </w:t>
      </w:r>
      <w:r w:rsidRPr="00097BB2">
        <w:rPr>
          <w:rFonts w:ascii="Arial" w:hAnsi="Arial" w:cs="Arial"/>
          <w:b/>
          <w:i/>
        </w:rPr>
        <w:t>226</w:t>
      </w:r>
      <w:r w:rsidRPr="00097BB2">
        <w:rPr>
          <w:rFonts w:ascii="Arial" w:hAnsi="Arial" w:cs="Arial"/>
          <w:i/>
        </w:rPr>
        <w:t>: 115594</w:t>
      </w:r>
    </w:p>
    <w:p w14:paraId="7FA4A404" w14:textId="77777777" w:rsidR="00097BB2" w:rsidRPr="00097BB2" w:rsidRDefault="00097BB2" w:rsidP="00097BB2">
      <w:pPr>
        <w:spacing w:before="240"/>
        <w:ind w:left="851" w:hanging="851"/>
        <w:jc w:val="both"/>
        <w:rPr>
          <w:rFonts w:ascii="Arial" w:hAnsi="Arial" w:cs="Arial"/>
        </w:rPr>
      </w:pPr>
      <w:proofErr w:type="spellStart"/>
      <w:r w:rsidRPr="00097BB2">
        <w:rPr>
          <w:rFonts w:ascii="Arial" w:hAnsi="Arial" w:cs="Arial"/>
        </w:rPr>
        <w:t>Ivleva</w:t>
      </w:r>
      <w:proofErr w:type="spellEnd"/>
      <w:r w:rsidRPr="00097BB2">
        <w:rPr>
          <w:rFonts w:ascii="Arial" w:hAnsi="Arial" w:cs="Arial"/>
        </w:rPr>
        <w:t xml:space="preserve"> NP, </w:t>
      </w:r>
      <w:proofErr w:type="spellStart"/>
      <w:r w:rsidRPr="00097BB2">
        <w:rPr>
          <w:rFonts w:ascii="Arial" w:hAnsi="Arial" w:cs="Arial"/>
        </w:rPr>
        <w:t>Wiesheu</w:t>
      </w:r>
      <w:proofErr w:type="spellEnd"/>
      <w:r w:rsidRPr="00097BB2">
        <w:rPr>
          <w:rFonts w:ascii="Arial" w:hAnsi="Arial" w:cs="Arial"/>
        </w:rPr>
        <w:t xml:space="preserve"> AC, &amp; Niessner R. 2017. Microplastic in Aquatic Ecosystems. </w:t>
      </w:r>
      <w:proofErr w:type="spellStart"/>
      <w:r w:rsidRPr="00097BB2">
        <w:rPr>
          <w:rFonts w:ascii="Arial" w:hAnsi="Arial" w:cs="Arial"/>
          <w:i/>
          <w:iCs/>
        </w:rPr>
        <w:t>Angewandte</w:t>
      </w:r>
      <w:proofErr w:type="spellEnd"/>
      <w:r w:rsidRPr="00097BB2">
        <w:rPr>
          <w:rFonts w:ascii="Arial" w:hAnsi="Arial" w:cs="Arial"/>
          <w:i/>
          <w:iCs/>
        </w:rPr>
        <w:t xml:space="preserve"> Chemie International Edition, </w:t>
      </w:r>
      <w:r w:rsidRPr="00097BB2">
        <w:rPr>
          <w:rFonts w:ascii="Arial" w:hAnsi="Arial" w:cs="Arial"/>
          <w:b/>
          <w:i/>
          <w:iCs/>
        </w:rPr>
        <w:t>56</w:t>
      </w:r>
      <w:r w:rsidRPr="00097BB2">
        <w:rPr>
          <w:rFonts w:ascii="Arial" w:hAnsi="Arial" w:cs="Arial"/>
          <w:i/>
          <w:iCs/>
        </w:rPr>
        <w:t xml:space="preserve">: 1720-1739. </w:t>
      </w:r>
      <w:r w:rsidRPr="00097BB2">
        <w:rPr>
          <w:rFonts w:ascii="Arial" w:hAnsi="Arial" w:cs="Arial"/>
          <w:i/>
          <w:iCs/>
          <w:u w:val="single"/>
        </w:rPr>
        <w:t>doi:10.1002/anie.201606957</w:t>
      </w:r>
    </w:p>
    <w:p w14:paraId="6A352782" w14:textId="77777777" w:rsidR="00097BB2" w:rsidRPr="00097BB2" w:rsidRDefault="00097BB2" w:rsidP="00097BB2">
      <w:pPr>
        <w:spacing w:before="240"/>
        <w:ind w:left="851" w:hanging="851"/>
        <w:jc w:val="both"/>
        <w:rPr>
          <w:rFonts w:ascii="Arial" w:hAnsi="Arial" w:cs="Arial"/>
          <w:u w:val="single"/>
        </w:rPr>
      </w:pPr>
      <w:r w:rsidRPr="00097BB2">
        <w:rPr>
          <w:rFonts w:ascii="Arial" w:hAnsi="Arial" w:cs="Arial"/>
        </w:rPr>
        <w:t xml:space="preserve">Kaladharan P, Vijayakumaran K, Singh VV, Prema D, Asha PS, </w:t>
      </w:r>
      <w:proofErr w:type="spellStart"/>
      <w:r w:rsidRPr="00097BB2">
        <w:rPr>
          <w:rFonts w:ascii="Arial" w:hAnsi="Arial" w:cs="Arial"/>
        </w:rPr>
        <w:t>Sulochanan</w:t>
      </w:r>
      <w:proofErr w:type="spellEnd"/>
      <w:r w:rsidRPr="00097BB2">
        <w:rPr>
          <w:rFonts w:ascii="Arial" w:hAnsi="Arial" w:cs="Arial"/>
        </w:rPr>
        <w:t xml:space="preserve"> Bindu </w:t>
      </w:r>
      <w:proofErr w:type="spellStart"/>
      <w:r w:rsidRPr="00097BB2">
        <w:rPr>
          <w:rFonts w:ascii="Arial" w:hAnsi="Arial" w:cs="Arial"/>
        </w:rPr>
        <w:t>Hemasankari</w:t>
      </w:r>
      <w:proofErr w:type="spellEnd"/>
      <w:r w:rsidRPr="00097BB2">
        <w:rPr>
          <w:rFonts w:ascii="Arial" w:hAnsi="Arial" w:cs="Arial"/>
        </w:rPr>
        <w:t xml:space="preserve"> P, </w:t>
      </w:r>
      <w:proofErr w:type="spellStart"/>
      <w:r w:rsidRPr="00097BB2">
        <w:rPr>
          <w:rFonts w:ascii="Arial" w:hAnsi="Arial" w:cs="Arial"/>
        </w:rPr>
        <w:t>Loveson</w:t>
      </w:r>
      <w:proofErr w:type="spellEnd"/>
      <w:r w:rsidRPr="00097BB2">
        <w:rPr>
          <w:rFonts w:ascii="Arial" w:hAnsi="Arial" w:cs="Arial"/>
        </w:rPr>
        <w:t xml:space="preserve"> Edward L, Padua Shelton, Veena S, </w:t>
      </w:r>
      <w:proofErr w:type="spellStart"/>
      <w:r w:rsidRPr="00097BB2">
        <w:rPr>
          <w:rFonts w:ascii="Arial" w:hAnsi="Arial" w:cs="Arial"/>
        </w:rPr>
        <w:t>Anasukoya</w:t>
      </w:r>
      <w:proofErr w:type="spellEnd"/>
      <w:r w:rsidRPr="00097BB2">
        <w:rPr>
          <w:rFonts w:ascii="Arial" w:hAnsi="Arial" w:cs="Arial"/>
        </w:rPr>
        <w:t xml:space="preserve"> A, &amp; </w:t>
      </w:r>
      <w:proofErr w:type="spellStart"/>
      <w:r w:rsidRPr="00097BB2">
        <w:rPr>
          <w:rFonts w:ascii="Arial" w:hAnsi="Arial" w:cs="Arial"/>
        </w:rPr>
        <w:t>Bhint</w:t>
      </w:r>
      <w:proofErr w:type="spellEnd"/>
      <w:r w:rsidRPr="00097BB2">
        <w:rPr>
          <w:rFonts w:ascii="Arial" w:hAnsi="Arial" w:cs="Arial"/>
        </w:rPr>
        <w:t xml:space="preserve"> HM. 2017. Prevalence of marine litter along the Indian beaches: A preliminary account on its status and composition. </w:t>
      </w:r>
      <w:r w:rsidRPr="00097BB2">
        <w:rPr>
          <w:rFonts w:ascii="Arial" w:hAnsi="Arial" w:cs="Arial"/>
          <w:i/>
        </w:rPr>
        <w:t xml:space="preserve">Journal of the Marine Biological Association of India, </w:t>
      </w:r>
      <w:r w:rsidRPr="00097BB2">
        <w:rPr>
          <w:rFonts w:ascii="Arial" w:hAnsi="Arial" w:cs="Arial"/>
          <w:b/>
          <w:i/>
        </w:rPr>
        <w:t>59</w:t>
      </w:r>
      <w:r w:rsidRPr="00097BB2">
        <w:rPr>
          <w:rFonts w:ascii="Arial" w:hAnsi="Arial" w:cs="Arial"/>
          <w:i/>
        </w:rPr>
        <w:t xml:space="preserve">: 19-24. </w:t>
      </w:r>
      <w:proofErr w:type="spellStart"/>
      <w:r w:rsidRPr="00097BB2">
        <w:rPr>
          <w:rFonts w:ascii="Arial" w:hAnsi="Arial" w:cs="Arial"/>
          <w:i/>
          <w:u w:val="single"/>
        </w:rPr>
        <w:t>doi</w:t>
      </w:r>
      <w:proofErr w:type="spellEnd"/>
      <w:r w:rsidRPr="00097BB2">
        <w:rPr>
          <w:rFonts w:ascii="Arial" w:hAnsi="Arial" w:cs="Arial"/>
          <w:i/>
          <w:u w:val="single"/>
        </w:rPr>
        <w:t>: 10.6024/jmbai.2017.59.1.1953-03</w:t>
      </w:r>
    </w:p>
    <w:p w14:paraId="1439A263"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Kılıç E. 2022. Microplastic occurrence in the gill and gastrointestinal tract of </w:t>
      </w:r>
      <w:r w:rsidRPr="00097BB2">
        <w:rPr>
          <w:rFonts w:ascii="Arial" w:hAnsi="Arial" w:cs="Arial"/>
          <w:i/>
        </w:rPr>
        <w:t>Chelon</w:t>
      </w:r>
      <w:r w:rsidRPr="00097BB2">
        <w:rPr>
          <w:rFonts w:ascii="Arial" w:hAnsi="Arial" w:cs="Arial"/>
        </w:rPr>
        <w:t xml:space="preserve"> </w:t>
      </w:r>
      <w:r w:rsidRPr="00097BB2">
        <w:rPr>
          <w:rFonts w:ascii="Arial" w:hAnsi="Arial" w:cs="Arial"/>
          <w:i/>
        </w:rPr>
        <w:t>ramada</w:t>
      </w:r>
      <w:r w:rsidRPr="00097BB2">
        <w:rPr>
          <w:rFonts w:ascii="Arial" w:hAnsi="Arial" w:cs="Arial"/>
        </w:rPr>
        <w:t xml:space="preserve"> (</w:t>
      </w:r>
      <w:proofErr w:type="spellStart"/>
      <w:r w:rsidRPr="00097BB2">
        <w:rPr>
          <w:rFonts w:ascii="Arial" w:hAnsi="Arial" w:cs="Arial"/>
          <w:i/>
        </w:rPr>
        <w:t>Mugilidae</w:t>
      </w:r>
      <w:proofErr w:type="spellEnd"/>
      <w:r w:rsidRPr="00097BB2">
        <w:rPr>
          <w:rFonts w:ascii="Arial" w:hAnsi="Arial" w:cs="Arial"/>
        </w:rPr>
        <w:t xml:space="preserve">) in a highly urbanized region, İskenderun Bay, Türkiye. </w:t>
      </w:r>
      <w:r w:rsidRPr="00097BB2">
        <w:rPr>
          <w:rFonts w:ascii="Arial" w:hAnsi="Arial" w:cs="Arial"/>
          <w:i/>
          <w:iCs/>
        </w:rPr>
        <w:t xml:space="preserve">Marine Science &amp; Technology Bulletin, </w:t>
      </w:r>
      <w:r w:rsidRPr="00097BB2">
        <w:rPr>
          <w:rFonts w:ascii="Arial" w:hAnsi="Arial" w:cs="Arial"/>
          <w:b/>
          <w:bCs/>
          <w:i/>
          <w:iCs/>
        </w:rPr>
        <w:t>11</w:t>
      </w:r>
      <w:r w:rsidRPr="00097BB2">
        <w:rPr>
          <w:rFonts w:ascii="Arial" w:hAnsi="Arial" w:cs="Arial"/>
          <w:i/>
          <w:iCs/>
        </w:rPr>
        <w:t xml:space="preserve">(3), 309-319. </w:t>
      </w:r>
      <w:hyperlink r:id="rId29" w:history="1">
        <w:r w:rsidRPr="00097BB2">
          <w:rPr>
            <w:rFonts w:ascii="Arial" w:hAnsi="Arial" w:cs="Arial"/>
            <w:i/>
            <w:iCs/>
            <w:u w:val="single"/>
          </w:rPr>
          <w:t>https://doi.org/10.33714/masteb.1162225</w:t>
        </w:r>
      </w:hyperlink>
      <w:r w:rsidRPr="00097BB2">
        <w:rPr>
          <w:rFonts w:ascii="Arial" w:hAnsi="Arial" w:cs="Arial"/>
          <w:i/>
          <w:iCs/>
        </w:rPr>
        <w:t>.</w:t>
      </w:r>
    </w:p>
    <w:p w14:paraId="0217629F"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Kılıç E., &amp; Yücel N. 2022. Microplastic occurrence in the gastrointestinal tract and gill of bioindicator fish species in the northeastern Mediterranean, </w:t>
      </w:r>
      <w:r w:rsidRPr="00097BB2">
        <w:rPr>
          <w:rFonts w:ascii="Arial" w:hAnsi="Arial" w:cs="Arial"/>
          <w:i/>
          <w:iCs/>
        </w:rPr>
        <w:t xml:space="preserve">Marine Pollution Bulletin, </w:t>
      </w:r>
      <w:r w:rsidRPr="00097BB2">
        <w:rPr>
          <w:rFonts w:ascii="Arial" w:hAnsi="Arial" w:cs="Arial"/>
          <w:b/>
          <w:bCs/>
          <w:i/>
          <w:iCs/>
        </w:rPr>
        <w:t>177:</w:t>
      </w:r>
      <w:r w:rsidRPr="00097BB2">
        <w:rPr>
          <w:rFonts w:ascii="Arial" w:hAnsi="Arial" w:cs="Arial"/>
          <w:i/>
          <w:iCs/>
        </w:rPr>
        <w:t xml:space="preserve"> 113556. </w:t>
      </w:r>
      <w:hyperlink r:id="rId30" w:history="1">
        <w:r w:rsidRPr="00097BB2">
          <w:rPr>
            <w:rFonts w:ascii="Arial" w:hAnsi="Arial" w:cs="Arial"/>
            <w:i/>
            <w:iCs/>
            <w:u w:val="single"/>
          </w:rPr>
          <w:t>https://doi.org/10.1016/j.marpolbul.2022.113556</w:t>
        </w:r>
      </w:hyperlink>
    </w:p>
    <w:p w14:paraId="562F1925"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Klein S, Worch E, &amp; Knepper TP. 2015. Occurrence and spatial distribution of microplastics in river shore sediments of the Rhine-Main area in Germany. </w:t>
      </w:r>
      <w:r w:rsidRPr="00097BB2">
        <w:rPr>
          <w:rFonts w:ascii="Arial" w:hAnsi="Arial" w:cs="Arial"/>
          <w:i/>
        </w:rPr>
        <w:t xml:space="preserve">Environmental Science &amp; Technology, </w:t>
      </w:r>
      <w:r w:rsidRPr="00097BB2">
        <w:rPr>
          <w:rFonts w:ascii="Arial" w:hAnsi="Arial" w:cs="Arial"/>
          <w:b/>
          <w:bCs/>
          <w:i/>
          <w:iCs/>
        </w:rPr>
        <w:t xml:space="preserve">49 </w:t>
      </w:r>
      <w:r w:rsidRPr="00097BB2">
        <w:rPr>
          <w:rFonts w:ascii="Arial" w:hAnsi="Arial" w:cs="Arial"/>
          <w:i/>
          <w:iCs/>
        </w:rPr>
        <w:t>(10): 6070-6076.</w:t>
      </w:r>
    </w:p>
    <w:p w14:paraId="67E480C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Kripa V. 2018. Marine debris - a threat to sustainable fisheries. </w:t>
      </w:r>
      <w:r w:rsidRPr="00097BB2">
        <w:rPr>
          <w:rFonts w:ascii="Arial" w:hAnsi="Arial" w:cs="Arial"/>
          <w:i/>
          <w:iCs/>
        </w:rPr>
        <w:t xml:space="preserve">In: Prema, D., Molly Varghese, Shelton Padua, </w:t>
      </w:r>
      <w:proofErr w:type="spellStart"/>
      <w:r w:rsidRPr="00097BB2">
        <w:rPr>
          <w:rFonts w:ascii="Arial" w:hAnsi="Arial" w:cs="Arial"/>
          <w:i/>
          <w:iCs/>
        </w:rPr>
        <w:t>Jeyabaskaran</w:t>
      </w:r>
      <w:proofErr w:type="spellEnd"/>
      <w:r w:rsidRPr="00097BB2">
        <w:rPr>
          <w:rFonts w:ascii="Arial" w:hAnsi="Arial" w:cs="Arial"/>
          <w:i/>
          <w:iCs/>
        </w:rPr>
        <w:t>, R., Sumithra, T. G., Reshma, K. J., Rekha J. Nair, Sobhana, K. S., Vidya, R., Jeena, N. S., Vivekananda Bharathi, Lavanya Ratheesh, Uma, E. K. and Shylaja, G. (Eds.). Book of Abstracts and Success stories, National Conference on Marine Debris (COMAD 2018), Marine Biological Association of India, 11-12 April 2018, Kochi, p. 19-21</w:t>
      </w:r>
      <w:r w:rsidRPr="00097BB2">
        <w:rPr>
          <w:rFonts w:ascii="Arial" w:hAnsi="Arial" w:cs="Arial"/>
        </w:rPr>
        <w:t>.</w:t>
      </w:r>
    </w:p>
    <w:p w14:paraId="442E1994"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lastRenderedPageBreak/>
        <w:t xml:space="preserve">Lee J, Lee JS, Jang YC, Hong SY, Shim WJ, Song YK, Hong SH, Jang M, Han GM, Kang D, &amp; Hong S. 2015. Distribution and size relationships of plastic marine debris on beaches in South Korea. Arch. </w:t>
      </w:r>
      <w:r w:rsidRPr="00097BB2">
        <w:rPr>
          <w:rFonts w:ascii="Arial" w:hAnsi="Arial" w:cs="Arial"/>
          <w:i/>
          <w:iCs/>
        </w:rPr>
        <w:t xml:space="preserve">Environmental Contamination &amp; Toxicology, </w:t>
      </w:r>
      <w:r w:rsidRPr="00097BB2">
        <w:rPr>
          <w:rFonts w:ascii="Arial" w:hAnsi="Arial" w:cs="Arial"/>
          <w:b/>
          <w:bCs/>
          <w:i/>
          <w:iCs/>
        </w:rPr>
        <w:t xml:space="preserve">69 </w:t>
      </w:r>
      <w:r w:rsidRPr="00097BB2">
        <w:rPr>
          <w:rFonts w:ascii="Arial" w:hAnsi="Arial" w:cs="Arial"/>
          <w:i/>
          <w:iCs/>
        </w:rPr>
        <w:t>(3): 288- 298</w:t>
      </w:r>
      <w:r w:rsidRPr="00097BB2">
        <w:rPr>
          <w:rFonts w:ascii="Arial" w:hAnsi="Arial" w:cs="Arial"/>
        </w:rPr>
        <w:t>.</w:t>
      </w:r>
    </w:p>
    <w:p w14:paraId="37982C31"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iCs/>
        </w:rPr>
        <w:t xml:space="preserve">Majid Rasta, Mian Adnan Kakakhel, Mojtaba S. </w:t>
      </w:r>
      <w:proofErr w:type="spellStart"/>
      <w:r w:rsidRPr="00097BB2">
        <w:rPr>
          <w:rFonts w:ascii="Arial" w:hAnsi="Arial" w:cs="Arial"/>
          <w:iCs/>
        </w:rPr>
        <w:t>Taleshi</w:t>
      </w:r>
      <w:proofErr w:type="spellEnd"/>
      <w:r w:rsidRPr="00097BB2">
        <w:rPr>
          <w:rFonts w:ascii="Arial" w:hAnsi="Arial" w:cs="Arial"/>
          <w:iCs/>
        </w:rPr>
        <w:t xml:space="preserve">, Niloofar S. </w:t>
      </w:r>
      <w:proofErr w:type="spellStart"/>
      <w:r w:rsidRPr="00097BB2">
        <w:rPr>
          <w:rFonts w:ascii="Arial" w:hAnsi="Arial" w:cs="Arial"/>
          <w:iCs/>
        </w:rPr>
        <w:t>Lashkaryan</w:t>
      </w:r>
      <w:proofErr w:type="spellEnd"/>
      <w:r w:rsidRPr="00097BB2">
        <w:rPr>
          <w:rFonts w:ascii="Arial" w:hAnsi="Arial" w:cs="Arial"/>
          <w:iCs/>
        </w:rPr>
        <w:t>, Jia Manke, Liming Liu, Shan-e-</w:t>
      </w:r>
      <w:proofErr w:type="spellStart"/>
      <w:r w:rsidRPr="00097BB2">
        <w:rPr>
          <w:rFonts w:ascii="Arial" w:hAnsi="Arial" w:cs="Arial"/>
          <w:iCs/>
        </w:rPr>
        <w:t>hyder</w:t>
      </w:r>
      <w:proofErr w:type="spellEnd"/>
      <w:r w:rsidRPr="00097BB2">
        <w:rPr>
          <w:rFonts w:ascii="Arial" w:hAnsi="Arial" w:cs="Arial"/>
          <w:iCs/>
        </w:rPr>
        <w:t xml:space="preserve"> Soomro, </w:t>
      </w:r>
      <w:proofErr w:type="spellStart"/>
      <w:r w:rsidRPr="00097BB2">
        <w:rPr>
          <w:rFonts w:ascii="Arial" w:hAnsi="Arial" w:cs="Arial"/>
          <w:iCs/>
        </w:rPr>
        <w:t>Xiaotao</w:t>
      </w:r>
      <w:proofErr w:type="spellEnd"/>
      <w:r w:rsidRPr="00097BB2">
        <w:rPr>
          <w:rFonts w:ascii="Arial" w:hAnsi="Arial" w:cs="Arial"/>
          <w:iCs/>
        </w:rPr>
        <w:t xml:space="preserve"> Shi. (2025). Interactive effects of hydrodynamics and microplastics on bioaccumulation, histopathological alterations, biomarker responses, and gene expression in grass carp brain. Ecotoxicology and Environmental Safety, 302, 118596, </w:t>
      </w:r>
      <w:hyperlink r:id="rId31" w:history="1">
        <w:r w:rsidRPr="00097BB2">
          <w:rPr>
            <w:rStyle w:val="Hyperlink"/>
            <w:rFonts w:ascii="Arial" w:hAnsi="Arial" w:cs="Arial"/>
            <w:iCs/>
          </w:rPr>
          <w:t>https://doi.org/10.1016/j.ecoenv.2025.118596</w:t>
        </w:r>
      </w:hyperlink>
    </w:p>
    <w:p w14:paraId="63E41D14"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iCs/>
        </w:rPr>
        <w:t xml:space="preserve">Majid Rasta, Niloofar S. </w:t>
      </w:r>
      <w:proofErr w:type="spellStart"/>
      <w:r w:rsidRPr="00097BB2">
        <w:rPr>
          <w:rFonts w:ascii="Arial" w:hAnsi="Arial" w:cs="Arial"/>
          <w:iCs/>
        </w:rPr>
        <w:t>Lashkaryan</w:t>
      </w:r>
      <w:proofErr w:type="spellEnd"/>
      <w:r w:rsidRPr="00097BB2">
        <w:rPr>
          <w:rFonts w:ascii="Arial" w:hAnsi="Arial" w:cs="Arial"/>
          <w:iCs/>
        </w:rPr>
        <w:t xml:space="preserve">, </w:t>
      </w:r>
      <w:proofErr w:type="spellStart"/>
      <w:r w:rsidRPr="00097BB2">
        <w:rPr>
          <w:rFonts w:ascii="Arial" w:hAnsi="Arial" w:cs="Arial"/>
          <w:iCs/>
        </w:rPr>
        <w:t>Xiaotao</w:t>
      </w:r>
      <w:proofErr w:type="spellEnd"/>
      <w:r w:rsidRPr="00097BB2">
        <w:rPr>
          <w:rFonts w:ascii="Arial" w:hAnsi="Arial" w:cs="Arial"/>
          <w:iCs/>
        </w:rPr>
        <w:t xml:space="preserve"> Shi, Mojtaba S. </w:t>
      </w:r>
      <w:proofErr w:type="spellStart"/>
      <w:r w:rsidRPr="00097BB2">
        <w:rPr>
          <w:rFonts w:ascii="Arial" w:hAnsi="Arial" w:cs="Arial"/>
          <w:iCs/>
        </w:rPr>
        <w:t>Taleshi</w:t>
      </w:r>
      <w:proofErr w:type="spellEnd"/>
      <w:r w:rsidRPr="00097BB2">
        <w:rPr>
          <w:rFonts w:ascii="Arial" w:hAnsi="Arial" w:cs="Arial"/>
          <w:iCs/>
        </w:rPr>
        <w:t xml:space="preserve">, Ali Haghi Vayghan, Azin Ahmadi, Mian Adnan Kakakhel, Jia Manke, Liming Liu, </w:t>
      </w:r>
      <w:proofErr w:type="spellStart"/>
      <w:r w:rsidRPr="00097BB2">
        <w:rPr>
          <w:rFonts w:ascii="Arial" w:hAnsi="Arial" w:cs="Arial"/>
          <w:iCs/>
        </w:rPr>
        <w:t>Yujiao</w:t>
      </w:r>
      <w:proofErr w:type="spellEnd"/>
      <w:r w:rsidRPr="00097BB2">
        <w:rPr>
          <w:rFonts w:ascii="Arial" w:hAnsi="Arial" w:cs="Arial"/>
          <w:iCs/>
        </w:rPr>
        <w:t xml:space="preserve"> Wu, (2026). Hydrodynamic modulation of microplastic bioaccumulation in edible fish: Integrating biomarker networks, machine learning, and food safety perspectives, </w:t>
      </w:r>
      <w:proofErr w:type="gramStart"/>
      <w:r w:rsidRPr="00097BB2">
        <w:rPr>
          <w:rFonts w:ascii="Arial" w:hAnsi="Arial" w:cs="Arial"/>
          <w:iCs/>
        </w:rPr>
        <w:t>Food  Chemistry</w:t>
      </w:r>
      <w:proofErr w:type="gramEnd"/>
      <w:r w:rsidRPr="00097BB2">
        <w:rPr>
          <w:rFonts w:ascii="Arial" w:hAnsi="Arial" w:cs="Arial"/>
          <w:iCs/>
        </w:rPr>
        <w:t xml:space="preserve">, 509: 148610, </w:t>
      </w:r>
      <w:hyperlink r:id="rId32" w:history="1">
        <w:r w:rsidRPr="00097BB2">
          <w:rPr>
            <w:rStyle w:val="Hyperlink"/>
            <w:rFonts w:ascii="Arial" w:hAnsi="Arial" w:cs="Arial"/>
            <w:iCs/>
          </w:rPr>
          <w:t>https://doi.org/10.1016/j.foodchem.2026.148610</w:t>
        </w:r>
      </w:hyperlink>
      <w:r w:rsidRPr="00097BB2">
        <w:rPr>
          <w:rFonts w:ascii="Arial" w:hAnsi="Arial" w:cs="Arial"/>
          <w:iCs/>
        </w:rPr>
        <w:t>.</w:t>
      </w:r>
    </w:p>
    <w:p w14:paraId="413C7AD5"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iCs/>
        </w:rPr>
        <w:t xml:space="preserve">Majid Rasta, Niloofar S. </w:t>
      </w:r>
      <w:proofErr w:type="spellStart"/>
      <w:r w:rsidRPr="00097BB2">
        <w:rPr>
          <w:rFonts w:ascii="Arial" w:hAnsi="Arial" w:cs="Arial"/>
          <w:iCs/>
        </w:rPr>
        <w:t>Lashkaryan</w:t>
      </w:r>
      <w:proofErr w:type="spellEnd"/>
      <w:r w:rsidRPr="00097BB2">
        <w:rPr>
          <w:rFonts w:ascii="Arial" w:hAnsi="Arial" w:cs="Arial"/>
          <w:iCs/>
        </w:rPr>
        <w:t xml:space="preserve">, </w:t>
      </w:r>
      <w:proofErr w:type="spellStart"/>
      <w:r w:rsidRPr="00097BB2">
        <w:rPr>
          <w:rFonts w:ascii="Arial" w:hAnsi="Arial" w:cs="Arial"/>
          <w:iCs/>
        </w:rPr>
        <w:t>Xiaotao</w:t>
      </w:r>
      <w:proofErr w:type="spellEnd"/>
      <w:r w:rsidRPr="00097BB2">
        <w:rPr>
          <w:rFonts w:ascii="Arial" w:hAnsi="Arial" w:cs="Arial"/>
          <w:iCs/>
        </w:rPr>
        <w:t xml:space="preserve"> Shi, Mojtaba S. </w:t>
      </w:r>
      <w:proofErr w:type="spellStart"/>
      <w:r w:rsidRPr="00097BB2">
        <w:rPr>
          <w:rFonts w:ascii="Arial" w:hAnsi="Arial" w:cs="Arial"/>
          <w:iCs/>
        </w:rPr>
        <w:t>Taleshi</w:t>
      </w:r>
      <w:proofErr w:type="spellEnd"/>
      <w:r w:rsidRPr="00097BB2">
        <w:rPr>
          <w:rFonts w:ascii="Arial" w:hAnsi="Arial" w:cs="Arial"/>
          <w:iCs/>
        </w:rPr>
        <w:t xml:space="preserve">, Ali Haghi Vayghan, Azin Ahmadi, Mian Adnan Kakakhel, Aysha Zahid, Maryam Pedram Jarf, Jia Manke, Liming Liu, </w:t>
      </w:r>
      <w:proofErr w:type="spellStart"/>
      <w:r w:rsidRPr="00097BB2">
        <w:rPr>
          <w:rFonts w:ascii="Arial" w:hAnsi="Arial" w:cs="Arial"/>
          <w:iCs/>
        </w:rPr>
        <w:t>Yujiao</w:t>
      </w:r>
      <w:proofErr w:type="spellEnd"/>
      <w:r w:rsidRPr="00097BB2">
        <w:rPr>
          <w:rFonts w:ascii="Arial" w:hAnsi="Arial" w:cs="Arial"/>
          <w:iCs/>
        </w:rPr>
        <w:t xml:space="preserve"> Wu. (2026). Flow-dependent modulation of microplastic toxicity in grass carp: Insights from multi-level biological endpoints and machine learning. Journal of Hazardous Materials, 502: 141020, </w:t>
      </w:r>
      <w:hyperlink r:id="rId33" w:history="1">
        <w:r w:rsidRPr="00097BB2">
          <w:rPr>
            <w:rStyle w:val="Hyperlink"/>
            <w:rFonts w:ascii="Arial" w:hAnsi="Arial" w:cs="Arial"/>
            <w:iCs/>
          </w:rPr>
          <w:t>https://doi.org/10.1016/j.jhazmat.2025.141020</w:t>
        </w:r>
      </w:hyperlink>
      <w:r w:rsidRPr="00097BB2">
        <w:rPr>
          <w:rFonts w:ascii="Arial" w:hAnsi="Arial" w:cs="Arial"/>
          <w:iCs/>
        </w:rPr>
        <w:t>.</w:t>
      </w:r>
    </w:p>
    <w:p w14:paraId="48410CCD"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Masura J, Baker J, Foster G, Arthur C, &amp; Herring C. 2015. Laboratory methods for the analysis of microplastics in the marine environment: recommendations for quantifying synthetic particles in waters and sediments </w:t>
      </w:r>
      <w:r w:rsidRPr="00097BB2">
        <w:rPr>
          <w:rFonts w:ascii="Arial" w:hAnsi="Arial" w:cs="Arial"/>
          <w:i/>
          <w:iCs/>
        </w:rPr>
        <w:t>NOAA Technical Memorandum, NOS-OR&amp;R-48.</w:t>
      </w:r>
    </w:p>
    <w:p w14:paraId="029502FF"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Napper IE, &amp; Thompson RC. 2016. Release of synthetic microplastic plastic </w:t>
      </w:r>
      <w:proofErr w:type="spellStart"/>
      <w:r w:rsidRPr="00097BB2">
        <w:rPr>
          <w:rFonts w:ascii="Arial" w:hAnsi="Arial" w:cs="Arial"/>
        </w:rPr>
        <w:t>fibres</w:t>
      </w:r>
      <w:proofErr w:type="spellEnd"/>
      <w:r w:rsidRPr="00097BB2">
        <w:rPr>
          <w:rFonts w:ascii="Arial" w:hAnsi="Arial" w:cs="Arial"/>
        </w:rPr>
        <w:t xml:space="preserve"> from domestic washing machines: Effects of fabric type and washing conditions. </w:t>
      </w:r>
      <w:r w:rsidRPr="00097BB2">
        <w:rPr>
          <w:rFonts w:ascii="Arial" w:hAnsi="Arial" w:cs="Arial"/>
          <w:i/>
          <w:iCs/>
        </w:rPr>
        <w:t xml:space="preserve">Marine Pollution Bulletin, </w:t>
      </w:r>
      <w:r w:rsidRPr="00097BB2">
        <w:rPr>
          <w:rFonts w:ascii="Arial" w:hAnsi="Arial" w:cs="Arial"/>
          <w:b/>
          <w:bCs/>
          <w:i/>
          <w:iCs/>
        </w:rPr>
        <w:t>112</w:t>
      </w:r>
      <w:r w:rsidRPr="00097BB2">
        <w:rPr>
          <w:rFonts w:ascii="Arial" w:hAnsi="Arial" w:cs="Arial"/>
          <w:i/>
          <w:iCs/>
        </w:rPr>
        <w:t>(1): 39-45</w:t>
      </w:r>
      <w:r w:rsidRPr="00097BB2">
        <w:rPr>
          <w:rFonts w:ascii="Arial" w:hAnsi="Arial" w:cs="Arial"/>
        </w:rPr>
        <w:t>.</w:t>
      </w:r>
    </w:p>
    <w:p w14:paraId="29A0A10B" w14:textId="77777777" w:rsidR="00097BB2" w:rsidRPr="00097BB2" w:rsidRDefault="00097BB2" w:rsidP="00097BB2">
      <w:pPr>
        <w:spacing w:before="240"/>
        <w:ind w:left="851" w:hanging="851"/>
        <w:jc w:val="both"/>
        <w:rPr>
          <w:rFonts w:ascii="Arial" w:hAnsi="Arial" w:cs="Arial"/>
          <w:u w:val="single"/>
        </w:rPr>
      </w:pPr>
      <w:r w:rsidRPr="00097BB2">
        <w:rPr>
          <w:rFonts w:ascii="Arial" w:hAnsi="Arial" w:cs="Arial"/>
        </w:rPr>
        <w:t xml:space="preserve">Patra KB, &amp; </w:t>
      </w:r>
      <w:proofErr w:type="spellStart"/>
      <w:r w:rsidRPr="00097BB2">
        <w:rPr>
          <w:rFonts w:ascii="Arial" w:hAnsi="Arial" w:cs="Arial"/>
        </w:rPr>
        <w:t>Baitharu</w:t>
      </w:r>
      <w:proofErr w:type="spellEnd"/>
      <w:r w:rsidRPr="00097BB2">
        <w:rPr>
          <w:rFonts w:ascii="Arial" w:hAnsi="Arial" w:cs="Arial"/>
        </w:rPr>
        <w:t xml:space="preserve"> I. 2024. Assessment of microplastics and associated ecological risk in the Hirakud Reservoir, Odisha, India. </w:t>
      </w:r>
      <w:r w:rsidRPr="00097BB2">
        <w:rPr>
          <w:rFonts w:ascii="Arial" w:hAnsi="Arial" w:cs="Arial"/>
          <w:i/>
          <w:iCs/>
        </w:rPr>
        <w:t xml:space="preserve">Journal of Water &amp; Health, </w:t>
      </w:r>
      <w:r w:rsidRPr="00097BB2">
        <w:rPr>
          <w:rFonts w:ascii="Arial" w:hAnsi="Arial" w:cs="Arial"/>
          <w:b/>
          <w:i/>
          <w:iCs/>
        </w:rPr>
        <w:t>22</w:t>
      </w:r>
      <w:r w:rsidRPr="00097BB2">
        <w:rPr>
          <w:rFonts w:ascii="Arial" w:hAnsi="Arial" w:cs="Arial"/>
          <w:i/>
          <w:iCs/>
        </w:rPr>
        <w:t xml:space="preserve">(6): 10-17 </w:t>
      </w:r>
      <w:proofErr w:type="spellStart"/>
      <w:r w:rsidRPr="00097BB2">
        <w:rPr>
          <w:rFonts w:ascii="Arial" w:hAnsi="Arial" w:cs="Arial"/>
          <w:i/>
          <w:iCs/>
          <w:u w:val="single"/>
        </w:rPr>
        <w:t>doi</w:t>
      </w:r>
      <w:proofErr w:type="spellEnd"/>
      <w:r w:rsidRPr="00097BB2">
        <w:rPr>
          <w:rFonts w:ascii="Arial" w:hAnsi="Arial" w:cs="Arial"/>
          <w:i/>
          <w:iCs/>
          <w:u w:val="single"/>
        </w:rPr>
        <w:t>: 10.2166/wh.2024.393</w:t>
      </w:r>
    </w:p>
    <w:p w14:paraId="124EE384"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Paul DK, &amp; Ramesh Y. 2022. Microplastic in Inland Water Fish in India: Presence and Fate. </w:t>
      </w:r>
      <w:r w:rsidRPr="00097BB2">
        <w:rPr>
          <w:rFonts w:ascii="Arial" w:hAnsi="Arial" w:cs="Arial"/>
          <w:i/>
          <w:iCs/>
        </w:rPr>
        <w:t>Techno World, 37-53.</w:t>
      </w:r>
    </w:p>
    <w:p w14:paraId="777AF220" w14:textId="77777777" w:rsidR="00097BB2" w:rsidRPr="00097BB2" w:rsidRDefault="00097BB2" w:rsidP="00097BB2">
      <w:pPr>
        <w:spacing w:before="240"/>
        <w:ind w:left="851" w:hanging="851"/>
        <w:jc w:val="both"/>
        <w:rPr>
          <w:rFonts w:ascii="Arial" w:hAnsi="Arial" w:cs="Arial"/>
          <w:i/>
        </w:rPr>
      </w:pPr>
      <w:proofErr w:type="spellStart"/>
      <w:r w:rsidRPr="00097BB2">
        <w:rPr>
          <w:rFonts w:ascii="Arial" w:hAnsi="Arial" w:cs="Arial"/>
        </w:rPr>
        <w:t>Sanabila</w:t>
      </w:r>
      <w:proofErr w:type="spellEnd"/>
      <w:r w:rsidRPr="00097BB2">
        <w:rPr>
          <w:rFonts w:ascii="Arial" w:hAnsi="Arial" w:cs="Arial"/>
        </w:rPr>
        <w:t xml:space="preserve"> AI, Hadi MI &amp; </w:t>
      </w:r>
      <w:proofErr w:type="spellStart"/>
      <w:r w:rsidRPr="00097BB2">
        <w:rPr>
          <w:rFonts w:ascii="Arial" w:hAnsi="Arial" w:cs="Arial"/>
        </w:rPr>
        <w:t>Zummah</w:t>
      </w:r>
      <w:proofErr w:type="spellEnd"/>
      <w:r w:rsidRPr="00097BB2">
        <w:rPr>
          <w:rFonts w:ascii="Arial" w:hAnsi="Arial" w:cs="Arial"/>
        </w:rPr>
        <w:t xml:space="preserve"> A. 2022. Identification of Microplastics Content in Sediment, Water and Digestive Channel of Milkfish (</w:t>
      </w:r>
      <w:r w:rsidRPr="00097BB2">
        <w:rPr>
          <w:rFonts w:ascii="Arial" w:hAnsi="Arial" w:cs="Arial"/>
          <w:i/>
        </w:rPr>
        <w:t xml:space="preserve">Chanos </w:t>
      </w:r>
      <w:proofErr w:type="spellStart"/>
      <w:r w:rsidRPr="00097BB2">
        <w:rPr>
          <w:rFonts w:ascii="Arial" w:hAnsi="Arial" w:cs="Arial"/>
          <w:i/>
        </w:rPr>
        <w:t>chanos</w:t>
      </w:r>
      <w:proofErr w:type="spellEnd"/>
      <w:r w:rsidRPr="00097BB2">
        <w:rPr>
          <w:rFonts w:ascii="Arial" w:hAnsi="Arial" w:cs="Arial"/>
        </w:rPr>
        <w:t xml:space="preserve">) in </w:t>
      </w:r>
      <w:proofErr w:type="spellStart"/>
      <w:r w:rsidRPr="00097BB2">
        <w:rPr>
          <w:rFonts w:ascii="Arial" w:hAnsi="Arial" w:cs="Arial"/>
        </w:rPr>
        <w:t>Sidoarjo</w:t>
      </w:r>
      <w:proofErr w:type="spellEnd"/>
      <w:r w:rsidRPr="00097BB2">
        <w:rPr>
          <w:rFonts w:ascii="Arial" w:hAnsi="Arial" w:cs="Arial"/>
        </w:rPr>
        <w:t xml:space="preserve"> Pond. </w:t>
      </w:r>
      <w:r w:rsidRPr="00097BB2">
        <w:rPr>
          <w:rFonts w:ascii="Arial" w:hAnsi="Arial" w:cs="Arial"/>
          <w:i/>
        </w:rPr>
        <w:t xml:space="preserve">Al-Hayat: Journal of Biology and Applied Biology, 5(1): 11-24. </w:t>
      </w:r>
      <w:r w:rsidRPr="00097BB2">
        <w:rPr>
          <w:rFonts w:ascii="Arial" w:hAnsi="Arial" w:cs="Arial"/>
          <w:i/>
          <w:u w:val="single"/>
        </w:rPr>
        <w:t>DOI. 10.21580/</w:t>
      </w:r>
      <w:proofErr w:type="gramStart"/>
      <w:r w:rsidRPr="00097BB2">
        <w:rPr>
          <w:rFonts w:ascii="Arial" w:hAnsi="Arial" w:cs="Arial"/>
          <w:i/>
          <w:u w:val="single"/>
        </w:rPr>
        <w:t>ah.v</w:t>
      </w:r>
      <w:proofErr w:type="gramEnd"/>
      <w:r w:rsidRPr="00097BB2">
        <w:rPr>
          <w:rFonts w:ascii="Arial" w:hAnsi="Arial" w:cs="Arial"/>
          <w:i/>
          <w:u w:val="single"/>
        </w:rPr>
        <w:t>5i1.12295</w:t>
      </w:r>
    </w:p>
    <w:p w14:paraId="42A7B826" w14:textId="77777777" w:rsidR="00097BB2" w:rsidRPr="00097BB2" w:rsidRDefault="00097BB2" w:rsidP="00097BB2">
      <w:pPr>
        <w:spacing w:before="240"/>
        <w:ind w:left="851" w:hanging="851"/>
        <w:jc w:val="both"/>
        <w:rPr>
          <w:rFonts w:ascii="Arial" w:hAnsi="Arial" w:cs="Arial"/>
          <w:bCs/>
          <w:iCs/>
        </w:rPr>
      </w:pPr>
      <w:r w:rsidRPr="00097BB2">
        <w:rPr>
          <w:rFonts w:ascii="Arial" w:hAnsi="Arial" w:cs="Arial"/>
          <w:iCs/>
        </w:rPr>
        <w:t xml:space="preserve">Sharah JC. 2020. </w:t>
      </w:r>
      <w:r w:rsidRPr="00097BB2">
        <w:rPr>
          <w:rFonts w:ascii="Arial" w:hAnsi="Arial" w:cs="Arial"/>
          <w:bCs/>
          <w:iCs/>
        </w:rPr>
        <w:t>An Assessment of the Base Transceiver Stations (BTS) Compliance Status to Environmental Standards and Regulations in</w:t>
      </w:r>
      <w:r w:rsidRPr="00097BB2">
        <w:rPr>
          <w:rFonts w:ascii="Arial" w:hAnsi="Arial" w:cs="Arial"/>
          <w:bCs/>
          <w:i/>
          <w:iCs/>
        </w:rPr>
        <w:t xml:space="preserve"> </w:t>
      </w:r>
      <w:r w:rsidRPr="00097BB2">
        <w:rPr>
          <w:rFonts w:ascii="Arial" w:hAnsi="Arial" w:cs="Arial"/>
          <w:bCs/>
          <w:iCs/>
        </w:rPr>
        <w:t xml:space="preserve">Maiduguri and Its Environs. </w:t>
      </w:r>
      <w:r w:rsidRPr="00097BB2">
        <w:rPr>
          <w:rFonts w:ascii="Arial" w:hAnsi="Arial" w:cs="Arial"/>
          <w:bCs/>
          <w:i/>
          <w:iCs/>
        </w:rPr>
        <w:t>Unpublished</w:t>
      </w:r>
      <w:r w:rsidRPr="00097BB2">
        <w:rPr>
          <w:rFonts w:ascii="Arial" w:hAnsi="Arial" w:cs="Arial"/>
          <w:bCs/>
          <w:iCs/>
        </w:rPr>
        <w:t xml:space="preserve"> </w:t>
      </w:r>
      <w:r w:rsidRPr="00097BB2">
        <w:rPr>
          <w:rFonts w:ascii="Arial" w:hAnsi="Arial" w:cs="Arial"/>
          <w:bCs/>
          <w:i/>
          <w:iCs/>
        </w:rPr>
        <w:t>Thesis submitted to the Department of Geography, University of Maiduguri</w:t>
      </w:r>
      <w:r w:rsidRPr="00097BB2">
        <w:rPr>
          <w:rFonts w:ascii="Arial" w:hAnsi="Arial" w:cs="Arial"/>
          <w:bCs/>
          <w:iCs/>
        </w:rPr>
        <w:t>.</w:t>
      </w:r>
    </w:p>
    <w:p w14:paraId="375073D4"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Shylaja G, Kripa V, Prema D, &amp; Abhilash KS. 2018. Assessment of marine debris in the stake net fisheries of Vembanad Lake, Kerala, India. </w:t>
      </w:r>
      <w:r w:rsidRPr="00097BB2">
        <w:rPr>
          <w:rFonts w:ascii="Arial" w:hAnsi="Arial" w:cs="Arial"/>
          <w:i/>
          <w:iCs/>
        </w:rPr>
        <w:t xml:space="preserve">Journal of Marine Biological Association of India, </w:t>
      </w:r>
      <w:r w:rsidRPr="00097BB2">
        <w:rPr>
          <w:rFonts w:ascii="Arial" w:hAnsi="Arial" w:cs="Arial"/>
          <w:b/>
          <w:i/>
          <w:iCs/>
        </w:rPr>
        <w:t>60</w:t>
      </w:r>
      <w:r w:rsidRPr="00097BB2">
        <w:rPr>
          <w:rFonts w:ascii="Arial" w:hAnsi="Arial" w:cs="Arial"/>
          <w:i/>
          <w:iCs/>
        </w:rPr>
        <w:t xml:space="preserve">: 91-96. </w:t>
      </w:r>
      <w:proofErr w:type="spellStart"/>
      <w:r w:rsidRPr="00097BB2">
        <w:rPr>
          <w:rFonts w:ascii="Arial" w:hAnsi="Arial" w:cs="Arial"/>
          <w:i/>
          <w:iCs/>
          <w:u w:val="single"/>
        </w:rPr>
        <w:t>doi</w:t>
      </w:r>
      <w:proofErr w:type="spellEnd"/>
      <w:r w:rsidRPr="00097BB2">
        <w:rPr>
          <w:rFonts w:ascii="Arial" w:hAnsi="Arial" w:cs="Arial"/>
          <w:i/>
          <w:iCs/>
          <w:u w:val="single"/>
        </w:rPr>
        <w:t>: 10.6024/jmbai.2018.60.1.2044-14</w:t>
      </w:r>
    </w:p>
    <w:p w14:paraId="247866AE"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Sruthy S. &amp; Ramasamy EV. 2017. Microplastic pollution in Vembanad Lake, Kerala, India: The first report of microplastics in lake and estuarine sediments in India</w:t>
      </w:r>
      <w:r w:rsidRPr="00097BB2">
        <w:rPr>
          <w:rFonts w:ascii="Arial" w:hAnsi="Arial" w:cs="Arial"/>
          <w:i/>
          <w:iCs/>
        </w:rPr>
        <w:t xml:space="preserve">. Environmental Pollution, </w:t>
      </w:r>
      <w:r w:rsidRPr="00097BB2">
        <w:rPr>
          <w:rFonts w:ascii="Arial" w:hAnsi="Arial" w:cs="Arial"/>
          <w:b/>
          <w:bCs/>
          <w:i/>
          <w:iCs/>
        </w:rPr>
        <w:t>222</w:t>
      </w:r>
      <w:r w:rsidRPr="00097BB2">
        <w:rPr>
          <w:rFonts w:ascii="Arial" w:hAnsi="Arial" w:cs="Arial"/>
          <w:i/>
          <w:iCs/>
        </w:rPr>
        <w:t xml:space="preserve">: 315-322. </w:t>
      </w:r>
      <w:proofErr w:type="spellStart"/>
      <w:r w:rsidRPr="00097BB2">
        <w:rPr>
          <w:rFonts w:ascii="Arial" w:hAnsi="Arial" w:cs="Arial"/>
          <w:i/>
          <w:iCs/>
          <w:u w:val="single"/>
        </w:rPr>
        <w:t>doi</w:t>
      </w:r>
      <w:proofErr w:type="spellEnd"/>
      <w:r w:rsidRPr="00097BB2">
        <w:rPr>
          <w:rFonts w:ascii="Arial" w:hAnsi="Arial" w:cs="Arial"/>
          <w:i/>
          <w:iCs/>
          <w:u w:val="single"/>
        </w:rPr>
        <w:t>: 10.1016/</w:t>
      </w:r>
      <w:proofErr w:type="spellStart"/>
      <w:r w:rsidRPr="00097BB2">
        <w:rPr>
          <w:rFonts w:ascii="Arial" w:hAnsi="Arial" w:cs="Arial"/>
          <w:i/>
          <w:iCs/>
          <w:u w:val="single"/>
        </w:rPr>
        <w:t>j.envpol</w:t>
      </w:r>
      <w:proofErr w:type="spellEnd"/>
      <w:r w:rsidRPr="00097BB2">
        <w:rPr>
          <w:rFonts w:ascii="Arial" w:hAnsi="Arial" w:cs="Arial"/>
          <w:i/>
          <w:iCs/>
          <w:u w:val="single"/>
        </w:rPr>
        <w:t>. 2016.12.038</w:t>
      </w:r>
      <w:r w:rsidRPr="00097BB2">
        <w:rPr>
          <w:rFonts w:ascii="Arial" w:hAnsi="Arial" w:cs="Arial"/>
          <w:i/>
          <w:iCs/>
        </w:rPr>
        <w:t>.</w:t>
      </w:r>
    </w:p>
    <w:p w14:paraId="3A07F2CF"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Tasneem AT. 2021. Assessing the Sources of Microplastic Pollution in the Maumee Watershed: A Geospatial Approach. </w:t>
      </w:r>
      <w:r w:rsidRPr="00097BB2">
        <w:rPr>
          <w:rFonts w:ascii="Arial" w:hAnsi="Arial" w:cs="Arial"/>
          <w:i/>
        </w:rPr>
        <w:t>Submitted to the Graduate Faculty as partial fulfilment of the requirements for the Master of Arts Degree in Geography, University of Toledo</w:t>
      </w:r>
      <w:r w:rsidRPr="00097BB2">
        <w:rPr>
          <w:rFonts w:ascii="Arial" w:hAnsi="Arial" w:cs="Arial"/>
        </w:rPr>
        <w:t>.</w:t>
      </w:r>
    </w:p>
    <w:p w14:paraId="5DFAC19E"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t xml:space="preserve">Usman YM, Mohammed A, Ibrahim B, &amp; Saleh BA. 2016. Assessment of Groundwater Quality Status along River </w:t>
      </w:r>
      <w:proofErr w:type="spellStart"/>
      <w:r w:rsidRPr="00097BB2">
        <w:rPr>
          <w:rFonts w:ascii="Arial" w:hAnsi="Arial" w:cs="Arial"/>
        </w:rPr>
        <w:t>Nggada</w:t>
      </w:r>
      <w:proofErr w:type="spellEnd"/>
      <w:r w:rsidRPr="00097BB2">
        <w:rPr>
          <w:rFonts w:ascii="Arial" w:hAnsi="Arial" w:cs="Arial"/>
        </w:rPr>
        <w:t xml:space="preserve"> in Maiduguri, Nigeria</w:t>
      </w:r>
      <w:r w:rsidRPr="00097BB2">
        <w:rPr>
          <w:rFonts w:ascii="Arial" w:hAnsi="Arial" w:cs="Arial"/>
          <w:i/>
          <w:iCs/>
        </w:rPr>
        <w:t xml:space="preserve">. International Journal of Engineering &amp; Sciences, </w:t>
      </w:r>
      <w:r w:rsidRPr="00097BB2">
        <w:rPr>
          <w:rFonts w:ascii="Arial" w:hAnsi="Arial" w:cs="Arial"/>
          <w:b/>
          <w:bCs/>
          <w:i/>
          <w:iCs/>
        </w:rPr>
        <w:t>5</w:t>
      </w:r>
      <w:r w:rsidRPr="00097BB2">
        <w:rPr>
          <w:rFonts w:ascii="Arial" w:hAnsi="Arial" w:cs="Arial"/>
          <w:i/>
          <w:iCs/>
        </w:rPr>
        <w:t>(1) 08 – 14.</w:t>
      </w:r>
    </w:p>
    <w:p w14:paraId="77E2C31B" w14:textId="77777777" w:rsidR="00097BB2" w:rsidRPr="00097BB2" w:rsidRDefault="00097BB2" w:rsidP="00097BB2">
      <w:pPr>
        <w:spacing w:before="240"/>
        <w:ind w:left="851" w:hanging="851"/>
        <w:jc w:val="both"/>
        <w:rPr>
          <w:rFonts w:ascii="Arial" w:hAnsi="Arial" w:cs="Arial"/>
          <w:u w:val="single"/>
        </w:rPr>
      </w:pPr>
      <w:proofErr w:type="spellStart"/>
      <w:r w:rsidRPr="00097BB2">
        <w:rPr>
          <w:rFonts w:ascii="Arial" w:hAnsi="Arial" w:cs="Arial"/>
        </w:rPr>
        <w:t>Veerasingam</w:t>
      </w:r>
      <w:proofErr w:type="spellEnd"/>
      <w:r w:rsidRPr="00097BB2">
        <w:rPr>
          <w:rFonts w:ascii="Arial" w:hAnsi="Arial" w:cs="Arial"/>
        </w:rPr>
        <w:t xml:space="preserve"> S, Saha M, Suneel V, </w:t>
      </w:r>
      <w:proofErr w:type="spellStart"/>
      <w:r w:rsidRPr="00097BB2">
        <w:rPr>
          <w:rFonts w:ascii="Arial" w:hAnsi="Arial" w:cs="Arial"/>
        </w:rPr>
        <w:t>Vethamony</w:t>
      </w:r>
      <w:proofErr w:type="spellEnd"/>
      <w:r w:rsidRPr="00097BB2">
        <w:rPr>
          <w:rFonts w:ascii="Arial" w:hAnsi="Arial" w:cs="Arial"/>
        </w:rPr>
        <w:t xml:space="preserve"> P, Rodrigues CA, Bhattacharyya S. &amp; Naik BG. 2016. Characteristics, seasonal distribution and surface degradation features of microplastic pellets along the Goa coast, India, </w:t>
      </w:r>
      <w:r w:rsidRPr="00097BB2">
        <w:rPr>
          <w:rFonts w:ascii="Arial" w:hAnsi="Arial" w:cs="Arial"/>
          <w:i/>
          <w:iCs/>
        </w:rPr>
        <w:t xml:space="preserve">Chemosphere, </w:t>
      </w:r>
      <w:r w:rsidRPr="00097BB2">
        <w:rPr>
          <w:rFonts w:ascii="Arial" w:hAnsi="Arial" w:cs="Arial"/>
          <w:b/>
          <w:bCs/>
          <w:i/>
          <w:iCs/>
        </w:rPr>
        <w:t>159</w:t>
      </w:r>
      <w:r w:rsidRPr="00097BB2">
        <w:rPr>
          <w:rFonts w:ascii="Arial" w:hAnsi="Arial" w:cs="Arial"/>
          <w:i/>
          <w:iCs/>
        </w:rPr>
        <w:t xml:space="preserve">: 496-505. </w:t>
      </w:r>
      <w:proofErr w:type="spellStart"/>
      <w:r w:rsidRPr="00097BB2">
        <w:rPr>
          <w:rFonts w:ascii="Arial" w:hAnsi="Arial" w:cs="Arial"/>
          <w:i/>
          <w:iCs/>
          <w:u w:val="single"/>
        </w:rPr>
        <w:t>doi</w:t>
      </w:r>
      <w:proofErr w:type="spellEnd"/>
      <w:r w:rsidRPr="00097BB2">
        <w:rPr>
          <w:rFonts w:ascii="Arial" w:hAnsi="Arial" w:cs="Arial"/>
          <w:i/>
          <w:iCs/>
          <w:u w:val="single"/>
        </w:rPr>
        <w:t>: 10.1016/j. chemosphere.2016.06.056</w:t>
      </w:r>
      <w:r w:rsidRPr="00097BB2">
        <w:rPr>
          <w:rFonts w:ascii="Arial" w:hAnsi="Arial" w:cs="Arial"/>
          <w:u w:val="single"/>
        </w:rPr>
        <w:t>.</w:t>
      </w:r>
    </w:p>
    <w:p w14:paraId="5163D48D" w14:textId="77777777" w:rsidR="00097BB2" w:rsidRPr="00097BB2" w:rsidRDefault="00097BB2" w:rsidP="00097BB2">
      <w:pPr>
        <w:spacing w:before="240"/>
        <w:ind w:left="851" w:hanging="851"/>
        <w:jc w:val="both"/>
        <w:rPr>
          <w:rFonts w:ascii="Arial" w:hAnsi="Arial" w:cs="Arial"/>
          <w:i/>
          <w:iCs/>
        </w:rPr>
      </w:pPr>
      <w:r w:rsidRPr="00097BB2">
        <w:rPr>
          <w:rFonts w:ascii="Arial" w:hAnsi="Arial" w:cs="Arial"/>
        </w:rPr>
        <w:lastRenderedPageBreak/>
        <w:t xml:space="preserve">Wegner A, </w:t>
      </w:r>
      <w:proofErr w:type="spellStart"/>
      <w:r w:rsidRPr="00097BB2">
        <w:rPr>
          <w:rFonts w:ascii="Arial" w:hAnsi="Arial" w:cs="Arial"/>
        </w:rPr>
        <w:t>Besseling</w:t>
      </w:r>
      <w:proofErr w:type="spellEnd"/>
      <w:r w:rsidRPr="00097BB2">
        <w:rPr>
          <w:rFonts w:ascii="Arial" w:hAnsi="Arial" w:cs="Arial"/>
        </w:rPr>
        <w:t xml:space="preserve"> E, </w:t>
      </w:r>
      <w:proofErr w:type="spellStart"/>
      <w:r w:rsidRPr="00097BB2">
        <w:rPr>
          <w:rFonts w:ascii="Arial" w:hAnsi="Arial" w:cs="Arial"/>
        </w:rPr>
        <w:t>Foekema</w:t>
      </w:r>
      <w:proofErr w:type="spellEnd"/>
      <w:r w:rsidRPr="00097BB2">
        <w:rPr>
          <w:rFonts w:ascii="Arial" w:hAnsi="Arial" w:cs="Arial"/>
        </w:rPr>
        <w:t xml:space="preserve"> EM, Kamermans P &amp; </w:t>
      </w:r>
      <w:proofErr w:type="spellStart"/>
      <w:r w:rsidRPr="00097BB2">
        <w:rPr>
          <w:rFonts w:ascii="Arial" w:hAnsi="Arial" w:cs="Arial"/>
        </w:rPr>
        <w:t>Koelmans</w:t>
      </w:r>
      <w:proofErr w:type="spellEnd"/>
      <w:r w:rsidRPr="00097BB2">
        <w:rPr>
          <w:rFonts w:ascii="Arial" w:hAnsi="Arial" w:cs="Arial"/>
        </w:rPr>
        <w:t xml:space="preserve"> AA. 2012. Effects of </w:t>
      </w:r>
      <w:proofErr w:type="spellStart"/>
      <w:r w:rsidRPr="00097BB2">
        <w:rPr>
          <w:rFonts w:ascii="Arial" w:hAnsi="Arial" w:cs="Arial"/>
        </w:rPr>
        <w:t>nanopolystyrene</w:t>
      </w:r>
      <w:proofErr w:type="spellEnd"/>
      <w:r w:rsidRPr="00097BB2">
        <w:rPr>
          <w:rFonts w:ascii="Arial" w:hAnsi="Arial" w:cs="Arial"/>
        </w:rPr>
        <w:t xml:space="preserve"> on the feeding behavior of the blue mussel (</w:t>
      </w:r>
      <w:r w:rsidRPr="00097BB2">
        <w:rPr>
          <w:rFonts w:ascii="Arial" w:hAnsi="Arial" w:cs="Arial"/>
          <w:i/>
        </w:rPr>
        <w:t>Mytilus</w:t>
      </w:r>
      <w:r w:rsidRPr="00097BB2">
        <w:rPr>
          <w:rFonts w:ascii="Arial" w:hAnsi="Arial" w:cs="Arial"/>
        </w:rPr>
        <w:t xml:space="preserve"> </w:t>
      </w:r>
      <w:r w:rsidRPr="00097BB2">
        <w:rPr>
          <w:rFonts w:ascii="Arial" w:hAnsi="Arial" w:cs="Arial"/>
          <w:i/>
        </w:rPr>
        <w:t>edulis</w:t>
      </w:r>
      <w:r w:rsidRPr="00097BB2">
        <w:rPr>
          <w:rFonts w:ascii="Arial" w:hAnsi="Arial" w:cs="Arial"/>
        </w:rPr>
        <w:t xml:space="preserve"> </w:t>
      </w:r>
      <w:r w:rsidRPr="00097BB2">
        <w:rPr>
          <w:rFonts w:ascii="Arial" w:hAnsi="Arial" w:cs="Arial"/>
          <w:i/>
        </w:rPr>
        <w:t>L</w:t>
      </w:r>
      <w:r w:rsidRPr="00097BB2">
        <w:rPr>
          <w:rFonts w:ascii="Arial" w:hAnsi="Arial" w:cs="Arial"/>
        </w:rPr>
        <w:t xml:space="preserve">.). </w:t>
      </w:r>
      <w:r w:rsidRPr="00097BB2">
        <w:rPr>
          <w:rFonts w:ascii="Arial" w:hAnsi="Arial" w:cs="Arial"/>
          <w:i/>
          <w:iCs/>
        </w:rPr>
        <w:t xml:space="preserve">Environmental Toxicology &amp; Chemistry, </w:t>
      </w:r>
      <w:r w:rsidRPr="00097BB2">
        <w:rPr>
          <w:rFonts w:ascii="Arial" w:hAnsi="Arial" w:cs="Arial"/>
          <w:b/>
          <w:bCs/>
          <w:i/>
          <w:iCs/>
        </w:rPr>
        <w:t xml:space="preserve">31 </w:t>
      </w:r>
      <w:r w:rsidRPr="00097BB2">
        <w:rPr>
          <w:rFonts w:ascii="Arial" w:hAnsi="Arial" w:cs="Arial"/>
          <w:i/>
          <w:iCs/>
        </w:rPr>
        <w:t>(11): 2490-2497</w:t>
      </w:r>
    </w:p>
    <w:p w14:paraId="7DDDF4DE" w14:textId="77777777" w:rsidR="00097BB2" w:rsidRPr="00097BB2" w:rsidRDefault="00097BB2" w:rsidP="00097BB2">
      <w:pPr>
        <w:spacing w:before="240"/>
        <w:ind w:left="851" w:hanging="851"/>
        <w:jc w:val="both"/>
        <w:rPr>
          <w:rFonts w:ascii="Arial" w:hAnsi="Arial" w:cs="Arial"/>
        </w:rPr>
      </w:pPr>
      <w:r w:rsidRPr="00097BB2">
        <w:rPr>
          <w:rFonts w:ascii="Arial" w:hAnsi="Arial" w:cs="Arial"/>
        </w:rPr>
        <w:t xml:space="preserve">Zhang K, Gong W, </w:t>
      </w:r>
      <w:proofErr w:type="spellStart"/>
      <w:r w:rsidRPr="00097BB2">
        <w:rPr>
          <w:rFonts w:ascii="Arial" w:hAnsi="Arial" w:cs="Arial"/>
        </w:rPr>
        <w:t>Lv</w:t>
      </w:r>
      <w:proofErr w:type="spellEnd"/>
      <w:r w:rsidRPr="00097BB2">
        <w:rPr>
          <w:rFonts w:ascii="Arial" w:hAnsi="Arial" w:cs="Arial"/>
        </w:rPr>
        <w:t xml:space="preserve"> J, Xiong X, &amp; Wu C. 2015. Accumulation of floating microplastics behind the Three Gorges Dam. </w:t>
      </w:r>
      <w:r w:rsidRPr="00097BB2">
        <w:rPr>
          <w:rFonts w:ascii="Arial" w:hAnsi="Arial" w:cs="Arial"/>
          <w:i/>
          <w:iCs/>
        </w:rPr>
        <w:t xml:space="preserve">Environmental Pollution, </w:t>
      </w:r>
      <w:r w:rsidRPr="00097BB2">
        <w:rPr>
          <w:rFonts w:ascii="Arial" w:hAnsi="Arial" w:cs="Arial"/>
          <w:b/>
          <w:bCs/>
          <w:i/>
          <w:iCs/>
        </w:rPr>
        <w:t>204</w:t>
      </w:r>
      <w:r w:rsidRPr="00097BB2">
        <w:rPr>
          <w:rFonts w:ascii="Arial" w:hAnsi="Arial" w:cs="Arial"/>
          <w:i/>
          <w:iCs/>
        </w:rPr>
        <w:t>: 117-123</w:t>
      </w:r>
      <w:r w:rsidRPr="00097BB2">
        <w:rPr>
          <w:rFonts w:ascii="Arial" w:hAnsi="Arial" w:cs="Arial"/>
        </w:rPr>
        <w:t>.</w:t>
      </w:r>
    </w:p>
    <w:p w14:paraId="4707EC13" w14:textId="77777777" w:rsidR="00097BB2" w:rsidRPr="00097BB2" w:rsidRDefault="00097BB2" w:rsidP="00097BB2">
      <w:pPr>
        <w:spacing w:before="240"/>
        <w:ind w:left="851" w:hanging="851"/>
        <w:jc w:val="both"/>
        <w:rPr>
          <w:rFonts w:ascii="Arial" w:hAnsi="Arial" w:cs="Arial"/>
          <w:iCs/>
        </w:rPr>
      </w:pPr>
      <w:r w:rsidRPr="00097BB2">
        <w:rPr>
          <w:rFonts w:ascii="Arial" w:hAnsi="Arial" w:cs="Arial"/>
        </w:rPr>
        <w:t xml:space="preserve">Zhang K, Shi H, Peng J, Wang Y, Xiong X, Chenxi Wu, Paul KSL. 2018. Microplastic pollution in China's inland water systems: a review of findings, methods, characteristics, effects, and management. </w:t>
      </w:r>
      <w:r w:rsidRPr="00097BB2">
        <w:rPr>
          <w:rFonts w:ascii="Arial" w:hAnsi="Arial" w:cs="Arial"/>
          <w:i/>
          <w:iCs/>
        </w:rPr>
        <w:t xml:space="preserve">Science of the Total Environment, </w:t>
      </w:r>
      <w:r w:rsidRPr="00097BB2">
        <w:rPr>
          <w:rFonts w:ascii="Arial" w:hAnsi="Arial" w:cs="Arial"/>
          <w:b/>
          <w:i/>
          <w:iCs/>
        </w:rPr>
        <w:t>630:</w:t>
      </w:r>
      <w:r w:rsidRPr="00097BB2">
        <w:rPr>
          <w:rFonts w:ascii="Arial" w:hAnsi="Arial" w:cs="Arial"/>
          <w:i/>
          <w:iCs/>
        </w:rPr>
        <w:t xml:space="preserve"> 1641–1653I.</w:t>
      </w:r>
    </w:p>
    <w:p w14:paraId="15F85F75" w14:textId="77777777" w:rsidR="00097BB2" w:rsidRPr="00167DEA" w:rsidRDefault="00097BB2" w:rsidP="00097BB2">
      <w:pPr>
        <w:spacing w:before="240"/>
        <w:ind w:left="851" w:hanging="851"/>
        <w:jc w:val="both"/>
        <w:rPr>
          <w:rFonts w:ascii="Times New Roman" w:hAnsi="Times New Roman"/>
          <w:iCs/>
          <w:sz w:val="24"/>
          <w:szCs w:val="24"/>
        </w:rPr>
      </w:pPr>
      <w:r w:rsidRPr="00167DEA">
        <w:rPr>
          <w:rFonts w:ascii="Times New Roman" w:hAnsi="Times New Roman"/>
          <w:iCs/>
          <w:sz w:val="24"/>
          <w:szCs w:val="24"/>
        </w:rPr>
        <w:br/>
      </w:r>
      <w:r w:rsidRPr="00167DEA">
        <w:rPr>
          <w:rFonts w:ascii="Times New Roman" w:hAnsi="Times New Roman"/>
          <w:iCs/>
          <w:sz w:val="24"/>
          <w:szCs w:val="24"/>
        </w:rPr>
        <w:br/>
      </w:r>
    </w:p>
    <w:p w14:paraId="7472DB13" w14:textId="77777777" w:rsidR="00B01FCD" w:rsidRPr="00FB3A86" w:rsidRDefault="00B01FCD" w:rsidP="00441B6F">
      <w:pPr>
        <w:pStyle w:val="Appendix"/>
        <w:spacing w:after="0"/>
        <w:jc w:val="both"/>
        <w:rPr>
          <w:rFonts w:ascii="Arial" w:hAnsi="Arial" w:cs="Arial"/>
          <w:b w:val="0"/>
        </w:rPr>
      </w:pPr>
    </w:p>
    <w:sectPr w:rsidR="00B01FCD" w:rsidRPr="00FB3A86" w:rsidSect="00892B12">
      <w:headerReference w:type="even" r:id="rId34"/>
      <w:headerReference w:type="default" r:id="rId35"/>
      <w:footerReference w:type="default" r:id="rId36"/>
      <w:headerReference w:type="first" r:id="rId3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AEF5C" w14:textId="77777777" w:rsidR="00064FA1" w:rsidRDefault="00064FA1" w:rsidP="00C37E61">
      <w:r>
        <w:separator/>
      </w:r>
    </w:p>
  </w:endnote>
  <w:endnote w:type="continuationSeparator" w:id="0">
    <w:p w14:paraId="42A9AC90" w14:textId="77777777" w:rsidR="00064FA1" w:rsidRDefault="00064FA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D719" w14:textId="77777777" w:rsidR="006C5FB3" w:rsidRDefault="006C5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5996" w14:textId="77777777" w:rsidR="006C5FB3" w:rsidRDefault="006C5F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46EF" w14:textId="77777777" w:rsidR="009E048A" w:rsidRDefault="009E048A">
    <w:pPr>
      <w:pStyle w:val="Footer"/>
      <w:rPr>
        <w:rFonts w:ascii="Arial" w:hAnsi="Arial" w:cs="Arial"/>
        <w:sz w:val="16"/>
      </w:rPr>
    </w:pPr>
  </w:p>
  <w:p w14:paraId="21A703FC"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1F50A720" w14:textId="77777777" w:rsidR="009E048A" w:rsidRDefault="009E048A">
    <w:pPr>
      <w:pStyle w:val="Footer"/>
      <w:rPr>
        <w:rFonts w:ascii="Arial" w:hAnsi="Arial" w:cs="Arial"/>
        <w:sz w:val="16"/>
      </w:rPr>
    </w:pPr>
  </w:p>
  <w:p w14:paraId="74284286" w14:textId="63FD8CCA"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A5A6" w14:textId="77777777" w:rsidR="00097BB2" w:rsidRDefault="00097BB2">
    <w:pPr>
      <w:pStyle w:val="Footer"/>
      <w:jc w:val="center"/>
    </w:pPr>
    <w:r>
      <w:fldChar w:fldCharType="begin"/>
    </w:r>
    <w:r>
      <w:instrText xml:space="preserve"> PAGE   \* MERGEFORMAT </w:instrText>
    </w:r>
    <w:r>
      <w:fldChar w:fldCharType="separate"/>
    </w:r>
    <w:r w:rsidR="00703668">
      <w:rPr>
        <w:noProof/>
      </w:rPr>
      <w:t>8</w:t>
    </w:r>
    <w:r>
      <w:rPr>
        <w:noProof/>
      </w:rPr>
      <w:fldChar w:fldCharType="end"/>
    </w:r>
  </w:p>
  <w:p w14:paraId="1A768036" w14:textId="77777777" w:rsidR="00097BB2" w:rsidRDefault="00097B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B3A93"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98AD" w14:textId="77777777" w:rsidR="00064FA1" w:rsidRDefault="00064FA1" w:rsidP="00C37E61">
      <w:r>
        <w:separator/>
      </w:r>
    </w:p>
  </w:footnote>
  <w:footnote w:type="continuationSeparator" w:id="0">
    <w:p w14:paraId="1D4EFB3C" w14:textId="77777777" w:rsidR="00064FA1" w:rsidRDefault="00064FA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E1BA" w14:textId="071C4109" w:rsidR="006C5FB3" w:rsidRDefault="006C5FB3">
    <w:pPr>
      <w:pStyle w:val="Header"/>
    </w:pPr>
    <w:r>
      <w:rPr>
        <w:noProof/>
      </w:rPr>
      <w:pict w14:anchorId="78B9B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2" o:spid="_x0000_s1026"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0B51" w14:textId="0FBC1DD5" w:rsidR="006C5FB3" w:rsidRDefault="006C5FB3">
    <w:pPr>
      <w:pStyle w:val="Header"/>
    </w:pPr>
    <w:r>
      <w:rPr>
        <w:noProof/>
      </w:rPr>
      <w:pict w14:anchorId="7A1B9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3" o:spid="_x0000_s1027"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C3F1" w14:textId="0EEE3880" w:rsidR="00296529" w:rsidRPr="00296529" w:rsidRDefault="006C5FB3" w:rsidP="00296529">
    <w:pPr>
      <w:ind w:left="2160"/>
      <w:jc w:val="center"/>
      <w:rPr>
        <w:rFonts w:ascii="Times New Roman" w:eastAsia="Calibri" w:hAnsi="Times New Roman"/>
        <w:i/>
        <w:sz w:val="18"/>
        <w:szCs w:val="22"/>
      </w:rPr>
    </w:pPr>
    <w:r>
      <w:rPr>
        <w:noProof/>
      </w:rPr>
      <w:pict w14:anchorId="04CB86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1" o:spid="_x0000_s1025"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242B896"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4B029A2"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3A0F35"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F66388D"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F9439F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48069CE"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4C28" w14:textId="18BDE6CD" w:rsidR="006C5FB3" w:rsidRDefault="006C5FB3">
    <w:pPr>
      <w:pStyle w:val="Header"/>
    </w:pPr>
    <w:r>
      <w:rPr>
        <w:noProof/>
      </w:rPr>
      <w:pict w14:anchorId="557F8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5" o:spid="_x0000_s1031"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60BE767">
        <v:shape id="_x0000_s1030"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0D90" w14:textId="589DD3B4" w:rsidR="006C5FB3" w:rsidRDefault="006C5FB3">
    <w:pPr>
      <w:pStyle w:val="Header"/>
    </w:pPr>
    <w:r>
      <w:rPr>
        <w:noProof/>
      </w:rPr>
      <w:pict w14:anchorId="5112C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6" o:spid="_x0000_s1033"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10A4182">
        <v:shape id="_x0000_s1032"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D98C" w14:textId="1D681174" w:rsidR="006C5FB3" w:rsidRPr="00296529" w:rsidRDefault="006C5FB3" w:rsidP="00296529">
    <w:pPr>
      <w:ind w:left="2160"/>
      <w:jc w:val="center"/>
      <w:rPr>
        <w:rFonts w:ascii="Times New Roman" w:eastAsia="Calibri" w:hAnsi="Times New Roman"/>
        <w:i/>
        <w:sz w:val="18"/>
        <w:szCs w:val="22"/>
      </w:rPr>
    </w:pPr>
    <w:r>
      <w:rPr>
        <w:noProof/>
      </w:rPr>
      <w:pict w14:anchorId="71852E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4" o:spid="_x0000_s1029"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F616FAC">
        <v:shape id="_x0000_s1028"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377B551" w14:textId="77777777" w:rsidR="006C5FB3" w:rsidRPr="00296529" w:rsidRDefault="006C5FB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27395CD" w14:textId="77777777" w:rsidR="006C5FB3" w:rsidRPr="00296529" w:rsidRDefault="006C5FB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746CE36" w14:textId="77777777" w:rsidR="006C5FB3" w:rsidRPr="00296529" w:rsidRDefault="006C5FB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261C775" w14:textId="77777777" w:rsidR="006C5FB3" w:rsidRDefault="006C5FB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C2DA52E" w14:textId="77777777" w:rsidR="006C5FB3" w:rsidRDefault="006C5FB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E2688BD" w14:textId="77777777" w:rsidR="006C5FB3" w:rsidRDefault="006C5FB3">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B5B2" w14:textId="38A4825A" w:rsidR="006C5FB3" w:rsidRDefault="006C5FB3">
    <w:pPr>
      <w:pStyle w:val="Header"/>
    </w:pPr>
    <w:r>
      <w:rPr>
        <w:noProof/>
      </w:rPr>
      <w:pict w14:anchorId="78E65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8" o:spid="_x0000_s1039" type="#_x0000_t136" style="position:absolute;margin-left:0;margin-top:0;width:520.75pt;height:57.85pt;rotation:315;z-index:-25163059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679A6AB">
        <v:shape id="_x0000_s1038" type="#_x0000_t136" style="position:absolute;margin-left:0;margin-top:0;width:520.75pt;height:57.85pt;rotation:315;z-index:-251632640;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3FBDD04">
        <v:shape id="_x0000_s1037" type="#_x0000_t136" style="position:absolute;margin-left:0;margin-top:0;width:520.75pt;height:57.85pt;rotation:315;z-index:-25163366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3F6E" w14:textId="4E96ADE8" w:rsidR="006C5FB3" w:rsidRDefault="006C5FB3">
    <w:pPr>
      <w:pStyle w:val="Header"/>
    </w:pPr>
    <w:r>
      <w:rPr>
        <w:noProof/>
      </w:rPr>
      <w:pict w14:anchorId="131CAF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9" o:spid="_x0000_s1042" type="#_x0000_t136" style="position:absolute;margin-left:0;margin-top:0;width:520.75pt;height:57.85pt;rotation:315;z-index:-25162547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D8648F8">
        <v:shape id="_x0000_s1041" type="#_x0000_t136" style="position:absolute;margin-left:0;margin-top:0;width:520.75pt;height:57.85pt;rotation:315;z-index:-251627520;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3AA2D23">
        <v:shape id="_x0000_s1040" type="#_x0000_t136" style="position:absolute;margin-left:0;margin-top:0;width:520.75pt;height:57.85pt;rotation:315;z-index:-25162854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B22F" w14:textId="1BC86C80" w:rsidR="006C5FB3" w:rsidRPr="00296529" w:rsidRDefault="006C5FB3" w:rsidP="00296529">
    <w:pPr>
      <w:ind w:left="2160"/>
      <w:jc w:val="center"/>
      <w:rPr>
        <w:rFonts w:ascii="Times New Roman" w:eastAsia="Calibri" w:hAnsi="Times New Roman"/>
        <w:i/>
        <w:sz w:val="18"/>
        <w:szCs w:val="22"/>
      </w:rPr>
    </w:pPr>
    <w:r>
      <w:rPr>
        <w:noProof/>
      </w:rPr>
      <w:pict w14:anchorId="2F95A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76677" o:spid="_x0000_s1036" type="#_x0000_t136" style="position:absolute;left:0;text-align:left;margin-left:0;margin-top:0;width:520.75pt;height:57.85pt;rotation:315;z-index:-25163571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43A03CD">
        <v:shape id="_x0000_s1035" type="#_x0000_t136" style="position:absolute;left:0;text-align:left;margin-left:0;margin-top:0;width:520.75pt;height:57.85pt;rotation:315;z-index:-251637760;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0B0AA37">
        <v:shape id="_x0000_s1034" type="#_x0000_t136" style="position:absolute;left:0;text-align:left;margin-left:0;margin-top:0;width:520.75pt;height:57.85pt;rotation:315;z-index:-251638784;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B86835F" w14:textId="77777777" w:rsidR="006C5FB3" w:rsidRPr="00296529" w:rsidRDefault="006C5FB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26ACC98" w14:textId="77777777" w:rsidR="006C5FB3" w:rsidRPr="00296529" w:rsidRDefault="006C5FB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637D171" w14:textId="77777777" w:rsidR="006C5FB3" w:rsidRPr="00296529" w:rsidRDefault="006C5FB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66A9705" w14:textId="77777777" w:rsidR="006C5FB3" w:rsidRDefault="006C5FB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23072C8" w14:textId="77777777" w:rsidR="006C5FB3" w:rsidRDefault="006C5FB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7B045EF" w14:textId="77777777" w:rsidR="006C5FB3" w:rsidRDefault="006C5FB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101765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1677534">
    <w:abstractNumId w:val="15"/>
  </w:num>
  <w:num w:numId="3" w16cid:durableId="1489784900">
    <w:abstractNumId w:val="23"/>
  </w:num>
  <w:num w:numId="4" w16cid:durableId="17519423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26962160">
    <w:abstractNumId w:val="7"/>
  </w:num>
  <w:num w:numId="6" w16cid:durableId="251668933">
    <w:abstractNumId w:val="6"/>
  </w:num>
  <w:num w:numId="7" w16cid:durableId="1881479887">
    <w:abstractNumId w:val="1"/>
  </w:num>
  <w:num w:numId="8" w16cid:durableId="27265027">
    <w:abstractNumId w:val="12"/>
  </w:num>
  <w:num w:numId="9" w16cid:durableId="1737976202">
    <w:abstractNumId w:val="25"/>
  </w:num>
  <w:num w:numId="10" w16cid:durableId="858395447">
    <w:abstractNumId w:val="2"/>
  </w:num>
  <w:num w:numId="11" w16cid:durableId="856848545">
    <w:abstractNumId w:val="18"/>
  </w:num>
  <w:num w:numId="12" w16cid:durableId="812869890">
    <w:abstractNumId w:val="3"/>
  </w:num>
  <w:num w:numId="13" w16cid:durableId="1259100747">
    <w:abstractNumId w:val="17"/>
  </w:num>
  <w:num w:numId="14" w16cid:durableId="907346299">
    <w:abstractNumId w:val="8"/>
  </w:num>
  <w:num w:numId="15" w16cid:durableId="2091195707">
    <w:abstractNumId w:val="21"/>
  </w:num>
  <w:num w:numId="16" w16cid:durableId="1521120209">
    <w:abstractNumId w:val="5"/>
  </w:num>
  <w:num w:numId="17" w16cid:durableId="1869173577">
    <w:abstractNumId w:val="22"/>
  </w:num>
  <w:num w:numId="18" w16cid:durableId="999692201">
    <w:abstractNumId w:val="14"/>
  </w:num>
  <w:num w:numId="19" w16cid:durableId="1055469835">
    <w:abstractNumId w:val="28"/>
  </w:num>
  <w:num w:numId="20" w16cid:durableId="49422161">
    <w:abstractNumId w:val="11"/>
  </w:num>
  <w:num w:numId="21" w16cid:durableId="549458010">
    <w:abstractNumId w:val="9"/>
  </w:num>
  <w:num w:numId="22" w16cid:durableId="608127667">
    <w:abstractNumId w:val="13"/>
  </w:num>
  <w:num w:numId="23" w16cid:durableId="1142968606">
    <w:abstractNumId w:val="19"/>
  </w:num>
  <w:num w:numId="24" w16cid:durableId="2001543302">
    <w:abstractNumId w:val="26"/>
  </w:num>
  <w:num w:numId="25" w16cid:durableId="1251888156">
    <w:abstractNumId w:val="4"/>
  </w:num>
  <w:num w:numId="26" w16cid:durableId="518811545">
    <w:abstractNumId w:val="16"/>
  </w:num>
  <w:num w:numId="27" w16cid:durableId="509679095">
    <w:abstractNumId w:val="20"/>
  </w:num>
  <w:num w:numId="28" w16cid:durableId="1611084652">
    <w:abstractNumId w:val="27"/>
  </w:num>
  <w:num w:numId="29" w16cid:durableId="267468179">
    <w:abstractNumId w:val="24"/>
  </w:num>
  <w:num w:numId="30" w16cid:durableId="1604071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19"/>
    <w:rsid w:val="00000F8F"/>
    <w:rsid w:val="00030174"/>
    <w:rsid w:val="0004579C"/>
    <w:rsid w:val="00064FA1"/>
    <w:rsid w:val="00097BB2"/>
    <w:rsid w:val="000A47FA"/>
    <w:rsid w:val="000A65D3"/>
    <w:rsid w:val="000B1E33"/>
    <w:rsid w:val="000B6D3A"/>
    <w:rsid w:val="000D689F"/>
    <w:rsid w:val="000E43CD"/>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05990"/>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0B0F"/>
    <w:rsid w:val="003E2904"/>
    <w:rsid w:val="00401927"/>
    <w:rsid w:val="0041027F"/>
    <w:rsid w:val="00412475"/>
    <w:rsid w:val="00423789"/>
    <w:rsid w:val="00436729"/>
    <w:rsid w:val="00440F43"/>
    <w:rsid w:val="00441B6F"/>
    <w:rsid w:val="00446221"/>
    <w:rsid w:val="00450E62"/>
    <w:rsid w:val="004539DB"/>
    <w:rsid w:val="00471A80"/>
    <w:rsid w:val="00473326"/>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C5FB3"/>
    <w:rsid w:val="006D30FF"/>
    <w:rsid w:val="006D6940"/>
    <w:rsid w:val="006F11EC"/>
    <w:rsid w:val="0070082C"/>
    <w:rsid w:val="00703668"/>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3417"/>
    <w:rsid w:val="00875803"/>
    <w:rsid w:val="00892B12"/>
    <w:rsid w:val="008B459E"/>
    <w:rsid w:val="008D7B3B"/>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AE577C"/>
    <w:rsid w:val="00B01FCD"/>
    <w:rsid w:val="00B1776C"/>
    <w:rsid w:val="00B52583"/>
    <w:rsid w:val="00B52896"/>
    <w:rsid w:val="00B5676C"/>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629A3"/>
    <w:rsid w:val="00C62B7D"/>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5CBFF"/>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097B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097BB2"/>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0B6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jpeg"/><Relationship Id="rId39" Type="http://schemas.openxmlformats.org/officeDocument/2006/relationships/theme" Target="theme/theme1.xml"/><Relationship Id="rId21" Type="http://schemas.openxmlformats.org/officeDocument/2006/relationships/chart" Target="charts/chart3.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yperlink" Target="https://doi.org/10.1016/j.jhazmat.2025.14102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hart" Target="charts/chart2.xml"/><Relationship Id="rId29" Type="http://schemas.openxmlformats.org/officeDocument/2006/relationships/hyperlink" Target="https://doi.org/10.33714/masteb.11622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jpeg"/><Relationship Id="rId32" Type="http://schemas.openxmlformats.org/officeDocument/2006/relationships/hyperlink" Target="https://doi.org/10.1016/j.foodchem.2026.148610" TargetMode="External"/><Relationship Id="rId37"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5.xml"/><Relationship Id="rId28" Type="http://schemas.openxmlformats.org/officeDocument/2006/relationships/hyperlink" Target="https://doi.org/10.1071/EN14172"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https://doi.org/10.1016/j.ecoenv.2025.11859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chart" Target="charts/chart4.xml"/><Relationship Id="rId27" Type="http://schemas.openxmlformats.org/officeDocument/2006/relationships/hyperlink" Target="https://doi.org/10.55121/fds.v3i1.700" TargetMode="External"/><Relationship Id="rId30" Type="http://schemas.openxmlformats.org/officeDocument/2006/relationships/hyperlink" Target="https://doi.org/10.1016/j.marpolbul.2022.113556" TargetMode="External"/><Relationship Id="rId35" Type="http://schemas.openxmlformats.org/officeDocument/2006/relationships/header" Target="header8.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PP.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PP%20(Autosaved).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esktop\PP.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AppData\Roaming\Microsoft\Excel\PP%20(Autosaved)%20(version%201).xlsb"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esktop\ATBU\PP%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Water!$B$111</c:f>
              <c:strCache>
                <c:ptCount val="1"/>
                <c:pt idx="0">
                  <c:v>Dry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Water!$A$112:$A$117</c:f>
              <c:strCache>
                <c:ptCount val="6"/>
                <c:pt idx="0">
                  <c:v>A</c:v>
                </c:pt>
                <c:pt idx="1">
                  <c:v>B</c:v>
                </c:pt>
                <c:pt idx="2">
                  <c:v>C</c:v>
                </c:pt>
                <c:pt idx="3">
                  <c:v>D</c:v>
                </c:pt>
                <c:pt idx="4">
                  <c:v>E</c:v>
                </c:pt>
                <c:pt idx="5">
                  <c:v>F</c:v>
                </c:pt>
              </c:strCache>
            </c:strRef>
          </c:cat>
          <c:val>
            <c:numRef>
              <c:f>Water!$B$112:$B$117</c:f>
              <c:numCache>
                <c:formatCode>General</c:formatCode>
                <c:ptCount val="6"/>
                <c:pt idx="0">
                  <c:v>29</c:v>
                </c:pt>
                <c:pt idx="1">
                  <c:v>34</c:v>
                </c:pt>
                <c:pt idx="2">
                  <c:v>34</c:v>
                </c:pt>
                <c:pt idx="3">
                  <c:v>37</c:v>
                </c:pt>
                <c:pt idx="4">
                  <c:v>40</c:v>
                </c:pt>
                <c:pt idx="5">
                  <c:v>41</c:v>
                </c:pt>
              </c:numCache>
            </c:numRef>
          </c:val>
          <c:smooth val="0"/>
          <c:extLst>
            <c:ext xmlns:c16="http://schemas.microsoft.com/office/drawing/2014/chart" uri="{C3380CC4-5D6E-409C-BE32-E72D297353CC}">
              <c16:uniqueId val="{00000000-4A23-4252-AE3A-F2452818B042}"/>
            </c:ext>
          </c:extLst>
        </c:ser>
        <c:ser>
          <c:idx val="1"/>
          <c:order val="1"/>
          <c:tx>
            <c:strRef>
              <c:f>Water!$C$111</c:f>
              <c:strCache>
                <c:ptCount val="1"/>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Water!$A$112:$A$117</c:f>
              <c:strCache>
                <c:ptCount val="6"/>
                <c:pt idx="0">
                  <c:v>A</c:v>
                </c:pt>
                <c:pt idx="1">
                  <c:v>B</c:v>
                </c:pt>
                <c:pt idx="2">
                  <c:v>C</c:v>
                </c:pt>
                <c:pt idx="3">
                  <c:v>D</c:v>
                </c:pt>
                <c:pt idx="4">
                  <c:v>E</c:v>
                </c:pt>
                <c:pt idx="5">
                  <c:v>F</c:v>
                </c:pt>
              </c:strCache>
            </c:strRef>
          </c:cat>
          <c:val>
            <c:numRef>
              <c:f>Water!$C$112:$C$117</c:f>
              <c:numCache>
                <c:formatCode>General</c:formatCode>
                <c:ptCount val="6"/>
              </c:numCache>
            </c:numRef>
          </c:val>
          <c:smooth val="0"/>
          <c:extLst>
            <c:ext xmlns:c16="http://schemas.microsoft.com/office/drawing/2014/chart" uri="{C3380CC4-5D6E-409C-BE32-E72D297353CC}">
              <c16:uniqueId val="{00000001-4A23-4252-AE3A-F2452818B042}"/>
            </c:ext>
          </c:extLst>
        </c:ser>
        <c:ser>
          <c:idx val="2"/>
          <c:order val="2"/>
          <c:tx>
            <c:strRef>
              <c:f>Water!$D$111</c:f>
              <c:strCache>
                <c:ptCount val="1"/>
                <c:pt idx="0">
                  <c:v>Wet Season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Water!$A$112:$A$117</c:f>
              <c:strCache>
                <c:ptCount val="6"/>
                <c:pt idx="0">
                  <c:v>A</c:v>
                </c:pt>
                <c:pt idx="1">
                  <c:v>B</c:v>
                </c:pt>
                <c:pt idx="2">
                  <c:v>C</c:v>
                </c:pt>
                <c:pt idx="3">
                  <c:v>D</c:v>
                </c:pt>
                <c:pt idx="4">
                  <c:v>E</c:v>
                </c:pt>
                <c:pt idx="5">
                  <c:v>F</c:v>
                </c:pt>
              </c:strCache>
            </c:strRef>
          </c:cat>
          <c:val>
            <c:numRef>
              <c:f>Water!$D$112:$D$117</c:f>
              <c:numCache>
                <c:formatCode>General</c:formatCode>
                <c:ptCount val="6"/>
                <c:pt idx="0">
                  <c:v>28</c:v>
                </c:pt>
                <c:pt idx="1">
                  <c:v>27</c:v>
                </c:pt>
                <c:pt idx="2">
                  <c:v>33</c:v>
                </c:pt>
                <c:pt idx="3">
                  <c:v>33</c:v>
                </c:pt>
                <c:pt idx="4">
                  <c:v>34</c:v>
                </c:pt>
                <c:pt idx="5">
                  <c:v>29</c:v>
                </c:pt>
              </c:numCache>
            </c:numRef>
          </c:val>
          <c:smooth val="0"/>
          <c:extLst>
            <c:ext xmlns:c16="http://schemas.microsoft.com/office/drawing/2014/chart" uri="{C3380CC4-5D6E-409C-BE32-E72D297353CC}">
              <c16:uniqueId val="{00000002-4A23-4252-AE3A-F2452818B042}"/>
            </c:ext>
          </c:extLst>
        </c:ser>
        <c:dLbls>
          <c:showLegendKey val="0"/>
          <c:showVal val="0"/>
          <c:showCatName val="0"/>
          <c:showSerName val="0"/>
          <c:showPercent val="0"/>
          <c:showBubbleSize val="0"/>
        </c:dLbls>
        <c:marker val="1"/>
        <c:smooth val="0"/>
        <c:axId val="470116648"/>
        <c:axId val="470115864"/>
      </c:lineChart>
      <c:catAx>
        <c:axId val="470116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Sampling Stations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115864"/>
        <c:crosses val="autoZero"/>
        <c:auto val="1"/>
        <c:lblAlgn val="ctr"/>
        <c:lblOffset val="100"/>
        <c:noMultiLvlLbl val="0"/>
      </c:catAx>
      <c:valAx>
        <c:axId val="4701158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MPs</a:t>
                </a:r>
                <a:r>
                  <a:rPr lang="en-US" sz="1400" b="1" baseline="0">
                    <a:latin typeface="Times New Roman" panose="02020603050405020304" pitchFamily="18" charset="0"/>
                    <a:cs typeface="Times New Roman" panose="02020603050405020304" pitchFamily="18" charset="0"/>
                  </a:rPr>
                  <a:t> (pp/L)</a:t>
                </a:r>
                <a:endParaRPr lang="en-US" sz="14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116648"/>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Water!$AU$77</c:f>
              <c:strCache>
                <c:ptCount val="1"/>
                <c:pt idx="0">
                  <c:v>A</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c:strRef>
          </c:cat>
          <c:val>
            <c:numRef>
              <c:f>Water!$AV$77:$BO$77</c:f>
              <c:numCache>
                <c:formatCode>General</c:formatCode>
                <c:ptCount val="20"/>
                <c:pt idx="0">
                  <c:v>12</c:v>
                </c:pt>
                <c:pt idx="1">
                  <c:v>10</c:v>
                </c:pt>
                <c:pt idx="2">
                  <c:v>13</c:v>
                </c:pt>
                <c:pt idx="3">
                  <c:v>14</c:v>
                </c:pt>
                <c:pt idx="4">
                  <c:v>16</c:v>
                </c:pt>
                <c:pt idx="5">
                  <c:v>18</c:v>
                </c:pt>
                <c:pt idx="6">
                  <c:v>4</c:v>
                </c:pt>
                <c:pt idx="7">
                  <c:v>6</c:v>
                </c:pt>
                <c:pt idx="8">
                  <c:v>10</c:v>
                </c:pt>
                <c:pt idx="9">
                  <c:v>9</c:v>
                </c:pt>
                <c:pt idx="10">
                  <c:v>13</c:v>
                </c:pt>
                <c:pt idx="11">
                  <c:v>11</c:v>
                </c:pt>
                <c:pt idx="12">
                  <c:v>14</c:v>
                </c:pt>
                <c:pt idx="13">
                  <c:v>15</c:v>
                </c:pt>
                <c:pt idx="14">
                  <c:v>8</c:v>
                </c:pt>
                <c:pt idx="15">
                  <c:v>5</c:v>
                </c:pt>
                <c:pt idx="16">
                  <c:v>4</c:v>
                </c:pt>
                <c:pt idx="17">
                  <c:v>2</c:v>
                </c:pt>
                <c:pt idx="18">
                  <c:v>7</c:v>
                </c:pt>
                <c:pt idx="19">
                  <c:v>4</c:v>
                </c:pt>
              </c:numCache>
            </c:numRef>
          </c:val>
          <c:extLst>
            <c:ext xmlns:c16="http://schemas.microsoft.com/office/drawing/2014/chart" uri="{C3380CC4-5D6E-409C-BE32-E72D297353CC}">
              <c16:uniqueId val="{00000000-00E7-431F-9324-8516D706AD44}"/>
            </c:ext>
          </c:extLst>
        </c:ser>
        <c:ser>
          <c:idx val="1"/>
          <c:order val="1"/>
          <c:tx>
            <c:strRef>
              <c:f>Water!$AU$78</c:f>
              <c:strCache>
                <c:ptCount val="1"/>
                <c:pt idx="0">
                  <c:v>B</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c:strRef>
          </c:cat>
          <c:val>
            <c:numRef>
              <c:f>Water!$AV$78:$BO$78</c:f>
              <c:numCache>
                <c:formatCode>General</c:formatCode>
                <c:ptCount val="20"/>
                <c:pt idx="0">
                  <c:v>14</c:v>
                </c:pt>
                <c:pt idx="1">
                  <c:v>8</c:v>
                </c:pt>
                <c:pt idx="2">
                  <c:v>12</c:v>
                </c:pt>
                <c:pt idx="3">
                  <c:v>15</c:v>
                </c:pt>
                <c:pt idx="4">
                  <c:v>14</c:v>
                </c:pt>
                <c:pt idx="5">
                  <c:v>15</c:v>
                </c:pt>
                <c:pt idx="6">
                  <c:v>2</c:v>
                </c:pt>
                <c:pt idx="7">
                  <c:v>7</c:v>
                </c:pt>
                <c:pt idx="8">
                  <c:v>11</c:v>
                </c:pt>
                <c:pt idx="9">
                  <c:v>11</c:v>
                </c:pt>
                <c:pt idx="10">
                  <c:v>15</c:v>
                </c:pt>
                <c:pt idx="11">
                  <c:v>13</c:v>
                </c:pt>
                <c:pt idx="12">
                  <c:v>11</c:v>
                </c:pt>
                <c:pt idx="13">
                  <c:v>13</c:v>
                </c:pt>
                <c:pt idx="14">
                  <c:v>8</c:v>
                </c:pt>
                <c:pt idx="15">
                  <c:v>4</c:v>
                </c:pt>
                <c:pt idx="16">
                  <c:v>4</c:v>
                </c:pt>
                <c:pt idx="17">
                  <c:v>3</c:v>
                </c:pt>
                <c:pt idx="18">
                  <c:v>5</c:v>
                </c:pt>
                <c:pt idx="19">
                  <c:v>6</c:v>
                </c:pt>
              </c:numCache>
            </c:numRef>
          </c:val>
          <c:extLst>
            <c:ext xmlns:c16="http://schemas.microsoft.com/office/drawing/2014/chart" uri="{C3380CC4-5D6E-409C-BE32-E72D297353CC}">
              <c16:uniqueId val="{00000001-00E7-431F-9324-8516D706AD44}"/>
            </c:ext>
          </c:extLst>
        </c:ser>
        <c:ser>
          <c:idx val="2"/>
          <c:order val="2"/>
          <c:tx>
            <c:strRef>
              <c:f>Water!$AU$79</c:f>
              <c:strCache>
                <c:ptCount val="1"/>
                <c:pt idx="0">
                  <c:v>C</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c:strRef>
          </c:cat>
          <c:val>
            <c:numRef>
              <c:f>Water!$AV$79:$BO$79</c:f>
              <c:numCache>
                <c:formatCode>General</c:formatCode>
                <c:ptCount val="20"/>
                <c:pt idx="0">
                  <c:v>13</c:v>
                </c:pt>
                <c:pt idx="1">
                  <c:v>8</c:v>
                </c:pt>
                <c:pt idx="2">
                  <c:v>7</c:v>
                </c:pt>
                <c:pt idx="3">
                  <c:v>9</c:v>
                </c:pt>
                <c:pt idx="4">
                  <c:v>18</c:v>
                </c:pt>
                <c:pt idx="5">
                  <c:v>17</c:v>
                </c:pt>
                <c:pt idx="6">
                  <c:v>6</c:v>
                </c:pt>
                <c:pt idx="7">
                  <c:v>6</c:v>
                </c:pt>
                <c:pt idx="8">
                  <c:v>7</c:v>
                </c:pt>
                <c:pt idx="9">
                  <c:v>7</c:v>
                </c:pt>
                <c:pt idx="10">
                  <c:v>7</c:v>
                </c:pt>
                <c:pt idx="11">
                  <c:v>6</c:v>
                </c:pt>
                <c:pt idx="12">
                  <c:v>6</c:v>
                </c:pt>
                <c:pt idx="13">
                  <c:v>7</c:v>
                </c:pt>
                <c:pt idx="14">
                  <c:v>6</c:v>
                </c:pt>
                <c:pt idx="15">
                  <c:v>5</c:v>
                </c:pt>
                <c:pt idx="16">
                  <c:v>5</c:v>
                </c:pt>
                <c:pt idx="17">
                  <c:v>9</c:v>
                </c:pt>
                <c:pt idx="18">
                  <c:v>11</c:v>
                </c:pt>
                <c:pt idx="19">
                  <c:v>6</c:v>
                </c:pt>
              </c:numCache>
            </c:numRef>
          </c:val>
          <c:extLst>
            <c:ext xmlns:c16="http://schemas.microsoft.com/office/drawing/2014/chart" uri="{C3380CC4-5D6E-409C-BE32-E72D297353CC}">
              <c16:uniqueId val="{00000002-00E7-431F-9324-8516D706AD44}"/>
            </c:ext>
          </c:extLst>
        </c:ser>
        <c:ser>
          <c:idx val="3"/>
          <c:order val="3"/>
          <c:tx>
            <c:strRef>
              <c:f>Water!$AU$80</c:f>
              <c:strCache>
                <c:ptCount val="1"/>
                <c:pt idx="0">
                  <c:v>D</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c:strRef>
          </c:cat>
          <c:val>
            <c:numRef>
              <c:f>Water!$AV$80:$BO$80</c:f>
              <c:numCache>
                <c:formatCode>General</c:formatCode>
                <c:ptCount val="20"/>
                <c:pt idx="0">
                  <c:v>12</c:v>
                </c:pt>
                <c:pt idx="1">
                  <c:v>11</c:v>
                </c:pt>
                <c:pt idx="2">
                  <c:v>6</c:v>
                </c:pt>
                <c:pt idx="3">
                  <c:v>7</c:v>
                </c:pt>
                <c:pt idx="4">
                  <c:v>5</c:v>
                </c:pt>
                <c:pt idx="5">
                  <c:v>4</c:v>
                </c:pt>
                <c:pt idx="6">
                  <c:v>7</c:v>
                </c:pt>
                <c:pt idx="7">
                  <c:v>4</c:v>
                </c:pt>
                <c:pt idx="8">
                  <c:v>8</c:v>
                </c:pt>
                <c:pt idx="9">
                  <c:v>4</c:v>
                </c:pt>
                <c:pt idx="10">
                  <c:v>6</c:v>
                </c:pt>
                <c:pt idx="11">
                  <c:v>7</c:v>
                </c:pt>
                <c:pt idx="12">
                  <c:v>5</c:v>
                </c:pt>
                <c:pt idx="13">
                  <c:v>2</c:v>
                </c:pt>
                <c:pt idx="14">
                  <c:v>2</c:v>
                </c:pt>
                <c:pt idx="15">
                  <c:v>2</c:v>
                </c:pt>
                <c:pt idx="16">
                  <c:v>1</c:v>
                </c:pt>
                <c:pt idx="17">
                  <c:v>2</c:v>
                </c:pt>
                <c:pt idx="18">
                  <c:v>2</c:v>
                </c:pt>
                <c:pt idx="19">
                  <c:v>7</c:v>
                </c:pt>
              </c:numCache>
            </c:numRef>
          </c:val>
          <c:extLst>
            <c:ext xmlns:c16="http://schemas.microsoft.com/office/drawing/2014/chart" uri="{C3380CC4-5D6E-409C-BE32-E72D297353CC}">
              <c16:uniqueId val="{00000003-00E7-431F-9324-8516D706AD44}"/>
            </c:ext>
          </c:extLst>
        </c:ser>
        <c:ser>
          <c:idx val="4"/>
          <c:order val="4"/>
          <c:tx>
            <c:strRef>
              <c:f>Water!$AU$81</c:f>
              <c:strCache>
                <c:ptCount val="1"/>
                <c:pt idx="0">
                  <c:v>E</c:v>
                </c:pt>
              </c:strCache>
            </c:strRef>
          </c:tx>
          <c:spPr>
            <a:solidFill>
              <a:schemeClr val="accent5"/>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c:strRef>
          </c:cat>
          <c:val>
            <c:numRef>
              <c:f>Water!$AV$81:$BO$81</c:f>
              <c:numCache>
                <c:formatCode>General</c:formatCode>
                <c:ptCount val="20"/>
                <c:pt idx="0">
                  <c:v>12</c:v>
                </c:pt>
                <c:pt idx="1">
                  <c:v>14</c:v>
                </c:pt>
                <c:pt idx="2">
                  <c:v>8</c:v>
                </c:pt>
                <c:pt idx="3">
                  <c:v>6</c:v>
                </c:pt>
                <c:pt idx="4">
                  <c:v>6</c:v>
                </c:pt>
                <c:pt idx="5">
                  <c:v>8</c:v>
                </c:pt>
                <c:pt idx="6">
                  <c:v>11</c:v>
                </c:pt>
                <c:pt idx="7">
                  <c:v>3</c:v>
                </c:pt>
                <c:pt idx="8">
                  <c:v>2</c:v>
                </c:pt>
                <c:pt idx="9">
                  <c:v>3</c:v>
                </c:pt>
                <c:pt idx="10">
                  <c:v>2</c:v>
                </c:pt>
                <c:pt idx="11">
                  <c:v>3</c:v>
                </c:pt>
                <c:pt idx="12">
                  <c:v>8</c:v>
                </c:pt>
                <c:pt idx="13">
                  <c:v>17</c:v>
                </c:pt>
                <c:pt idx="14">
                  <c:v>8</c:v>
                </c:pt>
                <c:pt idx="15">
                  <c:v>4</c:v>
                </c:pt>
                <c:pt idx="16">
                  <c:v>2</c:v>
                </c:pt>
                <c:pt idx="17">
                  <c:v>3</c:v>
                </c:pt>
                <c:pt idx="18">
                  <c:v>3</c:v>
                </c:pt>
                <c:pt idx="19">
                  <c:v>5</c:v>
                </c:pt>
              </c:numCache>
            </c:numRef>
          </c:val>
          <c:extLst>
            <c:ext xmlns:c16="http://schemas.microsoft.com/office/drawing/2014/chart" uri="{C3380CC4-5D6E-409C-BE32-E72D297353CC}">
              <c16:uniqueId val="{00000004-00E7-431F-9324-8516D706AD44}"/>
            </c:ext>
          </c:extLst>
        </c:ser>
        <c:ser>
          <c:idx val="5"/>
          <c:order val="5"/>
          <c:tx>
            <c:strRef>
              <c:f>Water!$AU$82</c:f>
              <c:strCache>
                <c:ptCount val="1"/>
                <c:pt idx="0">
                  <c:v>F</c:v>
                </c:pt>
              </c:strCache>
            </c:strRef>
          </c:tx>
          <c:spPr>
            <a:solidFill>
              <a:schemeClr val="accent6"/>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Water!$AV$74:$BO$76</c:f>
              <c:strCache>
                <c:ptCount val="20"/>
                <c:pt idx="0">
                  <c:v>Sphere</c:v>
                </c:pt>
                <c:pt idx="2">
                  <c:v>Fiber</c:v>
                </c:pt>
                <c:pt idx="4">
                  <c:v>Fragment </c:v>
                </c:pt>
                <c:pt idx="6">
                  <c:v>Film </c:v>
                </c:pt>
                <c:pt idx="8">
                  <c:v>Blue </c:v>
                </c:pt>
                <c:pt idx="10">
                  <c:v>Red </c:v>
                </c:pt>
                <c:pt idx="12">
                  <c:v>Black </c:v>
                </c:pt>
                <c:pt idx="14">
                  <c:v>White </c:v>
                </c:pt>
                <c:pt idx="16">
                  <c:v>Green </c:v>
                </c:pt>
                <c:pt idx="18">
                  <c:v>Yellow </c:v>
                </c:pt>
              </c:strCache>
              <c:extLst/>
            </c:strRef>
          </c:cat>
          <c:val>
            <c:numRef>
              <c:f>Water!$AV$82:$BO$82</c:f>
              <c:numCache>
                <c:formatCode>General</c:formatCode>
                <c:ptCount val="20"/>
                <c:pt idx="0">
                  <c:v>8</c:v>
                </c:pt>
                <c:pt idx="1">
                  <c:v>9</c:v>
                </c:pt>
                <c:pt idx="2">
                  <c:v>8</c:v>
                </c:pt>
                <c:pt idx="3">
                  <c:v>6</c:v>
                </c:pt>
                <c:pt idx="4">
                  <c:v>4</c:v>
                </c:pt>
                <c:pt idx="5">
                  <c:v>3</c:v>
                </c:pt>
                <c:pt idx="6">
                  <c:v>12</c:v>
                </c:pt>
                <c:pt idx="7">
                  <c:v>6</c:v>
                </c:pt>
                <c:pt idx="8">
                  <c:v>4</c:v>
                </c:pt>
                <c:pt idx="9">
                  <c:v>5</c:v>
                </c:pt>
                <c:pt idx="10">
                  <c:v>6</c:v>
                </c:pt>
                <c:pt idx="11">
                  <c:v>5</c:v>
                </c:pt>
                <c:pt idx="12">
                  <c:v>6</c:v>
                </c:pt>
                <c:pt idx="13">
                  <c:v>7</c:v>
                </c:pt>
                <c:pt idx="14">
                  <c:v>7</c:v>
                </c:pt>
                <c:pt idx="15">
                  <c:v>6</c:v>
                </c:pt>
                <c:pt idx="16">
                  <c:v>4</c:v>
                </c:pt>
                <c:pt idx="17">
                  <c:v>3</c:v>
                </c:pt>
                <c:pt idx="18">
                  <c:v>4</c:v>
                </c:pt>
                <c:pt idx="19">
                  <c:v>4</c:v>
                </c:pt>
              </c:numCache>
            </c:numRef>
          </c:val>
          <c:extLst>
            <c:ext xmlns:c16="http://schemas.microsoft.com/office/drawing/2014/chart" uri="{C3380CC4-5D6E-409C-BE32-E72D297353CC}">
              <c16:uniqueId val="{00000005-00E7-431F-9324-8516D706AD44}"/>
            </c:ext>
          </c:extLst>
        </c:ser>
        <c:dLbls>
          <c:showLegendKey val="0"/>
          <c:showVal val="0"/>
          <c:showCatName val="0"/>
          <c:showSerName val="0"/>
          <c:showPercent val="0"/>
          <c:showBubbleSize val="0"/>
        </c:dLbls>
        <c:gapWidth val="219"/>
        <c:overlap val="-27"/>
        <c:axId val="470117040"/>
        <c:axId val="470113512"/>
      </c:barChart>
      <c:catAx>
        <c:axId val="470117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Shapes/Colours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113512"/>
        <c:crosses val="autoZero"/>
        <c:auto val="1"/>
        <c:lblAlgn val="ctr"/>
        <c:lblOffset val="100"/>
        <c:noMultiLvlLbl val="0"/>
      </c:catAx>
      <c:valAx>
        <c:axId val="470113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MPs (pp/L)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11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Water!$K$88</c:f>
              <c:strCache>
                <c:ptCount val="1"/>
                <c:pt idx="0">
                  <c:v>PE</c:v>
                </c:pt>
              </c:strCache>
            </c:strRef>
          </c:tx>
          <c:spPr>
            <a:solidFill>
              <a:schemeClr val="accent1"/>
            </a:solidFill>
            <a:ln>
              <a:noFill/>
            </a:ln>
            <a:effectLst/>
          </c:spPr>
          <c:invertIfNegative val="0"/>
          <c:cat>
            <c:strRef>
              <c:f>Water!$J$89:$J$94</c:f>
              <c:strCache>
                <c:ptCount val="6"/>
                <c:pt idx="0">
                  <c:v>A</c:v>
                </c:pt>
                <c:pt idx="1">
                  <c:v>B</c:v>
                </c:pt>
                <c:pt idx="2">
                  <c:v>C</c:v>
                </c:pt>
                <c:pt idx="3">
                  <c:v>D</c:v>
                </c:pt>
                <c:pt idx="4">
                  <c:v>E</c:v>
                </c:pt>
                <c:pt idx="5">
                  <c:v>F</c:v>
                </c:pt>
              </c:strCache>
            </c:strRef>
          </c:cat>
          <c:val>
            <c:numRef>
              <c:f>Water!$K$89:$K$94</c:f>
              <c:numCache>
                <c:formatCode>General</c:formatCode>
                <c:ptCount val="6"/>
                <c:pt idx="0">
                  <c:v>4.25</c:v>
                </c:pt>
                <c:pt idx="1">
                  <c:v>1.55</c:v>
                </c:pt>
                <c:pt idx="2">
                  <c:v>20.824999999999999</c:v>
                </c:pt>
                <c:pt idx="3">
                  <c:v>11.925000000000001</c:v>
                </c:pt>
                <c:pt idx="4">
                  <c:v>7.15</c:v>
                </c:pt>
                <c:pt idx="5">
                  <c:v>18.75</c:v>
                </c:pt>
              </c:numCache>
            </c:numRef>
          </c:val>
          <c:extLst>
            <c:ext xmlns:c16="http://schemas.microsoft.com/office/drawing/2014/chart" uri="{C3380CC4-5D6E-409C-BE32-E72D297353CC}">
              <c16:uniqueId val="{00000000-9D13-4220-813A-9E33C6F60587}"/>
            </c:ext>
          </c:extLst>
        </c:ser>
        <c:ser>
          <c:idx val="1"/>
          <c:order val="1"/>
          <c:tx>
            <c:strRef>
              <c:f>Water!$L$88</c:f>
              <c:strCache>
                <c:ptCount val="1"/>
                <c:pt idx="0">
                  <c:v>PP</c:v>
                </c:pt>
              </c:strCache>
            </c:strRef>
          </c:tx>
          <c:spPr>
            <a:solidFill>
              <a:schemeClr val="accent2"/>
            </a:solidFill>
            <a:ln>
              <a:noFill/>
            </a:ln>
            <a:effectLst/>
          </c:spPr>
          <c:invertIfNegative val="0"/>
          <c:cat>
            <c:strRef>
              <c:f>Water!$J$89:$J$94</c:f>
              <c:strCache>
                <c:ptCount val="6"/>
                <c:pt idx="0">
                  <c:v>A</c:v>
                </c:pt>
                <c:pt idx="1">
                  <c:v>B</c:v>
                </c:pt>
                <c:pt idx="2">
                  <c:v>C</c:v>
                </c:pt>
                <c:pt idx="3">
                  <c:v>D</c:v>
                </c:pt>
                <c:pt idx="4">
                  <c:v>E</c:v>
                </c:pt>
                <c:pt idx="5">
                  <c:v>F</c:v>
                </c:pt>
              </c:strCache>
            </c:strRef>
          </c:cat>
          <c:val>
            <c:numRef>
              <c:f>Water!$L$89:$L$94</c:f>
              <c:numCache>
                <c:formatCode>General</c:formatCode>
                <c:ptCount val="6"/>
                <c:pt idx="0">
                  <c:v>0.5</c:v>
                </c:pt>
                <c:pt idx="1">
                  <c:v>0</c:v>
                </c:pt>
                <c:pt idx="2">
                  <c:v>0.15</c:v>
                </c:pt>
                <c:pt idx="3">
                  <c:v>0.55000000000000004</c:v>
                </c:pt>
                <c:pt idx="4">
                  <c:v>0.16</c:v>
                </c:pt>
                <c:pt idx="5">
                  <c:v>0.35</c:v>
                </c:pt>
              </c:numCache>
            </c:numRef>
          </c:val>
          <c:extLst>
            <c:ext xmlns:c16="http://schemas.microsoft.com/office/drawing/2014/chart" uri="{C3380CC4-5D6E-409C-BE32-E72D297353CC}">
              <c16:uniqueId val="{00000001-9D13-4220-813A-9E33C6F60587}"/>
            </c:ext>
          </c:extLst>
        </c:ser>
        <c:ser>
          <c:idx val="2"/>
          <c:order val="2"/>
          <c:tx>
            <c:strRef>
              <c:f>Water!$M$88</c:f>
              <c:strCache>
                <c:ptCount val="1"/>
                <c:pt idx="0">
                  <c:v>PS</c:v>
                </c:pt>
              </c:strCache>
            </c:strRef>
          </c:tx>
          <c:spPr>
            <a:solidFill>
              <a:schemeClr val="accent3"/>
            </a:solidFill>
            <a:ln>
              <a:noFill/>
            </a:ln>
            <a:effectLst/>
          </c:spPr>
          <c:invertIfNegative val="0"/>
          <c:cat>
            <c:strRef>
              <c:f>Water!$J$89:$J$94</c:f>
              <c:strCache>
                <c:ptCount val="6"/>
                <c:pt idx="0">
                  <c:v>A</c:v>
                </c:pt>
                <c:pt idx="1">
                  <c:v>B</c:v>
                </c:pt>
                <c:pt idx="2">
                  <c:v>C</c:v>
                </c:pt>
                <c:pt idx="3">
                  <c:v>D</c:v>
                </c:pt>
                <c:pt idx="4">
                  <c:v>E</c:v>
                </c:pt>
                <c:pt idx="5">
                  <c:v>F</c:v>
                </c:pt>
              </c:strCache>
            </c:strRef>
          </c:cat>
          <c:val>
            <c:numRef>
              <c:f>Water!$M$89:$M$94</c:f>
              <c:numCache>
                <c:formatCode>General</c:formatCode>
                <c:ptCount val="6"/>
                <c:pt idx="0">
                  <c:v>2.5</c:v>
                </c:pt>
                <c:pt idx="1">
                  <c:v>0.5</c:v>
                </c:pt>
                <c:pt idx="2">
                  <c:v>3.75</c:v>
                </c:pt>
                <c:pt idx="3">
                  <c:v>4.75</c:v>
                </c:pt>
                <c:pt idx="4">
                  <c:v>6.625</c:v>
                </c:pt>
                <c:pt idx="5">
                  <c:v>3.55</c:v>
                </c:pt>
              </c:numCache>
            </c:numRef>
          </c:val>
          <c:extLst>
            <c:ext xmlns:c16="http://schemas.microsoft.com/office/drawing/2014/chart" uri="{C3380CC4-5D6E-409C-BE32-E72D297353CC}">
              <c16:uniqueId val="{00000002-9D13-4220-813A-9E33C6F60587}"/>
            </c:ext>
          </c:extLst>
        </c:ser>
        <c:ser>
          <c:idx val="3"/>
          <c:order val="3"/>
          <c:tx>
            <c:strRef>
              <c:f>Water!$N$88</c:f>
              <c:strCache>
                <c:ptCount val="1"/>
                <c:pt idx="0">
                  <c:v>PET</c:v>
                </c:pt>
              </c:strCache>
            </c:strRef>
          </c:tx>
          <c:spPr>
            <a:solidFill>
              <a:schemeClr val="accent4"/>
            </a:solidFill>
            <a:ln>
              <a:noFill/>
            </a:ln>
            <a:effectLst/>
          </c:spPr>
          <c:invertIfNegative val="0"/>
          <c:cat>
            <c:strRef>
              <c:f>Water!$J$89:$J$94</c:f>
              <c:strCache>
                <c:ptCount val="6"/>
                <c:pt idx="0">
                  <c:v>A</c:v>
                </c:pt>
                <c:pt idx="1">
                  <c:v>B</c:v>
                </c:pt>
                <c:pt idx="2">
                  <c:v>C</c:v>
                </c:pt>
                <c:pt idx="3">
                  <c:v>D</c:v>
                </c:pt>
                <c:pt idx="4">
                  <c:v>E</c:v>
                </c:pt>
                <c:pt idx="5">
                  <c:v>F</c:v>
                </c:pt>
              </c:strCache>
            </c:strRef>
          </c:cat>
          <c:val>
            <c:numRef>
              <c:f>Water!$N$89:$N$94</c:f>
              <c:numCache>
                <c:formatCode>General</c:formatCode>
                <c:ptCount val="6"/>
                <c:pt idx="0">
                  <c:v>2.02</c:v>
                </c:pt>
                <c:pt idx="1">
                  <c:v>1.85</c:v>
                </c:pt>
                <c:pt idx="2">
                  <c:v>1.45</c:v>
                </c:pt>
                <c:pt idx="3">
                  <c:v>8.25</c:v>
                </c:pt>
                <c:pt idx="4">
                  <c:v>1.85</c:v>
                </c:pt>
                <c:pt idx="5">
                  <c:v>2.68</c:v>
                </c:pt>
              </c:numCache>
            </c:numRef>
          </c:val>
          <c:extLst>
            <c:ext xmlns:c16="http://schemas.microsoft.com/office/drawing/2014/chart" uri="{C3380CC4-5D6E-409C-BE32-E72D297353CC}">
              <c16:uniqueId val="{00000003-9D13-4220-813A-9E33C6F60587}"/>
            </c:ext>
          </c:extLst>
        </c:ser>
        <c:ser>
          <c:idx val="4"/>
          <c:order val="4"/>
          <c:tx>
            <c:strRef>
              <c:f>Water!$O$88</c:f>
              <c:strCache>
                <c:ptCount val="1"/>
                <c:pt idx="0">
                  <c:v>PA</c:v>
                </c:pt>
              </c:strCache>
            </c:strRef>
          </c:tx>
          <c:spPr>
            <a:solidFill>
              <a:schemeClr val="accent5"/>
            </a:solidFill>
            <a:ln>
              <a:noFill/>
            </a:ln>
            <a:effectLst/>
          </c:spPr>
          <c:invertIfNegative val="0"/>
          <c:cat>
            <c:strRef>
              <c:f>Water!$J$89:$J$94</c:f>
              <c:strCache>
                <c:ptCount val="6"/>
                <c:pt idx="0">
                  <c:v>A</c:v>
                </c:pt>
                <c:pt idx="1">
                  <c:v>B</c:v>
                </c:pt>
                <c:pt idx="2">
                  <c:v>C</c:v>
                </c:pt>
                <c:pt idx="3">
                  <c:v>D</c:v>
                </c:pt>
                <c:pt idx="4">
                  <c:v>E</c:v>
                </c:pt>
                <c:pt idx="5">
                  <c:v>F</c:v>
                </c:pt>
              </c:strCache>
            </c:strRef>
          </c:cat>
          <c:val>
            <c:numRef>
              <c:f>Water!$O$89:$O$94</c:f>
              <c:numCache>
                <c:formatCode>General</c:formatCode>
                <c:ptCount val="6"/>
                <c:pt idx="0">
                  <c:v>20.52</c:v>
                </c:pt>
                <c:pt idx="1">
                  <c:v>23.82</c:v>
                </c:pt>
                <c:pt idx="2">
                  <c:v>26.1</c:v>
                </c:pt>
                <c:pt idx="3">
                  <c:v>30.52</c:v>
                </c:pt>
                <c:pt idx="4">
                  <c:v>5.55</c:v>
                </c:pt>
                <c:pt idx="5">
                  <c:v>22.58</c:v>
                </c:pt>
              </c:numCache>
            </c:numRef>
          </c:val>
          <c:extLst>
            <c:ext xmlns:c16="http://schemas.microsoft.com/office/drawing/2014/chart" uri="{C3380CC4-5D6E-409C-BE32-E72D297353CC}">
              <c16:uniqueId val="{00000004-9D13-4220-813A-9E33C6F60587}"/>
            </c:ext>
          </c:extLst>
        </c:ser>
        <c:ser>
          <c:idx val="5"/>
          <c:order val="5"/>
          <c:tx>
            <c:strRef>
              <c:f>Water!$P$88</c:f>
              <c:strCache>
                <c:ptCount val="1"/>
                <c:pt idx="0">
                  <c:v>PVC</c:v>
                </c:pt>
              </c:strCache>
            </c:strRef>
          </c:tx>
          <c:spPr>
            <a:solidFill>
              <a:schemeClr val="accent6"/>
            </a:solidFill>
            <a:ln>
              <a:noFill/>
            </a:ln>
            <a:effectLst/>
          </c:spPr>
          <c:invertIfNegative val="0"/>
          <c:cat>
            <c:strRef>
              <c:f>Water!$J$89:$J$94</c:f>
              <c:strCache>
                <c:ptCount val="6"/>
                <c:pt idx="0">
                  <c:v>A</c:v>
                </c:pt>
                <c:pt idx="1">
                  <c:v>B</c:v>
                </c:pt>
                <c:pt idx="2">
                  <c:v>C</c:v>
                </c:pt>
                <c:pt idx="3">
                  <c:v>D</c:v>
                </c:pt>
                <c:pt idx="4">
                  <c:v>E</c:v>
                </c:pt>
                <c:pt idx="5">
                  <c:v>F</c:v>
                </c:pt>
              </c:strCache>
            </c:strRef>
          </c:cat>
          <c:val>
            <c:numRef>
              <c:f>Water!$P$89:$P$94</c:f>
              <c:numCache>
                <c:formatCode>General</c:formatCode>
                <c:ptCount val="6"/>
                <c:pt idx="0">
                  <c:v>1.4</c:v>
                </c:pt>
                <c:pt idx="1">
                  <c:v>1.97</c:v>
                </c:pt>
                <c:pt idx="2">
                  <c:v>13.46</c:v>
                </c:pt>
                <c:pt idx="3">
                  <c:v>27.75</c:v>
                </c:pt>
                <c:pt idx="4">
                  <c:v>7.25</c:v>
                </c:pt>
                <c:pt idx="5">
                  <c:v>8.5500000000000007</c:v>
                </c:pt>
              </c:numCache>
            </c:numRef>
          </c:val>
          <c:extLst>
            <c:ext xmlns:c16="http://schemas.microsoft.com/office/drawing/2014/chart" uri="{C3380CC4-5D6E-409C-BE32-E72D297353CC}">
              <c16:uniqueId val="{00000005-9D13-4220-813A-9E33C6F60587}"/>
            </c:ext>
          </c:extLst>
        </c:ser>
        <c:dLbls>
          <c:showLegendKey val="0"/>
          <c:showVal val="0"/>
          <c:showCatName val="0"/>
          <c:showSerName val="0"/>
          <c:showPercent val="0"/>
          <c:showBubbleSize val="0"/>
        </c:dLbls>
        <c:gapWidth val="219"/>
        <c:overlap val="-27"/>
        <c:axId val="470115080"/>
        <c:axId val="466971320"/>
      </c:barChart>
      <c:catAx>
        <c:axId val="470115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Stations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66971320"/>
        <c:crosses val="autoZero"/>
        <c:auto val="1"/>
        <c:lblAlgn val="ctr"/>
        <c:lblOffset val="100"/>
        <c:noMultiLvlLbl val="0"/>
      </c:catAx>
      <c:valAx>
        <c:axId val="4669713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Polymer 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115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Sheet1!$B$21</c:f>
              <c:strCache>
                <c:ptCount val="1"/>
                <c:pt idx="0">
                  <c:v>Dry Season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Sheet1!$A$22:$A$27</c:f>
              <c:strCache>
                <c:ptCount val="6"/>
                <c:pt idx="0">
                  <c:v>A</c:v>
                </c:pt>
                <c:pt idx="1">
                  <c:v>B</c:v>
                </c:pt>
                <c:pt idx="2">
                  <c:v>C</c:v>
                </c:pt>
                <c:pt idx="3">
                  <c:v>D</c:v>
                </c:pt>
                <c:pt idx="4">
                  <c:v>E</c:v>
                </c:pt>
                <c:pt idx="5">
                  <c:v>F</c:v>
                </c:pt>
              </c:strCache>
            </c:strRef>
          </c:cat>
          <c:val>
            <c:numRef>
              <c:f>Sheet1!$B$22:$B$27</c:f>
              <c:numCache>
                <c:formatCode>General</c:formatCode>
                <c:ptCount val="6"/>
                <c:pt idx="0">
                  <c:v>32</c:v>
                </c:pt>
                <c:pt idx="1">
                  <c:v>27</c:v>
                </c:pt>
                <c:pt idx="2">
                  <c:v>38</c:v>
                </c:pt>
                <c:pt idx="3">
                  <c:v>27</c:v>
                </c:pt>
                <c:pt idx="4">
                  <c:v>28</c:v>
                </c:pt>
                <c:pt idx="5">
                  <c:v>34</c:v>
                </c:pt>
              </c:numCache>
            </c:numRef>
          </c:val>
          <c:smooth val="0"/>
          <c:extLst>
            <c:ext xmlns:c16="http://schemas.microsoft.com/office/drawing/2014/chart" uri="{C3380CC4-5D6E-409C-BE32-E72D297353CC}">
              <c16:uniqueId val="{00000000-1C56-4E82-9DCA-D311FC1B1435}"/>
            </c:ext>
          </c:extLst>
        </c:ser>
        <c:ser>
          <c:idx val="1"/>
          <c:order val="1"/>
          <c:tx>
            <c:strRef>
              <c:f>Sheet1!$C$21</c:f>
              <c:strCache>
                <c:ptCount val="1"/>
                <c:pt idx="0">
                  <c:v>Wet 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Sheet1!$A$22:$A$27</c:f>
              <c:strCache>
                <c:ptCount val="6"/>
                <c:pt idx="0">
                  <c:v>A</c:v>
                </c:pt>
                <c:pt idx="1">
                  <c:v>B</c:v>
                </c:pt>
                <c:pt idx="2">
                  <c:v>C</c:v>
                </c:pt>
                <c:pt idx="3">
                  <c:v>D</c:v>
                </c:pt>
                <c:pt idx="4">
                  <c:v>E</c:v>
                </c:pt>
                <c:pt idx="5">
                  <c:v>F</c:v>
                </c:pt>
              </c:strCache>
            </c:strRef>
          </c:cat>
          <c:val>
            <c:numRef>
              <c:f>Sheet1!$C$22:$C$27</c:f>
              <c:numCache>
                <c:formatCode>General</c:formatCode>
                <c:ptCount val="6"/>
                <c:pt idx="0">
                  <c:v>22</c:v>
                </c:pt>
                <c:pt idx="1">
                  <c:v>21</c:v>
                </c:pt>
                <c:pt idx="2">
                  <c:v>33</c:v>
                </c:pt>
                <c:pt idx="3">
                  <c:v>23</c:v>
                </c:pt>
                <c:pt idx="4">
                  <c:v>24</c:v>
                </c:pt>
                <c:pt idx="5">
                  <c:v>34</c:v>
                </c:pt>
              </c:numCache>
            </c:numRef>
          </c:val>
          <c:smooth val="0"/>
          <c:extLst>
            <c:ext xmlns:c16="http://schemas.microsoft.com/office/drawing/2014/chart" uri="{C3380CC4-5D6E-409C-BE32-E72D297353CC}">
              <c16:uniqueId val="{00000001-1C56-4E82-9DCA-D311FC1B1435}"/>
            </c:ext>
          </c:extLst>
        </c:ser>
        <c:dLbls>
          <c:showLegendKey val="0"/>
          <c:showVal val="0"/>
          <c:showCatName val="0"/>
          <c:showSerName val="0"/>
          <c:showPercent val="0"/>
          <c:showBubbleSize val="0"/>
        </c:dLbls>
        <c:marker val="1"/>
        <c:smooth val="0"/>
        <c:axId val="466972888"/>
        <c:axId val="466977200"/>
      </c:lineChart>
      <c:catAx>
        <c:axId val="466972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Sampling Stations</a:t>
                </a:r>
              </a:p>
            </c:rich>
          </c:tx>
          <c:layout>
            <c:manualLayout>
              <c:xMode val="edge"/>
              <c:yMode val="edge"/>
              <c:x val="0.42694313210848645"/>
              <c:y val="0.772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977200"/>
        <c:crosses val="autoZero"/>
        <c:auto val="1"/>
        <c:lblAlgn val="ctr"/>
        <c:lblOffset val="100"/>
        <c:noMultiLvlLbl val="0"/>
      </c:catAx>
      <c:valAx>
        <c:axId val="4669772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NPs</a:t>
                </a:r>
                <a:r>
                  <a:rPr lang="en-US" sz="1200" b="1" baseline="0">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a:t>
                </a:r>
                <a:r>
                  <a:rPr lang="el-GR" sz="1200" b="1">
                    <a:latin typeface="Calibri" panose="020F0502020204030204" pitchFamily="34" charset="0"/>
                    <a:ea typeface="Calibri" panose="020F0502020204030204" pitchFamily="34" charset="0"/>
                    <a:cs typeface="Calibri" panose="020F0502020204030204" pitchFamily="34" charset="0"/>
                  </a:rPr>
                  <a:t>μ</a:t>
                </a:r>
                <a:r>
                  <a:rPr lang="en-US" sz="1200" b="1">
                    <a:latin typeface="Calibri" panose="020F0502020204030204" pitchFamily="34" charset="0"/>
                    <a:ea typeface="Calibri" panose="020F0502020204030204" pitchFamily="34" charset="0"/>
                    <a:cs typeface="Calibri" panose="020F0502020204030204" pitchFamily="34" charset="0"/>
                  </a:rPr>
                  <a:t>g</a:t>
                </a:r>
                <a:r>
                  <a:rPr lang="en-US" sz="1200" b="1">
                    <a:latin typeface="Times New Roman" panose="02020603050405020304" pitchFamily="18" charset="0"/>
                    <a:cs typeface="Times New Roman" panose="02020603050405020304" pitchFamily="18" charset="0"/>
                  </a:rPr>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972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Water!$V$89</c:f>
              <c:strCache>
                <c:ptCount val="1"/>
                <c:pt idx="0">
                  <c:v>A</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Water!$W$89:$AB$89</c:f>
              <c:numCache>
                <c:formatCode>General</c:formatCode>
                <c:ptCount val="6"/>
                <c:pt idx="0">
                  <c:v>11.756742032143832</c:v>
                </c:pt>
                <c:pt idx="1">
                  <c:v>0.47278484467980564</c:v>
                </c:pt>
                <c:pt idx="2">
                  <c:v>4.2588767581390775E-2</c:v>
                </c:pt>
                <c:pt idx="3">
                  <c:v>9.6144346126703226</c:v>
                </c:pt>
                <c:pt idx="4">
                  <c:v>16.93868411052603</c:v>
                </c:pt>
                <c:pt idx="5">
                  <c:v>28.886800604882268</c:v>
                </c:pt>
              </c:numCache>
            </c:numRef>
          </c:val>
          <c:extLst>
            <c:ext xmlns:c16="http://schemas.microsoft.com/office/drawing/2014/chart" uri="{C3380CC4-5D6E-409C-BE32-E72D297353CC}">
              <c16:uniqueId val="{00000000-49A1-465C-A10F-97FC045FFDCD}"/>
            </c:ext>
          </c:extLst>
        </c:ser>
        <c:ser>
          <c:idx val="1"/>
          <c:order val="1"/>
          <c:tx>
            <c:strRef>
              <c:f>Water!$V$90</c:f>
              <c:strCache>
                <c:ptCount val="1"/>
                <c:pt idx="0">
                  <c:v>B</c:v>
                </c:pt>
              </c:strCache>
            </c:strRef>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Water!$W$90:$AB$90</c:f>
              <c:numCache>
                <c:formatCode>General</c:formatCode>
                <c:ptCount val="6"/>
                <c:pt idx="0">
                  <c:v>4.1781530918005991</c:v>
                </c:pt>
                <c:pt idx="1">
                  <c:v>0</c:v>
                </c:pt>
                <c:pt idx="2">
                  <c:v>85.179994098554161</c:v>
                </c:pt>
                <c:pt idx="3">
                  <c:v>14.910292600836003</c:v>
                </c:pt>
                <c:pt idx="4">
                  <c:v>19.517805765159327</c:v>
                </c:pt>
                <c:pt idx="5">
                  <c:v>25.127025275437457</c:v>
                </c:pt>
              </c:numCache>
            </c:numRef>
          </c:val>
          <c:extLst>
            <c:ext xmlns:c16="http://schemas.microsoft.com/office/drawing/2014/chart" uri="{C3380CC4-5D6E-409C-BE32-E72D297353CC}">
              <c16:uniqueId val="{00000001-49A1-465C-A10F-97FC045FFDCD}"/>
            </c:ext>
          </c:extLst>
        </c:ser>
        <c:ser>
          <c:idx val="2"/>
          <c:order val="2"/>
          <c:tx>
            <c:strRef>
              <c:f>Water!$V$91</c:f>
              <c:strCache>
                <c:ptCount val="1"/>
                <c:pt idx="0">
                  <c:v>C</c:v>
                </c:pt>
              </c:strCache>
            </c:strRef>
          </c:tx>
          <c:spPr>
            <a:solidFill>
              <a:schemeClr val="accent3"/>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Water!$W$91:$AB$91</c:f>
              <c:numCache>
                <c:formatCode>General</c:formatCode>
                <c:ptCount val="6"/>
                <c:pt idx="0">
                  <c:v>34.589212748569878</c:v>
                </c:pt>
                <c:pt idx="1">
                  <c:v>57.324343506032648</c:v>
                </c:pt>
                <c:pt idx="2">
                  <c:v>0.63883151372086167</c:v>
                </c:pt>
                <c:pt idx="3">
                  <c:v>10.969138483252808</c:v>
                </c:pt>
                <c:pt idx="4">
                  <c:v>24.428776939362681</c:v>
                </c:pt>
                <c:pt idx="5">
                  <c:v>17.977316915100456</c:v>
                </c:pt>
              </c:numCache>
            </c:numRef>
          </c:val>
          <c:extLst>
            <c:ext xmlns:c16="http://schemas.microsoft.com/office/drawing/2014/chart" uri="{C3380CC4-5D6E-409C-BE32-E72D297353CC}">
              <c16:uniqueId val="{00000002-49A1-465C-A10F-97FC045FFDCD}"/>
            </c:ext>
          </c:extLst>
        </c:ser>
        <c:ser>
          <c:idx val="3"/>
          <c:order val="3"/>
          <c:tx>
            <c:strRef>
              <c:f>Water!$V$92</c:f>
              <c:strCache>
                <c:ptCount val="1"/>
                <c:pt idx="0">
                  <c:v>D</c:v>
                </c:pt>
              </c:strCache>
            </c:strRef>
          </c:tx>
          <c:spPr>
            <a:solidFill>
              <a:schemeClr val="accent4"/>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Water!$W$92:$AB$92</c:f>
              <c:numCache>
                <c:formatCode>General</c:formatCode>
                <c:ptCount val="6"/>
                <c:pt idx="0">
                  <c:v>26.726505039498775</c:v>
                </c:pt>
                <c:pt idx="1">
                  <c:v>4.8905388436971124</c:v>
                </c:pt>
                <c:pt idx="2">
                  <c:v>0.75351627815481459</c:v>
                </c:pt>
                <c:pt idx="3">
                  <c:v>5.8322023777210781</c:v>
                </c:pt>
                <c:pt idx="4">
                  <c:v>13.556267303620867</c:v>
                </c:pt>
                <c:pt idx="5">
                  <c:v>7.6642903434867158</c:v>
                </c:pt>
              </c:numCache>
            </c:numRef>
          </c:val>
          <c:extLst>
            <c:ext xmlns:c16="http://schemas.microsoft.com/office/drawing/2014/chart" uri="{C3380CC4-5D6E-409C-BE32-E72D297353CC}">
              <c16:uniqueId val="{00000003-49A1-465C-A10F-97FC045FFDCD}"/>
            </c:ext>
          </c:extLst>
        </c:ser>
        <c:ser>
          <c:idx val="4"/>
          <c:order val="4"/>
          <c:tx>
            <c:strRef>
              <c:f>Water!$V$93</c:f>
              <c:strCache>
                <c:ptCount val="1"/>
                <c:pt idx="0">
                  <c:v>E</c:v>
                </c:pt>
              </c:strCache>
            </c:strRef>
          </c:tx>
          <c:spPr>
            <a:solidFill>
              <a:schemeClr val="accent5"/>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Water!$W$93:$AB$93</c:f>
              <c:numCache>
                <c:formatCode>General</c:formatCode>
                <c:ptCount val="6"/>
                <c:pt idx="0">
                  <c:v>12.25143012803051</c:v>
                </c:pt>
                <c:pt idx="1">
                  <c:v>9.3847245728012236</c:v>
                </c:pt>
                <c:pt idx="2">
                  <c:v>8.4568702665486377</c:v>
                </c:pt>
                <c:pt idx="3">
                  <c:v>28.148716139188966</c:v>
                </c:pt>
                <c:pt idx="4">
                  <c:v>11.342760979317083</c:v>
                </c:pt>
                <c:pt idx="5">
                  <c:v>2.464895225750702</c:v>
                </c:pt>
              </c:numCache>
            </c:numRef>
          </c:val>
          <c:extLst>
            <c:ext xmlns:c16="http://schemas.microsoft.com/office/drawing/2014/chart" uri="{C3380CC4-5D6E-409C-BE32-E72D297353CC}">
              <c16:uniqueId val="{00000004-49A1-465C-A10F-97FC045FFDCD}"/>
            </c:ext>
          </c:extLst>
        </c:ser>
        <c:ser>
          <c:idx val="5"/>
          <c:order val="5"/>
          <c:tx>
            <c:strRef>
              <c:f>Water!$V$94</c:f>
              <c:strCache>
                <c:ptCount val="1"/>
                <c:pt idx="0">
                  <c:v>F</c:v>
                </c:pt>
              </c:strCache>
            </c:strRef>
          </c:tx>
          <c:spPr>
            <a:solidFill>
              <a:schemeClr val="accent6"/>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Water!$W$88:$AB$88</c:f>
              <c:strCache>
                <c:ptCount val="6"/>
                <c:pt idx="0">
                  <c:v>PE</c:v>
                </c:pt>
                <c:pt idx="1">
                  <c:v>PP</c:v>
                </c:pt>
                <c:pt idx="2">
                  <c:v>PS</c:v>
                </c:pt>
                <c:pt idx="3">
                  <c:v>PET</c:v>
                </c:pt>
                <c:pt idx="4">
                  <c:v>PA</c:v>
                </c:pt>
                <c:pt idx="5">
                  <c:v>PVC</c:v>
                </c:pt>
              </c:strCache>
            </c:strRef>
          </c:cat>
          <c:val>
            <c:numRef>
              <c:f>Water!$W$94:$AB$94</c:f>
              <c:numCache>
                <c:formatCode>General</c:formatCode>
                <c:ptCount val="6"/>
                <c:pt idx="0">
                  <c:v>10.497956959956417</c:v>
                </c:pt>
                <c:pt idx="1">
                  <c:v>27.927062291860022</c:v>
                </c:pt>
                <c:pt idx="2">
                  <c:v>4.9279040031474386</c:v>
                </c:pt>
                <c:pt idx="3">
                  <c:v>30.525351501004288</c:v>
                </c:pt>
                <c:pt idx="4">
                  <c:v>11.937055534444383</c:v>
                </c:pt>
                <c:pt idx="5">
                  <c:v>17.879887664722403</c:v>
                </c:pt>
              </c:numCache>
            </c:numRef>
          </c:val>
          <c:extLst>
            <c:ext xmlns:c16="http://schemas.microsoft.com/office/drawing/2014/chart" uri="{C3380CC4-5D6E-409C-BE32-E72D297353CC}">
              <c16:uniqueId val="{00000005-49A1-465C-A10F-97FC045FFDCD}"/>
            </c:ext>
          </c:extLst>
        </c:ser>
        <c:dLbls>
          <c:showLegendKey val="0"/>
          <c:showVal val="0"/>
          <c:showCatName val="0"/>
          <c:showSerName val="0"/>
          <c:showPercent val="0"/>
          <c:showBubbleSize val="0"/>
        </c:dLbls>
        <c:gapWidth val="219"/>
        <c:overlap val="-27"/>
        <c:axId val="466973672"/>
        <c:axId val="466974064"/>
      </c:barChart>
      <c:catAx>
        <c:axId val="466973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Polymers/Stations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66974064"/>
        <c:crosses val="autoZero"/>
        <c:auto val="1"/>
        <c:lblAlgn val="ctr"/>
        <c:lblOffset val="100"/>
        <c:noMultiLvlLbl val="0"/>
      </c:catAx>
      <c:valAx>
        <c:axId val="466974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6973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3447E-307A-47E2-88DC-1E6449A1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23</TotalTime>
  <Pages>21</Pages>
  <Words>9125</Words>
  <Characters>52014</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61017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1180</cp:lastModifiedBy>
  <cp:revision>25</cp:revision>
  <cp:lastPrinted>1999-07-06T11:00:00Z</cp:lastPrinted>
  <dcterms:created xsi:type="dcterms:W3CDTF">2026-06-03T10:31:00Z</dcterms:created>
  <dcterms:modified xsi:type="dcterms:W3CDTF">2026-06-04T12:04:00Z</dcterms:modified>
</cp:coreProperties>
</file>