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3F48" w14:textId="701091FA" w:rsidR="008A07A1" w:rsidRPr="00705055" w:rsidRDefault="00C30885" w:rsidP="00943B58">
      <w:pPr>
        <w:jc w:val="right"/>
        <w:rPr>
          <w:rFonts w:ascii="Arial" w:hAnsi="Arial" w:cs="Arial"/>
          <w:b/>
          <w:bCs/>
          <w:sz w:val="36"/>
          <w:szCs w:val="36"/>
          <w:lang w:val="en-US"/>
        </w:rPr>
      </w:pPr>
      <w:r w:rsidRPr="00705055">
        <w:rPr>
          <w:rFonts w:ascii="Arial" w:hAnsi="Arial" w:cs="Arial"/>
          <w:b/>
          <w:bCs/>
          <w:sz w:val="36"/>
          <w:szCs w:val="36"/>
          <w:lang w:val="en-US"/>
        </w:rPr>
        <w:t>IMPACT OF HUMAN ACTIVITIES ON SEDIMENTS IN THE EBRI</w:t>
      </w:r>
      <w:r w:rsidR="00705055">
        <w:rPr>
          <w:rFonts w:ascii="Arial" w:hAnsi="Arial" w:cs="Arial"/>
          <w:b/>
          <w:bCs/>
          <w:sz w:val="36"/>
          <w:szCs w:val="36"/>
          <w:lang w:val="en-US"/>
        </w:rPr>
        <w:t>E</w:t>
      </w:r>
      <w:r w:rsidRPr="00705055">
        <w:rPr>
          <w:rFonts w:ascii="Arial" w:hAnsi="Arial" w:cs="Arial"/>
          <w:b/>
          <w:bCs/>
          <w:sz w:val="36"/>
          <w:szCs w:val="36"/>
          <w:lang w:val="en-US"/>
        </w:rPr>
        <w:t xml:space="preserve"> LAGOON: THE CASE OF THE TREICHVILLE SECTOR (ABIDJAN, IVORY COAST)</w:t>
      </w:r>
    </w:p>
    <w:p w14:paraId="575791C9" w14:textId="7DC1C99D" w:rsidR="008A07A1" w:rsidRPr="00D73C18" w:rsidRDefault="008A07A1" w:rsidP="0070236F">
      <w:pPr>
        <w:jc w:val="right"/>
        <w:rPr>
          <w:rFonts w:ascii="Arial" w:hAnsi="Arial" w:cs="Arial"/>
          <w:sz w:val="20"/>
          <w:szCs w:val="20"/>
          <w:lang w:val="en-US"/>
        </w:rPr>
      </w:pPr>
    </w:p>
    <w:p w14:paraId="7F7433C7" w14:textId="179E2A11" w:rsidR="008A07A1" w:rsidRPr="00D73C18" w:rsidRDefault="0070017D" w:rsidP="00ED3175">
      <w:pPr>
        <w:jc w:val="both"/>
        <w:rPr>
          <w:rFonts w:ascii="Arial" w:hAnsi="Arial" w:cs="Arial"/>
          <w:sz w:val="20"/>
          <w:szCs w:val="20"/>
          <w:lang w:val="en-US"/>
        </w:rPr>
      </w:pPr>
      <w:r w:rsidRPr="00D73C18">
        <w:rPr>
          <w:rFonts w:ascii="Arial" w:hAnsi="Arial" w:cs="Arial"/>
          <w:noProof/>
          <w:sz w:val="20"/>
          <w:szCs w:val="20"/>
        </w:rPr>
        <mc:AlternateContent>
          <mc:Choice Requires="wps">
            <w:drawing>
              <wp:inline distT="0" distB="0" distL="0" distR="0" wp14:anchorId="29C085A0" wp14:editId="7FFB1E12">
                <wp:extent cx="5863590" cy="45720"/>
                <wp:effectExtent l="0" t="0" r="22860" b="30480"/>
                <wp:docPr id="15025856"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3590" cy="457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9F8D30" id="_x0000_t32" coordsize="21600,21600" o:spt="32" o:oned="t" path="m,l21600,21600e" filled="f">
                <v:path arrowok="t" fillok="f" o:connecttype="none"/>
                <o:lock v:ext="edit" shapetype="t"/>
              </v:shapetype>
              <v:shape id="Connecteur droit avec flèche 3" o:spid="_x0000_s1026" type="#_x0000_t32" style="width:461.7pt;height:3.6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" strokeweight="1.5pt">
                <w10:anchorlock/>
              </v:shape>
            </w:pict>
          </mc:Fallback>
        </mc:AlternateContent>
      </w:r>
    </w:p>
    <w:p w14:paraId="27F34305" w14:textId="77777777" w:rsidR="008A07A1" w:rsidRPr="003A0C9E" w:rsidRDefault="008A07A1" w:rsidP="00ED3175">
      <w:pPr>
        <w:jc w:val="both"/>
        <w:rPr>
          <w:rFonts w:ascii="Arial" w:hAnsi="Arial" w:cs="Arial"/>
          <w:b/>
          <w:bCs/>
          <w:lang w:val="en-US"/>
        </w:rPr>
      </w:pPr>
      <w:r w:rsidRPr="003A0C9E">
        <w:rPr>
          <w:rFonts w:ascii="Arial" w:hAnsi="Arial" w:cs="Arial"/>
          <w:b/>
          <w:bCs/>
          <w:lang w:val="en-US"/>
        </w:rPr>
        <w:t>Abstract</w:t>
      </w:r>
    </w:p>
    <w:p w14:paraId="72ECCE68" w14:textId="61C4916D" w:rsidR="008A07A1" w:rsidRPr="00D73C18" w:rsidRDefault="008A07A1" w:rsidP="00ED3175">
      <w:pPr>
        <w:jc w:val="both"/>
        <w:rPr>
          <w:rFonts w:ascii="Arial" w:hAnsi="Arial" w:cs="Arial"/>
          <w:sz w:val="20"/>
          <w:szCs w:val="20"/>
          <w:lang w:val="en-US"/>
        </w:rPr>
      </w:pPr>
      <w:r w:rsidRPr="00D73C18">
        <w:rPr>
          <w:rFonts w:ascii="Arial" w:hAnsi="Arial" w:cs="Arial"/>
          <w:sz w:val="20"/>
          <w:szCs w:val="20"/>
          <w:lang w:val="en-US"/>
        </w:rPr>
        <w:t xml:space="preserve">The Treichville area, located on the </w:t>
      </w:r>
      <w:proofErr w:type="spellStart"/>
      <w:r w:rsidRPr="00D73C18">
        <w:rPr>
          <w:rFonts w:ascii="Arial" w:hAnsi="Arial" w:cs="Arial"/>
          <w:sz w:val="20"/>
          <w:szCs w:val="20"/>
          <w:lang w:val="en-US"/>
        </w:rPr>
        <w:t>Ebri</w:t>
      </w:r>
      <w:r w:rsidR="00F04982" w:rsidRPr="00D73C18">
        <w:rPr>
          <w:rFonts w:ascii="Arial" w:hAnsi="Arial" w:cs="Arial"/>
          <w:sz w:val="20"/>
          <w:szCs w:val="20"/>
          <w:lang w:val="en-US"/>
        </w:rPr>
        <w:t>e</w:t>
      </w:r>
      <w:proofErr w:type="spellEnd"/>
      <w:r w:rsidRPr="00D73C18">
        <w:rPr>
          <w:rFonts w:ascii="Arial" w:hAnsi="Arial" w:cs="Arial"/>
          <w:sz w:val="20"/>
          <w:szCs w:val="20"/>
          <w:lang w:val="en-US"/>
        </w:rPr>
        <w:t xml:space="preserve"> Lagoon, is surrounded by industrial facilities and residential zones. Domestic and industrial wastewater is often discharged directly into the lagoon without prior treatment, raising environmental concerns. To assess the impact of these inputs, analyses were conducted on the lagoon’s surface sediments. Samples were collected and subjected to granulometric and chemical analyses. Trace metals (TM) were quantified using flame atomic absorption spectrometry. Twelve metals were identified, with concentrations ranging from 7.20 to 12094.28 mg/kg. The concentrations of aluminum, copper, iron, potassium, magnesium, sodium, phosphorus, and zinc appear particularly high, exceeding the reference values for the continental crust. In contrast, the levels of arsenic, cadmium, mercury, and lead remain low. Contamination indices indicate an anthropogenic origin, linked to untreated discharges from surrounding domestic, agricultural, and industrial activities. Comparison of the concentrations with TEC and PEC guideline values reveals poor environmental quality of the sediments, which may impair aquatic biodiversity and pose a risk to human health.</w:t>
      </w:r>
    </w:p>
    <w:p w14:paraId="1B80182D" w14:textId="0490D88D" w:rsidR="008A07A1" w:rsidRPr="00D73C18" w:rsidRDefault="008A07A1" w:rsidP="00ED3175">
      <w:pPr>
        <w:jc w:val="both"/>
        <w:rPr>
          <w:rFonts w:ascii="Arial" w:hAnsi="Arial" w:cs="Arial"/>
          <w:sz w:val="20"/>
          <w:szCs w:val="20"/>
          <w:lang w:val="en-US"/>
        </w:rPr>
      </w:pPr>
      <w:r w:rsidRPr="00D73C18">
        <w:rPr>
          <w:rFonts w:ascii="Arial" w:hAnsi="Arial" w:cs="Arial"/>
          <w:b/>
          <w:bCs/>
          <w:sz w:val="20"/>
          <w:szCs w:val="20"/>
          <w:lang w:val="en-US"/>
        </w:rPr>
        <w:t>Keywords</w:t>
      </w:r>
      <w:r w:rsidRPr="00D73C18">
        <w:rPr>
          <w:rFonts w:ascii="Arial" w:hAnsi="Arial" w:cs="Arial"/>
          <w:sz w:val="20"/>
          <w:szCs w:val="20"/>
          <w:lang w:val="en-US"/>
        </w:rPr>
        <w:t xml:space="preserve">: </w:t>
      </w:r>
      <w:proofErr w:type="spellStart"/>
      <w:r w:rsidRPr="00D73C18">
        <w:rPr>
          <w:rFonts w:ascii="Arial" w:hAnsi="Arial" w:cs="Arial"/>
          <w:sz w:val="20"/>
          <w:szCs w:val="20"/>
          <w:lang w:val="en-US"/>
        </w:rPr>
        <w:t>Ebri</w:t>
      </w:r>
      <w:r w:rsidR="008A7C9E" w:rsidRPr="00D73C18">
        <w:rPr>
          <w:rFonts w:ascii="Arial" w:hAnsi="Arial" w:cs="Arial"/>
          <w:sz w:val="20"/>
          <w:szCs w:val="20"/>
          <w:lang w:val="en-US"/>
        </w:rPr>
        <w:t>e</w:t>
      </w:r>
      <w:proofErr w:type="spellEnd"/>
      <w:r w:rsidRPr="00D73C18">
        <w:rPr>
          <w:rFonts w:ascii="Arial" w:hAnsi="Arial" w:cs="Arial"/>
          <w:sz w:val="20"/>
          <w:szCs w:val="20"/>
          <w:lang w:val="en-US"/>
        </w:rPr>
        <w:t xml:space="preserve"> Lagoon, ETM, sediments, pollution, grain sizes.</w:t>
      </w:r>
    </w:p>
    <w:p w14:paraId="7B9DB7B3" w14:textId="77777777" w:rsidR="00B10CA2" w:rsidRPr="003A0C9E" w:rsidRDefault="00B10CA2" w:rsidP="00ED3175">
      <w:pPr>
        <w:jc w:val="both"/>
        <w:rPr>
          <w:rFonts w:ascii="Arial" w:hAnsi="Arial" w:cs="Arial"/>
          <w:b/>
          <w:bCs/>
          <w:lang w:val="en-US"/>
        </w:rPr>
      </w:pPr>
      <w:r w:rsidRPr="003A0C9E">
        <w:rPr>
          <w:rFonts w:ascii="Arial" w:hAnsi="Arial" w:cs="Arial"/>
          <w:b/>
          <w:bCs/>
          <w:lang w:val="en-US"/>
        </w:rPr>
        <w:t>1. INTRODUCTION</w:t>
      </w:r>
    </w:p>
    <w:p w14:paraId="6C9D47A3" w14:textId="4D0BE1FB" w:rsidR="00B10CA2" w:rsidRPr="00D73C18" w:rsidRDefault="00B10CA2" w:rsidP="00ED3175">
      <w:pPr>
        <w:jc w:val="both"/>
        <w:rPr>
          <w:rFonts w:ascii="Arial" w:hAnsi="Arial" w:cs="Arial"/>
          <w:sz w:val="20"/>
          <w:szCs w:val="20"/>
          <w:lang w:val="en-US"/>
        </w:rPr>
      </w:pPr>
      <w:r w:rsidRPr="00D73C18">
        <w:rPr>
          <w:rFonts w:ascii="Arial" w:hAnsi="Arial" w:cs="Arial"/>
          <w:sz w:val="20"/>
          <w:szCs w:val="20"/>
          <w:lang w:val="en-US"/>
        </w:rPr>
        <w:t>Abidjan, the economic capital of Côte d’Ivoire located on the coast, is experiencing rapid population growth. Unfortunately, the development of sanitation infrastructure has not kept pace with this growth. Wastewater treatment plants are virtually nonexistent. Most types of waste, including both liquid and solid effluents, end up in the lagoon without prior treatment. The consequences are detrimental to the hydrology and the lagoon environment. In certain parts of the lagoon, the odors are suffocating. Yet, artisanal fishermen carry out their activities there, and the fruits of their labor are sold in markets. Its effects are particularly noticeable on natural resources and human health</w:t>
      </w:r>
      <w:r w:rsidR="00161AA5" w:rsidRPr="00D73C18">
        <w:rPr>
          <w:rFonts w:ascii="Arial" w:hAnsi="Arial" w:cs="Arial"/>
          <w:sz w:val="20"/>
          <w:szCs w:val="20"/>
          <w:lang w:val="en-US"/>
        </w:rPr>
        <w:t xml:space="preserve"> (Dufour, 1981)</w:t>
      </w:r>
      <w:r w:rsidRPr="00D73C18">
        <w:rPr>
          <w:rFonts w:ascii="Arial" w:hAnsi="Arial" w:cs="Arial"/>
          <w:sz w:val="20"/>
          <w:szCs w:val="20"/>
          <w:lang w:val="en-US"/>
        </w:rPr>
        <w:t xml:space="preserve">, </w:t>
      </w:r>
      <w:r w:rsidR="00161AA5" w:rsidRPr="00D73C18">
        <w:rPr>
          <w:rFonts w:ascii="Arial" w:hAnsi="Arial" w:cs="Arial"/>
          <w:sz w:val="20"/>
          <w:szCs w:val="20"/>
          <w:lang w:val="en-US"/>
        </w:rPr>
        <w:t>(</w:t>
      </w:r>
      <w:proofErr w:type="spellStart"/>
      <w:r w:rsidR="00161AA5" w:rsidRPr="00D73C18">
        <w:rPr>
          <w:rFonts w:ascii="Arial" w:hAnsi="Arial" w:cs="Arial"/>
          <w:sz w:val="20"/>
          <w:szCs w:val="20"/>
          <w:lang w:val="en-US"/>
        </w:rPr>
        <w:t>Irié</w:t>
      </w:r>
      <w:proofErr w:type="spellEnd"/>
      <w:r w:rsidR="00161AA5" w:rsidRPr="00D73C18">
        <w:rPr>
          <w:rFonts w:ascii="Arial" w:hAnsi="Arial" w:cs="Arial"/>
          <w:sz w:val="20"/>
          <w:szCs w:val="20"/>
          <w:lang w:val="en-US"/>
        </w:rPr>
        <w:t xml:space="preserve">, 2017). </w:t>
      </w:r>
      <w:r w:rsidRPr="00D73C18">
        <w:rPr>
          <w:rFonts w:ascii="Arial" w:hAnsi="Arial" w:cs="Arial"/>
          <w:sz w:val="20"/>
          <w:szCs w:val="20"/>
          <w:lang w:val="en-US"/>
        </w:rPr>
        <w:t xml:space="preserve"> </w:t>
      </w:r>
    </w:p>
    <w:p w14:paraId="68D2217D" w14:textId="7F7C5632" w:rsidR="00B10CA2" w:rsidRPr="00D73C18" w:rsidRDefault="00B10CA2" w:rsidP="00ED3175">
      <w:pPr>
        <w:jc w:val="both"/>
        <w:rPr>
          <w:rFonts w:ascii="Arial" w:hAnsi="Arial" w:cs="Arial"/>
          <w:sz w:val="20"/>
          <w:szCs w:val="20"/>
          <w:lang w:val="en-US"/>
        </w:rPr>
      </w:pPr>
      <w:r w:rsidRPr="00D73C18">
        <w:rPr>
          <w:rFonts w:ascii="Arial" w:hAnsi="Arial" w:cs="Arial"/>
          <w:sz w:val="20"/>
          <w:szCs w:val="20"/>
          <w:lang w:val="en-US"/>
        </w:rPr>
        <w:t xml:space="preserve">The </w:t>
      </w:r>
      <w:proofErr w:type="spellStart"/>
      <w:r w:rsidRPr="00D73C18">
        <w:rPr>
          <w:rFonts w:ascii="Arial" w:hAnsi="Arial" w:cs="Arial"/>
          <w:sz w:val="20"/>
          <w:szCs w:val="20"/>
          <w:lang w:val="en-US"/>
        </w:rPr>
        <w:t>Ebri</w:t>
      </w:r>
      <w:r w:rsidR="00BF0FAB" w:rsidRPr="00D73C18">
        <w:rPr>
          <w:rFonts w:ascii="Arial" w:hAnsi="Arial" w:cs="Arial"/>
          <w:sz w:val="20"/>
          <w:szCs w:val="20"/>
          <w:lang w:val="en-US"/>
        </w:rPr>
        <w:t>e</w:t>
      </w:r>
      <w:proofErr w:type="spellEnd"/>
      <w:r w:rsidRPr="00D73C18">
        <w:rPr>
          <w:rFonts w:ascii="Arial" w:hAnsi="Arial" w:cs="Arial"/>
          <w:sz w:val="20"/>
          <w:szCs w:val="20"/>
          <w:lang w:val="en-US"/>
        </w:rPr>
        <w:t xml:space="preserve"> Lagoon is connected to the Atlantic Ocean via the </w:t>
      </w:r>
      <w:proofErr w:type="spellStart"/>
      <w:r w:rsidRPr="00D73C18">
        <w:rPr>
          <w:rFonts w:ascii="Arial" w:hAnsi="Arial" w:cs="Arial"/>
          <w:sz w:val="20"/>
          <w:szCs w:val="20"/>
          <w:lang w:val="en-US"/>
        </w:rPr>
        <w:t>Vridi</w:t>
      </w:r>
      <w:proofErr w:type="spellEnd"/>
      <w:r w:rsidRPr="00D73C18">
        <w:rPr>
          <w:rFonts w:ascii="Arial" w:hAnsi="Arial" w:cs="Arial"/>
          <w:sz w:val="20"/>
          <w:szCs w:val="20"/>
          <w:lang w:val="en-US"/>
        </w:rPr>
        <w:t xml:space="preserve"> Channel. This passage not only facilitates exchange between the marine ecosystem and the lagoon ecosystem but also allows ships to access the Port of Abidjan. Effective preservation of this environment would be beneficial for the living organisms inhabiting it. With this in mind, this study was initiated to determine the presence of trace metals (TMs) in the sediments of the Treichville sector of the </w:t>
      </w:r>
      <w:proofErr w:type="spellStart"/>
      <w:r w:rsidRPr="00D73C18">
        <w:rPr>
          <w:rFonts w:ascii="Arial" w:hAnsi="Arial" w:cs="Arial"/>
          <w:sz w:val="20"/>
          <w:szCs w:val="20"/>
          <w:lang w:val="en-US"/>
        </w:rPr>
        <w:t>Ebri</w:t>
      </w:r>
      <w:r w:rsidR="00BF0FAB" w:rsidRPr="00D73C18">
        <w:rPr>
          <w:rFonts w:ascii="Arial" w:hAnsi="Arial" w:cs="Arial"/>
          <w:sz w:val="20"/>
          <w:szCs w:val="20"/>
          <w:lang w:val="en-US"/>
        </w:rPr>
        <w:t>e</w:t>
      </w:r>
      <w:proofErr w:type="spellEnd"/>
      <w:r w:rsidRPr="00D73C18">
        <w:rPr>
          <w:rFonts w:ascii="Arial" w:hAnsi="Arial" w:cs="Arial"/>
          <w:sz w:val="20"/>
          <w:szCs w:val="20"/>
          <w:lang w:val="en-US"/>
        </w:rPr>
        <w:t xml:space="preserve"> Lagoon. </w:t>
      </w:r>
    </w:p>
    <w:p w14:paraId="605B9A31" w14:textId="77777777" w:rsidR="00B10CA2" w:rsidRPr="00D73C18" w:rsidRDefault="00B10CA2" w:rsidP="00ED3175">
      <w:pPr>
        <w:jc w:val="both"/>
        <w:rPr>
          <w:rFonts w:ascii="Arial" w:hAnsi="Arial" w:cs="Arial"/>
          <w:sz w:val="20"/>
          <w:szCs w:val="20"/>
          <w:lang w:val="en-US"/>
        </w:rPr>
      </w:pPr>
    </w:p>
    <w:p w14:paraId="01B75D01" w14:textId="5FBC833E" w:rsidR="008A07A1" w:rsidRPr="00D73C18" w:rsidRDefault="00B10CA2" w:rsidP="00ED3175">
      <w:pPr>
        <w:jc w:val="both"/>
        <w:rPr>
          <w:rFonts w:ascii="Arial" w:hAnsi="Arial" w:cs="Arial"/>
          <w:sz w:val="20"/>
          <w:szCs w:val="20"/>
          <w:lang w:val="en-US"/>
        </w:rPr>
      </w:pPr>
      <w:r w:rsidRPr="00D73C18">
        <w:rPr>
          <w:rFonts w:ascii="Arial" w:hAnsi="Arial" w:cs="Arial"/>
          <w:noProof/>
          <w:sz w:val="20"/>
          <w:szCs w:val="20"/>
          <w:lang w:eastAsia="fr-FR"/>
        </w:rPr>
        <w:lastRenderedPageBreak/>
        <w:drawing>
          <wp:inline distT="0" distB="0" distL="0" distR="0" wp14:anchorId="5E03CBB2" wp14:editId="3C8220AD">
            <wp:extent cx="5760720" cy="476470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764708"/>
                    </a:xfrm>
                    <a:prstGeom prst="rect">
                      <a:avLst/>
                    </a:prstGeom>
                    <a:noFill/>
                    <a:ln>
                      <a:noFill/>
                    </a:ln>
                  </pic:spPr>
                </pic:pic>
              </a:graphicData>
            </a:graphic>
          </wp:inline>
        </w:drawing>
      </w:r>
    </w:p>
    <w:p w14:paraId="29A2832B" w14:textId="0C04C0F6" w:rsidR="00B10CA2" w:rsidRPr="00D73C18" w:rsidRDefault="00B10CA2" w:rsidP="00ED3175">
      <w:pPr>
        <w:jc w:val="both"/>
        <w:rPr>
          <w:rFonts w:ascii="Arial" w:hAnsi="Arial" w:cs="Arial"/>
          <w:sz w:val="20"/>
          <w:szCs w:val="20"/>
          <w:lang w:val="en-US"/>
        </w:rPr>
      </w:pPr>
      <w:r w:rsidRPr="00D73C18">
        <w:rPr>
          <w:rFonts w:ascii="Arial" w:hAnsi="Arial" w:cs="Arial"/>
          <w:sz w:val="20"/>
          <w:szCs w:val="20"/>
          <w:lang w:val="en-US"/>
        </w:rPr>
        <w:t xml:space="preserve">Fig. 1 – Study area in the Treichville sector of the </w:t>
      </w:r>
      <w:proofErr w:type="spellStart"/>
      <w:r w:rsidRPr="00D73C18">
        <w:rPr>
          <w:rFonts w:ascii="Arial" w:hAnsi="Arial" w:cs="Arial"/>
          <w:sz w:val="20"/>
          <w:szCs w:val="20"/>
          <w:lang w:val="en-US"/>
        </w:rPr>
        <w:t>Ebri</w:t>
      </w:r>
      <w:r w:rsidR="00BF0FAB" w:rsidRPr="00D73C18">
        <w:rPr>
          <w:rFonts w:ascii="Arial" w:hAnsi="Arial" w:cs="Arial"/>
          <w:sz w:val="20"/>
          <w:szCs w:val="20"/>
          <w:lang w:val="en-US"/>
        </w:rPr>
        <w:t>e</w:t>
      </w:r>
      <w:proofErr w:type="spellEnd"/>
      <w:r w:rsidRPr="00D73C18">
        <w:rPr>
          <w:rFonts w:ascii="Arial" w:hAnsi="Arial" w:cs="Arial"/>
          <w:sz w:val="20"/>
          <w:szCs w:val="20"/>
          <w:lang w:val="en-US"/>
        </w:rPr>
        <w:t xml:space="preserve"> Lagoon.</w:t>
      </w:r>
    </w:p>
    <w:p w14:paraId="6D42A5A5" w14:textId="77777777" w:rsidR="00B10CA2" w:rsidRPr="003A0C9E" w:rsidRDefault="00B10CA2" w:rsidP="00ED3175">
      <w:pPr>
        <w:jc w:val="both"/>
        <w:rPr>
          <w:rFonts w:ascii="Arial" w:hAnsi="Arial" w:cs="Arial"/>
          <w:b/>
          <w:bCs/>
          <w:lang w:val="en-US"/>
        </w:rPr>
      </w:pPr>
      <w:r w:rsidRPr="003A0C9E">
        <w:rPr>
          <w:rFonts w:ascii="Arial" w:hAnsi="Arial" w:cs="Arial"/>
          <w:b/>
          <w:bCs/>
          <w:lang w:val="en-US"/>
        </w:rPr>
        <w:t xml:space="preserve">2. MATERIALS AND METHODS </w:t>
      </w:r>
    </w:p>
    <w:p w14:paraId="30D9AFCA" w14:textId="77777777" w:rsidR="00B10CA2" w:rsidRPr="003A0C9E" w:rsidRDefault="00B10CA2" w:rsidP="00ED3175">
      <w:pPr>
        <w:jc w:val="both"/>
        <w:rPr>
          <w:rFonts w:ascii="Arial" w:hAnsi="Arial" w:cs="Arial"/>
          <w:b/>
          <w:bCs/>
          <w:lang w:val="en-US"/>
        </w:rPr>
      </w:pPr>
      <w:r w:rsidRPr="003A0C9E">
        <w:rPr>
          <w:rFonts w:ascii="Arial" w:hAnsi="Arial" w:cs="Arial"/>
          <w:b/>
          <w:bCs/>
          <w:lang w:val="en-US"/>
        </w:rPr>
        <w:t xml:space="preserve">2.1. Sampling sites </w:t>
      </w:r>
    </w:p>
    <w:p w14:paraId="2A39B42C" w14:textId="05047A04" w:rsidR="00B10CA2" w:rsidRPr="00D73C18" w:rsidRDefault="00B10CA2" w:rsidP="00ED3175">
      <w:pPr>
        <w:jc w:val="both"/>
        <w:rPr>
          <w:rFonts w:ascii="Arial" w:hAnsi="Arial" w:cs="Arial"/>
          <w:sz w:val="20"/>
          <w:szCs w:val="20"/>
          <w:lang w:val="en-US"/>
        </w:rPr>
      </w:pPr>
      <w:r w:rsidRPr="00D73C18">
        <w:rPr>
          <w:rFonts w:ascii="Arial" w:hAnsi="Arial" w:cs="Arial"/>
          <w:sz w:val="20"/>
          <w:szCs w:val="20"/>
          <w:lang w:val="en-US"/>
        </w:rPr>
        <w:t xml:space="preserve">Samples were collected from the </w:t>
      </w:r>
      <w:proofErr w:type="spellStart"/>
      <w:r w:rsidRPr="00D73C18">
        <w:rPr>
          <w:rFonts w:ascii="Arial" w:hAnsi="Arial" w:cs="Arial"/>
          <w:sz w:val="20"/>
          <w:szCs w:val="20"/>
          <w:lang w:val="en-US"/>
        </w:rPr>
        <w:t>Ebri</w:t>
      </w:r>
      <w:r w:rsidR="00BF0FAB" w:rsidRPr="00D73C18">
        <w:rPr>
          <w:rFonts w:ascii="Arial" w:hAnsi="Arial" w:cs="Arial"/>
          <w:sz w:val="20"/>
          <w:szCs w:val="20"/>
          <w:lang w:val="en-US"/>
        </w:rPr>
        <w:t>e</w:t>
      </w:r>
      <w:proofErr w:type="spellEnd"/>
      <w:r w:rsidRPr="00D73C18">
        <w:rPr>
          <w:rFonts w:ascii="Arial" w:hAnsi="Arial" w:cs="Arial"/>
          <w:sz w:val="20"/>
          <w:szCs w:val="20"/>
          <w:lang w:val="en-US"/>
        </w:rPr>
        <w:t xml:space="preserve"> Lagoon in the Treichville sector of Abidjan. The specific sampling sites were the </w:t>
      </w:r>
      <w:proofErr w:type="spellStart"/>
      <w:r w:rsidRPr="00D73C18">
        <w:rPr>
          <w:rFonts w:ascii="Arial" w:hAnsi="Arial" w:cs="Arial"/>
          <w:sz w:val="20"/>
          <w:szCs w:val="20"/>
          <w:lang w:val="en-US"/>
        </w:rPr>
        <w:t>Fascinage</w:t>
      </w:r>
      <w:proofErr w:type="spellEnd"/>
      <w:r w:rsidRPr="00D73C18">
        <w:rPr>
          <w:rFonts w:ascii="Arial" w:hAnsi="Arial" w:cs="Arial"/>
          <w:sz w:val="20"/>
          <w:szCs w:val="20"/>
          <w:lang w:val="en-US"/>
        </w:rPr>
        <w:t xml:space="preserve">, Mol Port, Quay 15, </w:t>
      </w:r>
      <w:proofErr w:type="spellStart"/>
      <w:r w:rsidRPr="00D73C18">
        <w:rPr>
          <w:rFonts w:ascii="Arial" w:hAnsi="Arial" w:cs="Arial"/>
          <w:sz w:val="20"/>
          <w:szCs w:val="20"/>
          <w:lang w:val="en-US"/>
        </w:rPr>
        <w:t>Mouillage</w:t>
      </w:r>
      <w:proofErr w:type="spellEnd"/>
      <w:r w:rsidRPr="00D73C18">
        <w:rPr>
          <w:rFonts w:ascii="Arial" w:hAnsi="Arial" w:cs="Arial"/>
          <w:sz w:val="20"/>
          <w:szCs w:val="20"/>
          <w:lang w:val="en-US"/>
        </w:rPr>
        <w:t xml:space="preserve">, </w:t>
      </w:r>
      <w:proofErr w:type="spellStart"/>
      <w:r w:rsidRPr="00D73C18">
        <w:rPr>
          <w:rFonts w:ascii="Arial" w:hAnsi="Arial" w:cs="Arial"/>
          <w:sz w:val="20"/>
          <w:szCs w:val="20"/>
          <w:lang w:val="en-US"/>
        </w:rPr>
        <w:t>Bananier</w:t>
      </w:r>
      <w:proofErr w:type="spellEnd"/>
      <w:r w:rsidRPr="00D73C18">
        <w:rPr>
          <w:rFonts w:ascii="Arial" w:hAnsi="Arial" w:cs="Arial"/>
          <w:sz w:val="20"/>
          <w:szCs w:val="20"/>
          <w:lang w:val="en-US"/>
        </w:rPr>
        <w:t xml:space="preserve"> Quay, SOTRA Quay, Félix Houphouët Boigny Bridge, and Car</w:t>
      </w:r>
      <w:r w:rsidR="00BF0FAB" w:rsidRPr="00D73C18">
        <w:rPr>
          <w:rFonts w:ascii="Arial" w:hAnsi="Arial" w:cs="Arial"/>
          <w:sz w:val="20"/>
          <w:szCs w:val="20"/>
          <w:lang w:val="en-US"/>
        </w:rPr>
        <w:t>e</w:t>
      </w:r>
      <w:r w:rsidRPr="00D73C18">
        <w:rPr>
          <w:rFonts w:ascii="Arial" w:hAnsi="Arial" w:cs="Arial"/>
          <w:sz w:val="20"/>
          <w:szCs w:val="20"/>
          <w:lang w:val="en-US"/>
        </w:rPr>
        <w:t xml:space="preserve">na areas. </w:t>
      </w:r>
    </w:p>
    <w:p w14:paraId="02C1C305" w14:textId="35B23E14" w:rsidR="00B10CA2" w:rsidRPr="00D73C18" w:rsidRDefault="00B10CA2" w:rsidP="00ED3175">
      <w:pPr>
        <w:jc w:val="both"/>
        <w:rPr>
          <w:rFonts w:ascii="Arial" w:hAnsi="Arial" w:cs="Arial"/>
          <w:sz w:val="20"/>
          <w:szCs w:val="20"/>
          <w:lang w:val="en-US"/>
        </w:rPr>
      </w:pPr>
      <w:r w:rsidRPr="00D73C18">
        <w:rPr>
          <w:rFonts w:ascii="Arial" w:hAnsi="Arial" w:cs="Arial"/>
          <w:noProof/>
          <w:sz w:val="20"/>
          <w:szCs w:val="20"/>
          <w:lang w:eastAsia="fr-FR"/>
        </w:rPr>
        <w:lastRenderedPageBreak/>
        <w:drawing>
          <wp:inline distT="0" distB="0" distL="0" distR="0" wp14:anchorId="120463D4" wp14:editId="0700DDC8">
            <wp:extent cx="5760720" cy="54254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425405"/>
                    </a:xfrm>
                    <a:prstGeom prst="rect">
                      <a:avLst/>
                    </a:prstGeom>
                    <a:noFill/>
                    <a:ln>
                      <a:noFill/>
                    </a:ln>
                  </pic:spPr>
                </pic:pic>
              </a:graphicData>
            </a:graphic>
          </wp:inline>
        </w:drawing>
      </w:r>
    </w:p>
    <w:p w14:paraId="1F1CBA29" w14:textId="46C9611B" w:rsidR="00B10CA2" w:rsidRPr="00D73C18" w:rsidRDefault="00B10CA2" w:rsidP="00ED3175">
      <w:pPr>
        <w:jc w:val="both"/>
        <w:rPr>
          <w:rFonts w:ascii="Arial" w:hAnsi="Arial" w:cs="Arial"/>
          <w:sz w:val="20"/>
          <w:szCs w:val="20"/>
          <w:lang w:val="en-US"/>
        </w:rPr>
      </w:pPr>
      <w:r w:rsidRPr="00D73C18">
        <w:rPr>
          <w:rFonts w:ascii="Arial" w:hAnsi="Arial" w:cs="Arial"/>
          <w:b/>
          <w:bCs/>
          <w:sz w:val="20"/>
          <w:szCs w:val="20"/>
          <w:lang w:val="en-US"/>
        </w:rPr>
        <w:t>Fig. 2</w:t>
      </w:r>
      <w:r w:rsidRPr="00D73C18">
        <w:rPr>
          <w:rFonts w:ascii="Arial" w:hAnsi="Arial" w:cs="Arial"/>
          <w:sz w:val="20"/>
          <w:szCs w:val="20"/>
          <w:lang w:val="en-US"/>
        </w:rPr>
        <w:t xml:space="preserve"> – Map of sampling points in the Treichville area of the </w:t>
      </w:r>
      <w:proofErr w:type="spellStart"/>
      <w:r w:rsidRPr="00D73C18">
        <w:rPr>
          <w:rFonts w:ascii="Arial" w:hAnsi="Arial" w:cs="Arial"/>
          <w:sz w:val="20"/>
          <w:szCs w:val="20"/>
          <w:lang w:val="en-US"/>
        </w:rPr>
        <w:t>Ebri</w:t>
      </w:r>
      <w:r w:rsidR="0051636A" w:rsidRPr="00D73C18">
        <w:rPr>
          <w:rFonts w:ascii="Arial" w:hAnsi="Arial" w:cs="Arial"/>
          <w:sz w:val="20"/>
          <w:szCs w:val="20"/>
          <w:lang w:val="en-US"/>
        </w:rPr>
        <w:t>e</w:t>
      </w:r>
      <w:proofErr w:type="spellEnd"/>
      <w:r w:rsidRPr="00D73C18">
        <w:rPr>
          <w:rFonts w:ascii="Arial" w:hAnsi="Arial" w:cs="Arial"/>
          <w:sz w:val="20"/>
          <w:szCs w:val="20"/>
          <w:lang w:val="en-US"/>
        </w:rPr>
        <w:t xml:space="preserve"> Lagoon.</w:t>
      </w:r>
    </w:p>
    <w:p w14:paraId="59FACC96" w14:textId="77777777" w:rsidR="00B10CA2" w:rsidRPr="003A0C9E" w:rsidRDefault="00B10CA2" w:rsidP="00ED3175">
      <w:pPr>
        <w:jc w:val="both"/>
        <w:rPr>
          <w:rFonts w:ascii="Arial" w:hAnsi="Arial" w:cs="Arial"/>
          <w:b/>
          <w:bCs/>
          <w:lang w:val="en-US"/>
        </w:rPr>
      </w:pPr>
      <w:r w:rsidRPr="003A0C9E">
        <w:rPr>
          <w:rFonts w:ascii="Arial" w:hAnsi="Arial" w:cs="Arial"/>
          <w:b/>
          <w:bCs/>
          <w:lang w:val="en-US"/>
        </w:rPr>
        <w:t>2.2. Physical preparation of samples</w:t>
      </w:r>
    </w:p>
    <w:p w14:paraId="05878DB5" w14:textId="77777777" w:rsidR="00B10CA2" w:rsidRPr="00D73C18" w:rsidRDefault="00B10CA2" w:rsidP="00ED3175">
      <w:pPr>
        <w:jc w:val="both"/>
        <w:rPr>
          <w:rFonts w:ascii="Arial" w:hAnsi="Arial" w:cs="Arial"/>
          <w:sz w:val="20"/>
          <w:szCs w:val="20"/>
          <w:lang w:val="en-US"/>
        </w:rPr>
      </w:pPr>
      <w:r w:rsidRPr="00D73C18">
        <w:rPr>
          <w:rFonts w:ascii="Arial" w:hAnsi="Arial" w:cs="Arial"/>
          <w:sz w:val="20"/>
          <w:szCs w:val="20"/>
          <w:lang w:val="en-US"/>
        </w:rPr>
        <w:t>A 0.5-gram sample, previously ground, was taken and placed in a Teflon container. To each sample, 10 milliliters of 37% hydrochloric acid, 5 milliliters of 70% nitric acid, and 2 milliliters of 40% hydrogen peroxide were added. The mixture was brought to a boil in a microwave oven at 250°C for one hour. The samples were filtered using pleated filter paper and quantified. Geochemical parameters were determined using an inductively coupled plasma (ICP) spectrometer.</w:t>
      </w:r>
    </w:p>
    <w:p w14:paraId="45F93549" w14:textId="77777777" w:rsidR="004B5D00" w:rsidRPr="003A0C9E" w:rsidRDefault="004B5D00" w:rsidP="00ED3175">
      <w:pPr>
        <w:jc w:val="both"/>
        <w:rPr>
          <w:rFonts w:ascii="Arial" w:hAnsi="Arial" w:cs="Arial"/>
          <w:b/>
          <w:bCs/>
          <w:lang w:val="en-US"/>
        </w:rPr>
      </w:pPr>
      <w:r w:rsidRPr="003A0C9E">
        <w:rPr>
          <w:rFonts w:ascii="Arial" w:hAnsi="Arial" w:cs="Arial"/>
          <w:b/>
          <w:bCs/>
          <w:lang w:val="en-US"/>
        </w:rPr>
        <w:t xml:space="preserve">2.3. Determination of ETMs by flame atomic absorption spectrometry </w:t>
      </w:r>
    </w:p>
    <w:p w14:paraId="047E1A33" w14:textId="77777777" w:rsidR="004B5D00" w:rsidRPr="00D73C18" w:rsidRDefault="004B5D00" w:rsidP="00ED3175">
      <w:pPr>
        <w:jc w:val="both"/>
        <w:rPr>
          <w:rFonts w:ascii="Arial" w:hAnsi="Arial" w:cs="Arial"/>
          <w:sz w:val="20"/>
          <w:szCs w:val="20"/>
          <w:lang w:val="en-US"/>
        </w:rPr>
      </w:pPr>
      <w:r w:rsidRPr="00D73C18">
        <w:rPr>
          <w:rFonts w:ascii="Arial" w:hAnsi="Arial" w:cs="Arial"/>
          <w:sz w:val="20"/>
          <w:szCs w:val="20"/>
          <w:lang w:val="en-US"/>
        </w:rPr>
        <w:t xml:space="preserve">Metal concentrations were determined by flame atomic absorption spectrometry, one of the primary techniques involving atomic spectroscopy in the UV-visible range used in chemical analysis. This is an elemental analysis method primarily used to determine the concentration of metals in solution. It requires that the measurement be made from an analyte (the element to be determined) converted into free atoms. The sample is heated to a temperature of 2000 to 3000 degrees to break chemical bonds. </w:t>
      </w:r>
    </w:p>
    <w:p w14:paraId="74BFC07C" w14:textId="3FBEB465" w:rsidR="004B5D00" w:rsidRPr="00D73C18" w:rsidRDefault="004B5D00" w:rsidP="00ED3175">
      <w:pPr>
        <w:jc w:val="both"/>
        <w:rPr>
          <w:rFonts w:ascii="Arial" w:hAnsi="Arial" w:cs="Arial"/>
          <w:sz w:val="20"/>
          <w:szCs w:val="20"/>
          <w:lang w:val="en-US"/>
        </w:rPr>
      </w:pPr>
      <w:r w:rsidRPr="00D73C18">
        <w:rPr>
          <w:rFonts w:ascii="Arial" w:hAnsi="Arial" w:cs="Arial"/>
          <w:sz w:val="20"/>
          <w:szCs w:val="20"/>
          <w:lang w:val="en-US"/>
        </w:rPr>
        <w:lastRenderedPageBreak/>
        <w:t>Its principle is based primarily on the coupling of an ICP (Inductively Coupled Plasma) torch, which generates positive monovalent ions, with a quadrupole mass spectrometer that separates these ions by mass, according to the atomic mass-to-charge ratio. Separations are achieved through variations in the electromagnetic field applied between the different poles (the concentration of the element in the solution is determined according to Beer-Lambert’s law).</w:t>
      </w:r>
    </w:p>
    <w:p w14:paraId="1F5D5C9F" w14:textId="77777777" w:rsidR="004B5D00" w:rsidRPr="003A0C9E" w:rsidRDefault="004B5D00" w:rsidP="00ED3175">
      <w:pPr>
        <w:jc w:val="both"/>
        <w:rPr>
          <w:rFonts w:ascii="Arial" w:hAnsi="Arial" w:cs="Arial"/>
          <w:b/>
          <w:bCs/>
          <w:lang w:val="en-US"/>
        </w:rPr>
      </w:pPr>
      <w:r w:rsidRPr="003A0C9E">
        <w:rPr>
          <w:rFonts w:ascii="Arial" w:hAnsi="Arial" w:cs="Arial"/>
          <w:b/>
          <w:bCs/>
          <w:lang w:val="en-US"/>
        </w:rPr>
        <w:t xml:space="preserve">2.4. Concept of geochemical background </w:t>
      </w:r>
    </w:p>
    <w:p w14:paraId="5BB70BD0" w14:textId="77777777" w:rsidR="004B5D00" w:rsidRPr="00D73C18" w:rsidRDefault="004B5D00" w:rsidP="00ED3175">
      <w:pPr>
        <w:jc w:val="both"/>
        <w:rPr>
          <w:rFonts w:ascii="Arial" w:hAnsi="Arial" w:cs="Arial"/>
          <w:sz w:val="20"/>
          <w:szCs w:val="20"/>
          <w:lang w:val="en-US"/>
        </w:rPr>
      </w:pPr>
      <w:r w:rsidRPr="00D73C18">
        <w:rPr>
          <w:rFonts w:ascii="Arial" w:hAnsi="Arial" w:cs="Arial"/>
          <w:sz w:val="20"/>
          <w:szCs w:val="20"/>
          <w:lang w:val="en-US"/>
        </w:rPr>
        <w:t xml:space="preserve">The geochemical background corresponds to the natural concentration of an element in a geological material, resulting solely from its geological history. It contrasts with the anthropogenic background, which represents the fraction of elements introduced into the environment exclusively by human activities or as a result of such activities. </w:t>
      </w:r>
    </w:p>
    <w:p w14:paraId="28CF00A9" w14:textId="77777777" w:rsidR="004B5D00" w:rsidRPr="00D73C18" w:rsidRDefault="004B5D00" w:rsidP="00ED3175">
      <w:pPr>
        <w:jc w:val="both"/>
        <w:rPr>
          <w:rFonts w:ascii="Arial" w:hAnsi="Arial" w:cs="Arial"/>
          <w:sz w:val="20"/>
          <w:szCs w:val="20"/>
          <w:lang w:val="en-US"/>
        </w:rPr>
      </w:pPr>
      <w:r w:rsidRPr="00D73C18">
        <w:rPr>
          <w:rFonts w:ascii="Arial" w:hAnsi="Arial" w:cs="Arial"/>
          <w:sz w:val="20"/>
          <w:szCs w:val="20"/>
          <w:lang w:val="en-US"/>
        </w:rPr>
        <w:t>The term “local background” is used when the concentration of an element is confined to a clearly defined area, and “regional background” when this area covers a large expanse and exhibits a certain degree of geochemical uniformity. The nature of the bedrock, the type of sediment, and the physicochemical parameters of the environment in question can cause the geochemical background to vary considerably from one location to another.</w:t>
      </w:r>
    </w:p>
    <w:p w14:paraId="006B4580" w14:textId="77777777" w:rsidR="004B5D00" w:rsidRPr="00CC429D" w:rsidRDefault="004B5D00" w:rsidP="00ED3175">
      <w:pPr>
        <w:jc w:val="both"/>
        <w:rPr>
          <w:rFonts w:ascii="Arial" w:hAnsi="Arial" w:cs="Arial"/>
          <w:b/>
          <w:bCs/>
          <w:lang w:val="en-US"/>
        </w:rPr>
      </w:pPr>
      <w:r w:rsidRPr="00CC429D">
        <w:rPr>
          <w:rFonts w:ascii="Arial" w:hAnsi="Arial" w:cs="Arial"/>
          <w:b/>
          <w:bCs/>
          <w:lang w:val="en-US"/>
        </w:rPr>
        <w:t xml:space="preserve">2.5. Estimation of Pollution Intensity </w:t>
      </w:r>
    </w:p>
    <w:p w14:paraId="2E55E078" w14:textId="27C91842" w:rsidR="004B5D00" w:rsidRPr="00D73C18" w:rsidRDefault="004B5D00" w:rsidP="00ED3175">
      <w:pPr>
        <w:jc w:val="both"/>
        <w:rPr>
          <w:rFonts w:ascii="Arial" w:hAnsi="Arial" w:cs="Arial"/>
          <w:sz w:val="20"/>
          <w:szCs w:val="20"/>
          <w:lang w:val="en-US"/>
        </w:rPr>
      </w:pPr>
      <w:r w:rsidRPr="00D73C18">
        <w:rPr>
          <w:rFonts w:ascii="Arial" w:hAnsi="Arial" w:cs="Arial"/>
          <w:sz w:val="20"/>
          <w:szCs w:val="20"/>
          <w:lang w:val="en-US"/>
        </w:rPr>
        <w:t xml:space="preserve">The level of sediment contamination is generally assessed by measuring the total concentration of metallic elements. Several indices can be used to estimate this level, and their principle is based on comparing measured values with reference values. The reference values chosen in this study are those of the continental crust </w:t>
      </w:r>
      <w:r w:rsidR="00161AA5" w:rsidRPr="00D73C18">
        <w:rPr>
          <w:rFonts w:ascii="Arial" w:hAnsi="Arial" w:cs="Arial"/>
          <w:sz w:val="20"/>
          <w:szCs w:val="20"/>
          <w:lang w:val="en-US"/>
        </w:rPr>
        <w:t>(Wedepohl, 1995)</w:t>
      </w:r>
      <w:r w:rsidRPr="00D73C18">
        <w:rPr>
          <w:rFonts w:ascii="Arial" w:hAnsi="Arial" w:cs="Arial"/>
          <w:sz w:val="20"/>
          <w:szCs w:val="20"/>
          <w:lang w:val="en-US"/>
        </w:rPr>
        <w:t>. Table 2 also presents the concentration of trace elements (mg/kg) in uncontaminated sediments according to</w:t>
      </w:r>
      <w:r w:rsidR="00161AA5" w:rsidRPr="00D73C18">
        <w:rPr>
          <w:rFonts w:ascii="Arial" w:hAnsi="Arial" w:cs="Arial"/>
          <w:sz w:val="20"/>
          <w:szCs w:val="20"/>
          <w:lang w:val="en-US"/>
        </w:rPr>
        <w:t xml:space="preserve"> Calamari and al (1994)</w:t>
      </w:r>
      <w:r w:rsidRPr="00D73C18">
        <w:rPr>
          <w:rFonts w:ascii="Arial" w:hAnsi="Arial" w:cs="Arial"/>
          <w:sz w:val="20"/>
          <w:szCs w:val="20"/>
          <w:lang w:val="en-US"/>
        </w:rPr>
        <w:t xml:space="preserve"> and </w:t>
      </w:r>
      <w:r w:rsidR="00161AA5" w:rsidRPr="00D73C18">
        <w:rPr>
          <w:rFonts w:ascii="Arial" w:hAnsi="Arial" w:cs="Arial"/>
          <w:sz w:val="20"/>
          <w:szCs w:val="20"/>
          <w:lang w:val="en-US"/>
        </w:rPr>
        <w:t>Odilon (2009)</w:t>
      </w:r>
      <w:r w:rsidRPr="00D73C18">
        <w:rPr>
          <w:rFonts w:ascii="Arial" w:hAnsi="Arial" w:cs="Arial"/>
          <w:sz w:val="20"/>
          <w:szCs w:val="20"/>
          <w:lang w:val="en-US"/>
        </w:rPr>
        <w:t>.</w:t>
      </w:r>
    </w:p>
    <w:p w14:paraId="2F913270" w14:textId="77777777" w:rsidR="004B5D00" w:rsidRPr="00D73C18" w:rsidRDefault="004B5D00" w:rsidP="00ED3175">
      <w:pPr>
        <w:jc w:val="both"/>
        <w:rPr>
          <w:rFonts w:ascii="Arial" w:hAnsi="Arial" w:cs="Arial"/>
          <w:sz w:val="20"/>
          <w:szCs w:val="20"/>
          <w:lang w:val="en-US"/>
        </w:rPr>
      </w:pPr>
    </w:p>
    <w:p w14:paraId="524F00FC" w14:textId="60BB63BF" w:rsidR="004B5D00" w:rsidRPr="00D73C18" w:rsidRDefault="004B5D00" w:rsidP="00ED3175">
      <w:pPr>
        <w:jc w:val="both"/>
        <w:rPr>
          <w:rFonts w:ascii="Arial" w:hAnsi="Arial" w:cs="Arial"/>
          <w:sz w:val="20"/>
          <w:szCs w:val="20"/>
          <w:lang w:val="en-US"/>
        </w:rPr>
      </w:pPr>
      <w:r w:rsidRPr="00D73C18">
        <w:rPr>
          <w:rFonts w:ascii="Arial" w:hAnsi="Arial" w:cs="Arial"/>
          <w:b/>
          <w:bCs/>
          <w:sz w:val="20"/>
          <w:szCs w:val="20"/>
          <w:lang w:val="en-US"/>
        </w:rPr>
        <w:t>Table 1</w:t>
      </w:r>
      <w:r w:rsidRPr="00D73C18">
        <w:rPr>
          <w:rFonts w:ascii="Arial" w:hAnsi="Arial" w:cs="Arial"/>
          <w:sz w:val="20"/>
          <w:szCs w:val="20"/>
          <w:lang w:val="en-US"/>
        </w:rPr>
        <w:t>—Concentrations of trace elements in the UCC continental crust (Wedepohl, 1995)</w:t>
      </w:r>
    </w:p>
    <w:tbl>
      <w:tblPr>
        <w:tblpPr w:leftFromText="141" w:rightFromText="141" w:vertAnchor="text" w:horzAnchor="margin" w:tblpXSpec="center" w:tblpY="-30"/>
        <w:tblW w:w="9581" w:type="dxa"/>
        <w:tblBorders>
          <w:top w:val="single" w:sz="4" w:space="0" w:color="auto"/>
          <w:bottom w:val="single" w:sz="8" w:space="0" w:color="auto"/>
          <w:insideH w:val="single" w:sz="4" w:space="0" w:color="auto"/>
        </w:tblBorders>
        <w:tblLayout w:type="fixed"/>
        <w:tblCellMar>
          <w:left w:w="70" w:type="dxa"/>
          <w:right w:w="70" w:type="dxa"/>
        </w:tblCellMa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tblGrid>
      <w:tr w:rsidR="004B5D00" w:rsidRPr="00D73C18" w14:paraId="567273C0" w14:textId="77777777" w:rsidTr="004B5D00">
        <w:trPr>
          <w:trHeight w:val="20"/>
        </w:trPr>
        <w:tc>
          <w:tcPr>
            <w:tcW w:w="737" w:type="dxa"/>
            <w:shd w:val="clear" w:color="000000" w:fill="FFFFFF"/>
            <w:noWrap/>
            <w:vAlign w:val="center"/>
            <w:hideMark/>
          </w:tcPr>
          <w:p w14:paraId="753D8F12"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ETM</w:t>
            </w:r>
          </w:p>
        </w:tc>
        <w:tc>
          <w:tcPr>
            <w:tcW w:w="737" w:type="dxa"/>
            <w:shd w:val="clear" w:color="000000" w:fill="FFFFFF"/>
            <w:noWrap/>
            <w:vAlign w:val="center"/>
            <w:hideMark/>
          </w:tcPr>
          <w:p w14:paraId="55A68D17"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Fe</w:t>
            </w:r>
          </w:p>
        </w:tc>
        <w:tc>
          <w:tcPr>
            <w:tcW w:w="737" w:type="dxa"/>
            <w:shd w:val="clear" w:color="000000" w:fill="FFFFFF"/>
            <w:noWrap/>
            <w:vAlign w:val="center"/>
            <w:hideMark/>
          </w:tcPr>
          <w:p w14:paraId="717F8664" w14:textId="3E9F4BCE" w:rsidR="004B5D00" w:rsidRPr="00D73C18" w:rsidRDefault="00F04982" w:rsidP="00ED3175">
            <w:pPr>
              <w:spacing w:line="240" w:lineRule="auto"/>
              <w:jc w:val="both"/>
              <w:rPr>
                <w:rFonts w:ascii="Arial" w:hAnsi="Arial" w:cs="Arial"/>
                <w:b/>
                <w:bCs/>
                <w:color w:val="000000"/>
                <w:sz w:val="20"/>
                <w:szCs w:val="20"/>
              </w:rPr>
            </w:pPr>
            <w:proofErr w:type="spellStart"/>
            <w:r w:rsidRPr="00D73C18">
              <w:rPr>
                <w:rFonts w:ascii="Arial" w:hAnsi="Arial" w:cs="Arial"/>
                <w:b/>
                <w:bCs/>
                <w:color w:val="000000"/>
                <w:sz w:val="20"/>
                <w:szCs w:val="20"/>
              </w:rPr>
              <w:t>Ld</w:t>
            </w:r>
            <w:proofErr w:type="spellEnd"/>
          </w:p>
        </w:tc>
        <w:tc>
          <w:tcPr>
            <w:tcW w:w="737" w:type="dxa"/>
            <w:shd w:val="clear" w:color="000000" w:fill="FFFFFF"/>
            <w:noWrap/>
            <w:vAlign w:val="center"/>
            <w:hideMark/>
          </w:tcPr>
          <w:p w14:paraId="44539EC4"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Zn</w:t>
            </w:r>
          </w:p>
        </w:tc>
        <w:tc>
          <w:tcPr>
            <w:tcW w:w="737" w:type="dxa"/>
            <w:shd w:val="clear" w:color="000000" w:fill="FFFFFF"/>
            <w:noWrap/>
            <w:vAlign w:val="center"/>
            <w:hideMark/>
          </w:tcPr>
          <w:p w14:paraId="56FEA988"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Cd</w:t>
            </w:r>
          </w:p>
        </w:tc>
        <w:tc>
          <w:tcPr>
            <w:tcW w:w="737" w:type="dxa"/>
            <w:shd w:val="clear" w:color="000000" w:fill="FFFFFF"/>
            <w:noWrap/>
            <w:vAlign w:val="center"/>
            <w:hideMark/>
          </w:tcPr>
          <w:p w14:paraId="02BAA891" w14:textId="59B27EC6"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Cu</w:t>
            </w:r>
          </w:p>
        </w:tc>
        <w:tc>
          <w:tcPr>
            <w:tcW w:w="737" w:type="dxa"/>
            <w:shd w:val="clear" w:color="000000" w:fill="FFFFFF"/>
            <w:noWrap/>
            <w:vAlign w:val="center"/>
            <w:hideMark/>
          </w:tcPr>
          <w:p w14:paraId="4DE17434" w14:textId="50130D7C"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Al</w:t>
            </w:r>
          </w:p>
        </w:tc>
        <w:tc>
          <w:tcPr>
            <w:tcW w:w="737" w:type="dxa"/>
            <w:shd w:val="clear" w:color="000000" w:fill="FFFFFF"/>
            <w:noWrap/>
            <w:vAlign w:val="center"/>
            <w:hideMark/>
          </w:tcPr>
          <w:p w14:paraId="5D33CB34"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Mg</w:t>
            </w:r>
          </w:p>
        </w:tc>
        <w:tc>
          <w:tcPr>
            <w:tcW w:w="737" w:type="dxa"/>
            <w:shd w:val="clear" w:color="000000" w:fill="FFFFFF"/>
            <w:noWrap/>
            <w:vAlign w:val="center"/>
            <w:hideMark/>
          </w:tcPr>
          <w:p w14:paraId="27077258"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As</w:t>
            </w:r>
          </w:p>
        </w:tc>
        <w:tc>
          <w:tcPr>
            <w:tcW w:w="737" w:type="dxa"/>
            <w:shd w:val="clear" w:color="000000" w:fill="FFFFFF"/>
            <w:noWrap/>
            <w:vAlign w:val="center"/>
            <w:hideMark/>
          </w:tcPr>
          <w:p w14:paraId="63BA5563"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Hg</w:t>
            </w:r>
          </w:p>
        </w:tc>
        <w:tc>
          <w:tcPr>
            <w:tcW w:w="737" w:type="dxa"/>
            <w:shd w:val="clear" w:color="000000" w:fill="FFFFFF"/>
            <w:vAlign w:val="center"/>
          </w:tcPr>
          <w:p w14:paraId="7E6A9260"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P</w:t>
            </w:r>
          </w:p>
        </w:tc>
        <w:tc>
          <w:tcPr>
            <w:tcW w:w="737" w:type="dxa"/>
            <w:shd w:val="clear" w:color="000000" w:fill="FFFFFF"/>
            <w:vAlign w:val="center"/>
          </w:tcPr>
          <w:p w14:paraId="597E5DCA"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K</w:t>
            </w:r>
          </w:p>
        </w:tc>
        <w:tc>
          <w:tcPr>
            <w:tcW w:w="737" w:type="dxa"/>
            <w:shd w:val="clear" w:color="000000" w:fill="FFFFFF"/>
            <w:vAlign w:val="center"/>
          </w:tcPr>
          <w:p w14:paraId="5FE10465"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NA</w:t>
            </w:r>
          </w:p>
        </w:tc>
      </w:tr>
      <w:tr w:rsidR="004B5D00" w:rsidRPr="00D73C18" w14:paraId="30CAE3B4" w14:textId="77777777" w:rsidTr="004B5D00">
        <w:trPr>
          <w:trHeight w:val="20"/>
        </w:trPr>
        <w:tc>
          <w:tcPr>
            <w:tcW w:w="737" w:type="dxa"/>
            <w:shd w:val="clear" w:color="000000" w:fill="FFFFFF"/>
            <w:noWrap/>
            <w:vAlign w:val="center"/>
            <w:hideMark/>
          </w:tcPr>
          <w:p w14:paraId="7FCF7D83" w14:textId="77777777" w:rsidR="004B5D00" w:rsidRPr="00D73C18" w:rsidRDefault="004B5D00" w:rsidP="00ED3175">
            <w:pPr>
              <w:spacing w:line="240" w:lineRule="auto"/>
              <w:jc w:val="both"/>
              <w:rPr>
                <w:rFonts w:ascii="Arial" w:hAnsi="Arial" w:cs="Arial"/>
                <w:b/>
                <w:bCs/>
                <w:color w:val="000000"/>
                <w:sz w:val="20"/>
                <w:szCs w:val="20"/>
              </w:rPr>
            </w:pPr>
            <w:r w:rsidRPr="00D73C18">
              <w:rPr>
                <w:rFonts w:ascii="Arial" w:hAnsi="Arial" w:cs="Arial"/>
                <w:b/>
                <w:bCs/>
                <w:color w:val="000000"/>
                <w:sz w:val="20"/>
                <w:szCs w:val="20"/>
              </w:rPr>
              <w:t>UCC (mg/kg)</w:t>
            </w:r>
          </w:p>
        </w:tc>
        <w:tc>
          <w:tcPr>
            <w:tcW w:w="737" w:type="dxa"/>
            <w:shd w:val="clear" w:color="000000" w:fill="FFFFFF"/>
            <w:noWrap/>
            <w:vAlign w:val="center"/>
            <w:hideMark/>
          </w:tcPr>
          <w:p w14:paraId="560F18F4" w14:textId="77777777"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30890</w:t>
            </w:r>
          </w:p>
        </w:tc>
        <w:tc>
          <w:tcPr>
            <w:tcW w:w="737" w:type="dxa"/>
            <w:shd w:val="clear" w:color="000000" w:fill="FFFFFF"/>
            <w:noWrap/>
            <w:vAlign w:val="center"/>
            <w:hideMark/>
          </w:tcPr>
          <w:p w14:paraId="1C3D26FA" w14:textId="77777777"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17</w:t>
            </w:r>
          </w:p>
        </w:tc>
        <w:tc>
          <w:tcPr>
            <w:tcW w:w="737" w:type="dxa"/>
            <w:shd w:val="clear" w:color="000000" w:fill="FFFFFF"/>
            <w:noWrap/>
            <w:vAlign w:val="center"/>
            <w:hideMark/>
          </w:tcPr>
          <w:p w14:paraId="710D1298" w14:textId="77777777"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52</w:t>
            </w:r>
          </w:p>
        </w:tc>
        <w:tc>
          <w:tcPr>
            <w:tcW w:w="737" w:type="dxa"/>
            <w:shd w:val="clear" w:color="000000" w:fill="FFFFFF"/>
            <w:noWrap/>
            <w:vAlign w:val="center"/>
            <w:hideMark/>
          </w:tcPr>
          <w:p w14:paraId="1D8F3FE4" w14:textId="7AA02C69"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0</w:t>
            </w:r>
            <w:r w:rsidR="00D87C7F" w:rsidRPr="00D73C18">
              <w:rPr>
                <w:rFonts w:ascii="Arial" w:hAnsi="Arial" w:cs="Arial"/>
                <w:color w:val="000000"/>
                <w:sz w:val="20"/>
                <w:szCs w:val="20"/>
              </w:rPr>
              <w:t>.</w:t>
            </w:r>
            <w:r w:rsidRPr="00D73C18">
              <w:rPr>
                <w:rFonts w:ascii="Arial" w:hAnsi="Arial" w:cs="Arial"/>
                <w:color w:val="000000"/>
                <w:sz w:val="20"/>
                <w:szCs w:val="20"/>
              </w:rPr>
              <w:t>1</w:t>
            </w:r>
          </w:p>
        </w:tc>
        <w:tc>
          <w:tcPr>
            <w:tcW w:w="737" w:type="dxa"/>
            <w:shd w:val="clear" w:color="000000" w:fill="FFFFFF"/>
            <w:noWrap/>
            <w:vAlign w:val="center"/>
            <w:hideMark/>
          </w:tcPr>
          <w:p w14:paraId="1B92CC3F" w14:textId="78F3AD30"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14</w:t>
            </w:r>
          </w:p>
        </w:tc>
        <w:tc>
          <w:tcPr>
            <w:tcW w:w="737" w:type="dxa"/>
            <w:shd w:val="clear" w:color="000000" w:fill="FFFFFF"/>
            <w:noWrap/>
            <w:vAlign w:val="center"/>
            <w:hideMark/>
          </w:tcPr>
          <w:p w14:paraId="69B24C20" w14:textId="01A7FA53"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77440</w:t>
            </w:r>
          </w:p>
        </w:tc>
        <w:tc>
          <w:tcPr>
            <w:tcW w:w="737" w:type="dxa"/>
            <w:shd w:val="clear" w:color="000000" w:fill="FFFFFF"/>
            <w:noWrap/>
            <w:vAlign w:val="center"/>
            <w:hideMark/>
          </w:tcPr>
          <w:p w14:paraId="781F4D26" w14:textId="04940E00"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13510</w:t>
            </w:r>
          </w:p>
        </w:tc>
        <w:tc>
          <w:tcPr>
            <w:tcW w:w="737" w:type="dxa"/>
            <w:shd w:val="clear" w:color="000000" w:fill="FFFFFF"/>
            <w:noWrap/>
            <w:vAlign w:val="center"/>
            <w:hideMark/>
          </w:tcPr>
          <w:p w14:paraId="63DFAFBA" w14:textId="7ABE231E"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2</w:t>
            </w:r>
          </w:p>
        </w:tc>
        <w:tc>
          <w:tcPr>
            <w:tcW w:w="737" w:type="dxa"/>
            <w:shd w:val="clear" w:color="000000" w:fill="FFFFFF"/>
            <w:noWrap/>
            <w:vAlign w:val="center"/>
            <w:hideMark/>
          </w:tcPr>
          <w:p w14:paraId="17655567" w14:textId="145DA3E8"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0</w:t>
            </w:r>
            <w:r w:rsidR="00D87C7F" w:rsidRPr="00D73C18">
              <w:rPr>
                <w:rFonts w:ascii="Arial" w:hAnsi="Arial" w:cs="Arial"/>
                <w:color w:val="000000"/>
                <w:sz w:val="20"/>
                <w:szCs w:val="20"/>
              </w:rPr>
              <w:t>.</w:t>
            </w:r>
            <w:r w:rsidRPr="00D73C18">
              <w:rPr>
                <w:rFonts w:ascii="Arial" w:hAnsi="Arial" w:cs="Arial"/>
                <w:color w:val="000000"/>
                <w:sz w:val="20"/>
                <w:szCs w:val="20"/>
              </w:rPr>
              <w:t>05</w:t>
            </w:r>
          </w:p>
        </w:tc>
        <w:tc>
          <w:tcPr>
            <w:tcW w:w="737" w:type="dxa"/>
            <w:shd w:val="clear" w:color="000000" w:fill="FFFFFF"/>
            <w:vAlign w:val="center"/>
          </w:tcPr>
          <w:p w14:paraId="258A1A4D" w14:textId="5E1727EC"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655</w:t>
            </w:r>
          </w:p>
        </w:tc>
        <w:tc>
          <w:tcPr>
            <w:tcW w:w="737" w:type="dxa"/>
            <w:shd w:val="clear" w:color="000000" w:fill="FFFFFF"/>
            <w:vAlign w:val="center"/>
          </w:tcPr>
          <w:p w14:paraId="3E1FB332" w14:textId="77777777"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28650</w:t>
            </w:r>
          </w:p>
        </w:tc>
        <w:tc>
          <w:tcPr>
            <w:tcW w:w="737" w:type="dxa"/>
            <w:shd w:val="clear" w:color="000000" w:fill="FFFFFF"/>
            <w:vAlign w:val="center"/>
          </w:tcPr>
          <w:p w14:paraId="612A59FB" w14:textId="74D8B10C" w:rsidR="004B5D00" w:rsidRPr="00D73C18" w:rsidRDefault="004B5D00" w:rsidP="00ED3175">
            <w:pPr>
              <w:spacing w:line="240" w:lineRule="auto"/>
              <w:jc w:val="both"/>
              <w:rPr>
                <w:rFonts w:ascii="Arial" w:hAnsi="Arial" w:cs="Arial"/>
                <w:color w:val="000000"/>
                <w:sz w:val="20"/>
                <w:szCs w:val="20"/>
              </w:rPr>
            </w:pPr>
            <w:r w:rsidRPr="00D73C18">
              <w:rPr>
                <w:rFonts w:ascii="Arial" w:hAnsi="Arial" w:cs="Arial"/>
                <w:color w:val="000000"/>
                <w:sz w:val="20"/>
                <w:szCs w:val="20"/>
              </w:rPr>
              <w:t>25670</w:t>
            </w:r>
          </w:p>
        </w:tc>
      </w:tr>
    </w:tbl>
    <w:p w14:paraId="594C658D" w14:textId="0876C6D9" w:rsidR="00B10CA2" w:rsidRPr="00D73C18" w:rsidRDefault="00B10CA2" w:rsidP="00ED3175">
      <w:pPr>
        <w:jc w:val="both"/>
        <w:rPr>
          <w:rFonts w:ascii="Arial" w:hAnsi="Arial" w:cs="Arial"/>
          <w:sz w:val="20"/>
          <w:szCs w:val="20"/>
          <w:lang w:val="en-US"/>
        </w:rPr>
      </w:pPr>
    </w:p>
    <w:p w14:paraId="0DF14F79" w14:textId="146EEF82" w:rsidR="008169E9" w:rsidRPr="00D73C18" w:rsidRDefault="004B5D00" w:rsidP="00ED3175">
      <w:pPr>
        <w:jc w:val="both"/>
        <w:rPr>
          <w:rFonts w:ascii="Arial" w:hAnsi="Arial" w:cs="Arial"/>
          <w:sz w:val="20"/>
          <w:szCs w:val="20"/>
          <w:lang w:val="en-US"/>
        </w:rPr>
      </w:pPr>
      <w:r w:rsidRPr="00D73C18">
        <w:rPr>
          <w:rFonts w:ascii="Arial" w:hAnsi="Arial" w:cs="Arial"/>
          <w:b/>
          <w:bCs/>
          <w:sz w:val="20"/>
          <w:szCs w:val="20"/>
          <w:lang w:val="en-US"/>
        </w:rPr>
        <w:t>Table 2</w:t>
      </w:r>
      <w:r w:rsidRPr="00D73C18">
        <w:rPr>
          <w:rFonts w:ascii="Arial" w:hAnsi="Arial" w:cs="Arial"/>
          <w:sz w:val="20"/>
          <w:szCs w:val="20"/>
          <w:lang w:val="en-US"/>
        </w:rPr>
        <w:t>—Concentrations of trace elements (mg/kg) in uncontaminated sediments</w:t>
      </w:r>
    </w:p>
    <w:p w14:paraId="363D5592" w14:textId="3747F67C" w:rsidR="008169E9" w:rsidRPr="00D73C18" w:rsidRDefault="00ED2A20" w:rsidP="00ED3175">
      <w:pPr>
        <w:jc w:val="both"/>
        <w:rPr>
          <w:rFonts w:ascii="Arial" w:hAnsi="Arial" w:cs="Arial"/>
          <w:sz w:val="20"/>
          <w:szCs w:val="20"/>
          <w:lang w:val="en-US"/>
        </w:rPr>
      </w:pPr>
      <w:r w:rsidRPr="00D73C18">
        <w:rPr>
          <w:rFonts w:ascii="Arial" w:hAnsi="Arial" w:cs="Arial"/>
          <w:b/>
          <w:bCs/>
          <w:noProof/>
          <w:sz w:val="20"/>
          <w:szCs w:val="20"/>
          <w:lang w:val="en-US"/>
        </w:rPr>
        <mc:AlternateContent>
          <mc:Choice Requires="wps">
            <w:drawing>
              <wp:anchor distT="0" distB="0" distL="114300" distR="114300" simplePos="0" relativeHeight="251659264" behindDoc="0" locked="0" layoutInCell="1" allowOverlap="1" wp14:anchorId="2BE64FF1" wp14:editId="72204885">
                <wp:simplePos x="0" y="0"/>
                <wp:positionH relativeFrom="column">
                  <wp:posOffset>-45720</wp:posOffset>
                </wp:positionH>
                <wp:positionV relativeFrom="paragraph">
                  <wp:posOffset>43815</wp:posOffset>
                </wp:positionV>
                <wp:extent cx="5798820" cy="1668780"/>
                <wp:effectExtent l="0" t="0" r="0" b="0"/>
                <wp:wrapNone/>
                <wp:docPr id="1885193452" name="Zone de texte 1"/>
                <wp:cNvGraphicFramePr/>
                <a:graphic xmlns:a="http://schemas.openxmlformats.org/drawingml/2006/main">
                  <a:graphicData uri="http://schemas.microsoft.com/office/word/2010/wordprocessingShape">
                    <wps:wsp>
                      <wps:cNvSpPr txBox="1"/>
                      <wps:spPr>
                        <a:xfrm>
                          <a:off x="0" y="0"/>
                          <a:ext cx="5798820" cy="1668780"/>
                        </a:xfrm>
                        <a:prstGeom prst="rect">
                          <a:avLst/>
                        </a:prstGeom>
                        <a:solidFill>
                          <a:schemeClr val="lt1"/>
                        </a:solidFill>
                        <a:ln w="6350">
                          <a:noFill/>
                        </a:ln>
                      </wps:spPr>
                      <wps:txbx>
                        <w:txbxContent>
                          <w:tbl>
                            <w:tblPr>
                              <w:tblW w:w="8931" w:type="dxa"/>
                              <w:tblLayout w:type="fixed"/>
                              <w:tblCellMar>
                                <w:right w:w="115" w:type="dxa"/>
                              </w:tblCellMar>
                              <w:tblLook w:val="04A0" w:firstRow="1" w:lastRow="0" w:firstColumn="1" w:lastColumn="0" w:noHBand="0" w:noVBand="1"/>
                            </w:tblPr>
                            <w:tblGrid>
                              <w:gridCol w:w="2694"/>
                              <w:gridCol w:w="1134"/>
                              <w:gridCol w:w="850"/>
                              <w:gridCol w:w="851"/>
                              <w:gridCol w:w="992"/>
                              <w:gridCol w:w="1134"/>
                              <w:gridCol w:w="1276"/>
                            </w:tblGrid>
                            <w:tr w:rsidR="008169E9" w:rsidRPr="000E0643" w14:paraId="32A0B055" w14:textId="77777777" w:rsidTr="00F04982">
                              <w:trPr>
                                <w:trHeight w:val="20"/>
                              </w:trPr>
                              <w:tc>
                                <w:tcPr>
                                  <w:tcW w:w="2694" w:type="dxa"/>
                                  <w:tcBorders>
                                    <w:top w:val="single" w:sz="4" w:space="0" w:color="7F7F7F"/>
                                    <w:left w:val="nil"/>
                                    <w:bottom w:val="single" w:sz="4" w:space="0" w:color="7F7F7F"/>
                                    <w:right w:val="nil"/>
                                  </w:tcBorders>
                                </w:tcPr>
                                <w:p w14:paraId="15B11124"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ETM (mg/kg) </w:t>
                                  </w:r>
                                </w:p>
                              </w:tc>
                              <w:tc>
                                <w:tcPr>
                                  <w:tcW w:w="1134" w:type="dxa"/>
                                  <w:tcBorders>
                                    <w:top w:val="single" w:sz="4" w:space="0" w:color="7F7F7F"/>
                                    <w:left w:val="nil"/>
                                    <w:bottom w:val="single" w:sz="4" w:space="0" w:color="7F7F7F"/>
                                    <w:right w:val="nil"/>
                                  </w:tcBorders>
                                </w:tcPr>
                                <w:p w14:paraId="44EB4435"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Hg </w:t>
                                  </w:r>
                                </w:p>
                              </w:tc>
                              <w:tc>
                                <w:tcPr>
                                  <w:tcW w:w="850" w:type="dxa"/>
                                  <w:tcBorders>
                                    <w:top w:val="single" w:sz="4" w:space="0" w:color="7F7F7F"/>
                                    <w:left w:val="nil"/>
                                    <w:bottom w:val="single" w:sz="4" w:space="0" w:color="7F7F7F"/>
                                    <w:right w:val="nil"/>
                                  </w:tcBorders>
                                </w:tcPr>
                                <w:p w14:paraId="10A46C9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Cd </w:t>
                                  </w:r>
                                </w:p>
                              </w:tc>
                              <w:tc>
                                <w:tcPr>
                                  <w:tcW w:w="851" w:type="dxa"/>
                                  <w:tcBorders>
                                    <w:top w:val="single" w:sz="4" w:space="0" w:color="7F7F7F"/>
                                    <w:left w:val="nil"/>
                                    <w:bottom w:val="single" w:sz="4" w:space="0" w:color="7F7F7F"/>
                                    <w:right w:val="nil"/>
                                  </w:tcBorders>
                                </w:tcPr>
                                <w:p w14:paraId="0EE68D5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Pb </w:t>
                                  </w:r>
                                </w:p>
                              </w:tc>
                              <w:tc>
                                <w:tcPr>
                                  <w:tcW w:w="992" w:type="dxa"/>
                                  <w:tcBorders>
                                    <w:top w:val="single" w:sz="4" w:space="0" w:color="7F7F7F"/>
                                    <w:left w:val="nil"/>
                                    <w:bottom w:val="single" w:sz="4" w:space="0" w:color="7F7F7F"/>
                                    <w:right w:val="nil"/>
                                  </w:tcBorders>
                                </w:tcPr>
                                <w:p w14:paraId="3DC8E3B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Cu </w:t>
                                  </w:r>
                                </w:p>
                              </w:tc>
                              <w:tc>
                                <w:tcPr>
                                  <w:tcW w:w="1134" w:type="dxa"/>
                                  <w:tcBorders>
                                    <w:top w:val="single" w:sz="4" w:space="0" w:color="7F7F7F"/>
                                    <w:left w:val="nil"/>
                                    <w:bottom w:val="single" w:sz="4" w:space="0" w:color="7F7F7F"/>
                                    <w:right w:val="nil"/>
                                  </w:tcBorders>
                                </w:tcPr>
                                <w:p w14:paraId="5ED514FC"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Zn </w:t>
                                  </w:r>
                                </w:p>
                              </w:tc>
                              <w:tc>
                                <w:tcPr>
                                  <w:tcW w:w="1276" w:type="dxa"/>
                                  <w:tcBorders>
                                    <w:top w:val="single" w:sz="4" w:space="0" w:color="7F7F7F"/>
                                    <w:left w:val="nil"/>
                                    <w:bottom w:val="single" w:sz="4" w:space="0" w:color="7F7F7F"/>
                                    <w:right w:val="nil"/>
                                  </w:tcBorders>
                                </w:tcPr>
                                <w:p w14:paraId="2F92ED2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Fe </w:t>
                                  </w:r>
                                </w:p>
                              </w:tc>
                            </w:tr>
                            <w:tr w:rsidR="008169E9" w:rsidRPr="000E0643" w14:paraId="3C03368B" w14:textId="77777777" w:rsidTr="00F04982">
                              <w:trPr>
                                <w:trHeight w:val="20"/>
                              </w:trPr>
                              <w:tc>
                                <w:tcPr>
                                  <w:tcW w:w="2694" w:type="dxa"/>
                                  <w:tcBorders>
                                    <w:top w:val="single" w:sz="4" w:space="0" w:color="7F7F7F"/>
                                    <w:left w:val="nil"/>
                                    <w:bottom w:val="nil"/>
                                    <w:right w:val="nil"/>
                                  </w:tcBorders>
                                </w:tcPr>
                                <w:p w14:paraId="59998B70" w14:textId="3ABCAA91"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Calamari </w:t>
                                  </w:r>
                                  <w:r w:rsidR="00F04982" w:rsidRPr="000E0643">
                                    <w:rPr>
                                      <w:rFonts w:ascii="Times New Roman" w:hAnsi="Times New Roman" w:cs="Times New Roman"/>
                                      <w:b/>
                                    </w:rPr>
                                    <w:t>&amp;</w:t>
                                  </w:r>
                                  <w:r w:rsidRPr="000E0643">
                                    <w:rPr>
                                      <w:rFonts w:ascii="Times New Roman" w:hAnsi="Times New Roman" w:cs="Times New Roman"/>
                                      <w:b/>
                                    </w:rPr>
                                    <w:t xml:space="preserve"> Naeve, </w:t>
                                  </w:r>
                                </w:p>
                                <w:p w14:paraId="72872A5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(1994) </w:t>
                                  </w:r>
                                </w:p>
                              </w:tc>
                              <w:tc>
                                <w:tcPr>
                                  <w:tcW w:w="1134" w:type="dxa"/>
                                  <w:tcBorders>
                                    <w:top w:val="single" w:sz="4" w:space="0" w:color="7F7F7F"/>
                                    <w:left w:val="nil"/>
                                    <w:bottom w:val="nil"/>
                                    <w:right w:val="nil"/>
                                  </w:tcBorders>
                                </w:tcPr>
                                <w:p w14:paraId="46713A74" w14:textId="4BD994B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05-0</w:t>
                                  </w:r>
                                  <w:r w:rsidR="000E0643">
                                    <w:rPr>
                                      <w:rFonts w:ascii="Times New Roman" w:hAnsi="Times New Roman" w:cs="Times New Roman"/>
                                    </w:rPr>
                                    <w:t>.</w:t>
                                  </w:r>
                                  <w:r w:rsidRPr="000E0643">
                                    <w:rPr>
                                      <w:rFonts w:ascii="Times New Roman" w:hAnsi="Times New Roman" w:cs="Times New Roman"/>
                                    </w:rPr>
                                    <w:t xml:space="preserve">30 </w:t>
                                  </w:r>
                                </w:p>
                                <w:p w14:paraId="00DC59F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single" w:sz="4" w:space="0" w:color="7F7F7F"/>
                                    <w:left w:val="nil"/>
                                    <w:bottom w:val="nil"/>
                                    <w:right w:val="nil"/>
                                  </w:tcBorders>
                                </w:tcPr>
                                <w:p w14:paraId="2074532A" w14:textId="4C79383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11 </w:t>
                                  </w:r>
                                </w:p>
                                <w:p w14:paraId="29A74475"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1" w:type="dxa"/>
                                  <w:tcBorders>
                                    <w:top w:val="single" w:sz="4" w:space="0" w:color="7F7F7F"/>
                                    <w:left w:val="nil"/>
                                    <w:bottom w:val="nil"/>
                                    <w:right w:val="nil"/>
                                  </w:tcBorders>
                                </w:tcPr>
                                <w:p w14:paraId="10FA0573" w14:textId="631B3019"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19</w:t>
                                  </w:r>
                                  <w:r w:rsidR="000E0643">
                                    <w:rPr>
                                      <w:rFonts w:ascii="Times New Roman" w:hAnsi="Times New Roman" w:cs="Times New Roman"/>
                                    </w:rPr>
                                    <w:t>.</w:t>
                                  </w:r>
                                  <w:r w:rsidRPr="000E0643">
                                    <w:rPr>
                                      <w:rFonts w:ascii="Times New Roman" w:hAnsi="Times New Roman" w:cs="Times New Roman"/>
                                    </w:rPr>
                                    <w:t xml:space="preserve">00 </w:t>
                                  </w:r>
                                </w:p>
                                <w:p w14:paraId="62AFCCCD"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992" w:type="dxa"/>
                                  <w:tcBorders>
                                    <w:top w:val="single" w:sz="4" w:space="0" w:color="7F7F7F"/>
                                    <w:left w:val="nil"/>
                                    <w:bottom w:val="nil"/>
                                    <w:right w:val="nil"/>
                                  </w:tcBorders>
                                </w:tcPr>
                                <w:p w14:paraId="0D50C9A0" w14:textId="1EA91CB2"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33</w:t>
                                  </w:r>
                                  <w:r w:rsidR="000E0643">
                                    <w:rPr>
                                      <w:rFonts w:ascii="Times New Roman" w:hAnsi="Times New Roman" w:cs="Times New Roman"/>
                                    </w:rPr>
                                    <w:t>.</w:t>
                                  </w:r>
                                  <w:r w:rsidRPr="000E0643">
                                    <w:rPr>
                                      <w:rFonts w:ascii="Times New Roman" w:hAnsi="Times New Roman" w:cs="Times New Roman"/>
                                    </w:rPr>
                                    <w:t xml:space="preserve">00 </w:t>
                                  </w:r>
                                </w:p>
                                <w:p w14:paraId="6F53C58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134" w:type="dxa"/>
                                  <w:tcBorders>
                                    <w:top w:val="single" w:sz="4" w:space="0" w:color="7F7F7F"/>
                                    <w:left w:val="nil"/>
                                    <w:bottom w:val="nil"/>
                                    <w:right w:val="nil"/>
                                  </w:tcBorders>
                                </w:tcPr>
                                <w:p w14:paraId="7BCECEE5" w14:textId="22550445"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95</w:t>
                                  </w:r>
                                  <w:r w:rsidR="000E0643">
                                    <w:rPr>
                                      <w:rFonts w:ascii="Times New Roman" w:hAnsi="Times New Roman" w:cs="Times New Roman"/>
                                    </w:rPr>
                                    <w:t>.</w:t>
                                  </w:r>
                                  <w:r w:rsidRPr="000E0643">
                                    <w:rPr>
                                      <w:rFonts w:ascii="Times New Roman" w:hAnsi="Times New Roman" w:cs="Times New Roman"/>
                                    </w:rPr>
                                    <w:t xml:space="preserve">00 </w:t>
                                  </w:r>
                                </w:p>
                                <w:p w14:paraId="47E4203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276" w:type="dxa"/>
                                  <w:tcBorders>
                                    <w:top w:val="single" w:sz="4" w:space="0" w:color="7F7F7F"/>
                                    <w:left w:val="nil"/>
                                    <w:bottom w:val="nil"/>
                                    <w:right w:val="nil"/>
                                  </w:tcBorders>
                                </w:tcPr>
                                <w:p w14:paraId="15B42BDB" w14:textId="12712F04"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41000</w:t>
                                  </w:r>
                                  <w:r w:rsidR="000E0643">
                                    <w:rPr>
                                      <w:rFonts w:ascii="Times New Roman" w:hAnsi="Times New Roman" w:cs="Times New Roman"/>
                                    </w:rPr>
                                    <w:t>.</w:t>
                                  </w:r>
                                  <w:r w:rsidRPr="000E0643">
                                    <w:rPr>
                                      <w:rFonts w:ascii="Times New Roman" w:hAnsi="Times New Roman" w:cs="Times New Roman"/>
                                    </w:rPr>
                                    <w:t xml:space="preserve">00 </w:t>
                                  </w:r>
                                </w:p>
                              </w:tc>
                            </w:tr>
                            <w:tr w:rsidR="008169E9" w:rsidRPr="000E0643" w14:paraId="097E9430" w14:textId="77777777" w:rsidTr="00F04982">
                              <w:trPr>
                                <w:trHeight w:val="20"/>
                              </w:trPr>
                              <w:tc>
                                <w:tcPr>
                                  <w:tcW w:w="2694" w:type="dxa"/>
                                  <w:tcBorders>
                                    <w:top w:val="nil"/>
                                    <w:left w:val="nil"/>
                                    <w:bottom w:val="single" w:sz="4" w:space="0" w:color="7F7F7F"/>
                                    <w:right w:val="nil"/>
                                  </w:tcBorders>
                                </w:tcPr>
                                <w:p w14:paraId="62503EF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proofErr w:type="spellStart"/>
                                  <w:r w:rsidRPr="000E0643">
                                    <w:rPr>
                                      <w:rFonts w:ascii="Times New Roman" w:hAnsi="Times New Roman" w:cs="Times New Roman"/>
                                      <w:b/>
                                    </w:rPr>
                                    <w:t>Kikouama</w:t>
                                  </w:r>
                                  <w:proofErr w:type="spellEnd"/>
                                  <w:r w:rsidRPr="000E0643">
                                    <w:rPr>
                                      <w:rFonts w:ascii="Times New Roman" w:hAnsi="Times New Roman" w:cs="Times New Roman"/>
                                      <w:b/>
                                    </w:rPr>
                                    <w:t xml:space="preserve"> </w:t>
                                  </w:r>
                                </w:p>
                                <w:p w14:paraId="3B8DA7EF" w14:textId="2F1F7B71" w:rsidR="008169E9" w:rsidRPr="000E0643" w:rsidRDefault="00F04982"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&amp;</w:t>
                                  </w:r>
                                  <w:r w:rsidR="008169E9" w:rsidRPr="000E0643">
                                    <w:rPr>
                                      <w:rFonts w:ascii="Times New Roman" w:hAnsi="Times New Roman" w:cs="Times New Roman"/>
                                      <w:b/>
                                    </w:rPr>
                                    <w:t xml:space="preserve"> al., (2009) </w:t>
                                  </w:r>
                                </w:p>
                              </w:tc>
                              <w:tc>
                                <w:tcPr>
                                  <w:tcW w:w="1134" w:type="dxa"/>
                                  <w:tcBorders>
                                    <w:top w:val="nil"/>
                                    <w:left w:val="nil"/>
                                    <w:bottom w:val="single" w:sz="4" w:space="0" w:color="7F7F7F"/>
                                    <w:right w:val="nil"/>
                                  </w:tcBorders>
                                </w:tcPr>
                                <w:p w14:paraId="447059DC"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nil"/>
                                    <w:left w:val="nil"/>
                                    <w:bottom w:val="single" w:sz="4" w:space="0" w:color="7F7F7F"/>
                                    <w:right w:val="nil"/>
                                  </w:tcBorders>
                                </w:tcPr>
                                <w:p w14:paraId="25342530"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5C837B3A" w14:textId="05E367DC"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44 </w:t>
                                  </w:r>
                                </w:p>
                              </w:tc>
                              <w:tc>
                                <w:tcPr>
                                  <w:tcW w:w="851" w:type="dxa"/>
                                  <w:tcBorders>
                                    <w:top w:val="nil"/>
                                    <w:left w:val="nil"/>
                                    <w:bottom w:val="single" w:sz="4" w:space="0" w:color="7F7F7F"/>
                                    <w:right w:val="nil"/>
                                  </w:tcBorders>
                                </w:tcPr>
                                <w:p w14:paraId="3B1B434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1FF0C127" w14:textId="1BAC6FC0"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12</w:t>
                                  </w:r>
                                  <w:r w:rsidR="000E0643">
                                    <w:rPr>
                                      <w:rFonts w:ascii="Times New Roman" w:hAnsi="Times New Roman" w:cs="Times New Roman"/>
                                    </w:rPr>
                                    <w:t>.</w:t>
                                  </w:r>
                                  <w:r w:rsidRPr="000E0643">
                                    <w:rPr>
                                      <w:rFonts w:ascii="Times New Roman" w:hAnsi="Times New Roman" w:cs="Times New Roman"/>
                                    </w:rPr>
                                    <w:t xml:space="preserve">68 </w:t>
                                  </w:r>
                                </w:p>
                              </w:tc>
                              <w:tc>
                                <w:tcPr>
                                  <w:tcW w:w="992" w:type="dxa"/>
                                  <w:tcBorders>
                                    <w:top w:val="nil"/>
                                    <w:left w:val="nil"/>
                                    <w:bottom w:val="single" w:sz="4" w:space="0" w:color="7F7F7F"/>
                                    <w:right w:val="nil"/>
                                  </w:tcBorders>
                                </w:tcPr>
                                <w:p w14:paraId="722EBE25"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06418E80" w14:textId="7B13A522"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24</w:t>
                                  </w:r>
                                  <w:r w:rsidR="000E0643">
                                    <w:rPr>
                                      <w:rFonts w:ascii="Times New Roman" w:hAnsi="Times New Roman" w:cs="Times New Roman"/>
                                    </w:rPr>
                                    <w:t>.</w:t>
                                  </w:r>
                                  <w:r w:rsidRPr="000E0643">
                                    <w:rPr>
                                      <w:rFonts w:ascii="Times New Roman" w:hAnsi="Times New Roman" w:cs="Times New Roman"/>
                                    </w:rPr>
                                    <w:t xml:space="preserve">84 </w:t>
                                  </w:r>
                                </w:p>
                              </w:tc>
                              <w:tc>
                                <w:tcPr>
                                  <w:tcW w:w="1134" w:type="dxa"/>
                                  <w:tcBorders>
                                    <w:top w:val="nil"/>
                                    <w:left w:val="nil"/>
                                    <w:bottom w:val="single" w:sz="4" w:space="0" w:color="7F7F7F"/>
                                    <w:right w:val="nil"/>
                                  </w:tcBorders>
                                </w:tcPr>
                                <w:p w14:paraId="1C047E1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736738E2" w14:textId="5EB05C43"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45</w:t>
                                  </w:r>
                                  <w:r w:rsidR="000E0643">
                                    <w:rPr>
                                      <w:rFonts w:ascii="Times New Roman" w:hAnsi="Times New Roman" w:cs="Times New Roman"/>
                                    </w:rPr>
                                    <w:t>.</w:t>
                                  </w:r>
                                  <w:r w:rsidRPr="000E0643">
                                    <w:rPr>
                                      <w:rFonts w:ascii="Times New Roman" w:hAnsi="Times New Roman" w:cs="Times New Roman"/>
                                    </w:rPr>
                                    <w:t xml:space="preserve">13 </w:t>
                                  </w:r>
                                </w:p>
                              </w:tc>
                              <w:tc>
                                <w:tcPr>
                                  <w:tcW w:w="1276" w:type="dxa"/>
                                  <w:tcBorders>
                                    <w:top w:val="nil"/>
                                    <w:left w:val="nil"/>
                                    <w:bottom w:val="single" w:sz="4" w:space="0" w:color="7F7F7F"/>
                                    <w:right w:val="nil"/>
                                  </w:tcBorders>
                                </w:tcPr>
                                <w:p w14:paraId="59FE3D32"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r>
                          </w:tbl>
                          <w:p w14:paraId="4F6B3C6B" w14:textId="77777777" w:rsidR="008169E9" w:rsidRDefault="008169E9"/>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64FF1" id="_x0000_t202" coordsize="21600,21600" o:spt="202" path="m,l,21600r21600,l21600,xe">
                <v:stroke joinstyle="miter"/>
                <v:path gradientshapeok="t" o:connecttype="rect"/>
              </v:shapetype>
              <v:shape id="Zone de texte 1" o:spid="_x0000_s1026" type="#_x0000_t202" style="position:absolute;left:0;text-align:left;margin-left:-3.6pt;margin-top:3.45pt;width:456.6pt;height:1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" fillcolor="white [3201]" stroked="f" strokeweight=".5pt">
                <v:textbox style="mso-fit-shape-to-text:t">
                  <w:txbxContent>
                    <w:tbl>
                      <w:tblPr>
                        <w:tblW w:w="8931" w:type="dxa"/>
                        <w:tblLayout w:type="fixed"/>
                        <w:tblCellMar>
                          <w:right w:w="115" w:type="dxa"/>
                        </w:tblCellMar>
                        <w:tblLook w:val="04A0" w:firstRow="1" w:lastRow="0" w:firstColumn="1" w:lastColumn="0" w:noHBand="0" w:noVBand="1"/>
                      </w:tblPr>
                      <w:tblGrid>
                        <w:gridCol w:w="2694"/>
                        <w:gridCol w:w="1134"/>
                        <w:gridCol w:w="850"/>
                        <w:gridCol w:w="851"/>
                        <w:gridCol w:w="992"/>
                        <w:gridCol w:w="1134"/>
                        <w:gridCol w:w="1276"/>
                      </w:tblGrid>
                      <w:tr w:rsidR="008169E9" w:rsidRPr="000E0643" w14:paraId="32A0B055" w14:textId="77777777" w:rsidTr="00F04982">
                        <w:trPr>
                          <w:trHeight w:val="20"/>
                        </w:trPr>
                        <w:tc>
                          <w:tcPr>
                            <w:tcW w:w="2694" w:type="dxa"/>
                            <w:tcBorders>
                              <w:top w:val="single" w:sz="4" w:space="0" w:color="7F7F7F"/>
                              <w:left w:val="nil"/>
                              <w:bottom w:val="single" w:sz="4" w:space="0" w:color="7F7F7F"/>
                              <w:right w:val="nil"/>
                            </w:tcBorders>
                          </w:tcPr>
                          <w:p w14:paraId="15B11124"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ETM (mg/kg) </w:t>
                            </w:r>
                          </w:p>
                        </w:tc>
                        <w:tc>
                          <w:tcPr>
                            <w:tcW w:w="1134" w:type="dxa"/>
                            <w:tcBorders>
                              <w:top w:val="single" w:sz="4" w:space="0" w:color="7F7F7F"/>
                              <w:left w:val="nil"/>
                              <w:bottom w:val="single" w:sz="4" w:space="0" w:color="7F7F7F"/>
                              <w:right w:val="nil"/>
                            </w:tcBorders>
                          </w:tcPr>
                          <w:p w14:paraId="44EB4435"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Hg </w:t>
                            </w:r>
                          </w:p>
                        </w:tc>
                        <w:tc>
                          <w:tcPr>
                            <w:tcW w:w="850" w:type="dxa"/>
                            <w:tcBorders>
                              <w:top w:val="single" w:sz="4" w:space="0" w:color="7F7F7F"/>
                              <w:left w:val="nil"/>
                              <w:bottom w:val="single" w:sz="4" w:space="0" w:color="7F7F7F"/>
                              <w:right w:val="nil"/>
                            </w:tcBorders>
                          </w:tcPr>
                          <w:p w14:paraId="10A46C9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Cd </w:t>
                            </w:r>
                          </w:p>
                        </w:tc>
                        <w:tc>
                          <w:tcPr>
                            <w:tcW w:w="851" w:type="dxa"/>
                            <w:tcBorders>
                              <w:top w:val="single" w:sz="4" w:space="0" w:color="7F7F7F"/>
                              <w:left w:val="nil"/>
                              <w:bottom w:val="single" w:sz="4" w:space="0" w:color="7F7F7F"/>
                              <w:right w:val="nil"/>
                            </w:tcBorders>
                          </w:tcPr>
                          <w:p w14:paraId="0EE68D5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Pb </w:t>
                            </w:r>
                          </w:p>
                        </w:tc>
                        <w:tc>
                          <w:tcPr>
                            <w:tcW w:w="992" w:type="dxa"/>
                            <w:tcBorders>
                              <w:top w:val="single" w:sz="4" w:space="0" w:color="7F7F7F"/>
                              <w:left w:val="nil"/>
                              <w:bottom w:val="single" w:sz="4" w:space="0" w:color="7F7F7F"/>
                              <w:right w:val="nil"/>
                            </w:tcBorders>
                          </w:tcPr>
                          <w:p w14:paraId="3DC8E3B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Cu </w:t>
                            </w:r>
                          </w:p>
                        </w:tc>
                        <w:tc>
                          <w:tcPr>
                            <w:tcW w:w="1134" w:type="dxa"/>
                            <w:tcBorders>
                              <w:top w:val="single" w:sz="4" w:space="0" w:color="7F7F7F"/>
                              <w:left w:val="nil"/>
                              <w:bottom w:val="single" w:sz="4" w:space="0" w:color="7F7F7F"/>
                              <w:right w:val="nil"/>
                            </w:tcBorders>
                          </w:tcPr>
                          <w:p w14:paraId="5ED514FC"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Zn </w:t>
                            </w:r>
                          </w:p>
                        </w:tc>
                        <w:tc>
                          <w:tcPr>
                            <w:tcW w:w="1276" w:type="dxa"/>
                            <w:tcBorders>
                              <w:top w:val="single" w:sz="4" w:space="0" w:color="7F7F7F"/>
                              <w:left w:val="nil"/>
                              <w:bottom w:val="single" w:sz="4" w:space="0" w:color="7F7F7F"/>
                              <w:right w:val="nil"/>
                            </w:tcBorders>
                          </w:tcPr>
                          <w:p w14:paraId="2F92ED2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Fe </w:t>
                            </w:r>
                          </w:p>
                        </w:tc>
                      </w:tr>
                      <w:tr w:rsidR="008169E9" w:rsidRPr="000E0643" w14:paraId="3C03368B" w14:textId="77777777" w:rsidTr="00F04982">
                        <w:trPr>
                          <w:trHeight w:val="20"/>
                        </w:trPr>
                        <w:tc>
                          <w:tcPr>
                            <w:tcW w:w="2694" w:type="dxa"/>
                            <w:tcBorders>
                              <w:top w:val="single" w:sz="4" w:space="0" w:color="7F7F7F"/>
                              <w:left w:val="nil"/>
                              <w:bottom w:val="nil"/>
                              <w:right w:val="nil"/>
                            </w:tcBorders>
                          </w:tcPr>
                          <w:p w14:paraId="59998B70" w14:textId="3ABCAA91"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Calamari </w:t>
                            </w:r>
                            <w:r w:rsidR="00F04982" w:rsidRPr="000E0643">
                              <w:rPr>
                                <w:rFonts w:ascii="Times New Roman" w:hAnsi="Times New Roman" w:cs="Times New Roman"/>
                                <w:b/>
                              </w:rPr>
                              <w:t>&amp;</w:t>
                            </w:r>
                            <w:r w:rsidRPr="000E0643">
                              <w:rPr>
                                <w:rFonts w:ascii="Times New Roman" w:hAnsi="Times New Roman" w:cs="Times New Roman"/>
                                <w:b/>
                              </w:rPr>
                              <w:t xml:space="preserve"> Naeve, </w:t>
                            </w:r>
                          </w:p>
                          <w:p w14:paraId="72872A5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(1994) </w:t>
                            </w:r>
                          </w:p>
                        </w:tc>
                        <w:tc>
                          <w:tcPr>
                            <w:tcW w:w="1134" w:type="dxa"/>
                            <w:tcBorders>
                              <w:top w:val="single" w:sz="4" w:space="0" w:color="7F7F7F"/>
                              <w:left w:val="nil"/>
                              <w:bottom w:val="nil"/>
                              <w:right w:val="nil"/>
                            </w:tcBorders>
                          </w:tcPr>
                          <w:p w14:paraId="46713A74" w14:textId="4BD994B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05-0</w:t>
                            </w:r>
                            <w:r w:rsidR="000E0643">
                              <w:rPr>
                                <w:rFonts w:ascii="Times New Roman" w:hAnsi="Times New Roman" w:cs="Times New Roman"/>
                              </w:rPr>
                              <w:t>.</w:t>
                            </w:r>
                            <w:r w:rsidRPr="000E0643">
                              <w:rPr>
                                <w:rFonts w:ascii="Times New Roman" w:hAnsi="Times New Roman" w:cs="Times New Roman"/>
                              </w:rPr>
                              <w:t xml:space="preserve">30 </w:t>
                            </w:r>
                          </w:p>
                          <w:p w14:paraId="00DC59F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single" w:sz="4" w:space="0" w:color="7F7F7F"/>
                              <w:left w:val="nil"/>
                              <w:bottom w:val="nil"/>
                              <w:right w:val="nil"/>
                            </w:tcBorders>
                          </w:tcPr>
                          <w:p w14:paraId="2074532A" w14:textId="4C79383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11 </w:t>
                            </w:r>
                          </w:p>
                          <w:p w14:paraId="29A74475"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1" w:type="dxa"/>
                            <w:tcBorders>
                              <w:top w:val="single" w:sz="4" w:space="0" w:color="7F7F7F"/>
                              <w:left w:val="nil"/>
                              <w:bottom w:val="nil"/>
                              <w:right w:val="nil"/>
                            </w:tcBorders>
                          </w:tcPr>
                          <w:p w14:paraId="10FA0573" w14:textId="631B3019"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19</w:t>
                            </w:r>
                            <w:r w:rsidR="000E0643">
                              <w:rPr>
                                <w:rFonts w:ascii="Times New Roman" w:hAnsi="Times New Roman" w:cs="Times New Roman"/>
                              </w:rPr>
                              <w:t>.</w:t>
                            </w:r>
                            <w:r w:rsidRPr="000E0643">
                              <w:rPr>
                                <w:rFonts w:ascii="Times New Roman" w:hAnsi="Times New Roman" w:cs="Times New Roman"/>
                              </w:rPr>
                              <w:t xml:space="preserve">00 </w:t>
                            </w:r>
                          </w:p>
                          <w:p w14:paraId="62AFCCCD"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992" w:type="dxa"/>
                            <w:tcBorders>
                              <w:top w:val="single" w:sz="4" w:space="0" w:color="7F7F7F"/>
                              <w:left w:val="nil"/>
                              <w:bottom w:val="nil"/>
                              <w:right w:val="nil"/>
                            </w:tcBorders>
                          </w:tcPr>
                          <w:p w14:paraId="0D50C9A0" w14:textId="1EA91CB2"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33</w:t>
                            </w:r>
                            <w:r w:rsidR="000E0643">
                              <w:rPr>
                                <w:rFonts w:ascii="Times New Roman" w:hAnsi="Times New Roman" w:cs="Times New Roman"/>
                              </w:rPr>
                              <w:t>.</w:t>
                            </w:r>
                            <w:r w:rsidRPr="000E0643">
                              <w:rPr>
                                <w:rFonts w:ascii="Times New Roman" w:hAnsi="Times New Roman" w:cs="Times New Roman"/>
                              </w:rPr>
                              <w:t xml:space="preserve">00 </w:t>
                            </w:r>
                          </w:p>
                          <w:p w14:paraId="6F53C58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134" w:type="dxa"/>
                            <w:tcBorders>
                              <w:top w:val="single" w:sz="4" w:space="0" w:color="7F7F7F"/>
                              <w:left w:val="nil"/>
                              <w:bottom w:val="nil"/>
                              <w:right w:val="nil"/>
                            </w:tcBorders>
                          </w:tcPr>
                          <w:p w14:paraId="7BCECEE5" w14:textId="22550445"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95</w:t>
                            </w:r>
                            <w:r w:rsidR="000E0643">
                              <w:rPr>
                                <w:rFonts w:ascii="Times New Roman" w:hAnsi="Times New Roman" w:cs="Times New Roman"/>
                              </w:rPr>
                              <w:t>.</w:t>
                            </w:r>
                            <w:r w:rsidRPr="000E0643">
                              <w:rPr>
                                <w:rFonts w:ascii="Times New Roman" w:hAnsi="Times New Roman" w:cs="Times New Roman"/>
                              </w:rPr>
                              <w:t xml:space="preserve">00 </w:t>
                            </w:r>
                          </w:p>
                          <w:p w14:paraId="47E4203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276" w:type="dxa"/>
                            <w:tcBorders>
                              <w:top w:val="single" w:sz="4" w:space="0" w:color="7F7F7F"/>
                              <w:left w:val="nil"/>
                              <w:bottom w:val="nil"/>
                              <w:right w:val="nil"/>
                            </w:tcBorders>
                          </w:tcPr>
                          <w:p w14:paraId="15B42BDB" w14:textId="12712F04"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41000</w:t>
                            </w:r>
                            <w:r w:rsidR="000E0643">
                              <w:rPr>
                                <w:rFonts w:ascii="Times New Roman" w:hAnsi="Times New Roman" w:cs="Times New Roman"/>
                              </w:rPr>
                              <w:t>.</w:t>
                            </w:r>
                            <w:r w:rsidRPr="000E0643">
                              <w:rPr>
                                <w:rFonts w:ascii="Times New Roman" w:hAnsi="Times New Roman" w:cs="Times New Roman"/>
                              </w:rPr>
                              <w:t xml:space="preserve">00 </w:t>
                            </w:r>
                          </w:p>
                        </w:tc>
                      </w:tr>
                      <w:tr w:rsidR="008169E9" w:rsidRPr="000E0643" w14:paraId="097E9430" w14:textId="77777777" w:rsidTr="00F04982">
                        <w:trPr>
                          <w:trHeight w:val="20"/>
                        </w:trPr>
                        <w:tc>
                          <w:tcPr>
                            <w:tcW w:w="2694" w:type="dxa"/>
                            <w:tcBorders>
                              <w:top w:val="nil"/>
                              <w:left w:val="nil"/>
                              <w:bottom w:val="single" w:sz="4" w:space="0" w:color="7F7F7F"/>
                              <w:right w:val="nil"/>
                            </w:tcBorders>
                          </w:tcPr>
                          <w:p w14:paraId="62503EF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proofErr w:type="spellStart"/>
                            <w:r w:rsidRPr="000E0643">
                              <w:rPr>
                                <w:rFonts w:ascii="Times New Roman" w:hAnsi="Times New Roman" w:cs="Times New Roman"/>
                                <w:b/>
                              </w:rPr>
                              <w:t>Kikouama</w:t>
                            </w:r>
                            <w:proofErr w:type="spellEnd"/>
                            <w:r w:rsidRPr="000E0643">
                              <w:rPr>
                                <w:rFonts w:ascii="Times New Roman" w:hAnsi="Times New Roman" w:cs="Times New Roman"/>
                                <w:b/>
                              </w:rPr>
                              <w:t xml:space="preserve"> </w:t>
                            </w:r>
                          </w:p>
                          <w:p w14:paraId="3B8DA7EF" w14:textId="2F1F7B71" w:rsidR="008169E9" w:rsidRPr="000E0643" w:rsidRDefault="00F04982"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&amp;</w:t>
                            </w:r>
                            <w:r w:rsidR="008169E9" w:rsidRPr="000E0643">
                              <w:rPr>
                                <w:rFonts w:ascii="Times New Roman" w:hAnsi="Times New Roman" w:cs="Times New Roman"/>
                                <w:b/>
                              </w:rPr>
                              <w:t xml:space="preserve"> al., (2009) </w:t>
                            </w:r>
                          </w:p>
                        </w:tc>
                        <w:tc>
                          <w:tcPr>
                            <w:tcW w:w="1134" w:type="dxa"/>
                            <w:tcBorders>
                              <w:top w:val="nil"/>
                              <w:left w:val="nil"/>
                              <w:bottom w:val="single" w:sz="4" w:space="0" w:color="7F7F7F"/>
                              <w:right w:val="nil"/>
                            </w:tcBorders>
                          </w:tcPr>
                          <w:p w14:paraId="447059DC"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nil"/>
                              <w:left w:val="nil"/>
                              <w:bottom w:val="single" w:sz="4" w:space="0" w:color="7F7F7F"/>
                              <w:right w:val="nil"/>
                            </w:tcBorders>
                          </w:tcPr>
                          <w:p w14:paraId="25342530"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5C837B3A" w14:textId="05E367DC"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44 </w:t>
                            </w:r>
                          </w:p>
                        </w:tc>
                        <w:tc>
                          <w:tcPr>
                            <w:tcW w:w="851" w:type="dxa"/>
                            <w:tcBorders>
                              <w:top w:val="nil"/>
                              <w:left w:val="nil"/>
                              <w:bottom w:val="single" w:sz="4" w:space="0" w:color="7F7F7F"/>
                              <w:right w:val="nil"/>
                            </w:tcBorders>
                          </w:tcPr>
                          <w:p w14:paraId="3B1B434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1FF0C127" w14:textId="1BAC6FC0"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12</w:t>
                            </w:r>
                            <w:r w:rsidR="000E0643">
                              <w:rPr>
                                <w:rFonts w:ascii="Times New Roman" w:hAnsi="Times New Roman" w:cs="Times New Roman"/>
                              </w:rPr>
                              <w:t>.</w:t>
                            </w:r>
                            <w:r w:rsidRPr="000E0643">
                              <w:rPr>
                                <w:rFonts w:ascii="Times New Roman" w:hAnsi="Times New Roman" w:cs="Times New Roman"/>
                              </w:rPr>
                              <w:t xml:space="preserve">68 </w:t>
                            </w:r>
                          </w:p>
                        </w:tc>
                        <w:tc>
                          <w:tcPr>
                            <w:tcW w:w="992" w:type="dxa"/>
                            <w:tcBorders>
                              <w:top w:val="nil"/>
                              <w:left w:val="nil"/>
                              <w:bottom w:val="single" w:sz="4" w:space="0" w:color="7F7F7F"/>
                              <w:right w:val="nil"/>
                            </w:tcBorders>
                          </w:tcPr>
                          <w:p w14:paraId="722EBE25"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06418E80" w14:textId="7B13A522"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24</w:t>
                            </w:r>
                            <w:r w:rsidR="000E0643">
                              <w:rPr>
                                <w:rFonts w:ascii="Times New Roman" w:hAnsi="Times New Roman" w:cs="Times New Roman"/>
                              </w:rPr>
                              <w:t>.</w:t>
                            </w:r>
                            <w:r w:rsidRPr="000E0643">
                              <w:rPr>
                                <w:rFonts w:ascii="Times New Roman" w:hAnsi="Times New Roman" w:cs="Times New Roman"/>
                              </w:rPr>
                              <w:t xml:space="preserve">84 </w:t>
                            </w:r>
                          </w:p>
                        </w:tc>
                        <w:tc>
                          <w:tcPr>
                            <w:tcW w:w="1134" w:type="dxa"/>
                            <w:tcBorders>
                              <w:top w:val="nil"/>
                              <w:left w:val="nil"/>
                              <w:bottom w:val="single" w:sz="4" w:space="0" w:color="7F7F7F"/>
                              <w:right w:val="nil"/>
                            </w:tcBorders>
                          </w:tcPr>
                          <w:p w14:paraId="1C047E1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736738E2" w14:textId="5EB05C43"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45</w:t>
                            </w:r>
                            <w:r w:rsidR="000E0643">
                              <w:rPr>
                                <w:rFonts w:ascii="Times New Roman" w:hAnsi="Times New Roman" w:cs="Times New Roman"/>
                              </w:rPr>
                              <w:t>.</w:t>
                            </w:r>
                            <w:r w:rsidRPr="000E0643">
                              <w:rPr>
                                <w:rFonts w:ascii="Times New Roman" w:hAnsi="Times New Roman" w:cs="Times New Roman"/>
                              </w:rPr>
                              <w:t xml:space="preserve">13 </w:t>
                            </w:r>
                          </w:p>
                        </w:tc>
                        <w:tc>
                          <w:tcPr>
                            <w:tcW w:w="1276" w:type="dxa"/>
                            <w:tcBorders>
                              <w:top w:val="nil"/>
                              <w:left w:val="nil"/>
                              <w:bottom w:val="single" w:sz="4" w:space="0" w:color="7F7F7F"/>
                              <w:right w:val="nil"/>
                            </w:tcBorders>
                          </w:tcPr>
                          <w:p w14:paraId="59FE3D32"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r>
                    </w:tbl>
                    <w:p w14:paraId="4F6B3C6B" w14:textId="77777777" w:rsidR="008169E9" w:rsidRDefault="008169E9"/>
                  </w:txbxContent>
                </v:textbox>
              </v:shape>
            </w:pict>
          </mc:Fallback>
        </mc:AlternateContent>
      </w:r>
    </w:p>
    <w:p w14:paraId="2A7AC624" w14:textId="77777777" w:rsidR="008169E9" w:rsidRDefault="008169E9" w:rsidP="00ED3175">
      <w:pPr>
        <w:jc w:val="both"/>
        <w:rPr>
          <w:rFonts w:ascii="Arial" w:hAnsi="Arial" w:cs="Arial"/>
          <w:sz w:val="20"/>
          <w:szCs w:val="20"/>
          <w:lang w:val="en-US"/>
        </w:rPr>
      </w:pPr>
    </w:p>
    <w:p w14:paraId="40FB4A1D" w14:textId="77777777" w:rsidR="00E21332" w:rsidRDefault="00E21332" w:rsidP="00ED3175">
      <w:pPr>
        <w:jc w:val="both"/>
        <w:rPr>
          <w:rFonts w:ascii="Arial" w:hAnsi="Arial" w:cs="Arial"/>
          <w:sz w:val="20"/>
          <w:szCs w:val="20"/>
          <w:lang w:val="en-US"/>
        </w:rPr>
      </w:pPr>
    </w:p>
    <w:p w14:paraId="67F7A07C" w14:textId="77777777" w:rsidR="00E21332" w:rsidRPr="00D73C18" w:rsidRDefault="00E21332" w:rsidP="00ED3175">
      <w:pPr>
        <w:jc w:val="both"/>
        <w:rPr>
          <w:rFonts w:ascii="Arial" w:hAnsi="Arial" w:cs="Arial"/>
          <w:sz w:val="20"/>
          <w:szCs w:val="20"/>
          <w:lang w:val="en-US"/>
        </w:rPr>
      </w:pPr>
    </w:p>
    <w:p w14:paraId="5C1FA17E" w14:textId="77777777" w:rsidR="008169E9" w:rsidRPr="00D73C18" w:rsidRDefault="008169E9" w:rsidP="00ED3175">
      <w:pPr>
        <w:jc w:val="both"/>
        <w:rPr>
          <w:rFonts w:ascii="Arial" w:hAnsi="Arial" w:cs="Arial"/>
          <w:sz w:val="20"/>
          <w:szCs w:val="20"/>
          <w:lang w:val="en-US"/>
        </w:rPr>
      </w:pPr>
    </w:p>
    <w:p w14:paraId="5FFE55D3" w14:textId="6A089AAD" w:rsidR="008169E9" w:rsidRPr="00CE2DFA" w:rsidRDefault="008169E9" w:rsidP="00ED3175">
      <w:pPr>
        <w:jc w:val="both"/>
        <w:rPr>
          <w:rFonts w:ascii="Arial" w:hAnsi="Arial" w:cs="Arial"/>
          <w:b/>
          <w:bCs/>
          <w:lang w:val="en-US"/>
        </w:rPr>
      </w:pPr>
      <w:r w:rsidRPr="00CE2DFA">
        <w:rPr>
          <w:rFonts w:ascii="Arial" w:hAnsi="Arial" w:cs="Arial"/>
          <w:b/>
          <w:bCs/>
          <w:lang w:val="en-US"/>
        </w:rPr>
        <w:t xml:space="preserve">2.6. Enrichment Factor and </w:t>
      </w:r>
      <w:proofErr w:type="spellStart"/>
      <w:r w:rsidRPr="00CE2DFA">
        <w:rPr>
          <w:rFonts w:ascii="Arial" w:hAnsi="Arial" w:cs="Arial"/>
          <w:b/>
          <w:bCs/>
          <w:lang w:val="en-US"/>
        </w:rPr>
        <w:t>Geoaccumulation</w:t>
      </w:r>
      <w:proofErr w:type="spellEnd"/>
      <w:r w:rsidRPr="00CE2DFA">
        <w:rPr>
          <w:rFonts w:ascii="Arial" w:hAnsi="Arial" w:cs="Arial"/>
          <w:b/>
          <w:bCs/>
          <w:lang w:val="en-US"/>
        </w:rPr>
        <w:t xml:space="preserve"> Index </w:t>
      </w:r>
    </w:p>
    <w:p w14:paraId="2315E21C" w14:textId="40BBF541" w:rsidR="008169E9" w:rsidRDefault="008169E9" w:rsidP="00ED3175">
      <w:pPr>
        <w:jc w:val="both"/>
        <w:rPr>
          <w:rFonts w:ascii="Arial" w:hAnsi="Arial" w:cs="Arial"/>
          <w:sz w:val="20"/>
          <w:szCs w:val="20"/>
          <w:lang w:val="en-US"/>
        </w:rPr>
      </w:pPr>
      <w:r w:rsidRPr="00D73C18">
        <w:rPr>
          <w:rFonts w:ascii="Arial" w:hAnsi="Arial" w:cs="Arial"/>
          <w:sz w:val="20"/>
          <w:szCs w:val="20"/>
          <w:lang w:val="en-US"/>
        </w:rPr>
        <w:t xml:space="preserve">The impact of metal pollutants on sediment quality can also be assessed by calculating the enrichment factor (EF) and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(Geo-index). These two parameters make it possible to quantify the extent of metal pollution.</w:t>
      </w:r>
    </w:p>
    <w:p w14:paraId="15DDBC09" w14:textId="77777777" w:rsidR="00CE2DFA" w:rsidRPr="00D73C18" w:rsidRDefault="00CE2DFA" w:rsidP="00ED3175">
      <w:pPr>
        <w:jc w:val="both"/>
        <w:rPr>
          <w:rFonts w:ascii="Arial" w:hAnsi="Arial" w:cs="Arial"/>
          <w:sz w:val="20"/>
          <w:szCs w:val="20"/>
          <w:lang w:val="en-US"/>
        </w:rPr>
      </w:pPr>
    </w:p>
    <w:p w14:paraId="19901B73" w14:textId="77777777" w:rsidR="008169E9" w:rsidRPr="00D73C18" w:rsidRDefault="008169E9" w:rsidP="00ED3175">
      <w:pPr>
        <w:jc w:val="both"/>
        <w:rPr>
          <w:rFonts w:ascii="Arial" w:hAnsi="Arial" w:cs="Arial"/>
          <w:sz w:val="20"/>
          <w:szCs w:val="20"/>
          <w:lang w:val="en-US"/>
        </w:rPr>
      </w:pPr>
      <w:r w:rsidRPr="00D73C18">
        <w:rPr>
          <w:rFonts w:ascii="Arial" w:hAnsi="Arial" w:cs="Arial"/>
          <w:sz w:val="20"/>
          <w:szCs w:val="20"/>
        </w:rPr>
        <w:lastRenderedPageBreak/>
        <w:sym w:font="Symbol" w:char="F0A7"/>
      </w:r>
      <w:r w:rsidRPr="00D73C18">
        <w:rPr>
          <w:rFonts w:ascii="Arial" w:hAnsi="Arial" w:cs="Arial"/>
          <w:sz w:val="20"/>
          <w:szCs w:val="20"/>
          <w:lang w:val="en-US"/>
        </w:rPr>
        <w:t xml:space="preserve"> Enrichment factor </w:t>
      </w:r>
    </w:p>
    <w:p w14:paraId="4879C4FF" w14:textId="220F417F" w:rsidR="008169E9" w:rsidRPr="00D73C18" w:rsidRDefault="008169E9" w:rsidP="00ED3175">
      <w:pPr>
        <w:jc w:val="both"/>
        <w:rPr>
          <w:rFonts w:ascii="Arial" w:hAnsi="Arial" w:cs="Arial"/>
          <w:sz w:val="20"/>
          <w:szCs w:val="20"/>
          <w:lang w:val="en-US"/>
        </w:rPr>
      </w:pPr>
      <w:r w:rsidRPr="00D73C18">
        <w:rPr>
          <w:rFonts w:ascii="Arial" w:hAnsi="Arial" w:cs="Arial"/>
          <w:sz w:val="20"/>
          <w:szCs w:val="20"/>
          <w:lang w:val="en-US"/>
        </w:rPr>
        <w:t xml:space="preserve">The principle of the EF is to compare the concentration of the element in the sediment with its natural concentration in the geochemical background of the study area </w:t>
      </w:r>
      <w:r w:rsidR="00161AA5" w:rsidRPr="00D73C18">
        <w:rPr>
          <w:rFonts w:ascii="Arial" w:hAnsi="Arial" w:cs="Arial"/>
          <w:sz w:val="20"/>
          <w:szCs w:val="20"/>
          <w:lang w:val="en-US"/>
        </w:rPr>
        <w:t>(Tessier, 2012)</w:t>
      </w:r>
      <w:r w:rsidRPr="00D73C18">
        <w:rPr>
          <w:rFonts w:ascii="Arial" w:hAnsi="Arial" w:cs="Arial"/>
          <w:sz w:val="20"/>
          <w:szCs w:val="20"/>
          <w:lang w:val="en-US"/>
        </w:rPr>
        <w:t xml:space="preserve">. The enrichment factor (EF) indicates the increase in the concentration of a chemical element in a sediment relative to a reference. The normalization element selected for this study is iron. The concentrations of trace metal elements in the continental crust from </w:t>
      </w:r>
      <w:r w:rsidR="00161AA5" w:rsidRPr="00D73C18">
        <w:rPr>
          <w:rFonts w:ascii="Arial" w:hAnsi="Arial" w:cs="Arial"/>
          <w:sz w:val="20"/>
          <w:szCs w:val="20"/>
          <w:lang w:val="en-US"/>
        </w:rPr>
        <w:t>(</w:t>
      </w:r>
      <w:proofErr w:type="spellStart"/>
      <w:r w:rsidR="00161AA5" w:rsidRPr="00D73C18">
        <w:rPr>
          <w:rFonts w:ascii="Arial" w:hAnsi="Arial" w:cs="Arial"/>
          <w:sz w:val="20"/>
          <w:szCs w:val="20"/>
          <w:lang w:val="en-US"/>
        </w:rPr>
        <w:t>Wedepohl</w:t>
      </w:r>
      <w:proofErr w:type="spellEnd"/>
      <w:r w:rsidR="00161AA5" w:rsidRPr="00D73C18">
        <w:rPr>
          <w:rFonts w:ascii="Arial" w:hAnsi="Arial" w:cs="Arial"/>
          <w:sz w:val="20"/>
          <w:szCs w:val="20"/>
          <w:lang w:val="en-US"/>
        </w:rPr>
        <w:t>, 1995)</w:t>
      </w:r>
      <w:r w:rsidRPr="00D73C18">
        <w:rPr>
          <w:rFonts w:ascii="Arial" w:hAnsi="Arial" w:cs="Arial"/>
          <w:sz w:val="20"/>
          <w:szCs w:val="20"/>
          <w:lang w:val="en-US"/>
        </w:rPr>
        <w:t xml:space="preserve"> were chosen as the geochemical background. The enrichment factor is calculated using the equation given by </w:t>
      </w:r>
      <w:r w:rsidR="00161AA5" w:rsidRPr="00D73C18">
        <w:rPr>
          <w:rFonts w:ascii="Arial" w:hAnsi="Arial" w:cs="Arial"/>
          <w:sz w:val="20"/>
          <w:szCs w:val="20"/>
          <w:lang w:val="en-US"/>
        </w:rPr>
        <w:t>(Sutherland, 2000)</w:t>
      </w:r>
      <w:r w:rsidRPr="00D73C18">
        <w:rPr>
          <w:rFonts w:ascii="Arial" w:hAnsi="Arial" w:cs="Arial"/>
          <w:sz w:val="20"/>
          <w:szCs w:val="20"/>
          <w:lang w:val="en-US"/>
        </w:rPr>
        <w:t>:</w:t>
      </w:r>
    </w:p>
    <w:p w14:paraId="028749A6" w14:textId="77777777" w:rsidR="008169E9" w:rsidRPr="00D73C18" w:rsidRDefault="008169E9" w:rsidP="00ED3175">
      <w:pPr>
        <w:jc w:val="both"/>
        <w:rPr>
          <w:rFonts w:ascii="Arial" w:hAnsi="Arial" w:cs="Arial"/>
          <w:sz w:val="20"/>
          <w:szCs w:val="20"/>
          <w:lang w:val="en-US"/>
        </w:rPr>
      </w:pPr>
      <w:r w:rsidRPr="00D73C18">
        <w:rPr>
          <w:rFonts w:ascii="Arial" w:hAnsi="Arial" w:cs="Arial"/>
          <w:sz w:val="20"/>
          <w:szCs w:val="20"/>
          <w:lang w:val="en-US"/>
        </w:rPr>
        <w:t>EF = ([M] / [Fe]) exp / [M] / ([Fe]) ref</w:t>
      </w:r>
    </w:p>
    <w:p w14:paraId="75F1902E"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Where: [M] is the concentration of element M in the sample, [Fe] is the concentration of iron in the sample, [M] is the concentration of element M in the geochemical background, and [Fe] is the concentration of iron in the geochemical background. Enrichment factor values allow for the definition of 5 enrichment classes (Sutherland, 2000):</w:t>
      </w:r>
    </w:p>
    <w:p w14:paraId="4F353B82"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FE ˂ 2, no or low enrichment; </w:t>
      </w:r>
    </w:p>
    <w:p w14:paraId="4838BB60"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2 &lt; FE ˂ 5, moderate enrichment;</w:t>
      </w:r>
    </w:p>
    <w:p w14:paraId="437920D9"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5 &lt; FE ˂ 20, significant enrichment; </w:t>
      </w:r>
    </w:p>
    <w:p w14:paraId="18EE0FE8"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20 &lt; FE ˂ 40, very high enrichment; and</w:t>
      </w:r>
    </w:p>
    <w:p w14:paraId="7FE50068"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FE &gt; 40, extreme enrichment.</w:t>
      </w:r>
    </w:p>
    <w:p w14:paraId="0F4DA0C7"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rPr>
        <w:sym w:font="Symbol" w:char="F0A7"/>
      </w:r>
      <w:r w:rsidRPr="00D73C18">
        <w:rPr>
          <w:rFonts w:ascii="Arial" w:hAnsi="Arial" w:cs="Arial"/>
          <w:sz w:val="20"/>
          <w:szCs w:val="20"/>
          <w:lang w:val="en-US"/>
        </w:rPr>
        <w:t xml:space="preserv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w:t>
      </w:r>
    </w:p>
    <w:p w14:paraId="301DA3AC" w14:textId="29E9FC6B"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Defined by </w:t>
      </w:r>
      <w:r w:rsidR="00161AA5" w:rsidRPr="00D73C18">
        <w:rPr>
          <w:rFonts w:ascii="Arial" w:hAnsi="Arial" w:cs="Arial"/>
          <w:sz w:val="20"/>
          <w:szCs w:val="20"/>
          <w:lang w:val="en-US"/>
        </w:rPr>
        <w:t xml:space="preserve">Müller </w:t>
      </w:r>
      <w:r w:rsidR="000E0643" w:rsidRPr="00D73C18">
        <w:rPr>
          <w:rFonts w:ascii="Arial" w:hAnsi="Arial" w:cs="Arial"/>
          <w:sz w:val="20"/>
          <w:szCs w:val="20"/>
          <w:lang w:val="en-US"/>
        </w:rPr>
        <w:t>(</w:t>
      </w:r>
      <w:r w:rsidR="00161AA5" w:rsidRPr="00D73C18">
        <w:rPr>
          <w:rFonts w:ascii="Arial" w:hAnsi="Arial" w:cs="Arial"/>
          <w:sz w:val="20"/>
          <w:szCs w:val="20"/>
          <w:lang w:val="en-US"/>
        </w:rPr>
        <w:t>1969)</w:t>
      </w:r>
      <w:r w:rsidRPr="00D73C18">
        <w:rPr>
          <w:rFonts w:ascii="Arial" w:hAnsi="Arial" w:cs="Arial"/>
          <w:sz w:val="20"/>
          <w:szCs w:val="20"/>
          <w:lang w:val="en-US"/>
        </w:rPr>
        <w:t xml:space="preserve">,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is a second criterion for assessing the intensity of metal pollution. This index compares a given concentration to a value considered as the geochemical background.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is used to calculate its intensity. This index comprises seven classes that determine degrees of pollution. It includes various degrees of pollution ranging from natural levels—indicating the absence of pollution—to highly polluted</w:t>
      </w:r>
      <w:r w:rsidR="000E0643" w:rsidRPr="00D73C18">
        <w:rPr>
          <w:rFonts w:ascii="Arial" w:hAnsi="Arial" w:cs="Arial"/>
          <w:sz w:val="20"/>
          <w:szCs w:val="20"/>
          <w:lang w:val="en-US"/>
        </w:rPr>
        <w:t xml:space="preserve"> </w:t>
      </w:r>
      <w:r w:rsidRPr="00D73C18">
        <w:rPr>
          <w:rFonts w:ascii="Arial" w:hAnsi="Arial" w:cs="Arial"/>
          <w:sz w:val="20"/>
          <w:szCs w:val="20"/>
          <w:lang w:val="en-US"/>
        </w:rPr>
        <w:t>sediments. Elements in class 6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&gt; 5) show an enrichment 100 times higher than the geochemical background (Tessier, 2012). The index is determined using equation </w:t>
      </w:r>
      <w:r w:rsidR="00161AA5" w:rsidRPr="00D73C18">
        <w:rPr>
          <w:rFonts w:ascii="Arial" w:hAnsi="Arial" w:cs="Arial"/>
          <w:sz w:val="20"/>
          <w:szCs w:val="20"/>
          <w:lang w:val="en-US"/>
        </w:rPr>
        <w:t>(Müller, 1981)</w:t>
      </w:r>
      <w:r w:rsidRPr="00D73C18">
        <w:rPr>
          <w:rFonts w:ascii="Arial" w:hAnsi="Arial" w:cs="Arial"/>
          <w:sz w:val="20"/>
          <w:szCs w:val="20"/>
          <w:lang w:val="en-US"/>
        </w:rPr>
        <w:t>:</w:t>
      </w:r>
    </w:p>
    <w:p w14:paraId="7C1CCBDB" w14:textId="77777777" w:rsidR="00A21449" w:rsidRPr="00D73C18" w:rsidRDefault="00A21449" w:rsidP="00ED3175">
      <w:pPr>
        <w:jc w:val="both"/>
        <w:rPr>
          <w:rFonts w:ascii="Arial" w:hAnsi="Arial" w:cs="Arial"/>
          <w:sz w:val="20"/>
          <w:szCs w:val="20"/>
          <w:lang w:val="en-US"/>
        </w:rPr>
      </w:pP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 Log2 (Cn / 1.5 Bn)</w:t>
      </w:r>
    </w:p>
    <w:p w14:paraId="77C5909C"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Where: Cn: Concentration of the element in the sediment, Bn: Geochemical background concentration for element n, and 1.5: </w:t>
      </w:r>
    </w:p>
    <w:p w14:paraId="71499AD8" w14:textId="77777777" w:rsidR="00A21449" w:rsidRPr="00D73C18" w:rsidRDefault="00A21449" w:rsidP="00ED3175">
      <w:pPr>
        <w:jc w:val="both"/>
        <w:rPr>
          <w:rFonts w:ascii="Arial" w:hAnsi="Arial" w:cs="Arial"/>
          <w:sz w:val="20"/>
          <w:szCs w:val="20"/>
          <w:lang w:val="en-US"/>
        </w:rPr>
      </w:pPr>
    </w:p>
    <w:p w14:paraId="5A0B1C57" w14:textId="6BB9B032" w:rsidR="00A21449" w:rsidRPr="00D73C18" w:rsidRDefault="00A21449" w:rsidP="00ED3175">
      <w:pPr>
        <w:jc w:val="both"/>
        <w:rPr>
          <w:rFonts w:ascii="Arial" w:hAnsi="Arial" w:cs="Arial"/>
          <w:sz w:val="20"/>
          <w:szCs w:val="20"/>
        </w:rPr>
      </w:pPr>
      <w:r w:rsidRPr="00D73C18">
        <w:rPr>
          <w:rFonts w:ascii="Arial" w:hAnsi="Arial" w:cs="Arial"/>
          <w:b/>
          <w:bCs/>
          <w:sz w:val="20"/>
          <w:szCs w:val="20"/>
        </w:rPr>
        <w:t>Table 3</w:t>
      </w:r>
      <w:r w:rsidRPr="00D73C18">
        <w:rPr>
          <w:rFonts w:ascii="Arial" w:hAnsi="Arial" w:cs="Arial"/>
          <w:sz w:val="20"/>
          <w:szCs w:val="20"/>
        </w:rPr>
        <w:t>—</w:t>
      </w:r>
      <w:proofErr w:type="spellStart"/>
      <w:r w:rsidRPr="00D73C18">
        <w:rPr>
          <w:rFonts w:ascii="Arial" w:hAnsi="Arial" w:cs="Arial"/>
          <w:sz w:val="20"/>
          <w:szCs w:val="20"/>
        </w:rPr>
        <w:t>Müller's</w:t>
      </w:r>
      <w:proofErr w:type="spellEnd"/>
      <w:r w:rsidRPr="00D73C18">
        <w:rPr>
          <w:rFonts w:ascii="Arial" w:hAnsi="Arial" w:cs="Arial"/>
          <w:sz w:val="20"/>
          <w:szCs w:val="20"/>
        </w:rPr>
        <w:t xml:space="preserve"> Classification</w:t>
      </w:r>
      <w:r w:rsidR="00161AA5" w:rsidRPr="00D73C18">
        <w:rPr>
          <w:rFonts w:ascii="Arial" w:hAnsi="Arial" w:cs="Arial"/>
          <w:sz w:val="20"/>
          <w:szCs w:val="20"/>
        </w:rPr>
        <w:t xml:space="preserve"> (</w:t>
      </w:r>
      <w:r w:rsidR="00161AA5" w:rsidRPr="00D73C18">
        <w:rPr>
          <w:rFonts w:ascii="Arial" w:hAnsi="Arial" w:cs="Arial"/>
          <w:sz w:val="20"/>
          <w:szCs w:val="20"/>
          <w:lang w:val="en-US"/>
        </w:rPr>
        <w:t>Müller, 1969)</w:t>
      </w:r>
    </w:p>
    <w:tbl>
      <w:tblPr>
        <w:tblW w:w="5015"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543"/>
        <w:gridCol w:w="4891"/>
      </w:tblGrid>
      <w:tr w:rsidR="00A21449" w:rsidRPr="00D73C18" w14:paraId="00449271" w14:textId="77777777" w:rsidTr="00130DBC">
        <w:trPr>
          <w:trHeight w:val="267"/>
        </w:trPr>
        <w:tc>
          <w:tcPr>
            <w:tcW w:w="2408" w:type="pct"/>
            <w:tcBorders>
              <w:bottom w:val="single" w:sz="4" w:space="0" w:color="auto"/>
            </w:tcBorders>
            <w:shd w:val="clear" w:color="000000" w:fill="FFFFFF"/>
            <w:noWrap/>
            <w:vAlign w:val="center"/>
            <w:hideMark/>
          </w:tcPr>
          <w:p w14:paraId="7E9739CC" w14:textId="1A923AE2" w:rsidR="00A21449" w:rsidRPr="00D73C18" w:rsidRDefault="00F13C7D" w:rsidP="00ED3175">
            <w:pPr>
              <w:spacing w:line="276" w:lineRule="auto"/>
              <w:jc w:val="both"/>
              <w:rPr>
                <w:rFonts w:ascii="Arial" w:hAnsi="Arial" w:cs="Arial"/>
                <w:b/>
                <w:bCs/>
                <w:color w:val="000000"/>
                <w:sz w:val="20"/>
                <w:szCs w:val="20"/>
              </w:rPr>
            </w:pPr>
            <w:r w:rsidRPr="00F13C7D">
              <w:rPr>
                <w:rFonts w:ascii="Arial" w:hAnsi="Arial" w:cs="Arial"/>
                <w:b/>
                <w:bCs/>
                <w:color w:val="000000"/>
                <w:sz w:val="20"/>
                <w:szCs w:val="20"/>
              </w:rPr>
              <w:t>Geo-accumulation index class</w:t>
            </w:r>
          </w:p>
        </w:tc>
        <w:tc>
          <w:tcPr>
            <w:tcW w:w="2592" w:type="pct"/>
            <w:tcBorders>
              <w:bottom w:val="single" w:sz="4" w:space="0" w:color="auto"/>
            </w:tcBorders>
            <w:shd w:val="clear" w:color="000000" w:fill="FFFFFF"/>
            <w:vAlign w:val="center"/>
          </w:tcPr>
          <w:p w14:paraId="0A913901" w14:textId="2592F57C" w:rsidR="00A21449" w:rsidRPr="00D73C18" w:rsidRDefault="00F13C7D" w:rsidP="00ED3175">
            <w:pPr>
              <w:spacing w:line="276" w:lineRule="auto"/>
              <w:jc w:val="both"/>
              <w:rPr>
                <w:rFonts w:ascii="Arial" w:hAnsi="Arial" w:cs="Arial"/>
                <w:b/>
                <w:bCs/>
                <w:color w:val="000000"/>
                <w:sz w:val="20"/>
                <w:szCs w:val="20"/>
              </w:rPr>
            </w:pPr>
            <w:r w:rsidRPr="00F13C7D">
              <w:rPr>
                <w:rFonts w:ascii="Arial" w:hAnsi="Arial" w:cs="Arial"/>
                <w:b/>
                <w:bCs/>
                <w:color w:val="000000"/>
                <w:sz w:val="20"/>
                <w:szCs w:val="20"/>
              </w:rPr>
              <w:t xml:space="preserve">Pollution </w:t>
            </w:r>
            <w:proofErr w:type="spellStart"/>
            <w:r w:rsidRPr="00F13C7D">
              <w:rPr>
                <w:rFonts w:ascii="Arial" w:hAnsi="Arial" w:cs="Arial"/>
                <w:b/>
                <w:bCs/>
                <w:color w:val="000000"/>
                <w:sz w:val="20"/>
                <w:szCs w:val="20"/>
              </w:rPr>
              <w:t>intensity</w:t>
            </w:r>
            <w:proofErr w:type="spellEnd"/>
          </w:p>
        </w:tc>
      </w:tr>
      <w:tr w:rsidR="00A21449" w:rsidRPr="00D73C18" w14:paraId="54A015EB" w14:textId="77777777" w:rsidTr="00130DBC">
        <w:trPr>
          <w:trHeight w:val="267"/>
        </w:trPr>
        <w:tc>
          <w:tcPr>
            <w:tcW w:w="2408" w:type="pct"/>
            <w:tcBorders>
              <w:top w:val="single" w:sz="4" w:space="0" w:color="auto"/>
              <w:bottom w:val="nil"/>
            </w:tcBorders>
            <w:shd w:val="clear" w:color="000000" w:fill="FFFFFF"/>
            <w:noWrap/>
            <w:vAlign w:val="center"/>
            <w:hideMark/>
          </w:tcPr>
          <w:p w14:paraId="61B29991" w14:textId="77777777" w:rsidR="00A21449" w:rsidRPr="00D73C18" w:rsidRDefault="00A21449" w:rsidP="00ED3175">
            <w:pPr>
              <w:spacing w:line="276" w:lineRule="auto"/>
              <w:jc w:val="both"/>
              <w:rPr>
                <w:rFonts w:ascii="Arial" w:hAnsi="Arial" w:cs="Arial"/>
                <w:color w:val="000000"/>
                <w:sz w:val="20"/>
                <w:szCs w:val="20"/>
              </w:rPr>
            </w:pPr>
            <w:proofErr w:type="spellStart"/>
            <w:r w:rsidRPr="00D73C18">
              <w:rPr>
                <w:rFonts w:ascii="Arial" w:hAnsi="Arial" w:cs="Arial"/>
                <w:color w:val="000000"/>
                <w:sz w:val="20"/>
                <w:szCs w:val="20"/>
              </w:rPr>
              <w:t>Igeo</w:t>
            </w:r>
            <w:proofErr w:type="spellEnd"/>
            <w:r w:rsidRPr="00D73C18">
              <w:rPr>
                <w:rFonts w:ascii="Arial" w:hAnsi="Arial" w:cs="Arial"/>
                <w:color w:val="000000"/>
                <w:sz w:val="20"/>
                <w:szCs w:val="20"/>
              </w:rPr>
              <w:t xml:space="preserve"> ˂ 0</w:t>
            </w:r>
          </w:p>
        </w:tc>
        <w:tc>
          <w:tcPr>
            <w:tcW w:w="2592" w:type="pct"/>
            <w:tcBorders>
              <w:top w:val="single" w:sz="4" w:space="0" w:color="auto"/>
              <w:bottom w:val="nil"/>
            </w:tcBorders>
            <w:shd w:val="clear" w:color="000000" w:fill="FFFFFF"/>
            <w:noWrap/>
            <w:vAlign w:val="center"/>
            <w:hideMark/>
          </w:tcPr>
          <w:p w14:paraId="79C317D7" w14:textId="77777777" w:rsidR="001C5797" w:rsidRPr="00D73C18" w:rsidRDefault="001C5797" w:rsidP="00ED3175">
            <w:pPr>
              <w:spacing w:line="240" w:lineRule="auto"/>
              <w:jc w:val="both"/>
              <w:rPr>
                <w:rFonts w:ascii="Arial" w:hAnsi="Arial" w:cs="Arial"/>
                <w:sz w:val="20"/>
                <w:szCs w:val="20"/>
                <w:lang w:val="en-US"/>
              </w:rPr>
            </w:pPr>
            <w:r w:rsidRPr="00D73C18">
              <w:rPr>
                <w:rFonts w:ascii="Arial" w:hAnsi="Arial" w:cs="Arial"/>
                <w:sz w:val="20"/>
                <w:szCs w:val="20"/>
                <w:lang w:val="en-US"/>
              </w:rPr>
              <w:t>No pollution</w:t>
            </w:r>
          </w:p>
          <w:p w14:paraId="1BBA4970" w14:textId="3099078A" w:rsidR="00A21449" w:rsidRPr="00D73C18" w:rsidRDefault="00A21449" w:rsidP="00ED3175">
            <w:pPr>
              <w:spacing w:line="240" w:lineRule="auto"/>
              <w:jc w:val="both"/>
              <w:rPr>
                <w:rFonts w:ascii="Arial" w:hAnsi="Arial" w:cs="Arial"/>
                <w:color w:val="000000"/>
                <w:sz w:val="20"/>
                <w:szCs w:val="20"/>
              </w:rPr>
            </w:pPr>
          </w:p>
        </w:tc>
      </w:tr>
      <w:tr w:rsidR="00A21449" w:rsidRPr="00D73C18" w14:paraId="7D66D995" w14:textId="77777777" w:rsidTr="00130DBC">
        <w:trPr>
          <w:trHeight w:val="267"/>
        </w:trPr>
        <w:tc>
          <w:tcPr>
            <w:tcW w:w="2408" w:type="pct"/>
            <w:tcBorders>
              <w:top w:val="nil"/>
              <w:bottom w:val="nil"/>
            </w:tcBorders>
            <w:shd w:val="clear" w:color="000000" w:fill="FFFFFF"/>
            <w:noWrap/>
            <w:vAlign w:val="center"/>
            <w:hideMark/>
          </w:tcPr>
          <w:p w14:paraId="1C75B61C" w14:textId="77777777" w:rsidR="00A21449" w:rsidRPr="00D73C18" w:rsidRDefault="00A21449" w:rsidP="00ED3175">
            <w:pPr>
              <w:spacing w:line="276" w:lineRule="auto"/>
              <w:jc w:val="both"/>
              <w:rPr>
                <w:rFonts w:ascii="Arial" w:hAnsi="Arial" w:cs="Arial"/>
                <w:color w:val="000000"/>
                <w:sz w:val="20"/>
                <w:szCs w:val="20"/>
              </w:rPr>
            </w:pPr>
            <w:r w:rsidRPr="00D73C18">
              <w:rPr>
                <w:rFonts w:ascii="Arial" w:hAnsi="Arial" w:cs="Arial"/>
                <w:color w:val="000000"/>
                <w:sz w:val="20"/>
                <w:szCs w:val="20"/>
              </w:rPr>
              <w:t xml:space="preserve">0 ˂ </w:t>
            </w:r>
            <w:proofErr w:type="spellStart"/>
            <w:r w:rsidRPr="00D73C18">
              <w:rPr>
                <w:rFonts w:ascii="Arial" w:hAnsi="Arial" w:cs="Arial"/>
                <w:color w:val="000000"/>
                <w:sz w:val="20"/>
                <w:szCs w:val="20"/>
              </w:rPr>
              <w:t>Igeo</w:t>
            </w:r>
            <w:proofErr w:type="spellEnd"/>
            <w:r w:rsidRPr="00D73C18">
              <w:rPr>
                <w:rFonts w:ascii="Arial" w:hAnsi="Arial" w:cs="Arial"/>
                <w:color w:val="000000"/>
                <w:sz w:val="20"/>
                <w:szCs w:val="20"/>
              </w:rPr>
              <w:t xml:space="preserve"> ˂ 1</w:t>
            </w:r>
          </w:p>
        </w:tc>
        <w:tc>
          <w:tcPr>
            <w:tcW w:w="2592" w:type="pct"/>
            <w:tcBorders>
              <w:top w:val="nil"/>
              <w:bottom w:val="nil"/>
            </w:tcBorders>
            <w:shd w:val="clear" w:color="000000" w:fill="FFFFFF"/>
            <w:noWrap/>
            <w:vAlign w:val="center"/>
            <w:hideMark/>
          </w:tcPr>
          <w:p w14:paraId="436D5F84" w14:textId="77777777" w:rsidR="001C5797" w:rsidRPr="00D73C18" w:rsidRDefault="001C5797" w:rsidP="00ED3175">
            <w:pPr>
              <w:spacing w:line="240" w:lineRule="auto"/>
              <w:jc w:val="both"/>
              <w:rPr>
                <w:rFonts w:ascii="Arial" w:hAnsi="Arial" w:cs="Arial"/>
                <w:sz w:val="20"/>
                <w:szCs w:val="20"/>
                <w:lang w:val="en-US"/>
              </w:rPr>
            </w:pPr>
            <w:r w:rsidRPr="00D73C18">
              <w:rPr>
                <w:rFonts w:ascii="Arial" w:hAnsi="Arial" w:cs="Arial"/>
                <w:sz w:val="20"/>
                <w:szCs w:val="20"/>
                <w:lang w:val="en-US"/>
              </w:rPr>
              <w:t xml:space="preserve">Not polluted </w:t>
            </w:r>
            <w:proofErr w:type="gramStart"/>
            <w:r w:rsidRPr="00D73C18">
              <w:rPr>
                <w:rFonts w:ascii="Arial" w:hAnsi="Arial" w:cs="Arial"/>
                <w:sz w:val="20"/>
                <w:szCs w:val="20"/>
                <w:lang w:val="en-US"/>
              </w:rPr>
              <w:t>to</w:t>
            </w:r>
            <w:proofErr w:type="gramEnd"/>
            <w:r w:rsidRPr="00D73C18">
              <w:rPr>
                <w:rFonts w:ascii="Arial" w:hAnsi="Arial" w:cs="Arial"/>
                <w:sz w:val="20"/>
                <w:szCs w:val="20"/>
                <w:lang w:val="en-US"/>
              </w:rPr>
              <w:t xml:space="preserve"> moderately polluted</w:t>
            </w:r>
          </w:p>
          <w:p w14:paraId="6AD80C90" w14:textId="79A82A58" w:rsidR="00A21449" w:rsidRPr="00D73C18" w:rsidRDefault="00A21449" w:rsidP="00ED3175">
            <w:pPr>
              <w:spacing w:line="240" w:lineRule="auto"/>
              <w:jc w:val="both"/>
              <w:rPr>
                <w:rFonts w:ascii="Arial" w:hAnsi="Arial" w:cs="Arial"/>
                <w:color w:val="000000"/>
                <w:sz w:val="20"/>
                <w:szCs w:val="20"/>
              </w:rPr>
            </w:pPr>
          </w:p>
        </w:tc>
      </w:tr>
      <w:tr w:rsidR="00A21449" w:rsidRPr="00D73C18" w14:paraId="1EF479F8" w14:textId="77777777" w:rsidTr="00130DBC">
        <w:trPr>
          <w:trHeight w:val="267"/>
        </w:trPr>
        <w:tc>
          <w:tcPr>
            <w:tcW w:w="2408" w:type="pct"/>
            <w:tcBorders>
              <w:top w:val="nil"/>
              <w:bottom w:val="nil"/>
            </w:tcBorders>
            <w:shd w:val="clear" w:color="000000" w:fill="FFFFFF"/>
            <w:noWrap/>
            <w:vAlign w:val="center"/>
            <w:hideMark/>
          </w:tcPr>
          <w:p w14:paraId="6DB63145" w14:textId="77777777" w:rsidR="00A21449" w:rsidRPr="00D73C18" w:rsidRDefault="00A21449" w:rsidP="00ED3175">
            <w:pPr>
              <w:spacing w:line="276" w:lineRule="auto"/>
              <w:jc w:val="both"/>
              <w:rPr>
                <w:rFonts w:ascii="Arial" w:hAnsi="Arial" w:cs="Arial"/>
                <w:color w:val="000000"/>
                <w:sz w:val="20"/>
                <w:szCs w:val="20"/>
              </w:rPr>
            </w:pPr>
            <w:r w:rsidRPr="00D73C18">
              <w:rPr>
                <w:rFonts w:ascii="Arial" w:hAnsi="Arial" w:cs="Arial"/>
                <w:color w:val="000000"/>
                <w:sz w:val="20"/>
                <w:szCs w:val="20"/>
              </w:rPr>
              <w:t xml:space="preserve">1 ˂ </w:t>
            </w:r>
            <w:proofErr w:type="spellStart"/>
            <w:r w:rsidRPr="00D73C18">
              <w:rPr>
                <w:rFonts w:ascii="Arial" w:hAnsi="Arial" w:cs="Arial"/>
                <w:color w:val="000000"/>
                <w:sz w:val="20"/>
                <w:szCs w:val="20"/>
              </w:rPr>
              <w:t>Igeo</w:t>
            </w:r>
            <w:proofErr w:type="spellEnd"/>
            <w:r w:rsidRPr="00D73C18">
              <w:rPr>
                <w:rFonts w:ascii="Arial" w:hAnsi="Arial" w:cs="Arial"/>
                <w:color w:val="000000"/>
                <w:sz w:val="20"/>
                <w:szCs w:val="20"/>
              </w:rPr>
              <w:t xml:space="preserve"> ˂ 2</w:t>
            </w:r>
          </w:p>
        </w:tc>
        <w:tc>
          <w:tcPr>
            <w:tcW w:w="2592" w:type="pct"/>
            <w:tcBorders>
              <w:top w:val="nil"/>
              <w:bottom w:val="nil"/>
            </w:tcBorders>
            <w:shd w:val="clear" w:color="000000" w:fill="FFFFFF"/>
            <w:noWrap/>
            <w:vAlign w:val="center"/>
            <w:hideMark/>
          </w:tcPr>
          <w:p w14:paraId="7A19A7C0" w14:textId="77777777" w:rsidR="001C5797" w:rsidRPr="00D73C18" w:rsidRDefault="001C5797" w:rsidP="00ED3175">
            <w:pPr>
              <w:spacing w:line="240" w:lineRule="auto"/>
              <w:jc w:val="both"/>
              <w:rPr>
                <w:rFonts w:ascii="Arial" w:hAnsi="Arial" w:cs="Arial"/>
                <w:sz w:val="20"/>
                <w:szCs w:val="20"/>
                <w:lang w:val="en-US"/>
              </w:rPr>
            </w:pPr>
            <w:r w:rsidRPr="00D73C18">
              <w:rPr>
                <w:rFonts w:ascii="Arial" w:hAnsi="Arial" w:cs="Arial"/>
                <w:sz w:val="20"/>
                <w:szCs w:val="20"/>
                <w:lang w:val="en-US"/>
              </w:rPr>
              <w:t>Moderately polluted</w:t>
            </w:r>
          </w:p>
          <w:p w14:paraId="018D25EC" w14:textId="5C6A6E63" w:rsidR="00A21449" w:rsidRPr="00D73C18" w:rsidRDefault="00A21449" w:rsidP="00ED3175">
            <w:pPr>
              <w:spacing w:line="240" w:lineRule="auto"/>
              <w:jc w:val="both"/>
              <w:rPr>
                <w:rFonts w:ascii="Arial" w:hAnsi="Arial" w:cs="Arial"/>
                <w:color w:val="000000"/>
                <w:sz w:val="20"/>
                <w:szCs w:val="20"/>
              </w:rPr>
            </w:pPr>
          </w:p>
        </w:tc>
      </w:tr>
      <w:tr w:rsidR="00A21449" w:rsidRPr="00D73C18" w14:paraId="681EBC7F" w14:textId="77777777" w:rsidTr="00130DBC">
        <w:trPr>
          <w:trHeight w:val="267"/>
        </w:trPr>
        <w:tc>
          <w:tcPr>
            <w:tcW w:w="2408" w:type="pct"/>
            <w:tcBorders>
              <w:top w:val="nil"/>
              <w:bottom w:val="nil"/>
            </w:tcBorders>
            <w:shd w:val="clear" w:color="000000" w:fill="FFFFFF"/>
            <w:noWrap/>
            <w:vAlign w:val="center"/>
            <w:hideMark/>
          </w:tcPr>
          <w:p w14:paraId="23F7F185" w14:textId="77777777" w:rsidR="00A21449" w:rsidRPr="00D73C18" w:rsidRDefault="00A21449" w:rsidP="00ED3175">
            <w:pPr>
              <w:spacing w:line="276" w:lineRule="auto"/>
              <w:jc w:val="both"/>
              <w:rPr>
                <w:rFonts w:ascii="Arial" w:hAnsi="Arial" w:cs="Arial"/>
                <w:color w:val="000000"/>
                <w:sz w:val="20"/>
                <w:szCs w:val="20"/>
              </w:rPr>
            </w:pPr>
            <w:r w:rsidRPr="00D73C18">
              <w:rPr>
                <w:rFonts w:ascii="Arial" w:hAnsi="Arial" w:cs="Arial"/>
                <w:color w:val="000000"/>
                <w:sz w:val="20"/>
                <w:szCs w:val="20"/>
              </w:rPr>
              <w:t xml:space="preserve">2 ˂ </w:t>
            </w:r>
            <w:proofErr w:type="spellStart"/>
            <w:r w:rsidRPr="00D73C18">
              <w:rPr>
                <w:rFonts w:ascii="Arial" w:hAnsi="Arial" w:cs="Arial"/>
                <w:color w:val="000000"/>
                <w:sz w:val="20"/>
                <w:szCs w:val="20"/>
              </w:rPr>
              <w:t>Igeo</w:t>
            </w:r>
            <w:proofErr w:type="spellEnd"/>
            <w:r w:rsidRPr="00D73C18">
              <w:rPr>
                <w:rFonts w:ascii="Arial" w:hAnsi="Arial" w:cs="Arial"/>
                <w:color w:val="000000"/>
                <w:sz w:val="20"/>
                <w:szCs w:val="20"/>
              </w:rPr>
              <w:t xml:space="preserve"> ˂ 3</w:t>
            </w:r>
          </w:p>
        </w:tc>
        <w:tc>
          <w:tcPr>
            <w:tcW w:w="2592" w:type="pct"/>
            <w:tcBorders>
              <w:top w:val="nil"/>
              <w:bottom w:val="nil"/>
            </w:tcBorders>
            <w:shd w:val="clear" w:color="000000" w:fill="FFFFFF"/>
            <w:noWrap/>
            <w:vAlign w:val="center"/>
            <w:hideMark/>
          </w:tcPr>
          <w:p w14:paraId="68C08DE5" w14:textId="77777777" w:rsidR="001C5797" w:rsidRPr="00D73C18" w:rsidRDefault="001C5797" w:rsidP="00ED3175">
            <w:pPr>
              <w:spacing w:line="240" w:lineRule="auto"/>
              <w:jc w:val="both"/>
              <w:rPr>
                <w:rFonts w:ascii="Arial" w:hAnsi="Arial" w:cs="Arial"/>
                <w:sz w:val="20"/>
                <w:szCs w:val="20"/>
                <w:lang w:val="en-US"/>
              </w:rPr>
            </w:pPr>
            <w:r w:rsidRPr="00D73C18">
              <w:rPr>
                <w:rFonts w:ascii="Arial" w:hAnsi="Arial" w:cs="Arial"/>
                <w:sz w:val="20"/>
                <w:szCs w:val="20"/>
                <w:lang w:val="en-US"/>
              </w:rPr>
              <w:t>Moderately polluted to heavily polluted</w:t>
            </w:r>
          </w:p>
          <w:p w14:paraId="79F932CC" w14:textId="113992C7" w:rsidR="00A21449" w:rsidRPr="00D73C18" w:rsidRDefault="00A21449" w:rsidP="00ED3175">
            <w:pPr>
              <w:spacing w:line="240" w:lineRule="auto"/>
              <w:jc w:val="both"/>
              <w:rPr>
                <w:rFonts w:ascii="Arial" w:hAnsi="Arial" w:cs="Arial"/>
                <w:color w:val="000000"/>
                <w:sz w:val="20"/>
                <w:szCs w:val="20"/>
              </w:rPr>
            </w:pPr>
          </w:p>
        </w:tc>
      </w:tr>
      <w:tr w:rsidR="00A21449" w:rsidRPr="00D73C18" w14:paraId="573766C3" w14:textId="77777777" w:rsidTr="00130DBC">
        <w:trPr>
          <w:trHeight w:val="267"/>
        </w:trPr>
        <w:tc>
          <w:tcPr>
            <w:tcW w:w="2408" w:type="pct"/>
            <w:tcBorders>
              <w:top w:val="nil"/>
            </w:tcBorders>
            <w:shd w:val="clear" w:color="000000" w:fill="FFFFFF"/>
            <w:noWrap/>
            <w:vAlign w:val="center"/>
            <w:hideMark/>
          </w:tcPr>
          <w:p w14:paraId="7E324A72" w14:textId="77777777" w:rsidR="00A21449" w:rsidRPr="00D73C18" w:rsidRDefault="00A21449" w:rsidP="00ED3175">
            <w:pPr>
              <w:spacing w:line="276" w:lineRule="auto"/>
              <w:jc w:val="both"/>
              <w:rPr>
                <w:rFonts w:ascii="Arial" w:hAnsi="Arial" w:cs="Arial"/>
                <w:color w:val="000000"/>
                <w:sz w:val="20"/>
                <w:szCs w:val="20"/>
              </w:rPr>
            </w:pPr>
            <w:r w:rsidRPr="00D73C18">
              <w:rPr>
                <w:rFonts w:ascii="Arial" w:hAnsi="Arial" w:cs="Arial"/>
                <w:color w:val="000000"/>
                <w:sz w:val="20"/>
                <w:szCs w:val="20"/>
              </w:rPr>
              <w:t xml:space="preserve">3 ˂ </w:t>
            </w:r>
            <w:proofErr w:type="spellStart"/>
            <w:r w:rsidRPr="00D73C18">
              <w:rPr>
                <w:rFonts w:ascii="Arial" w:hAnsi="Arial" w:cs="Arial"/>
                <w:color w:val="000000"/>
                <w:sz w:val="20"/>
                <w:szCs w:val="20"/>
              </w:rPr>
              <w:t>Igeo</w:t>
            </w:r>
            <w:proofErr w:type="spellEnd"/>
            <w:r w:rsidRPr="00D73C18">
              <w:rPr>
                <w:rFonts w:ascii="Arial" w:hAnsi="Arial" w:cs="Arial"/>
                <w:color w:val="000000"/>
                <w:sz w:val="20"/>
                <w:szCs w:val="20"/>
              </w:rPr>
              <w:t xml:space="preserve"> ˂ 4</w:t>
            </w:r>
          </w:p>
        </w:tc>
        <w:tc>
          <w:tcPr>
            <w:tcW w:w="2592" w:type="pct"/>
            <w:tcBorders>
              <w:top w:val="nil"/>
            </w:tcBorders>
            <w:shd w:val="clear" w:color="000000" w:fill="FFFFFF"/>
            <w:noWrap/>
            <w:vAlign w:val="center"/>
            <w:hideMark/>
          </w:tcPr>
          <w:p w14:paraId="3B2D1D61" w14:textId="77777777" w:rsidR="001C5797" w:rsidRPr="00D73C18" w:rsidRDefault="001C5797" w:rsidP="00ED3175">
            <w:pPr>
              <w:spacing w:line="240" w:lineRule="auto"/>
              <w:jc w:val="both"/>
              <w:rPr>
                <w:rFonts w:ascii="Arial" w:hAnsi="Arial" w:cs="Arial"/>
                <w:sz w:val="20"/>
                <w:szCs w:val="20"/>
                <w:lang w:val="en-US"/>
              </w:rPr>
            </w:pPr>
            <w:r w:rsidRPr="00D73C18">
              <w:rPr>
                <w:rFonts w:ascii="Arial" w:hAnsi="Arial" w:cs="Arial"/>
                <w:sz w:val="20"/>
                <w:szCs w:val="20"/>
                <w:lang w:val="en-US"/>
              </w:rPr>
              <w:t>Heavily polluted</w:t>
            </w:r>
          </w:p>
          <w:p w14:paraId="6A5EF059" w14:textId="17448849" w:rsidR="00A21449" w:rsidRPr="00D73C18" w:rsidRDefault="00A21449" w:rsidP="00ED3175">
            <w:pPr>
              <w:spacing w:line="240" w:lineRule="auto"/>
              <w:jc w:val="both"/>
              <w:rPr>
                <w:rFonts w:ascii="Arial" w:hAnsi="Arial" w:cs="Arial"/>
                <w:color w:val="000000"/>
                <w:sz w:val="20"/>
                <w:szCs w:val="20"/>
              </w:rPr>
            </w:pPr>
          </w:p>
        </w:tc>
      </w:tr>
    </w:tbl>
    <w:p w14:paraId="16597DBD" w14:textId="77777777" w:rsidR="008169E9" w:rsidRPr="00D73C18" w:rsidRDefault="008169E9" w:rsidP="00ED3175">
      <w:pPr>
        <w:jc w:val="both"/>
        <w:rPr>
          <w:rFonts w:ascii="Arial" w:hAnsi="Arial" w:cs="Arial"/>
          <w:sz w:val="20"/>
          <w:szCs w:val="20"/>
          <w:lang w:val="en-US"/>
        </w:rPr>
      </w:pPr>
    </w:p>
    <w:p w14:paraId="7817015E" w14:textId="77777777" w:rsidR="00A21449" w:rsidRPr="00CC429D" w:rsidRDefault="00A21449" w:rsidP="00ED3175">
      <w:pPr>
        <w:jc w:val="both"/>
        <w:rPr>
          <w:rFonts w:ascii="Arial" w:hAnsi="Arial" w:cs="Arial"/>
          <w:b/>
          <w:bCs/>
          <w:lang w:val="en-US"/>
        </w:rPr>
      </w:pPr>
      <w:r w:rsidRPr="00CC429D">
        <w:rPr>
          <w:rFonts w:ascii="Arial" w:hAnsi="Arial" w:cs="Arial"/>
          <w:b/>
          <w:bCs/>
          <w:lang w:val="en-US"/>
        </w:rPr>
        <w:lastRenderedPageBreak/>
        <w:t>2.7. Sediment Quality Criteria</w:t>
      </w:r>
    </w:p>
    <w:p w14:paraId="259C69E9" w14:textId="17D8E621"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Quality criteria are reference values used to assess the risks posed by in-situ sediments. They are derived as averages of various threshold effect concentrations (TECs) or probable effect concentrations (PECs). For this study, the TEC and PEC thresholds defined in </w:t>
      </w:r>
      <w:r w:rsidR="00161AA5" w:rsidRPr="00D73C18">
        <w:rPr>
          <w:rFonts w:ascii="Arial" w:hAnsi="Arial" w:cs="Arial"/>
          <w:sz w:val="20"/>
          <w:szCs w:val="20"/>
          <w:lang w:val="en-US"/>
        </w:rPr>
        <w:t>Macdonald &amp; al (2000)</w:t>
      </w:r>
      <w:r w:rsidRPr="00D73C18">
        <w:rPr>
          <w:rFonts w:ascii="Arial" w:hAnsi="Arial" w:cs="Arial"/>
          <w:sz w:val="20"/>
          <w:szCs w:val="20"/>
          <w:lang w:val="en-US"/>
        </w:rPr>
        <w:t xml:space="preserve"> were used. The TEC (Threshold Effect Concentration) refers to the concentration limits of contaminants below which living organisms are not threatened. The PEC (Probable Effect Concentration) represents the concentrations of contaminants above which the contaminants have an effect on living organisms. Between the TEC and PEC values, the quality can be considered average, but no clear conclusion can be drawn regarding the actual risk. When more than 75% of a metal’s concentrations are below the reference TEC</w:t>
      </w:r>
      <w:r w:rsidR="00161AA5" w:rsidRPr="00D73C18">
        <w:rPr>
          <w:rFonts w:ascii="Arial" w:hAnsi="Arial" w:cs="Arial"/>
          <w:sz w:val="20"/>
          <w:szCs w:val="20"/>
          <w:lang w:val="en-US"/>
        </w:rPr>
        <w:t xml:space="preserve"> (Macdonald &amp; al, 2000)</w:t>
      </w:r>
      <w:r w:rsidRPr="00D73C18">
        <w:rPr>
          <w:rFonts w:ascii="Arial" w:hAnsi="Arial" w:cs="Arial"/>
          <w:sz w:val="20"/>
          <w:szCs w:val="20"/>
          <w:lang w:val="en-US"/>
        </w:rPr>
        <w:t>, that metal is considered to have no negative impact on the environment</w:t>
      </w:r>
      <w:r w:rsidR="00161AA5" w:rsidRPr="00D73C18">
        <w:rPr>
          <w:rFonts w:ascii="Arial" w:hAnsi="Arial" w:cs="Arial"/>
          <w:sz w:val="20"/>
          <w:szCs w:val="20"/>
          <w:lang w:val="en-US"/>
        </w:rPr>
        <w:t xml:space="preserve"> (Macdonald &amp; al, 2000)</w:t>
      </w:r>
      <w:r w:rsidRPr="00D73C18">
        <w:rPr>
          <w:rFonts w:ascii="Arial" w:hAnsi="Arial" w:cs="Arial"/>
          <w:sz w:val="20"/>
          <w:szCs w:val="20"/>
          <w:lang w:val="en-US"/>
        </w:rPr>
        <w:t>. If more than 75% of a metal’s concentrations exceed the reference PECs, that metal is hazardous to living organisms.</w:t>
      </w:r>
    </w:p>
    <w:p w14:paraId="6A55522F" w14:textId="78B1EDE4" w:rsidR="00A21449" w:rsidRPr="00D73C18" w:rsidRDefault="00A21449" w:rsidP="00ED3175">
      <w:pPr>
        <w:jc w:val="both"/>
        <w:rPr>
          <w:rFonts w:ascii="Arial" w:hAnsi="Arial" w:cs="Arial"/>
          <w:sz w:val="20"/>
          <w:szCs w:val="20"/>
          <w:lang w:val="en-US"/>
        </w:rPr>
      </w:pPr>
      <w:r w:rsidRPr="00D73C18">
        <w:rPr>
          <w:rFonts w:ascii="Arial" w:hAnsi="Arial" w:cs="Arial"/>
          <w:b/>
          <w:bCs/>
          <w:sz w:val="20"/>
          <w:szCs w:val="20"/>
          <w:lang w:val="en-US"/>
        </w:rPr>
        <w:t>Table 4</w:t>
      </w:r>
      <w:r w:rsidRPr="00D73C18">
        <w:rPr>
          <w:rFonts w:ascii="Arial" w:hAnsi="Arial" w:cs="Arial"/>
          <w:sz w:val="20"/>
          <w:szCs w:val="20"/>
          <w:lang w:val="en-US"/>
        </w:rPr>
        <w:t>—TEC and PEC Values</w:t>
      </w:r>
      <w:r w:rsidR="00161AA5" w:rsidRPr="00D73C18">
        <w:rPr>
          <w:rFonts w:ascii="Arial" w:hAnsi="Arial" w:cs="Arial"/>
          <w:sz w:val="20"/>
          <w:szCs w:val="20"/>
          <w:lang w:val="en-US"/>
        </w:rPr>
        <w:t xml:space="preserve"> (Macdonald &amp; al, 2000) </w:t>
      </w:r>
      <w:r w:rsidRPr="00D73C18">
        <w:rPr>
          <w:rFonts w:ascii="Arial" w:hAnsi="Arial" w:cs="Arial"/>
          <w:sz w:val="20"/>
          <w:szCs w:val="20"/>
          <w:lang w:val="en-US"/>
        </w:rPr>
        <w:t xml:space="preserve"> </w:t>
      </w:r>
    </w:p>
    <w:tbl>
      <w:tblPr>
        <w:tblStyle w:val="TableGrid"/>
        <w:tblW w:w="4560" w:type="pct"/>
        <w:tblInd w:w="0" w:type="dxa"/>
        <w:tblCellMar>
          <w:top w:w="9" w:type="dxa"/>
          <w:right w:w="115" w:type="dxa"/>
        </w:tblCellMar>
        <w:tblLook w:val="04A0" w:firstRow="1" w:lastRow="0" w:firstColumn="1" w:lastColumn="0" w:noHBand="0" w:noVBand="1"/>
      </w:tblPr>
      <w:tblGrid>
        <w:gridCol w:w="2628"/>
        <w:gridCol w:w="1057"/>
        <w:gridCol w:w="1057"/>
        <w:gridCol w:w="1060"/>
        <w:gridCol w:w="1115"/>
        <w:gridCol w:w="1661"/>
      </w:tblGrid>
      <w:tr w:rsidR="00A21449" w:rsidRPr="00D73C18" w14:paraId="14DC262C" w14:textId="77777777" w:rsidTr="00AB3053">
        <w:trPr>
          <w:trHeight w:val="20"/>
        </w:trPr>
        <w:tc>
          <w:tcPr>
            <w:tcW w:w="1532" w:type="pct"/>
            <w:tcBorders>
              <w:top w:val="single" w:sz="4" w:space="0" w:color="7F7F7F"/>
              <w:left w:val="nil"/>
              <w:bottom w:val="single" w:sz="4" w:space="0" w:color="7F7F7F"/>
              <w:right w:val="nil"/>
            </w:tcBorders>
            <w:vAlign w:val="center"/>
            <w:hideMark/>
          </w:tcPr>
          <w:p w14:paraId="35419AE8" w14:textId="77777777" w:rsidR="00A21449" w:rsidRPr="00D73C18" w:rsidRDefault="00A21449" w:rsidP="00AB3053">
            <w:pPr>
              <w:ind w:left="122"/>
              <w:jc w:val="both"/>
              <w:rPr>
                <w:rFonts w:ascii="Arial" w:hAnsi="Arial" w:cs="Arial"/>
                <w:sz w:val="20"/>
                <w:szCs w:val="20"/>
              </w:rPr>
            </w:pPr>
            <w:r w:rsidRPr="00D73C18">
              <w:rPr>
                <w:rFonts w:ascii="Arial" w:hAnsi="Arial" w:cs="Arial"/>
                <w:b/>
                <w:sz w:val="20"/>
                <w:szCs w:val="20"/>
              </w:rPr>
              <w:t>ETM</w:t>
            </w:r>
          </w:p>
        </w:tc>
        <w:tc>
          <w:tcPr>
            <w:tcW w:w="616" w:type="pct"/>
            <w:tcBorders>
              <w:top w:val="single" w:sz="4" w:space="0" w:color="7F7F7F"/>
              <w:left w:val="nil"/>
              <w:bottom w:val="single" w:sz="4" w:space="0" w:color="7F7F7F"/>
              <w:right w:val="nil"/>
            </w:tcBorders>
            <w:vAlign w:val="center"/>
            <w:hideMark/>
          </w:tcPr>
          <w:p w14:paraId="30E082EF" w14:textId="77777777" w:rsidR="00A21449" w:rsidRPr="00D73C18" w:rsidRDefault="00A21449" w:rsidP="00AB3053">
            <w:pPr>
              <w:jc w:val="both"/>
              <w:rPr>
                <w:rFonts w:ascii="Arial" w:hAnsi="Arial" w:cs="Arial"/>
                <w:sz w:val="20"/>
                <w:szCs w:val="20"/>
              </w:rPr>
            </w:pPr>
            <w:r w:rsidRPr="00D73C18">
              <w:rPr>
                <w:rFonts w:ascii="Arial" w:hAnsi="Arial" w:cs="Arial"/>
                <w:b/>
                <w:sz w:val="20"/>
                <w:szCs w:val="20"/>
              </w:rPr>
              <w:t>Cu</w:t>
            </w:r>
          </w:p>
        </w:tc>
        <w:tc>
          <w:tcPr>
            <w:tcW w:w="616" w:type="pct"/>
            <w:tcBorders>
              <w:top w:val="single" w:sz="4" w:space="0" w:color="7F7F7F"/>
              <w:left w:val="nil"/>
              <w:bottom w:val="single" w:sz="4" w:space="0" w:color="7F7F7F"/>
              <w:right w:val="nil"/>
            </w:tcBorders>
            <w:vAlign w:val="center"/>
            <w:hideMark/>
          </w:tcPr>
          <w:p w14:paraId="300BDDB2" w14:textId="77777777" w:rsidR="00A21449" w:rsidRPr="00D73C18" w:rsidRDefault="00A21449" w:rsidP="00AB3053">
            <w:pPr>
              <w:jc w:val="both"/>
              <w:rPr>
                <w:rFonts w:ascii="Arial" w:hAnsi="Arial" w:cs="Arial"/>
                <w:sz w:val="20"/>
                <w:szCs w:val="20"/>
              </w:rPr>
            </w:pPr>
            <w:r w:rsidRPr="00D73C18">
              <w:rPr>
                <w:rFonts w:ascii="Arial" w:hAnsi="Arial" w:cs="Arial"/>
                <w:b/>
                <w:sz w:val="20"/>
                <w:szCs w:val="20"/>
              </w:rPr>
              <w:t>Zn</w:t>
            </w:r>
          </w:p>
        </w:tc>
        <w:tc>
          <w:tcPr>
            <w:tcW w:w="618" w:type="pct"/>
            <w:tcBorders>
              <w:top w:val="single" w:sz="4" w:space="0" w:color="7F7F7F"/>
              <w:left w:val="nil"/>
              <w:bottom w:val="single" w:sz="4" w:space="0" w:color="7F7F7F"/>
              <w:right w:val="nil"/>
            </w:tcBorders>
            <w:vAlign w:val="center"/>
            <w:hideMark/>
          </w:tcPr>
          <w:p w14:paraId="5244CB75" w14:textId="77777777" w:rsidR="00A21449" w:rsidRPr="00D73C18" w:rsidRDefault="00A21449" w:rsidP="00AB3053">
            <w:pPr>
              <w:jc w:val="both"/>
              <w:rPr>
                <w:rFonts w:ascii="Arial" w:hAnsi="Arial" w:cs="Arial"/>
                <w:sz w:val="20"/>
                <w:szCs w:val="20"/>
              </w:rPr>
            </w:pPr>
            <w:r w:rsidRPr="00D73C18">
              <w:rPr>
                <w:rFonts w:ascii="Arial" w:hAnsi="Arial" w:cs="Arial"/>
                <w:b/>
                <w:sz w:val="20"/>
                <w:szCs w:val="20"/>
              </w:rPr>
              <w:t>As</w:t>
            </w:r>
          </w:p>
        </w:tc>
        <w:tc>
          <w:tcPr>
            <w:tcW w:w="650" w:type="pct"/>
            <w:tcBorders>
              <w:top w:val="single" w:sz="4" w:space="0" w:color="7F7F7F"/>
              <w:left w:val="nil"/>
              <w:bottom w:val="single" w:sz="4" w:space="0" w:color="7F7F7F"/>
              <w:right w:val="nil"/>
            </w:tcBorders>
            <w:vAlign w:val="center"/>
            <w:hideMark/>
          </w:tcPr>
          <w:p w14:paraId="343E2085" w14:textId="77777777" w:rsidR="00A21449" w:rsidRPr="00D73C18" w:rsidRDefault="00A21449" w:rsidP="00AB3053">
            <w:pPr>
              <w:tabs>
                <w:tab w:val="center" w:pos="917"/>
              </w:tabs>
              <w:jc w:val="both"/>
              <w:rPr>
                <w:rFonts w:ascii="Arial" w:hAnsi="Arial" w:cs="Arial"/>
                <w:sz w:val="20"/>
                <w:szCs w:val="20"/>
              </w:rPr>
            </w:pPr>
            <w:r w:rsidRPr="00D73C18">
              <w:rPr>
                <w:rFonts w:ascii="Arial" w:hAnsi="Arial" w:cs="Arial"/>
                <w:b/>
                <w:sz w:val="20"/>
                <w:szCs w:val="20"/>
              </w:rPr>
              <w:t>Cd</w:t>
            </w:r>
          </w:p>
        </w:tc>
        <w:tc>
          <w:tcPr>
            <w:tcW w:w="968" w:type="pct"/>
            <w:tcBorders>
              <w:top w:val="single" w:sz="4" w:space="0" w:color="7F7F7F"/>
              <w:left w:val="nil"/>
              <w:bottom w:val="single" w:sz="4" w:space="0" w:color="7F7F7F"/>
              <w:right w:val="nil"/>
            </w:tcBorders>
            <w:vAlign w:val="center"/>
          </w:tcPr>
          <w:p w14:paraId="4E726010" w14:textId="77777777" w:rsidR="00A21449" w:rsidRPr="00D73C18" w:rsidRDefault="00A21449" w:rsidP="00AB3053">
            <w:pPr>
              <w:tabs>
                <w:tab w:val="center" w:pos="917"/>
              </w:tabs>
              <w:jc w:val="both"/>
              <w:rPr>
                <w:rFonts w:ascii="Arial" w:hAnsi="Arial" w:cs="Arial"/>
                <w:b/>
                <w:sz w:val="20"/>
                <w:szCs w:val="20"/>
              </w:rPr>
            </w:pPr>
            <w:r w:rsidRPr="00D73C18">
              <w:rPr>
                <w:rFonts w:ascii="Arial" w:hAnsi="Arial" w:cs="Arial"/>
                <w:b/>
                <w:sz w:val="20"/>
                <w:szCs w:val="20"/>
              </w:rPr>
              <w:t>Pb</w:t>
            </w:r>
          </w:p>
        </w:tc>
      </w:tr>
      <w:tr w:rsidR="00A21449" w:rsidRPr="00D73C18" w14:paraId="1297136B" w14:textId="77777777" w:rsidTr="00AB3053">
        <w:trPr>
          <w:trHeight w:val="20"/>
        </w:trPr>
        <w:tc>
          <w:tcPr>
            <w:tcW w:w="1532" w:type="pct"/>
            <w:tcBorders>
              <w:top w:val="single" w:sz="4" w:space="0" w:color="7F7F7F"/>
              <w:left w:val="nil"/>
              <w:bottom w:val="nil"/>
              <w:right w:val="nil"/>
            </w:tcBorders>
            <w:vAlign w:val="center"/>
            <w:hideMark/>
          </w:tcPr>
          <w:p w14:paraId="5CB13016" w14:textId="77777777" w:rsidR="00A21449" w:rsidRPr="00D73C18" w:rsidRDefault="00A21449" w:rsidP="00AB3053">
            <w:pPr>
              <w:ind w:left="122"/>
              <w:jc w:val="both"/>
              <w:rPr>
                <w:rFonts w:ascii="Arial" w:hAnsi="Arial" w:cs="Arial"/>
                <w:sz w:val="20"/>
                <w:szCs w:val="20"/>
              </w:rPr>
            </w:pPr>
            <w:r w:rsidRPr="00D73C18">
              <w:rPr>
                <w:rFonts w:ascii="Arial" w:hAnsi="Arial" w:cs="Arial"/>
                <w:b/>
                <w:sz w:val="20"/>
                <w:szCs w:val="20"/>
              </w:rPr>
              <w:t>TEC (mg/kg)</w:t>
            </w:r>
          </w:p>
        </w:tc>
        <w:tc>
          <w:tcPr>
            <w:tcW w:w="616" w:type="pct"/>
            <w:tcBorders>
              <w:top w:val="single" w:sz="4" w:space="0" w:color="7F7F7F"/>
              <w:left w:val="nil"/>
              <w:bottom w:val="nil"/>
              <w:right w:val="nil"/>
            </w:tcBorders>
            <w:vAlign w:val="center"/>
            <w:hideMark/>
          </w:tcPr>
          <w:p w14:paraId="148EAE7C" w14:textId="77777777" w:rsidR="00A21449" w:rsidRPr="00D73C18" w:rsidRDefault="00A21449" w:rsidP="00AB3053">
            <w:pPr>
              <w:jc w:val="both"/>
              <w:rPr>
                <w:rFonts w:ascii="Arial" w:hAnsi="Arial" w:cs="Arial"/>
                <w:sz w:val="20"/>
                <w:szCs w:val="20"/>
              </w:rPr>
            </w:pPr>
            <w:r w:rsidRPr="00D73C18">
              <w:rPr>
                <w:rFonts w:ascii="Arial" w:hAnsi="Arial" w:cs="Arial"/>
                <w:sz w:val="20"/>
                <w:szCs w:val="20"/>
              </w:rPr>
              <w:t>31</w:t>
            </w:r>
          </w:p>
        </w:tc>
        <w:tc>
          <w:tcPr>
            <w:tcW w:w="616" w:type="pct"/>
            <w:tcBorders>
              <w:top w:val="single" w:sz="4" w:space="0" w:color="7F7F7F"/>
              <w:left w:val="nil"/>
              <w:bottom w:val="nil"/>
              <w:right w:val="nil"/>
            </w:tcBorders>
            <w:vAlign w:val="center"/>
            <w:hideMark/>
          </w:tcPr>
          <w:p w14:paraId="40C89381" w14:textId="77777777" w:rsidR="00A21449" w:rsidRPr="00D73C18" w:rsidRDefault="00A21449" w:rsidP="00AB3053">
            <w:pPr>
              <w:jc w:val="both"/>
              <w:rPr>
                <w:rFonts w:ascii="Arial" w:hAnsi="Arial" w:cs="Arial"/>
                <w:sz w:val="20"/>
                <w:szCs w:val="20"/>
              </w:rPr>
            </w:pPr>
            <w:r w:rsidRPr="00D73C18">
              <w:rPr>
                <w:rFonts w:ascii="Arial" w:hAnsi="Arial" w:cs="Arial"/>
                <w:sz w:val="20"/>
                <w:szCs w:val="20"/>
              </w:rPr>
              <w:t>121</w:t>
            </w:r>
          </w:p>
        </w:tc>
        <w:tc>
          <w:tcPr>
            <w:tcW w:w="618" w:type="pct"/>
            <w:tcBorders>
              <w:top w:val="single" w:sz="4" w:space="0" w:color="7F7F7F"/>
              <w:left w:val="nil"/>
              <w:bottom w:val="nil"/>
              <w:right w:val="nil"/>
            </w:tcBorders>
            <w:vAlign w:val="center"/>
            <w:hideMark/>
          </w:tcPr>
          <w:p w14:paraId="69CF8823" w14:textId="2EF3085C" w:rsidR="00A21449" w:rsidRPr="00D73C18" w:rsidRDefault="00A21449" w:rsidP="00AB3053">
            <w:pPr>
              <w:jc w:val="both"/>
              <w:rPr>
                <w:rFonts w:ascii="Arial" w:hAnsi="Arial" w:cs="Arial"/>
                <w:sz w:val="20"/>
                <w:szCs w:val="20"/>
              </w:rPr>
            </w:pPr>
            <w:r w:rsidRPr="00D73C18">
              <w:rPr>
                <w:rFonts w:ascii="Arial" w:hAnsi="Arial" w:cs="Arial"/>
                <w:sz w:val="20"/>
                <w:szCs w:val="20"/>
              </w:rPr>
              <w:t>9</w:t>
            </w:r>
            <w:r w:rsidR="00ED3175" w:rsidRPr="00D73C18">
              <w:rPr>
                <w:rFonts w:ascii="Arial" w:hAnsi="Arial" w:cs="Arial"/>
                <w:sz w:val="20"/>
                <w:szCs w:val="20"/>
              </w:rPr>
              <w:t>.</w:t>
            </w:r>
            <w:r w:rsidRPr="00D73C18">
              <w:rPr>
                <w:rFonts w:ascii="Arial" w:hAnsi="Arial" w:cs="Arial"/>
                <w:sz w:val="20"/>
                <w:szCs w:val="20"/>
              </w:rPr>
              <w:t>79</w:t>
            </w:r>
          </w:p>
        </w:tc>
        <w:tc>
          <w:tcPr>
            <w:tcW w:w="650" w:type="pct"/>
            <w:tcBorders>
              <w:top w:val="single" w:sz="4" w:space="0" w:color="7F7F7F"/>
              <w:left w:val="nil"/>
              <w:bottom w:val="nil"/>
              <w:right w:val="nil"/>
            </w:tcBorders>
            <w:vAlign w:val="center"/>
            <w:hideMark/>
          </w:tcPr>
          <w:p w14:paraId="59A6A378" w14:textId="258D8A9B" w:rsidR="00A21449" w:rsidRPr="00D73C18" w:rsidRDefault="00A21449" w:rsidP="00AB3053">
            <w:pPr>
              <w:jc w:val="both"/>
              <w:rPr>
                <w:rFonts w:ascii="Arial" w:hAnsi="Arial" w:cs="Arial"/>
                <w:sz w:val="20"/>
                <w:szCs w:val="20"/>
              </w:rPr>
            </w:pPr>
            <w:r w:rsidRPr="00D73C18">
              <w:rPr>
                <w:rFonts w:ascii="Arial" w:hAnsi="Arial" w:cs="Arial"/>
                <w:sz w:val="20"/>
                <w:szCs w:val="20"/>
              </w:rPr>
              <w:t>0</w:t>
            </w:r>
            <w:r w:rsidR="00ED3175" w:rsidRPr="00D73C18">
              <w:rPr>
                <w:rFonts w:ascii="Arial" w:hAnsi="Arial" w:cs="Arial"/>
                <w:sz w:val="20"/>
                <w:szCs w:val="20"/>
              </w:rPr>
              <w:t>.</w:t>
            </w:r>
            <w:r w:rsidRPr="00D73C18">
              <w:rPr>
                <w:rFonts w:ascii="Arial" w:hAnsi="Arial" w:cs="Arial"/>
                <w:sz w:val="20"/>
                <w:szCs w:val="20"/>
              </w:rPr>
              <w:t>99</w:t>
            </w:r>
          </w:p>
        </w:tc>
        <w:tc>
          <w:tcPr>
            <w:tcW w:w="968" w:type="pct"/>
            <w:tcBorders>
              <w:top w:val="single" w:sz="4" w:space="0" w:color="7F7F7F"/>
              <w:left w:val="nil"/>
              <w:bottom w:val="nil"/>
              <w:right w:val="nil"/>
            </w:tcBorders>
            <w:vAlign w:val="center"/>
          </w:tcPr>
          <w:p w14:paraId="68DA1CFD" w14:textId="4066014A" w:rsidR="00A21449" w:rsidRPr="00D73C18" w:rsidRDefault="00A21449" w:rsidP="00AB3053">
            <w:pPr>
              <w:jc w:val="both"/>
              <w:rPr>
                <w:rFonts w:ascii="Arial" w:hAnsi="Arial" w:cs="Arial"/>
                <w:sz w:val="20"/>
                <w:szCs w:val="20"/>
              </w:rPr>
            </w:pPr>
            <w:r w:rsidRPr="00D73C18">
              <w:rPr>
                <w:rFonts w:ascii="Arial" w:hAnsi="Arial" w:cs="Arial"/>
                <w:sz w:val="20"/>
                <w:szCs w:val="20"/>
              </w:rPr>
              <w:t>35</w:t>
            </w:r>
            <w:r w:rsidR="00ED3175" w:rsidRPr="00D73C18">
              <w:rPr>
                <w:rFonts w:ascii="Arial" w:hAnsi="Arial" w:cs="Arial"/>
                <w:sz w:val="20"/>
                <w:szCs w:val="20"/>
              </w:rPr>
              <w:t>.</w:t>
            </w:r>
            <w:r w:rsidRPr="00D73C18">
              <w:rPr>
                <w:rFonts w:ascii="Arial" w:hAnsi="Arial" w:cs="Arial"/>
                <w:sz w:val="20"/>
                <w:szCs w:val="20"/>
              </w:rPr>
              <w:t>6</w:t>
            </w:r>
          </w:p>
        </w:tc>
      </w:tr>
      <w:tr w:rsidR="00A21449" w:rsidRPr="00D73C18" w14:paraId="25739F8E" w14:textId="77777777" w:rsidTr="00AB3053">
        <w:trPr>
          <w:trHeight w:val="20"/>
        </w:trPr>
        <w:tc>
          <w:tcPr>
            <w:tcW w:w="1532" w:type="pct"/>
            <w:tcBorders>
              <w:top w:val="nil"/>
              <w:left w:val="nil"/>
              <w:bottom w:val="single" w:sz="4" w:space="0" w:color="7F7F7F"/>
              <w:right w:val="nil"/>
            </w:tcBorders>
            <w:vAlign w:val="center"/>
            <w:hideMark/>
          </w:tcPr>
          <w:p w14:paraId="48D0ACDD" w14:textId="77777777" w:rsidR="00A21449" w:rsidRPr="00D73C18" w:rsidRDefault="00A21449" w:rsidP="00AB3053">
            <w:pPr>
              <w:ind w:left="122"/>
              <w:jc w:val="both"/>
              <w:rPr>
                <w:rFonts w:ascii="Arial" w:hAnsi="Arial" w:cs="Arial"/>
                <w:sz w:val="20"/>
                <w:szCs w:val="20"/>
              </w:rPr>
            </w:pPr>
            <w:r w:rsidRPr="00D73C18">
              <w:rPr>
                <w:rFonts w:ascii="Arial" w:hAnsi="Arial" w:cs="Arial"/>
                <w:b/>
                <w:sz w:val="20"/>
                <w:szCs w:val="20"/>
              </w:rPr>
              <w:t>PEC (mg/kg)</w:t>
            </w:r>
          </w:p>
        </w:tc>
        <w:tc>
          <w:tcPr>
            <w:tcW w:w="616" w:type="pct"/>
            <w:tcBorders>
              <w:top w:val="nil"/>
              <w:left w:val="nil"/>
              <w:bottom w:val="single" w:sz="4" w:space="0" w:color="7F7F7F"/>
              <w:right w:val="nil"/>
            </w:tcBorders>
            <w:vAlign w:val="center"/>
            <w:hideMark/>
          </w:tcPr>
          <w:p w14:paraId="08846E95" w14:textId="77777777" w:rsidR="00A21449" w:rsidRPr="00D73C18" w:rsidRDefault="00A21449" w:rsidP="00AB3053">
            <w:pPr>
              <w:jc w:val="both"/>
              <w:rPr>
                <w:rFonts w:ascii="Arial" w:hAnsi="Arial" w:cs="Arial"/>
                <w:sz w:val="20"/>
                <w:szCs w:val="20"/>
              </w:rPr>
            </w:pPr>
            <w:r w:rsidRPr="00D73C18">
              <w:rPr>
                <w:rFonts w:ascii="Arial" w:hAnsi="Arial" w:cs="Arial"/>
                <w:sz w:val="20"/>
                <w:szCs w:val="20"/>
              </w:rPr>
              <w:t>149</w:t>
            </w:r>
          </w:p>
        </w:tc>
        <w:tc>
          <w:tcPr>
            <w:tcW w:w="616" w:type="pct"/>
            <w:tcBorders>
              <w:top w:val="nil"/>
              <w:left w:val="nil"/>
              <w:bottom w:val="single" w:sz="4" w:space="0" w:color="7F7F7F"/>
              <w:right w:val="nil"/>
            </w:tcBorders>
            <w:vAlign w:val="center"/>
            <w:hideMark/>
          </w:tcPr>
          <w:p w14:paraId="5B930ADE" w14:textId="77777777" w:rsidR="00A21449" w:rsidRPr="00D73C18" w:rsidRDefault="00A21449" w:rsidP="00AB3053">
            <w:pPr>
              <w:jc w:val="both"/>
              <w:rPr>
                <w:rFonts w:ascii="Arial" w:hAnsi="Arial" w:cs="Arial"/>
                <w:sz w:val="20"/>
                <w:szCs w:val="20"/>
              </w:rPr>
            </w:pPr>
            <w:r w:rsidRPr="00D73C18">
              <w:rPr>
                <w:rFonts w:ascii="Arial" w:hAnsi="Arial" w:cs="Arial"/>
                <w:sz w:val="20"/>
                <w:szCs w:val="20"/>
              </w:rPr>
              <w:t>459</w:t>
            </w:r>
          </w:p>
        </w:tc>
        <w:tc>
          <w:tcPr>
            <w:tcW w:w="618" w:type="pct"/>
            <w:tcBorders>
              <w:top w:val="nil"/>
              <w:left w:val="nil"/>
              <w:bottom w:val="single" w:sz="4" w:space="0" w:color="7F7F7F"/>
              <w:right w:val="nil"/>
            </w:tcBorders>
            <w:vAlign w:val="center"/>
            <w:hideMark/>
          </w:tcPr>
          <w:p w14:paraId="3314BE17" w14:textId="77777777" w:rsidR="00A21449" w:rsidRPr="00D73C18" w:rsidRDefault="00A21449" w:rsidP="00AB3053">
            <w:pPr>
              <w:jc w:val="both"/>
              <w:rPr>
                <w:rFonts w:ascii="Arial" w:hAnsi="Arial" w:cs="Arial"/>
                <w:sz w:val="20"/>
                <w:szCs w:val="20"/>
              </w:rPr>
            </w:pPr>
            <w:r w:rsidRPr="00D73C18">
              <w:rPr>
                <w:rFonts w:ascii="Arial" w:hAnsi="Arial" w:cs="Arial"/>
                <w:sz w:val="20"/>
                <w:szCs w:val="20"/>
              </w:rPr>
              <w:t>33</w:t>
            </w:r>
          </w:p>
        </w:tc>
        <w:tc>
          <w:tcPr>
            <w:tcW w:w="650" w:type="pct"/>
            <w:tcBorders>
              <w:top w:val="nil"/>
              <w:left w:val="nil"/>
              <w:bottom w:val="single" w:sz="4" w:space="0" w:color="7F7F7F"/>
              <w:right w:val="nil"/>
            </w:tcBorders>
            <w:vAlign w:val="center"/>
            <w:hideMark/>
          </w:tcPr>
          <w:p w14:paraId="3DCD5139" w14:textId="20AFE877" w:rsidR="00A21449" w:rsidRPr="00D73C18" w:rsidRDefault="00A21449" w:rsidP="00AB3053">
            <w:pPr>
              <w:jc w:val="both"/>
              <w:rPr>
                <w:rFonts w:ascii="Arial" w:hAnsi="Arial" w:cs="Arial"/>
                <w:sz w:val="20"/>
                <w:szCs w:val="20"/>
              </w:rPr>
            </w:pPr>
            <w:r w:rsidRPr="00D73C18">
              <w:rPr>
                <w:rFonts w:ascii="Arial" w:hAnsi="Arial" w:cs="Arial"/>
                <w:sz w:val="20"/>
                <w:szCs w:val="20"/>
              </w:rPr>
              <w:t>4</w:t>
            </w:r>
            <w:r w:rsidR="00ED3175" w:rsidRPr="00D73C18">
              <w:rPr>
                <w:rFonts w:ascii="Arial" w:hAnsi="Arial" w:cs="Arial"/>
                <w:sz w:val="20"/>
                <w:szCs w:val="20"/>
              </w:rPr>
              <w:t>.</w:t>
            </w:r>
            <w:r w:rsidRPr="00D73C18">
              <w:rPr>
                <w:rFonts w:ascii="Arial" w:hAnsi="Arial" w:cs="Arial"/>
                <w:sz w:val="20"/>
                <w:szCs w:val="20"/>
              </w:rPr>
              <w:t>98</w:t>
            </w:r>
          </w:p>
        </w:tc>
        <w:tc>
          <w:tcPr>
            <w:tcW w:w="968" w:type="pct"/>
            <w:tcBorders>
              <w:top w:val="nil"/>
              <w:left w:val="nil"/>
              <w:bottom w:val="single" w:sz="4" w:space="0" w:color="7F7F7F"/>
              <w:right w:val="nil"/>
            </w:tcBorders>
            <w:vAlign w:val="center"/>
          </w:tcPr>
          <w:p w14:paraId="08B1BB85" w14:textId="77777777" w:rsidR="00A21449" w:rsidRPr="00D73C18" w:rsidRDefault="00A21449" w:rsidP="00AB3053">
            <w:pPr>
              <w:jc w:val="both"/>
              <w:rPr>
                <w:rFonts w:ascii="Arial" w:hAnsi="Arial" w:cs="Arial"/>
                <w:sz w:val="20"/>
                <w:szCs w:val="20"/>
              </w:rPr>
            </w:pPr>
            <w:r w:rsidRPr="00D73C18">
              <w:rPr>
                <w:rFonts w:ascii="Arial" w:hAnsi="Arial" w:cs="Arial"/>
                <w:sz w:val="20"/>
                <w:szCs w:val="20"/>
              </w:rPr>
              <w:t>128</w:t>
            </w:r>
          </w:p>
        </w:tc>
      </w:tr>
    </w:tbl>
    <w:p w14:paraId="5A7960FF" w14:textId="77777777" w:rsidR="007363EB" w:rsidRPr="00D73C18" w:rsidRDefault="007363EB" w:rsidP="00ED3175">
      <w:pPr>
        <w:jc w:val="both"/>
        <w:rPr>
          <w:rFonts w:ascii="Arial" w:hAnsi="Arial" w:cs="Arial"/>
          <w:sz w:val="20"/>
          <w:szCs w:val="20"/>
          <w:lang w:val="en-US"/>
        </w:rPr>
      </w:pPr>
    </w:p>
    <w:p w14:paraId="13FE0E19" w14:textId="77777777" w:rsidR="00A21449" w:rsidRPr="00CC429D" w:rsidRDefault="00A21449" w:rsidP="00ED3175">
      <w:pPr>
        <w:jc w:val="both"/>
        <w:rPr>
          <w:rFonts w:ascii="Arial" w:hAnsi="Arial" w:cs="Arial"/>
          <w:b/>
          <w:bCs/>
          <w:lang w:val="en-US"/>
        </w:rPr>
      </w:pPr>
      <w:r w:rsidRPr="00CC429D">
        <w:rPr>
          <w:rFonts w:ascii="Arial" w:hAnsi="Arial" w:cs="Arial"/>
          <w:b/>
          <w:bCs/>
          <w:lang w:val="en-US"/>
        </w:rPr>
        <w:t>3. RESULTS AND DISCUSSION</w:t>
      </w:r>
    </w:p>
    <w:p w14:paraId="146F7FA5" w14:textId="0784B3A5" w:rsidR="00A21449" w:rsidRPr="00CC429D" w:rsidRDefault="00A21449" w:rsidP="00ED3175">
      <w:pPr>
        <w:jc w:val="both"/>
        <w:rPr>
          <w:rFonts w:ascii="Arial" w:hAnsi="Arial" w:cs="Arial"/>
          <w:b/>
          <w:bCs/>
          <w:lang w:val="en-US"/>
        </w:rPr>
      </w:pPr>
      <w:r w:rsidRPr="00CC429D">
        <w:rPr>
          <w:rFonts w:ascii="Arial" w:hAnsi="Arial" w:cs="Arial"/>
          <w:b/>
          <w:bCs/>
          <w:lang w:val="en-US"/>
        </w:rPr>
        <w:t xml:space="preserve">3.1. Concentrations of Trace Metal Elements in Sediments from the </w:t>
      </w:r>
      <w:proofErr w:type="spellStart"/>
      <w:r w:rsidRPr="00CC429D">
        <w:rPr>
          <w:rFonts w:ascii="Arial" w:hAnsi="Arial" w:cs="Arial"/>
          <w:b/>
          <w:bCs/>
          <w:lang w:val="en-US"/>
        </w:rPr>
        <w:t>Ebri</w:t>
      </w:r>
      <w:r w:rsidR="00ED3175" w:rsidRPr="00CC429D">
        <w:rPr>
          <w:rFonts w:ascii="Arial" w:hAnsi="Arial" w:cs="Arial"/>
          <w:b/>
          <w:bCs/>
          <w:lang w:val="en-US"/>
        </w:rPr>
        <w:t>e</w:t>
      </w:r>
      <w:proofErr w:type="spellEnd"/>
      <w:r w:rsidRPr="00CC429D">
        <w:rPr>
          <w:rFonts w:ascii="Arial" w:hAnsi="Arial" w:cs="Arial"/>
          <w:b/>
          <w:bCs/>
          <w:lang w:val="en-US"/>
        </w:rPr>
        <w:t xml:space="preserve"> Lagoon, Treichville Area </w:t>
      </w:r>
    </w:p>
    <w:p w14:paraId="14809704"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The results of the trace metal element analysis of the sediments studied are presented in Table 5. These results indicate the following concentration ranges for each trace metal element: </w:t>
      </w:r>
    </w:p>
    <w:p w14:paraId="186E5644" w14:textId="08EC63B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Aluminum: Aluminum concentrations range from 531.8 to 178</w:t>
      </w:r>
      <w:r w:rsidR="00161AA5" w:rsidRPr="00D73C18">
        <w:rPr>
          <w:rFonts w:ascii="Arial" w:hAnsi="Arial" w:cs="Arial"/>
          <w:sz w:val="20"/>
          <w:szCs w:val="20"/>
          <w:lang w:val="en-US"/>
        </w:rPr>
        <w:t>.</w:t>
      </w:r>
      <w:r w:rsidRPr="00D73C18">
        <w:rPr>
          <w:rFonts w:ascii="Arial" w:hAnsi="Arial" w:cs="Arial"/>
          <w:sz w:val="20"/>
          <w:szCs w:val="20"/>
          <w:lang w:val="en-US"/>
        </w:rPr>
        <w:t>500 mg/kg, with an average of 46470.125 mg/kg. All samples have Al concentrations below the value of 77</w:t>
      </w:r>
      <w:r w:rsidR="00161AA5" w:rsidRPr="00D73C18">
        <w:rPr>
          <w:rFonts w:ascii="Arial" w:hAnsi="Arial" w:cs="Arial"/>
          <w:sz w:val="20"/>
          <w:szCs w:val="20"/>
          <w:lang w:val="en-US"/>
        </w:rPr>
        <w:t>.</w:t>
      </w:r>
      <w:r w:rsidRPr="00D73C18">
        <w:rPr>
          <w:rFonts w:ascii="Arial" w:hAnsi="Arial" w:cs="Arial"/>
          <w:sz w:val="20"/>
          <w:szCs w:val="20"/>
          <w:lang w:val="en-US"/>
        </w:rPr>
        <w:t xml:space="preserve">440 mg/kg observed in the crust. At </w:t>
      </w:r>
      <w:proofErr w:type="spellStart"/>
      <w:r w:rsidRPr="00D73C18">
        <w:rPr>
          <w:rFonts w:ascii="Arial" w:hAnsi="Arial" w:cs="Arial"/>
          <w:sz w:val="20"/>
          <w:szCs w:val="20"/>
          <w:lang w:val="en-US"/>
        </w:rPr>
        <w:t>Mouillage</w:t>
      </w:r>
      <w:proofErr w:type="spellEnd"/>
      <w:r w:rsidRPr="00D73C18">
        <w:rPr>
          <w:rFonts w:ascii="Arial" w:hAnsi="Arial" w:cs="Arial"/>
          <w:sz w:val="20"/>
          <w:szCs w:val="20"/>
          <w:lang w:val="en-US"/>
        </w:rPr>
        <w:t>, the Al concentration is very high.</w:t>
      </w:r>
    </w:p>
    <w:p w14:paraId="5BF03788"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Arsenic: The arsenic concentrations measured in the sediments are 0.0005 mg/kg. The average concentration is 0.0005 mg/kg. All samples have arsenic (As) concentrations below the crust value of 2 mg/kg.</w:t>
      </w:r>
    </w:p>
    <w:p w14:paraId="79513BD4"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Cadmium: Cadmium shows a constant concentration at all sampling points in the lagoon sediments. This concentration is 0.05 mg/kg. It is below the established threshold values for the continental crust (UCC Cd = 0.102 mg/kg).</w:t>
      </w:r>
    </w:p>
    <w:p w14:paraId="3C71204A"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Copper: Cu concentrations range from 2.718 mg/kg to 528.8 mg/kg, with a calculated average of 137.3625 mg/kg. Among the sediments sampled, the anchorage samples have Cu concentrations higher than those of the crust (UCC Cu = 14 mg/kg). The anchorage sample has a high concentration compared to that of uncontaminated sediments (Cu = 33 mg/kg). </w:t>
      </w:r>
    </w:p>
    <w:p w14:paraId="2F7BF14F" w14:textId="6FBA06E2"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Iron: Iron concentrations range from 365.7 mg/kg to 45</w:t>
      </w:r>
      <w:r w:rsidR="00161AA5" w:rsidRPr="00D73C18">
        <w:rPr>
          <w:rFonts w:ascii="Arial" w:hAnsi="Arial" w:cs="Arial"/>
          <w:sz w:val="20"/>
          <w:szCs w:val="20"/>
          <w:lang w:val="en-US"/>
        </w:rPr>
        <w:t>.</w:t>
      </w:r>
      <w:r w:rsidRPr="00D73C18">
        <w:rPr>
          <w:rFonts w:ascii="Arial" w:hAnsi="Arial" w:cs="Arial"/>
          <w:sz w:val="20"/>
          <w:szCs w:val="20"/>
          <w:lang w:val="en-US"/>
        </w:rPr>
        <w:t xml:space="preserve">220 mg/kg, with an average of 12094.28 mg/kg. Sediment concentrations at the anchorage exceed the UCC limit (30,890 mg/kg). </w:t>
      </w:r>
    </w:p>
    <w:p w14:paraId="40E52D0E" w14:textId="59EDB1AC"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Potassium: Potassium concentrations range from 90.72 to 10</w:t>
      </w:r>
      <w:r w:rsidR="00161AA5" w:rsidRPr="00D73C18">
        <w:rPr>
          <w:rFonts w:ascii="Arial" w:hAnsi="Arial" w:cs="Arial"/>
          <w:sz w:val="20"/>
          <w:szCs w:val="20"/>
          <w:lang w:val="en-US"/>
        </w:rPr>
        <w:t>.</w:t>
      </w:r>
      <w:r w:rsidRPr="00D73C18">
        <w:rPr>
          <w:rFonts w:ascii="Arial" w:hAnsi="Arial" w:cs="Arial"/>
          <w:sz w:val="20"/>
          <w:szCs w:val="20"/>
          <w:lang w:val="en-US"/>
        </w:rPr>
        <w:t>83 mg/kg, with an average of 2861.49 mg/kg. Overall, they are lower than the estimated potassium concentration in the continental crust, which is 2865</w:t>
      </w:r>
      <w:r w:rsidR="00ED3175" w:rsidRPr="00D73C18">
        <w:rPr>
          <w:rFonts w:ascii="Arial" w:hAnsi="Arial" w:cs="Arial"/>
          <w:sz w:val="20"/>
          <w:szCs w:val="20"/>
          <w:lang w:val="en-US"/>
        </w:rPr>
        <w:t>0</w:t>
      </w:r>
      <w:r w:rsidRPr="00D73C18">
        <w:rPr>
          <w:rFonts w:ascii="Arial" w:hAnsi="Arial" w:cs="Arial"/>
          <w:sz w:val="20"/>
          <w:szCs w:val="20"/>
          <w:lang w:val="en-US"/>
        </w:rPr>
        <w:t xml:space="preserve"> mg/kg. However, the highest value was recorded at the anchorage.</w:t>
      </w:r>
    </w:p>
    <w:p w14:paraId="5FB3C047" w14:textId="4B3E52D4"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Magnesium: Magnesium concentrations range from 133.1 to 9594 mg/kg. The average concentration is 2553.67 mg/kg. These values are lower than those of the continental crust (UCC), estimated at 13,51 mg/kg. </w:t>
      </w:r>
    </w:p>
    <w:p w14:paraId="0DE452B1" w14:textId="62BF2F74"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lastRenderedPageBreak/>
        <w:t>Sodium: Sodium concentrations range from 672.9 to 58</w:t>
      </w:r>
      <w:r w:rsidR="00161AA5" w:rsidRPr="00D73C18">
        <w:rPr>
          <w:rFonts w:ascii="Arial" w:hAnsi="Arial" w:cs="Arial"/>
          <w:sz w:val="20"/>
          <w:szCs w:val="20"/>
          <w:lang w:val="en-US"/>
        </w:rPr>
        <w:t>.</w:t>
      </w:r>
      <w:r w:rsidRPr="00D73C18">
        <w:rPr>
          <w:rFonts w:ascii="Arial" w:hAnsi="Arial" w:cs="Arial"/>
          <w:sz w:val="20"/>
          <w:szCs w:val="20"/>
          <w:lang w:val="en-US"/>
        </w:rPr>
        <w:t xml:space="preserve">90 mg/kg, with an average of 15311.76 mg/kg. The Na values in the sediments of the </w:t>
      </w:r>
      <w:proofErr w:type="spellStart"/>
      <w:r w:rsidRPr="00D73C18">
        <w:rPr>
          <w:rFonts w:ascii="Arial" w:hAnsi="Arial" w:cs="Arial"/>
          <w:sz w:val="20"/>
          <w:szCs w:val="20"/>
          <w:lang w:val="en-US"/>
        </w:rPr>
        <w:t>Ebri</w:t>
      </w:r>
      <w:r w:rsidR="00ED3175" w:rsidRPr="00D73C18">
        <w:rPr>
          <w:rFonts w:ascii="Arial" w:hAnsi="Arial" w:cs="Arial"/>
          <w:sz w:val="20"/>
          <w:szCs w:val="20"/>
          <w:lang w:val="en-US"/>
        </w:rPr>
        <w:t>e</w:t>
      </w:r>
      <w:proofErr w:type="spellEnd"/>
      <w:r w:rsidRPr="00D73C18">
        <w:rPr>
          <w:rFonts w:ascii="Arial" w:hAnsi="Arial" w:cs="Arial"/>
          <w:sz w:val="20"/>
          <w:szCs w:val="20"/>
          <w:lang w:val="en-US"/>
        </w:rPr>
        <w:t xml:space="preserve"> Lagoon are all lower than those of the continental crust (UCC Na = 2567 mg/kg) except for the anchorage. </w:t>
      </w:r>
    </w:p>
    <w:p w14:paraId="0B44FD30" w14:textId="487B7346"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Lead: Pb concentrations range from 0.005 mg/kg to 23.98 mg/kg, with an average of 7.2</w:t>
      </w:r>
      <w:r w:rsidR="00A90CDD" w:rsidRPr="00D73C18">
        <w:rPr>
          <w:rFonts w:ascii="Arial" w:hAnsi="Arial" w:cs="Arial"/>
          <w:sz w:val="20"/>
          <w:szCs w:val="20"/>
          <w:lang w:val="en-US"/>
        </w:rPr>
        <w:t xml:space="preserve">1 </w:t>
      </w:r>
      <w:r w:rsidRPr="00D73C18">
        <w:rPr>
          <w:rFonts w:ascii="Arial" w:hAnsi="Arial" w:cs="Arial"/>
          <w:sz w:val="20"/>
          <w:szCs w:val="20"/>
          <w:lang w:val="en-US"/>
        </w:rPr>
        <w:t xml:space="preserve">mg/kg. The Pb content of the sediments studied is lower than that of the continental crust (UCC = 17 mg/kg), except for the banana tree site, which is higher than UCC. </w:t>
      </w:r>
    </w:p>
    <w:p w14:paraId="445C10DA" w14:textId="36168C18"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Zinc: Zinc concentrations in the sediments range from 1.37 mg/kg to 681.5 mg/kg, with an average of 177.5</w:t>
      </w:r>
      <w:r w:rsidR="00A90CDD" w:rsidRPr="00D73C18">
        <w:rPr>
          <w:rFonts w:ascii="Arial" w:hAnsi="Arial" w:cs="Arial"/>
          <w:sz w:val="20"/>
          <w:szCs w:val="20"/>
          <w:lang w:val="en-US"/>
        </w:rPr>
        <w:t>7</w:t>
      </w:r>
      <w:r w:rsidRPr="00D73C18">
        <w:rPr>
          <w:rFonts w:ascii="Arial" w:hAnsi="Arial" w:cs="Arial"/>
          <w:sz w:val="20"/>
          <w:szCs w:val="20"/>
          <w:lang w:val="en-US"/>
        </w:rPr>
        <w:t xml:space="preserve"> mg/kg. They are generally lower than the values for the continental crust (UCC Zn = 52 mg/kg), except for the sample from the anchorage, which is higher.</w:t>
      </w:r>
    </w:p>
    <w:p w14:paraId="1AFF6286"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Mercury: Mercury concentrations remain constant and virtually nonexistent (0.0001) in all our samples. They are therefore lower than the continental crust’s Hg concentration, which is 0.05 mg/kg.</w:t>
      </w:r>
    </w:p>
    <w:p w14:paraId="527374A9"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Phosphorus: phosphorus concentrations range from 240.9 to 319.5 mg/kg, with an average of 281.7 mg/kg. Overall, they are lower than the concentration of P in the continental crust, estimated at 655 mg/kg.</w:t>
      </w:r>
    </w:p>
    <w:p w14:paraId="324F6A43" w14:textId="5B3C062B"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 xml:space="preserve">The observed results highlight variability in ETM concentrations in the studied sediments from one site to another and from one parameter to another. ETM concentrations range on average from 7.20 to 12,09 mg/kg. The concentrations of metallic elements such as K, As, Mg, and Cd are lower than those in the continental crust (UCC). The low concentrations of these metals indicate dilution resulting from the influx of less contaminated or uncontaminated sediments. The concentrations of Cu, Zn, Na, Al, and Fe exceed crustal values, but only at the </w:t>
      </w:r>
      <w:proofErr w:type="spellStart"/>
      <w:r w:rsidRPr="00D73C18">
        <w:rPr>
          <w:rFonts w:ascii="Arial" w:hAnsi="Arial" w:cs="Arial"/>
          <w:sz w:val="20"/>
          <w:szCs w:val="20"/>
          <w:lang w:val="en-US"/>
        </w:rPr>
        <w:t>Mouillage</w:t>
      </w:r>
      <w:proofErr w:type="spellEnd"/>
      <w:r w:rsidRPr="00D73C18">
        <w:rPr>
          <w:rFonts w:ascii="Arial" w:hAnsi="Arial" w:cs="Arial"/>
          <w:sz w:val="20"/>
          <w:szCs w:val="20"/>
          <w:lang w:val="en-US"/>
        </w:rPr>
        <w:t xml:space="preserve"> site, while Pb exceeds crustal values at the </w:t>
      </w:r>
      <w:proofErr w:type="spellStart"/>
      <w:r w:rsidRPr="00D73C18">
        <w:rPr>
          <w:rFonts w:ascii="Arial" w:hAnsi="Arial" w:cs="Arial"/>
          <w:sz w:val="20"/>
          <w:szCs w:val="20"/>
          <w:lang w:val="en-US"/>
        </w:rPr>
        <w:t>Bananier</w:t>
      </w:r>
      <w:proofErr w:type="spellEnd"/>
      <w:r w:rsidRPr="00D73C18">
        <w:rPr>
          <w:rFonts w:ascii="Arial" w:hAnsi="Arial" w:cs="Arial"/>
          <w:sz w:val="20"/>
          <w:szCs w:val="20"/>
          <w:lang w:val="en-US"/>
        </w:rPr>
        <w:t xml:space="preserve"> wharf. </w:t>
      </w:r>
    </w:p>
    <w:p w14:paraId="50547F9D" w14:textId="77777777" w:rsidR="00A21449" w:rsidRPr="00D73C18" w:rsidRDefault="00A21449" w:rsidP="00ED3175">
      <w:pPr>
        <w:jc w:val="both"/>
        <w:rPr>
          <w:rFonts w:ascii="Arial" w:hAnsi="Arial" w:cs="Arial"/>
          <w:sz w:val="20"/>
          <w:szCs w:val="20"/>
          <w:lang w:val="en-US"/>
        </w:rPr>
      </w:pPr>
      <w:r w:rsidRPr="00D73C18">
        <w:rPr>
          <w:rFonts w:ascii="Arial" w:hAnsi="Arial" w:cs="Arial"/>
          <w:sz w:val="20"/>
          <w:szCs w:val="20"/>
          <w:lang w:val="en-US"/>
        </w:rPr>
        <w:t>These findings indicate polymetallic contamination of the sediments by these metals. This contamination could be attributed to the discharge of untreated waste into the lagoon from various domestic, agricultural, and industrial activities carried out in the vicinity of the lagoon. There is a discharge outlet at the anchorage.</w:t>
      </w:r>
    </w:p>
    <w:p w14:paraId="4DE1C451" w14:textId="77777777" w:rsidR="0062157C" w:rsidRPr="00D73C18" w:rsidRDefault="0062157C" w:rsidP="00ED3175">
      <w:pPr>
        <w:jc w:val="both"/>
        <w:rPr>
          <w:rFonts w:ascii="Arial" w:hAnsi="Arial" w:cs="Arial"/>
          <w:sz w:val="20"/>
          <w:szCs w:val="20"/>
          <w:lang w:val="en-US"/>
        </w:rPr>
      </w:pPr>
      <w:r w:rsidRPr="00D73C18">
        <w:rPr>
          <w:rFonts w:ascii="Arial" w:hAnsi="Arial" w:cs="Arial"/>
          <w:b/>
          <w:bCs/>
          <w:sz w:val="20"/>
          <w:szCs w:val="20"/>
          <w:lang w:val="en-US"/>
        </w:rPr>
        <w:t>Table 5</w:t>
      </w:r>
      <w:r w:rsidRPr="00D73C18">
        <w:rPr>
          <w:rFonts w:ascii="Arial" w:hAnsi="Arial" w:cs="Arial"/>
          <w:sz w:val="20"/>
          <w:szCs w:val="20"/>
          <w:lang w:val="en-US"/>
        </w:rPr>
        <w:t>—Metal concentrations (mg/kg) in sediments</w:t>
      </w:r>
    </w:p>
    <w:tbl>
      <w:tblPr>
        <w:tblpPr w:leftFromText="141" w:rightFromText="141" w:vertAnchor="text" w:horzAnchor="margin" w:tblpY="226"/>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118"/>
        <w:gridCol w:w="442"/>
        <w:gridCol w:w="707"/>
        <w:gridCol w:w="427"/>
        <w:gridCol w:w="685"/>
        <w:gridCol w:w="307"/>
        <w:gridCol w:w="1016"/>
        <w:gridCol w:w="884"/>
        <w:gridCol w:w="687"/>
        <w:gridCol w:w="786"/>
        <w:gridCol w:w="877"/>
        <w:gridCol w:w="687"/>
        <w:gridCol w:w="783"/>
      </w:tblGrid>
      <w:tr w:rsidR="00460120" w:rsidRPr="00D73C18" w14:paraId="4484951E" w14:textId="77777777" w:rsidTr="00166705">
        <w:trPr>
          <w:trHeight w:val="284"/>
        </w:trPr>
        <w:tc>
          <w:tcPr>
            <w:tcW w:w="594" w:type="pct"/>
            <w:tcBorders>
              <w:top w:val="single" w:sz="4" w:space="0" w:color="auto"/>
              <w:bottom w:val="single" w:sz="4" w:space="0" w:color="auto"/>
            </w:tcBorders>
            <w:noWrap/>
            <w:vAlign w:val="center"/>
            <w:hideMark/>
          </w:tcPr>
          <w:p w14:paraId="2F521958" w14:textId="63ADA10E" w:rsidR="0062157C" w:rsidRPr="00D73C18" w:rsidRDefault="00166705"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Sample</w:t>
            </w:r>
          </w:p>
        </w:tc>
        <w:tc>
          <w:tcPr>
            <w:tcW w:w="235" w:type="pct"/>
            <w:tcBorders>
              <w:top w:val="single" w:sz="4" w:space="0" w:color="auto"/>
              <w:bottom w:val="single" w:sz="4" w:space="0" w:color="auto"/>
            </w:tcBorders>
            <w:noWrap/>
            <w:vAlign w:val="center"/>
            <w:hideMark/>
          </w:tcPr>
          <w:p w14:paraId="7BA318BC"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Cd</w:t>
            </w:r>
          </w:p>
        </w:tc>
        <w:tc>
          <w:tcPr>
            <w:tcW w:w="376" w:type="pct"/>
            <w:tcBorders>
              <w:top w:val="single" w:sz="4" w:space="0" w:color="auto"/>
              <w:bottom w:val="single" w:sz="4" w:space="0" w:color="auto"/>
            </w:tcBorders>
            <w:noWrap/>
            <w:vAlign w:val="center"/>
            <w:hideMark/>
          </w:tcPr>
          <w:p w14:paraId="3AF8E759" w14:textId="36AF60C0" w:rsidR="0062157C" w:rsidRPr="00D73C18" w:rsidRDefault="00B531B8" w:rsidP="00ED3175">
            <w:pPr>
              <w:spacing w:after="0" w:line="240" w:lineRule="auto"/>
              <w:jc w:val="both"/>
              <w:rPr>
                <w:rFonts w:ascii="Arial" w:eastAsia="Times New Roman" w:hAnsi="Arial" w:cs="Arial"/>
                <w:b/>
                <w:bCs/>
                <w:color w:val="000000"/>
                <w:sz w:val="20"/>
                <w:szCs w:val="20"/>
                <w:lang w:eastAsia="fr-FR"/>
              </w:rPr>
            </w:pPr>
            <w:proofErr w:type="spellStart"/>
            <w:r w:rsidRPr="00D73C18">
              <w:rPr>
                <w:rFonts w:ascii="Arial" w:eastAsia="Times New Roman" w:hAnsi="Arial" w:cs="Arial"/>
                <w:b/>
                <w:bCs/>
                <w:color w:val="000000"/>
                <w:sz w:val="20"/>
                <w:szCs w:val="20"/>
                <w:lang w:eastAsia="fr-FR"/>
              </w:rPr>
              <w:t>Ld</w:t>
            </w:r>
            <w:proofErr w:type="spellEnd"/>
          </w:p>
        </w:tc>
        <w:tc>
          <w:tcPr>
            <w:tcW w:w="227" w:type="pct"/>
            <w:tcBorders>
              <w:top w:val="single" w:sz="4" w:space="0" w:color="auto"/>
              <w:bottom w:val="single" w:sz="4" w:space="0" w:color="auto"/>
            </w:tcBorders>
            <w:noWrap/>
            <w:vAlign w:val="center"/>
            <w:hideMark/>
          </w:tcPr>
          <w:p w14:paraId="79D00F54"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Hg</w:t>
            </w:r>
          </w:p>
        </w:tc>
        <w:tc>
          <w:tcPr>
            <w:tcW w:w="364" w:type="pct"/>
            <w:tcBorders>
              <w:top w:val="single" w:sz="4" w:space="0" w:color="auto"/>
              <w:bottom w:val="single" w:sz="4" w:space="0" w:color="auto"/>
            </w:tcBorders>
            <w:noWrap/>
            <w:vAlign w:val="center"/>
            <w:hideMark/>
          </w:tcPr>
          <w:p w14:paraId="3DE90D17"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P</w:t>
            </w:r>
          </w:p>
        </w:tc>
        <w:tc>
          <w:tcPr>
            <w:tcW w:w="163" w:type="pct"/>
            <w:tcBorders>
              <w:top w:val="single" w:sz="4" w:space="0" w:color="auto"/>
              <w:bottom w:val="single" w:sz="4" w:space="0" w:color="auto"/>
            </w:tcBorders>
            <w:noWrap/>
            <w:vAlign w:val="center"/>
            <w:hideMark/>
          </w:tcPr>
          <w:p w14:paraId="30A803B2"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As</w:t>
            </w:r>
          </w:p>
        </w:tc>
        <w:tc>
          <w:tcPr>
            <w:tcW w:w="540" w:type="pct"/>
            <w:tcBorders>
              <w:top w:val="single" w:sz="4" w:space="0" w:color="auto"/>
              <w:bottom w:val="single" w:sz="4" w:space="0" w:color="auto"/>
            </w:tcBorders>
            <w:noWrap/>
            <w:vAlign w:val="center"/>
            <w:hideMark/>
          </w:tcPr>
          <w:p w14:paraId="38A2A36C"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Al</w:t>
            </w:r>
          </w:p>
        </w:tc>
        <w:tc>
          <w:tcPr>
            <w:tcW w:w="470" w:type="pct"/>
            <w:tcBorders>
              <w:top w:val="single" w:sz="4" w:space="0" w:color="auto"/>
              <w:bottom w:val="single" w:sz="4" w:space="0" w:color="auto"/>
            </w:tcBorders>
            <w:noWrap/>
            <w:vAlign w:val="center"/>
            <w:hideMark/>
          </w:tcPr>
          <w:p w14:paraId="52644551"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Fe</w:t>
            </w:r>
          </w:p>
        </w:tc>
        <w:tc>
          <w:tcPr>
            <w:tcW w:w="365" w:type="pct"/>
            <w:tcBorders>
              <w:top w:val="single" w:sz="4" w:space="0" w:color="auto"/>
              <w:bottom w:val="single" w:sz="4" w:space="0" w:color="auto"/>
            </w:tcBorders>
            <w:noWrap/>
            <w:vAlign w:val="center"/>
            <w:hideMark/>
          </w:tcPr>
          <w:p w14:paraId="6BC42185"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Cu</w:t>
            </w:r>
          </w:p>
        </w:tc>
        <w:tc>
          <w:tcPr>
            <w:tcW w:w="418" w:type="pct"/>
            <w:tcBorders>
              <w:top w:val="single" w:sz="4" w:space="0" w:color="auto"/>
              <w:bottom w:val="single" w:sz="4" w:space="0" w:color="auto"/>
            </w:tcBorders>
            <w:noWrap/>
            <w:vAlign w:val="center"/>
            <w:hideMark/>
          </w:tcPr>
          <w:p w14:paraId="5E46D723"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Mg</w:t>
            </w:r>
          </w:p>
        </w:tc>
        <w:tc>
          <w:tcPr>
            <w:tcW w:w="466" w:type="pct"/>
            <w:tcBorders>
              <w:top w:val="single" w:sz="4" w:space="0" w:color="auto"/>
              <w:bottom w:val="single" w:sz="4" w:space="0" w:color="auto"/>
            </w:tcBorders>
            <w:noWrap/>
            <w:vAlign w:val="center"/>
            <w:hideMark/>
          </w:tcPr>
          <w:p w14:paraId="5EB8423D"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Na</w:t>
            </w:r>
          </w:p>
        </w:tc>
        <w:tc>
          <w:tcPr>
            <w:tcW w:w="365" w:type="pct"/>
            <w:tcBorders>
              <w:top w:val="single" w:sz="4" w:space="0" w:color="auto"/>
              <w:bottom w:val="single" w:sz="4" w:space="0" w:color="auto"/>
            </w:tcBorders>
            <w:noWrap/>
            <w:vAlign w:val="center"/>
            <w:hideMark/>
          </w:tcPr>
          <w:p w14:paraId="5DD206E9"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Zn</w:t>
            </w:r>
          </w:p>
        </w:tc>
        <w:tc>
          <w:tcPr>
            <w:tcW w:w="416" w:type="pct"/>
            <w:tcBorders>
              <w:top w:val="single" w:sz="4" w:space="0" w:color="auto"/>
              <w:bottom w:val="single" w:sz="4" w:space="0" w:color="auto"/>
            </w:tcBorders>
            <w:noWrap/>
            <w:vAlign w:val="center"/>
            <w:hideMark/>
          </w:tcPr>
          <w:p w14:paraId="5D5FEFEF"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K</w:t>
            </w:r>
          </w:p>
        </w:tc>
      </w:tr>
      <w:tr w:rsidR="00460120" w:rsidRPr="00D73C18" w14:paraId="4B5EC5D0" w14:textId="77777777" w:rsidTr="00166705">
        <w:trPr>
          <w:trHeight w:val="284"/>
        </w:trPr>
        <w:tc>
          <w:tcPr>
            <w:tcW w:w="594" w:type="pct"/>
            <w:tcBorders>
              <w:top w:val="single" w:sz="4" w:space="0" w:color="auto"/>
            </w:tcBorders>
            <w:noWrap/>
            <w:vAlign w:val="center"/>
            <w:hideMark/>
          </w:tcPr>
          <w:p w14:paraId="2D596BF4"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Bananier</w:t>
            </w:r>
          </w:p>
        </w:tc>
        <w:tc>
          <w:tcPr>
            <w:tcW w:w="235" w:type="pct"/>
            <w:tcBorders>
              <w:top w:val="single" w:sz="4" w:space="0" w:color="auto"/>
            </w:tcBorders>
            <w:noWrap/>
            <w:vAlign w:val="center"/>
            <w:hideMark/>
          </w:tcPr>
          <w:p w14:paraId="5A8F3120" w14:textId="35D4CA6B"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tcBorders>
              <w:top w:val="single" w:sz="4" w:space="0" w:color="auto"/>
            </w:tcBorders>
            <w:noWrap/>
            <w:vAlign w:val="center"/>
            <w:hideMark/>
          </w:tcPr>
          <w:p w14:paraId="425C8F63" w14:textId="33338D0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98</w:t>
            </w:r>
          </w:p>
        </w:tc>
        <w:tc>
          <w:tcPr>
            <w:tcW w:w="227" w:type="pct"/>
            <w:tcBorders>
              <w:top w:val="single" w:sz="4" w:space="0" w:color="auto"/>
            </w:tcBorders>
            <w:noWrap/>
            <w:vAlign w:val="center"/>
            <w:hideMark/>
          </w:tcPr>
          <w:p w14:paraId="73F59EFB" w14:textId="5A0F459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tcBorders>
              <w:top w:val="single" w:sz="4" w:space="0" w:color="auto"/>
            </w:tcBorders>
            <w:noWrap/>
            <w:vAlign w:val="center"/>
            <w:hideMark/>
          </w:tcPr>
          <w:p w14:paraId="30E0F11B" w14:textId="45C0905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295</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163" w:type="pct"/>
            <w:tcBorders>
              <w:top w:val="single" w:sz="4" w:space="0" w:color="auto"/>
            </w:tcBorders>
            <w:noWrap/>
            <w:vAlign w:val="center"/>
            <w:hideMark/>
          </w:tcPr>
          <w:p w14:paraId="408E5E44" w14:textId="3D44CDC1"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tcBorders>
              <w:top w:val="single" w:sz="4" w:space="0" w:color="auto"/>
            </w:tcBorders>
            <w:noWrap/>
            <w:vAlign w:val="center"/>
            <w:hideMark/>
          </w:tcPr>
          <w:p w14:paraId="30C33F28"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6616</w:t>
            </w:r>
          </w:p>
        </w:tc>
        <w:tc>
          <w:tcPr>
            <w:tcW w:w="470" w:type="pct"/>
            <w:tcBorders>
              <w:top w:val="single" w:sz="4" w:space="0" w:color="auto"/>
            </w:tcBorders>
            <w:noWrap/>
            <w:vAlign w:val="center"/>
            <w:hideMark/>
          </w:tcPr>
          <w:p w14:paraId="4D5A9CF3"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2438</w:t>
            </w:r>
          </w:p>
        </w:tc>
        <w:tc>
          <w:tcPr>
            <w:tcW w:w="365" w:type="pct"/>
            <w:tcBorders>
              <w:top w:val="single" w:sz="4" w:space="0" w:color="auto"/>
            </w:tcBorders>
            <w:noWrap/>
            <w:vAlign w:val="center"/>
            <w:hideMark/>
          </w:tcPr>
          <w:p w14:paraId="2843F1B1" w14:textId="64FD4BE8"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24</w:t>
            </w:r>
          </w:p>
        </w:tc>
        <w:tc>
          <w:tcPr>
            <w:tcW w:w="418" w:type="pct"/>
            <w:tcBorders>
              <w:top w:val="single" w:sz="4" w:space="0" w:color="auto"/>
            </w:tcBorders>
            <w:noWrap/>
            <w:vAlign w:val="center"/>
            <w:hideMark/>
          </w:tcPr>
          <w:p w14:paraId="519BDDDB" w14:textId="519FCB6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177</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w:t>
            </w:r>
          </w:p>
        </w:tc>
        <w:tc>
          <w:tcPr>
            <w:tcW w:w="466" w:type="pct"/>
            <w:tcBorders>
              <w:top w:val="single" w:sz="4" w:space="0" w:color="auto"/>
            </w:tcBorders>
            <w:noWrap/>
            <w:vAlign w:val="center"/>
            <w:hideMark/>
          </w:tcPr>
          <w:p w14:paraId="639AEA21" w14:textId="502EF78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880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365" w:type="pct"/>
            <w:tcBorders>
              <w:top w:val="single" w:sz="4" w:space="0" w:color="auto"/>
            </w:tcBorders>
            <w:noWrap/>
            <w:vAlign w:val="center"/>
            <w:hideMark/>
          </w:tcPr>
          <w:p w14:paraId="4914F072" w14:textId="4B824A7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14</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w:t>
            </w:r>
          </w:p>
        </w:tc>
        <w:tc>
          <w:tcPr>
            <w:tcW w:w="416" w:type="pct"/>
            <w:tcBorders>
              <w:top w:val="single" w:sz="4" w:space="0" w:color="auto"/>
            </w:tcBorders>
            <w:noWrap/>
            <w:vAlign w:val="center"/>
            <w:hideMark/>
          </w:tcPr>
          <w:p w14:paraId="435913F0" w14:textId="2C2CC12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252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2</w:t>
            </w:r>
          </w:p>
        </w:tc>
      </w:tr>
      <w:tr w:rsidR="00460120" w:rsidRPr="00D73C18" w14:paraId="7ACA1F38" w14:textId="77777777" w:rsidTr="00166705">
        <w:trPr>
          <w:trHeight w:val="284"/>
        </w:trPr>
        <w:tc>
          <w:tcPr>
            <w:tcW w:w="594" w:type="pct"/>
            <w:noWrap/>
            <w:vAlign w:val="center"/>
            <w:hideMark/>
          </w:tcPr>
          <w:p w14:paraId="0DD79E6C"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Qi5 bis</w:t>
            </w:r>
          </w:p>
        </w:tc>
        <w:tc>
          <w:tcPr>
            <w:tcW w:w="235" w:type="pct"/>
            <w:noWrap/>
            <w:vAlign w:val="center"/>
            <w:hideMark/>
          </w:tcPr>
          <w:p w14:paraId="23E55141" w14:textId="51FC451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2F6AF10C" w14:textId="788CF67C"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00</w:t>
            </w:r>
          </w:p>
        </w:tc>
        <w:tc>
          <w:tcPr>
            <w:tcW w:w="227" w:type="pct"/>
            <w:noWrap/>
            <w:vAlign w:val="center"/>
            <w:hideMark/>
          </w:tcPr>
          <w:p w14:paraId="34AE294F" w14:textId="6AA4FCF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18738E46" w14:textId="6BABA68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252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w:t>
            </w:r>
          </w:p>
        </w:tc>
        <w:tc>
          <w:tcPr>
            <w:tcW w:w="163" w:type="pct"/>
            <w:noWrap/>
            <w:vAlign w:val="center"/>
            <w:hideMark/>
          </w:tcPr>
          <w:p w14:paraId="2425CD5A" w14:textId="1CD51FA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5943B8D4"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4424</w:t>
            </w:r>
          </w:p>
        </w:tc>
        <w:tc>
          <w:tcPr>
            <w:tcW w:w="470" w:type="pct"/>
            <w:noWrap/>
            <w:vAlign w:val="center"/>
            <w:hideMark/>
          </w:tcPr>
          <w:p w14:paraId="161693A1"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1208</w:t>
            </w:r>
          </w:p>
        </w:tc>
        <w:tc>
          <w:tcPr>
            <w:tcW w:w="365" w:type="pct"/>
            <w:noWrap/>
            <w:vAlign w:val="center"/>
            <w:hideMark/>
          </w:tcPr>
          <w:p w14:paraId="7B2A4F91" w14:textId="20205581"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7</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19</w:t>
            </w:r>
          </w:p>
        </w:tc>
        <w:tc>
          <w:tcPr>
            <w:tcW w:w="418" w:type="pct"/>
            <w:noWrap/>
            <w:vAlign w:val="center"/>
            <w:hideMark/>
          </w:tcPr>
          <w:p w14:paraId="213B63D7" w14:textId="3E0732A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164</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4</w:t>
            </w:r>
          </w:p>
        </w:tc>
        <w:tc>
          <w:tcPr>
            <w:tcW w:w="466" w:type="pct"/>
            <w:noWrap/>
            <w:vAlign w:val="center"/>
            <w:hideMark/>
          </w:tcPr>
          <w:p w14:paraId="7E71F3D0" w14:textId="40D959E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799</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w:t>
            </w:r>
          </w:p>
        </w:tc>
        <w:tc>
          <w:tcPr>
            <w:tcW w:w="365" w:type="pct"/>
            <w:noWrap/>
            <w:vAlign w:val="center"/>
            <w:hideMark/>
          </w:tcPr>
          <w:p w14:paraId="74A3620E" w14:textId="2880208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8</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49</w:t>
            </w:r>
          </w:p>
        </w:tc>
        <w:tc>
          <w:tcPr>
            <w:tcW w:w="416" w:type="pct"/>
            <w:noWrap/>
            <w:vAlign w:val="center"/>
            <w:hideMark/>
          </w:tcPr>
          <w:p w14:paraId="3AF597B7" w14:textId="1A517C45"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160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w:t>
            </w:r>
          </w:p>
        </w:tc>
      </w:tr>
      <w:tr w:rsidR="00460120" w:rsidRPr="00D73C18" w14:paraId="2CDB6D2D" w14:textId="77777777" w:rsidTr="00166705">
        <w:trPr>
          <w:trHeight w:val="284"/>
        </w:trPr>
        <w:tc>
          <w:tcPr>
            <w:tcW w:w="594" w:type="pct"/>
            <w:noWrap/>
            <w:vAlign w:val="center"/>
            <w:hideMark/>
          </w:tcPr>
          <w:p w14:paraId="371C9C15"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Mouillage</w:t>
            </w:r>
          </w:p>
        </w:tc>
        <w:tc>
          <w:tcPr>
            <w:tcW w:w="235" w:type="pct"/>
            <w:noWrap/>
            <w:vAlign w:val="center"/>
            <w:hideMark/>
          </w:tcPr>
          <w:p w14:paraId="5F9CAB77" w14:textId="4E5D0DB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186AEC45" w14:textId="05AE35D5"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00</w:t>
            </w:r>
          </w:p>
        </w:tc>
        <w:tc>
          <w:tcPr>
            <w:tcW w:w="227" w:type="pct"/>
            <w:noWrap/>
            <w:vAlign w:val="center"/>
            <w:hideMark/>
          </w:tcPr>
          <w:p w14:paraId="58F6C617" w14:textId="08F40A0B"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0E1A54F2" w14:textId="001176E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300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w:t>
            </w:r>
          </w:p>
        </w:tc>
        <w:tc>
          <w:tcPr>
            <w:tcW w:w="163" w:type="pct"/>
            <w:noWrap/>
            <w:vAlign w:val="center"/>
            <w:hideMark/>
          </w:tcPr>
          <w:p w14:paraId="233993AB" w14:textId="2B82D17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72E2D318"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178500</w:t>
            </w:r>
          </w:p>
        </w:tc>
        <w:tc>
          <w:tcPr>
            <w:tcW w:w="470" w:type="pct"/>
            <w:noWrap/>
            <w:vAlign w:val="center"/>
            <w:hideMark/>
          </w:tcPr>
          <w:p w14:paraId="02C946F8"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45220</w:t>
            </w:r>
          </w:p>
        </w:tc>
        <w:tc>
          <w:tcPr>
            <w:tcW w:w="365" w:type="pct"/>
            <w:noWrap/>
            <w:vAlign w:val="center"/>
            <w:hideMark/>
          </w:tcPr>
          <w:p w14:paraId="7EB44652" w14:textId="61FE1085"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528</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8</w:t>
            </w:r>
          </w:p>
        </w:tc>
        <w:tc>
          <w:tcPr>
            <w:tcW w:w="418" w:type="pct"/>
            <w:noWrap/>
            <w:vAlign w:val="center"/>
            <w:hideMark/>
          </w:tcPr>
          <w:p w14:paraId="64FABAC4"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9594</w:t>
            </w:r>
          </w:p>
        </w:tc>
        <w:tc>
          <w:tcPr>
            <w:tcW w:w="466" w:type="pct"/>
            <w:noWrap/>
            <w:vAlign w:val="center"/>
            <w:hideMark/>
          </w:tcPr>
          <w:p w14:paraId="01DBCF3E"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58900</w:t>
            </w:r>
          </w:p>
        </w:tc>
        <w:tc>
          <w:tcPr>
            <w:tcW w:w="365" w:type="pct"/>
            <w:noWrap/>
            <w:vAlign w:val="center"/>
            <w:hideMark/>
          </w:tcPr>
          <w:p w14:paraId="68AA2F6C" w14:textId="46B0EB4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681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416" w:type="pct"/>
            <w:noWrap/>
            <w:vAlign w:val="center"/>
            <w:hideMark/>
          </w:tcPr>
          <w:p w14:paraId="63EA4163"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10830</w:t>
            </w:r>
          </w:p>
        </w:tc>
      </w:tr>
      <w:tr w:rsidR="00460120" w:rsidRPr="00D73C18" w14:paraId="2F6A1FD8" w14:textId="77777777" w:rsidTr="00166705">
        <w:trPr>
          <w:trHeight w:val="284"/>
        </w:trPr>
        <w:tc>
          <w:tcPr>
            <w:tcW w:w="594" w:type="pct"/>
            <w:noWrap/>
            <w:vAlign w:val="center"/>
            <w:hideMark/>
          </w:tcPr>
          <w:p w14:paraId="78F814A3"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Mol port</w:t>
            </w:r>
          </w:p>
        </w:tc>
        <w:tc>
          <w:tcPr>
            <w:tcW w:w="235" w:type="pct"/>
            <w:noWrap/>
            <w:vAlign w:val="center"/>
            <w:hideMark/>
          </w:tcPr>
          <w:p w14:paraId="603CA162" w14:textId="47F8D0A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1108034C" w14:textId="67C9E669"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19</w:t>
            </w:r>
          </w:p>
        </w:tc>
        <w:tc>
          <w:tcPr>
            <w:tcW w:w="227" w:type="pct"/>
            <w:noWrap/>
            <w:vAlign w:val="center"/>
            <w:hideMark/>
          </w:tcPr>
          <w:p w14:paraId="7B733427" w14:textId="576CC4CB"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0DA4A931" w14:textId="0868A22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284</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163" w:type="pct"/>
            <w:noWrap/>
            <w:vAlign w:val="center"/>
            <w:hideMark/>
          </w:tcPr>
          <w:p w14:paraId="00FB7B5F" w14:textId="3400FE8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4AB89253"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2069</w:t>
            </w:r>
          </w:p>
        </w:tc>
        <w:tc>
          <w:tcPr>
            <w:tcW w:w="470" w:type="pct"/>
            <w:noWrap/>
            <w:vAlign w:val="center"/>
            <w:hideMark/>
          </w:tcPr>
          <w:p w14:paraId="25D25771"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1456</w:t>
            </w:r>
          </w:p>
        </w:tc>
        <w:tc>
          <w:tcPr>
            <w:tcW w:w="365" w:type="pct"/>
            <w:noWrap/>
            <w:vAlign w:val="center"/>
            <w:hideMark/>
          </w:tcPr>
          <w:p w14:paraId="11714E77" w14:textId="7FE5952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18</w:t>
            </w:r>
          </w:p>
        </w:tc>
        <w:tc>
          <w:tcPr>
            <w:tcW w:w="418" w:type="pct"/>
            <w:noWrap/>
            <w:vAlign w:val="center"/>
            <w:hideMark/>
          </w:tcPr>
          <w:p w14:paraId="42DBD87D" w14:textId="7B8A480F"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460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466" w:type="pct"/>
            <w:noWrap/>
            <w:vAlign w:val="center"/>
            <w:hideMark/>
          </w:tcPr>
          <w:p w14:paraId="070D022A" w14:textId="7F547F8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814</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365" w:type="pct"/>
            <w:noWrap/>
            <w:vAlign w:val="center"/>
            <w:hideMark/>
          </w:tcPr>
          <w:p w14:paraId="1918B511" w14:textId="2192A8B9"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29</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36</w:t>
            </w:r>
          </w:p>
        </w:tc>
        <w:tc>
          <w:tcPr>
            <w:tcW w:w="416" w:type="pct"/>
            <w:noWrap/>
            <w:vAlign w:val="center"/>
            <w:hideMark/>
          </w:tcPr>
          <w:p w14:paraId="63E6FC4E" w14:textId="7605ECF9"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531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w:t>
            </w:r>
          </w:p>
        </w:tc>
      </w:tr>
      <w:tr w:rsidR="00460120" w:rsidRPr="00D73C18" w14:paraId="341A1427" w14:textId="77777777" w:rsidTr="00166705">
        <w:trPr>
          <w:trHeight w:val="284"/>
        </w:trPr>
        <w:tc>
          <w:tcPr>
            <w:tcW w:w="594" w:type="pct"/>
            <w:noWrap/>
            <w:vAlign w:val="center"/>
            <w:hideMark/>
          </w:tcPr>
          <w:p w14:paraId="15545D57"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Caréna</w:t>
            </w:r>
          </w:p>
        </w:tc>
        <w:tc>
          <w:tcPr>
            <w:tcW w:w="235" w:type="pct"/>
            <w:noWrap/>
            <w:vAlign w:val="center"/>
            <w:hideMark/>
          </w:tcPr>
          <w:p w14:paraId="608D8B1A" w14:textId="5CB71A5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311E3CA3" w14:textId="05C5950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9</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227" w:type="pct"/>
            <w:noWrap/>
            <w:vAlign w:val="center"/>
            <w:hideMark/>
          </w:tcPr>
          <w:p w14:paraId="70090B09" w14:textId="6971693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25F93F99" w14:textId="66776091"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319</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163" w:type="pct"/>
            <w:noWrap/>
            <w:vAlign w:val="center"/>
            <w:hideMark/>
          </w:tcPr>
          <w:p w14:paraId="660996A3" w14:textId="44E0D00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18E4E50D" w14:textId="1BC5F0CC"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588</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4</w:t>
            </w:r>
          </w:p>
        </w:tc>
        <w:tc>
          <w:tcPr>
            <w:tcW w:w="470" w:type="pct"/>
            <w:noWrap/>
            <w:vAlign w:val="center"/>
            <w:hideMark/>
          </w:tcPr>
          <w:p w14:paraId="2033E48A" w14:textId="6B2519F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480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365" w:type="pct"/>
            <w:noWrap/>
            <w:vAlign w:val="center"/>
            <w:hideMark/>
          </w:tcPr>
          <w:p w14:paraId="01D33A2F" w14:textId="7939C7E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2</w:t>
            </w:r>
            <w:r w:rsidR="00460120" w:rsidRPr="00D73C18">
              <w:rPr>
                <w:rFonts w:ascii="Arial" w:eastAsia="Times New Roman" w:hAnsi="Arial" w:cs="Arial"/>
                <w:color w:val="000000"/>
                <w:sz w:val="20"/>
                <w:szCs w:val="20"/>
                <w:lang w:eastAsia="fr-FR"/>
              </w:rPr>
              <w:t>5</w:t>
            </w:r>
          </w:p>
        </w:tc>
        <w:tc>
          <w:tcPr>
            <w:tcW w:w="418" w:type="pct"/>
            <w:noWrap/>
            <w:vAlign w:val="center"/>
            <w:hideMark/>
          </w:tcPr>
          <w:p w14:paraId="1F6BCB75" w14:textId="5343E1B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172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8</w:t>
            </w:r>
          </w:p>
        </w:tc>
        <w:tc>
          <w:tcPr>
            <w:tcW w:w="466" w:type="pct"/>
            <w:noWrap/>
            <w:vAlign w:val="center"/>
            <w:hideMark/>
          </w:tcPr>
          <w:p w14:paraId="05690BB2" w14:textId="4CD271A1"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853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2</w:t>
            </w:r>
          </w:p>
        </w:tc>
        <w:tc>
          <w:tcPr>
            <w:tcW w:w="365" w:type="pct"/>
            <w:noWrap/>
            <w:vAlign w:val="center"/>
            <w:hideMark/>
          </w:tcPr>
          <w:p w14:paraId="29F25B05" w14:textId="7199BB34"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6</w:t>
            </w:r>
            <w:r w:rsidR="00460120" w:rsidRPr="00D73C18">
              <w:rPr>
                <w:rFonts w:ascii="Arial" w:eastAsia="Times New Roman" w:hAnsi="Arial" w:cs="Arial"/>
                <w:color w:val="000000"/>
                <w:sz w:val="20"/>
                <w:szCs w:val="20"/>
                <w:lang w:eastAsia="fr-FR"/>
              </w:rPr>
              <w:t>4</w:t>
            </w:r>
          </w:p>
        </w:tc>
        <w:tc>
          <w:tcPr>
            <w:tcW w:w="416" w:type="pct"/>
            <w:noWrap/>
            <w:vAlign w:val="center"/>
            <w:hideMark/>
          </w:tcPr>
          <w:p w14:paraId="519AA0DD" w14:textId="3B7D93BF"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106</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r>
      <w:tr w:rsidR="00460120" w:rsidRPr="00D73C18" w14:paraId="67955263" w14:textId="77777777" w:rsidTr="00166705">
        <w:trPr>
          <w:trHeight w:val="284"/>
        </w:trPr>
        <w:tc>
          <w:tcPr>
            <w:tcW w:w="594" w:type="pct"/>
            <w:noWrap/>
            <w:vAlign w:val="center"/>
            <w:hideMark/>
          </w:tcPr>
          <w:p w14:paraId="6783FC26"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Pont FHB</w:t>
            </w:r>
          </w:p>
        </w:tc>
        <w:tc>
          <w:tcPr>
            <w:tcW w:w="235" w:type="pct"/>
            <w:noWrap/>
            <w:vAlign w:val="center"/>
            <w:hideMark/>
          </w:tcPr>
          <w:p w14:paraId="4D6D31CB" w14:textId="26D17A44"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711C197A" w14:textId="1CBEA96F"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00</w:t>
            </w:r>
          </w:p>
        </w:tc>
        <w:tc>
          <w:tcPr>
            <w:tcW w:w="227" w:type="pct"/>
            <w:noWrap/>
            <w:vAlign w:val="center"/>
            <w:hideMark/>
          </w:tcPr>
          <w:p w14:paraId="5E0A4A44" w14:textId="4A62B4E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4BCFF0BD" w14:textId="1243929F"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240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163" w:type="pct"/>
            <w:noWrap/>
            <w:vAlign w:val="center"/>
            <w:hideMark/>
          </w:tcPr>
          <w:p w14:paraId="03535AEE" w14:textId="34C339D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2FD40EE4" w14:textId="47B44C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531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8</w:t>
            </w:r>
          </w:p>
        </w:tc>
        <w:tc>
          <w:tcPr>
            <w:tcW w:w="470" w:type="pct"/>
            <w:noWrap/>
            <w:vAlign w:val="center"/>
            <w:hideMark/>
          </w:tcPr>
          <w:p w14:paraId="754BFDAB" w14:textId="1F7BE77B"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365</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w:t>
            </w:r>
          </w:p>
        </w:tc>
        <w:tc>
          <w:tcPr>
            <w:tcW w:w="365" w:type="pct"/>
            <w:noWrap/>
            <w:vAlign w:val="center"/>
            <w:hideMark/>
          </w:tcPr>
          <w:p w14:paraId="7F4F8CD7" w14:textId="22554C2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w:t>
            </w:r>
            <w:r w:rsidR="00460120" w:rsidRPr="00D73C18">
              <w:rPr>
                <w:rFonts w:ascii="Arial" w:eastAsia="Times New Roman" w:hAnsi="Arial" w:cs="Arial"/>
                <w:color w:val="000000"/>
                <w:sz w:val="20"/>
                <w:szCs w:val="20"/>
                <w:lang w:eastAsia="fr-FR"/>
              </w:rPr>
              <w:t>2</w:t>
            </w:r>
          </w:p>
        </w:tc>
        <w:tc>
          <w:tcPr>
            <w:tcW w:w="418" w:type="pct"/>
            <w:noWrap/>
            <w:vAlign w:val="center"/>
            <w:hideMark/>
          </w:tcPr>
          <w:p w14:paraId="29DB20E6" w14:textId="3A0A5CF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133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w:t>
            </w:r>
          </w:p>
        </w:tc>
        <w:tc>
          <w:tcPr>
            <w:tcW w:w="466" w:type="pct"/>
            <w:noWrap/>
            <w:vAlign w:val="center"/>
            <w:hideMark/>
          </w:tcPr>
          <w:p w14:paraId="5689D6B8" w14:textId="365FDC54"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672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365" w:type="pct"/>
            <w:noWrap/>
            <w:vAlign w:val="center"/>
            <w:hideMark/>
          </w:tcPr>
          <w:p w14:paraId="00FF2F68" w14:textId="5223FDB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w:t>
            </w:r>
            <w:r w:rsidR="00460120" w:rsidRPr="00D73C18">
              <w:rPr>
                <w:rFonts w:ascii="Arial" w:eastAsia="Times New Roman" w:hAnsi="Arial" w:cs="Arial"/>
                <w:color w:val="000000"/>
                <w:sz w:val="20"/>
                <w:szCs w:val="20"/>
                <w:lang w:eastAsia="fr-FR"/>
              </w:rPr>
              <w:t>8</w:t>
            </w:r>
          </w:p>
        </w:tc>
        <w:tc>
          <w:tcPr>
            <w:tcW w:w="416" w:type="pct"/>
            <w:noWrap/>
            <w:vAlign w:val="center"/>
            <w:hideMark/>
          </w:tcPr>
          <w:p w14:paraId="58CA6519" w14:textId="2F74F3F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90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72</w:t>
            </w:r>
          </w:p>
        </w:tc>
      </w:tr>
      <w:tr w:rsidR="00460120" w:rsidRPr="00D73C18" w14:paraId="43EFFD49" w14:textId="77777777" w:rsidTr="00166705">
        <w:trPr>
          <w:trHeight w:val="284"/>
        </w:trPr>
        <w:tc>
          <w:tcPr>
            <w:tcW w:w="594" w:type="pct"/>
            <w:noWrap/>
            <w:vAlign w:val="center"/>
            <w:hideMark/>
          </w:tcPr>
          <w:p w14:paraId="66869141" w14:textId="4735BEB3" w:rsidR="0062157C" w:rsidRPr="00D73C18" w:rsidRDefault="00460120"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Min</w:t>
            </w:r>
          </w:p>
        </w:tc>
        <w:tc>
          <w:tcPr>
            <w:tcW w:w="235" w:type="pct"/>
            <w:noWrap/>
            <w:vAlign w:val="center"/>
            <w:hideMark/>
          </w:tcPr>
          <w:p w14:paraId="537F5D07" w14:textId="03A427E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5820BD64" w14:textId="0F648719"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00</w:t>
            </w:r>
          </w:p>
        </w:tc>
        <w:tc>
          <w:tcPr>
            <w:tcW w:w="227" w:type="pct"/>
            <w:noWrap/>
            <w:vAlign w:val="center"/>
            <w:hideMark/>
          </w:tcPr>
          <w:p w14:paraId="7B0E9C16" w14:textId="34F6091F"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7A86F45F" w14:textId="3768167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240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163" w:type="pct"/>
            <w:noWrap/>
            <w:vAlign w:val="center"/>
            <w:hideMark/>
          </w:tcPr>
          <w:p w14:paraId="2659CE6F" w14:textId="04110638"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5E513DC8" w14:textId="4979514C"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531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8</w:t>
            </w:r>
          </w:p>
        </w:tc>
        <w:tc>
          <w:tcPr>
            <w:tcW w:w="470" w:type="pct"/>
            <w:noWrap/>
            <w:vAlign w:val="center"/>
            <w:hideMark/>
          </w:tcPr>
          <w:p w14:paraId="6DBC0A1B" w14:textId="3B21D9CC"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365</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w:t>
            </w:r>
          </w:p>
        </w:tc>
        <w:tc>
          <w:tcPr>
            <w:tcW w:w="365" w:type="pct"/>
            <w:noWrap/>
            <w:vAlign w:val="center"/>
            <w:hideMark/>
          </w:tcPr>
          <w:p w14:paraId="61DC8F97" w14:textId="3B3A57A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w:t>
            </w:r>
            <w:r w:rsidR="00460120" w:rsidRPr="00D73C18">
              <w:rPr>
                <w:rFonts w:ascii="Arial" w:eastAsia="Times New Roman" w:hAnsi="Arial" w:cs="Arial"/>
                <w:color w:val="000000"/>
                <w:sz w:val="20"/>
                <w:szCs w:val="20"/>
                <w:lang w:eastAsia="fr-FR"/>
              </w:rPr>
              <w:t>2</w:t>
            </w:r>
          </w:p>
        </w:tc>
        <w:tc>
          <w:tcPr>
            <w:tcW w:w="418" w:type="pct"/>
            <w:noWrap/>
            <w:vAlign w:val="center"/>
            <w:hideMark/>
          </w:tcPr>
          <w:p w14:paraId="657D6F57" w14:textId="6ACB4CF4"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133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w:t>
            </w:r>
          </w:p>
        </w:tc>
        <w:tc>
          <w:tcPr>
            <w:tcW w:w="466" w:type="pct"/>
            <w:noWrap/>
            <w:vAlign w:val="center"/>
            <w:hideMark/>
          </w:tcPr>
          <w:p w14:paraId="1825547E" w14:textId="78219C1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672</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w:t>
            </w:r>
          </w:p>
        </w:tc>
        <w:tc>
          <w:tcPr>
            <w:tcW w:w="365" w:type="pct"/>
            <w:noWrap/>
            <w:vAlign w:val="center"/>
            <w:hideMark/>
          </w:tcPr>
          <w:p w14:paraId="6B273139" w14:textId="3EDD5AB0"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37</w:t>
            </w:r>
          </w:p>
        </w:tc>
        <w:tc>
          <w:tcPr>
            <w:tcW w:w="416" w:type="pct"/>
            <w:noWrap/>
            <w:vAlign w:val="center"/>
            <w:hideMark/>
          </w:tcPr>
          <w:p w14:paraId="59985489" w14:textId="35DC3CF6"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90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72</w:t>
            </w:r>
          </w:p>
        </w:tc>
      </w:tr>
      <w:tr w:rsidR="00460120" w:rsidRPr="00D73C18" w14:paraId="7ED68918" w14:textId="77777777" w:rsidTr="00166705">
        <w:trPr>
          <w:trHeight w:val="284"/>
        </w:trPr>
        <w:tc>
          <w:tcPr>
            <w:tcW w:w="594" w:type="pct"/>
            <w:noWrap/>
            <w:vAlign w:val="center"/>
            <w:hideMark/>
          </w:tcPr>
          <w:p w14:paraId="68D4BA79" w14:textId="3594B4F1" w:rsidR="0062157C" w:rsidRPr="00D73C18" w:rsidRDefault="00460120"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Max</w:t>
            </w:r>
          </w:p>
        </w:tc>
        <w:tc>
          <w:tcPr>
            <w:tcW w:w="235" w:type="pct"/>
            <w:noWrap/>
            <w:vAlign w:val="center"/>
            <w:hideMark/>
          </w:tcPr>
          <w:p w14:paraId="4402B5CF" w14:textId="21740041"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370597B9" w14:textId="01CFD80C"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98</w:t>
            </w:r>
          </w:p>
        </w:tc>
        <w:tc>
          <w:tcPr>
            <w:tcW w:w="227" w:type="pct"/>
            <w:noWrap/>
            <w:vAlign w:val="center"/>
            <w:hideMark/>
          </w:tcPr>
          <w:p w14:paraId="6C9A5FA8" w14:textId="7B274423"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7954ACDC" w14:textId="45B9A0B5"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319</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163" w:type="pct"/>
            <w:noWrap/>
            <w:vAlign w:val="center"/>
            <w:hideMark/>
          </w:tcPr>
          <w:p w14:paraId="40786570" w14:textId="60944CD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65D85AB8"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178500</w:t>
            </w:r>
          </w:p>
        </w:tc>
        <w:tc>
          <w:tcPr>
            <w:tcW w:w="470" w:type="pct"/>
            <w:noWrap/>
            <w:vAlign w:val="center"/>
            <w:hideMark/>
          </w:tcPr>
          <w:p w14:paraId="381D274D"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45220</w:t>
            </w:r>
          </w:p>
        </w:tc>
        <w:tc>
          <w:tcPr>
            <w:tcW w:w="365" w:type="pct"/>
            <w:noWrap/>
            <w:vAlign w:val="center"/>
            <w:hideMark/>
          </w:tcPr>
          <w:p w14:paraId="5179825F" w14:textId="74A8818A"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528</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8</w:t>
            </w:r>
          </w:p>
        </w:tc>
        <w:tc>
          <w:tcPr>
            <w:tcW w:w="418" w:type="pct"/>
            <w:noWrap/>
            <w:vAlign w:val="center"/>
            <w:hideMark/>
          </w:tcPr>
          <w:p w14:paraId="3D8B68B4"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9594</w:t>
            </w:r>
          </w:p>
        </w:tc>
        <w:tc>
          <w:tcPr>
            <w:tcW w:w="466" w:type="pct"/>
            <w:noWrap/>
            <w:vAlign w:val="center"/>
            <w:hideMark/>
          </w:tcPr>
          <w:p w14:paraId="283C9457"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58900</w:t>
            </w:r>
          </w:p>
        </w:tc>
        <w:tc>
          <w:tcPr>
            <w:tcW w:w="365" w:type="pct"/>
            <w:noWrap/>
            <w:vAlign w:val="center"/>
            <w:hideMark/>
          </w:tcPr>
          <w:p w14:paraId="37138401" w14:textId="31F113C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681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w:t>
            </w:r>
          </w:p>
        </w:tc>
        <w:tc>
          <w:tcPr>
            <w:tcW w:w="416" w:type="pct"/>
            <w:noWrap/>
            <w:vAlign w:val="center"/>
            <w:hideMark/>
          </w:tcPr>
          <w:p w14:paraId="02BBEF43"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10830</w:t>
            </w:r>
          </w:p>
        </w:tc>
      </w:tr>
      <w:tr w:rsidR="00460120" w:rsidRPr="00D73C18" w14:paraId="00C17739" w14:textId="77777777" w:rsidTr="00166705">
        <w:trPr>
          <w:trHeight w:val="284"/>
        </w:trPr>
        <w:tc>
          <w:tcPr>
            <w:tcW w:w="594" w:type="pct"/>
            <w:noWrap/>
            <w:vAlign w:val="center"/>
            <w:hideMark/>
          </w:tcPr>
          <w:p w14:paraId="075660ED" w14:textId="2834326F" w:rsidR="0062157C" w:rsidRPr="00D73C18" w:rsidRDefault="00460120" w:rsidP="00ED3175">
            <w:pPr>
              <w:spacing w:after="0" w:line="240" w:lineRule="auto"/>
              <w:jc w:val="both"/>
              <w:rPr>
                <w:rFonts w:ascii="Arial" w:eastAsia="Times New Roman" w:hAnsi="Arial" w:cs="Arial"/>
                <w:b/>
                <w:bCs/>
                <w:color w:val="000000"/>
                <w:sz w:val="20"/>
                <w:szCs w:val="20"/>
                <w:lang w:eastAsia="fr-FR"/>
              </w:rPr>
            </w:pPr>
            <w:proofErr w:type="spellStart"/>
            <w:r w:rsidRPr="00D73C18">
              <w:rPr>
                <w:rFonts w:ascii="Arial" w:eastAsia="Times New Roman" w:hAnsi="Arial" w:cs="Arial"/>
                <w:b/>
                <w:bCs/>
                <w:color w:val="000000"/>
                <w:sz w:val="20"/>
                <w:szCs w:val="20"/>
                <w:lang w:eastAsia="fr-FR"/>
              </w:rPr>
              <w:t>Average</w:t>
            </w:r>
            <w:proofErr w:type="spellEnd"/>
          </w:p>
        </w:tc>
        <w:tc>
          <w:tcPr>
            <w:tcW w:w="235" w:type="pct"/>
            <w:noWrap/>
            <w:vAlign w:val="center"/>
            <w:hideMark/>
          </w:tcPr>
          <w:p w14:paraId="17D10A3D" w14:textId="2F61CD68"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76" w:type="pct"/>
            <w:noWrap/>
            <w:vAlign w:val="center"/>
            <w:hideMark/>
          </w:tcPr>
          <w:p w14:paraId="49828B18" w14:textId="55F2F835"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7</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2</w:t>
            </w:r>
            <w:r w:rsidR="00460120" w:rsidRPr="00D73C18">
              <w:rPr>
                <w:rFonts w:ascii="Arial" w:eastAsia="Times New Roman" w:hAnsi="Arial" w:cs="Arial"/>
                <w:color w:val="000000"/>
                <w:sz w:val="20"/>
                <w:szCs w:val="20"/>
                <w:lang w:eastAsia="fr-FR"/>
              </w:rPr>
              <w:t>1</w:t>
            </w:r>
          </w:p>
        </w:tc>
        <w:tc>
          <w:tcPr>
            <w:tcW w:w="227" w:type="pct"/>
            <w:noWrap/>
            <w:vAlign w:val="center"/>
            <w:hideMark/>
          </w:tcPr>
          <w:p w14:paraId="301EF5C1" w14:textId="686ED97F"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364" w:type="pct"/>
            <w:noWrap/>
            <w:vAlign w:val="center"/>
            <w:hideMark/>
          </w:tcPr>
          <w:p w14:paraId="2EC6C561" w14:textId="230B8384"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281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w:t>
            </w:r>
          </w:p>
        </w:tc>
        <w:tc>
          <w:tcPr>
            <w:tcW w:w="163" w:type="pct"/>
            <w:noWrap/>
            <w:vAlign w:val="center"/>
            <w:hideMark/>
          </w:tcPr>
          <w:p w14:paraId="1A8EF308" w14:textId="7708390C"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p>
        </w:tc>
        <w:tc>
          <w:tcPr>
            <w:tcW w:w="540" w:type="pct"/>
            <w:noWrap/>
            <w:vAlign w:val="center"/>
            <w:hideMark/>
          </w:tcPr>
          <w:p w14:paraId="790E36BF" w14:textId="3205D65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46470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12</w:t>
            </w:r>
          </w:p>
        </w:tc>
        <w:tc>
          <w:tcPr>
            <w:tcW w:w="470" w:type="pct"/>
            <w:noWrap/>
            <w:vAlign w:val="center"/>
            <w:hideMark/>
          </w:tcPr>
          <w:p w14:paraId="31572A1C" w14:textId="31B843B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12094</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28</w:t>
            </w:r>
          </w:p>
        </w:tc>
        <w:tc>
          <w:tcPr>
            <w:tcW w:w="365" w:type="pct"/>
            <w:noWrap/>
            <w:vAlign w:val="center"/>
            <w:hideMark/>
          </w:tcPr>
          <w:p w14:paraId="77F73D39" w14:textId="00B5A1D2"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137</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36</w:t>
            </w:r>
          </w:p>
        </w:tc>
        <w:tc>
          <w:tcPr>
            <w:tcW w:w="418" w:type="pct"/>
            <w:noWrap/>
            <w:vAlign w:val="center"/>
            <w:hideMark/>
          </w:tcPr>
          <w:p w14:paraId="62F4B7BB" w14:textId="5035402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2553</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67</w:t>
            </w:r>
          </w:p>
        </w:tc>
        <w:tc>
          <w:tcPr>
            <w:tcW w:w="466" w:type="pct"/>
            <w:noWrap/>
            <w:vAlign w:val="center"/>
            <w:hideMark/>
          </w:tcPr>
          <w:p w14:paraId="61395CDE" w14:textId="627E4A5E"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15311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76</w:t>
            </w:r>
          </w:p>
        </w:tc>
        <w:tc>
          <w:tcPr>
            <w:tcW w:w="365" w:type="pct"/>
            <w:noWrap/>
            <w:vAlign w:val="center"/>
            <w:hideMark/>
          </w:tcPr>
          <w:p w14:paraId="70ACABFA" w14:textId="3F10FC9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177</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56</w:t>
            </w:r>
          </w:p>
        </w:tc>
        <w:tc>
          <w:tcPr>
            <w:tcW w:w="416" w:type="pct"/>
            <w:noWrap/>
            <w:vAlign w:val="center"/>
            <w:hideMark/>
          </w:tcPr>
          <w:p w14:paraId="2B4E9546" w14:textId="6CF3827B"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2861</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49</w:t>
            </w:r>
          </w:p>
        </w:tc>
      </w:tr>
      <w:tr w:rsidR="00460120" w:rsidRPr="00D73C18" w14:paraId="6EED9865" w14:textId="77777777" w:rsidTr="00166705">
        <w:trPr>
          <w:trHeight w:val="284"/>
        </w:trPr>
        <w:tc>
          <w:tcPr>
            <w:tcW w:w="594" w:type="pct"/>
            <w:noWrap/>
            <w:vAlign w:val="center"/>
            <w:hideMark/>
          </w:tcPr>
          <w:p w14:paraId="1907828D" w14:textId="77777777" w:rsidR="0062157C" w:rsidRPr="00D73C18" w:rsidRDefault="0062157C" w:rsidP="00ED3175">
            <w:pPr>
              <w:spacing w:after="0" w:line="240" w:lineRule="auto"/>
              <w:jc w:val="both"/>
              <w:rPr>
                <w:rFonts w:ascii="Arial" w:eastAsia="Times New Roman" w:hAnsi="Arial" w:cs="Arial"/>
                <w:b/>
                <w:bCs/>
                <w:color w:val="000000"/>
                <w:sz w:val="20"/>
                <w:szCs w:val="20"/>
                <w:lang w:eastAsia="fr-FR"/>
              </w:rPr>
            </w:pPr>
            <w:r w:rsidRPr="00D73C18">
              <w:rPr>
                <w:rFonts w:ascii="Arial" w:eastAsia="Times New Roman" w:hAnsi="Arial" w:cs="Arial"/>
                <w:b/>
                <w:bCs/>
                <w:color w:val="000000"/>
                <w:sz w:val="20"/>
                <w:szCs w:val="20"/>
                <w:lang w:eastAsia="fr-FR"/>
              </w:rPr>
              <w:t>UCC</w:t>
            </w:r>
          </w:p>
        </w:tc>
        <w:tc>
          <w:tcPr>
            <w:tcW w:w="235" w:type="pct"/>
            <w:noWrap/>
            <w:vAlign w:val="center"/>
            <w:hideMark/>
          </w:tcPr>
          <w:p w14:paraId="50282195" w14:textId="6CC6047D"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1</w:t>
            </w:r>
          </w:p>
        </w:tc>
        <w:tc>
          <w:tcPr>
            <w:tcW w:w="376" w:type="pct"/>
            <w:noWrap/>
            <w:vAlign w:val="center"/>
            <w:hideMark/>
          </w:tcPr>
          <w:p w14:paraId="2E9D259D"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17</w:t>
            </w:r>
          </w:p>
        </w:tc>
        <w:tc>
          <w:tcPr>
            <w:tcW w:w="227" w:type="pct"/>
            <w:noWrap/>
            <w:vAlign w:val="center"/>
            <w:hideMark/>
          </w:tcPr>
          <w:p w14:paraId="5DB8B6F9" w14:textId="37EF0F49"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0</w:t>
            </w:r>
            <w:r w:rsidR="00ED3175" w:rsidRPr="00D73C18">
              <w:rPr>
                <w:rFonts w:ascii="Arial" w:eastAsia="Times New Roman" w:hAnsi="Arial" w:cs="Arial"/>
                <w:color w:val="000000"/>
                <w:sz w:val="20"/>
                <w:szCs w:val="20"/>
                <w:lang w:eastAsia="fr-FR"/>
              </w:rPr>
              <w:t>.</w:t>
            </w:r>
            <w:r w:rsidRPr="00D73C18">
              <w:rPr>
                <w:rFonts w:ascii="Arial" w:eastAsia="Times New Roman" w:hAnsi="Arial" w:cs="Arial"/>
                <w:color w:val="000000"/>
                <w:sz w:val="20"/>
                <w:szCs w:val="20"/>
                <w:lang w:eastAsia="fr-FR"/>
              </w:rPr>
              <w:t>05</w:t>
            </w:r>
          </w:p>
        </w:tc>
        <w:tc>
          <w:tcPr>
            <w:tcW w:w="364" w:type="pct"/>
            <w:noWrap/>
            <w:vAlign w:val="center"/>
            <w:hideMark/>
          </w:tcPr>
          <w:p w14:paraId="12505E7A"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655</w:t>
            </w:r>
          </w:p>
        </w:tc>
        <w:tc>
          <w:tcPr>
            <w:tcW w:w="163" w:type="pct"/>
            <w:noWrap/>
            <w:vAlign w:val="center"/>
            <w:hideMark/>
          </w:tcPr>
          <w:p w14:paraId="30453701"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w:t>
            </w:r>
          </w:p>
        </w:tc>
        <w:tc>
          <w:tcPr>
            <w:tcW w:w="540" w:type="pct"/>
            <w:noWrap/>
            <w:vAlign w:val="center"/>
            <w:hideMark/>
          </w:tcPr>
          <w:p w14:paraId="6A5BDC2E"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77440</w:t>
            </w:r>
          </w:p>
        </w:tc>
        <w:tc>
          <w:tcPr>
            <w:tcW w:w="470" w:type="pct"/>
            <w:noWrap/>
            <w:vAlign w:val="center"/>
            <w:hideMark/>
          </w:tcPr>
          <w:p w14:paraId="611AC11A"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30890</w:t>
            </w:r>
          </w:p>
        </w:tc>
        <w:tc>
          <w:tcPr>
            <w:tcW w:w="365" w:type="pct"/>
            <w:noWrap/>
            <w:vAlign w:val="center"/>
            <w:hideMark/>
          </w:tcPr>
          <w:p w14:paraId="5A6EEDF7"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14</w:t>
            </w:r>
          </w:p>
        </w:tc>
        <w:tc>
          <w:tcPr>
            <w:tcW w:w="418" w:type="pct"/>
            <w:noWrap/>
            <w:vAlign w:val="center"/>
            <w:hideMark/>
          </w:tcPr>
          <w:p w14:paraId="6CAC0FAB"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13510</w:t>
            </w:r>
          </w:p>
        </w:tc>
        <w:tc>
          <w:tcPr>
            <w:tcW w:w="466" w:type="pct"/>
            <w:noWrap/>
            <w:vAlign w:val="center"/>
            <w:hideMark/>
          </w:tcPr>
          <w:p w14:paraId="1FE20564"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25670</w:t>
            </w:r>
          </w:p>
        </w:tc>
        <w:tc>
          <w:tcPr>
            <w:tcW w:w="365" w:type="pct"/>
            <w:noWrap/>
            <w:vAlign w:val="center"/>
            <w:hideMark/>
          </w:tcPr>
          <w:p w14:paraId="3CF580F4"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52</w:t>
            </w:r>
          </w:p>
        </w:tc>
        <w:tc>
          <w:tcPr>
            <w:tcW w:w="416" w:type="pct"/>
            <w:noWrap/>
            <w:vAlign w:val="center"/>
            <w:hideMark/>
          </w:tcPr>
          <w:p w14:paraId="3160F040" w14:textId="77777777" w:rsidR="0062157C" w:rsidRPr="00D73C18" w:rsidRDefault="0062157C" w:rsidP="00ED3175">
            <w:pPr>
              <w:spacing w:after="0" w:line="240" w:lineRule="auto"/>
              <w:jc w:val="both"/>
              <w:rPr>
                <w:rFonts w:ascii="Arial" w:eastAsia="Times New Roman" w:hAnsi="Arial" w:cs="Arial"/>
                <w:color w:val="000000"/>
                <w:sz w:val="20"/>
                <w:szCs w:val="20"/>
                <w:lang w:eastAsia="fr-FR"/>
              </w:rPr>
            </w:pPr>
            <w:r w:rsidRPr="00D73C18">
              <w:rPr>
                <w:rFonts w:ascii="Arial" w:eastAsia="Times New Roman" w:hAnsi="Arial" w:cs="Arial"/>
                <w:color w:val="000000"/>
                <w:sz w:val="20"/>
                <w:szCs w:val="20"/>
                <w:lang w:eastAsia="fr-FR"/>
              </w:rPr>
              <w:t>28650</w:t>
            </w:r>
          </w:p>
        </w:tc>
      </w:tr>
    </w:tbl>
    <w:p w14:paraId="4525F111" w14:textId="77777777" w:rsidR="0062157C" w:rsidRPr="00D73C18" w:rsidRDefault="0062157C" w:rsidP="00ED3175">
      <w:pPr>
        <w:jc w:val="both"/>
        <w:rPr>
          <w:rFonts w:ascii="Arial" w:hAnsi="Arial" w:cs="Arial"/>
          <w:sz w:val="20"/>
          <w:szCs w:val="20"/>
        </w:rPr>
      </w:pPr>
      <w:proofErr w:type="gramStart"/>
      <w:r w:rsidRPr="00D73C18">
        <w:rPr>
          <w:rFonts w:ascii="Arial" w:hAnsi="Arial" w:cs="Arial"/>
          <w:sz w:val="20"/>
          <w:szCs w:val="20"/>
        </w:rPr>
        <w:t>Echan:</w:t>
      </w:r>
      <w:proofErr w:type="gramEnd"/>
      <w:r w:rsidRPr="00D73C18">
        <w:rPr>
          <w:rFonts w:ascii="Arial" w:hAnsi="Arial" w:cs="Arial"/>
          <w:sz w:val="20"/>
          <w:szCs w:val="20"/>
        </w:rPr>
        <w:t xml:space="preserve"> </w:t>
      </w:r>
      <w:proofErr w:type="spellStart"/>
      <w:proofErr w:type="gramStart"/>
      <w:r w:rsidRPr="00D73C18">
        <w:rPr>
          <w:rFonts w:ascii="Arial" w:hAnsi="Arial" w:cs="Arial"/>
          <w:sz w:val="20"/>
          <w:szCs w:val="20"/>
        </w:rPr>
        <w:t>samples</w:t>
      </w:r>
      <w:proofErr w:type="spellEnd"/>
      <w:r w:rsidRPr="00D73C18">
        <w:rPr>
          <w:rFonts w:ascii="Arial" w:hAnsi="Arial" w:cs="Arial"/>
          <w:sz w:val="20"/>
          <w:szCs w:val="20"/>
        </w:rPr>
        <w:t>;</w:t>
      </w:r>
      <w:proofErr w:type="gramEnd"/>
      <w:r w:rsidRPr="00D73C18">
        <w:rPr>
          <w:rFonts w:ascii="Arial" w:hAnsi="Arial" w:cs="Arial"/>
          <w:sz w:val="20"/>
          <w:szCs w:val="20"/>
        </w:rPr>
        <w:t xml:space="preserve"> </w:t>
      </w:r>
      <w:proofErr w:type="gramStart"/>
      <w:r w:rsidRPr="00D73C18">
        <w:rPr>
          <w:rFonts w:ascii="Arial" w:hAnsi="Arial" w:cs="Arial"/>
          <w:sz w:val="20"/>
          <w:szCs w:val="20"/>
        </w:rPr>
        <w:t>UCC:</w:t>
      </w:r>
      <w:proofErr w:type="gramEnd"/>
      <w:r w:rsidRPr="00D73C18">
        <w:rPr>
          <w:rFonts w:ascii="Arial" w:hAnsi="Arial" w:cs="Arial"/>
          <w:sz w:val="20"/>
          <w:szCs w:val="20"/>
        </w:rPr>
        <w:t xml:space="preserve"> Upper Continental </w:t>
      </w:r>
      <w:proofErr w:type="gramStart"/>
      <w:r w:rsidRPr="00D73C18">
        <w:rPr>
          <w:rFonts w:ascii="Arial" w:hAnsi="Arial" w:cs="Arial"/>
          <w:sz w:val="20"/>
          <w:szCs w:val="20"/>
        </w:rPr>
        <w:t>Crust;</w:t>
      </w:r>
      <w:proofErr w:type="gramEnd"/>
      <w:r w:rsidRPr="00D73C18">
        <w:rPr>
          <w:rFonts w:ascii="Arial" w:hAnsi="Arial" w:cs="Arial"/>
          <w:sz w:val="20"/>
          <w:szCs w:val="20"/>
        </w:rPr>
        <w:t xml:space="preserve"> </w:t>
      </w:r>
      <w:proofErr w:type="gramStart"/>
      <w:r w:rsidRPr="00D73C18">
        <w:rPr>
          <w:rFonts w:ascii="Arial" w:hAnsi="Arial" w:cs="Arial"/>
          <w:sz w:val="20"/>
          <w:szCs w:val="20"/>
        </w:rPr>
        <w:t>Max:</w:t>
      </w:r>
      <w:proofErr w:type="gramEnd"/>
      <w:r w:rsidRPr="00D73C18">
        <w:rPr>
          <w:rFonts w:ascii="Arial" w:hAnsi="Arial" w:cs="Arial"/>
          <w:sz w:val="20"/>
          <w:szCs w:val="20"/>
        </w:rPr>
        <w:t xml:space="preserve"> maximum </w:t>
      </w:r>
      <w:proofErr w:type="spellStart"/>
      <w:r w:rsidRPr="00D73C18">
        <w:rPr>
          <w:rFonts w:ascii="Arial" w:hAnsi="Arial" w:cs="Arial"/>
          <w:sz w:val="20"/>
          <w:szCs w:val="20"/>
        </w:rPr>
        <w:t>metal</w:t>
      </w:r>
      <w:proofErr w:type="spellEnd"/>
      <w:r w:rsidRPr="00D73C18">
        <w:rPr>
          <w:rFonts w:ascii="Arial" w:hAnsi="Arial" w:cs="Arial"/>
          <w:sz w:val="20"/>
          <w:szCs w:val="20"/>
        </w:rPr>
        <w:t xml:space="preserve"> </w:t>
      </w:r>
      <w:proofErr w:type="gramStart"/>
      <w:r w:rsidRPr="00D73C18">
        <w:rPr>
          <w:rFonts w:ascii="Arial" w:hAnsi="Arial" w:cs="Arial"/>
          <w:sz w:val="20"/>
          <w:szCs w:val="20"/>
        </w:rPr>
        <w:t>concentration;</w:t>
      </w:r>
      <w:proofErr w:type="gramEnd"/>
      <w:r w:rsidRPr="00D73C18">
        <w:rPr>
          <w:rFonts w:ascii="Arial" w:hAnsi="Arial" w:cs="Arial"/>
          <w:sz w:val="20"/>
          <w:szCs w:val="20"/>
        </w:rPr>
        <w:t xml:space="preserve"> </w:t>
      </w:r>
      <w:proofErr w:type="gramStart"/>
      <w:r w:rsidRPr="00D73C18">
        <w:rPr>
          <w:rFonts w:ascii="Arial" w:hAnsi="Arial" w:cs="Arial"/>
          <w:sz w:val="20"/>
          <w:szCs w:val="20"/>
        </w:rPr>
        <w:t>Min:</w:t>
      </w:r>
      <w:proofErr w:type="gramEnd"/>
      <w:r w:rsidRPr="00D73C18">
        <w:rPr>
          <w:rFonts w:ascii="Arial" w:hAnsi="Arial" w:cs="Arial"/>
          <w:sz w:val="20"/>
          <w:szCs w:val="20"/>
        </w:rPr>
        <w:t xml:space="preserve"> minimum </w:t>
      </w:r>
      <w:proofErr w:type="spellStart"/>
      <w:r w:rsidRPr="00D73C18">
        <w:rPr>
          <w:rFonts w:ascii="Arial" w:hAnsi="Arial" w:cs="Arial"/>
          <w:sz w:val="20"/>
          <w:szCs w:val="20"/>
        </w:rPr>
        <w:t>metal</w:t>
      </w:r>
      <w:proofErr w:type="spellEnd"/>
      <w:r w:rsidRPr="00D73C18">
        <w:rPr>
          <w:rFonts w:ascii="Arial" w:hAnsi="Arial" w:cs="Arial"/>
          <w:sz w:val="20"/>
          <w:szCs w:val="20"/>
        </w:rPr>
        <w:t xml:space="preserve"> </w:t>
      </w:r>
      <w:proofErr w:type="gramStart"/>
      <w:r w:rsidRPr="00D73C18">
        <w:rPr>
          <w:rFonts w:ascii="Arial" w:hAnsi="Arial" w:cs="Arial"/>
          <w:sz w:val="20"/>
          <w:szCs w:val="20"/>
        </w:rPr>
        <w:t>concentration;</w:t>
      </w:r>
      <w:proofErr w:type="gramEnd"/>
      <w:r w:rsidRPr="00D73C18">
        <w:rPr>
          <w:rFonts w:ascii="Arial" w:hAnsi="Arial" w:cs="Arial"/>
          <w:sz w:val="20"/>
          <w:szCs w:val="20"/>
        </w:rPr>
        <w:t xml:space="preserve"> </w:t>
      </w:r>
    </w:p>
    <w:p w14:paraId="36B30FD6" w14:textId="77777777" w:rsidR="007363EB" w:rsidRPr="00D73C18" w:rsidRDefault="007363EB" w:rsidP="00ED3175">
      <w:pPr>
        <w:jc w:val="both"/>
        <w:rPr>
          <w:rFonts w:ascii="Arial" w:hAnsi="Arial" w:cs="Arial"/>
          <w:sz w:val="20"/>
          <w:szCs w:val="20"/>
        </w:rPr>
      </w:pPr>
    </w:p>
    <w:p w14:paraId="299A5735" w14:textId="77777777" w:rsidR="0062157C" w:rsidRPr="00CC429D" w:rsidRDefault="0062157C" w:rsidP="00ED3175">
      <w:pPr>
        <w:jc w:val="both"/>
        <w:rPr>
          <w:rFonts w:ascii="Arial" w:hAnsi="Arial" w:cs="Arial"/>
          <w:b/>
          <w:bCs/>
          <w:lang w:val="en-US"/>
        </w:rPr>
      </w:pPr>
      <w:r w:rsidRPr="00CC429D">
        <w:rPr>
          <w:rFonts w:ascii="Arial" w:hAnsi="Arial" w:cs="Arial"/>
          <w:b/>
          <w:bCs/>
          <w:lang w:val="en-US"/>
        </w:rPr>
        <w:t>3.2. Estimation of the Severity of Metal Pollution in Sediments</w:t>
      </w:r>
    </w:p>
    <w:p w14:paraId="21105C94" w14:textId="77777777" w:rsidR="0062157C" w:rsidRPr="00D73C18" w:rsidRDefault="0062157C" w:rsidP="00ED3175">
      <w:pPr>
        <w:jc w:val="both"/>
        <w:rPr>
          <w:rFonts w:ascii="Arial" w:hAnsi="Arial" w:cs="Arial"/>
          <w:b/>
          <w:bCs/>
          <w:sz w:val="20"/>
          <w:szCs w:val="20"/>
          <w:lang w:val="en-US"/>
        </w:rPr>
      </w:pPr>
      <w:r w:rsidRPr="00D73C18">
        <w:rPr>
          <w:rFonts w:ascii="Arial" w:hAnsi="Arial" w:cs="Arial"/>
          <w:b/>
          <w:bCs/>
          <w:sz w:val="20"/>
          <w:szCs w:val="20"/>
          <w:lang w:val="en-US"/>
        </w:rPr>
        <w:t>3.2.1. Level of EMF enrichment in sediments</w:t>
      </w:r>
    </w:p>
    <w:p w14:paraId="0BBC68D2" w14:textId="1C8385BE"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lastRenderedPageBreak/>
        <w:t xml:space="preserve">The enrichment factors for metals in the surface sediments of the </w:t>
      </w:r>
      <w:proofErr w:type="spellStart"/>
      <w:r w:rsidRPr="00D73C18">
        <w:rPr>
          <w:rFonts w:ascii="Arial" w:hAnsi="Arial" w:cs="Arial"/>
          <w:sz w:val="20"/>
          <w:szCs w:val="20"/>
          <w:lang w:val="en-US"/>
        </w:rPr>
        <w:t>Ebri</w:t>
      </w:r>
      <w:r w:rsidR="009F1635" w:rsidRPr="00D73C18">
        <w:rPr>
          <w:rFonts w:ascii="Arial" w:hAnsi="Arial" w:cs="Arial"/>
          <w:sz w:val="20"/>
          <w:szCs w:val="20"/>
          <w:lang w:val="en-US"/>
        </w:rPr>
        <w:t>e</w:t>
      </w:r>
      <w:proofErr w:type="spellEnd"/>
      <w:r w:rsidRPr="00D73C18">
        <w:rPr>
          <w:rFonts w:ascii="Arial" w:hAnsi="Arial" w:cs="Arial"/>
          <w:sz w:val="20"/>
          <w:szCs w:val="20"/>
          <w:lang w:val="en-US"/>
        </w:rPr>
        <w:t xml:space="preserve"> Lagoon vary as follows:</w:t>
      </w:r>
    </w:p>
    <w:p w14:paraId="560DE59A"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Aluminum: the enrichment factor ranges from 0.48 to 1.57. The average value is 0.97. The enrichment factor (EF) is &lt;2 in all sediments.</w:t>
      </w:r>
    </w:p>
    <w:p w14:paraId="6E2E3051"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Arsenic: As enrichment factor values range from 0.0002 to 0.21, with an average of 0.09. They are all below 1.</w:t>
      </w:r>
    </w:p>
    <w:p w14:paraId="7D00786D"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Cadmium: Cadmium enrichment ranges from 0.03 to 0.42, with an average of 0.18. Only the Q15 BIS and mol port samples show an enrichment greater than 1. </w:t>
      </w:r>
    </w:p>
    <w:p w14:paraId="1618E81C"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Copper: The maximum copper enrichment in the sediments is 25.80, while the minimum enrichment is 11.98. The average enrichment is 17.69. The minimum enrichment factor ranges from 5 to 20, and the maximum enrichment factor ranges from 20 to 40.</w:t>
      </w:r>
    </w:p>
    <w:p w14:paraId="548D2D0C"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Potassium: K enrichment in the sediments ranges from 0.11 to 0.39, with an overall average of 0.23; overall, FE &lt; 1. </w:t>
      </w:r>
    </w:p>
    <w:p w14:paraId="47060C03"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Magnesium: the variation in Mg enrichment ranges from 0.16 to 0.83, with an average of 0.54. This variation does not exceed 1 (FE &lt; 1) in the samples.</w:t>
      </w:r>
    </w:p>
    <w:p w14:paraId="75241B10"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Sodium: Sediment enrichment ranges from 0.34 to 2.21, with an overall average of 1.28; the FE is greater than 2.</w:t>
      </w:r>
    </w:p>
    <w:p w14:paraId="052F3A0A" w14:textId="7CDE8CDA"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Lead: </w:t>
      </w:r>
      <w:proofErr w:type="spellStart"/>
      <w:r w:rsidR="00B531B8" w:rsidRPr="00D73C18">
        <w:rPr>
          <w:rFonts w:ascii="Arial" w:hAnsi="Arial" w:cs="Arial"/>
          <w:sz w:val="20"/>
          <w:szCs w:val="20"/>
          <w:lang w:val="en-US"/>
        </w:rPr>
        <w:t>Ld</w:t>
      </w:r>
      <w:proofErr w:type="spellEnd"/>
      <w:r w:rsidRPr="00D73C18">
        <w:rPr>
          <w:rFonts w:ascii="Arial" w:hAnsi="Arial" w:cs="Arial"/>
          <w:sz w:val="20"/>
          <w:szCs w:val="20"/>
          <w:lang w:val="en-US"/>
        </w:rPr>
        <w:t xml:space="preserve"> enrichment in the lagoon sediments ranges from 0.0002 to 35.92, with an average of 11.250. This enrichment is less than 1 in all samples studied except for the one from the </w:t>
      </w:r>
      <w:proofErr w:type="spellStart"/>
      <w:r w:rsidRPr="00D73C18">
        <w:rPr>
          <w:rFonts w:ascii="Arial" w:hAnsi="Arial" w:cs="Arial"/>
          <w:sz w:val="20"/>
          <w:szCs w:val="20"/>
          <w:lang w:val="en-US"/>
        </w:rPr>
        <w:t>Bananier</w:t>
      </w:r>
      <w:proofErr w:type="spellEnd"/>
      <w:r w:rsidRPr="00D73C18">
        <w:rPr>
          <w:rFonts w:ascii="Arial" w:hAnsi="Arial" w:cs="Arial"/>
          <w:sz w:val="20"/>
          <w:szCs w:val="20"/>
          <w:lang w:val="en-US"/>
        </w:rPr>
        <w:t xml:space="preserve"> pier; </w:t>
      </w:r>
    </w:p>
    <w:p w14:paraId="7FD2439B"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Zinc: Enrichment varies between 0.32 and 11.97, with an average of 5.43. </w:t>
      </w:r>
    </w:p>
    <w:p w14:paraId="4078976E" w14:textId="4F6D0E03"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Only the sediments at the </w:t>
      </w:r>
      <w:r w:rsidR="009F1635" w:rsidRPr="00D73C18">
        <w:rPr>
          <w:rFonts w:ascii="Arial" w:hAnsi="Arial" w:cs="Arial"/>
          <w:sz w:val="20"/>
          <w:szCs w:val="20"/>
          <w:lang w:val="en-US"/>
        </w:rPr>
        <w:t>C</w:t>
      </w:r>
      <w:r w:rsidRPr="00D73C18">
        <w:rPr>
          <w:rFonts w:ascii="Arial" w:hAnsi="Arial" w:cs="Arial"/>
          <w:sz w:val="20"/>
          <w:szCs w:val="20"/>
          <w:lang w:val="en-US"/>
        </w:rPr>
        <w:t>arena have a Zn enrichment of less than 2.</w:t>
      </w:r>
    </w:p>
    <w:p w14:paraId="6D563631"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Mercury: sediment enrichment ranges from 0.001 to 0.16, with an average of 0.07. The enrichment factor is less than 1.</w:t>
      </w:r>
    </w:p>
    <w:p w14:paraId="1F69F0D6"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Iron: Enrichment ranges from 0 to 0.08, with an average of 0.04. The enrichment factor is less than 1. </w:t>
      </w:r>
    </w:p>
    <w:p w14:paraId="0E389BBC"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The average enrichment values for trace metals, ranging from 0.01 mg/kg to 17.69 mg/kg, suggest two possible sources for these metals. The first is of natural, terrigenous origin. This corresponds to ETMs with an enrichment factor less than 1, such as Cd, As, Hg, Fe, Al, Mg, Na, and K. Such a factor indicates no enrichment or minimal enrichment of the ETMs. The second source includes ETMs with enrichment factors greater than 1 (EF&gt;1), such as Cu, Pb, and Zn. These originate from anthropogenic sources (domestic and industrial effluents). The average enrichment levels of these elements are 17.69 mg/kg, 11.25 mg/kg, and 5.43 mg/kg, respectively, in the sediments studied. Values between 5 and 20 suggest that Zn, Cu, and Pb show significant enrichment in the sediments. However, the maximum enrichment levels of Cu and Pb, at 25.80 mg/kg and 35.92 mg/kg respectively (20 &lt;FE&lt; 40), indicate very high enrichment of copper and lead. The high enrichments observed for Cu, Pb, and Zn could result from the transport of untreated waste via waterways, as well as agricultural and industrial activities.</w:t>
      </w:r>
    </w:p>
    <w:p w14:paraId="0323315E" w14:textId="77777777" w:rsidR="0062157C" w:rsidRPr="00D73C18" w:rsidRDefault="0062157C" w:rsidP="00ED3175">
      <w:pPr>
        <w:jc w:val="both"/>
        <w:rPr>
          <w:rFonts w:ascii="Arial" w:hAnsi="Arial" w:cs="Arial"/>
          <w:b/>
          <w:bCs/>
          <w:sz w:val="20"/>
          <w:szCs w:val="20"/>
          <w:lang w:val="en-US"/>
        </w:rPr>
      </w:pPr>
      <w:r w:rsidRPr="00D73C18">
        <w:rPr>
          <w:rFonts w:ascii="Arial" w:hAnsi="Arial" w:cs="Arial"/>
          <w:b/>
          <w:bCs/>
          <w:sz w:val="20"/>
          <w:szCs w:val="20"/>
          <w:lang w:val="en-US"/>
        </w:rPr>
        <w:t xml:space="preserve">3.2.2. </w:t>
      </w:r>
      <w:proofErr w:type="spellStart"/>
      <w:r w:rsidRPr="00D73C18">
        <w:rPr>
          <w:rFonts w:ascii="Arial" w:hAnsi="Arial" w:cs="Arial"/>
          <w:b/>
          <w:bCs/>
          <w:sz w:val="20"/>
          <w:szCs w:val="20"/>
          <w:lang w:val="en-US"/>
        </w:rPr>
        <w:t>Geoaccumulation</w:t>
      </w:r>
      <w:proofErr w:type="spellEnd"/>
      <w:r w:rsidRPr="00D73C18">
        <w:rPr>
          <w:rFonts w:ascii="Arial" w:hAnsi="Arial" w:cs="Arial"/>
          <w:b/>
          <w:bCs/>
          <w:sz w:val="20"/>
          <w:szCs w:val="20"/>
          <w:lang w:val="en-US"/>
        </w:rPr>
        <w:t xml:space="preserve"> Index</w:t>
      </w:r>
    </w:p>
    <w:p w14:paraId="78298DC8"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indices of trace elements in sediments from the Treichville area of the </w:t>
      </w:r>
      <w:proofErr w:type="spellStart"/>
      <w:r w:rsidRPr="00D73C18">
        <w:rPr>
          <w:rFonts w:ascii="Arial" w:hAnsi="Arial" w:cs="Arial"/>
          <w:sz w:val="20"/>
          <w:szCs w:val="20"/>
          <w:lang w:val="en-US"/>
        </w:rPr>
        <w:t>Ebrié</w:t>
      </w:r>
      <w:proofErr w:type="spellEnd"/>
      <w:r w:rsidRPr="00D73C18">
        <w:rPr>
          <w:rFonts w:ascii="Arial" w:hAnsi="Arial" w:cs="Arial"/>
          <w:sz w:val="20"/>
          <w:szCs w:val="20"/>
          <w:lang w:val="en-US"/>
        </w:rPr>
        <w:t xml:space="preserve"> Lagoon vary as follows:</w:t>
      </w:r>
    </w:p>
    <w:p w14:paraId="6D31190F" w14:textId="6AE2623A" w:rsidR="0062157C" w:rsidRPr="00D73C18" w:rsidRDefault="00EA1590"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Sodium: the minimum </w:t>
      </w:r>
      <w:proofErr w:type="spellStart"/>
      <w:r w:rsidR="0062157C" w:rsidRPr="00D73C18">
        <w:rPr>
          <w:rFonts w:ascii="Arial" w:hAnsi="Arial" w:cs="Arial"/>
          <w:sz w:val="20"/>
          <w:szCs w:val="20"/>
          <w:lang w:val="en-US"/>
        </w:rPr>
        <w:t>Geoaccumulation</w:t>
      </w:r>
      <w:proofErr w:type="spellEnd"/>
      <w:r w:rsidR="0062157C" w:rsidRPr="00D73C18">
        <w:rPr>
          <w:rFonts w:ascii="Arial" w:hAnsi="Arial" w:cs="Arial"/>
          <w:sz w:val="20"/>
          <w:szCs w:val="20"/>
          <w:lang w:val="en-US"/>
        </w:rPr>
        <w:t xml:space="preserve"> Index (GAI) is 6.15 and the maximum is 9.00, with an average of 7.35;</w:t>
      </w:r>
    </w:p>
    <w:p w14:paraId="0F9B387B" w14:textId="28F2951F" w:rsidR="0062157C" w:rsidRPr="00D73C18" w:rsidRDefault="00EA1590" w:rsidP="00ED3175">
      <w:pPr>
        <w:jc w:val="both"/>
        <w:rPr>
          <w:rFonts w:ascii="Arial" w:hAnsi="Arial" w:cs="Arial"/>
          <w:sz w:val="20"/>
          <w:szCs w:val="20"/>
          <w:lang w:val="en-US"/>
        </w:rPr>
      </w:pPr>
      <w:r w:rsidRPr="00D73C18">
        <w:rPr>
          <w:rFonts w:ascii="Arial" w:hAnsi="Arial" w:cs="Arial"/>
          <w:sz w:val="20"/>
          <w:szCs w:val="20"/>
          <w:lang w:val="en-US"/>
        </w:rPr>
        <w:t xml:space="preserve">- </w:t>
      </w:r>
      <w:r w:rsidR="0062157C" w:rsidRPr="00D73C18">
        <w:rPr>
          <w:rFonts w:ascii="Arial" w:hAnsi="Arial" w:cs="Arial"/>
          <w:sz w:val="20"/>
          <w:szCs w:val="20"/>
          <w:lang w:val="en-US"/>
        </w:rPr>
        <w:t xml:space="preserve">Aluminum: </w:t>
      </w:r>
      <w:proofErr w:type="gramStart"/>
      <w:r w:rsidR="0062157C" w:rsidRPr="00D73C18">
        <w:rPr>
          <w:rFonts w:ascii="Arial" w:hAnsi="Arial" w:cs="Arial"/>
          <w:sz w:val="20"/>
          <w:szCs w:val="20"/>
          <w:lang w:val="en-US"/>
        </w:rPr>
        <w:t>the</w:t>
      </w:r>
      <w:proofErr w:type="gramEnd"/>
      <w:r w:rsidR="0062157C" w:rsidRPr="00D73C18">
        <w:rPr>
          <w:rFonts w:ascii="Arial" w:hAnsi="Arial" w:cs="Arial"/>
          <w:sz w:val="20"/>
          <w:szCs w:val="20"/>
          <w:lang w:val="en-US"/>
        </w:rPr>
        <w:t xml:space="preserve"> </w:t>
      </w:r>
      <w:proofErr w:type="spellStart"/>
      <w:r w:rsidR="0062157C" w:rsidRPr="00D73C18">
        <w:rPr>
          <w:rFonts w:ascii="Arial" w:hAnsi="Arial" w:cs="Arial"/>
          <w:sz w:val="20"/>
          <w:szCs w:val="20"/>
          <w:lang w:val="en-US"/>
        </w:rPr>
        <w:t>GeoAccumulation</w:t>
      </w:r>
      <w:proofErr w:type="spellEnd"/>
      <w:r w:rsidR="0062157C" w:rsidRPr="00D73C18">
        <w:rPr>
          <w:rFonts w:ascii="Arial" w:hAnsi="Arial" w:cs="Arial"/>
          <w:sz w:val="20"/>
          <w:szCs w:val="20"/>
          <w:lang w:val="en-US"/>
        </w:rPr>
        <w:t xml:space="preserve"> Index ranges from 7.44 to 9.96, with an average of 8.45; </w:t>
      </w:r>
    </w:p>
    <w:p w14:paraId="50D28D0A" w14:textId="201B2BA2" w:rsidR="0062157C" w:rsidRPr="00D73C18" w:rsidRDefault="00EA1590" w:rsidP="00ED3175">
      <w:pPr>
        <w:jc w:val="both"/>
        <w:rPr>
          <w:rFonts w:ascii="Arial" w:hAnsi="Arial" w:cs="Arial"/>
          <w:sz w:val="20"/>
          <w:szCs w:val="20"/>
          <w:lang w:val="en-US"/>
        </w:rPr>
      </w:pPr>
      <w:r w:rsidRPr="00D73C18">
        <w:rPr>
          <w:rFonts w:ascii="Arial" w:hAnsi="Arial" w:cs="Arial"/>
          <w:sz w:val="20"/>
          <w:szCs w:val="20"/>
          <w:lang w:val="en-US"/>
        </w:rPr>
        <w:lastRenderedPageBreak/>
        <w:t xml:space="preserve">- </w:t>
      </w:r>
      <w:r w:rsidR="0062157C" w:rsidRPr="00D73C18">
        <w:rPr>
          <w:rFonts w:ascii="Arial" w:hAnsi="Arial" w:cs="Arial"/>
          <w:sz w:val="20"/>
          <w:szCs w:val="20"/>
          <w:lang w:val="en-US"/>
        </w:rPr>
        <w:t xml:space="preserve">Arsenic: the </w:t>
      </w:r>
      <w:proofErr w:type="spellStart"/>
      <w:r w:rsidR="0062157C" w:rsidRPr="00D73C18">
        <w:rPr>
          <w:rFonts w:ascii="Arial" w:hAnsi="Arial" w:cs="Arial"/>
          <w:sz w:val="20"/>
          <w:szCs w:val="20"/>
          <w:lang w:val="en-US"/>
        </w:rPr>
        <w:t>GeoAccumulation</w:t>
      </w:r>
      <w:proofErr w:type="spellEnd"/>
      <w:r w:rsidR="0062157C" w:rsidRPr="00D73C18">
        <w:rPr>
          <w:rFonts w:ascii="Arial" w:hAnsi="Arial" w:cs="Arial"/>
          <w:sz w:val="20"/>
          <w:szCs w:val="20"/>
          <w:lang w:val="en-US"/>
        </w:rPr>
        <w:t xml:space="preserve"> Index remains constant at -3.60; </w:t>
      </w:r>
    </w:p>
    <w:p w14:paraId="3879A7FA" w14:textId="79F1B90A" w:rsidR="0062157C" w:rsidRPr="00D73C18" w:rsidRDefault="00EA1590" w:rsidP="00ED3175">
      <w:pPr>
        <w:jc w:val="both"/>
        <w:rPr>
          <w:rFonts w:ascii="Arial" w:hAnsi="Arial" w:cs="Arial"/>
          <w:sz w:val="20"/>
          <w:szCs w:val="20"/>
          <w:lang w:val="en-US"/>
        </w:rPr>
      </w:pPr>
      <w:r w:rsidRPr="00D73C18">
        <w:rPr>
          <w:rFonts w:ascii="Arial" w:hAnsi="Arial" w:cs="Arial"/>
          <w:sz w:val="20"/>
          <w:szCs w:val="20"/>
          <w:lang w:val="en-US"/>
        </w:rPr>
        <w:t xml:space="preserve">- </w:t>
      </w:r>
      <w:r w:rsidR="0062157C" w:rsidRPr="00D73C18">
        <w:rPr>
          <w:rFonts w:ascii="Arial" w:hAnsi="Arial" w:cs="Arial"/>
          <w:sz w:val="20"/>
          <w:szCs w:val="20"/>
          <w:lang w:val="en-US"/>
        </w:rPr>
        <w:t xml:space="preserve">Cadmium: the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for cadmium is constant at -2.30; </w:t>
      </w:r>
    </w:p>
    <w:p w14:paraId="2E2DF884" w14:textId="130EFCB0" w:rsidR="0062157C" w:rsidRPr="00D73C18" w:rsidRDefault="00EA1590" w:rsidP="00ED3175">
      <w:pPr>
        <w:jc w:val="both"/>
        <w:rPr>
          <w:rFonts w:ascii="Arial" w:hAnsi="Arial" w:cs="Arial"/>
          <w:sz w:val="20"/>
          <w:szCs w:val="20"/>
          <w:lang w:val="en-US"/>
        </w:rPr>
      </w:pPr>
      <w:r w:rsidRPr="00D73C18">
        <w:rPr>
          <w:rFonts w:ascii="Arial" w:hAnsi="Arial" w:cs="Arial"/>
          <w:sz w:val="20"/>
          <w:szCs w:val="20"/>
          <w:lang w:val="en-US"/>
        </w:rPr>
        <w:t xml:space="preserve">- </w:t>
      </w:r>
      <w:r w:rsidR="0062157C" w:rsidRPr="00D73C18">
        <w:rPr>
          <w:rFonts w:ascii="Arial" w:hAnsi="Arial" w:cs="Arial"/>
          <w:sz w:val="20"/>
          <w:szCs w:val="20"/>
          <w:lang w:val="en-US"/>
        </w:rPr>
        <w:t xml:space="preserve">Lead: </w:t>
      </w:r>
      <w:proofErr w:type="gramStart"/>
      <w:r w:rsidR="0062157C" w:rsidRPr="00D73C18">
        <w:rPr>
          <w:rFonts w:ascii="Arial" w:hAnsi="Arial" w:cs="Arial"/>
          <w:sz w:val="20"/>
          <w:szCs w:val="20"/>
          <w:lang w:val="en-US"/>
        </w:rPr>
        <w:t>the</w:t>
      </w:r>
      <w:proofErr w:type="gramEnd"/>
      <w:r w:rsidR="0062157C" w:rsidRPr="00D73C18">
        <w:rPr>
          <w:rFonts w:ascii="Arial" w:hAnsi="Arial" w:cs="Arial"/>
          <w:sz w:val="20"/>
          <w:szCs w:val="20"/>
          <w:lang w:val="en-US"/>
        </w:rPr>
        <w:t xml:space="preserv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for lead ranges from -1.25 to 2.63, with an average of 0.28;</w:t>
      </w:r>
    </w:p>
    <w:p w14:paraId="34A39980" w14:textId="5A0E8EB3" w:rsidR="0062157C" w:rsidRPr="00D73C18" w:rsidRDefault="005B786E"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Mercury: the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for Hg remains constant at -2.63</w:t>
      </w:r>
    </w:p>
    <w:p w14:paraId="03448A29" w14:textId="2A5D6305" w:rsidR="0062157C" w:rsidRPr="00D73C18" w:rsidRDefault="005B786E"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Phosphorus: </w:t>
      </w:r>
      <w:proofErr w:type="gramStart"/>
      <w:r w:rsidR="0062157C" w:rsidRPr="00D73C18">
        <w:rPr>
          <w:rFonts w:ascii="Arial" w:hAnsi="Arial" w:cs="Arial"/>
          <w:sz w:val="20"/>
          <w:szCs w:val="20"/>
          <w:lang w:val="en-US"/>
        </w:rPr>
        <w:t>the</w:t>
      </w:r>
      <w:proofErr w:type="gramEnd"/>
      <w:r w:rsidR="0062157C" w:rsidRPr="00D73C18">
        <w:rPr>
          <w:rFonts w:ascii="Arial" w:hAnsi="Arial" w:cs="Arial"/>
          <w:sz w:val="20"/>
          <w:szCs w:val="20"/>
          <w:lang w:val="en-US"/>
        </w:rPr>
        <w:t xml:space="preserv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for phosphorus ranges from 5.02 to 5.14, with an average of 5.08; </w:t>
      </w:r>
    </w:p>
    <w:p w14:paraId="77750562" w14:textId="0513FBC5" w:rsidR="0062157C" w:rsidRPr="00D73C18" w:rsidRDefault="005B786E"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Copper: </w:t>
      </w:r>
      <w:proofErr w:type="gramStart"/>
      <w:r w:rsidR="0062157C" w:rsidRPr="00D73C18">
        <w:rPr>
          <w:rFonts w:ascii="Arial" w:hAnsi="Arial" w:cs="Arial"/>
          <w:sz w:val="20"/>
          <w:szCs w:val="20"/>
          <w:lang w:val="en-US"/>
        </w:rPr>
        <w:t>the</w:t>
      </w:r>
      <w:proofErr w:type="gramEnd"/>
      <w:r w:rsidR="0062157C" w:rsidRPr="00D73C18">
        <w:rPr>
          <w:rFonts w:ascii="Arial" w:hAnsi="Arial" w:cs="Arial"/>
          <w:sz w:val="20"/>
          <w:szCs w:val="20"/>
          <w:lang w:val="en-US"/>
        </w:rPr>
        <w:t xml:space="preserv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for copper ranges from 1.40 to 3.69, with an average of 2.21; </w:t>
      </w:r>
    </w:p>
    <w:p w14:paraId="5F5C6D2C" w14:textId="3EEBAA67" w:rsidR="0062157C" w:rsidRPr="00D73C18" w:rsidRDefault="005B786E"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Iron: </w:t>
      </w:r>
      <w:proofErr w:type="gramStart"/>
      <w:r w:rsidR="0062157C" w:rsidRPr="00D73C18">
        <w:rPr>
          <w:rFonts w:ascii="Arial" w:hAnsi="Arial" w:cs="Arial"/>
          <w:sz w:val="20"/>
          <w:szCs w:val="20"/>
          <w:lang w:val="en-US"/>
        </w:rPr>
        <w:t>the</w:t>
      </w:r>
      <w:proofErr w:type="gramEnd"/>
      <w:r w:rsidR="0062157C" w:rsidRPr="00D73C18">
        <w:rPr>
          <w:rFonts w:ascii="Arial" w:hAnsi="Arial" w:cs="Arial"/>
          <w:sz w:val="20"/>
          <w:szCs w:val="20"/>
          <w:lang w:val="en-US"/>
        </w:rPr>
        <w:t xml:space="preserv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ranges from 6.86 to 8.97, with an average of 7.66; </w:t>
      </w:r>
    </w:p>
    <w:p w14:paraId="77D52964" w14:textId="6030DAFC" w:rsidR="0062157C" w:rsidRPr="00D73C18" w:rsidRDefault="005B786E"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Potassium: the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is estimated to range from 6.24 to 8.31, with an average of 6.95; </w:t>
      </w:r>
    </w:p>
    <w:p w14:paraId="47A1DD8F" w14:textId="0B877998" w:rsidR="0062157C" w:rsidRPr="00D73C18" w:rsidRDefault="00733534"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Magnesium: values range from 6.10 to 7.64, with an average of 6.65; </w:t>
      </w:r>
    </w:p>
    <w:p w14:paraId="27BD9716" w14:textId="17212B93" w:rsidR="0062157C" w:rsidRPr="00D73C18" w:rsidRDefault="00733534" w:rsidP="00ED3175">
      <w:pPr>
        <w:jc w:val="both"/>
        <w:rPr>
          <w:rFonts w:ascii="Arial" w:hAnsi="Arial" w:cs="Arial"/>
          <w:sz w:val="20"/>
          <w:szCs w:val="20"/>
          <w:lang w:val="en-US"/>
        </w:rPr>
      </w:pPr>
      <w:r w:rsidRPr="00D73C18">
        <w:rPr>
          <w:rFonts w:ascii="Arial" w:hAnsi="Arial" w:cs="Arial"/>
          <w:sz w:val="20"/>
          <w:szCs w:val="20"/>
          <w:lang w:val="en-US"/>
        </w:rPr>
        <w:t>-</w:t>
      </w:r>
      <w:r w:rsidR="0062157C" w:rsidRPr="00D73C18">
        <w:rPr>
          <w:rFonts w:ascii="Arial" w:hAnsi="Arial" w:cs="Arial"/>
          <w:sz w:val="20"/>
          <w:szCs w:val="20"/>
          <w:lang w:val="en-US"/>
        </w:rPr>
        <w:t xml:space="preserve"> Zinc: the </w:t>
      </w:r>
      <w:proofErr w:type="spellStart"/>
      <w:r w:rsidR="0062157C" w:rsidRPr="00D73C18">
        <w:rPr>
          <w:rFonts w:ascii="Arial" w:hAnsi="Arial" w:cs="Arial"/>
          <w:sz w:val="20"/>
          <w:szCs w:val="20"/>
          <w:lang w:val="en-US"/>
        </w:rPr>
        <w:t>Igeo</w:t>
      </w:r>
      <w:proofErr w:type="spellEnd"/>
      <w:r w:rsidR="0062157C" w:rsidRPr="00D73C18">
        <w:rPr>
          <w:rFonts w:ascii="Arial" w:hAnsi="Arial" w:cs="Arial"/>
          <w:sz w:val="20"/>
          <w:szCs w:val="20"/>
          <w:lang w:val="en-US"/>
        </w:rPr>
        <w:t xml:space="preserve"> fluctuates between 1.67 and 4.37, with an average of 2.78;</w:t>
      </w:r>
    </w:p>
    <w:p w14:paraId="2F59DC31" w14:textId="77777777" w:rsidR="0062157C" w:rsidRPr="00D73C18" w:rsidRDefault="0062157C" w:rsidP="00ED3175">
      <w:pPr>
        <w:jc w:val="both"/>
        <w:rPr>
          <w:rFonts w:ascii="Arial" w:hAnsi="Arial" w:cs="Arial"/>
          <w:sz w:val="20"/>
          <w:szCs w:val="20"/>
          <w:lang w:val="en-US"/>
        </w:rPr>
      </w:pPr>
    </w:p>
    <w:p w14:paraId="21D8D564" w14:textId="77777777" w:rsidR="0062157C" w:rsidRPr="00D73C18" w:rsidRDefault="0062157C" w:rsidP="00ED3175">
      <w:pPr>
        <w:jc w:val="both"/>
        <w:rPr>
          <w:rFonts w:ascii="Arial" w:hAnsi="Arial" w:cs="Arial"/>
          <w:sz w:val="20"/>
          <w:szCs w:val="20"/>
          <w:lang w:val="en-US"/>
        </w:rPr>
      </w:pPr>
      <w:r w:rsidRPr="00D73C18">
        <w:rPr>
          <w:rFonts w:ascii="Arial" w:hAnsi="Arial" w:cs="Arial"/>
          <w:sz w:val="20"/>
          <w:szCs w:val="20"/>
          <w:lang w:val="en-US"/>
        </w:rPr>
        <w:t xml:space="preserve">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indices for As, Cd, and Hg are negative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&lt; 0), which means that the lagoon sediments are not contaminated by these heavy metals. The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value for lead (0.38) falls between 0 and 1 (0 ≤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&lt; 1), indicating a trend toward moderate sediment contamination by this metal. The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values for zinc (2.78) and copper (2.21) range between 2 and 3 (2 ≤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&lt; 3), indicating that pollution is shifting from moderate to severe. The </w:t>
      </w:r>
      <w:proofErr w:type="spellStart"/>
      <w:r w:rsidRPr="00D73C18">
        <w:rPr>
          <w:rFonts w:ascii="Arial" w:hAnsi="Arial" w:cs="Arial"/>
          <w:sz w:val="20"/>
          <w:szCs w:val="20"/>
          <w:lang w:val="en-US"/>
        </w:rPr>
        <w:t>Igeo</w:t>
      </w:r>
      <w:proofErr w:type="spellEnd"/>
      <w:r w:rsidRPr="00D73C18">
        <w:rPr>
          <w:rFonts w:ascii="Arial" w:hAnsi="Arial" w:cs="Arial"/>
          <w:sz w:val="20"/>
          <w:szCs w:val="20"/>
          <w:lang w:val="en-US"/>
        </w:rPr>
        <w:t xml:space="preserve"> values for sodium (7.35), phosphorus (5.05), aluminum (8.45), iron (7.66), potassium (6.95), and magnesium (6.65) are all greater than 5, indicating that the sediments are extremely contaminated.</w:t>
      </w:r>
    </w:p>
    <w:p w14:paraId="0F696443" w14:textId="77777777" w:rsidR="0062157C" w:rsidRPr="00D73C18" w:rsidRDefault="0062157C" w:rsidP="00ED3175">
      <w:pPr>
        <w:jc w:val="both"/>
        <w:rPr>
          <w:rFonts w:ascii="Arial" w:hAnsi="Arial" w:cs="Arial"/>
          <w:sz w:val="20"/>
          <w:szCs w:val="20"/>
          <w:lang w:val="en-US"/>
        </w:rPr>
      </w:pPr>
      <w:r w:rsidRPr="00D73C18">
        <w:rPr>
          <w:rFonts w:ascii="Arial" w:hAnsi="Arial" w:cs="Arial"/>
          <w:b/>
          <w:bCs/>
          <w:sz w:val="20"/>
          <w:szCs w:val="20"/>
          <w:lang w:val="en-US"/>
        </w:rPr>
        <w:t>Table 6</w:t>
      </w:r>
      <w:r w:rsidRPr="00D73C18">
        <w:rPr>
          <w:rFonts w:ascii="Arial" w:hAnsi="Arial" w:cs="Arial"/>
          <w:sz w:val="20"/>
          <w:szCs w:val="20"/>
          <w:lang w:val="en-US"/>
        </w:rPr>
        <w:t>—Factors influencing the enrichment of ETMs in sediments.</w:t>
      </w:r>
    </w:p>
    <w:tbl>
      <w:tblPr>
        <w:tblW w:w="9581" w:type="dxa"/>
        <w:tblLayout w:type="fixed"/>
        <w:tblCellMar>
          <w:left w:w="70" w:type="dxa"/>
          <w:right w:w="70" w:type="dxa"/>
        </w:tblCellMa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tblGrid>
      <w:tr w:rsidR="0062157C" w:rsidRPr="00D73C18" w14:paraId="722A93D5" w14:textId="77777777" w:rsidTr="00A90CDD">
        <w:trPr>
          <w:trHeight w:val="284"/>
        </w:trPr>
        <w:tc>
          <w:tcPr>
            <w:tcW w:w="737" w:type="dxa"/>
            <w:tcBorders>
              <w:top w:val="single" w:sz="4" w:space="0" w:color="auto"/>
              <w:left w:val="nil"/>
              <w:bottom w:val="single" w:sz="8" w:space="0" w:color="auto"/>
              <w:right w:val="nil"/>
            </w:tcBorders>
            <w:shd w:val="clear" w:color="000000" w:fill="FFFFFF"/>
            <w:vAlign w:val="center"/>
            <w:hideMark/>
          </w:tcPr>
          <w:p w14:paraId="5280903B" w14:textId="77777777" w:rsidR="0062157C" w:rsidRPr="00D73C18" w:rsidRDefault="0062157C" w:rsidP="00ED3175">
            <w:pPr>
              <w:spacing w:after="0" w:line="240" w:lineRule="auto"/>
              <w:jc w:val="both"/>
              <w:rPr>
                <w:rFonts w:ascii="Arial" w:hAnsi="Arial" w:cs="Arial"/>
                <w:b/>
                <w:bCs/>
                <w:sz w:val="20"/>
                <w:szCs w:val="20"/>
                <w:lang w:val="en-US"/>
              </w:rPr>
            </w:pPr>
          </w:p>
        </w:tc>
        <w:tc>
          <w:tcPr>
            <w:tcW w:w="737" w:type="dxa"/>
            <w:tcBorders>
              <w:top w:val="single" w:sz="4" w:space="0" w:color="auto"/>
              <w:left w:val="nil"/>
              <w:bottom w:val="single" w:sz="8" w:space="0" w:color="auto"/>
              <w:right w:val="nil"/>
            </w:tcBorders>
            <w:shd w:val="clear" w:color="000000" w:fill="FFFFFF"/>
            <w:vAlign w:val="center"/>
            <w:hideMark/>
          </w:tcPr>
          <w:p w14:paraId="292A11D5"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Cd</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4DFAEF85"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Pb</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2EC3A4AC"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Hg</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22912EC8"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P</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36BC6F65"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As</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760A4D21"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Al</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043DEA38"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Fe</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564F2A4D"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Cu</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3616C283"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Mg</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2230DCB4"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Na</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478FB94F"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K</w:t>
            </w:r>
            <w:r w:rsidRPr="00D73C18">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6FC4F652"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Zn</w:t>
            </w:r>
            <w:r w:rsidRPr="00D73C18">
              <w:rPr>
                <w:rFonts w:ascii="Arial" w:hAnsi="Arial" w:cs="Arial"/>
                <w:b/>
                <w:bCs/>
                <w:sz w:val="20"/>
                <w:szCs w:val="20"/>
              </w:rPr>
              <w:br/>
              <w:t>(mg/kg)</w:t>
            </w:r>
          </w:p>
        </w:tc>
      </w:tr>
      <w:tr w:rsidR="0062157C" w:rsidRPr="00D73C18" w14:paraId="2C97E0B3" w14:textId="77777777" w:rsidTr="00A90CDD">
        <w:trPr>
          <w:trHeight w:val="284"/>
        </w:trPr>
        <w:tc>
          <w:tcPr>
            <w:tcW w:w="737" w:type="dxa"/>
            <w:tcBorders>
              <w:top w:val="nil"/>
              <w:left w:val="nil"/>
              <w:bottom w:val="nil"/>
              <w:right w:val="nil"/>
            </w:tcBorders>
            <w:shd w:val="clear" w:color="000000" w:fill="FFFFFF"/>
            <w:vAlign w:val="center"/>
            <w:hideMark/>
          </w:tcPr>
          <w:p w14:paraId="66764FE2"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Min</w:t>
            </w:r>
          </w:p>
        </w:tc>
        <w:tc>
          <w:tcPr>
            <w:tcW w:w="737" w:type="dxa"/>
            <w:tcBorders>
              <w:top w:val="nil"/>
              <w:left w:val="nil"/>
              <w:bottom w:val="nil"/>
              <w:right w:val="nil"/>
            </w:tcBorders>
            <w:shd w:val="clear" w:color="000000" w:fill="FFFFFF"/>
            <w:vAlign w:val="center"/>
            <w:hideMark/>
          </w:tcPr>
          <w:p w14:paraId="63E37488" w14:textId="1F06CEDD"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27FA60AC" w14:textId="5CC6EF90"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4B5B631A" w14:textId="003B6CEB"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0BF5B444" w14:textId="3DDB8C4A"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3</w:t>
            </w:r>
            <w:r w:rsidR="00B531B8" w:rsidRPr="00D73C18">
              <w:rPr>
                <w:rFonts w:ascii="Arial" w:hAnsi="Arial" w:cs="Arial"/>
                <w:sz w:val="20"/>
                <w:szCs w:val="20"/>
              </w:rPr>
              <w:t>.</w:t>
            </w:r>
            <w:r w:rsidRPr="00D73C18">
              <w:rPr>
                <w:rFonts w:ascii="Arial" w:hAnsi="Arial" w:cs="Arial"/>
                <w:sz w:val="20"/>
                <w:szCs w:val="20"/>
              </w:rPr>
              <w:t>1</w:t>
            </w:r>
            <w:r w:rsidR="00A90CDD" w:rsidRPr="00D73C18">
              <w:rPr>
                <w:rFonts w:ascii="Arial" w:hAnsi="Arial" w:cs="Arial"/>
                <w:sz w:val="20"/>
                <w:szCs w:val="20"/>
              </w:rPr>
              <w:t>3</w:t>
            </w:r>
          </w:p>
        </w:tc>
        <w:tc>
          <w:tcPr>
            <w:tcW w:w="737" w:type="dxa"/>
            <w:tcBorders>
              <w:top w:val="nil"/>
              <w:left w:val="nil"/>
              <w:bottom w:val="nil"/>
              <w:right w:val="nil"/>
            </w:tcBorders>
            <w:shd w:val="clear" w:color="000000" w:fill="FFFFFF"/>
            <w:vAlign w:val="center"/>
            <w:hideMark/>
          </w:tcPr>
          <w:p w14:paraId="6C1143AE" w14:textId="1ADBD688"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6D5E6624" w14:textId="6CAFDAAD"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4</w:t>
            </w:r>
            <w:r w:rsidR="00A90CDD" w:rsidRPr="00D73C18">
              <w:rPr>
                <w:rFonts w:ascii="Arial" w:hAnsi="Arial" w:cs="Arial"/>
                <w:sz w:val="20"/>
                <w:szCs w:val="20"/>
              </w:rPr>
              <w:t>9</w:t>
            </w:r>
          </w:p>
        </w:tc>
        <w:tc>
          <w:tcPr>
            <w:tcW w:w="737" w:type="dxa"/>
            <w:tcBorders>
              <w:top w:val="nil"/>
              <w:left w:val="nil"/>
              <w:bottom w:val="nil"/>
              <w:right w:val="nil"/>
            </w:tcBorders>
            <w:shd w:val="clear" w:color="000000" w:fill="FFFFFF"/>
            <w:vAlign w:val="center"/>
            <w:hideMark/>
          </w:tcPr>
          <w:p w14:paraId="59815DB3" w14:textId="77777777"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p>
        </w:tc>
        <w:tc>
          <w:tcPr>
            <w:tcW w:w="737" w:type="dxa"/>
            <w:tcBorders>
              <w:top w:val="nil"/>
              <w:left w:val="nil"/>
              <w:bottom w:val="nil"/>
              <w:right w:val="nil"/>
            </w:tcBorders>
            <w:shd w:val="clear" w:color="000000" w:fill="FFFFFF"/>
            <w:vAlign w:val="center"/>
            <w:hideMark/>
          </w:tcPr>
          <w:p w14:paraId="52F48826" w14:textId="0DE9988B"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11</w:t>
            </w:r>
            <w:r w:rsidR="00B531B8" w:rsidRPr="00D73C18">
              <w:rPr>
                <w:rFonts w:ascii="Arial" w:hAnsi="Arial" w:cs="Arial"/>
                <w:sz w:val="20"/>
                <w:szCs w:val="20"/>
              </w:rPr>
              <w:t>.</w:t>
            </w:r>
            <w:r w:rsidRPr="00D73C18">
              <w:rPr>
                <w:rFonts w:ascii="Arial" w:hAnsi="Arial" w:cs="Arial"/>
                <w:sz w:val="20"/>
                <w:szCs w:val="20"/>
              </w:rPr>
              <w:t>98</w:t>
            </w:r>
          </w:p>
        </w:tc>
        <w:tc>
          <w:tcPr>
            <w:tcW w:w="737" w:type="dxa"/>
            <w:tcBorders>
              <w:top w:val="nil"/>
              <w:left w:val="nil"/>
              <w:bottom w:val="nil"/>
              <w:right w:val="nil"/>
            </w:tcBorders>
            <w:shd w:val="clear" w:color="000000" w:fill="FFFFFF"/>
            <w:vAlign w:val="center"/>
            <w:hideMark/>
          </w:tcPr>
          <w:p w14:paraId="0A17F7C5" w14:textId="3C0D0DFB"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16</w:t>
            </w:r>
          </w:p>
        </w:tc>
        <w:tc>
          <w:tcPr>
            <w:tcW w:w="737" w:type="dxa"/>
            <w:tcBorders>
              <w:top w:val="nil"/>
              <w:left w:val="nil"/>
              <w:bottom w:val="nil"/>
              <w:right w:val="nil"/>
            </w:tcBorders>
            <w:shd w:val="clear" w:color="000000" w:fill="FFFFFF"/>
            <w:vAlign w:val="center"/>
            <w:hideMark/>
          </w:tcPr>
          <w:p w14:paraId="5488EB80" w14:textId="748397C1"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3</w:t>
            </w:r>
            <w:r w:rsidR="00A90CDD" w:rsidRPr="00D73C18">
              <w:rPr>
                <w:rFonts w:ascii="Arial" w:hAnsi="Arial" w:cs="Arial"/>
                <w:sz w:val="20"/>
                <w:szCs w:val="20"/>
              </w:rPr>
              <w:t>5</w:t>
            </w:r>
          </w:p>
        </w:tc>
        <w:tc>
          <w:tcPr>
            <w:tcW w:w="737" w:type="dxa"/>
            <w:tcBorders>
              <w:top w:val="nil"/>
              <w:left w:val="nil"/>
              <w:bottom w:val="nil"/>
              <w:right w:val="nil"/>
            </w:tcBorders>
            <w:shd w:val="clear" w:color="000000" w:fill="FFFFFF"/>
            <w:vAlign w:val="center"/>
            <w:hideMark/>
          </w:tcPr>
          <w:p w14:paraId="23BF6A6A" w14:textId="692C1523"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11</w:t>
            </w:r>
          </w:p>
        </w:tc>
        <w:tc>
          <w:tcPr>
            <w:tcW w:w="737" w:type="dxa"/>
            <w:tcBorders>
              <w:top w:val="nil"/>
              <w:left w:val="nil"/>
              <w:bottom w:val="nil"/>
              <w:right w:val="nil"/>
            </w:tcBorders>
            <w:shd w:val="clear" w:color="000000" w:fill="FFFFFF"/>
            <w:vAlign w:val="center"/>
            <w:hideMark/>
          </w:tcPr>
          <w:p w14:paraId="016220FB" w14:textId="6CC3B2D7"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3</w:t>
            </w:r>
            <w:r w:rsidR="00A90CDD" w:rsidRPr="00D73C18">
              <w:rPr>
                <w:rFonts w:ascii="Arial" w:hAnsi="Arial" w:cs="Arial"/>
                <w:sz w:val="20"/>
                <w:szCs w:val="20"/>
              </w:rPr>
              <w:t>3</w:t>
            </w:r>
          </w:p>
        </w:tc>
      </w:tr>
      <w:tr w:rsidR="0062157C" w:rsidRPr="00D73C18" w14:paraId="0718D4E9" w14:textId="77777777" w:rsidTr="00A90CDD">
        <w:trPr>
          <w:trHeight w:val="284"/>
        </w:trPr>
        <w:tc>
          <w:tcPr>
            <w:tcW w:w="737" w:type="dxa"/>
            <w:tcBorders>
              <w:top w:val="nil"/>
              <w:left w:val="nil"/>
              <w:bottom w:val="nil"/>
              <w:right w:val="nil"/>
            </w:tcBorders>
            <w:shd w:val="clear" w:color="000000" w:fill="FFFFFF"/>
            <w:vAlign w:val="center"/>
            <w:hideMark/>
          </w:tcPr>
          <w:p w14:paraId="5994109D" w14:textId="77777777" w:rsidR="0062157C" w:rsidRPr="00D73C18" w:rsidRDefault="0062157C" w:rsidP="00ED3175">
            <w:pPr>
              <w:spacing w:after="0" w:line="240" w:lineRule="auto"/>
              <w:jc w:val="both"/>
              <w:rPr>
                <w:rFonts w:ascii="Arial" w:hAnsi="Arial" w:cs="Arial"/>
                <w:b/>
                <w:bCs/>
                <w:sz w:val="20"/>
                <w:szCs w:val="20"/>
              </w:rPr>
            </w:pPr>
            <w:r w:rsidRPr="00D73C18">
              <w:rPr>
                <w:rFonts w:ascii="Arial" w:hAnsi="Arial" w:cs="Arial"/>
                <w:b/>
                <w:bCs/>
                <w:sz w:val="20"/>
                <w:szCs w:val="20"/>
              </w:rPr>
              <w:t>Max</w:t>
            </w:r>
          </w:p>
        </w:tc>
        <w:tc>
          <w:tcPr>
            <w:tcW w:w="737" w:type="dxa"/>
            <w:tcBorders>
              <w:top w:val="nil"/>
              <w:left w:val="nil"/>
              <w:bottom w:val="nil"/>
              <w:right w:val="nil"/>
            </w:tcBorders>
            <w:shd w:val="clear" w:color="000000" w:fill="FFFFFF"/>
            <w:vAlign w:val="center"/>
            <w:hideMark/>
          </w:tcPr>
          <w:p w14:paraId="204E375C" w14:textId="584E85D4"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42</w:t>
            </w:r>
          </w:p>
        </w:tc>
        <w:tc>
          <w:tcPr>
            <w:tcW w:w="737" w:type="dxa"/>
            <w:tcBorders>
              <w:top w:val="nil"/>
              <w:left w:val="nil"/>
              <w:bottom w:val="nil"/>
              <w:right w:val="nil"/>
            </w:tcBorders>
            <w:shd w:val="clear" w:color="000000" w:fill="FFFFFF"/>
            <w:vAlign w:val="center"/>
            <w:hideMark/>
          </w:tcPr>
          <w:p w14:paraId="73AE77D2" w14:textId="2850E900"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35</w:t>
            </w:r>
            <w:r w:rsidR="00B531B8" w:rsidRPr="00D73C18">
              <w:rPr>
                <w:rFonts w:ascii="Arial" w:hAnsi="Arial" w:cs="Arial"/>
                <w:sz w:val="20"/>
                <w:szCs w:val="20"/>
              </w:rPr>
              <w:t>.</w:t>
            </w:r>
            <w:r w:rsidRPr="00D73C18">
              <w:rPr>
                <w:rFonts w:ascii="Arial" w:hAnsi="Arial" w:cs="Arial"/>
                <w:sz w:val="20"/>
                <w:szCs w:val="20"/>
              </w:rPr>
              <w:t>92</w:t>
            </w:r>
          </w:p>
        </w:tc>
        <w:tc>
          <w:tcPr>
            <w:tcW w:w="737" w:type="dxa"/>
            <w:tcBorders>
              <w:top w:val="nil"/>
              <w:left w:val="nil"/>
              <w:bottom w:val="nil"/>
              <w:right w:val="nil"/>
            </w:tcBorders>
            <w:shd w:val="clear" w:color="000000" w:fill="FFFFFF"/>
            <w:vAlign w:val="center"/>
            <w:hideMark/>
          </w:tcPr>
          <w:p w14:paraId="0737A45C" w14:textId="39C0A3FD"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16</w:t>
            </w:r>
          </w:p>
        </w:tc>
        <w:tc>
          <w:tcPr>
            <w:tcW w:w="737" w:type="dxa"/>
            <w:tcBorders>
              <w:top w:val="nil"/>
              <w:left w:val="nil"/>
              <w:bottom w:val="nil"/>
              <w:right w:val="nil"/>
            </w:tcBorders>
            <w:shd w:val="clear" w:color="000000" w:fill="FFFFFF"/>
            <w:vAlign w:val="center"/>
            <w:hideMark/>
          </w:tcPr>
          <w:p w14:paraId="7CA914A4" w14:textId="71BB434B"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31</w:t>
            </w:r>
            <w:r w:rsidR="00B531B8" w:rsidRPr="00D73C18">
              <w:rPr>
                <w:rFonts w:ascii="Arial" w:hAnsi="Arial" w:cs="Arial"/>
                <w:sz w:val="20"/>
                <w:szCs w:val="20"/>
              </w:rPr>
              <w:t>.</w:t>
            </w:r>
            <w:r w:rsidRPr="00D73C18">
              <w:rPr>
                <w:rFonts w:ascii="Arial" w:hAnsi="Arial" w:cs="Arial"/>
                <w:sz w:val="20"/>
                <w:szCs w:val="20"/>
              </w:rPr>
              <w:t>33</w:t>
            </w:r>
          </w:p>
        </w:tc>
        <w:tc>
          <w:tcPr>
            <w:tcW w:w="737" w:type="dxa"/>
            <w:tcBorders>
              <w:top w:val="nil"/>
              <w:left w:val="nil"/>
              <w:bottom w:val="nil"/>
              <w:right w:val="nil"/>
            </w:tcBorders>
            <w:shd w:val="clear" w:color="000000" w:fill="FFFFFF"/>
            <w:vAlign w:val="center"/>
            <w:hideMark/>
          </w:tcPr>
          <w:p w14:paraId="7D89D2C2" w14:textId="357701DA"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02</w:t>
            </w:r>
          </w:p>
        </w:tc>
        <w:tc>
          <w:tcPr>
            <w:tcW w:w="737" w:type="dxa"/>
            <w:tcBorders>
              <w:top w:val="nil"/>
              <w:left w:val="nil"/>
              <w:bottom w:val="nil"/>
              <w:right w:val="nil"/>
            </w:tcBorders>
            <w:shd w:val="clear" w:color="000000" w:fill="FFFFFF"/>
            <w:vAlign w:val="center"/>
            <w:hideMark/>
          </w:tcPr>
          <w:p w14:paraId="2B674DFF" w14:textId="4AED18E2"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w:t>
            </w:r>
            <w:r w:rsidR="00B531B8" w:rsidRPr="00D73C18">
              <w:rPr>
                <w:rFonts w:ascii="Arial" w:hAnsi="Arial" w:cs="Arial"/>
                <w:sz w:val="20"/>
                <w:szCs w:val="20"/>
              </w:rPr>
              <w:t>.</w:t>
            </w:r>
            <w:r w:rsidRPr="00D73C18">
              <w:rPr>
                <w:rFonts w:ascii="Arial" w:hAnsi="Arial" w:cs="Arial"/>
                <w:sz w:val="20"/>
                <w:szCs w:val="20"/>
              </w:rPr>
              <w:t>57</w:t>
            </w:r>
          </w:p>
        </w:tc>
        <w:tc>
          <w:tcPr>
            <w:tcW w:w="737" w:type="dxa"/>
            <w:tcBorders>
              <w:top w:val="nil"/>
              <w:left w:val="nil"/>
              <w:bottom w:val="nil"/>
              <w:right w:val="nil"/>
            </w:tcBorders>
            <w:shd w:val="clear" w:color="000000" w:fill="FFFFFF"/>
            <w:vAlign w:val="center"/>
            <w:hideMark/>
          </w:tcPr>
          <w:p w14:paraId="3527EA4E" w14:textId="06CEB32C"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08</w:t>
            </w:r>
          </w:p>
        </w:tc>
        <w:tc>
          <w:tcPr>
            <w:tcW w:w="737" w:type="dxa"/>
            <w:tcBorders>
              <w:top w:val="nil"/>
              <w:left w:val="nil"/>
              <w:bottom w:val="nil"/>
              <w:right w:val="nil"/>
            </w:tcBorders>
            <w:shd w:val="clear" w:color="000000" w:fill="FFFFFF"/>
            <w:vAlign w:val="center"/>
            <w:hideMark/>
          </w:tcPr>
          <w:p w14:paraId="575494CA" w14:textId="7FC4676F"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25</w:t>
            </w:r>
            <w:r w:rsidR="00B531B8" w:rsidRPr="00D73C18">
              <w:rPr>
                <w:rFonts w:ascii="Arial" w:hAnsi="Arial" w:cs="Arial"/>
                <w:sz w:val="20"/>
                <w:szCs w:val="20"/>
              </w:rPr>
              <w:t>.</w:t>
            </w:r>
            <w:r w:rsidRPr="00D73C18">
              <w:rPr>
                <w:rFonts w:ascii="Arial" w:hAnsi="Arial" w:cs="Arial"/>
                <w:sz w:val="20"/>
                <w:szCs w:val="20"/>
              </w:rPr>
              <w:t>80</w:t>
            </w:r>
          </w:p>
        </w:tc>
        <w:tc>
          <w:tcPr>
            <w:tcW w:w="737" w:type="dxa"/>
            <w:tcBorders>
              <w:top w:val="nil"/>
              <w:left w:val="nil"/>
              <w:bottom w:val="nil"/>
              <w:right w:val="nil"/>
            </w:tcBorders>
            <w:shd w:val="clear" w:color="000000" w:fill="FFFFFF"/>
            <w:vAlign w:val="center"/>
            <w:hideMark/>
          </w:tcPr>
          <w:p w14:paraId="62DCFD25" w14:textId="6029C3B4"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83</w:t>
            </w:r>
          </w:p>
        </w:tc>
        <w:tc>
          <w:tcPr>
            <w:tcW w:w="737" w:type="dxa"/>
            <w:tcBorders>
              <w:top w:val="nil"/>
              <w:left w:val="nil"/>
              <w:bottom w:val="nil"/>
              <w:right w:val="nil"/>
            </w:tcBorders>
            <w:shd w:val="clear" w:color="000000" w:fill="FFFFFF"/>
            <w:vAlign w:val="center"/>
            <w:hideMark/>
          </w:tcPr>
          <w:p w14:paraId="52E866A2" w14:textId="63C26C58"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2</w:t>
            </w:r>
            <w:r w:rsidR="00B531B8" w:rsidRPr="00D73C18">
              <w:rPr>
                <w:rFonts w:ascii="Arial" w:hAnsi="Arial" w:cs="Arial"/>
                <w:sz w:val="20"/>
                <w:szCs w:val="20"/>
              </w:rPr>
              <w:t>.</w:t>
            </w:r>
            <w:r w:rsidRPr="00D73C18">
              <w:rPr>
                <w:rFonts w:ascii="Arial" w:hAnsi="Arial" w:cs="Arial"/>
                <w:sz w:val="20"/>
                <w:szCs w:val="20"/>
              </w:rPr>
              <w:t>21</w:t>
            </w:r>
          </w:p>
        </w:tc>
        <w:tc>
          <w:tcPr>
            <w:tcW w:w="737" w:type="dxa"/>
            <w:tcBorders>
              <w:top w:val="nil"/>
              <w:left w:val="nil"/>
              <w:bottom w:val="nil"/>
              <w:right w:val="nil"/>
            </w:tcBorders>
            <w:shd w:val="clear" w:color="000000" w:fill="FFFFFF"/>
            <w:vAlign w:val="center"/>
            <w:hideMark/>
          </w:tcPr>
          <w:p w14:paraId="38B627CC" w14:textId="000D4320"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39</w:t>
            </w:r>
          </w:p>
        </w:tc>
        <w:tc>
          <w:tcPr>
            <w:tcW w:w="737" w:type="dxa"/>
            <w:tcBorders>
              <w:top w:val="nil"/>
              <w:left w:val="nil"/>
              <w:bottom w:val="nil"/>
              <w:right w:val="nil"/>
            </w:tcBorders>
            <w:shd w:val="clear" w:color="000000" w:fill="FFFFFF"/>
            <w:vAlign w:val="center"/>
            <w:hideMark/>
          </w:tcPr>
          <w:p w14:paraId="3F2199DF" w14:textId="5A63366F"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11</w:t>
            </w:r>
            <w:r w:rsidR="00B531B8" w:rsidRPr="00D73C18">
              <w:rPr>
                <w:rFonts w:ascii="Arial" w:hAnsi="Arial" w:cs="Arial"/>
                <w:sz w:val="20"/>
                <w:szCs w:val="20"/>
              </w:rPr>
              <w:t>.</w:t>
            </w:r>
            <w:r w:rsidRPr="00D73C18">
              <w:rPr>
                <w:rFonts w:ascii="Arial" w:hAnsi="Arial" w:cs="Arial"/>
                <w:sz w:val="20"/>
                <w:szCs w:val="20"/>
              </w:rPr>
              <w:t>9</w:t>
            </w:r>
            <w:r w:rsidR="00A90CDD" w:rsidRPr="00D73C18">
              <w:rPr>
                <w:rFonts w:ascii="Arial" w:hAnsi="Arial" w:cs="Arial"/>
                <w:sz w:val="20"/>
                <w:szCs w:val="20"/>
              </w:rPr>
              <w:t>8</w:t>
            </w:r>
          </w:p>
        </w:tc>
      </w:tr>
      <w:tr w:rsidR="0062157C" w:rsidRPr="00D73C18" w14:paraId="7E24DB7E" w14:textId="77777777" w:rsidTr="00A90CDD">
        <w:trPr>
          <w:trHeight w:val="284"/>
        </w:trPr>
        <w:tc>
          <w:tcPr>
            <w:tcW w:w="737" w:type="dxa"/>
            <w:tcBorders>
              <w:top w:val="nil"/>
              <w:left w:val="nil"/>
              <w:bottom w:val="single" w:sz="8" w:space="0" w:color="auto"/>
              <w:right w:val="nil"/>
            </w:tcBorders>
            <w:shd w:val="clear" w:color="000000" w:fill="FFFFFF"/>
            <w:vAlign w:val="center"/>
            <w:hideMark/>
          </w:tcPr>
          <w:p w14:paraId="5EAC9A67" w14:textId="5597F322" w:rsidR="0062157C" w:rsidRPr="00D73C18" w:rsidRDefault="00460120" w:rsidP="00ED3175">
            <w:pPr>
              <w:spacing w:after="0" w:line="240" w:lineRule="auto"/>
              <w:jc w:val="both"/>
              <w:rPr>
                <w:rFonts w:ascii="Arial" w:hAnsi="Arial" w:cs="Arial"/>
                <w:b/>
                <w:bCs/>
                <w:sz w:val="20"/>
                <w:szCs w:val="20"/>
              </w:rPr>
            </w:pPr>
            <w:proofErr w:type="spellStart"/>
            <w:r w:rsidRPr="00D73C18">
              <w:rPr>
                <w:rFonts w:ascii="Arial" w:hAnsi="Arial" w:cs="Arial"/>
                <w:b/>
                <w:bCs/>
                <w:sz w:val="20"/>
                <w:szCs w:val="20"/>
              </w:rPr>
              <w:t>Average</w:t>
            </w:r>
            <w:proofErr w:type="spellEnd"/>
          </w:p>
        </w:tc>
        <w:tc>
          <w:tcPr>
            <w:tcW w:w="737" w:type="dxa"/>
            <w:tcBorders>
              <w:top w:val="nil"/>
              <w:left w:val="nil"/>
              <w:bottom w:val="single" w:sz="8" w:space="0" w:color="auto"/>
              <w:right w:val="nil"/>
            </w:tcBorders>
            <w:shd w:val="clear" w:color="000000" w:fill="FFFFFF"/>
            <w:vAlign w:val="center"/>
            <w:hideMark/>
          </w:tcPr>
          <w:p w14:paraId="1EAC3E42" w14:textId="24CADDEB"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18</w:t>
            </w:r>
          </w:p>
        </w:tc>
        <w:tc>
          <w:tcPr>
            <w:tcW w:w="737" w:type="dxa"/>
            <w:tcBorders>
              <w:top w:val="nil"/>
              <w:left w:val="nil"/>
              <w:bottom w:val="single" w:sz="8" w:space="0" w:color="auto"/>
              <w:right w:val="nil"/>
            </w:tcBorders>
            <w:shd w:val="clear" w:color="000000" w:fill="FFFFFF"/>
            <w:vAlign w:val="center"/>
            <w:hideMark/>
          </w:tcPr>
          <w:p w14:paraId="50DD1F7A" w14:textId="0E01F92A"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11</w:t>
            </w:r>
            <w:r w:rsidR="00B531B8" w:rsidRPr="00D73C18">
              <w:rPr>
                <w:rFonts w:ascii="Arial" w:hAnsi="Arial" w:cs="Arial"/>
                <w:sz w:val="20"/>
                <w:szCs w:val="20"/>
              </w:rPr>
              <w:t>.</w:t>
            </w:r>
            <w:r w:rsidRPr="00D73C18">
              <w:rPr>
                <w:rFonts w:ascii="Arial" w:hAnsi="Arial" w:cs="Arial"/>
                <w:sz w:val="20"/>
                <w:szCs w:val="20"/>
              </w:rPr>
              <w:t>25</w:t>
            </w:r>
          </w:p>
        </w:tc>
        <w:tc>
          <w:tcPr>
            <w:tcW w:w="737" w:type="dxa"/>
            <w:tcBorders>
              <w:top w:val="nil"/>
              <w:left w:val="nil"/>
              <w:bottom w:val="single" w:sz="8" w:space="0" w:color="auto"/>
              <w:right w:val="nil"/>
            </w:tcBorders>
            <w:shd w:val="clear" w:color="000000" w:fill="FFFFFF"/>
            <w:vAlign w:val="center"/>
            <w:hideMark/>
          </w:tcPr>
          <w:p w14:paraId="4E0D5952" w14:textId="32C13ACE"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07</w:t>
            </w:r>
          </w:p>
        </w:tc>
        <w:tc>
          <w:tcPr>
            <w:tcW w:w="737" w:type="dxa"/>
            <w:tcBorders>
              <w:top w:val="nil"/>
              <w:left w:val="nil"/>
              <w:bottom w:val="single" w:sz="8" w:space="0" w:color="auto"/>
              <w:right w:val="nil"/>
            </w:tcBorders>
            <w:shd w:val="clear" w:color="000000" w:fill="FFFFFF"/>
            <w:vAlign w:val="center"/>
            <w:hideMark/>
          </w:tcPr>
          <w:p w14:paraId="71287BFF" w14:textId="157E9145"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15</w:t>
            </w:r>
            <w:r w:rsidR="00B531B8" w:rsidRPr="00D73C18">
              <w:rPr>
                <w:rFonts w:ascii="Arial" w:hAnsi="Arial" w:cs="Arial"/>
                <w:sz w:val="20"/>
                <w:szCs w:val="20"/>
              </w:rPr>
              <w:t>.</w:t>
            </w:r>
            <w:r w:rsidRPr="00D73C18">
              <w:rPr>
                <w:rFonts w:ascii="Arial" w:hAnsi="Arial" w:cs="Arial"/>
                <w:sz w:val="20"/>
                <w:szCs w:val="20"/>
              </w:rPr>
              <w:t>05</w:t>
            </w:r>
          </w:p>
        </w:tc>
        <w:tc>
          <w:tcPr>
            <w:tcW w:w="737" w:type="dxa"/>
            <w:tcBorders>
              <w:top w:val="nil"/>
              <w:left w:val="nil"/>
              <w:bottom w:val="single" w:sz="8" w:space="0" w:color="auto"/>
              <w:right w:val="nil"/>
            </w:tcBorders>
            <w:shd w:val="clear" w:color="000000" w:fill="FFFFFF"/>
            <w:vAlign w:val="center"/>
            <w:hideMark/>
          </w:tcPr>
          <w:p w14:paraId="3929E457" w14:textId="77777777"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0,01</w:t>
            </w:r>
          </w:p>
        </w:tc>
        <w:tc>
          <w:tcPr>
            <w:tcW w:w="737" w:type="dxa"/>
            <w:tcBorders>
              <w:top w:val="nil"/>
              <w:left w:val="nil"/>
              <w:bottom w:val="single" w:sz="8" w:space="0" w:color="auto"/>
              <w:right w:val="nil"/>
            </w:tcBorders>
            <w:shd w:val="clear" w:color="000000" w:fill="FFFFFF"/>
            <w:vAlign w:val="center"/>
            <w:hideMark/>
          </w:tcPr>
          <w:p w14:paraId="1729BD71" w14:textId="2F58F790"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97</w:t>
            </w:r>
          </w:p>
        </w:tc>
        <w:tc>
          <w:tcPr>
            <w:tcW w:w="737" w:type="dxa"/>
            <w:tcBorders>
              <w:top w:val="nil"/>
              <w:left w:val="nil"/>
              <w:bottom w:val="single" w:sz="8" w:space="0" w:color="auto"/>
              <w:right w:val="nil"/>
            </w:tcBorders>
            <w:shd w:val="clear" w:color="000000" w:fill="FFFFFF"/>
            <w:vAlign w:val="center"/>
            <w:hideMark/>
          </w:tcPr>
          <w:p w14:paraId="375557BE" w14:textId="4BFC7E53"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0</w:t>
            </w:r>
            <w:r w:rsidR="00A90CDD" w:rsidRPr="00D73C18">
              <w:rPr>
                <w:rFonts w:ascii="Arial" w:hAnsi="Arial" w:cs="Arial"/>
                <w:sz w:val="20"/>
                <w:szCs w:val="20"/>
              </w:rPr>
              <w:t>5</w:t>
            </w:r>
          </w:p>
        </w:tc>
        <w:tc>
          <w:tcPr>
            <w:tcW w:w="737" w:type="dxa"/>
            <w:tcBorders>
              <w:top w:val="nil"/>
              <w:left w:val="nil"/>
              <w:bottom w:val="single" w:sz="8" w:space="0" w:color="auto"/>
              <w:right w:val="nil"/>
            </w:tcBorders>
            <w:shd w:val="clear" w:color="000000" w:fill="FFFFFF"/>
            <w:vAlign w:val="center"/>
            <w:hideMark/>
          </w:tcPr>
          <w:p w14:paraId="6013D6A2" w14:textId="0EC14729"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17</w:t>
            </w:r>
            <w:r w:rsidR="00B531B8" w:rsidRPr="00D73C18">
              <w:rPr>
                <w:rFonts w:ascii="Arial" w:hAnsi="Arial" w:cs="Arial"/>
                <w:sz w:val="20"/>
                <w:szCs w:val="20"/>
              </w:rPr>
              <w:t>.</w:t>
            </w:r>
            <w:r w:rsidRPr="00D73C18">
              <w:rPr>
                <w:rFonts w:ascii="Arial" w:hAnsi="Arial" w:cs="Arial"/>
                <w:sz w:val="20"/>
                <w:szCs w:val="20"/>
              </w:rPr>
              <w:t>69</w:t>
            </w:r>
          </w:p>
        </w:tc>
        <w:tc>
          <w:tcPr>
            <w:tcW w:w="737" w:type="dxa"/>
            <w:tcBorders>
              <w:top w:val="nil"/>
              <w:left w:val="nil"/>
              <w:bottom w:val="single" w:sz="8" w:space="0" w:color="auto"/>
              <w:right w:val="nil"/>
            </w:tcBorders>
            <w:shd w:val="clear" w:color="000000" w:fill="FFFFFF"/>
            <w:vAlign w:val="center"/>
            <w:hideMark/>
          </w:tcPr>
          <w:p w14:paraId="741DF10C" w14:textId="34A62AD9"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54</w:t>
            </w:r>
          </w:p>
        </w:tc>
        <w:tc>
          <w:tcPr>
            <w:tcW w:w="737" w:type="dxa"/>
            <w:tcBorders>
              <w:top w:val="nil"/>
              <w:left w:val="nil"/>
              <w:bottom w:val="single" w:sz="8" w:space="0" w:color="auto"/>
              <w:right w:val="nil"/>
            </w:tcBorders>
            <w:shd w:val="clear" w:color="000000" w:fill="FFFFFF"/>
            <w:vAlign w:val="center"/>
            <w:hideMark/>
          </w:tcPr>
          <w:p w14:paraId="3BB53E4A" w14:textId="43681BB7"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1</w:t>
            </w:r>
            <w:r w:rsidR="00B531B8" w:rsidRPr="00D73C18">
              <w:rPr>
                <w:rFonts w:ascii="Arial" w:hAnsi="Arial" w:cs="Arial"/>
                <w:sz w:val="20"/>
                <w:szCs w:val="20"/>
              </w:rPr>
              <w:t>.</w:t>
            </w:r>
            <w:r w:rsidRPr="00D73C18">
              <w:rPr>
                <w:rFonts w:ascii="Arial" w:hAnsi="Arial" w:cs="Arial"/>
                <w:sz w:val="20"/>
                <w:szCs w:val="20"/>
              </w:rPr>
              <w:t>28</w:t>
            </w:r>
          </w:p>
        </w:tc>
        <w:tc>
          <w:tcPr>
            <w:tcW w:w="737" w:type="dxa"/>
            <w:tcBorders>
              <w:top w:val="nil"/>
              <w:left w:val="nil"/>
              <w:bottom w:val="single" w:sz="8" w:space="0" w:color="auto"/>
              <w:right w:val="nil"/>
            </w:tcBorders>
            <w:shd w:val="clear" w:color="000000" w:fill="FFFFFF"/>
            <w:vAlign w:val="center"/>
            <w:hideMark/>
          </w:tcPr>
          <w:p w14:paraId="33236A23" w14:textId="5B4053F4"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0</w:t>
            </w:r>
            <w:r w:rsidR="00B531B8" w:rsidRPr="00D73C18">
              <w:rPr>
                <w:rFonts w:ascii="Arial" w:hAnsi="Arial" w:cs="Arial"/>
                <w:sz w:val="20"/>
                <w:szCs w:val="20"/>
              </w:rPr>
              <w:t>.</w:t>
            </w:r>
            <w:r w:rsidRPr="00D73C18">
              <w:rPr>
                <w:rFonts w:ascii="Arial" w:hAnsi="Arial" w:cs="Arial"/>
                <w:sz w:val="20"/>
                <w:szCs w:val="20"/>
              </w:rPr>
              <w:t>2</w:t>
            </w:r>
            <w:r w:rsidR="00A90CDD" w:rsidRPr="00D73C18">
              <w:rPr>
                <w:rFonts w:ascii="Arial" w:hAnsi="Arial" w:cs="Arial"/>
                <w:sz w:val="20"/>
                <w:szCs w:val="20"/>
              </w:rPr>
              <w:t>4</w:t>
            </w:r>
          </w:p>
        </w:tc>
        <w:tc>
          <w:tcPr>
            <w:tcW w:w="737" w:type="dxa"/>
            <w:tcBorders>
              <w:top w:val="nil"/>
              <w:left w:val="nil"/>
              <w:bottom w:val="single" w:sz="8" w:space="0" w:color="auto"/>
              <w:right w:val="nil"/>
            </w:tcBorders>
            <w:shd w:val="clear" w:color="000000" w:fill="FFFFFF"/>
            <w:vAlign w:val="center"/>
            <w:hideMark/>
          </w:tcPr>
          <w:p w14:paraId="70AB7E9A" w14:textId="57FCD785" w:rsidR="0062157C" w:rsidRPr="00D73C18" w:rsidRDefault="0062157C" w:rsidP="00ED3175">
            <w:pPr>
              <w:spacing w:after="0" w:line="240" w:lineRule="auto"/>
              <w:jc w:val="both"/>
              <w:rPr>
                <w:rFonts w:ascii="Arial" w:hAnsi="Arial" w:cs="Arial"/>
                <w:sz w:val="20"/>
                <w:szCs w:val="20"/>
              </w:rPr>
            </w:pPr>
            <w:r w:rsidRPr="00D73C18">
              <w:rPr>
                <w:rFonts w:ascii="Arial" w:hAnsi="Arial" w:cs="Arial"/>
                <w:sz w:val="20"/>
                <w:szCs w:val="20"/>
              </w:rPr>
              <w:t>5</w:t>
            </w:r>
            <w:r w:rsidR="00B531B8" w:rsidRPr="00D73C18">
              <w:rPr>
                <w:rFonts w:ascii="Arial" w:hAnsi="Arial" w:cs="Arial"/>
                <w:sz w:val="20"/>
                <w:szCs w:val="20"/>
              </w:rPr>
              <w:t>.</w:t>
            </w:r>
            <w:r w:rsidRPr="00D73C18">
              <w:rPr>
                <w:rFonts w:ascii="Arial" w:hAnsi="Arial" w:cs="Arial"/>
                <w:sz w:val="20"/>
                <w:szCs w:val="20"/>
              </w:rPr>
              <w:t>43</w:t>
            </w:r>
          </w:p>
        </w:tc>
      </w:tr>
    </w:tbl>
    <w:p w14:paraId="4E07A315" w14:textId="77777777" w:rsidR="0062157C" w:rsidRPr="00D73C18" w:rsidRDefault="0062157C" w:rsidP="00ED3175">
      <w:pPr>
        <w:jc w:val="both"/>
        <w:rPr>
          <w:rFonts w:ascii="Arial" w:hAnsi="Arial" w:cs="Arial"/>
          <w:sz w:val="20"/>
          <w:szCs w:val="20"/>
          <w:lang w:val="en-US"/>
        </w:rPr>
      </w:pPr>
    </w:p>
    <w:p w14:paraId="3EAB48D6" w14:textId="77777777" w:rsidR="00A90CDD" w:rsidRPr="00D73C18" w:rsidRDefault="00A90CDD" w:rsidP="00ED3175">
      <w:pPr>
        <w:jc w:val="both"/>
        <w:rPr>
          <w:rFonts w:ascii="Arial" w:hAnsi="Arial" w:cs="Arial"/>
          <w:b/>
          <w:bCs/>
          <w:sz w:val="20"/>
          <w:szCs w:val="20"/>
          <w:lang w:val="en-US"/>
        </w:rPr>
      </w:pPr>
      <w:r w:rsidRPr="00D73C18">
        <w:rPr>
          <w:rFonts w:ascii="Arial" w:hAnsi="Arial" w:cs="Arial"/>
          <w:b/>
          <w:bCs/>
          <w:sz w:val="20"/>
          <w:szCs w:val="20"/>
          <w:lang w:val="en-US"/>
        </w:rPr>
        <w:t>3.2.3. Environmental Quality of Sediments</w:t>
      </w:r>
    </w:p>
    <w:p w14:paraId="4C15FFA6" w14:textId="5E270424" w:rsidR="00A90CDD" w:rsidRPr="00D73C18" w:rsidRDefault="00A90CDD" w:rsidP="00ED3175">
      <w:pPr>
        <w:jc w:val="both"/>
        <w:rPr>
          <w:rFonts w:ascii="Arial" w:hAnsi="Arial" w:cs="Arial"/>
          <w:sz w:val="20"/>
          <w:szCs w:val="20"/>
          <w:lang w:val="en-US"/>
        </w:rPr>
      </w:pPr>
      <w:r w:rsidRPr="00D73C18">
        <w:rPr>
          <w:rFonts w:ascii="Arial" w:hAnsi="Arial" w:cs="Arial"/>
          <w:sz w:val="20"/>
          <w:szCs w:val="20"/>
          <w:lang w:val="en-US"/>
        </w:rPr>
        <w:t xml:space="preserve">The environmental quality of sediments in the Treichville sector of the </w:t>
      </w:r>
      <w:proofErr w:type="spellStart"/>
      <w:r w:rsidRPr="00D73C18">
        <w:rPr>
          <w:rFonts w:ascii="Arial" w:hAnsi="Arial" w:cs="Arial"/>
          <w:sz w:val="20"/>
          <w:szCs w:val="20"/>
          <w:lang w:val="en-US"/>
        </w:rPr>
        <w:t>Ebri</w:t>
      </w:r>
      <w:r w:rsidR="00B531B8" w:rsidRPr="00D73C18">
        <w:rPr>
          <w:rFonts w:ascii="Arial" w:hAnsi="Arial" w:cs="Arial"/>
          <w:sz w:val="20"/>
          <w:szCs w:val="20"/>
          <w:lang w:val="en-US"/>
        </w:rPr>
        <w:t>e</w:t>
      </w:r>
      <w:proofErr w:type="spellEnd"/>
      <w:r w:rsidRPr="00D73C18">
        <w:rPr>
          <w:rFonts w:ascii="Arial" w:hAnsi="Arial" w:cs="Arial"/>
          <w:sz w:val="20"/>
          <w:szCs w:val="20"/>
          <w:lang w:val="en-US"/>
        </w:rPr>
        <w:t xml:space="preserve"> Lagoon was assessed using the guidance values from the TEC-PEC model. The results indicate that 100% of the concentrations of lead, arsenic, cadmium, and mercury, and 83.67% of the concentrations of copper and zinc, are below the TEC reference value. The concentrations of lead, arsenic, and cadmium do not exceed the PEC standard, while 16.67% of the copper and zinc concentrations exceed the PEC reference value. The TEC and PEC guideline values for other metals not mentioned here are undetermined.</w:t>
      </w:r>
    </w:p>
    <w:p w14:paraId="4236066E" w14:textId="77777777" w:rsidR="00460120" w:rsidRPr="00D73C18" w:rsidRDefault="00460120" w:rsidP="00ED3175">
      <w:pPr>
        <w:jc w:val="both"/>
        <w:rPr>
          <w:rFonts w:ascii="Arial" w:hAnsi="Arial" w:cs="Arial"/>
          <w:sz w:val="20"/>
          <w:szCs w:val="20"/>
          <w:lang w:val="en-US"/>
        </w:rPr>
      </w:pPr>
    </w:p>
    <w:p w14:paraId="001949B2" w14:textId="3F51DA71" w:rsidR="00A90CDD" w:rsidRPr="00D73C18" w:rsidRDefault="00A90CDD" w:rsidP="00ED3175">
      <w:pPr>
        <w:jc w:val="both"/>
        <w:rPr>
          <w:rFonts w:ascii="Arial" w:hAnsi="Arial" w:cs="Arial"/>
          <w:sz w:val="20"/>
          <w:szCs w:val="20"/>
          <w:lang w:val="en-US"/>
        </w:rPr>
      </w:pPr>
      <w:r w:rsidRPr="00D73C18">
        <w:rPr>
          <w:rFonts w:ascii="Arial" w:hAnsi="Arial" w:cs="Arial"/>
          <w:b/>
          <w:bCs/>
          <w:sz w:val="20"/>
          <w:szCs w:val="20"/>
          <w:lang w:val="en-US"/>
        </w:rPr>
        <w:t>Table 7</w:t>
      </w:r>
      <w:r w:rsidRPr="00D73C18">
        <w:rPr>
          <w:rFonts w:ascii="Arial" w:hAnsi="Arial" w:cs="Arial"/>
          <w:sz w:val="20"/>
          <w:szCs w:val="20"/>
          <w:lang w:val="en-US"/>
        </w:rPr>
        <w:t>—Proportion (mg/kg) of sediments relative to TEC and PEC</w:t>
      </w:r>
    </w:p>
    <w:tbl>
      <w:tblPr>
        <w:tblStyle w:val="TableGrid0"/>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84"/>
        <w:gridCol w:w="984"/>
        <w:gridCol w:w="709"/>
        <w:gridCol w:w="992"/>
        <w:gridCol w:w="1134"/>
        <w:gridCol w:w="993"/>
        <w:gridCol w:w="850"/>
        <w:gridCol w:w="1276"/>
      </w:tblGrid>
      <w:tr w:rsidR="00A90CDD" w:rsidRPr="00D73C18" w14:paraId="45C446F8" w14:textId="77777777" w:rsidTr="001C5797">
        <w:trPr>
          <w:trHeight w:val="20"/>
        </w:trPr>
        <w:tc>
          <w:tcPr>
            <w:tcW w:w="1284" w:type="dxa"/>
            <w:tcBorders>
              <w:bottom w:val="single" w:sz="4" w:space="0" w:color="000000"/>
            </w:tcBorders>
            <w:vAlign w:val="center"/>
          </w:tcPr>
          <w:p w14:paraId="7CF5E8D2" w14:textId="77777777" w:rsidR="00A90CDD" w:rsidRPr="00D73C18" w:rsidRDefault="00A90CDD" w:rsidP="00ED3175">
            <w:pPr>
              <w:jc w:val="both"/>
              <w:rPr>
                <w:rFonts w:ascii="Arial" w:hAnsi="Arial" w:cs="Arial"/>
                <w:b/>
                <w:lang w:val="en-US"/>
              </w:rPr>
            </w:pPr>
          </w:p>
        </w:tc>
        <w:tc>
          <w:tcPr>
            <w:tcW w:w="1693" w:type="dxa"/>
            <w:gridSpan w:val="2"/>
            <w:tcBorders>
              <w:bottom w:val="single" w:sz="4" w:space="0" w:color="000000"/>
            </w:tcBorders>
            <w:vAlign w:val="center"/>
          </w:tcPr>
          <w:p w14:paraId="00F1B136" w14:textId="20F0EAEA" w:rsidR="00A90CDD" w:rsidRPr="00D73C18" w:rsidRDefault="001C5797" w:rsidP="00ED3175">
            <w:pPr>
              <w:jc w:val="both"/>
              <w:rPr>
                <w:rFonts w:ascii="Arial" w:hAnsi="Arial" w:cs="Arial"/>
                <w:b/>
              </w:rPr>
            </w:pPr>
            <w:r w:rsidRPr="00D73C18">
              <w:rPr>
                <w:rFonts w:ascii="Arial" w:hAnsi="Arial" w:cs="Arial"/>
                <w:b/>
                <w:lang w:val="en-US"/>
              </w:rPr>
              <w:t xml:space="preserve">       </w:t>
            </w:r>
            <w:r w:rsidRPr="00D73C18">
              <w:rPr>
                <w:rFonts w:ascii="Arial" w:hAnsi="Arial" w:cs="Arial"/>
                <w:b/>
              </w:rPr>
              <w:t>C</w:t>
            </w:r>
            <w:r w:rsidR="00A90CDD" w:rsidRPr="00D73C18">
              <w:rPr>
                <w:rFonts w:ascii="Arial" w:hAnsi="Arial" w:cs="Arial"/>
                <w:b/>
              </w:rPr>
              <w:t>admium</w:t>
            </w:r>
          </w:p>
        </w:tc>
        <w:tc>
          <w:tcPr>
            <w:tcW w:w="992" w:type="dxa"/>
            <w:tcBorders>
              <w:bottom w:val="single" w:sz="4" w:space="0" w:color="000000"/>
            </w:tcBorders>
            <w:vAlign w:val="center"/>
          </w:tcPr>
          <w:p w14:paraId="53280DE7" w14:textId="5B821BB6" w:rsidR="00A90CDD" w:rsidRPr="00D73C18" w:rsidRDefault="001C5797" w:rsidP="00ED3175">
            <w:pPr>
              <w:jc w:val="both"/>
              <w:rPr>
                <w:rFonts w:ascii="Arial" w:hAnsi="Arial" w:cs="Arial"/>
                <w:b/>
              </w:rPr>
            </w:pPr>
            <w:r w:rsidRPr="00D73C18">
              <w:rPr>
                <w:rFonts w:ascii="Arial" w:hAnsi="Arial" w:cs="Arial"/>
                <w:b/>
              </w:rPr>
              <w:t>Lead</w:t>
            </w:r>
          </w:p>
        </w:tc>
        <w:tc>
          <w:tcPr>
            <w:tcW w:w="1134" w:type="dxa"/>
            <w:tcBorders>
              <w:bottom w:val="single" w:sz="4" w:space="0" w:color="000000"/>
            </w:tcBorders>
            <w:vAlign w:val="center"/>
          </w:tcPr>
          <w:p w14:paraId="42AA33FB" w14:textId="5CBBC843" w:rsidR="00A90CDD" w:rsidRPr="00D73C18" w:rsidRDefault="001C5797" w:rsidP="00ED3175">
            <w:pPr>
              <w:jc w:val="both"/>
              <w:rPr>
                <w:rFonts w:ascii="Arial" w:hAnsi="Arial" w:cs="Arial"/>
                <w:b/>
              </w:rPr>
            </w:pPr>
            <w:r w:rsidRPr="00D73C18">
              <w:rPr>
                <w:rFonts w:ascii="Arial" w:hAnsi="Arial" w:cs="Arial"/>
                <w:b/>
              </w:rPr>
              <w:t>A</w:t>
            </w:r>
            <w:r w:rsidR="00A90CDD" w:rsidRPr="00D73C18">
              <w:rPr>
                <w:rFonts w:ascii="Arial" w:hAnsi="Arial" w:cs="Arial"/>
                <w:b/>
              </w:rPr>
              <w:t>rsenic</w:t>
            </w:r>
          </w:p>
        </w:tc>
        <w:tc>
          <w:tcPr>
            <w:tcW w:w="993" w:type="dxa"/>
            <w:tcBorders>
              <w:bottom w:val="single" w:sz="4" w:space="0" w:color="000000"/>
            </w:tcBorders>
            <w:vAlign w:val="center"/>
          </w:tcPr>
          <w:p w14:paraId="1698FA0E" w14:textId="7F668242" w:rsidR="00A90CDD" w:rsidRPr="00D73C18" w:rsidRDefault="001C5797" w:rsidP="00ED3175">
            <w:pPr>
              <w:jc w:val="both"/>
              <w:rPr>
                <w:rFonts w:ascii="Arial" w:hAnsi="Arial" w:cs="Arial"/>
                <w:b/>
              </w:rPr>
            </w:pPr>
            <w:r w:rsidRPr="00D73C18">
              <w:rPr>
                <w:rFonts w:ascii="Arial" w:hAnsi="Arial" w:cs="Arial"/>
                <w:b/>
              </w:rPr>
              <w:t>Copper</w:t>
            </w:r>
          </w:p>
        </w:tc>
        <w:tc>
          <w:tcPr>
            <w:tcW w:w="850" w:type="dxa"/>
            <w:tcBorders>
              <w:bottom w:val="single" w:sz="4" w:space="0" w:color="000000"/>
            </w:tcBorders>
            <w:vAlign w:val="center"/>
          </w:tcPr>
          <w:p w14:paraId="05BDA4B6" w14:textId="0276B4AC" w:rsidR="00A90CDD" w:rsidRPr="00D73C18" w:rsidRDefault="001C5797" w:rsidP="00ED3175">
            <w:pPr>
              <w:jc w:val="both"/>
              <w:rPr>
                <w:rFonts w:ascii="Arial" w:hAnsi="Arial" w:cs="Arial"/>
                <w:b/>
              </w:rPr>
            </w:pPr>
            <w:r w:rsidRPr="00D73C18">
              <w:rPr>
                <w:rFonts w:ascii="Arial" w:hAnsi="Arial" w:cs="Arial"/>
                <w:b/>
              </w:rPr>
              <w:t>Z</w:t>
            </w:r>
            <w:r w:rsidR="00A90CDD" w:rsidRPr="00D73C18">
              <w:rPr>
                <w:rFonts w:ascii="Arial" w:hAnsi="Arial" w:cs="Arial"/>
                <w:b/>
              </w:rPr>
              <w:t>inc</w:t>
            </w:r>
          </w:p>
        </w:tc>
        <w:tc>
          <w:tcPr>
            <w:tcW w:w="1276" w:type="dxa"/>
            <w:tcBorders>
              <w:bottom w:val="single" w:sz="4" w:space="0" w:color="000000"/>
            </w:tcBorders>
            <w:vAlign w:val="center"/>
          </w:tcPr>
          <w:p w14:paraId="57648161" w14:textId="0CFD2DAA" w:rsidR="00A90CDD" w:rsidRPr="00D73C18" w:rsidRDefault="001C5797" w:rsidP="00ED3175">
            <w:pPr>
              <w:jc w:val="both"/>
              <w:rPr>
                <w:rFonts w:ascii="Arial" w:hAnsi="Arial" w:cs="Arial"/>
                <w:b/>
              </w:rPr>
            </w:pPr>
            <w:r w:rsidRPr="00D73C18">
              <w:rPr>
                <w:rFonts w:ascii="Arial" w:hAnsi="Arial" w:cs="Arial"/>
                <w:b/>
              </w:rPr>
              <w:t>M</w:t>
            </w:r>
            <w:r w:rsidR="00A90CDD" w:rsidRPr="00D73C18">
              <w:rPr>
                <w:rFonts w:ascii="Arial" w:hAnsi="Arial" w:cs="Arial"/>
                <w:b/>
              </w:rPr>
              <w:t>ercur</w:t>
            </w:r>
            <w:r w:rsidRPr="00D73C18">
              <w:rPr>
                <w:rFonts w:ascii="Arial" w:hAnsi="Arial" w:cs="Arial"/>
                <w:b/>
              </w:rPr>
              <w:t>y</w:t>
            </w:r>
          </w:p>
        </w:tc>
      </w:tr>
      <w:tr w:rsidR="00A90CDD" w:rsidRPr="00D73C18" w14:paraId="5C2AD69B" w14:textId="77777777" w:rsidTr="001C5797">
        <w:trPr>
          <w:trHeight w:val="20"/>
        </w:trPr>
        <w:tc>
          <w:tcPr>
            <w:tcW w:w="2268" w:type="dxa"/>
            <w:gridSpan w:val="2"/>
            <w:tcBorders>
              <w:bottom w:val="nil"/>
            </w:tcBorders>
            <w:vAlign w:val="center"/>
          </w:tcPr>
          <w:p w14:paraId="15E3850B" w14:textId="77777777" w:rsidR="00A90CDD" w:rsidRPr="00D73C18" w:rsidRDefault="00A90CDD" w:rsidP="00ED3175">
            <w:pPr>
              <w:jc w:val="both"/>
              <w:rPr>
                <w:rFonts w:ascii="Arial" w:hAnsi="Arial" w:cs="Arial"/>
                <w:b/>
              </w:rPr>
            </w:pPr>
            <w:r w:rsidRPr="00D73C18">
              <w:rPr>
                <w:rFonts w:ascii="Arial" w:hAnsi="Arial" w:cs="Arial"/>
                <w:b/>
              </w:rPr>
              <w:t>Tec</w:t>
            </w:r>
          </w:p>
        </w:tc>
        <w:tc>
          <w:tcPr>
            <w:tcW w:w="709" w:type="dxa"/>
            <w:tcBorders>
              <w:bottom w:val="nil"/>
            </w:tcBorders>
            <w:vAlign w:val="center"/>
          </w:tcPr>
          <w:p w14:paraId="5473AE84" w14:textId="5F3E34A6" w:rsidR="00A90CDD" w:rsidRPr="00D73C18" w:rsidRDefault="00A90CDD" w:rsidP="00ED3175">
            <w:pPr>
              <w:jc w:val="both"/>
              <w:rPr>
                <w:rFonts w:ascii="Arial" w:hAnsi="Arial" w:cs="Arial"/>
              </w:rPr>
            </w:pPr>
            <w:r w:rsidRPr="00D73C18">
              <w:rPr>
                <w:rFonts w:ascii="Arial" w:hAnsi="Arial" w:cs="Arial"/>
              </w:rPr>
              <w:t>0</w:t>
            </w:r>
            <w:r w:rsidR="00B531B8" w:rsidRPr="00D73C18">
              <w:rPr>
                <w:rFonts w:ascii="Arial" w:hAnsi="Arial" w:cs="Arial"/>
              </w:rPr>
              <w:t>.</w:t>
            </w:r>
            <w:r w:rsidRPr="00D73C18">
              <w:rPr>
                <w:rFonts w:ascii="Arial" w:hAnsi="Arial" w:cs="Arial"/>
              </w:rPr>
              <w:t>99</w:t>
            </w:r>
          </w:p>
        </w:tc>
        <w:tc>
          <w:tcPr>
            <w:tcW w:w="992" w:type="dxa"/>
            <w:tcBorders>
              <w:bottom w:val="nil"/>
            </w:tcBorders>
            <w:vAlign w:val="center"/>
          </w:tcPr>
          <w:p w14:paraId="74FAEEA4" w14:textId="77777777" w:rsidR="00A90CDD" w:rsidRPr="00D73C18" w:rsidRDefault="00A90CDD" w:rsidP="00ED3175">
            <w:pPr>
              <w:jc w:val="both"/>
              <w:rPr>
                <w:rFonts w:ascii="Arial" w:hAnsi="Arial" w:cs="Arial"/>
              </w:rPr>
            </w:pPr>
            <w:r w:rsidRPr="00D73C18">
              <w:rPr>
                <w:rFonts w:ascii="Arial" w:hAnsi="Arial" w:cs="Arial"/>
              </w:rPr>
              <w:t>36</w:t>
            </w:r>
          </w:p>
        </w:tc>
        <w:tc>
          <w:tcPr>
            <w:tcW w:w="1134" w:type="dxa"/>
            <w:tcBorders>
              <w:bottom w:val="nil"/>
            </w:tcBorders>
            <w:vAlign w:val="center"/>
          </w:tcPr>
          <w:p w14:paraId="59A210F9" w14:textId="31207773" w:rsidR="00A90CDD" w:rsidRPr="00D73C18" w:rsidRDefault="00A90CDD" w:rsidP="00ED3175">
            <w:pPr>
              <w:jc w:val="both"/>
              <w:rPr>
                <w:rFonts w:ascii="Arial" w:hAnsi="Arial" w:cs="Arial"/>
              </w:rPr>
            </w:pPr>
            <w:r w:rsidRPr="00D73C18">
              <w:rPr>
                <w:rFonts w:ascii="Arial" w:hAnsi="Arial" w:cs="Arial"/>
              </w:rPr>
              <w:t>9</w:t>
            </w:r>
            <w:r w:rsidR="00B531B8" w:rsidRPr="00D73C18">
              <w:rPr>
                <w:rFonts w:ascii="Arial" w:hAnsi="Arial" w:cs="Arial"/>
              </w:rPr>
              <w:t>.</w:t>
            </w:r>
            <w:r w:rsidRPr="00D73C18">
              <w:rPr>
                <w:rFonts w:ascii="Arial" w:hAnsi="Arial" w:cs="Arial"/>
              </w:rPr>
              <w:t>79</w:t>
            </w:r>
          </w:p>
        </w:tc>
        <w:tc>
          <w:tcPr>
            <w:tcW w:w="993" w:type="dxa"/>
            <w:tcBorders>
              <w:bottom w:val="nil"/>
            </w:tcBorders>
            <w:vAlign w:val="center"/>
          </w:tcPr>
          <w:p w14:paraId="397202FD" w14:textId="537582CC" w:rsidR="00A90CDD" w:rsidRPr="00D73C18" w:rsidRDefault="00A90CDD" w:rsidP="00ED3175">
            <w:pPr>
              <w:jc w:val="both"/>
              <w:rPr>
                <w:rFonts w:ascii="Arial" w:hAnsi="Arial" w:cs="Arial"/>
              </w:rPr>
            </w:pPr>
            <w:r w:rsidRPr="00D73C18">
              <w:rPr>
                <w:rFonts w:ascii="Arial" w:hAnsi="Arial" w:cs="Arial"/>
              </w:rPr>
              <w:t>31</w:t>
            </w:r>
            <w:r w:rsidR="00B531B8" w:rsidRPr="00D73C18">
              <w:rPr>
                <w:rFonts w:ascii="Arial" w:hAnsi="Arial" w:cs="Arial"/>
              </w:rPr>
              <w:t>.</w:t>
            </w:r>
            <w:r w:rsidRPr="00D73C18">
              <w:rPr>
                <w:rFonts w:ascii="Arial" w:hAnsi="Arial" w:cs="Arial"/>
              </w:rPr>
              <w:t>6</w:t>
            </w:r>
          </w:p>
        </w:tc>
        <w:tc>
          <w:tcPr>
            <w:tcW w:w="850" w:type="dxa"/>
            <w:tcBorders>
              <w:bottom w:val="nil"/>
            </w:tcBorders>
            <w:vAlign w:val="center"/>
          </w:tcPr>
          <w:p w14:paraId="65E97847" w14:textId="77777777" w:rsidR="00A90CDD" w:rsidRPr="00D73C18" w:rsidRDefault="00A90CDD" w:rsidP="00ED3175">
            <w:pPr>
              <w:jc w:val="both"/>
              <w:rPr>
                <w:rFonts w:ascii="Arial" w:hAnsi="Arial" w:cs="Arial"/>
              </w:rPr>
            </w:pPr>
            <w:r w:rsidRPr="00D73C18">
              <w:rPr>
                <w:rFonts w:ascii="Arial" w:hAnsi="Arial" w:cs="Arial"/>
              </w:rPr>
              <w:t>121</w:t>
            </w:r>
          </w:p>
        </w:tc>
        <w:tc>
          <w:tcPr>
            <w:tcW w:w="1276" w:type="dxa"/>
            <w:tcBorders>
              <w:bottom w:val="nil"/>
            </w:tcBorders>
            <w:vAlign w:val="center"/>
          </w:tcPr>
          <w:p w14:paraId="48B829DD" w14:textId="64FA4522" w:rsidR="00A90CDD" w:rsidRPr="00D73C18" w:rsidRDefault="00A90CDD" w:rsidP="00ED3175">
            <w:pPr>
              <w:jc w:val="both"/>
              <w:rPr>
                <w:rFonts w:ascii="Arial" w:hAnsi="Arial" w:cs="Arial"/>
              </w:rPr>
            </w:pPr>
            <w:r w:rsidRPr="00D73C18">
              <w:rPr>
                <w:rFonts w:ascii="Arial" w:hAnsi="Arial" w:cs="Arial"/>
              </w:rPr>
              <w:t>0</w:t>
            </w:r>
            <w:r w:rsidR="00B531B8" w:rsidRPr="00D73C18">
              <w:rPr>
                <w:rFonts w:ascii="Arial" w:hAnsi="Arial" w:cs="Arial"/>
              </w:rPr>
              <w:t>.</w:t>
            </w:r>
            <w:r w:rsidRPr="00D73C18">
              <w:rPr>
                <w:rFonts w:ascii="Arial" w:hAnsi="Arial" w:cs="Arial"/>
              </w:rPr>
              <w:t>18</w:t>
            </w:r>
          </w:p>
        </w:tc>
      </w:tr>
      <w:tr w:rsidR="00A90CDD" w:rsidRPr="00D73C18" w14:paraId="1F8E1A53" w14:textId="77777777" w:rsidTr="001C5797">
        <w:trPr>
          <w:trHeight w:val="20"/>
        </w:trPr>
        <w:tc>
          <w:tcPr>
            <w:tcW w:w="2268" w:type="dxa"/>
            <w:gridSpan w:val="2"/>
            <w:tcBorders>
              <w:top w:val="nil"/>
              <w:bottom w:val="nil"/>
            </w:tcBorders>
            <w:vAlign w:val="center"/>
          </w:tcPr>
          <w:p w14:paraId="7277D18C" w14:textId="77777777" w:rsidR="00A90CDD" w:rsidRPr="00D73C18" w:rsidRDefault="00A90CDD" w:rsidP="00ED3175">
            <w:pPr>
              <w:jc w:val="both"/>
              <w:rPr>
                <w:rFonts w:ascii="Arial" w:hAnsi="Arial" w:cs="Arial"/>
                <w:b/>
              </w:rPr>
            </w:pPr>
            <w:r w:rsidRPr="00D73C18">
              <w:rPr>
                <w:rFonts w:ascii="Arial" w:hAnsi="Arial" w:cs="Arial"/>
                <w:b/>
              </w:rPr>
              <w:t>Pec</w:t>
            </w:r>
          </w:p>
        </w:tc>
        <w:tc>
          <w:tcPr>
            <w:tcW w:w="709" w:type="dxa"/>
            <w:tcBorders>
              <w:top w:val="nil"/>
              <w:bottom w:val="nil"/>
            </w:tcBorders>
            <w:vAlign w:val="center"/>
          </w:tcPr>
          <w:p w14:paraId="79AECE82" w14:textId="15E4F1D8" w:rsidR="00A90CDD" w:rsidRPr="00D73C18" w:rsidRDefault="00A90CDD" w:rsidP="00ED3175">
            <w:pPr>
              <w:jc w:val="both"/>
              <w:rPr>
                <w:rFonts w:ascii="Arial" w:hAnsi="Arial" w:cs="Arial"/>
              </w:rPr>
            </w:pPr>
            <w:r w:rsidRPr="00D73C18">
              <w:rPr>
                <w:rFonts w:ascii="Arial" w:hAnsi="Arial" w:cs="Arial"/>
              </w:rPr>
              <w:t>5</w:t>
            </w:r>
            <w:r w:rsidR="00B531B8" w:rsidRPr="00D73C18">
              <w:rPr>
                <w:rFonts w:ascii="Arial" w:hAnsi="Arial" w:cs="Arial"/>
              </w:rPr>
              <w:t>.</w:t>
            </w:r>
            <w:r w:rsidRPr="00D73C18">
              <w:rPr>
                <w:rFonts w:ascii="Arial" w:hAnsi="Arial" w:cs="Arial"/>
              </w:rPr>
              <w:t>0</w:t>
            </w:r>
          </w:p>
        </w:tc>
        <w:tc>
          <w:tcPr>
            <w:tcW w:w="992" w:type="dxa"/>
            <w:tcBorders>
              <w:top w:val="nil"/>
              <w:bottom w:val="nil"/>
            </w:tcBorders>
            <w:vAlign w:val="center"/>
          </w:tcPr>
          <w:p w14:paraId="42354BBC" w14:textId="77777777" w:rsidR="00A90CDD" w:rsidRPr="00D73C18" w:rsidRDefault="00A90CDD" w:rsidP="00ED3175">
            <w:pPr>
              <w:jc w:val="both"/>
              <w:rPr>
                <w:rFonts w:ascii="Arial" w:hAnsi="Arial" w:cs="Arial"/>
              </w:rPr>
            </w:pPr>
            <w:r w:rsidRPr="00D73C18">
              <w:rPr>
                <w:rFonts w:ascii="Arial" w:hAnsi="Arial" w:cs="Arial"/>
              </w:rPr>
              <w:t>130</w:t>
            </w:r>
          </w:p>
        </w:tc>
        <w:tc>
          <w:tcPr>
            <w:tcW w:w="1134" w:type="dxa"/>
            <w:tcBorders>
              <w:top w:val="nil"/>
              <w:bottom w:val="nil"/>
            </w:tcBorders>
            <w:vAlign w:val="center"/>
          </w:tcPr>
          <w:p w14:paraId="11A7448A" w14:textId="2CB3300D" w:rsidR="00A90CDD" w:rsidRPr="00D73C18" w:rsidRDefault="00A90CDD" w:rsidP="00ED3175">
            <w:pPr>
              <w:jc w:val="both"/>
              <w:rPr>
                <w:rFonts w:ascii="Arial" w:hAnsi="Arial" w:cs="Arial"/>
              </w:rPr>
            </w:pPr>
            <w:r w:rsidRPr="00D73C18">
              <w:rPr>
                <w:rFonts w:ascii="Arial" w:hAnsi="Arial" w:cs="Arial"/>
              </w:rPr>
              <w:t>33</w:t>
            </w:r>
            <w:r w:rsidR="00B531B8" w:rsidRPr="00D73C18">
              <w:rPr>
                <w:rFonts w:ascii="Arial" w:hAnsi="Arial" w:cs="Arial"/>
              </w:rPr>
              <w:t>.</w:t>
            </w:r>
            <w:r w:rsidRPr="00D73C18">
              <w:rPr>
                <w:rFonts w:ascii="Arial" w:hAnsi="Arial" w:cs="Arial"/>
              </w:rPr>
              <w:t>0</w:t>
            </w:r>
          </w:p>
        </w:tc>
        <w:tc>
          <w:tcPr>
            <w:tcW w:w="993" w:type="dxa"/>
            <w:tcBorders>
              <w:top w:val="nil"/>
              <w:bottom w:val="nil"/>
            </w:tcBorders>
            <w:vAlign w:val="center"/>
          </w:tcPr>
          <w:p w14:paraId="58FD226C" w14:textId="77777777" w:rsidR="00A90CDD" w:rsidRPr="00D73C18" w:rsidRDefault="00A90CDD" w:rsidP="00ED3175">
            <w:pPr>
              <w:jc w:val="both"/>
              <w:rPr>
                <w:rFonts w:ascii="Arial" w:hAnsi="Arial" w:cs="Arial"/>
              </w:rPr>
            </w:pPr>
            <w:r w:rsidRPr="00D73C18">
              <w:rPr>
                <w:rFonts w:ascii="Arial" w:hAnsi="Arial" w:cs="Arial"/>
              </w:rPr>
              <w:t>149</w:t>
            </w:r>
          </w:p>
        </w:tc>
        <w:tc>
          <w:tcPr>
            <w:tcW w:w="850" w:type="dxa"/>
            <w:tcBorders>
              <w:top w:val="nil"/>
              <w:bottom w:val="nil"/>
            </w:tcBorders>
            <w:vAlign w:val="center"/>
          </w:tcPr>
          <w:p w14:paraId="021E5D3C" w14:textId="77777777" w:rsidR="00A90CDD" w:rsidRPr="00D73C18" w:rsidRDefault="00A90CDD" w:rsidP="00ED3175">
            <w:pPr>
              <w:jc w:val="both"/>
              <w:rPr>
                <w:rFonts w:ascii="Arial" w:hAnsi="Arial" w:cs="Arial"/>
              </w:rPr>
            </w:pPr>
            <w:r w:rsidRPr="00D73C18">
              <w:rPr>
                <w:rFonts w:ascii="Arial" w:hAnsi="Arial" w:cs="Arial"/>
              </w:rPr>
              <w:t>459</w:t>
            </w:r>
          </w:p>
        </w:tc>
        <w:tc>
          <w:tcPr>
            <w:tcW w:w="1276" w:type="dxa"/>
            <w:tcBorders>
              <w:top w:val="nil"/>
              <w:bottom w:val="nil"/>
            </w:tcBorders>
            <w:vAlign w:val="center"/>
          </w:tcPr>
          <w:p w14:paraId="61EB6BA9" w14:textId="7C9CA72A" w:rsidR="00A90CDD" w:rsidRPr="00D73C18" w:rsidRDefault="00A90CDD" w:rsidP="00ED3175">
            <w:pPr>
              <w:jc w:val="both"/>
              <w:rPr>
                <w:rFonts w:ascii="Arial" w:hAnsi="Arial" w:cs="Arial"/>
              </w:rPr>
            </w:pPr>
            <w:r w:rsidRPr="00D73C18">
              <w:rPr>
                <w:rFonts w:ascii="Arial" w:hAnsi="Arial" w:cs="Arial"/>
              </w:rPr>
              <w:t>1</w:t>
            </w:r>
            <w:r w:rsidR="00B531B8" w:rsidRPr="00D73C18">
              <w:rPr>
                <w:rFonts w:ascii="Arial" w:hAnsi="Arial" w:cs="Arial"/>
              </w:rPr>
              <w:t>.</w:t>
            </w:r>
            <w:r w:rsidRPr="00D73C18">
              <w:rPr>
                <w:rFonts w:ascii="Arial" w:hAnsi="Arial" w:cs="Arial"/>
              </w:rPr>
              <w:t>06</w:t>
            </w:r>
          </w:p>
        </w:tc>
      </w:tr>
      <w:tr w:rsidR="00A90CDD" w:rsidRPr="00D73C18" w14:paraId="142CD7F4" w14:textId="77777777" w:rsidTr="001C5797">
        <w:trPr>
          <w:trHeight w:val="20"/>
        </w:trPr>
        <w:tc>
          <w:tcPr>
            <w:tcW w:w="2268" w:type="dxa"/>
            <w:gridSpan w:val="2"/>
            <w:tcBorders>
              <w:top w:val="nil"/>
              <w:bottom w:val="nil"/>
            </w:tcBorders>
            <w:vAlign w:val="center"/>
          </w:tcPr>
          <w:p w14:paraId="2994AA29" w14:textId="127851B5" w:rsidR="00A90CDD" w:rsidRPr="00D73C18" w:rsidRDefault="00460120" w:rsidP="00ED3175">
            <w:pPr>
              <w:jc w:val="both"/>
              <w:rPr>
                <w:rFonts w:ascii="Arial" w:hAnsi="Arial" w:cs="Arial"/>
                <w:b/>
                <w:lang w:val="fr-CI"/>
              </w:rPr>
            </w:pPr>
            <w:r w:rsidRPr="00D73C18">
              <w:rPr>
                <w:rFonts w:ascii="Arial" w:hAnsi="Arial" w:cs="Arial"/>
                <w:b/>
                <w:lang w:val="fr-CI"/>
              </w:rPr>
              <w:t xml:space="preserve">% </w:t>
            </w:r>
            <w:proofErr w:type="spellStart"/>
            <w:r w:rsidRPr="00D73C18">
              <w:rPr>
                <w:rFonts w:ascii="Arial" w:hAnsi="Arial" w:cs="Arial"/>
                <w:b/>
                <w:lang w:val="fr-CI"/>
              </w:rPr>
              <w:t>lower</w:t>
            </w:r>
            <w:proofErr w:type="spellEnd"/>
            <w:r w:rsidRPr="00D73C18">
              <w:rPr>
                <w:rFonts w:ascii="Arial" w:hAnsi="Arial" w:cs="Arial"/>
                <w:b/>
                <w:lang w:val="fr-CI"/>
              </w:rPr>
              <w:t xml:space="preserve"> </w:t>
            </w:r>
            <w:proofErr w:type="spellStart"/>
            <w:r w:rsidRPr="00D73C18">
              <w:rPr>
                <w:rFonts w:ascii="Arial" w:hAnsi="Arial" w:cs="Arial"/>
                <w:b/>
                <w:lang w:val="fr-CI"/>
              </w:rPr>
              <w:t>than</w:t>
            </w:r>
            <w:proofErr w:type="spellEnd"/>
            <w:r w:rsidRPr="00D73C18">
              <w:rPr>
                <w:rFonts w:ascii="Arial" w:hAnsi="Arial" w:cs="Arial"/>
                <w:b/>
                <w:lang w:val="fr-CI"/>
              </w:rPr>
              <w:t xml:space="preserve"> the Tec</w:t>
            </w:r>
          </w:p>
        </w:tc>
        <w:tc>
          <w:tcPr>
            <w:tcW w:w="709" w:type="dxa"/>
            <w:tcBorders>
              <w:top w:val="nil"/>
              <w:bottom w:val="nil"/>
            </w:tcBorders>
            <w:vAlign w:val="center"/>
          </w:tcPr>
          <w:p w14:paraId="4750AFBA" w14:textId="1D148037" w:rsidR="00A90CDD" w:rsidRPr="00D73C18" w:rsidRDefault="00A90CDD" w:rsidP="00ED3175">
            <w:pPr>
              <w:jc w:val="both"/>
              <w:rPr>
                <w:rFonts w:ascii="Arial" w:hAnsi="Arial" w:cs="Arial"/>
              </w:rPr>
            </w:pPr>
            <w:r w:rsidRPr="00D73C18">
              <w:rPr>
                <w:rFonts w:ascii="Arial" w:hAnsi="Arial" w:cs="Arial"/>
              </w:rPr>
              <w:t>100</w:t>
            </w:r>
          </w:p>
        </w:tc>
        <w:tc>
          <w:tcPr>
            <w:tcW w:w="992" w:type="dxa"/>
            <w:tcBorders>
              <w:top w:val="nil"/>
              <w:bottom w:val="nil"/>
            </w:tcBorders>
            <w:vAlign w:val="center"/>
          </w:tcPr>
          <w:p w14:paraId="7D723B52" w14:textId="77777777" w:rsidR="00A90CDD" w:rsidRPr="00D73C18" w:rsidRDefault="00A90CDD" w:rsidP="00ED3175">
            <w:pPr>
              <w:jc w:val="both"/>
              <w:rPr>
                <w:rFonts w:ascii="Arial" w:hAnsi="Arial" w:cs="Arial"/>
              </w:rPr>
            </w:pPr>
            <w:r w:rsidRPr="00D73C18">
              <w:rPr>
                <w:rFonts w:ascii="Arial" w:hAnsi="Arial" w:cs="Arial"/>
              </w:rPr>
              <w:t>100</w:t>
            </w:r>
          </w:p>
        </w:tc>
        <w:tc>
          <w:tcPr>
            <w:tcW w:w="1134" w:type="dxa"/>
            <w:tcBorders>
              <w:top w:val="nil"/>
              <w:bottom w:val="nil"/>
            </w:tcBorders>
            <w:vAlign w:val="center"/>
          </w:tcPr>
          <w:p w14:paraId="225AC74E" w14:textId="77777777" w:rsidR="00A90CDD" w:rsidRPr="00D73C18" w:rsidRDefault="00A90CDD" w:rsidP="00ED3175">
            <w:pPr>
              <w:jc w:val="both"/>
              <w:rPr>
                <w:rFonts w:ascii="Arial" w:hAnsi="Arial" w:cs="Arial"/>
              </w:rPr>
            </w:pPr>
            <w:r w:rsidRPr="00D73C18">
              <w:rPr>
                <w:rFonts w:ascii="Arial" w:hAnsi="Arial" w:cs="Arial"/>
              </w:rPr>
              <w:t>100</w:t>
            </w:r>
          </w:p>
        </w:tc>
        <w:tc>
          <w:tcPr>
            <w:tcW w:w="993" w:type="dxa"/>
            <w:tcBorders>
              <w:top w:val="nil"/>
              <w:bottom w:val="nil"/>
            </w:tcBorders>
            <w:vAlign w:val="center"/>
          </w:tcPr>
          <w:p w14:paraId="0F9CC166" w14:textId="31D1300E" w:rsidR="00A90CDD" w:rsidRPr="00D73C18" w:rsidRDefault="00A90CDD" w:rsidP="00ED3175">
            <w:pPr>
              <w:jc w:val="both"/>
              <w:rPr>
                <w:rFonts w:ascii="Arial" w:hAnsi="Arial" w:cs="Arial"/>
              </w:rPr>
            </w:pPr>
            <w:r w:rsidRPr="00D73C18">
              <w:rPr>
                <w:rFonts w:ascii="Arial" w:hAnsi="Arial" w:cs="Arial"/>
              </w:rPr>
              <w:t>83</w:t>
            </w:r>
            <w:r w:rsidR="00B531B8" w:rsidRPr="00D73C18">
              <w:rPr>
                <w:rFonts w:ascii="Arial" w:hAnsi="Arial" w:cs="Arial"/>
              </w:rPr>
              <w:t>.</w:t>
            </w:r>
            <w:r w:rsidRPr="00D73C18">
              <w:rPr>
                <w:rFonts w:ascii="Arial" w:hAnsi="Arial" w:cs="Arial"/>
              </w:rPr>
              <w:t>33</w:t>
            </w:r>
          </w:p>
        </w:tc>
        <w:tc>
          <w:tcPr>
            <w:tcW w:w="850" w:type="dxa"/>
            <w:tcBorders>
              <w:top w:val="nil"/>
              <w:bottom w:val="nil"/>
            </w:tcBorders>
            <w:vAlign w:val="center"/>
          </w:tcPr>
          <w:p w14:paraId="0BB4132A" w14:textId="5A82C537" w:rsidR="00A90CDD" w:rsidRPr="00D73C18" w:rsidRDefault="00A90CDD" w:rsidP="00ED3175">
            <w:pPr>
              <w:jc w:val="both"/>
              <w:rPr>
                <w:rFonts w:ascii="Arial" w:hAnsi="Arial" w:cs="Arial"/>
              </w:rPr>
            </w:pPr>
            <w:r w:rsidRPr="00D73C18">
              <w:rPr>
                <w:rFonts w:ascii="Arial" w:hAnsi="Arial" w:cs="Arial"/>
              </w:rPr>
              <w:t>83</w:t>
            </w:r>
            <w:r w:rsidR="00B531B8" w:rsidRPr="00D73C18">
              <w:rPr>
                <w:rFonts w:ascii="Arial" w:hAnsi="Arial" w:cs="Arial"/>
              </w:rPr>
              <w:t>.</w:t>
            </w:r>
            <w:r w:rsidRPr="00D73C18">
              <w:rPr>
                <w:rFonts w:ascii="Arial" w:hAnsi="Arial" w:cs="Arial"/>
              </w:rPr>
              <w:t>33</w:t>
            </w:r>
          </w:p>
        </w:tc>
        <w:tc>
          <w:tcPr>
            <w:tcW w:w="1276" w:type="dxa"/>
            <w:tcBorders>
              <w:top w:val="nil"/>
              <w:bottom w:val="nil"/>
            </w:tcBorders>
            <w:vAlign w:val="center"/>
          </w:tcPr>
          <w:p w14:paraId="164FF313" w14:textId="77777777" w:rsidR="00A90CDD" w:rsidRPr="00D73C18" w:rsidRDefault="00A90CDD" w:rsidP="00ED3175">
            <w:pPr>
              <w:jc w:val="both"/>
              <w:rPr>
                <w:rFonts w:ascii="Arial" w:hAnsi="Arial" w:cs="Arial"/>
              </w:rPr>
            </w:pPr>
            <w:r w:rsidRPr="00D73C18">
              <w:rPr>
                <w:rFonts w:ascii="Arial" w:hAnsi="Arial" w:cs="Arial"/>
              </w:rPr>
              <w:t>100</w:t>
            </w:r>
          </w:p>
        </w:tc>
      </w:tr>
      <w:tr w:rsidR="00A90CDD" w:rsidRPr="00D73C18" w14:paraId="68B7B7FC" w14:textId="77777777" w:rsidTr="001C5797">
        <w:trPr>
          <w:trHeight w:val="20"/>
        </w:trPr>
        <w:tc>
          <w:tcPr>
            <w:tcW w:w="2268" w:type="dxa"/>
            <w:gridSpan w:val="2"/>
            <w:tcBorders>
              <w:top w:val="nil"/>
            </w:tcBorders>
            <w:vAlign w:val="center"/>
          </w:tcPr>
          <w:p w14:paraId="17655A06" w14:textId="2F34AA5C" w:rsidR="00A90CDD" w:rsidRPr="00D73C18" w:rsidRDefault="00460120" w:rsidP="00ED3175">
            <w:pPr>
              <w:jc w:val="both"/>
              <w:rPr>
                <w:rFonts w:ascii="Arial" w:hAnsi="Arial" w:cs="Arial"/>
                <w:b/>
                <w:lang w:val="fr-CI"/>
              </w:rPr>
            </w:pPr>
            <w:r w:rsidRPr="00D73C18">
              <w:rPr>
                <w:rFonts w:ascii="Arial" w:hAnsi="Arial" w:cs="Arial"/>
                <w:b/>
                <w:lang w:val="fr-CI"/>
              </w:rPr>
              <w:lastRenderedPageBreak/>
              <w:t xml:space="preserve">% </w:t>
            </w:r>
            <w:proofErr w:type="spellStart"/>
            <w:r w:rsidRPr="00D73C18">
              <w:rPr>
                <w:rFonts w:ascii="Arial" w:hAnsi="Arial" w:cs="Arial"/>
                <w:b/>
                <w:lang w:val="fr-CI"/>
              </w:rPr>
              <w:t>higher</w:t>
            </w:r>
            <w:proofErr w:type="spellEnd"/>
            <w:r w:rsidRPr="00D73C18">
              <w:rPr>
                <w:rFonts w:ascii="Arial" w:hAnsi="Arial" w:cs="Arial"/>
                <w:b/>
                <w:lang w:val="fr-CI"/>
              </w:rPr>
              <w:t xml:space="preserve"> </w:t>
            </w:r>
            <w:proofErr w:type="spellStart"/>
            <w:r w:rsidRPr="00D73C18">
              <w:rPr>
                <w:rFonts w:ascii="Arial" w:hAnsi="Arial" w:cs="Arial"/>
                <w:b/>
                <w:lang w:val="fr-CI"/>
              </w:rPr>
              <w:t>than</w:t>
            </w:r>
            <w:proofErr w:type="spellEnd"/>
            <w:r w:rsidRPr="00D73C18">
              <w:rPr>
                <w:rFonts w:ascii="Arial" w:hAnsi="Arial" w:cs="Arial"/>
                <w:b/>
                <w:lang w:val="fr-CI"/>
              </w:rPr>
              <w:t xml:space="preserve"> the Pec</w:t>
            </w:r>
          </w:p>
        </w:tc>
        <w:tc>
          <w:tcPr>
            <w:tcW w:w="709" w:type="dxa"/>
            <w:tcBorders>
              <w:top w:val="nil"/>
            </w:tcBorders>
            <w:vAlign w:val="center"/>
          </w:tcPr>
          <w:p w14:paraId="263B5C5E" w14:textId="77777777" w:rsidR="00A90CDD" w:rsidRPr="00D73C18" w:rsidRDefault="00A90CDD" w:rsidP="00ED3175">
            <w:pPr>
              <w:jc w:val="both"/>
              <w:rPr>
                <w:rFonts w:ascii="Arial" w:hAnsi="Arial" w:cs="Arial"/>
              </w:rPr>
            </w:pPr>
            <w:r w:rsidRPr="00D73C18">
              <w:rPr>
                <w:rFonts w:ascii="Arial" w:hAnsi="Arial" w:cs="Arial"/>
              </w:rPr>
              <w:t>0</w:t>
            </w:r>
          </w:p>
        </w:tc>
        <w:tc>
          <w:tcPr>
            <w:tcW w:w="992" w:type="dxa"/>
            <w:tcBorders>
              <w:top w:val="nil"/>
            </w:tcBorders>
            <w:vAlign w:val="center"/>
          </w:tcPr>
          <w:p w14:paraId="4E5340DD" w14:textId="77777777" w:rsidR="00A90CDD" w:rsidRPr="00D73C18" w:rsidRDefault="00A90CDD" w:rsidP="00ED3175">
            <w:pPr>
              <w:jc w:val="both"/>
              <w:rPr>
                <w:rFonts w:ascii="Arial" w:hAnsi="Arial" w:cs="Arial"/>
              </w:rPr>
            </w:pPr>
            <w:r w:rsidRPr="00D73C18">
              <w:rPr>
                <w:rFonts w:ascii="Arial" w:hAnsi="Arial" w:cs="Arial"/>
              </w:rPr>
              <w:t>0</w:t>
            </w:r>
          </w:p>
        </w:tc>
        <w:tc>
          <w:tcPr>
            <w:tcW w:w="1134" w:type="dxa"/>
            <w:tcBorders>
              <w:top w:val="nil"/>
            </w:tcBorders>
            <w:vAlign w:val="center"/>
          </w:tcPr>
          <w:p w14:paraId="6AEC3965" w14:textId="77777777" w:rsidR="00A90CDD" w:rsidRPr="00D73C18" w:rsidRDefault="00A90CDD" w:rsidP="00ED3175">
            <w:pPr>
              <w:jc w:val="both"/>
              <w:rPr>
                <w:rFonts w:ascii="Arial" w:hAnsi="Arial" w:cs="Arial"/>
              </w:rPr>
            </w:pPr>
            <w:r w:rsidRPr="00D73C18">
              <w:rPr>
                <w:rFonts w:ascii="Arial" w:hAnsi="Arial" w:cs="Arial"/>
              </w:rPr>
              <w:t>0</w:t>
            </w:r>
          </w:p>
        </w:tc>
        <w:tc>
          <w:tcPr>
            <w:tcW w:w="993" w:type="dxa"/>
            <w:tcBorders>
              <w:top w:val="nil"/>
            </w:tcBorders>
            <w:vAlign w:val="center"/>
          </w:tcPr>
          <w:p w14:paraId="0362D31A" w14:textId="02BACC7C" w:rsidR="00A90CDD" w:rsidRPr="00D73C18" w:rsidRDefault="00A90CDD" w:rsidP="00ED3175">
            <w:pPr>
              <w:jc w:val="both"/>
              <w:rPr>
                <w:rFonts w:ascii="Arial" w:hAnsi="Arial" w:cs="Arial"/>
              </w:rPr>
            </w:pPr>
            <w:r w:rsidRPr="00D73C18">
              <w:rPr>
                <w:rFonts w:ascii="Arial" w:hAnsi="Arial" w:cs="Arial"/>
              </w:rPr>
              <w:t>16</w:t>
            </w:r>
            <w:r w:rsidR="00B531B8" w:rsidRPr="00D73C18">
              <w:rPr>
                <w:rFonts w:ascii="Arial" w:hAnsi="Arial" w:cs="Arial"/>
              </w:rPr>
              <w:t>.</w:t>
            </w:r>
            <w:r w:rsidRPr="00D73C18">
              <w:rPr>
                <w:rFonts w:ascii="Arial" w:hAnsi="Arial" w:cs="Arial"/>
              </w:rPr>
              <w:t>67</w:t>
            </w:r>
          </w:p>
        </w:tc>
        <w:tc>
          <w:tcPr>
            <w:tcW w:w="850" w:type="dxa"/>
            <w:tcBorders>
              <w:top w:val="nil"/>
            </w:tcBorders>
            <w:vAlign w:val="center"/>
          </w:tcPr>
          <w:p w14:paraId="01494638" w14:textId="2DE1097C" w:rsidR="00A90CDD" w:rsidRPr="00D73C18" w:rsidRDefault="00A90CDD" w:rsidP="00ED3175">
            <w:pPr>
              <w:jc w:val="both"/>
              <w:rPr>
                <w:rFonts w:ascii="Arial" w:hAnsi="Arial" w:cs="Arial"/>
              </w:rPr>
            </w:pPr>
            <w:r w:rsidRPr="00D73C18">
              <w:rPr>
                <w:rFonts w:ascii="Arial" w:hAnsi="Arial" w:cs="Arial"/>
              </w:rPr>
              <w:t>16</w:t>
            </w:r>
            <w:r w:rsidR="00B531B8" w:rsidRPr="00D73C18">
              <w:rPr>
                <w:rFonts w:ascii="Arial" w:hAnsi="Arial" w:cs="Arial"/>
              </w:rPr>
              <w:t>.</w:t>
            </w:r>
            <w:r w:rsidRPr="00D73C18">
              <w:rPr>
                <w:rFonts w:ascii="Arial" w:hAnsi="Arial" w:cs="Arial"/>
              </w:rPr>
              <w:t>67</w:t>
            </w:r>
          </w:p>
        </w:tc>
        <w:tc>
          <w:tcPr>
            <w:tcW w:w="1276" w:type="dxa"/>
            <w:tcBorders>
              <w:top w:val="nil"/>
            </w:tcBorders>
            <w:vAlign w:val="center"/>
          </w:tcPr>
          <w:p w14:paraId="7317878A" w14:textId="77777777" w:rsidR="00A90CDD" w:rsidRPr="00D73C18" w:rsidRDefault="00A90CDD" w:rsidP="00ED3175">
            <w:pPr>
              <w:jc w:val="both"/>
              <w:rPr>
                <w:rFonts w:ascii="Arial" w:hAnsi="Arial" w:cs="Arial"/>
              </w:rPr>
            </w:pPr>
            <w:r w:rsidRPr="00D73C18">
              <w:rPr>
                <w:rFonts w:ascii="Arial" w:hAnsi="Arial" w:cs="Arial"/>
              </w:rPr>
              <w:t>0</w:t>
            </w:r>
          </w:p>
        </w:tc>
      </w:tr>
    </w:tbl>
    <w:p w14:paraId="01F9413E" w14:textId="77777777" w:rsidR="00A21449" w:rsidRPr="00D73C18" w:rsidRDefault="00A21449" w:rsidP="00ED3175">
      <w:pPr>
        <w:jc w:val="both"/>
        <w:rPr>
          <w:rFonts w:ascii="Arial" w:hAnsi="Arial" w:cs="Arial"/>
          <w:sz w:val="20"/>
          <w:szCs w:val="20"/>
          <w:lang w:val="en-US"/>
        </w:rPr>
      </w:pPr>
    </w:p>
    <w:p w14:paraId="70B1C658" w14:textId="155F9865" w:rsidR="00A21449" w:rsidRPr="00D73C18" w:rsidRDefault="001C5797" w:rsidP="00ED3175">
      <w:pPr>
        <w:jc w:val="both"/>
        <w:rPr>
          <w:rFonts w:ascii="Arial" w:hAnsi="Arial" w:cs="Arial"/>
          <w:sz w:val="20"/>
          <w:szCs w:val="20"/>
          <w:lang w:val="en-US"/>
        </w:rPr>
      </w:pPr>
      <w:r w:rsidRPr="00D73C18">
        <w:rPr>
          <w:rFonts w:ascii="Arial" w:hAnsi="Arial" w:cs="Arial"/>
          <w:sz w:val="20"/>
          <w:szCs w:val="20"/>
          <w:lang w:val="en-US"/>
        </w:rPr>
        <w:t>Cadmium Lead Arsenic Copper Zinc Mercury</w:t>
      </w:r>
    </w:p>
    <w:p w14:paraId="6F1308BD" w14:textId="77777777" w:rsidR="00A21449" w:rsidRPr="00D73C18" w:rsidRDefault="00A21449" w:rsidP="00ED3175">
      <w:pPr>
        <w:jc w:val="both"/>
        <w:rPr>
          <w:rFonts w:ascii="Arial" w:hAnsi="Arial" w:cs="Arial"/>
          <w:sz w:val="20"/>
          <w:szCs w:val="20"/>
          <w:lang w:val="en-US"/>
        </w:rPr>
      </w:pPr>
    </w:p>
    <w:p w14:paraId="484334B8" w14:textId="27BC59AE" w:rsidR="00A21449" w:rsidRPr="00D73C18" w:rsidRDefault="00D35875" w:rsidP="00ED3175">
      <w:pPr>
        <w:jc w:val="both"/>
        <w:rPr>
          <w:rFonts w:ascii="Arial" w:hAnsi="Arial" w:cs="Arial"/>
          <w:sz w:val="20"/>
          <w:szCs w:val="20"/>
          <w:lang w:val="en-US"/>
        </w:rPr>
      </w:pPr>
      <w:r w:rsidRPr="00D73C18">
        <w:rPr>
          <w:rFonts w:ascii="Arial" w:hAnsi="Arial" w:cs="Arial"/>
          <w:noProof/>
          <w:sz w:val="20"/>
          <w:szCs w:val="20"/>
          <w:lang w:eastAsia="fr-FR"/>
        </w:rPr>
        <w:drawing>
          <wp:inline distT="0" distB="0" distL="0" distR="0" wp14:anchorId="7FC92486" wp14:editId="5570C387">
            <wp:extent cx="4746307" cy="2585085"/>
            <wp:effectExtent l="0" t="0" r="16510" b="5715"/>
            <wp:docPr id="616" name="Graphique 616">
              <a:extLst xmlns:a="http://schemas.openxmlformats.org/drawingml/2006/main">
                <a:ext uri="{FF2B5EF4-FFF2-40B4-BE49-F238E27FC236}">
                  <a16:creationId xmlns:a16="http://schemas.microsoft.com/office/drawing/2014/main" id="{86BACBD0-0BD0-4729-B949-7D71D2603C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3FB36B" w14:textId="37B95AB5" w:rsidR="00B43D92" w:rsidRPr="00D73C18" w:rsidRDefault="00D35875" w:rsidP="00ED3175">
      <w:pPr>
        <w:jc w:val="both"/>
        <w:rPr>
          <w:rFonts w:ascii="Arial" w:hAnsi="Arial" w:cs="Arial"/>
          <w:sz w:val="20"/>
          <w:szCs w:val="20"/>
          <w:lang w:val="en-US"/>
        </w:rPr>
        <w:sectPr w:rsidR="00B43D92" w:rsidRPr="00D73C18">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cols w:space="720"/>
        </w:sectPr>
      </w:pPr>
      <w:r w:rsidRPr="00D73C18">
        <w:rPr>
          <w:rFonts w:ascii="Arial" w:hAnsi="Arial" w:cs="Arial"/>
          <w:b/>
          <w:bCs/>
          <w:sz w:val="20"/>
          <w:szCs w:val="20"/>
          <w:lang w:val="en-US"/>
        </w:rPr>
        <w:t xml:space="preserve">Figure </w:t>
      </w:r>
      <w:r w:rsidR="00F70F95">
        <w:rPr>
          <w:rFonts w:ascii="Arial" w:hAnsi="Arial" w:cs="Arial"/>
          <w:b/>
          <w:bCs/>
          <w:sz w:val="20"/>
          <w:szCs w:val="20"/>
          <w:lang w:val="en-US"/>
        </w:rPr>
        <w:t>3</w:t>
      </w:r>
      <w:r w:rsidRPr="00D73C18">
        <w:rPr>
          <w:rFonts w:ascii="Arial" w:hAnsi="Arial" w:cs="Arial"/>
          <w:b/>
          <w:bCs/>
          <w:sz w:val="20"/>
          <w:szCs w:val="20"/>
          <w:lang w:val="en-US"/>
        </w:rPr>
        <w:t>:</w:t>
      </w:r>
      <w:r w:rsidRPr="00D73C18">
        <w:rPr>
          <w:rFonts w:ascii="Arial" w:hAnsi="Arial" w:cs="Arial"/>
          <w:sz w:val="20"/>
          <w:szCs w:val="20"/>
          <w:lang w:val="en-US"/>
        </w:rPr>
        <w:t xml:space="preserve"> Copper concentrations in sediments compared to biological effect guideline values (TEC and PEC)</w:t>
      </w:r>
    </w:p>
    <w:p w14:paraId="56D307BA" w14:textId="063A4088" w:rsidR="00D35875" w:rsidRPr="00D73C18" w:rsidRDefault="00D35875" w:rsidP="00ED3175">
      <w:pPr>
        <w:jc w:val="both"/>
        <w:rPr>
          <w:rFonts w:ascii="Arial" w:hAnsi="Arial" w:cs="Arial"/>
          <w:sz w:val="20"/>
          <w:szCs w:val="20"/>
          <w:lang w:val="en-US"/>
        </w:rPr>
      </w:pPr>
    </w:p>
    <w:p w14:paraId="50865871" w14:textId="77777777" w:rsidR="002917A4" w:rsidRPr="00D73C18" w:rsidRDefault="002917A4" w:rsidP="00ED3175">
      <w:pPr>
        <w:jc w:val="both"/>
        <w:rPr>
          <w:rFonts w:ascii="Arial" w:hAnsi="Arial" w:cs="Arial"/>
          <w:sz w:val="20"/>
          <w:szCs w:val="20"/>
          <w:lang w:val="en-US"/>
        </w:rPr>
      </w:pPr>
      <w:r w:rsidRPr="00D73C18">
        <w:rPr>
          <w:rFonts w:ascii="Arial" w:hAnsi="Arial" w:cs="Arial"/>
          <w:noProof/>
          <w:sz w:val="20"/>
          <w:szCs w:val="20"/>
          <w:lang w:eastAsia="fr-FR"/>
        </w:rPr>
        <mc:AlternateContent>
          <mc:Choice Requires="wps">
            <w:drawing>
              <wp:inline distT="0" distB="0" distL="0" distR="0" wp14:anchorId="48F3740F" wp14:editId="6A3AB264">
                <wp:extent cx="8839200" cy="4876800"/>
                <wp:effectExtent l="0" t="0" r="19050" b="19050"/>
                <wp:docPr id="243902715"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48768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5311B03F" w14:textId="77777777" w:rsidR="002917A4" w:rsidRDefault="002917A4" w:rsidP="002917A4">
                            <w:pPr>
                              <w:rPr>
                                <w:noProof/>
                                <w:lang w:eastAsia="fr-FR"/>
                              </w:rPr>
                            </w:pPr>
                            <w:r w:rsidRPr="009A6BBC">
                              <w:rPr>
                                <w:noProof/>
                                <w:lang w:eastAsia="fr-FR"/>
                              </w:rPr>
                              <w:drawing>
                                <wp:inline distT="0" distB="0" distL="0" distR="0" wp14:anchorId="5C9A3A81" wp14:editId="7CA9DC1F">
                                  <wp:extent cx="4086970" cy="2218414"/>
                                  <wp:effectExtent l="0" t="0" r="8890" b="10795"/>
                                  <wp:docPr id="1750667983" name="Graphique 1750667983">
                                    <a:extLst xmlns:a="http://schemas.openxmlformats.org/drawingml/2006/main">
                                      <a:ext uri="{FF2B5EF4-FFF2-40B4-BE49-F238E27FC236}">
                                        <a16:creationId xmlns:a16="http://schemas.microsoft.com/office/drawing/2014/main" id="{57C6A3CE-F2C1-4AF3-B8C9-81528C1B5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fr-FR"/>
                              </w:rPr>
                              <w:t xml:space="preserve">              </w:t>
                            </w:r>
                            <w:r w:rsidRPr="009A6BBC">
                              <w:rPr>
                                <w:noProof/>
                                <w:lang w:eastAsia="fr-FR"/>
                              </w:rPr>
                              <w:drawing>
                                <wp:inline distT="0" distB="0" distL="0" distR="0" wp14:anchorId="1573611B" wp14:editId="47553581">
                                  <wp:extent cx="4007099" cy="2130949"/>
                                  <wp:effectExtent l="0" t="0" r="12700" b="3175"/>
                                  <wp:docPr id="1569468702" name="Graphique 1569468702">
                                    <a:extLst xmlns:a="http://schemas.openxmlformats.org/drawingml/2006/main">
                                      <a:ext uri="{FF2B5EF4-FFF2-40B4-BE49-F238E27FC236}">
                                        <a16:creationId xmlns:a16="http://schemas.microsoft.com/office/drawing/2014/main" id="{D4319369-722B-4961-95CA-CAAC19391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A35253" w14:textId="77777777" w:rsidR="002917A4" w:rsidRDefault="002917A4" w:rsidP="002917A4">
                            <w:r>
                              <w:t xml:space="preserve"> </w:t>
                            </w:r>
                            <w:r w:rsidRPr="009A6BBC">
                              <w:rPr>
                                <w:noProof/>
                                <w:lang w:eastAsia="fr-FR"/>
                              </w:rPr>
                              <w:drawing>
                                <wp:inline distT="0" distB="0" distL="0" distR="0" wp14:anchorId="55DA3EBA" wp14:editId="30A55511">
                                  <wp:extent cx="3951798" cy="2218414"/>
                                  <wp:effectExtent l="0" t="0" r="0" b="0"/>
                                  <wp:docPr id="186728246" name="Graphique 186728246">
                                    <a:extLst xmlns:a="http://schemas.openxmlformats.org/drawingml/2006/main">
                                      <a:ext uri="{FF2B5EF4-FFF2-40B4-BE49-F238E27FC236}">
                                        <a16:creationId xmlns:a16="http://schemas.microsoft.com/office/drawing/2014/main" id="{E3ED9F5A-E4A1-42E9-8641-49369C3F7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r w:rsidRPr="009A6BBC">
                              <w:rPr>
                                <w:noProof/>
                                <w:lang w:eastAsia="fr-FR"/>
                              </w:rPr>
                              <w:drawing>
                                <wp:inline distT="0" distB="0" distL="0" distR="0" wp14:anchorId="51BD2B71" wp14:editId="613865B7">
                                  <wp:extent cx="4023222" cy="2289976"/>
                                  <wp:effectExtent l="0" t="0" r="0" b="0"/>
                                  <wp:docPr id="2065528751" name="Graphique 2065528751">
                                    <a:extLst xmlns:a="http://schemas.openxmlformats.org/drawingml/2006/main">
                                      <a:ext uri="{FF2B5EF4-FFF2-40B4-BE49-F238E27FC236}">
                                        <a16:creationId xmlns:a16="http://schemas.microsoft.com/office/drawing/2014/main" id="{AE97D339-7148-4DE3-844D-6693B0804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48F3740F" id="Zone de texte 10" o:spid="_x0000_s1027" type="#_x0000_t202" style="width:696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" fillcolor="white [3201]" strokecolor="black [3213]" strokeweight="1pt">
                <v:textbox>
                  <w:txbxContent>
                    <w:p w14:paraId="5311B03F" w14:textId="77777777" w:rsidR="002917A4" w:rsidRDefault="002917A4" w:rsidP="002917A4">
                      <w:pPr>
                        <w:rPr>
                          <w:noProof/>
                          <w:lang w:eastAsia="fr-FR"/>
                        </w:rPr>
                      </w:pPr>
                      <w:r w:rsidRPr="009A6BBC">
                        <w:rPr>
                          <w:noProof/>
                          <w:lang w:eastAsia="fr-FR"/>
                        </w:rPr>
                        <w:drawing>
                          <wp:inline distT="0" distB="0" distL="0" distR="0" wp14:anchorId="5C9A3A81" wp14:editId="7CA9DC1F">
                            <wp:extent cx="4086970" cy="2218414"/>
                            <wp:effectExtent l="0" t="0" r="8890" b="10795"/>
                            <wp:docPr id="1750667983" name="Graphique 1750667983">
                              <a:extLst xmlns:a="http://schemas.openxmlformats.org/drawingml/2006/main">
                                <a:ext uri="{FF2B5EF4-FFF2-40B4-BE49-F238E27FC236}">
                                  <a16:creationId xmlns:a16="http://schemas.microsoft.com/office/drawing/2014/main" id="{57C6A3CE-F2C1-4AF3-B8C9-81528C1B5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fr-FR"/>
                        </w:rPr>
                        <w:t xml:space="preserve">              </w:t>
                      </w:r>
                      <w:r w:rsidRPr="009A6BBC">
                        <w:rPr>
                          <w:noProof/>
                          <w:lang w:eastAsia="fr-FR"/>
                        </w:rPr>
                        <w:drawing>
                          <wp:inline distT="0" distB="0" distL="0" distR="0" wp14:anchorId="1573611B" wp14:editId="47553581">
                            <wp:extent cx="4007099" cy="2130949"/>
                            <wp:effectExtent l="0" t="0" r="12700" b="3175"/>
                            <wp:docPr id="1569468702" name="Graphique 1569468702">
                              <a:extLst xmlns:a="http://schemas.openxmlformats.org/drawingml/2006/main">
                                <a:ext uri="{FF2B5EF4-FFF2-40B4-BE49-F238E27FC236}">
                                  <a16:creationId xmlns:a16="http://schemas.microsoft.com/office/drawing/2014/main" id="{D4319369-722B-4961-95CA-CAAC19391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A35253" w14:textId="77777777" w:rsidR="002917A4" w:rsidRDefault="002917A4" w:rsidP="002917A4">
                      <w:r>
                        <w:t xml:space="preserve"> </w:t>
                      </w:r>
                      <w:r w:rsidRPr="009A6BBC">
                        <w:rPr>
                          <w:noProof/>
                          <w:lang w:eastAsia="fr-FR"/>
                        </w:rPr>
                        <w:drawing>
                          <wp:inline distT="0" distB="0" distL="0" distR="0" wp14:anchorId="55DA3EBA" wp14:editId="30A55511">
                            <wp:extent cx="3951798" cy="2218414"/>
                            <wp:effectExtent l="0" t="0" r="0" b="0"/>
                            <wp:docPr id="186728246" name="Graphique 186728246">
                              <a:extLst xmlns:a="http://schemas.openxmlformats.org/drawingml/2006/main">
                                <a:ext uri="{FF2B5EF4-FFF2-40B4-BE49-F238E27FC236}">
                                  <a16:creationId xmlns:a16="http://schemas.microsoft.com/office/drawing/2014/main" id="{E3ED9F5A-E4A1-42E9-8641-49369C3F7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r w:rsidRPr="009A6BBC">
                        <w:rPr>
                          <w:noProof/>
                          <w:lang w:eastAsia="fr-FR"/>
                        </w:rPr>
                        <w:drawing>
                          <wp:inline distT="0" distB="0" distL="0" distR="0" wp14:anchorId="51BD2B71" wp14:editId="613865B7">
                            <wp:extent cx="4023222" cy="2289976"/>
                            <wp:effectExtent l="0" t="0" r="0" b="0"/>
                            <wp:docPr id="2065528751" name="Graphique 2065528751">
                              <a:extLst xmlns:a="http://schemas.openxmlformats.org/drawingml/2006/main">
                                <a:ext uri="{FF2B5EF4-FFF2-40B4-BE49-F238E27FC236}">
                                  <a16:creationId xmlns:a16="http://schemas.microsoft.com/office/drawing/2014/main" id="{AE97D339-7148-4DE3-844D-6693B0804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w10:anchorlock/>
              </v:shape>
            </w:pict>
          </mc:Fallback>
        </mc:AlternateContent>
      </w:r>
    </w:p>
    <w:p w14:paraId="24A13EB2" w14:textId="77777777" w:rsidR="0019456B" w:rsidRPr="00D73C18" w:rsidRDefault="0019456B" w:rsidP="00ED3175">
      <w:pPr>
        <w:jc w:val="both"/>
        <w:rPr>
          <w:rFonts w:ascii="Arial" w:hAnsi="Arial" w:cs="Arial"/>
          <w:sz w:val="20"/>
          <w:szCs w:val="20"/>
          <w:lang w:val="en-US"/>
        </w:rPr>
      </w:pPr>
    </w:p>
    <w:p w14:paraId="61684BE2" w14:textId="21CD239B" w:rsidR="0019456B" w:rsidRPr="00D73C18" w:rsidRDefault="0019456B" w:rsidP="00ED3175">
      <w:pPr>
        <w:jc w:val="both"/>
        <w:rPr>
          <w:rFonts w:ascii="Arial" w:hAnsi="Arial" w:cs="Arial"/>
          <w:sz w:val="20"/>
          <w:szCs w:val="20"/>
          <w:lang w:val="en-US"/>
        </w:rPr>
      </w:pPr>
      <w:r w:rsidRPr="00D73C18">
        <w:rPr>
          <w:rFonts w:ascii="Arial" w:hAnsi="Arial" w:cs="Arial"/>
          <w:b/>
          <w:bCs/>
          <w:sz w:val="20"/>
          <w:szCs w:val="20"/>
          <w:lang w:val="en-US"/>
        </w:rPr>
        <w:t xml:space="preserve">Figure </w:t>
      </w:r>
      <w:r w:rsidR="00F70F95">
        <w:rPr>
          <w:rFonts w:ascii="Arial" w:hAnsi="Arial" w:cs="Arial"/>
          <w:b/>
          <w:bCs/>
          <w:sz w:val="20"/>
          <w:szCs w:val="20"/>
          <w:lang w:val="en-US"/>
        </w:rPr>
        <w:t>4</w:t>
      </w:r>
      <w:r w:rsidRPr="00D73C18">
        <w:rPr>
          <w:rFonts w:ascii="Arial" w:hAnsi="Arial" w:cs="Arial"/>
          <w:b/>
          <w:bCs/>
          <w:sz w:val="20"/>
          <w:szCs w:val="20"/>
          <w:lang w:val="en-US"/>
        </w:rPr>
        <w:t>:</w:t>
      </w:r>
      <w:r w:rsidRPr="00D73C18">
        <w:rPr>
          <w:rFonts w:ascii="Arial" w:hAnsi="Arial" w:cs="Arial"/>
          <w:sz w:val="20"/>
          <w:szCs w:val="20"/>
          <w:lang w:val="en-US"/>
        </w:rPr>
        <w:t xml:space="preserve"> Concentrations of heavy metals (Hg, </w:t>
      </w:r>
      <w:proofErr w:type="spellStart"/>
      <w:r w:rsidR="001C5797" w:rsidRPr="00D73C18">
        <w:rPr>
          <w:rFonts w:ascii="Arial" w:hAnsi="Arial" w:cs="Arial"/>
          <w:sz w:val="20"/>
          <w:szCs w:val="20"/>
          <w:lang w:val="en-US"/>
        </w:rPr>
        <w:t>Ld</w:t>
      </w:r>
      <w:proofErr w:type="spellEnd"/>
      <w:r w:rsidRPr="00D73C18">
        <w:rPr>
          <w:rFonts w:ascii="Arial" w:hAnsi="Arial" w:cs="Arial"/>
          <w:sz w:val="20"/>
          <w:szCs w:val="20"/>
          <w:lang w:val="en-US"/>
        </w:rPr>
        <w:t xml:space="preserve">, Zn, and </w:t>
      </w:r>
      <w:proofErr w:type="gramStart"/>
      <w:r w:rsidRPr="00D73C18">
        <w:rPr>
          <w:rFonts w:ascii="Arial" w:hAnsi="Arial" w:cs="Arial"/>
          <w:sz w:val="20"/>
          <w:szCs w:val="20"/>
          <w:lang w:val="en-US"/>
        </w:rPr>
        <w:t>As</w:t>
      </w:r>
      <w:proofErr w:type="gramEnd"/>
      <w:r w:rsidRPr="00D73C18">
        <w:rPr>
          <w:rFonts w:ascii="Arial" w:hAnsi="Arial" w:cs="Arial"/>
          <w:sz w:val="20"/>
          <w:szCs w:val="20"/>
          <w:lang w:val="en-US"/>
        </w:rPr>
        <w:t>) in sediments compared to biological effect guideline values (TEC and PEC)</w:t>
      </w:r>
    </w:p>
    <w:p w14:paraId="3A11AF3C" w14:textId="77777777" w:rsidR="0019456B" w:rsidRPr="00D73C18" w:rsidRDefault="0019456B" w:rsidP="00ED3175">
      <w:pPr>
        <w:jc w:val="both"/>
        <w:rPr>
          <w:rFonts w:ascii="Arial" w:hAnsi="Arial" w:cs="Arial"/>
          <w:sz w:val="20"/>
          <w:szCs w:val="20"/>
          <w:lang w:val="en-US"/>
        </w:rPr>
        <w:sectPr w:rsidR="0019456B" w:rsidRPr="00D73C18" w:rsidSect="00B43D92">
          <w:pgSz w:w="15840" w:h="12240" w:orient="landscape"/>
          <w:pgMar w:top="1417" w:right="1417" w:bottom="1417" w:left="1417" w:header="720" w:footer="720" w:gutter="0"/>
          <w:cols w:space="720"/>
          <w:docGrid w:linePitch="299"/>
        </w:sectPr>
      </w:pPr>
    </w:p>
    <w:p w14:paraId="5332FFC8" w14:textId="77777777" w:rsidR="00FB5388" w:rsidRPr="00CC429D" w:rsidRDefault="00FB5388" w:rsidP="00ED3175">
      <w:pPr>
        <w:jc w:val="both"/>
        <w:rPr>
          <w:rFonts w:ascii="Arial" w:hAnsi="Arial" w:cs="Arial"/>
          <w:b/>
          <w:bCs/>
          <w:lang w:val="en-US"/>
        </w:rPr>
      </w:pPr>
      <w:r w:rsidRPr="00CC429D">
        <w:rPr>
          <w:rFonts w:ascii="Arial" w:hAnsi="Arial" w:cs="Arial"/>
          <w:b/>
          <w:bCs/>
          <w:lang w:val="en-US"/>
        </w:rPr>
        <w:lastRenderedPageBreak/>
        <w:t>3.3. Geochemical Study Findings</w:t>
      </w:r>
    </w:p>
    <w:p w14:paraId="668B727F" w14:textId="77777777" w:rsidR="00FB5388" w:rsidRPr="00D73C18" w:rsidRDefault="00FB5388" w:rsidP="00ED3175">
      <w:pPr>
        <w:jc w:val="both"/>
        <w:rPr>
          <w:rFonts w:ascii="Arial" w:hAnsi="Arial" w:cs="Arial"/>
          <w:b/>
          <w:bCs/>
          <w:sz w:val="20"/>
          <w:szCs w:val="20"/>
          <w:lang w:val="en-US"/>
        </w:rPr>
      </w:pPr>
      <w:r w:rsidRPr="00D73C18">
        <w:rPr>
          <w:rFonts w:ascii="Arial" w:hAnsi="Arial" w:cs="Arial"/>
          <w:b/>
          <w:bCs/>
          <w:sz w:val="20"/>
          <w:szCs w:val="20"/>
          <w:lang w:val="en-US"/>
        </w:rPr>
        <w:t>3.3.1. Trace Metal Concentrations</w:t>
      </w:r>
    </w:p>
    <w:p w14:paraId="0EB45FFC" w14:textId="00C13528" w:rsidR="00FB5388" w:rsidRPr="00D73C18" w:rsidRDefault="00FB5388" w:rsidP="00ED3175">
      <w:pPr>
        <w:jc w:val="both"/>
        <w:rPr>
          <w:rFonts w:ascii="Arial" w:hAnsi="Arial" w:cs="Arial"/>
          <w:sz w:val="20"/>
          <w:szCs w:val="20"/>
          <w:lang w:val="en-US"/>
        </w:rPr>
      </w:pPr>
      <w:r w:rsidRPr="00D73C18">
        <w:rPr>
          <w:rFonts w:ascii="Arial" w:hAnsi="Arial" w:cs="Arial"/>
          <w:sz w:val="20"/>
          <w:szCs w:val="20"/>
          <w:lang w:val="en-US"/>
        </w:rPr>
        <w:t>The average metal concentrations in this study, when compared with those of the upper continental crust (UCC) reported in</w:t>
      </w:r>
      <w:r w:rsidR="00B531B8" w:rsidRPr="00D73C18">
        <w:rPr>
          <w:rFonts w:ascii="Arial" w:hAnsi="Arial" w:cs="Arial"/>
          <w:sz w:val="20"/>
          <w:szCs w:val="20"/>
          <w:lang w:val="en-US"/>
        </w:rPr>
        <w:t xml:space="preserve"> </w:t>
      </w:r>
      <w:proofErr w:type="spellStart"/>
      <w:r w:rsidR="00B531B8" w:rsidRPr="00D73C18">
        <w:rPr>
          <w:rFonts w:ascii="Arial" w:hAnsi="Arial" w:cs="Arial"/>
          <w:sz w:val="20"/>
          <w:szCs w:val="20"/>
          <w:lang w:val="en-US"/>
        </w:rPr>
        <w:t>Wedepohl</w:t>
      </w:r>
      <w:proofErr w:type="spellEnd"/>
      <w:r w:rsidR="00B531B8" w:rsidRPr="00D73C18">
        <w:rPr>
          <w:rFonts w:ascii="Arial" w:hAnsi="Arial" w:cs="Arial"/>
          <w:sz w:val="20"/>
          <w:szCs w:val="20"/>
          <w:lang w:val="en-US"/>
        </w:rPr>
        <w:t xml:space="preserve"> (1995)</w:t>
      </w:r>
      <w:r w:rsidRPr="00D73C18">
        <w:rPr>
          <w:rFonts w:ascii="Arial" w:hAnsi="Arial" w:cs="Arial"/>
          <w:sz w:val="20"/>
          <w:szCs w:val="20"/>
          <w:lang w:val="en-US"/>
        </w:rPr>
        <w:t xml:space="preserve">, indicate polymetallic contamination of the sediments, characterized by elevated levels of Cu, Al, </w:t>
      </w:r>
      <w:proofErr w:type="spellStart"/>
      <w:r w:rsidR="001C5797" w:rsidRPr="00D73C18">
        <w:rPr>
          <w:rFonts w:ascii="Arial" w:hAnsi="Arial" w:cs="Arial"/>
          <w:sz w:val="20"/>
          <w:szCs w:val="20"/>
          <w:lang w:val="en-US"/>
        </w:rPr>
        <w:t>Ld</w:t>
      </w:r>
      <w:proofErr w:type="spellEnd"/>
      <w:r w:rsidRPr="00D73C18">
        <w:rPr>
          <w:rFonts w:ascii="Arial" w:hAnsi="Arial" w:cs="Arial"/>
          <w:sz w:val="20"/>
          <w:szCs w:val="20"/>
          <w:lang w:val="en-US"/>
        </w:rPr>
        <w:t xml:space="preserve">, Na, Zn, and Fe. According to </w:t>
      </w:r>
      <w:proofErr w:type="spellStart"/>
      <w:r w:rsidR="00B531B8" w:rsidRPr="00D73C18">
        <w:rPr>
          <w:rFonts w:ascii="Arial" w:hAnsi="Arial" w:cs="Arial"/>
          <w:sz w:val="20"/>
          <w:szCs w:val="20"/>
          <w:lang w:val="en-US"/>
        </w:rPr>
        <w:t>Keum</w:t>
      </w:r>
      <w:r w:rsidR="00642623" w:rsidRPr="00D73C18">
        <w:rPr>
          <w:rFonts w:ascii="Arial" w:hAnsi="Arial" w:cs="Arial"/>
          <w:sz w:val="20"/>
          <w:szCs w:val="20"/>
          <w:lang w:val="en-US"/>
        </w:rPr>
        <w:t>e</w:t>
      </w:r>
      <w:r w:rsidR="00B531B8" w:rsidRPr="00D73C18">
        <w:rPr>
          <w:rFonts w:ascii="Arial" w:hAnsi="Arial" w:cs="Arial"/>
          <w:sz w:val="20"/>
          <w:szCs w:val="20"/>
          <w:lang w:val="en-US"/>
        </w:rPr>
        <w:t>an</w:t>
      </w:r>
      <w:proofErr w:type="spellEnd"/>
      <w:r w:rsidR="00B531B8" w:rsidRPr="00D73C18">
        <w:rPr>
          <w:rFonts w:ascii="Arial" w:hAnsi="Arial" w:cs="Arial"/>
          <w:sz w:val="20"/>
          <w:szCs w:val="20"/>
          <w:lang w:val="en-US"/>
        </w:rPr>
        <w:t xml:space="preserve"> (2013)</w:t>
      </w:r>
      <w:r w:rsidRPr="00D73C18">
        <w:rPr>
          <w:rFonts w:ascii="Arial" w:hAnsi="Arial" w:cs="Arial"/>
          <w:sz w:val="20"/>
          <w:szCs w:val="20"/>
          <w:lang w:val="en-US"/>
        </w:rPr>
        <w:t xml:space="preserve">, the abnormal concentrations of these metals could be attributed to the pollutant load contributed by various discharges from agricultural, domestic, and artisanal activities. Added to this is the load from numerous industrial and domestic effluents. These metals therefore pose a danger to water, living organisms, and human health. The metal concentrations obtained in the sediments of this study were compared with those obtained </w:t>
      </w:r>
      <w:r w:rsidR="00CF6ED2" w:rsidRPr="00D73C18">
        <w:rPr>
          <w:rFonts w:ascii="Arial" w:hAnsi="Arial" w:cs="Arial"/>
          <w:sz w:val="20"/>
          <w:szCs w:val="20"/>
          <w:lang w:val="en-US"/>
        </w:rPr>
        <w:t xml:space="preserve">by </w:t>
      </w:r>
      <w:proofErr w:type="spellStart"/>
      <w:r w:rsidR="00CF6ED2" w:rsidRPr="00D73C18">
        <w:rPr>
          <w:rFonts w:ascii="Arial" w:hAnsi="Arial" w:cs="Arial"/>
          <w:sz w:val="20"/>
          <w:szCs w:val="20"/>
          <w:lang w:val="en-US"/>
        </w:rPr>
        <w:t>Chouti</w:t>
      </w:r>
      <w:proofErr w:type="spellEnd"/>
      <w:r w:rsidR="00CF6ED2" w:rsidRPr="00D73C18">
        <w:rPr>
          <w:rFonts w:ascii="Arial" w:hAnsi="Arial" w:cs="Arial"/>
          <w:sz w:val="20"/>
          <w:szCs w:val="20"/>
          <w:lang w:val="en-US"/>
        </w:rPr>
        <w:t xml:space="preserve"> &amp; al (2011)</w:t>
      </w:r>
      <w:r w:rsidRPr="00D73C18">
        <w:rPr>
          <w:rFonts w:ascii="Arial" w:hAnsi="Arial" w:cs="Arial"/>
          <w:sz w:val="20"/>
          <w:szCs w:val="20"/>
          <w:lang w:val="en-US"/>
        </w:rPr>
        <w:t xml:space="preserve"> in the sediments of the Porto-Novo lagoon, in southern Benin. The iron and lead concentrations in this study are high compared to those in the Porto-Novo lagoon (Fe: 328–555 mg/kg; Pb: 3.52–60.62 mg/kg). Furthermore, the concentrations of Cd, Hg, and </w:t>
      </w:r>
      <w:proofErr w:type="gramStart"/>
      <w:r w:rsidRPr="00D73C18">
        <w:rPr>
          <w:rFonts w:ascii="Arial" w:hAnsi="Arial" w:cs="Arial"/>
          <w:sz w:val="20"/>
          <w:szCs w:val="20"/>
          <w:lang w:val="en-US"/>
        </w:rPr>
        <w:t>As</w:t>
      </w:r>
      <w:proofErr w:type="gramEnd"/>
      <w:r w:rsidRPr="00D73C18">
        <w:rPr>
          <w:rFonts w:ascii="Arial" w:hAnsi="Arial" w:cs="Arial"/>
          <w:sz w:val="20"/>
          <w:szCs w:val="20"/>
          <w:lang w:val="en-US"/>
        </w:rPr>
        <w:t xml:space="preserve"> in the port area are lower than those in the Porto-Novo lagoon (Cd: 5.39–7.33 mg/kg; Hg: 0.90–2.73 mg/kg; As: 0.20–0.40 mg/kg). The results of the metal concentrations were also compared with those obtained in the same study area by </w:t>
      </w:r>
      <w:r w:rsidR="00CF6ED2" w:rsidRPr="00D73C18">
        <w:rPr>
          <w:rFonts w:ascii="Arial" w:hAnsi="Arial" w:cs="Arial"/>
          <w:sz w:val="20"/>
          <w:szCs w:val="20"/>
          <w:lang w:val="en-US"/>
        </w:rPr>
        <w:t xml:space="preserve">Traoré (2016) </w:t>
      </w:r>
      <w:r w:rsidRPr="00D73C18">
        <w:rPr>
          <w:rFonts w:ascii="Arial" w:hAnsi="Arial" w:cs="Arial"/>
          <w:sz w:val="20"/>
          <w:szCs w:val="20"/>
          <w:lang w:val="en-US"/>
        </w:rPr>
        <w:t>and those of</w:t>
      </w:r>
      <w:r w:rsidR="00CF6ED2" w:rsidRPr="00D73C18">
        <w:rPr>
          <w:rFonts w:ascii="Arial" w:hAnsi="Arial" w:cs="Arial"/>
          <w:sz w:val="20"/>
          <w:szCs w:val="20"/>
          <w:lang w:val="en-US"/>
        </w:rPr>
        <w:t xml:space="preserve"> Soro &amp; al (2009)</w:t>
      </w:r>
      <w:r w:rsidRPr="00D73C18">
        <w:rPr>
          <w:rFonts w:ascii="Arial" w:hAnsi="Arial" w:cs="Arial"/>
          <w:sz w:val="20"/>
          <w:szCs w:val="20"/>
          <w:lang w:val="en-US"/>
        </w:rPr>
        <w:t xml:space="preserve"> in the sediments of the </w:t>
      </w:r>
      <w:proofErr w:type="spellStart"/>
      <w:r w:rsidRPr="00D73C18">
        <w:rPr>
          <w:rFonts w:ascii="Arial" w:hAnsi="Arial" w:cs="Arial"/>
          <w:sz w:val="20"/>
          <w:szCs w:val="20"/>
          <w:lang w:val="en-US"/>
        </w:rPr>
        <w:t>Ebri</w:t>
      </w:r>
      <w:r w:rsidR="00CF6ED2" w:rsidRPr="00D73C18">
        <w:rPr>
          <w:rFonts w:ascii="Arial" w:hAnsi="Arial" w:cs="Arial"/>
          <w:sz w:val="20"/>
          <w:szCs w:val="20"/>
          <w:lang w:val="en-US"/>
        </w:rPr>
        <w:t>e</w:t>
      </w:r>
      <w:proofErr w:type="spellEnd"/>
      <w:r w:rsidRPr="00D73C18">
        <w:rPr>
          <w:rFonts w:ascii="Arial" w:hAnsi="Arial" w:cs="Arial"/>
          <w:sz w:val="20"/>
          <w:szCs w:val="20"/>
          <w:lang w:val="en-US"/>
        </w:rPr>
        <w:t xml:space="preserve"> Lagoon (Ivory Coast). </w:t>
      </w:r>
    </w:p>
    <w:p w14:paraId="7819F8C9" w14:textId="3BA4DE6D" w:rsidR="006156B6" w:rsidRPr="00D73C18" w:rsidRDefault="006156B6" w:rsidP="00ED3175">
      <w:pPr>
        <w:jc w:val="both"/>
        <w:rPr>
          <w:rFonts w:ascii="Arial" w:hAnsi="Arial" w:cs="Arial"/>
          <w:sz w:val="20"/>
          <w:szCs w:val="20"/>
          <w:lang w:val="en-US"/>
        </w:rPr>
      </w:pPr>
      <w:r w:rsidRPr="00D73C18">
        <w:rPr>
          <w:rFonts w:ascii="Arial" w:hAnsi="Arial" w:cs="Arial"/>
          <w:sz w:val="20"/>
          <w:szCs w:val="20"/>
          <w:lang w:val="en-US"/>
        </w:rPr>
        <w:t xml:space="preserve">It is noted that the concentrations of heavy metals in this study differ from those found by </w:t>
      </w:r>
      <w:r w:rsidR="00CF6ED2" w:rsidRPr="00D73C18">
        <w:rPr>
          <w:rFonts w:ascii="Arial" w:hAnsi="Arial" w:cs="Arial"/>
          <w:sz w:val="20"/>
          <w:szCs w:val="20"/>
          <w:lang w:val="en-US"/>
        </w:rPr>
        <w:t xml:space="preserve">Traoré (2016) </w:t>
      </w:r>
      <w:r w:rsidRPr="00D73C18">
        <w:rPr>
          <w:rFonts w:ascii="Arial" w:hAnsi="Arial" w:cs="Arial"/>
          <w:sz w:val="20"/>
          <w:szCs w:val="20"/>
          <w:lang w:val="en-US"/>
        </w:rPr>
        <w:t xml:space="preserve">in the same area (Fe: 27,267.47–75,661.72 mg/kg; Cd: 0.03–0.13 mg/kg; </w:t>
      </w:r>
      <w:proofErr w:type="spellStart"/>
      <w:r w:rsidR="001C5797" w:rsidRPr="00D73C18">
        <w:rPr>
          <w:rFonts w:ascii="Arial" w:hAnsi="Arial" w:cs="Arial"/>
          <w:sz w:val="20"/>
          <w:szCs w:val="20"/>
          <w:lang w:val="en-US"/>
        </w:rPr>
        <w:t>Ld</w:t>
      </w:r>
      <w:proofErr w:type="spellEnd"/>
      <w:r w:rsidRPr="00D73C18">
        <w:rPr>
          <w:rFonts w:ascii="Arial" w:hAnsi="Arial" w:cs="Arial"/>
          <w:sz w:val="20"/>
          <w:szCs w:val="20"/>
          <w:lang w:val="en-US"/>
        </w:rPr>
        <w:t xml:space="preserve">: 2.03–3.31 mg/kg; Zn: 0.05–0.11 mg/kg; Cu: 43.20–149.25 mg/kg). And from those obtained by </w:t>
      </w:r>
      <w:r w:rsidR="00CF6ED2" w:rsidRPr="00D73C18">
        <w:rPr>
          <w:rFonts w:ascii="Arial" w:hAnsi="Arial" w:cs="Arial"/>
          <w:sz w:val="20"/>
          <w:szCs w:val="20"/>
          <w:lang w:val="en-US"/>
        </w:rPr>
        <w:t xml:space="preserve">Soro &amp; al (2009) </w:t>
      </w:r>
      <w:r w:rsidRPr="00D73C18">
        <w:rPr>
          <w:rFonts w:ascii="Arial" w:hAnsi="Arial" w:cs="Arial"/>
          <w:sz w:val="20"/>
          <w:szCs w:val="20"/>
          <w:lang w:val="en-US"/>
        </w:rPr>
        <w:t xml:space="preserve">(Zn: 21.6–1,081.7 mg/kg; Cu: 4.8–217.4 mg/kg) in the same area. </w:t>
      </w:r>
    </w:p>
    <w:p w14:paraId="0F57CA01" w14:textId="77777777" w:rsidR="00142417" w:rsidRPr="00D73C18" w:rsidRDefault="00142417" w:rsidP="00ED3175">
      <w:pPr>
        <w:jc w:val="both"/>
        <w:rPr>
          <w:rFonts w:ascii="Arial" w:hAnsi="Arial" w:cs="Arial"/>
          <w:b/>
          <w:bCs/>
          <w:sz w:val="20"/>
          <w:szCs w:val="20"/>
          <w:lang w:val="en-US"/>
        </w:rPr>
      </w:pPr>
      <w:r w:rsidRPr="00D73C18">
        <w:rPr>
          <w:rFonts w:ascii="Arial" w:hAnsi="Arial" w:cs="Arial"/>
          <w:b/>
          <w:bCs/>
          <w:sz w:val="20"/>
          <w:szCs w:val="20"/>
          <w:lang w:val="en-US"/>
        </w:rPr>
        <w:t xml:space="preserve">3.3.2. Enrichment Factor </w:t>
      </w:r>
    </w:p>
    <w:p w14:paraId="4B40E27F" w14:textId="77777777" w:rsidR="008014B9" w:rsidRPr="00D73C18" w:rsidRDefault="00142417" w:rsidP="00ED3175">
      <w:pPr>
        <w:jc w:val="both"/>
        <w:rPr>
          <w:rFonts w:ascii="Arial" w:hAnsi="Arial" w:cs="Arial"/>
          <w:sz w:val="20"/>
          <w:szCs w:val="20"/>
          <w:lang w:val="en-US"/>
        </w:rPr>
      </w:pPr>
      <w:r w:rsidRPr="00D73C18">
        <w:rPr>
          <w:rFonts w:ascii="Arial" w:hAnsi="Arial" w:cs="Arial"/>
          <w:sz w:val="20"/>
          <w:szCs w:val="20"/>
          <w:lang w:val="en-US"/>
        </w:rPr>
        <w:t xml:space="preserve">An analysis of the enrichment of trace elements, using the method proposed by Sutherland </w:t>
      </w:r>
      <w:r w:rsidR="00CF6ED2" w:rsidRPr="00D73C18">
        <w:rPr>
          <w:rFonts w:ascii="Arial" w:hAnsi="Arial" w:cs="Arial"/>
          <w:sz w:val="20"/>
          <w:szCs w:val="20"/>
          <w:lang w:val="en-US"/>
        </w:rPr>
        <w:t>(2000)</w:t>
      </w:r>
      <w:r w:rsidRPr="00D73C18">
        <w:rPr>
          <w:rFonts w:ascii="Arial" w:hAnsi="Arial" w:cs="Arial"/>
          <w:sz w:val="20"/>
          <w:szCs w:val="20"/>
          <w:lang w:val="en-US"/>
        </w:rPr>
        <w:t xml:space="preserve">, shows that most of the metals studied exhibit a range from zero enrichment to low enrichment (EF &lt; 2), with the exception of sodium, lead, zinc, phosphorus, and copper. The enrichment factors for these metals range from 2 to 5 for sodium, from 5 to 20 (lead and copper), and from 20 to 40 for copper and phosphorus, corresponding to moderate, significant, and very high enrichment, respectively. The findings of </w:t>
      </w:r>
      <w:proofErr w:type="spellStart"/>
      <w:r w:rsidR="00CF6ED2" w:rsidRPr="00D73C18">
        <w:rPr>
          <w:rFonts w:ascii="Arial" w:hAnsi="Arial" w:cs="Arial"/>
          <w:sz w:val="20"/>
          <w:szCs w:val="20"/>
          <w:lang w:val="en-US"/>
        </w:rPr>
        <w:t>Irié</w:t>
      </w:r>
      <w:proofErr w:type="spellEnd"/>
      <w:r w:rsidR="00CF6ED2" w:rsidRPr="00D73C18">
        <w:rPr>
          <w:rFonts w:ascii="Arial" w:hAnsi="Arial" w:cs="Arial"/>
          <w:sz w:val="20"/>
          <w:szCs w:val="20"/>
          <w:lang w:val="en-US"/>
        </w:rPr>
        <w:t xml:space="preserve"> &amp; al (2019)</w:t>
      </w:r>
      <w:r w:rsidRPr="00D73C18">
        <w:rPr>
          <w:rFonts w:ascii="Arial" w:hAnsi="Arial" w:cs="Arial"/>
          <w:sz w:val="20"/>
          <w:szCs w:val="20"/>
          <w:lang w:val="en-US"/>
        </w:rPr>
        <w:t xml:space="preserve">, which confirm this, are very close to the results for copper and lead obtained in this study.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values are 2.78 for Zn, 2.21 for copper, and 0.28 for lead. In contrast,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indices for ETMs (arsenic, cadmium, and mercury) are negative. According to</w:t>
      </w:r>
      <w:r w:rsidR="00CF6ED2" w:rsidRPr="00D73C18">
        <w:rPr>
          <w:rFonts w:ascii="Arial" w:hAnsi="Arial" w:cs="Arial"/>
          <w:sz w:val="20"/>
          <w:szCs w:val="20"/>
          <w:lang w:val="en-US"/>
        </w:rPr>
        <w:t xml:space="preserve"> Müller (1969)</w:t>
      </w:r>
      <w:r w:rsidRPr="00D73C18">
        <w:rPr>
          <w:rFonts w:ascii="Arial" w:hAnsi="Arial" w:cs="Arial"/>
          <w:sz w:val="20"/>
          <w:szCs w:val="20"/>
          <w:lang w:val="en-US"/>
        </w:rPr>
        <w:t xml:space="preserve">, when a metal’s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is negative, it does not cause any pollution; conversely, an index between 0 and 1, such as that of lead, indicates a range from no pollution to moderate pollution of that metal. When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is between 2 and 3, as with copper and zinc, the environment is moderately to heavily polluted. Finally, when the Ig</w:t>
      </w:r>
      <w:r w:rsidR="009048D0" w:rsidRPr="00D73C18">
        <w:rPr>
          <w:rFonts w:ascii="Arial" w:hAnsi="Arial" w:cs="Arial"/>
          <w:sz w:val="20"/>
          <w:szCs w:val="20"/>
          <w:lang w:val="en-US"/>
        </w:rPr>
        <w:t>e</w:t>
      </w:r>
    </w:p>
    <w:p w14:paraId="35ED48F4" w14:textId="35B7122C" w:rsidR="00142417" w:rsidRPr="00D73C18" w:rsidRDefault="00142417" w:rsidP="00ED3175">
      <w:pPr>
        <w:jc w:val="both"/>
        <w:rPr>
          <w:rFonts w:ascii="Arial" w:hAnsi="Arial" w:cs="Arial"/>
          <w:sz w:val="20"/>
          <w:szCs w:val="20"/>
          <w:lang w:val="en-US"/>
        </w:rPr>
      </w:pPr>
      <w:r w:rsidRPr="00D73C18">
        <w:rPr>
          <w:rFonts w:ascii="Arial" w:hAnsi="Arial" w:cs="Arial"/>
          <w:sz w:val="20"/>
          <w:szCs w:val="20"/>
          <w:lang w:val="en-US"/>
        </w:rPr>
        <w:t xml:space="preserve">o is greater than 5—as with P, Al, Fe, K, and Mg—the sediments are extremely polluted. </w:t>
      </w:r>
    </w:p>
    <w:p w14:paraId="19B5AC28" w14:textId="358EDD5E" w:rsidR="00663B58" w:rsidRPr="00D73C18" w:rsidRDefault="00663B58" w:rsidP="00ED3175">
      <w:pPr>
        <w:jc w:val="both"/>
        <w:rPr>
          <w:rFonts w:ascii="Arial" w:hAnsi="Arial" w:cs="Arial"/>
          <w:sz w:val="20"/>
          <w:szCs w:val="20"/>
          <w:lang w:val="en-US"/>
        </w:rPr>
      </w:pPr>
      <w:r w:rsidRPr="00D73C18">
        <w:rPr>
          <w:rFonts w:ascii="Arial" w:hAnsi="Arial" w:cs="Arial"/>
          <w:sz w:val="20"/>
          <w:szCs w:val="20"/>
          <w:lang w:val="en-US"/>
        </w:rPr>
        <w:t>The Cu and Zn indices obtained in this study are virtually identical to those previously reported by</w:t>
      </w:r>
      <w:r w:rsidR="00CF6ED2" w:rsidRPr="00D73C18">
        <w:rPr>
          <w:rFonts w:ascii="Arial" w:hAnsi="Arial" w:cs="Arial"/>
          <w:sz w:val="20"/>
          <w:szCs w:val="20"/>
          <w:lang w:val="en-US"/>
        </w:rPr>
        <w:t xml:space="preserve"> </w:t>
      </w:r>
      <w:proofErr w:type="spellStart"/>
      <w:r w:rsidR="00CF6ED2" w:rsidRPr="00D73C18">
        <w:rPr>
          <w:rFonts w:ascii="Arial" w:hAnsi="Arial" w:cs="Arial"/>
          <w:sz w:val="20"/>
          <w:szCs w:val="20"/>
          <w:lang w:val="en-US"/>
        </w:rPr>
        <w:t>Irié</w:t>
      </w:r>
      <w:proofErr w:type="spellEnd"/>
      <w:r w:rsidR="00CF6ED2" w:rsidRPr="00D73C18">
        <w:rPr>
          <w:rFonts w:ascii="Arial" w:hAnsi="Arial" w:cs="Arial"/>
          <w:sz w:val="20"/>
          <w:szCs w:val="20"/>
          <w:lang w:val="en-US"/>
        </w:rPr>
        <w:t xml:space="preserve"> (2017)</w:t>
      </w:r>
      <w:r w:rsidRPr="00D73C18">
        <w:rPr>
          <w:rFonts w:ascii="Arial" w:hAnsi="Arial" w:cs="Arial"/>
          <w:sz w:val="20"/>
          <w:szCs w:val="20"/>
          <w:lang w:val="en-US"/>
        </w:rPr>
        <w:t xml:space="preserve">. </w:t>
      </w:r>
      <w:proofErr w:type="spellStart"/>
      <w:r w:rsidR="00CF6ED2" w:rsidRPr="00D73C18">
        <w:rPr>
          <w:rFonts w:ascii="Arial" w:hAnsi="Arial" w:cs="Arial"/>
          <w:sz w:val="20"/>
          <w:szCs w:val="20"/>
          <w:lang w:val="en-US"/>
        </w:rPr>
        <w:t>Irié</w:t>
      </w:r>
      <w:proofErr w:type="spellEnd"/>
      <w:r w:rsidR="00CF6ED2" w:rsidRPr="00D73C18">
        <w:rPr>
          <w:rFonts w:ascii="Arial" w:hAnsi="Arial" w:cs="Arial"/>
          <w:sz w:val="20"/>
          <w:szCs w:val="20"/>
          <w:lang w:val="en-US"/>
        </w:rPr>
        <w:t xml:space="preserve"> &amp; al (2019) </w:t>
      </w:r>
      <w:r w:rsidRPr="00D73C18">
        <w:rPr>
          <w:rFonts w:ascii="Arial" w:hAnsi="Arial" w:cs="Arial"/>
          <w:sz w:val="20"/>
          <w:szCs w:val="20"/>
          <w:lang w:val="en-US"/>
        </w:rPr>
        <w:t xml:space="preserve">demonstrated that zinc, cadmium, copper, and lead are the most significant pollutants in the sediments of the </w:t>
      </w:r>
      <w:proofErr w:type="spellStart"/>
      <w:r w:rsidRPr="00D73C18">
        <w:rPr>
          <w:rFonts w:ascii="Arial" w:hAnsi="Arial" w:cs="Arial"/>
          <w:sz w:val="20"/>
          <w:szCs w:val="20"/>
          <w:lang w:val="en-US"/>
        </w:rPr>
        <w:t>Ebri</w:t>
      </w:r>
      <w:r w:rsidR="00F04982" w:rsidRPr="00D73C18">
        <w:rPr>
          <w:rFonts w:ascii="Arial" w:hAnsi="Arial" w:cs="Arial"/>
          <w:sz w:val="20"/>
          <w:szCs w:val="20"/>
          <w:lang w:val="en-US"/>
        </w:rPr>
        <w:t>e</w:t>
      </w:r>
      <w:proofErr w:type="spellEnd"/>
      <w:r w:rsidRPr="00D73C18">
        <w:rPr>
          <w:rFonts w:ascii="Arial" w:hAnsi="Arial" w:cs="Arial"/>
          <w:sz w:val="20"/>
          <w:szCs w:val="20"/>
          <w:lang w:val="en-US"/>
        </w:rPr>
        <w:t xml:space="preserve"> Lagoon. This situation can occasionally be harmful to benthic organisms. However, unlike our findings, the results previously reported by </w:t>
      </w:r>
      <w:r w:rsidR="00CF6ED2" w:rsidRPr="00D73C18">
        <w:rPr>
          <w:rFonts w:ascii="Arial" w:hAnsi="Arial" w:cs="Arial"/>
          <w:sz w:val="20"/>
          <w:szCs w:val="20"/>
          <w:lang w:val="en-US"/>
        </w:rPr>
        <w:t>Traore (2016)</w:t>
      </w:r>
      <w:r w:rsidRPr="00D73C18">
        <w:rPr>
          <w:rFonts w:ascii="Arial" w:hAnsi="Arial" w:cs="Arial"/>
          <w:sz w:val="20"/>
          <w:szCs w:val="20"/>
          <w:lang w:val="en-US"/>
        </w:rPr>
        <w:t xml:space="preserve"> indicate zero enrichment for zinc (FE (Zn): 0) and moderate enrichment for copper (FE (Cu): 4.3), which is consistent with our results. The study by </w:t>
      </w:r>
      <w:r w:rsidR="000D667D" w:rsidRPr="00D73C18">
        <w:rPr>
          <w:rFonts w:ascii="Arial" w:hAnsi="Arial" w:cs="Arial"/>
          <w:sz w:val="20"/>
          <w:szCs w:val="20"/>
          <w:lang w:val="en-US"/>
        </w:rPr>
        <w:t>Oumar &amp;al 2014</w:t>
      </w:r>
      <w:r w:rsidRPr="00D73C18">
        <w:rPr>
          <w:rFonts w:ascii="Arial" w:hAnsi="Arial" w:cs="Arial"/>
          <w:sz w:val="20"/>
          <w:szCs w:val="20"/>
          <w:lang w:val="en-US"/>
        </w:rPr>
        <w:t xml:space="preserve">, conducted on sediments from Lakes Bini and Dang in the </w:t>
      </w:r>
      <w:proofErr w:type="spellStart"/>
      <w:r w:rsidRPr="00D73C18">
        <w:rPr>
          <w:rFonts w:ascii="Arial" w:hAnsi="Arial" w:cs="Arial"/>
          <w:sz w:val="20"/>
          <w:szCs w:val="20"/>
          <w:lang w:val="en-US"/>
        </w:rPr>
        <w:t>Adamaoua</w:t>
      </w:r>
      <w:proofErr w:type="spellEnd"/>
      <w:r w:rsidRPr="00D73C18">
        <w:rPr>
          <w:rFonts w:ascii="Arial" w:hAnsi="Arial" w:cs="Arial"/>
          <w:sz w:val="20"/>
          <w:szCs w:val="20"/>
          <w:lang w:val="en-US"/>
        </w:rPr>
        <w:t xml:space="preserve"> region (Cameroon), indicates excessively high enrichment values for Cd and Pb compared to those in this study. </w:t>
      </w:r>
    </w:p>
    <w:p w14:paraId="348A1CD4" w14:textId="1D36881D" w:rsidR="004D1B68" w:rsidRPr="00D73C18" w:rsidRDefault="004D1B68" w:rsidP="00ED3175">
      <w:pPr>
        <w:jc w:val="both"/>
        <w:rPr>
          <w:rFonts w:ascii="Arial" w:hAnsi="Arial" w:cs="Arial"/>
          <w:sz w:val="20"/>
          <w:szCs w:val="20"/>
          <w:lang w:val="en-US"/>
        </w:rPr>
      </w:pPr>
      <w:r w:rsidRPr="00D73C18">
        <w:rPr>
          <w:rFonts w:ascii="Arial" w:hAnsi="Arial" w:cs="Arial"/>
          <w:sz w:val="20"/>
          <w:szCs w:val="20"/>
          <w:lang w:val="en-US"/>
        </w:rPr>
        <w:t xml:space="preserve">Regarding the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it should be noted that the Fe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is higher than that estimated by </w:t>
      </w:r>
      <w:r w:rsidR="000D667D" w:rsidRPr="00D73C18">
        <w:rPr>
          <w:rFonts w:ascii="Arial" w:hAnsi="Arial" w:cs="Arial"/>
          <w:sz w:val="20"/>
          <w:szCs w:val="20"/>
          <w:lang w:val="en-US"/>
        </w:rPr>
        <w:t>Traoré (2016)</w:t>
      </w:r>
      <w:r w:rsidRPr="00D73C18">
        <w:rPr>
          <w:rFonts w:ascii="Arial" w:hAnsi="Arial" w:cs="Arial"/>
          <w:sz w:val="20"/>
          <w:szCs w:val="20"/>
          <w:lang w:val="en-US"/>
        </w:rPr>
        <w:t xml:space="preserve">, which suggests the absence of iron pollution or moderate iron pollution. This is also the case for the Cu and Zn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indices. The Cu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found by this author is 1.7, and the Zn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index is -10. However, the </w:t>
      </w:r>
      <w:proofErr w:type="spellStart"/>
      <w:r w:rsidRPr="00D73C18">
        <w:rPr>
          <w:rFonts w:ascii="Arial" w:hAnsi="Arial" w:cs="Arial"/>
          <w:sz w:val="20"/>
          <w:szCs w:val="20"/>
          <w:lang w:val="en-US"/>
        </w:rPr>
        <w:t>Ig</w:t>
      </w:r>
      <w:r w:rsidR="00B531B8" w:rsidRPr="00D73C18">
        <w:rPr>
          <w:rFonts w:ascii="Arial" w:hAnsi="Arial" w:cs="Arial"/>
          <w:sz w:val="20"/>
          <w:szCs w:val="20"/>
          <w:lang w:val="en-US"/>
        </w:rPr>
        <w:t>e</w:t>
      </w:r>
      <w:r w:rsidRPr="00D73C18">
        <w:rPr>
          <w:rFonts w:ascii="Arial" w:hAnsi="Arial" w:cs="Arial"/>
          <w:sz w:val="20"/>
          <w:szCs w:val="20"/>
          <w:lang w:val="en-US"/>
        </w:rPr>
        <w:t>o</w:t>
      </w:r>
      <w:proofErr w:type="spellEnd"/>
      <w:r w:rsidRPr="00D73C18">
        <w:rPr>
          <w:rFonts w:ascii="Arial" w:hAnsi="Arial" w:cs="Arial"/>
          <w:sz w:val="20"/>
          <w:szCs w:val="20"/>
          <w:lang w:val="en-US"/>
        </w:rPr>
        <w:t xml:space="preserve"> values found for Cd and </w:t>
      </w:r>
      <w:proofErr w:type="spellStart"/>
      <w:r w:rsidR="00F04982" w:rsidRPr="00D73C18">
        <w:rPr>
          <w:rFonts w:ascii="Arial" w:hAnsi="Arial" w:cs="Arial"/>
          <w:sz w:val="20"/>
          <w:szCs w:val="20"/>
          <w:lang w:val="en-US"/>
        </w:rPr>
        <w:t>Ld</w:t>
      </w:r>
      <w:proofErr w:type="spellEnd"/>
      <w:r w:rsidRPr="00D73C18">
        <w:rPr>
          <w:rFonts w:ascii="Arial" w:hAnsi="Arial" w:cs="Arial"/>
          <w:sz w:val="20"/>
          <w:szCs w:val="20"/>
          <w:lang w:val="en-US"/>
        </w:rPr>
        <w:t xml:space="preserve">, which are -1.4 and -3.3, respectively, confirm that the sediments are not affected by these two metals. These results are consistent with the fact that the </w:t>
      </w:r>
      <w:proofErr w:type="spellStart"/>
      <w:r w:rsidRPr="00D73C18">
        <w:rPr>
          <w:rFonts w:ascii="Arial" w:hAnsi="Arial" w:cs="Arial"/>
          <w:sz w:val="20"/>
          <w:szCs w:val="20"/>
          <w:lang w:val="en-US"/>
        </w:rPr>
        <w:t>Ebri</w:t>
      </w:r>
      <w:r w:rsidR="00F04982" w:rsidRPr="00D73C18">
        <w:rPr>
          <w:rFonts w:ascii="Arial" w:hAnsi="Arial" w:cs="Arial"/>
          <w:sz w:val="20"/>
          <w:szCs w:val="20"/>
          <w:lang w:val="en-US"/>
        </w:rPr>
        <w:t>e</w:t>
      </w:r>
      <w:proofErr w:type="spellEnd"/>
      <w:r w:rsidRPr="00D73C18">
        <w:rPr>
          <w:rFonts w:ascii="Arial" w:hAnsi="Arial" w:cs="Arial"/>
          <w:sz w:val="20"/>
          <w:szCs w:val="20"/>
          <w:lang w:val="en-US"/>
        </w:rPr>
        <w:t xml:space="preserve"> Lagoon is located in the urban area of Abidjan, which is heavily polluted by industrial </w:t>
      </w:r>
      <w:proofErr w:type="gramStart"/>
      <w:r w:rsidRPr="00D73C18">
        <w:rPr>
          <w:rFonts w:ascii="Arial" w:hAnsi="Arial" w:cs="Arial"/>
          <w:sz w:val="20"/>
          <w:szCs w:val="20"/>
          <w:lang w:val="en-US"/>
        </w:rPr>
        <w:t xml:space="preserve">discharges </w:t>
      </w:r>
      <w:r w:rsidR="000D667D" w:rsidRPr="00D73C18">
        <w:rPr>
          <w:rFonts w:ascii="Arial" w:hAnsi="Arial" w:cs="Arial"/>
          <w:sz w:val="20"/>
          <w:szCs w:val="20"/>
          <w:lang w:val="en-US"/>
        </w:rPr>
        <w:t>]</w:t>
      </w:r>
      <w:proofErr w:type="gramEnd"/>
      <w:r w:rsidR="000D667D" w:rsidRPr="00D73C18">
        <w:rPr>
          <w:rFonts w:ascii="Arial" w:hAnsi="Arial" w:cs="Arial"/>
          <w:sz w:val="20"/>
          <w:szCs w:val="20"/>
          <w:lang w:val="en-US"/>
        </w:rPr>
        <w:t xml:space="preserve"> </w:t>
      </w:r>
      <w:proofErr w:type="spellStart"/>
      <w:r w:rsidR="000D667D" w:rsidRPr="00D73C18">
        <w:rPr>
          <w:rFonts w:ascii="Arial" w:hAnsi="Arial" w:cs="Arial"/>
          <w:sz w:val="20"/>
          <w:szCs w:val="20"/>
          <w:lang w:val="en-US"/>
        </w:rPr>
        <w:t>Metongo</w:t>
      </w:r>
      <w:proofErr w:type="spellEnd"/>
      <w:r w:rsidR="000D667D" w:rsidRPr="00D73C18">
        <w:rPr>
          <w:rFonts w:ascii="Arial" w:hAnsi="Arial" w:cs="Arial"/>
          <w:sz w:val="20"/>
          <w:szCs w:val="20"/>
          <w:lang w:val="en-US"/>
        </w:rPr>
        <w:t xml:space="preserve"> (1993).</w:t>
      </w:r>
    </w:p>
    <w:p w14:paraId="206E2C63" w14:textId="77777777" w:rsidR="00C84A9B" w:rsidRPr="00D73C18" w:rsidRDefault="00C84A9B" w:rsidP="00ED3175">
      <w:pPr>
        <w:jc w:val="both"/>
        <w:rPr>
          <w:rFonts w:ascii="Arial" w:hAnsi="Arial" w:cs="Arial"/>
          <w:b/>
          <w:bCs/>
          <w:sz w:val="20"/>
          <w:szCs w:val="20"/>
          <w:lang w:val="en-US"/>
        </w:rPr>
      </w:pPr>
      <w:r w:rsidRPr="00D73C18">
        <w:rPr>
          <w:rFonts w:ascii="Arial" w:hAnsi="Arial" w:cs="Arial"/>
          <w:b/>
          <w:bCs/>
          <w:sz w:val="20"/>
          <w:szCs w:val="20"/>
          <w:lang w:val="en-US"/>
        </w:rPr>
        <w:lastRenderedPageBreak/>
        <w:t xml:space="preserve">3.3.3. Environmental Quality of Sediments </w:t>
      </w:r>
    </w:p>
    <w:p w14:paraId="3DA98E6F" w14:textId="08F5E2D8" w:rsidR="00C84A9B" w:rsidRPr="00D73C18" w:rsidRDefault="00C84A9B" w:rsidP="00ED3175">
      <w:pPr>
        <w:jc w:val="both"/>
        <w:rPr>
          <w:rFonts w:ascii="Arial" w:hAnsi="Arial" w:cs="Arial"/>
          <w:sz w:val="20"/>
          <w:szCs w:val="20"/>
          <w:lang w:val="en-US"/>
        </w:rPr>
      </w:pPr>
      <w:r w:rsidRPr="00D73C18">
        <w:rPr>
          <w:rFonts w:ascii="Arial" w:hAnsi="Arial" w:cs="Arial"/>
          <w:sz w:val="20"/>
          <w:szCs w:val="20"/>
          <w:lang w:val="en-US"/>
        </w:rPr>
        <w:t>The environmental quality of sediments in the port area was assessed by comparing ETM concentrations with the TEC and PEC guideline values proposed by [10]. The results indicate that the environmental quality of the area is primarily threatened by zinc and copper. More than 75% of the concentrations of these metals are below the TEC. In contrast to other metals, for which more than 75% of concentrations were below the TEC, more than 75% of their concentrations exceed the standard PEC. Zinc and copper pose a potential hazard to the lagoon environment and, more specifically, to living organisms. According to</w:t>
      </w:r>
      <w:r w:rsidR="000D667D" w:rsidRPr="00D73C18">
        <w:rPr>
          <w:rFonts w:ascii="Arial" w:hAnsi="Arial" w:cs="Arial"/>
          <w:sz w:val="20"/>
          <w:szCs w:val="20"/>
          <w:lang w:val="en-US"/>
        </w:rPr>
        <w:t xml:space="preserve"> Environment Canada</w:t>
      </w:r>
      <w:r w:rsidR="000C2D34" w:rsidRPr="00D73C18">
        <w:rPr>
          <w:rFonts w:ascii="Arial" w:hAnsi="Arial" w:cs="Arial"/>
          <w:sz w:val="20"/>
          <w:szCs w:val="20"/>
          <w:lang w:val="en-US"/>
        </w:rPr>
        <w:t xml:space="preserve"> </w:t>
      </w:r>
      <w:r w:rsidR="004A3839" w:rsidRPr="00D73C18">
        <w:rPr>
          <w:rFonts w:ascii="Arial" w:hAnsi="Arial" w:cs="Arial"/>
          <w:sz w:val="20"/>
          <w:szCs w:val="20"/>
          <w:lang w:val="en-US"/>
        </w:rPr>
        <w:t>(</w:t>
      </w:r>
      <w:r w:rsidR="000D667D" w:rsidRPr="00D73C18">
        <w:rPr>
          <w:rFonts w:ascii="Arial" w:hAnsi="Arial" w:cs="Arial"/>
          <w:sz w:val="20"/>
          <w:szCs w:val="20"/>
          <w:lang w:val="en-US"/>
        </w:rPr>
        <w:t>1997)</w:t>
      </w:r>
      <w:r w:rsidRPr="00D73C18">
        <w:rPr>
          <w:rFonts w:ascii="Arial" w:hAnsi="Arial" w:cs="Arial"/>
          <w:sz w:val="20"/>
          <w:szCs w:val="20"/>
          <w:lang w:val="en-US"/>
        </w:rPr>
        <w:t xml:space="preserve">, the biological effects caused by metals include a decrease in the abundance of benthic invertebrates and in fertilization, increased mortality and lethality, behavioral changes, and abnormal development in the early life stages of benthic organisms. </w:t>
      </w:r>
    </w:p>
    <w:p w14:paraId="46BD13D7" w14:textId="7DA07437" w:rsidR="002D3EAF" w:rsidRPr="00D73C18" w:rsidRDefault="002D3EAF" w:rsidP="00ED3175">
      <w:pPr>
        <w:jc w:val="both"/>
        <w:rPr>
          <w:rFonts w:ascii="Arial" w:hAnsi="Arial" w:cs="Arial"/>
          <w:sz w:val="20"/>
          <w:szCs w:val="20"/>
          <w:lang w:val="en-US"/>
        </w:rPr>
      </w:pPr>
      <w:r w:rsidRPr="00D73C18">
        <w:rPr>
          <w:rFonts w:ascii="Arial" w:hAnsi="Arial" w:cs="Arial"/>
          <w:sz w:val="20"/>
          <w:szCs w:val="20"/>
          <w:lang w:val="en-US"/>
        </w:rPr>
        <w:t xml:space="preserve">Furthermore, this could also cause numerous health problems in humans, such as damage to the nervous system, cardiac effects, cancers, and many other serious conditions </w:t>
      </w:r>
      <w:r w:rsidR="000C2D34" w:rsidRPr="00D73C18">
        <w:rPr>
          <w:rFonts w:ascii="Arial" w:hAnsi="Arial" w:cs="Arial"/>
          <w:sz w:val="20"/>
          <w:szCs w:val="20"/>
          <w:lang w:val="en-US"/>
        </w:rPr>
        <w:t>Charbonnier (2014)</w:t>
      </w:r>
      <w:r w:rsidRPr="00D73C18">
        <w:rPr>
          <w:rFonts w:ascii="Arial" w:hAnsi="Arial" w:cs="Arial"/>
          <w:sz w:val="20"/>
          <w:szCs w:val="20"/>
          <w:lang w:val="en-US"/>
        </w:rPr>
        <w:t>. However, zinc and copper are not the only metals capable of harming environmental quality. Studies conducted in the sediments of the Abidjan harbor by</w:t>
      </w:r>
      <w:r w:rsidR="004A3839" w:rsidRPr="00D73C18">
        <w:rPr>
          <w:rFonts w:ascii="Arial" w:hAnsi="Arial" w:cs="Arial"/>
          <w:sz w:val="20"/>
          <w:szCs w:val="20"/>
          <w:lang w:val="en-US"/>
        </w:rPr>
        <w:t xml:space="preserve"> Coulibaly (2014) </w:t>
      </w:r>
      <w:r w:rsidRPr="00D73C18">
        <w:rPr>
          <w:rFonts w:ascii="Arial" w:hAnsi="Arial" w:cs="Arial"/>
          <w:sz w:val="20"/>
          <w:szCs w:val="20"/>
          <w:lang w:val="en-US"/>
        </w:rPr>
        <w:t xml:space="preserve">and by </w:t>
      </w:r>
      <w:proofErr w:type="spellStart"/>
      <w:r w:rsidR="004A3839" w:rsidRPr="00D73C18">
        <w:rPr>
          <w:rFonts w:ascii="Arial" w:hAnsi="Arial" w:cs="Arial"/>
          <w:sz w:val="20"/>
          <w:szCs w:val="20"/>
          <w:lang w:val="en-US"/>
        </w:rPr>
        <w:t>Irié</w:t>
      </w:r>
      <w:proofErr w:type="spellEnd"/>
      <w:r w:rsidR="004A3839" w:rsidRPr="00D73C18">
        <w:rPr>
          <w:rFonts w:ascii="Arial" w:hAnsi="Arial" w:cs="Arial"/>
          <w:sz w:val="20"/>
          <w:szCs w:val="20"/>
          <w:lang w:val="en-US"/>
        </w:rPr>
        <w:t xml:space="preserve"> (2017)</w:t>
      </w:r>
      <w:r w:rsidRPr="00D73C18">
        <w:rPr>
          <w:rFonts w:ascii="Arial" w:hAnsi="Arial" w:cs="Arial"/>
          <w:sz w:val="20"/>
          <w:szCs w:val="20"/>
          <w:lang w:val="en-US"/>
        </w:rPr>
        <w:t xml:space="preserve"> in the </w:t>
      </w:r>
      <w:proofErr w:type="spellStart"/>
      <w:r w:rsidRPr="00D73C18">
        <w:rPr>
          <w:rFonts w:ascii="Arial" w:hAnsi="Arial" w:cs="Arial"/>
          <w:sz w:val="20"/>
          <w:szCs w:val="20"/>
          <w:lang w:val="en-US"/>
        </w:rPr>
        <w:t>Ebri</w:t>
      </w:r>
      <w:r w:rsidR="00F04982" w:rsidRPr="00D73C18">
        <w:rPr>
          <w:rFonts w:ascii="Arial" w:hAnsi="Arial" w:cs="Arial"/>
          <w:sz w:val="20"/>
          <w:szCs w:val="20"/>
          <w:lang w:val="en-US"/>
        </w:rPr>
        <w:t>e</w:t>
      </w:r>
      <w:proofErr w:type="spellEnd"/>
      <w:r w:rsidRPr="00D73C18">
        <w:rPr>
          <w:rFonts w:ascii="Arial" w:hAnsi="Arial" w:cs="Arial"/>
          <w:sz w:val="20"/>
          <w:szCs w:val="20"/>
          <w:lang w:val="en-US"/>
        </w:rPr>
        <w:t xml:space="preserve"> Lagoon channel have highlighted the negative impact of metals such as Cd, Pb, and As, as evidenced by the concentrations of these metals compared to the TEC and PEC reference standards.</w:t>
      </w:r>
    </w:p>
    <w:p w14:paraId="7013DBF1" w14:textId="77777777" w:rsidR="00965A20" w:rsidRPr="00D73C18" w:rsidRDefault="00965A20" w:rsidP="00ED3175">
      <w:pPr>
        <w:jc w:val="both"/>
        <w:rPr>
          <w:rFonts w:ascii="Arial" w:hAnsi="Arial" w:cs="Arial"/>
          <w:b/>
          <w:bCs/>
          <w:sz w:val="20"/>
          <w:szCs w:val="20"/>
          <w:lang w:val="en-US"/>
        </w:rPr>
      </w:pPr>
      <w:r w:rsidRPr="00D73C18">
        <w:rPr>
          <w:rFonts w:ascii="Arial" w:hAnsi="Arial" w:cs="Arial"/>
          <w:b/>
          <w:bCs/>
          <w:sz w:val="20"/>
          <w:szCs w:val="20"/>
          <w:lang w:val="en-US"/>
        </w:rPr>
        <w:t>CONCLUSION</w:t>
      </w:r>
    </w:p>
    <w:p w14:paraId="44E9947A" w14:textId="6C9FA7F3" w:rsidR="00965A20" w:rsidRPr="00D73C18" w:rsidRDefault="00965A20" w:rsidP="00ED3175">
      <w:pPr>
        <w:jc w:val="both"/>
        <w:rPr>
          <w:rFonts w:ascii="Arial" w:hAnsi="Arial" w:cs="Arial"/>
          <w:sz w:val="20"/>
          <w:szCs w:val="20"/>
          <w:lang w:val="en-US"/>
        </w:rPr>
      </w:pPr>
      <w:r w:rsidRPr="00D73C18">
        <w:rPr>
          <w:rFonts w:ascii="Arial" w:hAnsi="Arial" w:cs="Arial"/>
          <w:sz w:val="20"/>
          <w:szCs w:val="20"/>
          <w:lang w:val="en-US"/>
        </w:rPr>
        <w:t xml:space="preserve">Aquatic ecosystems are particularly vulnerable to pressures from human activities due to their proximity to residential areas and industrial facilities. The </w:t>
      </w:r>
      <w:proofErr w:type="spellStart"/>
      <w:r w:rsidRPr="00D73C18">
        <w:rPr>
          <w:rFonts w:ascii="Arial" w:hAnsi="Arial" w:cs="Arial"/>
          <w:sz w:val="20"/>
          <w:szCs w:val="20"/>
          <w:lang w:val="en-US"/>
        </w:rPr>
        <w:t>Ebri</w:t>
      </w:r>
      <w:r w:rsidR="00F04982" w:rsidRPr="00D73C18">
        <w:rPr>
          <w:rFonts w:ascii="Arial" w:hAnsi="Arial" w:cs="Arial"/>
          <w:sz w:val="20"/>
          <w:szCs w:val="20"/>
          <w:lang w:val="en-US"/>
        </w:rPr>
        <w:t>e</w:t>
      </w:r>
      <w:proofErr w:type="spellEnd"/>
      <w:r w:rsidRPr="00D73C18">
        <w:rPr>
          <w:rFonts w:ascii="Arial" w:hAnsi="Arial" w:cs="Arial"/>
          <w:sz w:val="20"/>
          <w:szCs w:val="20"/>
          <w:lang w:val="en-US"/>
        </w:rPr>
        <w:t xml:space="preserve"> Lagoon, and more specifically the Treichville sector, serves as an example of this. This study aimed to assess metal contamination in surface sediments. Chemical analyses and the spatial distribution of trace metals (TM) revealed high variability in concentrations, ranging on average from 0.0001 to 178,500 mg/kg. The results confirm significant pollution by copper, iron, zinc, sodium, phosphorus, aluminum, potassium, and magnesium, whose concentrations far exceed the reference values for the continental crust. The assessment using enrichment factors and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indices indicates a primarily anthropogenic origin. Zinc, copper, and lead show moderate enrichment, attributable to untreated discharges from agricultural, industrial, and domestic activities. Finally, comparison with TEC and PEC guideline values demonstrates that the environmental quality of the sediments is poor, posing a threat to both benthic organisms and human health.</w:t>
      </w:r>
    </w:p>
    <w:p w14:paraId="4FF1E3C3" w14:textId="77777777" w:rsidR="00965A20" w:rsidRPr="00D73C18" w:rsidRDefault="00965A20" w:rsidP="00ED3175">
      <w:pPr>
        <w:jc w:val="both"/>
        <w:rPr>
          <w:rFonts w:ascii="Arial" w:hAnsi="Arial" w:cs="Arial"/>
          <w:sz w:val="20"/>
          <w:szCs w:val="20"/>
          <w:lang w:val="en-US"/>
        </w:rPr>
      </w:pPr>
    </w:p>
    <w:p w14:paraId="297B2C8C" w14:textId="77777777" w:rsidR="0041356B" w:rsidRPr="00D73C18" w:rsidRDefault="0041356B" w:rsidP="00ED3175">
      <w:pPr>
        <w:jc w:val="both"/>
        <w:rPr>
          <w:rFonts w:ascii="Arial" w:hAnsi="Arial" w:cs="Arial"/>
          <w:sz w:val="20"/>
          <w:szCs w:val="20"/>
          <w:lang w:val="en-US"/>
        </w:rPr>
      </w:pPr>
    </w:p>
    <w:p w14:paraId="4FF8E1C3" w14:textId="77777777" w:rsidR="0041356B" w:rsidRPr="00D73C18" w:rsidRDefault="0041356B" w:rsidP="00ED3175">
      <w:pPr>
        <w:jc w:val="both"/>
        <w:rPr>
          <w:rFonts w:ascii="Arial" w:hAnsi="Arial" w:cs="Arial"/>
          <w:sz w:val="20"/>
          <w:szCs w:val="20"/>
          <w:lang w:val="en-US"/>
        </w:rPr>
      </w:pPr>
    </w:p>
    <w:p w14:paraId="568FDC08" w14:textId="3E38FD1A" w:rsidR="00312D8B" w:rsidRPr="00D73C18" w:rsidRDefault="00F13C7D" w:rsidP="00ED3175">
      <w:pPr>
        <w:jc w:val="both"/>
        <w:rPr>
          <w:rFonts w:ascii="Arial" w:hAnsi="Arial" w:cs="Arial"/>
          <w:b/>
          <w:bCs/>
          <w:sz w:val="20"/>
          <w:szCs w:val="20"/>
          <w:lang w:val="en-US"/>
        </w:rPr>
      </w:pPr>
      <w:r>
        <w:rPr>
          <w:rFonts w:ascii="Arial" w:hAnsi="Arial" w:cs="Arial"/>
          <w:b/>
          <w:bCs/>
          <w:sz w:val="20"/>
          <w:szCs w:val="20"/>
          <w:lang w:val="en-US"/>
        </w:rPr>
        <w:t xml:space="preserve">References </w:t>
      </w:r>
    </w:p>
    <w:p w14:paraId="67F8FA3E" w14:textId="126E21B1" w:rsidR="00312D8B" w:rsidRPr="00D73C18" w:rsidRDefault="00312D8B" w:rsidP="00ED3175">
      <w:pPr>
        <w:jc w:val="both"/>
        <w:rPr>
          <w:rFonts w:ascii="Arial" w:hAnsi="Arial" w:cs="Arial"/>
          <w:sz w:val="20"/>
          <w:szCs w:val="20"/>
          <w:lang w:val="en-US"/>
        </w:rPr>
      </w:pPr>
      <w:r w:rsidRPr="00D73C18">
        <w:rPr>
          <w:rFonts w:ascii="Arial" w:hAnsi="Arial" w:cs="Arial"/>
          <w:sz w:val="20"/>
          <w:szCs w:val="20"/>
          <w:lang w:val="en-US"/>
        </w:rPr>
        <w:t>[1] Dufour P.</w:t>
      </w:r>
      <w:r w:rsidR="007513B1" w:rsidRPr="00D73C18">
        <w:rPr>
          <w:rFonts w:ascii="Arial" w:hAnsi="Arial" w:cs="Arial"/>
          <w:sz w:val="20"/>
          <w:szCs w:val="20"/>
          <w:lang w:val="en-US"/>
        </w:rPr>
        <w:t xml:space="preserve"> (1981)</w:t>
      </w:r>
      <w:r w:rsidR="004B0EAF" w:rsidRPr="00D73C18">
        <w:rPr>
          <w:rFonts w:ascii="Arial" w:hAnsi="Arial" w:cs="Arial"/>
          <w:sz w:val="20"/>
          <w:szCs w:val="20"/>
          <w:lang w:val="en-US"/>
        </w:rPr>
        <w:t>.</w:t>
      </w:r>
      <w:r w:rsidRPr="00D73C18">
        <w:rPr>
          <w:rFonts w:ascii="Arial" w:hAnsi="Arial" w:cs="Arial"/>
          <w:sz w:val="20"/>
          <w:szCs w:val="20"/>
          <w:lang w:val="en-US"/>
        </w:rPr>
        <w:t xml:space="preserve"> Our Lagoon in Peril: The </w:t>
      </w:r>
      <w:proofErr w:type="spellStart"/>
      <w:r w:rsidRPr="00D73C18">
        <w:rPr>
          <w:rFonts w:ascii="Arial" w:hAnsi="Arial" w:cs="Arial"/>
          <w:sz w:val="20"/>
          <w:szCs w:val="20"/>
          <w:lang w:val="en-US"/>
        </w:rPr>
        <w:t>Ebrié</w:t>
      </w:r>
      <w:proofErr w:type="spellEnd"/>
      <w:r w:rsidRPr="00D73C18">
        <w:rPr>
          <w:rFonts w:ascii="Arial" w:hAnsi="Arial" w:cs="Arial"/>
          <w:sz w:val="20"/>
          <w:szCs w:val="20"/>
          <w:lang w:val="en-US"/>
        </w:rPr>
        <w:t xml:space="preserve"> Lagoon Ecosystem Disrupted by Human Interventions. Arch. Sci. Centre Rech. </w:t>
      </w:r>
      <w:proofErr w:type="spellStart"/>
      <w:r w:rsidRPr="00D73C18">
        <w:rPr>
          <w:rFonts w:ascii="Arial" w:hAnsi="Arial" w:cs="Arial"/>
          <w:sz w:val="20"/>
          <w:szCs w:val="20"/>
          <w:lang w:val="en-US"/>
        </w:rPr>
        <w:t>Oc</w:t>
      </w:r>
      <w:r w:rsidR="00F04982" w:rsidRPr="00D73C18">
        <w:rPr>
          <w:rFonts w:ascii="Arial" w:hAnsi="Arial" w:cs="Arial"/>
          <w:sz w:val="20"/>
          <w:szCs w:val="20"/>
          <w:lang w:val="en-US"/>
        </w:rPr>
        <w:t>e</w:t>
      </w:r>
      <w:r w:rsidRPr="00D73C18">
        <w:rPr>
          <w:rFonts w:ascii="Arial" w:hAnsi="Arial" w:cs="Arial"/>
          <w:sz w:val="20"/>
          <w:szCs w:val="20"/>
          <w:lang w:val="en-US"/>
        </w:rPr>
        <w:t>anogr</w:t>
      </w:r>
      <w:proofErr w:type="spellEnd"/>
      <w:r w:rsidRPr="00D73C18">
        <w:rPr>
          <w:rFonts w:ascii="Arial" w:hAnsi="Arial" w:cs="Arial"/>
          <w:sz w:val="20"/>
          <w:szCs w:val="20"/>
          <w:lang w:val="en-US"/>
        </w:rPr>
        <w:t>. Abidjan, vol. VII, No. 3</w:t>
      </w:r>
      <w:proofErr w:type="gramStart"/>
      <w:r w:rsidRPr="00D73C18">
        <w:rPr>
          <w:rFonts w:ascii="Arial" w:hAnsi="Arial" w:cs="Arial"/>
          <w:sz w:val="20"/>
          <w:szCs w:val="20"/>
          <w:lang w:val="en-US"/>
        </w:rPr>
        <w:t>, ,</w:t>
      </w:r>
      <w:proofErr w:type="gramEnd"/>
      <w:r w:rsidRPr="00D73C18">
        <w:rPr>
          <w:rFonts w:ascii="Arial" w:hAnsi="Arial" w:cs="Arial"/>
          <w:sz w:val="20"/>
          <w:szCs w:val="20"/>
          <w:lang w:val="en-US"/>
        </w:rPr>
        <w:t xml:space="preserve"> pp. 1–12. </w:t>
      </w:r>
    </w:p>
    <w:p w14:paraId="55A50679" w14:textId="7682AA90" w:rsidR="00312D8B" w:rsidRPr="00D73C18" w:rsidRDefault="00312D8B" w:rsidP="00ED3175">
      <w:pPr>
        <w:jc w:val="both"/>
        <w:rPr>
          <w:rFonts w:ascii="Arial" w:hAnsi="Arial" w:cs="Arial"/>
          <w:sz w:val="20"/>
          <w:szCs w:val="20"/>
          <w:lang w:val="en-US"/>
        </w:rPr>
      </w:pPr>
      <w:r w:rsidRPr="00D73C18">
        <w:rPr>
          <w:rFonts w:ascii="Arial" w:hAnsi="Arial" w:cs="Arial"/>
          <w:sz w:val="20"/>
          <w:szCs w:val="20"/>
          <w:lang w:val="en-US"/>
        </w:rPr>
        <w:t xml:space="preserve">[2] </w:t>
      </w:r>
      <w:proofErr w:type="spellStart"/>
      <w:r w:rsidRPr="00D73C18">
        <w:rPr>
          <w:rFonts w:ascii="Arial" w:hAnsi="Arial" w:cs="Arial"/>
          <w:sz w:val="20"/>
          <w:szCs w:val="20"/>
          <w:lang w:val="en-US"/>
        </w:rPr>
        <w:t>Irié</w:t>
      </w:r>
      <w:proofErr w:type="spellEnd"/>
      <w:r w:rsidRPr="00D73C18">
        <w:rPr>
          <w:rFonts w:ascii="Arial" w:hAnsi="Arial" w:cs="Arial"/>
          <w:sz w:val="20"/>
          <w:szCs w:val="20"/>
          <w:lang w:val="en-US"/>
        </w:rPr>
        <w:t xml:space="preserve"> B. T. J-G.</w:t>
      </w:r>
      <w:r w:rsidR="00CF75AA" w:rsidRPr="00D73C18">
        <w:rPr>
          <w:rFonts w:ascii="Arial" w:hAnsi="Arial" w:cs="Arial"/>
          <w:sz w:val="20"/>
          <w:szCs w:val="20"/>
          <w:lang w:val="en-US"/>
        </w:rPr>
        <w:t xml:space="preserve"> (2017</w:t>
      </w:r>
      <w:r w:rsidR="004B0EAF" w:rsidRPr="00D73C18">
        <w:rPr>
          <w:rFonts w:ascii="Arial" w:hAnsi="Arial" w:cs="Arial"/>
          <w:sz w:val="20"/>
          <w:szCs w:val="20"/>
          <w:lang w:val="en-US"/>
        </w:rPr>
        <w:t>).</w:t>
      </w:r>
      <w:r w:rsidRPr="00D73C18">
        <w:rPr>
          <w:rFonts w:ascii="Arial" w:hAnsi="Arial" w:cs="Arial"/>
          <w:sz w:val="20"/>
          <w:szCs w:val="20"/>
          <w:lang w:val="en-US"/>
        </w:rPr>
        <w:t xml:space="preserve"> Characterization of the water-sediment interface in a forced lagoon environment: hydrology and environmental assessment of the eastern channel of the </w:t>
      </w:r>
      <w:proofErr w:type="spellStart"/>
      <w:r w:rsidRPr="00D73C18">
        <w:rPr>
          <w:rFonts w:ascii="Arial" w:hAnsi="Arial" w:cs="Arial"/>
          <w:sz w:val="20"/>
          <w:szCs w:val="20"/>
          <w:lang w:val="en-US"/>
        </w:rPr>
        <w:t>Ebrié</w:t>
      </w:r>
      <w:proofErr w:type="spellEnd"/>
      <w:r w:rsidRPr="00D73C18">
        <w:rPr>
          <w:rFonts w:ascii="Arial" w:hAnsi="Arial" w:cs="Arial"/>
          <w:sz w:val="20"/>
          <w:szCs w:val="20"/>
          <w:lang w:val="en-US"/>
        </w:rPr>
        <w:t xml:space="preserve"> Lagoon (Ivory Coast). Doctoral Thesis, Félix Houphouët Boigny University (Ivory Coast), 215 pp. </w:t>
      </w:r>
    </w:p>
    <w:p w14:paraId="36F623A7" w14:textId="6FE32EF7" w:rsidR="00312D8B" w:rsidRPr="00D73C18" w:rsidRDefault="00312D8B" w:rsidP="00ED3175">
      <w:pPr>
        <w:jc w:val="both"/>
        <w:rPr>
          <w:rFonts w:ascii="Arial" w:hAnsi="Arial" w:cs="Arial"/>
          <w:sz w:val="20"/>
          <w:szCs w:val="20"/>
          <w:lang w:val="en-US"/>
        </w:rPr>
      </w:pPr>
      <w:r w:rsidRPr="00D73C18">
        <w:rPr>
          <w:rFonts w:ascii="Arial" w:hAnsi="Arial" w:cs="Arial"/>
          <w:sz w:val="20"/>
          <w:szCs w:val="20"/>
          <w:lang w:val="en-US"/>
        </w:rPr>
        <w:t xml:space="preserve">[3] </w:t>
      </w:r>
      <w:proofErr w:type="spellStart"/>
      <w:r w:rsidRPr="00D73C18">
        <w:rPr>
          <w:rFonts w:ascii="Arial" w:hAnsi="Arial" w:cs="Arial"/>
          <w:sz w:val="20"/>
          <w:szCs w:val="20"/>
          <w:lang w:val="en-US"/>
        </w:rPr>
        <w:t>Wedepohl</w:t>
      </w:r>
      <w:proofErr w:type="spellEnd"/>
      <w:r w:rsidRPr="00D73C18">
        <w:rPr>
          <w:rFonts w:ascii="Arial" w:hAnsi="Arial" w:cs="Arial"/>
          <w:sz w:val="20"/>
          <w:szCs w:val="20"/>
          <w:lang w:val="en-US"/>
        </w:rPr>
        <w:t xml:space="preserve"> K.H.</w:t>
      </w:r>
      <w:r w:rsidR="00CF75AA" w:rsidRPr="00D73C18">
        <w:rPr>
          <w:rFonts w:ascii="Arial" w:hAnsi="Arial" w:cs="Arial"/>
          <w:sz w:val="20"/>
          <w:szCs w:val="20"/>
          <w:lang w:val="en-US"/>
        </w:rPr>
        <w:t xml:space="preserve"> (1995)</w:t>
      </w:r>
      <w:r w:rsidRPr="00D73C18">
        <w:rPr>
          <w:rFonts w:ascii="Arial" w:hAnsi="Arial" w:cs="Arial"/>
          <w:sz w:val="20"/>
          <w:szCs w:val="20"/>
          <w:lang w:val="en-US"/>
        </w:rPr>
        <w:t xml:space="preserve">, The composition of continental crust. </w:t>
      </w:r>
      <w:proofErr w:type="spellStart"/>
      <w:r w:rsidRPr="00D73C18">
        <w:rPr>
          <w:rFonts w:ascii="Arial" w:hAnsi="Arial" w:cs="Arial"/>
          <w:sz w:val="20"/>
          <w:szCs w:val="20"/>
          <w:lang w:val="en-US"/>
        </w:rPr>
        <w:t>Geochimica</w:t>
      </w:r>
      <w:proofErr w:type="spellEnd"/>
      <w:r w:rsidRPr="00D73C18">
        <w:rPr>
          <w:rFonts w:ascii="Arial" w:hAnsi="Arial" w:cs="Arial"/>
          <w:sz w:val="20"/>
          <w:szCs w:val="20"/>
          <w:lang w:val="en-US"/>
        </w:rPr>
        <w:t xml:space="preserve"> et </w:t>
      </w:r>
      <w:proofErr w:type="spellStart"/>
      <w:r w:rsidRPr="00D73C18">
        <w:rPr>
          <w:rFonts w:ascii="Arial" w:hAnsi="Arial" w:cs="Arial"/>
          <w:sz w:val="20"/>
          <w:szCs w:val="20"/>
          <w:lang w:val="en-US"/>
        </w:rPr>
        <w:t>Cocmochimica</w:t>
      </w:r>
      <w:proofErr w:type="spellEnd"/>
      <w:r w:rsidRPr="00D73C18">
        <w:rPr>
          <w:rFonts w:ascii="Arial" w:hAnsi="Arial" w:cs="Arial"/>
          <w:sz w:val="20"/>
          <w:szCs w:val="20"/>
          <w:lang w:val="en-US"/>
        </w:rPr>
        <w:t xml:space="preserve"> Acta, Vol. 59, No. 7, pp. 1217–1232</w:t>
      </w:r>
    </w:p>
    <w:p w14:paraId="1BC29363" w14:textId="13363552" w:rsidR="00312D8B" w:rsidRPr="00D73C18" w:rsidRDefault="00312D8B" w:rsidP="00ED3175">
      <w:pPr>
        <w:jc w:val="both"/>
        <w:rPr>
          <w:rFonts w:ascii="Arial" w:hAnsi="Arial" w:cs="Arial"/>
          <w:sz w:val="20"/>
          <w:szCs w:val="20"/>
          <w:lang w:val="en-US"/>
        </w:rPr>
      </w:pPr>
      <w:r w:rsidRPr="00D73C18">
        <w:rPr>
          <w:rFonts w:ascii="Arial" w:hAnsi="Arial" w:cs="Arial"/>
          <w:sz w:val="20"/>
          <w:szCs w:val="20"/>
          <w:lang w:val="en-US"/>
        </w:rPr>
        <w:t>[4] Calamari D. and Naeve H.</w:t>
      </w:r>
      <w:r w:rsidR="00CF75AA" w:rsidRPr="00D73C18">
        <w:rPr>
          <w:rFonts w:ascii="Arial" w:hAnsi="Arial" w:cs="Arial"/>
          <w:sz w:val="20"/>
          <w:szCs w:val="20"/>
          <w:lang w:val="en-US"/>
        </w:rPr>
        <w:t xml:space="preserve"> (1994)</w:t>
      </w:r>
      <w:r w:rsidR="00615356" w:rsidRPr="00D73C18">
        <w:rPr>
          <w:rFonts w:ascii="Arial" w:hAnsi="Arial" w:cs="Arial"/>
          <w:sz w:val="20"/>
          <w:szCs w:val="20"/>
          <w:lang w:val="en-US"/>
        </w:rPr>
        <w:t>.</w:t>
      </w:r>
      <w:r w:rsidRPr="00D73C18">
        <w:rPr>
          <w:rFonts w:ascii="Arial" w:hAnsi="Arial" w:cs="Arial"/>
          <w:sz w:val="20"/>
          <w:szCs w:val="20"/>
          <w:lang w:val="en-US"/>
        </w:rPr>
        <w:t xml:space="preserve"> Review of pollution in the African aquatic environment. CPCA Technical Paper No. 25. Rome, FAO., 1994. 129 pp.</w:t>
      </w:r>
    </w:p>
    <w:p w14:paraId="129D0F04" w14:textId="42864597" w:rsidR="00312D8B" w:rsidRPr="00D73C18" w:rsidRDefault="00312D8B" w:rsidP="00ED3175">
      <w:pPr>
        <w:jc w:val="both"/>
        <w:rPr>
          <w:rFonts w:ascii="Arial" w:hAnsi="Arial" w:cs="Arial"/>
          <w:sz w:val="20"/>
          <w:szCs w:val="20"/>
          <w:lang w:val="en-US"/>
        </w:rPr>
      </w:pPr>
      <w:r w:rsidRPr="00D73C18">
        <w:rPr>
          <w:rFonts w:ascii="Arial" w:hAnsi="Arial" w:cs="Arial"/>
          <w:sz w:val="20"/>
          <w:szCs w:val="20"/>
          <w:lang w:val="en-US"/>
        </w:rPr>
        <w:t xml:space="preserve">[5] Odilon </w:t>
      </w:r>
      <w:proofErr w:type="spellStart"/>
      <w:r w:rsidRPr="00D73C18">
        <w:rPr>
          <w:rFonts w:ascii="Arial" w:hAnsi="Arial" w:cs="Arial"/>
          <w:sz w:val="20"/>
          <w:szCs w:val="20"/>
          <w:lang w:val="en-US"/>
        </w:rPr>
        <w:t>Kikouama</w:t>
      </w:r>
      <w:proofErr w:type="spellEnd"/>
      <w:r w:rsidRPr="00D73C18">
        <w:rPr>
          <w:rFonts w:ascii="Arial" w:hAnsi="Arial" w:cs="Arial"/>
          <w:sz w:val="20"/>
          <w:szCs w:val="20"/>
          <w:lang w:val="en-US"/>
        </w:rPr>
        <w:t xml:space="preserve"> J. R., Le </w:t>
      </w:r>
      <w:proofErr w:type="spellStart"/>
      <w:r w:rsidRPr="00D73C18">
        <w:rPr>
          <w:rFonts w:ascii="Arial" w:hAnsi="Arial" w:cs="Arial"/>
          <w:sz w:val="20"/>
          <w:szCs w:val="20"/>
          <w:lang w:val="en-US"/>
        </w:rPr>
        <w:t>Cornec</w:t>
      </w:r>
      <w:proofErr w:type="spellEnd"/>
      <w:r w:rsidRPr="00D73C18">
        <w:rPr>
          <w:rFonts w:ascii="Arial" w:hAnsi="Arial" w:cs="Arial"/>
          <w:sz w:val="20"/>
          <w:szCs w:val="20"/>
          <w:lang w:val="en-US"/>
        </w:rPr>
        <w:t xml:space="preserve"> Florence, </w:t>
      </w:r>
      <w:proofErr w:type="spellStart"/>
      <w:r w:rsidRPr="00D73C18">
        <w:rPr>
          <w:rFonts w:ascii="Arial" w:hAnsi="Arial" w:cs="Arial"/>
          <w:sz w:val="20"/>
          <w:szCs w:val="20"/>
          <w:lang w:val="en-US"/>
        </w:rPr>
        <w:t>Bouttier</w:t>
      </w:r>
      <w:proofErr w:type="spellEnd"/>
      <w:r w:rsidRPr="00D73C18">
        <w:rPr>
          <w:rFonts w:ascii="Arial" w:hAnsi="Arial" w:cs="Arial"/>
          <w:sz w:val="20"/>
          <w:szCs w:val="20"/>
          <w:lang w:val="en-US"/>
        </w:rPr>
        <w:t xml:space="preserve"> S., Launay A., Baldé L., </w:t>
      </w:r>
      <w:proofErr w:type="spellStart"/>
      <w:r w:rsidRPr="00D73C18">
        <w:rPr>
          <w:rFonts w:ascii="Arial" w:hAnsi="Arial" w:cs="Arial"/>
          <w:sz w:val="20"/>
          <w:szCs w:val="20"/>
          <w:lang w:val="en-US"/>
        </w:rPr>
        <w:t>Yagoubi</w:t>
      </w:r>
      <w:proofErr w:type="spellEnd"/>
      <w:r w:rsidRPr="00D73C18">
        <w:rPr>
          <w:rFonts w:ascii="Arial" w:hAnsi="Arial" w:cs="Arial"/>
          <w:sz w:val="20"/>
          <w:szCs w:val="20"/>
          <w:lang w:val="en-US"/>
        </w:rPr>
        <w:t xml:space="preserve"> N.</w:t>
      </w:r>
      <w:r w:rsidR="00D97F82" w:rsidRPr="00D73C18">
        <w:rPr>
          <w:rFonts w:ascii="Arial" w:hAnsi="Arial" w:cs="Arial"/>
          <w:sz w:val="20"/>
          <w:szCs w:val="20"/>
          <w:lang w:val="en-US"/>
        </w:rPr>
        <w:t xml:space="preserve"> (2009)</w:t>
      </w:r>
      <w:r w:rsidR="00615356" w:rsidRPr="00D73C18">
        <w:rPr>
          <w:rFonts w:ascii="Arial" w:hAnsi="Arial" w:cs="Arial"/>
          <w:sz w:val="20"/>
          <w:szCs w:val="20"/>
          <w:lang w:val="en-US"/>
        </w:rPr>
        <w:t>.</w:t>
      </w:r>
      <w:r w:rsidRPr="00D73C18">
        <w:rPr>
          <w:rFonts w:ascii="Arial" w:hAnsi="Arial" w:cs="Arial"/>
          <w:sz w:val="20"/>
          <w:szCs w:val="20"/>
          <w:lang w:val="en-US"/>
        </w:rPr>
        <w:t xml:space="preserve"> Evaluation of trace elements released by edible clays in </w:t>
      </w:r>
      <w:proofErr w:type="spellStart"/>
      <w:r w:rsidRPr="00D73C18">
        <w:rPr>
          <w:rFonts w:ascii="Arial" w:hAnsi="Arial" w:cs="Arial"/>
          <w:sz w:val="20"/>
          <w:szCs w:val="20"/>
          <w:lang w:val="en-US"/>
        </w:rPr>
        <w:t>physicochemically</w:t>
      </w:r>
      <w:proofErr w:type="spellEnd"/>
      <w:r w:rsidRPr="00D73C18">
        <w:rPr>
          <w:rFonts w:ascii="Arial" w:hAnsi="Arial" w:cs="Arial"/>
          <w:sz w:val="20"/>
          <w:szCs w:val="20"/>
          <w:lang w:val="en-US"/>
        </w:rPr>
        <w:t xml:space="preserve"> simulated physiological media. International Journal of Food Sciences and Nutrition, 60 (2), pp. 130–142. ISSN 0963-7486.</w:t>
      </w:r>
    </w:p>
    <w:p w14:paraId="54292E22" w14:textId="3D64A775" w:rsidR="001F46A9" w:rsidRPr="00D73C18" w:rsidRDefault="001F46A9" w:rsidP="00ED3175">
      <w:pPr>
        <w:jc w:val="both"/>
        <w:rPr>
          <w:rFonts w:ascii="Arial" w:hAnsi="Arial" w:cs="Arial"/>
          <w:sz w:val="20"/>
          <w:szCs w:val="20"/>
          <w:lang w:val="en-US"/>
        </w:rPr>
      </w:pPr>
      <w:r w:rsidRPr="00D73C18">
        <w:rPr>
          <w:rFonts w:ascii="Arial" w:hAnsi="Arial" w:cs="Arial"/>
          <w:sz w:val="20"/>
          <w:szCs w:val="20"/>
          <w:lang w:val="en-US"/>
        </w:rPr>
        <w:lastRenderedPageBreak/>
        <w:t>[6] Tessier E.</w:t>
      </w:r>
      <w:r w:rsidR="00D97F82" w:rsidRPr="00D73C18">
        <w:rPr>
          <w:rFonts w:ascii="Arial" w:hAnsi="Arial" w:cs="Arial"/>
          <w:sz w:val="20"/>
          <w:szCs w:val="20"/>
          <w:lang w:val="en-US"/>
        </w:rPr>
        <w:t xml:space="preserve"> (2012)</w:t>
      </w:r>
      <w:r w:rsidR="00615356" w:rsidRPr="00D73C18">
        <w:rPr>
          <w:rFonts w:ascii="Arial" w:hAnsi="Arial" w:cs="Arial"/>
          <w:sz w:val="20"/>
          <w:szCs w:val="20"/>
          <w:lang w:val="en-US"/>
        </w:rPr>
        <w:t>.</w:t>
      </w:r>
      <w:r w:rsidRPr="00D73C18">
        <w:rPr>
          <w:rFonts w:ascii="Arial" w:hAnsi="Arial" w:cs="Arial"/>
          <w:sz w:val="20"/>
          <w:szCs w:val="20"/>
          <w:lang w:val="en-US"/>
        </w:rPr>
        <w:t xml:space="preserve"> Assessment of sediment contamination by metals and metalloids in Toulon Harbor and mechanisms controlling their mobility. Ph.D. thesis, University of Toulon Var, 273 pp.</w:t>
      </w:r>
    </w:p>
    <w:p w14:paraId="4ADBB2FB" w14:textId="071292E6" w:rsidR="001F46A9" w:rsidRPr="00D73C18" w:rsidRDefault="001F46A9" w:rsidP="00ED3175">
      <w:pPr>
        <w:jc w:val="both"/>
        <w:rPr>
          <w:rFonts w:ascii="Arial" w:hAnsi="Arial" w:cs="Arial"/>
          <w:sz w:val="20"/>
          <w:szCs w:val="20"/>
          <w:lang w:val="en-US"/>
        </w:rPr>
      </w:pPr>
      <w:r w:rsidRPr="00D73C18">
        <w:rPr>
          <w:rFonts w:ascii="Arial" w:hAnsi="Arial" w:cs="Arial"/>
          <w:sz w:val="20"/>
          <w:szCs w:val="20"/>
          <w:lang w:val="en-US"/>
        </w:rPr>
        <w:t>[7] Sutherland R. A.</w:t>
      </w:r>
      <w:r w:rsidR="00D97F82" w:rsidRPr="00D73C18">
        <w:rPr>
          <w:rFonts w:ascii="Arial" w:hAnsi="Arial" w:cs="Arial"/>
          <w:sz w:val="20"/>
          <w:szCs w:val="20"/>
          <w:lang w:val="en-US"/>
        </w:rPr>
        <w:t xml:space="preserve"> (2000)</w:t>
      </w:r>
      <w:r w:rsidR="00C73E11" w:rsidRPr="00D73C18">
        <w:rPr>
          <w:rFonts w:ascii="Arial" w:hAnsi="Arial" w:cs="Arial"/>
          <w:sz w:val="20"/>
          <w:szCs w:val="20"/>
          <w:lang w:val="en-US"/>
        </w:rPr>
        <w:t>.</w:t>
      </w:r>
      <w:r w:rsidRPr="00D73C18">
        <w:rPr>
          <w:rFonts w:ascii="Arial" w:hAnsi="Arial" w:cs="Arial"/>
          <w:sz w:val="20"/>
          <w:szCs w:val="20"/>
          <w:lang w:val="en-US"/>
        </w:rPr>
        <w:t xml:space="preserve"> Bed sediment-associated trace metals in an urban stream, Oahu, Hawaii. Environmental Geology, Vol. 39</w:t>
      </w:r>
      <w:proofErr w:type="gramStart"/>
      <w:r w:rsidRPr="00D73C18">
        <w:rPr>
          <w:rFonts w:ascii="Arial" w:hAnsi="Arial" w:cs="Arial"/>
          <w:sz w:val="20"/>
          <w:szCs w:val="20"/>
          <w:lang w:val="en-US"/>
        </w:rPr>
        <w:t>, ,</w:t>
      </w:r>
      <w:proofErr w:type="gramEnd"/>
      <w:r w:rsidRPr="00D73C18">
        <w:rPr>
          <w:rFonts w:ascii="Arial" w:hAnsi="Arial" w:cs="Arial"/>
          <w:sz w:val="20"/>
          <w:szCs w:val="20"/>
          <w:lang w:val="en-US"/>
        </w:rPr>
        <w:t xml:space="preserve"> pp. 611–637. </w:t>
      </w:r>
    </w:p>
    <w:p w14:paraId="696E1ED9" w14:textId="1DC31D33" w:rsidR="001F46A9" w:rsidRPr="00D73C18" w:rsidRDefault="001F46A9" w:rsidP="00ED3175">
      <w:pPr>
        <w:jc w:val="both"/>
        <w:rPr>
          <w:rFonts w:ascii="Arial" w:hAnsi="Arial" w:cs="Arial"/>
          <w:sz w:val="20"/>
          <w:szCs w:val="20"/>
          <w:lang w:val="en-US"/>
        </w:rPr>
      </w:pPr>
      <w:r w:rsidRPr="00D73C18">
        <w:rPr>
          <w:rFonts w:ascii="Arial" w:hAnsi="Arial" w:cs="Arial"/>
          <w:sz w:val="20"/>
          <w:szCs w:val="20"/>
          <w:lang w:val="en-US"/>
        </w:rPr>
        <w:t>[8] Müller G.</w:t>
      </w:r>
      <w:r w:rsidR="00C93F59" w:rsidRPr="00D73C18">
        <w:rPr>
          <w:rFonts w:ascii="Arial" w:hAnsi="Arial" w:cs="Arial"/>
          <w:sz w:val="20"/>
          <w:szCs w:val="20"/>
          <w:lang w:val="en-US"/>
        </w:rPr>
        <w:t xml:space="preserve"> (1969)</w:t>
      </w:r>
      <w:r w:rsidR="00C73E11" w:rsidRPr="00D73C18">
        <w:rPr>
          <w:rFonts w:ascii="Arial" w:hAnsi="Arial" w:cs="Arial"/>
          <w:sz w:val="20"/>
          <w:szCs w:val="20"/>
          <w:lang w:val="en-US"/>
        </w:rPr>
        <w:t>.</w:t>
      </w:r>
      <w:r w:rsidRPr="00D73C18">
        <w:rPr>
          <w:rFonts w:ascii="Arial" w:hAnsi="Arial" w:cs="Arial"/>
          <w:sz w:val="20"/>
          <w:szCs w:val="20"/>
          <w:lang w:val="en-US"/>
        </w:rPr>
        <w:t xml:space="preserve"> Index of </w:t>
      </w:r>
      <w:proofErr w:type="spellStart"/>
      <w:r w:rsidRPr="00D73C18">
        <w:rPr>
          <w:rFonts w:ascii="Arial" w:hAnsi="Arial" w:cs="Arial"/>
          <w:sz w:val="20"/>
          <w:szCs w:val="20"/>
          <w:lang w:val="en-US"/>
        </w:rPr>
        <w:t>geoaccumulation</w:t>
      </w:r>
      <w:proofErr w:type="spellEnd"/>
      <w:r w:rsidRPr="00D73C18">
        <w:rPr>
          <w:rFonts w:ascii="Arial" w:hAnsi="Arial" w:cs="Arial"/>
          <w:sz w:val="20"/>
          <w:szCs w:val="20"/>
          <w:lang w:val="en-US"/>
        </w:rPr>
        <w:t xml:space="preserve"> in sediments of the Rhine River. </w:t>
      </w:r>
      <w:proofErr w:type="spellStart"/>
      <w:r w:rsidRPr="00D73C18">
        <w:rPr>
          <w:rFonts w:ascii="Arial" w:hAnsi="Arial" w:cs="Arial"/>
          <w:sz w:val="20"/>
          <w:szCs w:val="20"/>
          <w:lang w:val="en-US"/>
        </w:rPr>
        <w:t>Geojournal</w:t>
      </w:r>
      <w:proofErr w:type="spellEnd"/>
      <w:r w:rsidRPr="00D73C18">
        <w:rPr>
          <w:rFonts w:ascii="Arial" w:hAnsi="Arial" w:cs="Arial"/>
          <w:sz w:val="20"/>
          <w:szCs w:val="20"/>
          <w:lang w:val="en-US"/>
        </w:rPr>
        <w:t>, Vol. 2</w:t>
      </w:r>
      <w:proofErr w:type="gramStart"/>
      <w:r w:rsidRPr="00D73C18">
        <w:rPr>
          <w:rFonts w:ascii="Arial" w:hAnsi="Arial" w:cs="Arial"/>
          <w:sz w:val="20"/>
          <w:szCs w:val="20"/>
          <w:lang w:val="en-US"/>
        </w:rPr>
        <w:t>, ,</w:t>
      </w:r>
      <w:proofErr w:type="gramEnd"/>
      <w:r w:rsidRPr="00D73C18">
        <w:rPr>
          <w:rFonts w:ascii="Arial" w:hAnsi="Arial" w:cs="Arial"/>
          <w:sz w:val="20"/>
          <w:szCs w:val="20"/>
          <w:lang w:val="en-US"/>
        </w:rPr>
        <w:t xml:space="preserve"> pp. 109–118</w:t>
      </w:r>
    </w:p>
    <w:p w14:paraId="40A2589A" w14:textId="7382AADE" w:rsidR="001F46A9" w:rsidRPr="00D73C18" w:rsidRDefault="001F46A9" w:rsidP="00ED3175">
      <w:pPr>
        <w:jc w:val="both"/>
        <w:rPr>
          <w:rFonts w:ascii="Arial" w:hAnsi="Arial" w:cs="Arial"/>
          <w:sz w:val="20"/>
          <w:szCs w:val="20"/>
          <w:lang w:val="en-US"/>
        </w:rPr>
      </w:pPr>
      <w:r w:rsidRPr="00D73C18">
        <w:rPr>
          <w:rFonts w:ascii="Arial" w:hAnsi="Arial" w:cs="Arial"/>
          <w:sz w:val="20"/>
          <w:szCs w:val="20"/>
          <w:lang w:val="en-US"/>
        </w:rPr>
        <w:t>[9] Müller G.</w:t>
      </w:r>
      <w:r w:rsidR="00BA68FF" w:rsidRPr="00D73C18">
        <w:rPr>
          <w:rFonts w:ascii="Arial" w:hAnsi="Arial" w:cs="Arial"/>
          <w:sz w:val="20"/>
          <w:szCs w:val="20"/>
          <w:lang w:val="en-US"/>
        </w:rPr>
        <w:t xml:space="preserve"> (1981)</w:t>
      </w:r>
      <w:r w:rsidR="00AE5EAF" w:rsidRPr="00D73C18">
        <w:rPr>
          <w:rFonts w:ascii="Arial" w:hAnsi="Arial" w:cs="Arial"/>
          <w:sz w:val="20"/>
          <w:szCs w:val="20"/>
          <w:lang w:val="en-US"/>
        </w:rPr>
        <w:t>.</w:t>
      </w:r>
      <w:r w:rsidRPr="00D73C18">
        <w:rPr>
          <w:rFonts w:ascii="Arial" w:hAnsi="Arial" w:cs="Arial"/>
          <w:sz w:val="20"/>
          <w:szCs w:val="20"/>
          <w:lang w:val="en-US"/>
        </w:rPr>
        <w:t xml:space="preserve"> The Heavy Metal Pollution of the Sediments of the Neckar and its Tributaries: A Stocktaking. </w:t>
      </w:r>
      <w:proofErr w:type="spellStart"/>
      <w:r w:rsidRPr="00D73C18">
        <w:rPr>
          <w:rFonts w:ascii="Arial" w:hAnsi="Arial" w:cs="Arial"/>
          <w:sz w:val="20"/>
          <w:szCs w:val="20"/>
          <w:lang w:val="en-US"/>
        </w:rPr>
        <w:t>Chemiker</w:t>
      </w:r>
      <w:proofErr w:type="spellEnd"/>
      <w:r w:rsidRPr="00D73C18">
        <w:rPr>
          <w:rFonts w:ascii="Arial" w:hAnsi="Arial" w:cs="Arial"/>
          <w:sz w:val="20"/>
          <w:szCs w:val="20"/>
          <w:lang w:val="en-US"/>
        </w:rPr>
        <w:t xml:space="preserve"> Zeitung, 105, 157-164.</w:t>
      </w:r>
    </w:p>
    <w:p w14:paraId="2F2DE9C2" w14:textId="7C1410AF" w:rsidR="001F46A9" w:rsidRPr="00D73C18" w:rsidRDefault="001F46A9" w:rsidP="00ED3175">
      <w:pPr>
        <w:jc w:val="both"/>
        <w:rPr>
          <w:rFonts w:ascii="Arial" w:hAnsi="Arial" w:cs="Arial"/>
          <w:sz w:val="20"/>
          <w:szCs w:val="20"/>
          <w:lang w:val="en-US"/>
        </w:rPr>
      </w:pPr>
      <w:r w:rsidRPr="00D73C18">
        <w:rPr>
          <w:rFonts w:ascii="Arial" w:hAnsi="Arial" w:cs="Arial"/>
          <w:sz w:val="20"/>
          <w:szCs w:val="20"/>
          <w:lang w:val="en-US"/>
        </w:rPr>
        <w:t>[10] Macdonald D. D., Ingersoll C.G., and Berge T. A.</w:t>
      </w:r>
      <w:r w:rsidR="00BA68FF" w:rsidRPr="00D73C18">
        <w:rPr>
          <w:rFonts w:ascii="Arial" w:hAnsi="Arial" w:cs="Arial"/>
          <w:sz w:val="20"/>
          <w:szCs w:val="20"/>
          <w:lang w:val="en-US"/>
        </w:rPr>
        <w:t xml:space="preserve"> (2000)</w:t>
      </w:r>
      <w:r w:rsidR="00AE5EAF" w:rsidRPr="00D73C18">
        <w:rPr>
          <w:rFonts w:ascii="Arial" w:hAnsi="Arial" w:cs="Arial"/>
          <w:sz w:val="20"/>
          <w:szCs w:val="20"/>
          <w:lang w:val="en-US"/>
        </w:rPr>
        <w:t>.</w:t>
      </w:r>
      <w:r w:rsidRPr="00D73C18">
        <w:rPr>
          <w:rFonts w:ascii="Arial" w:hAnsi="Arial" w:cs="Arial"/>
          <w:sz w:val="20"/>
          <w:szCs w:val="20"/>
          <w:lang w:val="en-US"/>
        </w:rPr>
        <w:t xml:space="preserve"> Development of Freshwater Ecosystems: Evaluation of Consensus-Based Sediment Quality Guidelines for Freshwater Ecosystems. Arch. Env. Cont. </w:t>
      </w:r>
      <w:proofErr w:type="spellStart"/>
      <w:r w:rsidRPr="00D73C18">
        <w:rPr>
          <w:rFonts w:ascii="Arial" w:hAnsi="Arial" w:cs="Arial"/>
          <w:sz w:val="20"/>
          <w:szCs w:val="20"/>
          <w:lang w:val="en-US"/>
        </w:rPr>
        <w:t>Toxicol</w:t>
      </w:r>
      <w:proofErr w:type="spellEnd"/>
      <w:r w:rsidRPr="00D73C18">
        <w:rPr>
          <w:rFonts w:ascii="Arial" w:hAnsi="Arial" w:cs="Arial"/>
          <w:sz w:val="20"/>
          <w:szCs w:val="20"/>
          <w:lang w:val="en-US"/>
        </w:rPr>
        <w:t xml:space="preserve">., 39, pp. 20–31. </w:t>
      </w:r>
    </w:p>
    <w:p w14:paraId="0F6D7AD7" w14:textId="6AE91F46" w:rsidR="001F46A9" w:rsidRPr="00D73C18" w:rsidRDefault="001F46A9" w:rsidP="00ED3175">
      <w:pPr>
        <w:jc w:val="both"/>
        <w:rPr>
          <w:rFonts w:ascii="Arial" w:hAnsi="Arial" w:cs="Arial"/>
          <w:sz w:val="20"/>
          <w:szCs w:val="20"/>
        </w:rPr>
      </w:pPr>
      <w:r w:rsidRPr="00D73C18">
        <w:rPr>
          <w:rFonts w:ascii="Arial" w:hAnsi="Arial" w:cs="Arial"/>
          <w:sz w:val="20"/>
          <w:szCs w:val="20"/>
          <w:lang w:val="en-US"/>
        </w:rPr>
        <w:t xml:space="preserve">[11] </w:t>
      </w:r>
      <w:proofErr w:type="spellStart"/>
      <w:r w:rsidRPr="00D73C18">
        <w:rPr>
          <w:rFonts w:ascii="Arial" w:hAnsi="Arial" w:cs="Arial"/>
          <w:sz w:val="20"/>
          <w:szCs w:val="20"/>
          <w:lang w:val="en-US"/>
        </w:rPr>
        <w:t>Keuméan</w:t>
      </w:r>
      <w:proofErr w:type="spellEnd"/>
      <w:r w:rsidRPr="00D73C18">
        <w:rPr>
          <w:rFonts w:ascii="Arial" w:hAnsi="Arial" w:cs="Arial"/>
          <w:sz w:val="20"/>
          <w:szCs w:val="20"/>
          <w:lang w:val="en-US"/>
        </w:rPr>
        <w:t xml:space="preserve"> K. N., Bamba S. B., Soro G., Soro N., </w:t>
      </w:r>
      <w:proofErr w:type="spellStart"/>
      <w:r w:rsidRPr="00D73C18">
        <w:rPr>
          <w:rFonts w:ascii="Arial" w:hAnsi="Arial" w:cs="Arial"/>
          <w:sz w:val="20"/>
          <w:szCs w:val="20"/>
          <w:lang w:val="en-US"/>
        </w:rPr>
        <w:t>Métongo</w:t>
      </w:r>
      <w:proofErr w:type="spellEnd"/>
      <w:r w:rsidRPr="00D73C18">
        <w:rPr>
          <w:rFonts w:ascii="Arial" w:hAnsi="Arial" w:cs="Arial"/>
          <w:sz w:val="20"/>
          <w:szCs w:val="20"/>
          <w:lang w:val="en-US"/>
        </w:rPr>
        <w:t xml:space="preserve"> B. S., and </w:t>
      </w:r>
      <w:proofErr w:type="spellStart"/>
      <w:r w:rsidRPr="00D73C18">
        <w:rPr>
          <w:rFonts w:ascii="Arial" w:hAnsi="Arial" w:cs="Arial"/>
          <w:sz w:val="20"/>
          <w:szCs w:val="20"/>
          <w:lang w:val="en-US"/>
        </w:rPr>
        <w:t>Biémi</w:t>
      </w:r>
      <w:proofErr w:type="spellEnd"/>
      <w:r w:rsidRPr="00D73C18">
        <w:rPr>
          <w:rFonts w:ascii="Arial" w:hAnsi="Arial" w:cs="Arial"/>
          <w:sz w:val="20"/>
          <w:szCs w:val="20"/>
          <w:lang w:val="en-US"/>
        </w:rPr>
        <w:t xml:space="preserve"> J.</w:t>
      </w:r>
      <w:r w:rsidR="00D2193F" w:rsidRPr="00D73C18">
        <w:rPr>
          <w:rFonts w:ascii="Arial" w:hAnsi="Arial" w:cs="Arial"/>
          <w:sz w:val="20"/>
          <w:szCs w:val="20"/>
          <w:lang w:val="en-US"/>
        </w:rPr>
        <w:t xml:space="preserve"> (2013).</w:t>
      </w:r>
      <w:r w:rsidRPr="00D73C18">
        <w:rPr>
          <w:rFonts w:ascii="Arial" w:hAnsi="Arial" w:cs="Arial"/>
          <w:sz w:val="20"/>
          <w:szCs w:val="20"/>
          <w:lang w:val="en-US"/>
        </w:rPr>
        <w:t xml:space="preserve"> Heavy Metal Concentrations in Sediments of the </w:t>
      </w:r>
      <w:proofErr w:type="spellStart"/>
      <w:r w:rsidRPr="00D73C18">
        <w:rPr>
          <w:rFonts w:ascii="Arial" w:hAnsi="Arial" w:cs="Arial"/>
          <w:sz w:val="20"/>
          <w:szCs w:val="20"/>
          <w:lang w:val="en-US"/>
        </w:rPr>
        <w:t>Comoé</w:t>
      </w:r>
      <w:proofErr w:type="spellEnd"/>
      <w:r w:rsidRPr="00D73C18">
        <w:rPr>
          <w:rFonts w:ascii="Arial" w:hAnsi="Arial" w:cs="Arial"/>
          <w:sz w:val="20"/>
          <w:szCs w:val="20"/>
          <w:lang w:val="en-US"/>
        </w:rPr>
        <w:t xml:space="preserve"> River Estuary at Grand-Bassam (Southeastern Côte d’Ivoire). </w:t>
      </w:r>
      <w:r w:rsidRPr="00D73C18">
        <w:rPr>
          <w:rFonts w:ascii="Arial" w:hAnsi="Arial" w:cs="Arial"/>
          <w:sz w:val="20"/>
          <w:szCs w:val="20"/>
        </w:rPr>
        <w:t xml:space="preserve">J. Appl. </w:t>
      </w:r>
      <w:proofErr w:type="spellStart"/>
      <w:r w:rsidRPr="00D73C18">
        <w:rPr>
          <w:rFonts w:ascii="Arial" w:hAnsi="Arial" w:cs="Arial"/>
          <w:sz w:val="20"/>
          <w:szCs w:val="20"/>
        </w:rPr>
        <w:t>Biosci</w:t>
      </w:r>
      <w:proofErr w:type="spellEnd"/>
      <w:r w:rsidRPr="00D73C18">
        <w:rPr>
          <w:rFonts w:ascii="Arial" w:hAnsi="Arial" w:cs="Arial"/>
          <w:sz w:val="20"/>
          <w:szCs w:val="20"/>
        </w:rPr>
        <w:t xml:space="preserve">., Vol. 61, pp. 4530–4539. </w:t>
      </w:r>
    </w:p>
    <w:p w14:paraId="4365971C" w14:textId="63FBF9FC" w:rsidR="00604774" w:rsidRPr="00D73C18" w:rsidRDefault="00604774" w:rsidP="00ED3175">
      <w:pPr>
        <w:jc w:val="both"/>
        <w:rPr>
          <w:rFonts w:ascii="Arial" w:hAnsi="Arial" w:cs="Arial"/>
          <w:sz w:val="20"/>
          <w:szCs w:val="20"/>
          <w:lang w:val="en-US"/>
        </w:rPr>
      </w:pPr>
      <w:r w:rsidRPr="00D73C18">
        <w:rPr>
          <w:rFonts w:ascii="Arial" w:hAnsi="Arial" w:cs="Arial"/>
          <w:sz w:val="20"/>
          <w:szCs w:val="20"/>
        </w:rPr>
        <w:t xml:space="preserve">[12] </w:t>
      </w:r>
      <w:proofErr w:type="spellStart"/>
      <w:r w:rsidRPr="00D73C18">
        <w:rPr>
          <w:rFonts w:ascii="Arial" w:hAnsi="Arial" w:cs="Arial"/>
          <w:sz w:val="20"/>
          <w:szCs w:val="20"/>
        </w:rPr>
        <w:t>Chouti</w:t>
      </w:r>
      <w:proofErr w:type="spellEnd"/>
      <w:r w:rsidRPr="00D73C18">
        <w:rPr>
          <w:rFonts w:ascii="Arial" w:hAnsi="Arial" w:cs="Arial"/>
          <w:sz w:val="20"/>
          <w:szCs w:val="20"/>
        </w:rPr>
        <w:t xml:space="preserve"> W., Mama D., Alassane A., </w:t>
      </w:r>
      <w:proofErr w:type="spellStart"/>
      <w:r w:rsidRPr="00D73C18">
        <w:rPr>
          <w:rFonts w:ascii="Arial" w:hAnsi="Arial" w:cs="Arial"/>
          <w:sz w:val="20"/>
          <w:szCs w:val="20"/>
        </w:rPr>
        <w:t>Changotade</w:t>
      </w:r>
      <w:proofErr w:type="spellEnd"/>
      <w:r w:rsidRPr="00D73C18">
        <w:rPr>
          <w:rFonts w:ascii="Arial" w:hAnsi="Arial" w:cs="Arial"/>
          <w:sz w:val="20"/>
          <w:szCs w:val="20"/>
        </w:rPr>
        <w:t xml:space="preserve"> O., Alapini F., Boukari M., Aminou T., and </w:t>
      </w:r>
      <w:proofErr w:type="spellStart"/>
      <w:r w:rsidRPr="00D73C18">
        <w:rPr>
          <w:rFonts w:ascii="Arial" w:hAnsi="Arial" w:cs="Arial"/>
          <w:sz w:val="20"/>
          <w:szCs w:val="20"/>
        </w:rPr>
        <w:t>Afouda</w:t>
      </w:r>
      <w:proofErr w:type="spellEnd"/>
      <w:r w:rsidRPr="00D73C18">
        <w:rPr>
          <w:rFonts w:ascii="Arial" w:hAnsi="Arial" w:cs="Arial"/>
          <w:sz w:val="20"/>
          <w:szCs w:val="20"/>
        </w:rPr>
        <w:t xml:space="preserve"> A.</w:t>
      </w:r>
      <w:r w:rsidR="00BA68FF" w:rsidRPr="00D73C18">
        <w:rPr>
          <w:rFonts w:ascii="Arial" w:hAnsi="Arial" w:cs="Arial"/>
          <w:sz w:val="20"/>
          <w:szCs w:val="20"/>
        </w:rPr>
        <w:t xml:space="preserve"> (2011)</w:t>
      </w:r>
      <w:r w:rsidR="00D2193F" w:rsidRPr="00D73C18">
        <w:rPr>
          <w:rFonts w:ascii="Arial" w:hAnsi="Arial" w:cs="Arial"/>
          <w:sz w:val="20"/>
          <w:szCs w:val="20"/>
        </w:rPr>
        <w:t>.</w:t>
      </w:r>
      <w:r w:rsidRPr="00D73C18">
        <w:rPr>
          <w:rFonts w:ascii="Arial" w:hAnsi="Arial" w:cs="Arial"/>
          <w:sz w:val="20"/>
          <w:szCs w:val="20"/>
        </w:rPr>
        <w:t xml:space="preserve"> </w:t>
      </w:r>
      <w:r w:rsidRPr="00D73C18">
        <w:rPr>
          <w:rFonts w:ascii="Arial" w:hAnsi="Arial" w:cs="Arial"/>
          <w:sz w:val="20"/>
          <w:szCs w:val="20"/>
          <w:lang w:val="en-US"/>
        </w:rPr>
        <w:t xml:space="preserve">Physicochemical characterization of the Porto-Novo lagoon (southern Benin) and identification of pollution by mercury, copper, and zinc. Journal of Applied Biosciences </w:t>
      </w:r>
      <w:r w:rsidR="006941B4" w:rsidRPr="00D73C18">
        <w:rPr>
          <w:rFonts w:ascii="Arial" w:hAnsi="Arial" w:cs="Arial"/>
          <w:sz w:val="20"/>
          <w:szCs w:val="20"/>
          <w:lang w:val="en-US"/>
        </w:rPr>
        <w:t>43.</w:t>
      </w:r>
      <w:r w:rsidRPr="00D73C18">
        <w:rPr>
          <w:rFonts w:ascii="Arial" w:hAnsi="Arial" w:cs="Arial"/>
          <w:sz w:val="20"/>
          <w:szCs w:val="20"/>
          <w:lang w:val="en-US"/>
        </w:rPr>
        <w:t xml:space="preserve"> 2882–2890.</w:t>
      </w:r>
    </w:p>
    <w:p w14:paraId="2B62F194" w14:textId="210E177E" w:rsidR="00604774" w:rsidRPr="00D73C18" w:rsidRDefault="00604774" w:rsidP="00ED3175">
      <w:pPr>
        <w:jc w:val="both"/>
        <w:rPr>
          <w:rFonts w:ascii="Arial" w:hAnsi="Arial" w:cs="Arial"/>
          <w:sz w:val="20"/>
          <w:szCs w:val="20"/>
          <w:lang w:val="en-US"/>
        </w:rPr>
      </w:pPr>
      <w:r w:rsidRPr="00D73C18">
        <w:rPr>
          <w:rFonts w:ascii="Arial" w:hAnsi="Arial" w:cs="Arial"/>
          <w:sz w:val="20"/>
          <w:szCs w:val="20"/>
          <w:lang w:val="en-US"/>
        </w:rPr>
        <w:t>[13] Traoré A.</w:t>
      </w:r>
      <w:r w:rsidR="008A1692" w:rsidRPr="00D73C18">
        <w:rPr>
          <w:rFonts w:ascii="Arial" w:hAnsi="Arial" w:cs="Arial"/>
          <w:sz w:val="20"/>
          <w:szCs w:val="20"/>
          <w:lang w:val="en-US"/>
        </w:rPr>
        <w:t xml:space="preserve"> (2016)</w:t>
      </w:r>
      <w:r w:rsidR="00D2193F" w:rsidRPr="00D73C18">
        <w:rPr>
          <w:rFonts w:ascii="Arial" w:hAnsi="Arial" w:cs="Arial"/>
          <w:sz w:val="20"/>
          <w:szCs w:val="20"/>
          <w:lang w:val="en-US"/>
        </w:rPr>
        <w:t>.</w:t>
      </w:r>
      <w:r w:rsidRPr="00D73C18">
        <w:rPr>
          <w:rFonts w:ascii="Arial" w:hAnsi="Arial" w:cs="Arial"/>
          <w:sz w:val="20"/>
          <w:szCs w:val="20"/>
          <w:lang w:val="en-US"/>
        </w:rPr>
        <w:t xml:space="preserve"> Impacts of climate change and changes in land cover and land use on water resources in the </w:t>
      </w:r>
      <w:proofErr w:type="spellStart"/>
      <w:r w:rsidRPr="00D73C18">
        <w:rPr>
          <w:rFonts w:ascii="Arial" w:hAnsi="Arial" w:cs="Arial"/>
          <w:sz w:val="20"/>
          <w:szCs w:val="20"/>
          <w:lang w:val="en-US"/>
        </w:rPr>
        <w:t>Aghien</w:t>
      </w:r>
      <w:proofErr w:type="spellEnd"/>
      <w:r w:rsidRPr="00D73C18">
        <w:rPr>
          <w:rFonts w:ascii="Arial" w:hAnsi="Arial" w:cs="Arial"/>
          <w:sz w:val="20"/>
          <w:szCs w:val="20"/>
          <w:lang w:val="en-US"/>
        </w:rPr>
        <w:t xml:space="preserve"> and </w:t>
      </w:r>
      <w:proofErr w:type="spellStart"/>
      <w:r w:rsidRPr="00D73C18">
        <w:rPr>
          <w:rFonts w:ascii="Arial" w:hAnsi="Arial" w:cs="Arial"/>
          <w:sz w:val="20"/>
          <w:szCs w:val="20"/>
          <w:lang w:val="en-US"/>
        </w:rPr>
        <w:t>Potou</w:t>
      </w:r>
      <w:proofErr w:type="spellEnd"/>
      <w:r w:rsidRPr="00D73C18">
        <w:rPr>
          <w:rFonts w:ascii="Arial" w:hAnsi="Arial" w:cs="Arial"/>
          <w:sz w:val="20"/>
          <w:szCs w:val="20"/>
          <w:lang w:val="en-US"/>
        </w:rPr>
        <w:t xml:space="preserve"> lagoon environments (Southeastern Côte d’Ivoire). State Doctoral Thesis. Félix Houphouët Boigny University (Ivory Coast), 221 p. </w:t>
      </w:r>
    </w:p>
    <w:p w14:paraId="0DDA7D88" w14:textId="78CFB517" w:rsidR="00604774" w:rsidRPr="00D73C18" w:rsidRDefault="00604774" w:rsidP="00ED3175">
      <w:pPr>
        <w:jc w:val="both"/>
        <w:rPr>
          <w:rFonts w:ascii="Arial" w:hAnsi="Arial" w:cs="Arial"/>
          <w:sz w:val="20"/>
          <w:szCs w:val="20"/>
          <w:lang w:val="en-US"/>
        </w:rPr>
      </w:pPr>
      <w:r w:rsidRPr="00D73C18">
        <w:rPr>
          <w:rFonts w:ascii="Arial" w:hAnsi="Arial" w:cs="Arial"/>
          <w:sz w:val="20"/>
          <w:szCs w:val="20"/>
          <w:lang w:val="en-US"/>
        </w:rPr>
        <w:t xml:space="preserve">[14] Soro G., Soro M. B., Soro N., Ahoussi K. E., </w:t>
      </w:r>
      <w:proofErr w:type="spellStart"/>
      <w:r w:rsidRPr="00D73C18">
        <w:rPr>
          <w:rFonts w:ascii="Arial" w:hAnsi="Arial" w:cs="Arial"/>
          <w:sz w:val="20"/>
          <w:szCs w:val="20"/>
          <w:lang w:val="en-US"/>
        </w:rPr>
        <w:t>Kouamé</w:t>
      </w:r>
      <w:proofErr w:type="spellEnd"/>
      <w:r w:rsidRPr="00D73C18">
        <w:rPr>
          <w:rFonts w:ascii="Arial" w:hAnsi="Arial" w:cs="Arial"/>
          <w:sz w:val="20"/>
          <w:szCs w:val="20"/>
          <w:lang w:val="en-US"/>
        </w:rPr>
        <w:t xml:space="preserve"> K. F., Zade S. G. P., and Soro T.</w:t>
      </w:r>
      <w:r w:rsidR="008A1692" w:rsidRPr="00D73C18">
        <w:rPr>
          <w:rFonts w:ascii="Arial" w:hAnsi="Arial" w:cs="Arial"/>
          <w:sz w:val="20"/>
          <w:szCs w:val="20"/>
          <w:lang w:val="en-US"/>
        </w:rPr>
        <w:t xml:space="preserve"> (2009)</w:t>
      </w:r>
      <w:r w:rsidR="00D2193F" w:rsidRPr="00D73C18">
        <w:rPr>
          <w:rFonts w:ascii="Arial" w:hAnsi="Arial" w:cs="Arial"/>
          <w:sz w:val="20"/>
          <w:szCs w:val="20"/>
          <w:lang w:val="en-US"/>
        </w:rPr>
        <w:t>.</w:t>
      </w:r>
      <w:r w:rsidRPr="00D73C18">
        <w:rPr>
          <w:rFonts w:ascii="Arial" w:hAnsi="Arial" w:cs="Arial"/>
          <w:sz w:val="20"/>
          <w:szCs w:val="20"/>
          <w:lang w:val="en-US"/>
        </w:rPr>
        <w:t xml:space="preserve"> Heavy metals (Cu, Cr, Mn, and Zn) in surface sediments of an African tropical lagoon: the case of the </w:t>
      </w:r>
      <w:proofErr w:type="spellStart"/>
      <w:r w:rsidRPr="00D73C18">
        <w:rPr>
          <w:rFonts w:ascii="Arial" w:hAnsi="Arial" w:cs="Arial"/>
          <w:sz w:val="20"/>
          <w:szCs w:val="20"/>
          <w:lang w:val="en-US"/>
        </w:rPr>
        <w:t>Ebrié</w:t>
      </w:r>
      <w:proofErr w:type="spellEnd"/>
      <w:r w:rsidRPr="00D73C18">
        <w:rPr>
          <w:rFonts w:ascii="Arial" w:hAnsi="Arial" w:cs="Arial"/>
          <w:sz w:val="20"/>
          <w:szCs w:val="20"/>
          <w:lang w:val="en-US"/>
        </w:rPr>
        <w:t xml:space="preserve"> Lagoon (Ivory Coast). Int. J. Biol. Chem. Sci., Vol. 3, No. 6, pp. 1408–1427. </w:t>
      </w:r>
    </w:p>
    <w:p w14:paraId="036418E9" w14:textId="05FD35E4" w:rsidR="00700B9F" w:rsidRPr="00D73C18" w:rsidRDefault="00700B9F" w:rsidP="00ED3175">
      <w:pPr>
        <w:jc w:val="both"/>
        <w:rPr>
          <w:rFonts w:ascii="Arial" w:hAnsi="Arial" w:cs="Arial"/>
          <w:sz w:val="20"/>
          <w:szCs w:val="20"/>
          <w:lang w:val="en-US"/>
        </w:rPr>
      </w:pPr>
      <w:r w:rsidRPr="00D73C18">
        <w:rPr>
          <w:rFonts w:ascii="Arial" w:hAnsi="Arial" w:cs="Arial"/>
          <w:sz w:val="20"/>
          <w:szCs w:val="20"/>
          <w:lang w:val="en-US"/>
        </w:rPr>
        <w:t xml:space="preserve">[15] </w:t>
      </w:r>
      <w:proofErr w:type="spellStart"/>
      <w:r w:rsidRPr="00D73C18">
        <w:rPr>
          <w:rFonts w:ascii="Arial" w:hAnsi="Arial" w:cs="Arial"/>
          <w:sz w:val="20"/>
          <w:szCs w:val="20"/>
          <w:lang w:val="en-US"/>
        </w:rPr>
        <w:t>Irié</w:t>
      </w:r>
      <w:proofErr w:type="spellEnd"/>
      <w:r w:rsidRPr="00D73C18">
        <w:rPr>
          <w:rFonts w:ascii="Arial" w:hAnsi="Arial" w:cs="Arial"/>
          <w:sz w:val="20"/>
          <w:szCs w:val="20"/>
          <w:lang w:val="en-US"/>
        </w:rPr>
        <w:t xml:space="preserve"> B. T. J.-G., Aka N., Kando A. M-L, Coulibaly A. S., and Monde S.</w:t>
      </w:r>
      <w:r w:rsidR="008A1692" w:rsidRPr="00D73C18">
        <w:rPr>
          <w:rFonts w:ascii="Arial" w:hAnsi="Arial" w:cs="Arial"/>
          <w:sz w:val="20"/>
          <w:szCs w:val="20"/>
          <w:lang w:val="en-US"/>
        </w:rPr>
        <w:t xml:space="preserve"> (2019)</w:t>
      </w:r>
      <w:r w:rsidR="008F45FB" w:rsidRPr="00D73C18">
        <w:rPr>
          <w:rFonts w:ascii="Arial" w:hAnsi="Arial" w:cs="Arial"/>
          <w:sz w:val="20"/>
          <w:szCs w:val="20"/>
          <w:lang w:val="en-US"/>
        </w:rPr>
        <w:t>.</w:t>
      </w:r>
      <w:r w:rsidRPr="00D73C18">
        <w:rPr>
          <w:rFonts w:ascii="Arial" w:hAnsi="Arial" w:cs="Arial"/>
          <w:sz w:val="20"/>
          <w:szCs w:val="20"/>
          <w:lang w:val="en-US"/>
        </w:rPr>
        <w:t xml:space="preserve"> Enrichment of sediments in the </w:t>
      </w:r>
      <w:proofErr w:type="spellStart"/>
      <w:r w:rsidRPr="00D73C18">
        <w:rPr>
          <w:rFonts w:ascii="Arial" w:hAnsi="Arial" w:cs="Arial"/>
          <w:sz w:val="20"/>
          <w:szCs w:val="20"/>
          <w:lang w:val="en-US"/>
        </w:rPr>
        <w:t>Ebrié</w:t>
      </w:r>
      <w:proofErr w:type="spellEnd"/>
      <w:r w:rsidRPr="00D73C18">
        <w:rPr>
          <w:rFonts w:ascii="Arial" w:hAnsi="Arial" w:cs="Arial"/>
          <w:sz w:val="20"/>
          <w:szCs w:val="20"/>
          <w:lang w:val="en-US"/>
        </w:rPr>
        <w:t xml:space="preserve"> Lagoon (Ivory Coast) with trace metals (TM): influence on sediment quality and benthic organisms. Journal of Applied Biosciences </w:t>
      </w:r>
      <w:r w:rsidR="006941B4" w:rsidRPr="00D73C18">
        <w:rPr>
          <w:rFonts w:ascii="Arial" w:hAnsi="Arial" w:cs="Arial"/>
          <w:sz w:val="20"/>
          <w:szCs w:val="20"/>
          <w:lang w:val="en-US"/>
        </w:rPr>
        <w:t>142,</w:t>
      </w:r>
      <w:r w:rsidRPr="00D73C18">
        <w:rPr>
          <w:rFonts w:ascii="Arial" w:hAnsi="Arial" w:cs="Arial"/>
          <w:sz w:val="20"/>
          <w:szCs w:val="20"/>
          <w:lang w:val="en-US"/>
        </w:rPr>
        <w:t xml:space="preserve"> 14448–14463.</w:t>
      </w:r>
    </w:p>
    <w:p w14:paraId="321C58E5" w14:textId="73D7E804" w:rsidR="00700B9F" w:rsidRPr="00D73C18" w:rsidRDefault="00700B9F" w:rsidP="00ED3175">
      <w:pPr>
        <w:jc w:val="both"/>
        <w:rPr>
          <w:rFonts w:ascii="Arial" w:hAnsi="Arial" w:cs="Arial"/>
          <w:sz w:val="20"/>
          <w:szCs w:val="20"/>
          <w:lang w:val="en-US"/>
        </w:rPr>
      </w:pPr>
      <w:r w:rsidRPr="00D73C18">
        <w:rPr>
          <w:rFonts w:ascii="Arial" w:hAnsi="Arial" w:cs="Arial"/>
          <w:sz w:val="20"/>
          <w:szCs w:val="20"/>
          <w:lang w:val="en-US"/>
        </w:rPr>
        <w:t xml:space="preserve">[16] Oumar B., </w:t>
      </w:r>
      <w:proofErr w:type="spellStart"/>
      <w:r w:rsidRPr="00D73C18">
        <w:rPr>
          <w:rFonts w:ascii="Arial" w:hAnsi="Arial" w:cs="Arial"/>
          <w:sz w:val="20"/>
          <w:szCs w:val="20"/>
          <w:lang w:val="en-US"/>
        </w:rPr>
        <w:t>Ekengele</w:t>
      </w:r>
      <w:proofErr w:type="spellEnd"/>
      <w:r w:rsidRPr="00D73C18">
        <w:rPr>
          <w:rFonts w:ascii="Arial" w:hAnsi="Arial" w:cs="Arial"/>
          <w:sz w:val="20"/>
          <w:szCs w:val="20"/>
          <w:lang w:val="en-US"/>
        </w:rPr>
        <w:t xml:space="preserve"> N. L., and Balla O. A. D.</w:t>
      </w:r>
      <w:r w:rsidR="008A1692" w:rsidRPr="00D73C18">
        <w:rPr>
          <w:rFonts w:ascii="Arial" w:hAnsi="Arial" w:cs="Arial"/>
          <w:sz w:val="20"/>
          <w:szCs w:val="20"/>
          <w:lang w:val="en-US"/>
        </w:rPr>
        <w:t xml:space="preserve"> (2014)</w:t>
      </w:r>
      <w:r w:rsidR="008F45FB" w:rsidRPr="00D73C18">
        <w:rPr>
          <w:rFonts w:ascii="Arial" w:hAnsi="Arial" w:cs="Arial"/>
          <w:sz w:val="20"/>
          <w:szCs w:val="20"/>
          <w:lang w:val="en-US"/>
        </w:rPr>
        <w:t>.</w:t>
      </w:r>
      <w:r w:rsidRPr="00D73C18">
        <w:rPr>
          <w:rFonts w:ascii="Arial" w:hAnsi="Arial" w:cs="Arial"/>
          <w:sz w:val="20"/>
          <w:szCs w:val="20"/>
          <w:lang w:val="en-US"/>
        </w:rPr>
        <w:t xml:space="preserve"> Assessment of heavy metal pollution levels in Lakes Bini and Dang, </w:t>
      </w:r>
      <w:proofErr w:type="spellStart"/>
      <w:r w:rsidRPr="00D73C18">
        <w:rPr>
          <w:rFonts w:ascii="Arial" w:hAnsi="Arial" w:cs="Arial"/>
          <w:sz w:val="20"/>
          <w:szCs w:val="20"/>
          <w:lang w:val="en-US"/>
        </w:rPr>
        <w:t>Adamaoua</w:t>
      </w:r>
      <w:proofErr w:type="spellEnd"/>
      <w:r w:rsidRPr="00D73C18">
        <w:rPr>
          <w:rFonts w:ascii="Arial" w:hAnsi="Arial" w:cs="Arial"/>
          <w:sz w:val="20"/>
          <w:szCs w:val="20"/>
          <w:lang w:val="en-US"/>
        </w:rPr>
        <w:t xml:space="preserve"> Region, Cameroon. Afrique Science, vol. 10</w:t>
      </w:r>
      <w:r w:rsidR="006941B4" w:rsidRPr="00D73C18">
        <w:rPr>
          <w:rFonts w:ascii="Arial" w:hAnsi="Arial" w:cs="Arial"/>
          <w:sz w:val="20"/>
          <w:szCs w:val="20"/>
          <w:lang w:val="en-US"/>
        </w:rPr>
        <w:t>,</w:t>
      </w:r>
      <w:r w:rsidRPr="00D73C18">
        <w:rPr>
          <w:rFonts w:ascii="Arial" w:hAnsi="Arial" w:cs="Arial"/>
          <w:sz w:val="20"/>
          <w:szCs w:val="20"/>
          <w:lang w:val="en-US"/>
        </w:rPr>
        <w:t xml:space="preserve"> pp. 184–198.</w:t>
      </w:r>
    </w:p>
    <w:p w14:paraId="048B1027" w14:textId="6F7F07BD" w:rsidR="00700B9F" w:rsidRPr="00D73C18" w:rsidRDefault="00700B9F" w:rsidP="00ED3175">
      <w:pPr>
        <w:jc w:val="both"/>
        <w:rPr>
          <w:rFonts w:ascii="Arial" w:hAnsi="Arial" w:cs="Arial"/>
          <w:sz w:val="20"/>
          <w:szCs w:val="20"/>
          <w:lang w:val="en-US"/>
        </w:rPr>
      </w:pPr>
      <w:r w:rsidRPr="00D73C18">
        <w:rPr>
          <w:rFonts w:ascii="Arial" w:hAnsi="Arial" w:cs="Arial"/>
          <w:sz w:val="20"/>
          <w:szCs w:val="20"/>
          <w:lang w:val="en-US"/>
        </w:rPr>
        <w:t xml:space="preserve">[17] </w:t>
      </w:r>
      <w:proofErr w:type="spellStart"/>
      <w:r w:rsidRPr="00D73C18">
        <w:rPr>
          <w:rFonts w:ascii="Arial" w:hAnsi="Arial" w:cs="Arial"/>
          <w:sz w:val="20"/>
          <w:szCs w:val="20"/>
          <w:lang w:val="en-US"/>
        </w:rPr>
        <w:t>Metongo</w:t>
      </w:r>
      <w:proofErr w:type="spellEnd"/>
      <w:r w:rsidRPr="00D73C18">
        <w:rPr>
          <w:rFonts w:ascii="Arial" w:hAnsi="Arial" w:cs="Arial"/>
          <w:sz w:val="20"/>
          <w:szCs w:val="20"/>
          <w:lang w:val="en-US"/>
        </w:rPr>
        <w:t xml:space="preserve"> B. S., Kouassi A. M., and Kaba N.</w:t>
      </w:r>
      <w:r w:rsidR="008A1692" w:rsidRPr="00D73C18">
        <w:rPr>
          <w:rFonts w:ascii="Arial" w:hAnsi="Arial" w:cs="Arial"/>
          <w:sz w:val="20"/>
          <w:szCs w:val="20"/>
          <w:lang w:val="en-US"/>
        </w:rPr>
        <w:t xml:space="preserve"> (1993)</w:t>
      </w:r>
      <w:r w:rsidR="008F45FB" w:rsidRPr="00D73C18">
        <w:rPr>
          <w:rFonts w:ascii="Arial" w:hAnsi="Arial" w:cs="Arial"/>
          <w:sz w:val="20"/>
          <w:szCs w:val="20"/>
          <w:lang w:val="en-US"/>
        </w:rPr>
        <w:t>.</w:t>
      </w:r>
      <w:r w:rsidRPr="00D73C18">
        <w:rPr>
          <w:rFonts w:ascii="Arial" w:hAnsi="Arial" w:cs="Arial"/>
          <w:sz w:val="20"/>
          <w:szCs w:val="20"/>
          <w:lang w:val="en-US"/>
        </w:rPr>
        <w:t xml:space="preserve"> Quantitative and qualitative assessment of effluents and pollutants; the case of Côte d’Ivoire and the city of Abidjan. Oceanographic Research Center, Abidjan, Côte d’Ivoire, p. 94. </w:t>
      </w:r>
    </w:p>
    <w:p w14:paraId="65F75C2B" w14:textId="5B6B95F8" w:rsidR="00700B9F" w:rsidRPr="00D73C18" w:rsidRDefault="00700B9F" w:rsidP="00ED3175">
      <w:pPr>
        <w:jc w:val="both"/>
        <w:rPr>
          <w:rFonts w:ascii="Arial" w:hAnsi="Arial" w:cs="Arial"/>
          <w:sz w:val="20"/>
          <w:szCs w:val="20"/>
          <w:lang w:val="en-US"/>
        </w:rPr>
      </w:pPr>
      <w:r w:rsidRPr="00D73C18">
        <w:rPr>
          <w:rFonts w:ascii="Arial" w:hAnsi="Arial" w:cs="Arial"/>
          <w:sz w:val="20"/>
          <w:szCs w:val="20"/>
          <w:lang w:val="en-US"/>
        </w:rPr>
        <w:t>[18] Environment Canada</w:t>
      </w:r>
      <w:r w:rsidR="000049E3" w:rsidRPr="00D73C18">
        <w:rPr>
          <w:rFonts w:ascii="Arial" w:hAnsi="Arial" w:cs="Arial"/>
          <w:sz w:val="20"/>
          <w:szCs w:val="20"/>
          <w:lang w:val="en-US"/>
        </w:rPr>
        <w:t xml:space="preserve"> (</w:t>
      </w:r>
      <w:r w:rsidR="00E574E7" w:rsidRPr="00D73C18">
        <w:rPr>
          <w:rFonts w:ascii="Arial" w:hAnsi="Arial" w:cs="Arial"/>
          <w:sz w:val="20"/>
          <w:szCs w:val="20"/>
          <w:lang w:val="en-US"/>
        </w:rPr>
        <w:t>1997</w:t>
      </w:r>
      <w:r w:rsidR="000049E3" w:rsidRPr="00D73C18">
        <w:rPr>
          <w:rFonts w:ascii="Arial" w:hAnsi="Arial" w:cs="Arial"/>
          <w:sz w:val="20"/>
          <w:szCs w:val="20"/>
          <w:lang w:val="en-US"/>
        </w:rPr>
        <w:t>)</w:t>
      </w:r>
      <w:r w:rsidRPr="00D73C18">
        <w:rPr>
          <w:rFonts w:ascii="Arial" w:hAnsi="Arial" w:cs="Arial"/>
          <w:sz w:val="20"/>
          <w:szCs w:val="20"/>
          <w:lang w:val="en-US"/>
        </w:rPr>
        <w:t xml:space="preserve">. Canadian sediment quality guidelines for cadmium: Supporting document. Environmental Conservation Service, Ecosystem Science Branch, Environmental Quality and Science Policy Directorate, Guidelines and Standards Division, Ottawa. </w:t>
      </w:r>
    </w:p>
    <w:p w14:paraId="707BC43A" w14:textId="7E6AC427" w:rsidR="00625EA4" w:rsidRPr="00D73C18" w:rsidRDefault="00625EA4" w:rsidP="00ED3175">
      <w:pPr>
        <w:jc w:val="both"/>
        <w:rPr>
          <w:rFonts w:ascii="Arial" w:hAnsi="Arial" w:cs="Arial"/>
          <w:sz w:val="20"/>
          <w:szCs w:val="20"/>
          <w:lang w:val="en-US"/>
        </w:rPr>
      </w:pPr>
      <w:r w:rsidRPr="00D73C18">
        <w:rPr>
          <w:rFonts w:ascii="Arial" w:hAnsi="Arial" w:cs="Arial"/>
          <w:sz w:val="20"/>
          <w:szCs w:val="20"/>
          <w:lang w:val="en-US"/>
        </w:rPr>
        <w:t xml:space="preserve">[19] Charbonnier E. (2014). Characterization and Interpretation of Natural Concentrations of Trace Metals and Metalloids in the SAN Ouest Provence Region, Internship Thesis, University of Burgundy, 46 p. </w:t>
      </w:r>
    </w:p>
    <w:p w14:paraId="14E09A0B" w14:textId="78644344" w:rsidR="00625EA4" w:rsidRPr="00D73C18" w:rsidRDefault="00625EA4" w:rsidP="00ED3175">
      <w:pPr>
        <w:jc w:val="both"/>
        <w:rPr>
          <w:rFonts w:ascii="Arial" w:hAnsi="Arial" w:cs="Arial"/>
          <w:sz w:val="20"/>
          <w:szCs w:val="20"/>
        </w:rPr>
      </w:pPr>
      <w:r w:rsidRPr="00D73C18">
        <w:rPr>
          <w:rFonts w:ascii="Arial" w:hAnsi="Arial" w:cs="Arial"/>
          <w:sz w:val="20"/>
          <w:szCs w:val="20"/>
          <w:lang w:val="en-US"/>
        </w:rPr>
        <w:t xml:space="preserve">[20] Coulibaly A. S., Toure M., </w:t>
      </w:r>
      <w:proofErr w:type="spellStart"/>
      <w:r w:rsidRPr="00D73C18">
        <w:rPr>
          <w:rFonts w:ascii="Arial" w:hAnsi="Arial" w:cs="Arial"/>
          <w:sz w:val="20"/>
          <w:szCs w:val="20"/>
          <w:lang w:val="en-US"/>
        </w:rPr>
        <w:t>Diangone</w:t>
      </w:r>
      <w:proofErr w:type="spellEnd"/>
      <w:r w:rsidRPr="00D73C18">
        <w:rPr>
          <w:rFonts w:ascii="Arial" w:hAnsi="Arial" w:cs="Arial"/>
          <w:sz w:val="20"/>
          <w:szCs w:val="20"/>
          <w:lang w:val="en-US"/>
        </w:rPr>
        <w:t xml:space="preserve"> E., Monde S., Kouame A., and Blanc G.</w:t>
      </w:r>
      <w:r w:rsidR="00E574E7" w:rsidRPr="00D73C18">
        <w:rPr>
          <w:rFonts w:ascii="Arial" w:hAnsi="Arial" w:cs="Arial"/>
          <w:sz w:val="20"/>
          <w:szCs w:val="20"/>
          <w:lang w:val="en-US"/>
        </w:rPr>
        <w:t xml:space="preserve"> (2014)</w:t>
      </w:r>
      <w:r w:rsidR="005623C2" w:rsidRPr="00D73C18">
        <w:rPr>
          <w:rFonts w:ascii="Arial" w:hAnsi="Arial" w:cs="Arial"/>
          <w:sz w:val="20"/>
          <w:szCs w:val="20"/>
          <w:lang w:val="en-US"/>
        </w:rPr>
        <w:t>.</w:t>
      </w:r>
      <w:r w:rsidRPr="00D73C18">
        <w:rPr>
          <w:rFonts w:ascii="Arial" w:hAnsi="Arial" w:cs="Arial"/>
          <w:sz w:val="20"/>
          <w:szCs w:val="20"/>
          <w:lang w:val="en-US"/>
        </w:rPr>
        <w:t xml:space="preserve"> Impacts of accidental discharges on the environmental quality of sediments in the Abidjan harbor basin (</w:t>
      </w:r>
      <w:proofErr w:type="spellStart"/>
      <w:r w:rsidRPr="00D73C18">
        <w:rPr>
          <w:rFonts w:ascii="Arial" w:hAnsi="Arial" w:cs="Arial"/>
          <w:sz w:val="20"/>
          <w:szCs w:val="20"/>
          <w:lang w:val="en-US"/>
        </w:rPr>
        <w:t>Ebrié</w:t>
      </w:r>
      <w:proofErr w:type="spellEnd"/>
      <w:r w:rsidRPr="00D73C18">
        <w:rPr>
          <w:rFonts w:ascii="Arial" w:hAnsi="Arial" w:cs="Arial"/>
          <w:sz w:val="20"/>
          <w:szCs w:val="20"/>
          <w:lang w:val="en-US"/>
        </w:rPr>
        <w:t xml:space="preserve"> Lagoon; Ivory Coast). Int. J. Biol. Chem. Sci., Vol. 8, No. </w:t>
      </w:r>
      <w:r w:rsidRPr="00D73C18">
        <w:rPr>
          <w:rFonts w:ascii="Arial" w:hAnsi="Arial" w:cs="Arial"/>
          <w:sz w:val="20"/>
          <w:szCs w:val="20"/>
        </w:rPr>
        <w:t>6, pp. 2842–2848.</w:t>
      </w:r>
    </w:p>
    <w:p w14:paraId="03CA4F0B" w14:textId="4BA30B40" w:rsidR="00D35875" w:rsidRPr="00D73C18" w:rsidRDefault="00D35875" w:rsidP="00ED3175">
      <w:pPr>
        <w:jc w:val="both"/>
        <w:rPr>
          <w:rFonts w:ascii="Arial" w:hAnsi="Arial" w:cs="Arial"/>
          <w:sz w:val="20"/>
          <w:szCs w:val="20"/>
          <w:lang w:val="en-US"/>
        </w:rPr>
      </w:pPr>
      <w:r w:rsidRPr="00D73C18">
        <w:rPr>
          <w:rFonts w:ascii="Arial" w:hAnsi="Arial" w:cs="Arial"/>
          <w:sz w:val="20"/>
          <w:szCs w:val="20"/>
          <w:lang w:val="en-US"/>
        </w:rPr>
        <w:br w:type="page"/>
      </w:r>
    </w:p>
    <w:p w14:paraId="56DD6360" w14:textId="77777777" w:rsidR="00D35875" w:rsidRPr="00D73C18" w:rsidRDefault="00D35875" w:rsidP="00ED3175">
      <w:pPr>
        <w:jc w:val="both"/>
        <w:rPr>
          <w:rFonts w:ascii="Arial" w:hAnsi="Arial" w:cs="Arial"/>
          <w:sz w:val="20"/>
          <w:szCs w:val="20"/>
          <w:lang w:val="en-US"/>
        </w:rPr>
      </w:pPr>
    </w:p>
    <w:p w14:paraId="180412A5" w14:textId="6FF72377" w:rsidR="00A21449" w:rsidRPr="00D73C18" w:rsidRDefault="00A21449" w:rsidP="00ED3175">
      <w:pPr>
        <w:jc w:val="both"/>
        <w:rPr>
          <w:rFonts w:ascii="Arial" w:hAnsi="Arial" w:cs="Arial"/>
          <w:sz w:val="20"/>
          <w:szCs w:val="20"/>
          <w:lang w:val="en-US"/>
        </w:rPr>
      </w:pPr>
    </w:p>
    <w:sectPr w:rsidR="00A21449" w:rsidRPr="00D73C18" w:rsidSect="002917A4">
      <w:pgSz w:w="12240" w:h="1584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2C52" w14:textId="77777777" w:rsidR="008A313A" w:rsidRDefault="008A313A" w:rsidP="0032202A">
      <w:pPr>
        <w:spacing w:after="0" w:line="240" w:lineRule="auto"/>
      </w:pPr>
      <w:r>
        <w:separator/>
      </w:r>
    </w:p>
  </w:endnote>
  <w:endnote w:type="continuationSeparator" w:id="0">
    <w:p w14:paraId="0C665D83" w14:textId="77777777" w:rsidR="008A313A" w:rsidRDefault="008A313A" w:rsidP="0032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8818" w14:textId="77777777" w:rsidR="0032202A" w:rsidRDefault="00322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367A" w14:textId="77777777" w:rsidR="0032202A" w:rsidRDefault="003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2341" w14:textId="77777777" w:rsidR="0032202A" w:rsidRDefault="003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67CB" w14:textId="77777777" w:rsidR="008A313A" w:rsidRDefault="008A313A" w:rsidP="0032202A">
      <w:pPr>
        <w:spacing w:after="0" w:line="240" w:lineRule="auto"/>
      </w:pPr>
      <w:r>
        <w:separator/>
      </w:r>
    </w:p>
  </w:footnote>
  <w:footnote w:type="continuationSeparator" w:id="0">
    <w:p w14:paraId="23F1B35F" w14:textId="77777777" w:rsidR="008A313A" w:rsidRDefault="008A313A" w:rsidP="00322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4B79" w14:textId="1912DA04" w:rsidR="0032202A" w:rsidRDefault="0032202A">
    <w:pPr>
      <w:pStyle w:val="Header"/>
    </w:pPr>
    <w:r>
      <w:rPr>
        <w:noProof/>
      </w:rPr>
      <w:pict w14:anchorId="265EA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816657" o:spid="_x0000_s1026" type="#_x0000_t136" style="position:absolute;margin-left:0;margin-top:0;width:558.3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876C" w14:textId="03ADBC21" w:rsidR="0032202A" w:rsidRDefault="0032202A">
    <w:pPr>
      <w:pStyle w:val="Header"/>
    </w:pPr>
    <w:r>
      <w:rPr>
        <w:noProof/>
      </w:rPr>
      <w:pict w14:anchorId="22070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816658" o:spid="_x0000_s1027" type="#_x0000_t136" style="position:absolute;margin-left:0;margin-top:0;width:558.3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CE7A" w14:textId="44BF763C" w:rsidR="0032202A" w:rsidRDefault="0032202A">
    <w:pPr>
      <w:pStyle w:val="Header"/>
    </w:pPr>
    <w:r>
      <w:rPr>
        <w:noProof/>
      </w:rPr>
      <w:pict w14:anchorId="31F5F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816656" o:spid="_x0000_s1025" type="#_x0000_t136" style="position:absolute;margin-left:0;margin-top:0;width:558.3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A1"/>
    <w:rsid w:val="00002C42"/>
    <w:rsid w:val="000049E3"/>
    <w:rsid w:val="00013E95"/>
    <w:rsid w:val="00024042"/>
    <w:rsid w:val="00027449"/>
    <w:rsid w:val="00033235"/>
    <w:rsid w:val="0003671F"/>
    <w:rsid w:val="00090A0B"/>
    <w:rsid w:val="000A71D1"/>
    <w:rsid w:val="000C2D34"/>
    <w:rsid w:val="000D667D"/>
    <w:rsid w:val="000E0643"/>
    <w:rsid w:val="00130DBC"/>
    <w:rsid w:val="00142417"/>
    <w:rsid w:val="00161AA5"/>
    <w:rsid w:val="00166705"/>
    <w:rsid w:val="0017547A"/>
    <w:rsid w:val="00183DA0"/>
    <w:rsid w:val="0019456B"/>
    <w:rsid w:val="001C5797"/>
    <w:rsid w:val="001F46A9"/>
    <w:rsid w:val="00207C5F"/>
    <w:rsid w:val="0022134A"/>
    <w:rsid w:val="00222BA1"/>
    <w:rsid w:val="00240215"/>
    <w:rsid w:val="002917A4"/>
    <w:rsid w:val="002D3EAF"/>
    <w:rsid w:val="00307774"/>
    <w:rsid w:val="00312D8B"/>
    <w:rsid w:val="0032202A"/>
    <w:rsid w:val="00322EDC"/>
    <w:rsid w:val="003253A7"/>
    <w:rsid w:val="003341FE"/>
    <w:rsid w:val="00354835"/>
    <w:rsid w:val="003A0C9E"/>
    <w:rsid w:val="003F4F15"/>
    <w:rsid w:val="00405EDD"/>
    <w:rsid w:val="0041356B"/>
    <w:rsid w:val="00460120"/>
    <w:rsid w:val="004A3839"/>
    <w:rsid w:val="004B0EAF"/>
    <w:rsid w:val="004B5D00"/>
    <w:rsid w:val="004D1B68"/>
    <w:rsid w:val="00505043"/>
    <w:rsid w:val="0051636A"/>
    <w:rsid w:val="00524713"/>
    <w:rsid w:val="005623C2"/>
    <w:rsid w:val="005B786E"/>
    <w:rsid w:val="005E0F62"/>
    <w:rsid w:val="005E709C"/>
    <w:rsid w:val="00602A04"/>
    <w:rsid w:val="00604774"/>
    <w:rsid w:val="00615356"/>
    <w:rsid w:val="006156B6"/>
    <w:rsid w:val="0062157C"/>
    <w:rsid w:val="00625EA4"/>
    <w:rsid w:val="00642623"/>
    <w:rsid w:val="00663B58"/>
    <w:rsid w:val="006941B4"/>
    <w:rsid w:val="006E7AD4"/>
    <w:rsid w:val="0070017D"/>
    <w:rsid w:val="00700B9F"/>
    <w:rsid w:val="0070236F"/>
    <w:rsid w:val="00705055"/>
    <w:rsid w:val="00733534"/>
    <w:rsid w:val="007363EB"/>
    <w:rsid w:val="0074519D"/>
    <w:rsid w:val="007513B1"/>
    <w:rsid w:val="008014B9"/>
    <w:rsid w:val="008169E9"/>
    <w:rsid w:val="008A07A1"/>
    <w:rsid w:val="008A1692"/>
    <w:rsid w:val="008A313A"/>
    <w:rsid w:val="008A7C9E"/>
    <w:rsid w:val="008F45FB"/>
    <w:rsid w:val="009048D0"/>
    <w:rsid w:val="00935B17"/>
    <w:rsid w:val="00943B58"/>
    <w:rsid w:val="009623DE"/>
    <w:rsid w:val="00965A20"/>
    <w:rsid w:val="009C0185"/>
    <w:rsid w:val="009F1635"/>
    <w:rsid w:val="00A21449"/>
    <w:rsid w:val="00A90CDD"/>
    <w:rsid w:val="00AB1E68"/>
    <w:rsid w:val="00AB2FE3"/>
    <w:rsid w:val="00AB3053"/>
    <w:rsid w:val="00AE5EAF"/>
    <w:rsid w:val="00AF4274"/>
    <w:rsid w:val="00B10CA2"/>
    <w:rsid w:val="00B43D92"/>
    <w:rsid w:val="00B531B8"/>
    <w:rsid w:val="00BA68FF"/>
    <w:rsid w:val="00BF0FAB"/>
    <w:rsid w:val="00C30885"/>
    <w:rsid w:val="00C73E11"/>
    <w:rsid w:val="00C84A9B"/>
    <w:rsid w:val="00C93F59"/>
    <w:rsid w:val="00CC429D"/>
    <w:rsid w:val="00CD4CC2"/>
    <w:rsid w:val="00CE2DFA"/>
    <w:rsid w:val="00CF6ED2"/>
    <w:rsid w:val="00CF75AA"/>
    <w:rsid w:val="00D17629"/>
    <w:rsid w:val="00D2193F"/>
    <w:rsid w:val="00D35875"/>
    <w:rsid w:val="00D73C18"/>
    <w:rsid w:val="00D87C7F"/>
    <w:rsid w:val="00D97F82"/>
    <w:rsid w:val="00DC4B40"/>
    <w:rsid w:val="00E0089D"/>
    <w:rsid w:val="00E21332"/>
    <w:rsid w:val="00E574E7"/>
    <w:rsid w:val="00E94702"/>
    <w:rsid w:val="00EA1590"/>
    <w:rsid w:val="00EA2B0F"/>
    <w:rsid w:val="00ED2A20"/>
    <w:rsid w:val="00ED3175"/>
    <w:rsid w:val="00F04982"/>
    <w:rsid w:val="00F13C7D"/>
    <w:rsid w:val="00F70F95"/>
    <w:rsid w:val="00FB5388"/>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C1B1B"/>
  <w15:chartTrackingRefBased/>
  <w15:docId w15:val="{29A7EA86-A11E-43CD-A3A5-50A9E9F9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7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7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7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7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7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7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7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7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7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7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7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7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7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7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7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7A1"/>
    <w:rPr>
      <w:rFonts w:eastAsiaTheme="majorEastAsia" w:cstheme="majorBidi"/>
      <w:color w:val="272727" w:themeColor="text1" w:themeTint="D8"/>
    </w:rPr>
  </w:style>
  <w:style w:type="paragraph" w:styleId="Title">
    <w:name w:val="Title"/>
    <w:basedOn w:val="Normal"/>
    <w:next w:val="Normal"/>
    <w:link w:val="TitleChar"/>
    <w:uiPriority w:val="10"/>
    <w:qFormat/>
    <w:rsid w:val="008A0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7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7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7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7A1"/>
    <w:pPr>
      <w:spacing w:before="160"/>
      <w:jc w:val="center"/>
    </w:pPr>
    <w:rPr>
      <w:i/>
      <w:iCs/>
      <w:color w:val="404040" w:themeColor="text1" w:themeTint="BF"/>
    </w:rPr>
  </w:style>
  <w:style w:type="character" w:customStyle="1" w:styleId="QuoteChar">
    <w:name w:val="Quote Char"/>
    <w:basedOn w:val="DefaultParagraphFont"/>
    <w:link w:val="Quote"/>
    <w:uiPriority w:val="29"/>
    <w:rsid w:val="008A07A1"/>
    <w:rPr>
      <w:i/>
      <w:iCs/>
      <w:color w:val="404040" w:themeColor="text1" w:themeTint="BF"/>
    </w:rPr>
  </w:style>
  <w:style w:type="paragraph" w:styleId="ListParagraph">
    <w:name w:val="List Paragraph"/>
    <w:basedOn w:val="Normal"/>
    <w:uiPriority w:val="34"/>
    <w:qFormat/>
    <w:rsid w:val="008A07A1"/>
    <w:pPr>
      <w:ind w:left="720"/>
      <w:contextualSpacing/>
    </w:pPr>
  </w:style>
  <w:style w:type="character" w:styleId="IntenseEmphasis">
    <w:name w:val="Intense Emphasis"/>
    <w:basedOn w:val="DefaultParagraphFont"/>
    <w:uiPriority w:val="21"/>
    <w:qFormat/>
    <w:rsid w:val="008A07A1"/>
    <w:rPr>
      <w:i/>
      <w:iCs/>
      <w:color w:val="0F4761" w:themeColor="accent1" w:themeShade="BF"/>
    </w:rPr>
  </w:style>
  <w:style w:type="paragraph" w:styleId="IntenseQuote">
    <w:name w:val="Intense Quote"/>
    <w:basedOn w:val="Normal"/>
    <w:next w:val="Normal"/>
    <w:link w:val="IntenseQuoteChar"/>
    <w:uiPriority w:val="30"/>
    <w:qFormat/>
    <w:rsid w:val="008A0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7A1"/>
    <w:rPr>
      <w:i/>
      <w:iCs/>
      <w:color w:val="0F4761" w:themeColor="accent1" w:themeShade="BF"/>
    </w:rPr>
  </w:style>
  <w:style w:type="character" w:styleId="IntenseReference">
    <w:name w:val="Intense Reference"/>
    <w:basedOn w:val="DefaultParagraphFont"/>
    <w:uiPriority w:val="32"/>
    <w:qFormat/>
    <w:rsid w:val="008A07A1"/>
    <w:rPr>
      <w:b/>
      <w:bCs/>
      <w:smallCaps/>
      <w:color w:val="0F4761" w:themeColor="accent1" w:themeShade="BF"/>
      <w:spacing w:val="5"/>
    </w:rPr>
  </w:style>
  <w:style w:type="character" w:styleId="Hyperlink">
    <w:name w:val="Hyperlink"/>
    <w:basedOn w:val="DefaultParagraphFont"/>
    <w:uiPriority w:val="99"/>
    <w:unhideWhenUsed/>
    <w:rsid w:val="008A07A1"/>
    <w:rPr>
      <w:color w:val="467886" w:themeColor="hyperlink"/>
      <w:u w:val="single"/>
    </w:rPr>
  </w:style>
  <w:style w:type="character" w:styleId="UnresolvedMention">
    <w:name w:val="Unresolved Mention"/>
    <w:basedOn w:val="DefaultParagraphFont"/>
    <w:uiPriority w:val="99"/>
    <w:semiHidden/>
    <w:unhideWhenUsed/>
    <w:rsid w:val="008A07A1"/>
    <w:rPr>
      <w:color w:val="605E5C"/>
      <w:shd w:val="clear" w:color="auto" w:fill="E1DFDD"/>
    </w:rPr>
  </w:style>
  <w:style w:type="table" w:customStyle="1" w:styleId="TableGrid">
    <w:name w:val="TableGrid"/>
    <w:rsid w:val="00A21449"/>
    <w:pPr>
      <w:spacing w:after="0" w:line="240" w:lineRule="auto"/>
    </w:pPr>
    <w:rPr>
      <w:rFonts w:eastAsiaTheme="minorEastAsia"/>
      <w:kern w:val="0"/>
      <w:lang w:val="fr-FR" w:eastAsia="fr-FR"/>
      <w14:ligatures w14:val="none"/>
    </w:rPr>
    <w:tblPr>
      <w:tblCellMar>
        <w:top w:w="0" w:type="dxa"/>
        <w:left w:w="0" w:type="dxa"/>
        <w:bottom w:w="0" w:type="dxa"/>
        <w:right w:w="0" w:type="dxa"/>
      </w:tblCellMar>
    </w:tblPr>
  </w:style>
  <w:style w:type="table" w:styleId="TableGrid0">
    <w:name w:val="Table Grid"/>
    <w:basedOn w:val="TableNormal"/>
    <w:uiPriority w:val="59"/>
    <w:rsid w:val="00A90CDD"/>
    <w:pPr>
      <w:spacing w:after="0" w:line="240" w:lineRule="auto"/>
    </w:pPr>
    <w:rPr>
      <w:rFonts w:ascii="Calibri" w:eastAsia="Calibri" w:hAnsi="Calibri" w:cs="Times New Roman"/>
      <w:kern w:val="0"/>
      <w:sz w:val="20"/>
      <w:szCs w:val="20"/>
      <w:lang w:val="fr-FR" w:eastAsia="fr-F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22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02A"/>
  </w:style>
  <w:style w:type="paragraph" w:styleId="Footer">
    <w:name w:val="footer"/>
    <w:basedOn w:val="Normal"/>
    <w:link w:val="FooterChar"/>
    <w:uiPriority w:val="99"/>
    <w:unhideWhenUsed/>
    <w:rsid w:val="00322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1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2.xml"/><Relationship Id="rId17" Type="http://schemas.openxmlformats.org/officeDocument/2006/relationships/chart" Target="charts/chart4.xml"/><Relationship Id="rId2" Type="http://schemas.openxmlformats.org/officeDocument/2006/relationships/settings" Target="setting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ysClr val="windowText" lastClr="000000"/>
                </a:solidFill>
                <a:latin typeface="Times New Roman" panose="02020603050405020304" pitchFamily="18" charset="0"/>
                <a:cs typeface="Times New Roman" panose="02020603050405020304" pitchFamily="18" charset="0"/>
              </a:rPr>
              <a:t>Copper</a:t>
            </a:r>
          </a:p>
        </c:rich>
      </c:tx>
      <c:overlay val="0"/>
      <c:spPr>
        <a:noFill/>
        <a:ln>
          <a:noFill/>
        </a:ln>
        <a:effectLst/>
      </c:spPr>
    </c:title>
    <c:autoTitleDeleted val="0"/>
    <c:plotArea>
      <c:layout/>
      <c:scatterChart>
        <c:scatterStyle val="lineMarker"/>
        <c:varyColors val="0"/>
        <c:ser>
          <c:idx val="0"/>
          <c:order val="0"/>
          <c:tx>
            <c:strRef>
              <c:f>Cuivre!$B$1</c:f>
              <c:strCache>
                <c:ptCount val="1"/>
                <c:pt idx="0">
                  <c:v>Cu</c:v>
                </c:pt>
              </c:strCache>
            </c:strRef>
          </c:tx>
          <c:spPr>
            <a:ln w="19050" cap="rnd">
              <a:noFill/>
              <a:round/>
            </a:ln>
            <a:effectLst/>
          </c:spPr>
          <c:marker>
            <c:symbol val="circle"/>
            <c:size val="5"/>
            <c:spPr>
              <a:solidFill>
                <a:schemeClr val="accent1"/>
              </a:solidFill>
              <a:ln w="9525">
                <a:solidFill>
                  <a:schemeClr val="accent1"/>
                </a:solidFill>
              </a:ln>
              <a:effectLst/>
            </c:spPr>
          </c:marker>
          <c:xVal>
            <c:strRef>
              <c:f>Cuivre!$A$2:$A$7</c:f>
              <c:strCache>
                <c:ptCount val="6"/>
                <c:pt idx="0">
                  <c:v>bananier</c:v>
                </c:pt>
                <c:pt idx="1">
                  <c:v>Qi5 bis</c:v>
                </c:pt>
                <c:pt idx="2">
                  <c:v>Mouillage</c:v>
                </c:pt>
                <c:pt idx="3">
                  <c:v>Mol port</c:v>
                </c:pt>
                <c:pt idx="4">
                  <c:v>Carena</c:v>
                </c:pt>
                <c:pt idx="5">
                  <c:v>Pont FHB</c:v>
                </c:pt>
              </c:strCache>
            </c:strRef>
          </c:xVal>
          <c:yVal>
            <c:numRef>
              <c:f>Cuivre!$B$2:$B$7</c:f>
              <c:numCache>
                <c:formatCode>General</c:formatCode>
                <c:ptCount val="6"/>
                <c:pt idx="0">
                  <c:v>13.239999999999998</c:v>
                </c:pt>
                <c:pt idx="1">
                  <c:v>7.1949999999999994</c:v>
                </c:pt>
                <c:pt idx="2">
                  <c:v>528.79999999999995</c:v>
                </c:pt>
                <c:pt idx="3">
                  <c:v>11.18</c:v>
                </c:pt>
                <c:pt idx="4">
                  <c:v>4.2489999999999997</c:v>
                </c:pt>
                <c:pt idx="5">
                  <c:v>2.718</c:v>
                </c:pt>
              </c:numCache>
            </c:numRef>
          </c:yVal>
          <c:smooth val="0"/>
          <c:extLst>
            <c:ext xmlns:c16="http://schemas.microsoft.com/office/drawing/2014/chart" uri="{C3380CC4-5D6E-409C-BE32-E72D297353CC}">
              <c16:uniqueId val="{00000000-F2EC-4FA2-9A28-D396ECBE1FB6}"/>
            </c:ext>
          </c:extLst>
        </c:ser>
        <c:ser>
          <c:idx val="1"/>
          <c:order val="1"/>
          <c:tx>
            <c:strRef>
              <c:f>Cuivre!$C$1</c:f>
              <c:strCache>
                <c:ptCount val="1"/>
                <c:pt idx="0">
                  <c:v>Tec</c:v>
                </c:pt>
              </c:strCache>
            </c:strRef>
          </c:tx>
          <c:spPr>
            <a:ln w="19050" cap="rnd">
              <a:solidFill>
                <a:schemeClr val="tx1"/>
              </a:solidFill>
              <a:prstDash val="sysDash"/>
              <a:round/>
            </a:ln>
            <a:effectLst/>
          </c:spPr>
          <c:marker>
            <c:symbol val="none"/>
          </c:marker>
          <c:xVal>
            <c:strRef>
              <c:f>Cuivre!$A$2:$A$7</c:f>
              <c:strCache>
                <c:ptCount val="6"/>
                <c:pt idx="0">
                  <c:v>bananier</c:v>
                </c:pt>
                <c:pt idx="1">
                  <c:v>Qi5 bis</c:v>
                </c:pt>
                <c:pt idx="2">
                  <c:v>Mouillage</c:v>
                </c:pt>
                <c:pt idx="3">
                  <c:v>Mol port</c:v>
                </c:pt>
                <c:pt idx="4">
                  <c:v>Carena</c:v>
                </c:pt>
                <c:pt idx="5">
                  <c:v>Pont FHB</c:v>
                </c:pt>
              </c:strCache>
            </c:strRef>
          </c:xVal>
          <c:yVal>
            <c:numRef>
              <c:f>Cuivre!$C$2:$C$7</c:f>
              <c:numCache>
                <c:formatCode>General</c:formatCode>
                <c:ptCount val="6"/>
                <c:pt idx="0">
                  <c:v>31.6</c:v>
                </c:pt>
                <c:pt idx="1">
                  <c:v>31.6</c:v>
                </c:pt>
                <c:pt idx="2">
                  <c:v>31.6</c:v>
                </c:pt>
                <c:pt idx="3">
                  <c:v>31.6</c:v>
                </c:pt>
                <c:pt idx="4">
                  <c:v>31.6</c:v>
                </c:pt>
                <c:pt idx="5">
                  <c:v>31.6</c:v>
                </c:pt>
              </c:numCache>
            </c:numRef>
          </c:yVal>
          <c:smooth val="0"/>
          <c:extLst>
            <c:ext xmlns:c16="http://schemas.microsoft.com/office/drawing/2014/chart" uri="{C3380CC4-5D6E-409C-BE32-E72D297353CC}">
              <c16:uniqueId val="{00000001-F2EC-4FA2-9A28-D396ECBE1FB6}"/>
            </c:ext>
          </c:extLst>
        </c:ser>
        <c:ser>
          <c:idx val="2"/>
          <c:order val="2"/>
          <c:tx>
            <c:strRef>
              <c:f>Cuivre!$D$1</c:f>
              <c:strCache>
                <c:ptCount val="1"/>
                <c:pt idx="0">
                  <c:v>Pec</c:v>
                </c:pt>
              </c:strCache>
            </c:strRef>
          </c:tx>
          <c:spPr>
            <a:ln w="19050" cap="rnd">
              <a:solidFill>
                <a:schemeClr val="accent3"/>
              </a:solidFill>
              <a:round/>
            </a:ln>
            <a:effectLst/>
          </c:spPr>
          <c:marker>
            <c:symbol val="none"/>
          </c:marker>
          <c:xVal>
            <c:strRef>
              <c:f>Cuivre!$A$2:$A$7</c:f>
              <c:strCache>
                <c:ptCount val="6"/>
                <c:pt idx="0">
                  <c:v>bananier</c:v>
                </c:pt>
                <c:pt idx="1">
                  <c:v>Qi5 bis</c:v>
                </c:pt>
                <c:pt idx="2">
                  <c:v>Mouillage</c:v>
                </c:pt>
                <c:pt idx="3">
                  <c:v>Mol port</c:v>
                </c:pt>
                <c:pt idx="4">
                  <c:v>Carena</c:v>
                </c:pt>
                <c:pt idx="5">
                  <c:v>Pont FHB</c:v>
                </c:pt>
              </c:strCache>
            </c:strRef>
          </c:xVal>
          <c:yVal>
            <c:numRef>
              <c:f>Cuivre!$D$2:$D$7</c:f>
              <c:numCache>
                <c:formatCode>General</c:formatCode>
                <c:ptCount val="6"/>
                <c:pt idx="0">
                  <c:v>149</c:v>
                </c:pt>
                <c:pt idx="1">
                  <c:v>149</c:v>
                </c:pt>
                <c:pt idx="2">
                  <c:v>149</c:v>
                </c:pt>
                <c:pt idx="3">
                  <c:v>149</c:v>
                </c:pt>
                <c:pt idx="4">
                  <c:v>149</c:v>
                </c:pt>
                <c:pt idx="5">
                  <c:v>149</c:v>
                </c:pt>
              </c:numCache>
            </c:numRef>
          </c:yVal>
          <c:smooth val="0"/>
          <c:extLst>
            <c:ext xmlns:c16="http://schemas.microsoft.com/office/drawing/2014/chart" uri="{C3380CC4-5D6E-409C-BE32-E72D297353CC}">
              <c16:uniqueId val="{00000002-F2EC-4FA2-9A28-D396ECBE1FB6}"/>
            </c:ext>
          </c:extLst>
        </c:ser>
        <c:dLbls>
          <c:showLegendKey val="0"/>
          <c:showVal val="0"/>
          <c:showCatName val="0"/>
          <c:showSerName val="0"/>
          <c:showPercent val="0"/>
          <c:showBubbleSize val="0"/>
        </c:dLbls>
        <c:axId val="-1787752032"/>
        <c:axId val="-1787747680"/>
      </c:scatterChart>
      <c:valAx>
        <c:axId val="-1787752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47680"/>
        <c:crosses val="autoZero"/>
        <c:crossBetween val="midCat"/>
      </c:valAx>
      <c:valAx>
        <c:axId val="-178774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Concentration en </a:t>
                </a:r>
                <a:r>
                  <a:rPr lang="fr-FR" sz="1200" b="0" i="0" u="none" strike="noStrike" baseline="0">
                    <a:effectLst/>
                    <a:latin typeface="Times New Roman" panose="02020603050405020304" pitchFamily="18" charset="0"/>
                    <a:cs typeface="Times New Roman" panose="02020603050405020304" pitchFamily="18" charset="0"/>
                  </a:rPr>
                  <a:t>(mg/kg) </a:t>
                </a:r>
                <a:endParaRPr lang="fr-CI"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20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I" sz="1200" b="1">
                <a:latin typeface="Times New Roman" panose="02020603050405020304" pitchFamily="18" charset="0"/>
                <a:cs typeface="Times New Roman" panose="02020603050405020304" pitchFamily="18" charset="0"/>
              </a:rPr>
              <a:t>Lead</a:t>
            </a:r>
          </a:p>
        </c:rich>
      </c:tx>
      <c:overlay val="0"/>
      <c:spPr>
        <a:noFill/>
        <a:ln>
          <a:noFill/>
        </a:ln>
        <a:effectLst/>
      </c:spPr>
    </c:title>
    <c:autoTitleDeleted val="0"/>
    <c:plotArea>
      <c:layout/>
      <c:scatterChart>
        <c:scatterStyle val="lineMarker"/>
        <c:varyColors val="0"/>
        <c:ser>
          <c:idx val="0"/>
          <c:order val="0"/>
          <c:tx>
            <c:v>Pb</c:v>
          </c:tx>
          <c:spPr>
            <a:ln w="25400" cap="rnd">
              <a:noFill/>
              <a:round/>
            </a:ln>
            <a:effectLst/>
          </c:spPr>
          <c:marker>
            <c:symbol val="circle"/>
            <c:size val="5"/>
            <c:spPr>
              <a:solidFill>
                <a:schemeClr val="accent1"/>
              </a:solidFill>
              <a:ln w="9525">
                <a:solidFill>
                  <a:schemeClr val="accent1"/>
                </a:solidFill>
              </a:ln>
              <a:effectLst/>
            </c:spPr>
          </c:marker>
          <c:xVal>
            <c:strRef>
              <c:f>Plomb!$A$2:$A$7</c:f>
              <c:strCache>
                <c:ptCount val="6"/>
                <c:pt idx="0">
                  <c:v>bananier</c:v>
                </c:pt>
                <c:pt idx="1">
                  <c:v>Qi5 bis</c:v>
                </c:pt>
                <c:pt idx="2">
                  <c:v>Mouillage</c:v>
                </c:pt>
                <c:pt idx="3">
                  <c:v>Mol port</c:v>
                </c:pt>
                <c:pt idx="4">
                  <c:v>Carena</c:v>
                </c:pt>
                <c:pt idx="5">
                  <c:v>Pont FHB</c:v>
                </c:pt>
              </c:strCache>
            </c:strRef>
          </c:xVal>
          <c:yVal>
            <c:numRef>
              <c:f>Plomb!$B$2:$B$7</c:f>
              <c:numCache>
                <c:formatCode>General</c:formatCode>
                <c:ptCount val="6"/>
                <c:pt idx="0">
                  <c:v>23.979999999999997</c:v>
                </c:pt>
                <c:pt idx="1">
                  <c:v>5.000000000000001E-3</c:v>
                </c:pt>
                <c:pt idx="2">
                  <c:v>5.000000000000001E-3</c:v>
                </c:pt>
                <c:pt idx="3">
                  <c:v>0.19400000000000001</c:v>
                </c:pt>
                <c:pt idx="4">
                  <c:v>9.5</c:v>
                </c:pt>
                <c:pt idx="5">
                  <c:v>5.000000000000001E-3</c:v>
                </c:pt>
              </c:numCache>
            </c:numRef>
          </c:yVal>
          <c:smooth val="0"/>
          <c:extLst>
            <c:ext xmlns:c16="http://schemas.microsoft.com/office/drawing/2014/chart" uri="{C3380CC4-5D6E-409C-BE32-E72D297353CC}">
              <c16:uniqueId val="{00000000-91C2-478F-B96B-A9CDA6E3495A}"/>
            </c:ext>
          </c:extLst>
        </c:ser>
        <c:ser>
          <c:idx val="1"/>
          <c:order val="1"/>
          <c:tx>
            <c:v>Tec</c:v>
          </c:tx>
          <c:spPr>
            <a:ln w="19050" cap="rnd">
              <a:solidFill>
                <a:schemeClr val="tx1"/>
              </a:solidFill>
              <a:prstDash val="sysDash"/>
              <a:round/>
            </a:ln>
            <a:effectLst/>
          </c:spPr>
          <c:marker>
            <c:symbol val="none"/>
          </c:marker>
          <c:xVal>
            <c:strRef>
              <c:f>Plomb!$A$2:$A$7</c:f>
              <c:strCache>
                <c:ptCount val="6"/>
                <c:pt idx="0">
                  <c:v>bananier</c:v>
                </c:pt>
                <c:pt idx="1">
                  <c:v>Qi5 bis</c:v>
                </c:pt>
                <c:pt idx="2">
                  <c:v>Mouillage</c:v>
                </c:pt>
                <c:pt idx="3">
                  <c:v>Mol port</c:v>
                </c:pt>
                <c:pt idx="4">
                  <c:v>Carena</c:v>
                </c:pt>
                <c:pt idx="5">
                  <c:v>Pont FHB</c:v>
                </c:pt>
              </c:strCache>
            </c:strRef>
          </c:xVal>
          <c:yVal>
            <c:numRef>
              <c:f>Plomb!$C$2:$C$7</c:f>
              <c:numCache>
                <c:formatCode>General</c:formatCode>
                <c:ptCount val="6"/>
                <c:pt idx="0">
                  <c:v>36</c:v>
                </c:pt>
                <c:pt idx="1">
                  <c:v>36</c:v>
                </c:pt>
                <c:pt idx="2">
                  <c:v>36</c:v>
                </c:pt>
                <c:pt idx="3">
                  <c:v>36</c:v>
                </c:pt>
                <c:pt idx="4">
                  <c:v>36</c:v>
                </c:pt>
                <c:pt idx="5">
                  <c:v>36</c:v>
                </c:pt>
              </c:numCache>
            </c:numRef>
          </c:yVal>
          <c:smooth val="0"/>
          <c:extLst>
            <c:ext xmlns:c16="http://schemas.microsoft.com/office/drawing/2014/chart" uri="{C3380CC4-5D6E-409C-BE32-E72D297353CC}">
              <c16:uniqueId val="{00000001-91C2-478F-B96B-A9CDA6E3495A}"/>
            </c:ext>
          </c:extLst>
        </c:ser>
        <c:ser>
          <c:idx val="2"/>
          <c:order val="2"/>
          <c:tx>
            <c:v>Pec</c:v>
          </c:tx>
          <c:spPr>
            <a:ln w="19050" cap="rnd">
              <a:solidFill>
                <a:schemeClr val="accent3"/>
              </a:solidFill>
              <a:round/>
            </a:ln>
            <a:effectLst/>
          </c:spPr>
          <c:marker>
            <c:symbol val="none"/>
          </c:marker>
          <c:xVal>
            <c:strRef>
              <c:f>Plomb!$A$2:$A$7</c:f>
              <c:strCache>
                <c:ptCount val="6"/>
                <c:pt idx="0">
                  <c:v>bananier</c:v>
                </c:pt>
                <c:pt idx="1">
                  <c:v>Qi5 bis</c:v>
                </c:pt>
                <c:pt idx="2">
                  <c:v>Mouillage</c:v>
                </c:pt>
                <c:pt idx="3">
                  <c:v>Mol port</c:v>
                </c:pt>
                <c:pt idx="4">
                  <c:v>Carena</c:v>
                </c:pt>
                <c:pt idx="5">
                  <c:v>Pont FHB</c:v>
                </c:pt>
              </c:strCache>
            </c:strRef>
          </c:xVal>
          <c:yVal>
            <c:numRef>
              <c:f>Plomb!$D$2:$D$7</c:f>
              <c:numCache>
                <c:formatCode>General</c:formatCode>
                <c:ptCount val="6"/>
                <c:pt idx="0">
                  <c:v>130</c:v>
                </c:pt>
                <c:pt idx="1">
                  <c:v>130</c:v>
                </c:pt>
                <c:pt idx="2">
                  <c:v>130</c:v>
                </c:pt>
                <c:pt idx="3">
                  <c:v>130</c:v>
                </c:pt>
                <c:pt idx="4">
                  <c:v>130</c:v>
                </c:pt>
                <c:pt idx="5">
                  <c:v>130</c:v>
                </c:pt>
              </c:numCache>
            </c:numRef>
          </c:yVal>
          <c:smooth val="0"/>
          <c:extLst>
            <c:ext xmlns:c16="http://schemas.microsoft.com/office/drawing/2014/chart" uri="{C3380CC4-5D6E-409C-BE32-E72D297353CC}">
              <c16:uniqueId val="{00000002-91C2-478F-B96B-A9CDA6E3495A}"/>
            </c:ext>
          </c:extLst>
        </c:ser>
        <c:dLbls>
          <c:showLegendKey val="0"/>
          <c:showVal val="0"/>
          <c:showCatName val="0"/>
          <c:showSerName val="0"/>
          <c:showPercent val="0"/>
          <c:showBubbleSize val="0"/>
        </c:dLbls>
        <c:axId val="-1787741696"/>
        <c:axId val="-1787738976"/>
      </c:scatterChart>
      <c:valAx>
        <c:axId val="-1787741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Echanatillons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38976"/>
        <c:crosses val="autoZero"/>
        <c:crossBetween val="midCat"/>
      </c:valAx>
      <c:valAx>
        <c:axId val="-178773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b="0" i="0" baseline="0">
                    <a:effectLst/>
                    <a:latin typeface="Times New Roman" panose="02020603050405020304" pitchFamily="18" charset="0"/>
                    <a:cs typeface="Times New Roman" panose="02020603050405020304" pitchFamily="18" charset="0"/>
                  </a:rPr>
                  <a:t>Concentration en </a:t>
                </a:r>
                <a:r>
                  <a:rPr lang="fr-FR" sz="1200" b="0" i="0" baseline="0">
                    <a:effectLst/>
                    <a:latin typeface="Times New Roman" panose="02020603050405020304" pitchFamily="18" charset="0"/>
                    <a:cs typeface="Times New Roman" panose="02020603050405020304" pitchFamily="18" charset="0"/>
                  </a:rPr>
                  <a:t>(mg/kg) </a:t>
                </a:r>
                <a:endParaRPr lang="fr-CI" sz="1200" b="0" i="0" baseline="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416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I" sz="1200" b="1">
                <a:solidFill>
                  <a:sysClr val="windowText" lastClr="000000"/>
                </a:solidFill>
                <a:latin typeface="Times New Roman" panose="02020603050405020304" pitchFamily="18" charset="0"/>
                <a:cs typeface="Times New Roman" panose="02020603050405020304" pitchFamily="18" charset="0"/>
              </a:rPr>
              <a:t>Mercury</a:t>
            </a:r>
          </a:p>
        </c:rich>
      </c:tx>
      <c:overlay val="0"/>
      <c:spPr>
        <a:noFill/>
        <a:ln>
          <a:noFill/>
        </a:ln>
        <a:effectLst/>
      </c:spPr>
    </c:title>
    <c:autoTitleDeleted val="0"/>
    <c:plotArea>
      <c:layout>
        <c:manualLayout>
          <c:layoutTarget val="inner"/>
          <c:xMode val="edge"/>
          <c:yMode val="edge"/>
          <c:x val="0.10406908379071357"/>
          <c:y val="0.1738439032557976"/>
          <c:w val="0.75257945521232938"/>
          <c:h val="0.66525381942864081"/>
        </c:manualLayout>
      </c:layout>
      <c:scatterChart>
        <c:scatterStyle val="lineMarker"/>
        <c:varyColors val="0"/>
        <c:ser>
          <c:idx val="0"/>
          <c:order val="0"/>
          <c:tx>
            <c:strRef>
              <c:f>Mercure!$B$1</c:f>
              <c:strCache>
                <c:ptCount val="1"/>
                <c:pt idx="0">
                  <c:v>Hg</c:v>
                </c:pt>
              </c:strCache>
            </c:strRef>
          </c:tx>
          <c:spPr>
            <a:ln w="25400" cap="rnd">
              <a:noFill/>
              <a:round/>
            </a:ln>
            <a:effectLst/>
          </c:spPr>
          <c:marker>
            <c:symbol val="circle"/>
            <c:size val="5"/>
            <c:spPr>
              <a:solidFill>
                <a:schemeClr val="accent1"/>
              </a:solidFill>
              <a:ln w="9525">
                <a:solidFill>
                  <a:schemeClr val="accent1"/>
                </a:solidFill>
              </a:ln>
              <a:effectLst/>
            </c:spPr>
          </c:marker>
          <c:xVal>
            <c:strRef>
              <c:f>Mercure!$A$2:$A$7</c:f>
              <c:strCache>
                <c:ptCount val="6"/>
                <c:pt idx="0">
                  <c:v>bananier</c:v>
                </c:pt>
                <c:pt idx="1">
                  <c:v>Qi5 bis</c:v>
                </c:pt>
                <c:pt idx="2">
                  <c:v>Mouillage</c:v>
                </c:pt>
                <c:pt idx="3">
                  <c:v>Mol port</c:v>
                </c:pt>
                <c:pt idx="4">
                  <c:v>Carena</c:v>
                </c:pt>
                <c:pt idx="5">
                  <c:v>Pont FHB</c:v>
                </c:pt>
              </c:strCache>
            </c:strRef>
          </c:xVal>
          <c:yVal>
            <c:numRef>
              <c:f>Mercure!$B$2:$B$7</c:f>
              <c:numCache>
                <c:formatCode>General</c:formatCode>
                <c:ptCount val="6"/>
                <c:pt idx="0">
                  <c:v>1.0000000000000002E-4</c:v>
                </c:pt>
                <c:pt idx="1">
                  <c:v>1.0000000000000002E-4</c:v>
                </c:pt>
                <c:pt idx="2">
                  <c:v>1.0000000000000002E-4</c:v>
                </c:pt>
                <c:pt idx="3">
                  <c:v>1.0000000000000002E-4</c:v>
                </c:pt>
                <c:pt idx="4">
                  <c:v>1.0000000000000002E-4</c:v>
                </c:pt>
                <c:pt idx="5">
                  <c:v>1.0000000000000002E-4</c:v>
                </c:pt>
              </c:numCache>
            </c:numRef>
          </c:yVal>
          <c:smooth val="0"/>
          <c:extLst>
            <c:ext xmlns:c16="http://schemas.microsoft.com/office/drawing/2014/chart" uri="{C3380CC4-5D6E-409C-BE32-E72D297353CC}">
              <c16:uniqueId val="{00000000-F7C2-4E15-A23A-4BB48A4405A2}"/>
            </c:ext>
          </c:extLst>
        </c:ser>
        <c:ser>
          <c:idx val="1"/>
          <c:order val="1"/>
          <c:tx>
            <c:strRef>
              <c:f>Mercure!$C$1</c:f>
              <c:strCache>
                <c:ptCount val="1"/>
                <c:pt idx="0">
                  <c:v>Tec</c:v>
                </c:pt>
              </c:strCache>
            </c:strRef>
          </c:tx>
          <c:spPr>
            <a:ln w="19050" cap="rnd">
              <a:solidFill>
                <a:schemeClr val="tx1"/>
              </a:solidFill>
              <a:prstDash val="sysDash"/>
              <a:round/>
            </a:ln>
            <a:effectLst/>
          </c:spPr>
          <c:marker>
            <c:symbol val="none"/>
          </c:marker>
          <c:xVal>
            <c:strRef>
              <c:f>Mercure!$A$2:$A$7</c:f>
              <c:strCache>
                <c:ptCount val="6"/>
                <c:pt idx="0">
                  <c:v>bananier</c:v>
                </c:pt>
                <c:pt idx="1">
                  <c:v>Qi5 bis</c:v>
                </c:pt>
                <c:pt idx="2">
                  <c:v>Mouillage</c:v>
                </c:pt>
                <c:pt idx="3">
                  <c:v>Mol port</c:v>
                </c:pt>
                <c:pt idx="4">
                  <c:v>Carena</c:v>
                </c:pt>
                <c:pt idx="5">
                  <c:v>Pont FHB</c:v>
                </c:pt>
              </c:strCache>
            </c:strRef>
          </c:xVal>
          <c:yVal>
            <c:numRef>
              <c:f>Mercure!$C$2:$C$7</c:f>
              <c:numCache>
                <c:formatCode>General</c:formatCode>
                <c:ptCount val="6"/>
                <c:pt idx="0">
                  <c:v>0.18000000000000002</c:v>
                </c:pt>
                <c:pt idx="1">
                  <c:v>0.18000000000000002</c:v>
                </c:pt>
                <c:pt idx="2">
                  <c:v>0.18000000000000002</c:v>
                </c:pt>
                <c:pt idx="3">
                  <c:v>0.18000000000000002</c:v>
                </c:pt>
                <c:pt idx="4">
                  <c:v>0.18000000000000002</c:v>
                </c:pt>
                <c:pt idx="5">
                  <c:v>0.18000000000000002</c:v>
                </c:pt>
              </c:numCache>
            </c:numRef>
          </c:yVal>
          <c:smooth val="0"/>
          <c:extLst>
            <c:ext xmlns:c16="http://schemas.microsoft.com/office/drawing/2014/chart" uri="{C3380CC4-5D6E-409C-BE32-E72D297353CC}">
              <c16:uniqueId val="{00000001-F7C2-4E15-A23A-4BB48A4405A2}"/>
            </c:ext>
          </c:extLst>
        </c:ser>
        <c:ser>
          <c:idx val="2"/>
          <c:order val="2"/>
          <c:tx>
            <c:strRef>
              <c:f>Mercure!$D$1</c:f>
              <c:strCache>
                <c:ptCount val="1"/>
                <c:pt idx="0">
                  <c:v>Pec</c:v>
                </c:pt>
              </c:strCache>
            </c:strRef>
          </c:tx>
          <c:spPr>
            <a:ln w="19050" cap="rnd">
              <a:solidFill>
                <a:schemeClr val="accent3"/>
              </a:solidFill>
              <a:round/>
            </a:ln>
            <a:effectLst/>
          </c:spPr>
          <c:marker>
            <c:symbol val="none"/>
          </c:marker>
          <c:xVal>
            <c:strRef>
              <c:f>Mercure!$A$2:$A$7</c:f>
              <c:strCache>
                <c:ptCount val="6"/>
                <c:pt idx="0">
                  <c:v>bananier</c:v>
                </c:pt>
                <c:pt idx="1">
                  <c:v>Qi5 bis</c:v>
                </c:pt>
                <c:pt idx="2">
                  <c:v>Mouillage</c:v>
                </c:pt>
                <c:pt idx="3">
                  <c:v>Mol port</c:v>
                </c:pt>
                <c:pt idx="4">
                  <c:v>Carena</c:v>
                </c:pt>
                <c:pt idx="5">
                  <c:v>Pont FHB</c:v>
                </c:pt>
              </c:strCache>
            </c:strRef>
          </c:xVal>
          <c:yVal>
            <c:numRef>
              <c:f>Mercure!$D$2:$D$7</c:f>
              <c:numCache>
                <c:formatCode>General</c:formatCode>
                <c:ptCount val="6"/>
                <c:pt idx="0">
                  <c:v>1.06</c:v>
                </c:pt>
                <c:pt idx="1">
                  <c:v>1.06</c:v>
                </c:pt>
                <c:pt idx="2">
                  <c:v>1.06</c:v>
                </c:pt>
                <c:pt idx="3">
                  <c:v>1.06</c:v>
                </c:pt>
                <c:pt idx="4">
                  <c:v>1.06</c:v>
                </c:pt>
                <c:pt idx="5">
                  <c:v>1.06</c:v>
                </c:pt>
              </c:numCache>
            </c:numRef>
          </c:yVal>
          <c:smooth val="0"/>
          <c:extLst>
            <c:ext xmlns:c16="http://schemas.microsoft.com/office/drawing/2014/chart" uri="{C3380CC4-5D6E-409C-BE32-E72D297353CC}">
              <c16:uniqueId val="{00000002-F7C2-4E15-A23A-4BB48A4405A2}"/>
            </c:ext>
          </c:extLst>
        </c:ser>
        <c:dLbls>
          <c:showLegendKey val="0"/>
          <c:showVal val="0"/>
          <c:showCatName val="0"/>
          <c:showSerName val="0"/>
          <c:showPercent val="0"/>
          <c:showBubbleSize val="0"/>
        </c:dLbls>
        <c:axId val="-1787734624"/>
        <c:axId val="-1787756384"/>
      </c:scatterChart>
      <c:valAx>
        <c:axId val="-1787734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a:t>
                </a:r>
                <a:r>
                  <a:rPr lang="fr-CI"/>
                  <a:t>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6384"/>
        <c:crosses val="autoZero"/>
        <c:crossBetween val="midCat"/>
      </c:valAx>
      <c:valAx>
        <c:axId val="-1787756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a:t>Concentration en (mg/kg)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346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ysClr val="windowText" lastClr="000000"/>
                </a:solidFill>
                <a:latin typeface="Times New Roman" panose="02020603050405020304" pitchFamily="18" charset="0"/>
                <a:cs typeface="Times New Roman" panose="02020603050405020304" pitchFamily="18" charset="0"/>
              </a:rPr>
              <a:t>Zinc</a:t>
            </a:r>
          </a:p>
        </c:rich>
      </c:tx>
      <c:overlay val="0"/>
      <c:spPr>
        <a:noFill/>
        <a:ln>
          <a:noFill/>
        </a:ln>
        <a:effectLst/>
      </c:spPr>
    </c:title>
    <c:autoTitleDeleted val="0"/>
    <c:plotArea>
      <c:layout/>
      <c:scatterChart>
        <c:scatterStyle val="lineMarker"/>
        <c:varyColors val="0"/>
        <c:ser>
          <c:idx val="0"/>
          <c:order val="0"/>
          <c:tx>
            <c:strRef>
              <c:f>Zinc!$B$1</c:f>
              <c:strCache>
                <c:ptCount val="1"/>
                <c:pt idx="0">
                  <c:v>Zn</c:v>
                </c:pt>
              </c:strCache>
            </c:strRef>
          </c:tx>
          <c:spPr>
            <a:ln w="19050" cap="rnd">
              <a:noFill/>
              <a:round/>
            </a:ln>
            <a:effectLst/>
          </c:spPr>
          <c:marker>
            <c:symbol val="circle"/>
            <c:size val="5"/>
            <c:spPr>
              <a:solidFill>
                <a:schemeClr val="accent1"/>
              </a:solidFill>
              <a:ln w="9525">
                <a:solidFill>
                  <a:schemeClr val="accent1"/>
                </a:solidFill>
              </a:ln>
              <a:effectLst/>
            </c:spPr>
          </c:marker>
          <c:xVal>
            <c:strRef>
              <c:f>Zinc!$A$2:$A$7</c:f>
              <c:strCache>
                <c:ptCount val="6"/>
                <c:pt idx="0">
                  <c:v>bananier</c:v>
                </c:pt>
                <c:pt idx="1">
                  <c:v>Qi5 bis</c:v>
                </c:pt>
                <c:pt idx="2">
                  <c:v>Mouillage</c:v>
                </c:pt>
                <c:pt idx="3">
                  <c:v>Mol port</c:v>
                </c:pt>
                <c:pt idx="4">
                  <c:v>Carena</c:v>
                </c:pt>
                <c:pt idx="5">
                  <c:v>Pont FHB</c:v>
                </c:pt>
              </c:strCache>
            </c:strRef>
          </c:xVal>
          <c:yVal>
            <c:numRef>
              <c:f>Zinc!$B$2:$B$7</c:f>
              <c:numCache>
                <c:formatCode>General</c:formatCode>
                <c:ptCount val="6"/>
                <c:pt idx="0">
                  <c:v>14.3</c:v>
                </c:pt>
                <c:pt idx="1">
                  <c:v>8.4920000000000027</c:v>
                </c:pt>
                <c:pt idx="2">
                  <c:v>681.5</c:v>
                </c:pt>
                <c:pt idx="3">
                  <c:v>29.36</c:v>
                </c:pt>
                <c:pt idx="4">
                  <c:v>2.637</c:v>
                </c:pt>
                <c:pt idx="5">
                  <c:v>1.373</c:v>
                </c:pt>
              </c:numCache>
            </c:numRef>
          </c:yVal>
          <c:smooth val="0"/>
          <c:extLst>
            <c:ext xmlns:c16="http://schemas.microsoft.com/office/drawing/2014/chart" uri="{C3380CC4-5D6E-409C-BE32-E72D297353CC}">
              <c16:uniqueId val="{00000000-81F7-4C91-91D5-E2AB8C61C7C4}"/>
            </c:ext>
          </c:extLst>
        </c:ser>
        <c:ser>
          <c:idx val="1"/>
          <c:order val="1"/>
          <c:tx>
            <c:strRef>
              <c:f>Zinc!$C$1</c:f>
              <c:strCache>
                <c:ptCount val="1"/>
                <c:pt idx="0">
                  <c:v>Tec</c:v>
                </c:pt>
              </c:strCache>
            </c:strRef>
          </c:tx>
          <c:spPr>
            <a:ln w="19050" cap="rnd">
              <a:solidFill>
                <a:schemeClr val="tx1"/>
              </a:solidFill>
              <a:prstDash val="sysDash"/>
              <a:round/>
            </a:ln>
            <a:effectLst/>
          </c:spPr>
          <c:marker>
            <c:symbol val="none"/>
          </c:marker>
          <c:xVal>
            <c:strRef>
              <c:f>Zinc!$A$2:$A$7</c:f>
              <c:strCache>
                <c:ptCount val="6"/>
                <c:pt idx="0">
                  <c:v>bananier</c:v>
                </c:pt>
                <c:pt idx="1">
                  <c:v>Qi5 bis</c:v>
                </c:pt>
                <c:pt idx="2">
                  <c:v>Mouillage</c:v>
                </c:pt>
                <c:pt idx="3">
                  <c:v>Mol port</c:v>
                </c:pt>
                <c:pt idx="4">
                  <c:v>Carena</c:v>
                </c:pt>
                <c:pt idx="5">
                  <c:v>Pont FHB</c:v>
                </c:pt>
              </c:strCache>
            </c:strRef>
          </c:xVal>
          <c:yVal>
            <c:numRef>
              <c:f>Zinc!$C$2:$C$7</c:f>
              <c:numCache>
                <c:formatCode>General</c:formatCode>
                <c:ptCount val="6"/>
                <c:pt idx="0">
                  <c:v>121</c:v>
                </c:pt>
                <c:pt idx="1">
                  <c:v>121</c:v>
                </c:pt>
                <c:pt idx="2">
                  <c:v>121</c:v>
                </c:pt>
                <c:pt idx="3">
                  <c:v>121</c:v>
                </c:pt>
                <c:pt idx="4">
                  <c:v>121</c:v>
                </c:pt>
                <c:pt idx="5">
                  <c:v>121</c:v>
                </c:pt>
              </c:numCache>
            </c:numRef>
          </c:yVal>
          <c:smooth val="0"/>
          <c:extLst>
            <c:ext xmlns:c16="http://schemas.microsoft.com/office/drawing/2014/chart" uri="{C3380CC4-5D6E-409C-BE32-E72D297353CC}">
              <c16:uniqueId val="{00000001-81F7-4C91-91D5-E2AB8C61C7C4}"/>
            </c:ext>
          </c:extLst>
        </c:ser>
        <c:ser>
          <c:idx val="2"/>
          <c:order val="2"/>
          <c:tx>
            <c:strRef>
              <c:f>Zinc!$D$1</c:f>
              <c:strCache>
                <c:ptCount val="1"/>
                <c:pt idx="0">
                  <c:v>Pec</c:v>
                </c:pt>
              </c:strCache>
            </c:strRef>
          </c:tx>
          <c:spPr>
            <a:ln w="19050" cap="rnd">
              <a:solidFill>
                <a:schemeClr val="accent3"/>
              </a:solidFill>
              <a:round/>
            </a:ln>
            <a:effectLst/>
          </c:spPr>
          <c:marker>
            <c:symbol val="none"/>
          </c:marker>
          <c:xVal>
            <c:strRef>
              <c:f>Zinc!$A$2:$A$7</c:f>
              <c:strCache>
                <c:ptCount val="6"/>
                <c:pt idx="0">
                  <c:v>bananier</c:v>
                </c:pt>
                <c:pt idx="1">
                  <c:v>Qi5 bis</c:v>
                </c:pt>
                <c:pt idx="2">
                  <c:v>Mouillage</c:v>
                </c:pt>
                <c:pt idx="3">
                  <c:v>Mol port</c:v>
                </c:pt>
                <c:pt idx="4">
                  <c:v>Carena</c:v>
                </c:pt>
                <c:pt idx="5">
                  <c:v>Pont FHB</c:v>
                </c:pt>
              </c:strCache>
            </c:strRef>
          </c:xVal>
          <c:yVal>
            <c:numRef>
              <c:f>Zinc!$D$2:$D$7</c:f>
              <c:numCache>
                <c:formatCode>General</c:formatCode>
                <c:ptCount val="6"/>
                <c:pt idx="0">
                  <c:v>459</c:v>
                </c:pt>
                <c:pt idx="1">
                  <c:v>459</c:v>
                </c:pt>
                <c:pt idx="2">
                  <c:v>459</c:v>
                </c:pt>
                <c:pt idx="3">
                  <c:v>459</c:v>
                </c:pt>
                <c:pt idx="4">
                  <c:v>459</c:v>
                </c:pt>
                <c:pt idx="5">
                  <c:v>459</c:v>
                </c:pt>
              </c:numCache>
            </c:numRef>
          </c:yVal>
          <c:smooth val="0"/>
          <c:extLst>
            <c:ext xmlns:c16="http://schemas.microsoft.com/office/drawing/2014/chart" uri="{C3380CC4-5D6E-409C-BE32-E72D297353CC}">
              <c16:uniqueId val="{00000002-81F7-4C91-91D5-E2AB8C61C7C4}"/>
            </c:ext>
          </c:extLst>
        </c:ser>
        <c:dLbls>
          <c:showLegendKey val="0"/>
          <c:showVal val="0"/>
          <c:showCatName val="0"/>
          <c:showSerName val="0"/>
          <c:showPercent val="0"/>
          <c:showBubbleSize val="0"/>
        </c:dLbls>
        <c:axId val="-1787754208"/>
        <c:axId val="-1787742240"/>
      </c:scatterChart>
      <c:valAx>
        <c:axId val="-17877542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a:t>
                </a:r>
                <a:r>
                  <a:rPr lang="fr-CI"/>
                  <a:t>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42240"/>
        <c:crosses val="autoZero"/>
        <c:crossBetween val="midCat"/>
      </c:valAx>
      <c:valAx>
        <c:axId val="-178774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Concentration en (mg/kg)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420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ysClr val="windowText" lastClr="000000"/>
                </a:solidFill>
                <a:latin typeface="Times New Roman" panose="02020603050405020304" pitchFamily="18" charset="0"/>
                <a:cs typeface="Times New Roman" panose="02020603050405020304" pitchFamily="18" charset="0"/>
              </a:rPr>
              <a:t>Arsenic</a:t>
            </a:r>
          </a:p>
        </c:rich>
      </c:tx>
      <c:layout>
        <c:manualLayout>
          <c:xMode val="edge"/>
          <c:yMode val="edge"/>
          <c:x val="0.42254402226984938"/>
          <c:y val="3.6307053941908717E-2"/>
        </c:manualLayout>
      </c:layout>
      <c:overlay val="0"/>
      <c:spPr>
        <a:noFill/>
        <a:ln>
          <a:noFill/>
        </a:ln>
        <a:effectLst/>
      </c:spPr>
    </c:title>
    <c:autoTitleDeleted val="0"/>
    <c:plotArea>
      <c:layout/>
      <c:scatterChart>
        <c:scatterStyle val="lineMarker"/>
        <c:varyColors val="0"/>
        <c:ser>
          <c:idx val="0"/>
          <c:order val="0"/>
          <c:tx>
            <c:strRef>
              <c:f>Arsenic!$B$1</c:f>
              <c:strCache>
                <c:ptCount val="1"/>
                <c:pt idx="0">
                  <c:v>As</c:v>
                </c:pt>
              </c:strCache>
            </c:strRef>
          </c:tx>
          <c:spPr>
            <a:ln w="25400" cap="rnd">
              <a:noFill/>
              <a:round/>
            </a:ln>
            <a:effectLst/>
          </c:spPr>
          <c:marker>
            <c:symbol val="circle"/>
            <c:size val="5"/>
            <c:spPr>
              <a:solidFill>
                <a:schemeClr val="accent1"/>
              </a:solidFill>
              <a:ln w="9525">
                <a:solidFill>
                  <a:schemeClr val="accent1"/>
                </a:solidFill>
              </a:ln>
              <a:effectLst/>
            </c:spPr>
          </c:marker>
          <c:xVal>
            <c:strRef>
              <c:f>Arsenic!$A$2:$A$7</c:f>
              <c:strCache>
                <c:ptCount val="6"/>
                <c:pt idx="0">
                  <c:v>bananier</c:v>
                </c:pt>
                <c:pt idx="1">
                  <c:v>Qi5 bis</c:v>
                </c:pt>
                <c:pt idx="2">
                  <c:v>Mouillage</c:v>
                </c:pt>
                <c:pt idx="3">
                  <c:v>Mol port</c:v>
                </c:pt>
                <c:pt idx="4">
                  <c:v>Carena</c:v>
                </c:pt>
                <c:pt idx="5">
                  <c:v>Pont FHB</c:v>
                </c:pt>
              </c:strCache>
            </c:strRef>
          </c:xVal>
          <c:yVal>
            <c:numRef>
              <c:f>Arsenic!$B$2:$B$7</c:f>
              <c:numCache>
                <c:formatCode>General</c:formatCode>
                <c:ptCount val="6"/>
                <c:pt idx="0">
                  <c:v>5.0000000000000012E-4</c:v>
                </c:pt>
                <c:pt idx="1">
                  <c:v>5.0000000000000012E-4</c:v>
                </c:pt>
                <c:pt idx="2">
                  <c:v>5.0000000000000012E-4</c:v>
                </c:pt>
                <c:pt idx="3">
                  <c:v>5.0000000000000012E-4</c:v>
                </c:pt>
                <c:pt idx="4">
                  <c:v>5.0000000000000012E-4</c:v>
                </c:pt>
                <c:pt idx="5">
                  <c:v>5.0000000000000012E-4</c:v>
                </c:pt>
              </c:numCache>
            </c:numRef>
          </c:yVal>
          <c:smooth val="0"/>
          <c:extLst>
            <c:ext xmlns:c16="http://schemas.microsoft.com/office/drawing/2014/chart" uri="{C3380CC4-5D6E-409C-BE32-E72D297353CC}">
              <c16:uniqueId val="{00000000-C4BF-46D0-BB11-A7F1CF5EECBF}"/>
            </c:ext>
          </c:extLst>
        </c:ser>
        <c:ser>
          <c:idx val="1"/>
          <c:order val="1"/>
          <c:tx>
            <c:strRef>
              <c:f>Arsenic!$C$1</c:f>
              <c:strCache>
                <c:ptCount val="1"/>
                <c:pt idx="0">
                  <c:v>Tec</c:v>
                </c:pt>
              </c:strCache>
            </c:strRef>
          </c:tx>
          <c:spPr>
            <a:ln w="19050" cap="rnd">
              <a:solidFill>
                <a:schemeClr val="tx1"/>
              </a:solidFill>
              <a:prstDash val="sysDash"/>
              <a:round/>
            </a:ln>
            <a:effectLst/>
          </c:spPr>
          <c:marker>
            <c:symbol val="none"/>
          </c:marker>
          <c:xVal>
            <c:strRef>
              <c:f>Arsenic!$A$2:$A$7</c:f>
              <c:strCache>
                <c:ptCount val="6"/>
                <c:pt idx="0">
                  <c:v>bananier</c:v>
                </c:pt>
                <c:pt idx="1">
                  <c:v>Qi5 bis</c:v>
                </c:pt>
                <c:pt idx="2">
                  <c:v>Mouillage</c:v>
                </c:pt>
                <c:pt idx="3">
                  <c:v>Mol port</c:v>
                </c:pt>
                <c:pt idx="4">
                  <c:v>Carena</c:v>
                </c:pt>
                <c:pt idx="5">
                  <c:v>Pont FHB</c:v>
                </c:pt>
              </c:strCache>
            </c:strRef>
          </c:xVal>
          <c:yVal>
            <c:numRef>
              <c:f>Arsenic!$C$2:$C$7</c:f>
              <c:numCache>
                <c:formatCode>General</c:formatCode>
                <c:ptCount val="6"/>
                <c:pt idx="0">
                  <c:v>9.7900000000000009</c:v>
                </c:pt>
                <c:pt idx="1">
                  <c:v>9.7900000000000009</c:v>
                </c:pt>
                <c:pt idx="2">
                  <c:v>9.7900000000000009</c:v>
                </c:pt>
                <c:pt idx="3">
                  <c:v>9.7900000000000009</c:v>
                </c:pt>
                <c:pt idx="4">
                  <c:v>9.7900000000000009</c:v>
                </c:pt>
                <c:pt idx="5">
                  <c:v>9.7900000000000009</c:v>
                </c:pt>
              </c:numCache>
            </c:numRef>
          </c:yVal>
          <c:smooth val="0"/>
          <c:extLst>
            <c:ext xmlns:c16="http://schemas.microsoft.com/office/drawing/2014/chart" uri="{C3380CC4-5D6E-409C-BE32-E72D297353CC}">
              <c16:uniqueId val="{00000001-C4BF-46D0-BB11-A7F1CF5EECBF}"/>
            </c:ext>
          </c:extLst>
        </c:ser>
        <c:ser>
          <c:idx val="2"/>
          <c:order val="2"/>
          <c:tx>
            <c:strRef>
              <c:f>Arsenic!$D$1</c:f>
              <c:strCache>
                <c:ptCount val="1"/>
                <c:pt idx="0">
                  <c:v>Pec</c:v>
                </c:pt>
              </c:strCache>
            </c:strRef>
          </c:tx>
          <c:spPr>
            <a:ln w="19050" cap="rnd">
              <a:solidFill>
                <a:schemeClr val="accent3"/>
              </a:solidFill>
              <a:round/>
            </a:ln>
            <a:effectLst/>
          </c:spPr>
          <c:marker>
            <c:symbol val="none"/>
          </c:marker>
          <c:xVal>
            <c:strRef>
              <c:f>Arsenic!$A$2:$A$7</c:f>
              <c:strCache>
                <c:ptCount val="6"/>
                <c:pt idx="0">
                  <c:v>bananier</c:v>
                </c:pt>
                <c:pt idx="1">
                  <c:v>Qi5 bis</c:v>
                </c:pt>
                <c:pt idx="2">
                  <c:v>Mouillage</c:v>
                </c:pt>
                <c:pt idx="3">
                  <c:v>Mol port</c:v>
                </c:pt>
                <c:pt idx="4">
                  <c:v>Carena</c:v>
                </c:pt>
                <c:pt idx="5">
                  <c:v>Pont FHB</c:v>
                </c:pt>
              </c:strCache>
            </c:strRef>
          </c:xVal>
          <c:yVal>
            <c:numRef>
              <c:f>Arsenic!$D$2:$D$7</c:f>
              <c:numCache>
                <c:formatCode>General</c:formatCode>
                <c:ptCount val="6"/>
                <c:pt idx="0">
                  <c:v>33</c:v>
                </c:pt>
                <c:pt idx="1">
                  <c:v>33</c:v>
                </c:pt>
                <c:pt idx="2">
                  <c:v>33</c:v>
                </c:pt>
                <c:pt idx="3">
                  <c:v>33</c:v>
                </c:pt>
                <c:pt idx="4">
                  <c:v>33</c:v>
                </c:pt>
                <c:pt idx="5">
                  <c:v>33</c:v>
                </c:pt>
              </c:numCache>
            </c:numRef>
          </c:yVal>
          <c:smooth val="0"/>
          <c:extLst>
            <c:ext xmlns:c16="http://schemas.microsoft.com/office/drawing/2014/chart" uri="{C3380CC4-5D6E-409C-BE32-E72D297353CC}">
              <c16:uniqueId val="{00000002-C4BF-46D0-BB11-A7F1CF5EECBF}"/>
            </c:ext>
          </c:extLst>
        </c:ser>
        <c:dLbls>
          <c:showLegendKey val="0"/>
          <c:showVal val="0"/>
          <c:showCatName val="0"/>
          <c:showSerName val="0"/>
          <c:showPercent val="0"/>
          <c:showBubbleSize val="0"/>
        </c:dLbls>
        <c:axId val="-1787732448"/>
        <c:axId val="-1787758016"/>
      </c:scatterChart>
      <c:valAx>
        <c:axId val="-1787732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8016"/>
        <c:crosses val="autoZero"/>
        <c:crossBetween val="midCat"/>
      </c:valAx>
      <c:valAx>
        <c:axId val="-178775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Concentration en (mg/kg)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324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882</TotalTime>
  <Pages>15</Pages>
  <Words>4885</Words>
  <Characters>27851</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 mireille AMANI</dc:creator>
  <cp:keywords/>
  <dc:description/>
  <cp:lastModifiedBy>SDI 1166</cp:lastModifiedBy>
  <cp:revision>85</cp:revision>
  <dcterms:created xsi:type="dcterms:W3CDTF">2026-03-18T09:34:00Z</dcterms:created>
  <dcterms:modified xsi:type="dcterms:W3CDTF">2026-06-06T13:29:00Z</dcterms:modified>
</cp:coreProperties>
</file>