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75B4F" w14:textId="77777777" w:rsidR="006E1C34" w:rsidRPr="006E1C34" w:rsidRDefault="006E1C34" w:rsidP="006E1C34">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6E1C34">
        <w:rPr>
          <w:rFonts w:ascii="Times New Roman" w:eastAsia="Times New Roman" w:hAnsi="Times New Roman" w:cs="Times New Roman"/>
          <w:b/>
          <w:bCs/>
          <w:i/>
          <w:iCs/>
          <w:sz w:val="36"/>
          <w:szCs w:val="36"/>
          <w:u w:val="single"/>
          <w:lang w:val="en-US" w:eastAsia="en-GB"/>
        </w:rPr>
        <w:t>Review Article</w:t>
      </w:r>
    </w:p>
    <w:p w14:paraId="2A673E24" w14:textId="77777777" w:rsidR="00A777C3" w:rsidRPr="00A777C3" w:rsidRDefault="00A777C3" w:rsidP="00A777C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A777C3">
        <w:rPr>
          <w:rFonts w:ascii="Times New Roman" w:eastAsia="Times New Roman" w:hAnsi="Times New Roman" w:cs="Times New Roman"/>
          <w:b/>
          <w:bCs/>
          <w:sz w:val="36"/>
          <w:szCs w:val="36"/>
          <w:lang w:eastAsia="en-GB"/>
        </w:rPr>
        <w:t xml:space="preserve">The Impact of Air Pollution on Human Health in Africa: A Critical </w:t>
      </w:r>
      <w:r w:rsidR="0011244A">
        <w:rPr>
          <w:rFonts w:ascii="Times New Roman" w:eastAsia="Times New Roman" w:hAnsi="Times New Roman" w:cs="Times New Roman"/>
          <w:b/>
          <w:bCs/>
          <w:sz w:val="36"/>
          <w:szCs w:val="36"/>
          <w:lang w:eastAsia="en-GB"/>
        </w:rPr>
        <w:t xml:space="preserve">Narrative </w:t>
      </w:r>
      <w:r w:rsidRPr="00A777C3">
        <w:rPr>
          <w:rFonts w:ascii="Times New Roman" w:eastAsia="Times New Roman" w:hAnsi="Times New Roman" w:cs="Times New Roman"/>
          <w:b/>
          <w:bCs/>
          <w:sz w:val="36"/>
          <w:szCs w:val="36"/>
          <w:lang w:eastAsia="en-GB"/>
        </w:rPr>
        <w:t>Review</w:t>
      </w:r>
    </w:p>
    <w:p w14:paraId="55C7C2E5"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Abstract</w:t>
      </w:r>
    </w:p>
    <w:p w14:paraId="6B8CA088"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Air pollution has emerged as one of the most consequential, yet historically under-examined, environmental health threats confronting the African continent. Rapid urbanisation, continued reliance on solid biomass fuels for domestic energy, expanding vehicle fleets composed largely of imported used vehicles, gas flaring, open waste burning, and seasonal Saharan dust intrusions combine to expose hundreds of millions of Africans to concentrations of particulate matter and gaseous pollutants that routinely exceed international health-based guidelines. This critical review synthesises evidence published over the past decade on the sources, distribution and health consequences of ambient and household air pollution across Africa, with particular attention to respiratory, cardiovascular, maternal, perinatal and neurodevelopmental outcomes, as well as the disproportionate burden borne by women, children and informal-sector workers. The review further considers the continent's air quality monitoring infrastructure, the substantial economic costs associated with pollution-related morbidity and mortality, and the fragmented policy and regulatory landscape that currently governs air quality across African states. Evidence indicates that household air pollution from solid fuel combustion remains the dominant exposure pathway for the majority of the population, while ambient pollution from transport, industry and waste burning is rising sharply in urban centres. Both exposure pathways are associated with substantial burdens of lower respiratory infection, chronic obstructive pulmonary disease, cardiovascular disease, adverse pregnancy outcomes and premature mortality, with the heaviest toll falling on children under five years of age and on women engaged in domestic cooking. Air quality monitoring infrastructure remains sparse relative to other world regions, constraining both the precision of exposure assessment and the capacity of governments to design and enforce effective mitigation policy. The review concludes that integrated investment in clean energy transition, strengthened monitoring networks, and harmonised regional air quality governance represents an urgent and achievable public health priority for the continent.</w:t>
      </w:r>
    </w:p>
    <w:p w14:paraId="0CF77D57"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b/>
          <w:bCs/>
          <w:sz w:val="24"/>
          <w:szCs w:val="24"/>
          <w:lang w:eastAsia="en-GB"/>
        </w:rPr>
        <w:t>Keywords:</w:t>
      </w:r>
      <w:r w:rsidRPr="00A777C3">
        <w:rPr>
          <w:rFonts w:ascii="Times New Roman" w:eastAsia="Times New Roman" w:hAnsi="Times New Roman" w:cs="Times New Roman"/>
          <w:sz w:val="24"/>
          <w:szCs w:val="24"/>
          <w:lang w:eastAsia="en-GB"/>
        </w:rPr>
        <w:t xml:space="preserve"> air pollution; household air pollution; ambient air pollution; Africa; respiratory health; cardiovascular disease; particulate matter; environmental health</w:t>
      </w:r>
    </w:p>
    <w:p w14:paraId="0D9036DE"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7095A854"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 Introduction</w:t>
      </w:r>
    </w:p>
    <w:p w14:paraId="38679BDF"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1.1 The global and African burden of air pollution</w:t>
      </w:r>
    </w:p>
    <w:p w14:paraId="79D38F80"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Air pollution is now recognised as one of the leading modifiable risk factors for premature death and disability worldwide, contributing to a substantial share of deaths from ischaemic heart disease, stroke, chronic obstructive pulmonary disease, lower respiratory infection and lung cancer (</w:t>
      </w:r>
      <w:r w:rsidR="0011244A" w:rsidRPr="0011244A">
        <w:rPr>
          <w:rFonts w:ascii="Times New Roman" w:eastAsia="Times New Roman" w:hAnsi="Times New Roman" w:cs="Times New Roman"/>
          <w:sz w:val="24"/>
          <w:szCs w:val="24"/>
          <w:lang w:eastAsia="en-GB"/>
        </w:rPr>
        <w:t>GBD 2021 Lower Respiratory Infections and Antimicrobial Resistance Collaborators</w:t>
      </w:r>
      <w:r w:rsidRPr="00A777C3">
        <w:rPr>
          <w:rFonts w:ascii="Times New Roman" w:eastAsia="Times New Roman" w:hAnsi="Times New Roman" w:cs="Times New Roman"/>
          <w:sz w:val="24"/>
          <w:szCs w:val="24"/>
          <w:lang w:eastAsia="en-GB"/>
        </w:rPr>
        <w:t xml:space="preserve">, 2024; GBD 2021 HAP Collaborators, 2025). The global discourse on air pollution has historically been dominated by evidence generated in East Asia, South Asia, </w:t>
      </w:r>
      <w:r w:rsidRPr="00A777C3">
        <w:rPr>
          <w:rFonts w:ascii="Times New Roman" w:eastAsia="Times New Roman" w:hAnsi="Times New Roman" w:cs="Times New Roman"/>
          <w:sz w:val="24"/>
          <w:szCs w:val="24"/>
          <w:lang w:eastAsia="en-GB"/>
        </w:rPr>
        <w:lastRenderedPageBreak/>
        <w:t>Europe and North America, yet a growing body of African-specific research tells a somewhat different story: the continent faces a distinctive, and in several respects more severe, pollution profile, in which high household air pollution from solid fuel combustion coexists with rapidly rising ambient pollution in expanding urban centres (</w:t>
      </w:r>
      <w:proofErr w:type="spellStart"/>
      <w:r w:rsidRPr="00A777C3">
        <w:rPr>
          <w:rFonts w:ascii="Times New Roman" w:eastAsia="Times New Roman" w:hAnsi="Times New Roman" w:cs="Times New Roman"/>
          <w:sz w:val="24"/>
          <w:szCs w:val="24"/>
          <w:lang w:eastAsia="en-GB"/>
        </w:rPr>
        <w:t>Amegah</w:t>
      </w:r>
      <w:proofErr w:type="spellEnd"/>
      <w:r w:rsidRPr="00A777C3">
        <w:rPr>
          <w:rFonts w:ascii="Times New Roman" w:eastAsia="Times New Roman" w:hAnsi="Times New Roman" w:cs="Times New Roman"/>
          <w:sz w:val="24"/>
          <w:szCs w:val="24"/>
          <w:lang w:eastAsia="en-GB"/>
        </w:rPr>
        <w:t xml:space="preserve"> &amp; Agyei-Mensah, 2017; Coker &amp; Kizito, 2018; Katoto et al., 2019). Estimates derived from the Global Burden of Disease framework indicate that air pollution accounted for over a million premature deaths across the African continent in recent assessment years, with household air pollution responsible for the larger share of this burden (Capitanio et al., 2024; Fisher et al., 2021).</w:t>
      </w:r>
    </w:p>
    <w:p w14:paraId="44352B5E"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Several factors set the African pollution landscape apart from the picture typically described elsewhere. More than four-fifths of households in sub-Saharan Africa continue to rely on biomass, charcoal, kerosene or coal for cooking and heating, generating indoor particulate concentrations that can exceed international guideline values by an order of magnitude or more (Jafta et al., 2025; World Health Organization, 2021). At the same time, rapid and largely unplanned urban growth, a vehicle fleet composed disproportionately of older imported vehicles lacking modern emissions controls, gas flaring associated with petroleum extraction, and the open burning of agricultural and electronic waste have together driven a marked deterioration in ambient air quality in many African cities (Agbo et al., 2021; Bauer et al., 2019). Superimposed on these anthropogenic sources is the seasonal transport of Saharan mineral dust, which affects respiratory health across West and North Africa and has been implicated in the seasonality of bacterial meningitis within the so-called African meningitis belt (Yarber et al., 2023).</w:t>
      </w:r>
    </w:p>
    <w:p w14:paraId="46CD9761"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1.2 Why Africa warrants distinct critical attention</w:t>
      </w:r>
    </w:p>
    <w:p w14:paraId="5835431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 handful of features of the African context justify a dedicated critical synthesis rather than reliance on extrapolation from evidence generated elsewhere. The demographic structure of African populations, with a high proportion of children under five years of age, magnifies the population-level health impact of any given level of exposure: young children are both more susceptible to pollutant-related injury and contribute disproportionately to the disease burden attributable to air pollution (Lake et al., 2025; </w:t>
      </w:r>
      <w:proofErr w:type="spellStart"/>
      <w:r w:rsidRPr="00A777C3">
        <w:rPr>
          <w:rFonts w:ascii="Times New Roman" w:eastAsia="Times New Roman" w:hAnsi="Times New Roman" w:cs="Times New Roman"/>
          <w:sz w:val="24"/>
          <w:szCs w:val="24"/>
          <w:lang w:eastAsia="en-GB"/>
        </w:rPr>
        <w:t>Lelieveld</w:t>
      </w:r>
      <w:proofErr w:type="spellEnd"/>
      <w:r w:rsidRPr="00A777C3">
        <w:rPr>
          <w:rFonts w:ascii="Times New Roman" w:eastAsia="Times New Roman" w:hAnsi="Times New Roman" w:cs="Times New Roman"/>
          <w:sz w:val="24"/>
          <w:szCs w:val="24"/>
          <w:lang w:eastAsia="en-GB"/>
        </w:rPr>
        <w:t xml:space="preserve"> et al., 2018; Odo et al., 2022). The coexistence of high infectious disease burdens, including tuberculosis, HIV and acute respiratory infection, with air pollution exposure also raises the possibility of synergistic harm that is less prominent in high-income settings (Elf et al., 2017; Lin et al., 2007). Equally important, air quality monitoring infrastructure across much of the continent remains markedly underdeveloped relative to other world regions, with much of the available evidence on exposure relying on satellite-derived estimates, low-cost sensor networks, or modelled data rather than on dense networks of reference-grade monitors (Mir Alvarez et al., 2020). Finally, the economic structure of many African states, characterised by a large informal sector, limited environmental enforcement capacity, and competing development priorities, shapes both the sources of pollution and the range of feasible policy responses in ways that differ substantially from higher-income contexts (Fisher et al., 2021).</w:t>
      </w:r>
    </w:p>
    <w:p w14:paraId="0E5BEE47"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1.3 Health outcomes of central concern</w:t>
      </w:r>
    </w:p>
    <w:p w14:paraId="77D0C540"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 principal health domains affected by air pollution exposure in Africa span the life course. In early life, household and ambient air pollution are implicated in increased risk of low birth weight, preterm birth, neonatal mortality and impaired neurodevelopment (</w:t>
      </w:r>
      <w:proofErr w:type="spellStart"/>
      <w:r w:rsidRPr="00A777C3">
        <w:rPr>
          <w:rFonts w:ascii="Times New Roman" w:eastAsia="Times New Roman" w:hAnsi="Times New Roman" w:cs="Times New Roman"/>
          <w:sz w:val="24"/>
          <w:szCs w:val="24"/>
          <w:lang w:eastAsia="en-GB"/>
        </w:rPr>
        <w:t>Bachwenkizi</w:t>
      </w:r>
      <w:proofErr w:type="spellEnd"/>
      <w:r w:rsidRPr="00A777C3">
        <w:rPr>
          <w:rFonts w:ascii="Times New Roman" w:eastAsia="Times New Roman" w:hAnsi="Times New Roman" w:cs="Times New Roman"/>
          <w:sz w:val="24"/>
          <w:szCs w:val="24"/>
          <w:lang w:eastAsia="en-GB"/>
        </w:rPr>
        <w:t xml:space="preserve"> et al., 2022; Mitku et al., 2023). In childhood, exposure is strongly associated with acute lower respiratory infection and pneumonia-related hospitalisation and mortality, which remains </w:t>
      </w:r>
      <w:r w:rsidRPr="00A777C3">
        <w:rPr>
          <w:rFonts w:ascii="Times New Roman" w:eastAsia="Times New Roman" w:hAnsi="Times New Roman" w:cs="Times New Roman"/>
          <w:sz w:val="24"/>
          <w:szCs w:val="24"/>
          <w:lang w:eastAsia="en-GB"/>
        </w:rPr>
        <w:lastRenderedPageBreak/>
        <w:t>among the leading causes of death in children under five across the continent (Sarfo et al., 2023). In adulthood, chronic exposure contributes to the rising burden of non-communicable disease, including chronic obstructive pulmonary disease, ischaemic heart disease, stroke and, increasingly, lung cancer, layered on top of an already substantial burden of infectious respiratory disease (Adeoye et al., 2024; Gordon et al., 2014). Across all age groups, women who undertake the majority of domestic cooking experience disproportionately high exposure to household air pollution, while informal-sector workers engaged in activities such as electronic-waste recycling face acute occupational exposures that compound ambient and household burdens (Kwarteng et al., 2020).</w:t>
      </w:r>
    </w:p>
    <w:p w14:paraId="1F2C0F94"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1.4 Scope and objectives of this review</w:t>
      </w:r>
    </w:p>
    <w:p w14:paraId="785E66D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This review adopts a narrative, critical-synthesis approach to examine the impact of air pollution on human health across the African continent, drawing on epidemiological, exposure-science, toxicological and policy-relevant literature published predominantly within the past decade. The discussion that follows addresses, in turn, the principal sources and determinants of household and ambient air pollution in African settings; the state of air quality monitoring infrastructure; the respiratory, cardiovascular, maternal, perinatal and developmental health consequences of exposure; the particular vulnerability of women, children and informal-sector workers; the interaction between air pollution and climate-related phenomena, including Saharan dust transport; the economic costs of pollution-related morbidity and mortality; and the existing policy, regulatory and intervention landscape, including evidence from clean cookstove trials and air quality legislation. The aim is not to provide an exhaustive systematic accounting of every published study, nor to undertake formal meta-analytic pooling of effect estimates, but to offer a critically evaluated, thematically organised synthesis that identifies where the evidence is robust, where uncertainty persists, and where future research and policy attention are most needed. The review focuses primarily on sub-Saharan Africa, drawing comparative evidence from North African settings where relevant, and does not address in detail indoor air pollution from sources unrelated to combustion, such as radon or volatile organic compounds from building materials.</w:t>
      </w:r>
    </w:p>
    <w:p w14:paraId="589B801F"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608F0C96"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2. Methods for Literature Selection</w:t>
      </w:r>
    </w:p>
    <w:p w14:paraId="6AE2C2D6"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This article adopts a narrative review methodology rather than a formal systematic review, given the breadth of the subject matter and the heterogeneity of study designs, exposure metrics and outcome definitions found across the air pollution and health literature relevant to Africa. A narrative approach is well suited to a topic that draws on exposure science, clinical epidemiology, environmental engineering and health policy at once, and to integrating quantitative epidemiological findings with descriptive and policy-relevant evidence that does not lend itself readily to meta-analytic pooling. This kind of synthesis depends on the reviewer's judgement to identify patterns and tensions across a heterogeneous evidence base in a way that a narrowly framed systematic review, built around a single question, would not easily accommodate (Sukhera, 2022).</w:t>
      </w:r>
    </w:p>
    <w:p w14:paraId="18597E9C"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Literature was identified through searches of Web of Science, Scopus, PubMed, Google Scholar, and the following field-specific resources, chosen for their relevance to environmental health, atmospheric science and African regional research: African Journals </w:t>
      </w:r>
      <w:r w:rsidRPr="00A777C3">
        <w:rPr>
          <w:rFonts w:ascii="Times New Roman" w:eastAsia="Times New Roman" w:hAnsi="Times New Roman" w:cs="Times New Roman"/>
          <w:sz w:val="24"/>
          <w:szCs w:val="24"/>
          <w:lang w:eastAsia="en-GB"/>
        </w:rPr>
        <w:lastRenderedPageBreak/>
        <w:t>Online (AJOL); GeoRef; the World Health Organization Global Health Observatory and Global Health Library; the Institute for Health Metrics and Evaluation Global Health Data Exchange; and Embase. Searches covered the period from January 2014 to early May 2026, the latter date corresponding approximately to forty-five days before the date of manuscript preparation. The 2014 start point was chosen because it follows the publication of the World Health Organization's household air pollution guidance and the establishment of dedicated African air quality monitoring initiatives, both of which prompted a marked expansion of African-specific research; a small number of earlier, methodologically foundational studies were nonetheless retained where they remain the most authoritative source for a given association, such as the early systematic review linking tuberculosis to indoor air pollution. Search strings combined exposure terms (for example "air pollution", "particulate matter", "PM2.5", "household air pollution", "biomass fuel", "gas flaring", "Saharan dust", "e-waste") with geographical terms ("Africa", "sub-Saharan Africa", and individual country and regional names) and outcome terms ("respiratory", "cardiovascular", "pregnancy", "birth weight", "mortality", "tuberculosis", "neurodevelopment"). Boolean operators and truncation were applied as appropriate to each database's syntax.</w:t>
      </w:r>
    </w:p>
    <w:p w14:paraId="3C5AEBAE"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Records were screened in two stages. Titles and abstracts were first screened for evident relevance to air pollution exposure and human health outcomes within an African geographical context, and clearly irrelevant records were excluded at this point: studies addressing air pollution exclusively outside Africa, indoor air quality unrelated to combustion, or outdoor pollution effects on non-human ecological endpoints. The remaining full texts were then assessed against three inclusion criteria: publication in a peer-reviewed academic journal; an explicit empirical, review, or policy-analytic focus on air pollution exposure and at least one human health outcome; and a study population, exposure assessment, or analytic focus situated wholly or substantially within Africa, or a global or multi-regional analysis reporting Africa-specific findings. Books, conference proceedings, theses, pre-print manuscripts, trade publications, and most grey literature were excluded, with the exception of a small number of authoritative institutional reports from the World Health Organization and the World Bank, retained because they provide benchmark guideline values or economic estimates not otherwise available in the peer-reviewed literature; for these, a verifiable institutional web address is given in place of a digital object identifier. Duplicate records identified across databases were removed at the deduplication stage prior to full-text screening. No language restriction was applied to the database queries themselves, though in practice almost all records meeting the inclusion criteria were published in English, with a handful of French-language African studies identified through citation tracking of English-language reviews. Studies were prioritised for more detailed discussion where they offered the largest available sample size for a given outcome, the most geographically comprehensive multi-country analysis, the most recent update to a major international disease-burden estimate, or a randomised controlled trial design within an otherwise predominantly observational evidence base. Reference lists of identified reviews and high-impact primary studies were hand-searched to capture additional relevant primary research, consistent with recommended practice for narrative review conduct (Sukhera, 2022).</w:t>
      </w:r>
    </w:p>
    <w:p w14:paraId="07105738"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18EEAD21"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3. Sources and Determinants of Air Pollution in Africa</w:t>
      </w:r>
    </w:p>
    <w:p w14:paraId="17747DCB"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3.1 Household air pollution from solid fuel combustion</w:t>
      </w:r>
    </w:p>
    <w:p w14:paraId="6B0A8E10"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Household air pollution from the combustion of biomass, charcoal, coal and kerosene for cooking, heating and lighting remains the single most pervasive source of air pollution exposure across the African continent. More than four-fifths of the African population is estimated to be exposed to household air pollution, with women, who undertake the majority of domestic cooking, and young children, who typically remain close to the cooking area, bearing the heaviest burden (Jafta et al., 2025). Combustion of wood, charcoal and animal dung in traditional three-stone stoves or poorly ventilated indoor spaces can generate indoor particulate concentrations of several thousand micrograms per cubic metre during cooking, far above the World Health Organization's air quality guideline values for fine particulate matter (Jafta et al., 2025; World Health Organization, 2021). Despite a global decline in household air pollution-attributable disease burden over recent decades, driven substantially by fuel transitions in parts of Asia and Latin America, this decline has not been mirrored in sub-Saharan Africa: population growth has largely offset improvements in the proportion of households using polluting fuels, so that the absolute number of Africans exposed to household air pollution has remained essentially unchanged across the past three decades (GBD 2021 HAP Collaborators, 2025; Jafta et al., 2025).</w:t>
      </w:r>
    </w:p>
    <w:p w14:paraId="0EF8FA4B"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Demographic and Health Survey data analysed across multiple sub-Saharan African countries show consistent associations between cooking with unprocessed biomass fuels, and particularly with charcoal, and increased risk of acute respiratory infection in both children and adults, with adjusted odds ratios for charcoal use several-fold higher than those observed for cleaner-burning fuels (Jafta et al., 2025). Studies among women responsible for household cooking in Ouagadougou, Burkina Faso, similarly link primary reliance on polluting fuels to a higher prevalence of respiratory symptoms, reinforcing the picture from the larger survey-based analyses (Sana et al., 2019). It is worth noting, too, that the spatial distribution of fuel use varies considerably across the continent, reflecting differences in forest cover, urbanisation, fuel availability and household income, with rural populations in Central and Eastern Africa exhibiting particularly high reliance on solid biomass (Jafta et al., 2025).</w:t>
      </w:r>
    </w:p>
    <w:p w14:paraId="00A6DA1B"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3.2 Ambient and outdoor air pollution</w:t>
      </w:r>
    </w:p>
    <w:p w14:paraId="1C09DC88"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Alongside persistently high household air pollution, ambient outdoor pollution has risen sharply across African urban centres over the past two decades, driven by rapid and largely unplanned urbanisation, expanding road transport, industrial activity, electricity generation, and the open burning of municipal and agricultural waste (</w:t>
      </w:r>
      <w:proofErr w:type="spellStart"/>
      <w:r w:rsidRPr="00A777C3">
        <w:rPr>
          <w:rFonts w:ascii="Times New Roman" w:eastAsia="Times New Roman" w:hAnsi="Times New Roman" w:cs="Times New Roman"/>
          <w:sz w:val="24"/>
          <w:szCs w:val="24"/>
          <w:lang w:eastAsia="en-GB"/>
        </w:rPr>
        <w:t>Amegah</w:t>
      </w:r>
      <w:proofErr w:type="spellEnd"/>
      <w:r w:rsidRPr="00A777C3">
        <w:rPr>
          <w:rFonts w:ascii="Times New Roman" w:eastAsia="Times New Roman" w:hAnsi="Times New Roman" w:cs="Times New Roman"/>
          <w:sz w:val="24"/>
          <w:szCs w:val="24"/>
          <w:lang w:eastAsia="en-GB"/>
        </w:rPr>
        <w:t xml:space="preserve"> &amp; Agyei-Mensah, 2017; Agbo et al., 2021). Road transport is a particularly significant contributor in West African cities, where vehicle fleets are dominated by older, second-hand imports from Europe, North America and Asia that frequently lack modern emissions control technology, and where fuel sulphur content can far exceed contemporary regulatory limits (</w:t>
      </w:r>
      <w:proofErr w:type="spellStart"/>
      <w:r w:rsidRPr="00A777C3">
        <w:rPr>
          <w:rFonts w:ascii="Times New Roman" w:eastAsia="Times New Roman" w:hAnsi="Times New Roman" w:cs="Times New Roman"/>
          <w:sz w:val="24"/>
          <w:szCs w:val="24"/>
          <w:lang w:eastAsia="en-GB"/>
        </w:rPr>
        <w:t>Amegah</w:t>
      </w:r>
      <w:proofErr w:type="spellEnd"/>
      <w:r w:rsidRPr="00A777C3">
        <w:rPr>
          <w:rFonts w:ascii="Times New Roman" w:eastAsia="Times New Roman" w:hAnsi="Times New Roman" w:cs="Times New Roman"/>
          <w:sz w:val="24"/>
          <w:szCs w:val="24"/>
          <w:lang w:eastAsia="en-GB"/>
        </w:rPr>
        <w:t xml:space="preserve"> &amp; Agyei-Mensah, 2017). Sensor-based monitoring in Abidjan and Accra has documented pronounced morning traffic-related peaks in fine particulate concentrations, with diurnal and seasonal patterns that track rush-hour activity closely, suggesting that traffic-attributable particulate matter forms a substantial share of urban ambient pollution in the region (</w:t>
      </w:r>
      <w:proofErr w:type="spellStart"/>
      <w:r w:rsidRPr="00A777C3">
        <w:rPr>
          <w:rFonts w:ascii="Times New Roman" w:eastAsia="Times New Roman" w:hAnsi="Times New Roman" w:cs="Times New Roman"/>
          <w:sz w:val="24"/>
          <w:szCs w:val="24"/>
          <w:lang w:eastAsia="en-GB"/>
        </w:rPr>
        <w:t>Bahino</w:t>
      </w:r>
      <w:proofErr w:type="spellEnd"/>
      <w:r w:rsidRPr="00A777C3">
        <w:rPr>
          <w:rFonts w:ascii="Times New Roman" w:eastAsia="Times New Roman" w:hAnsi="Times New Roman" w:cs="Times New Roman"/>
          <w:sz w:val="24"/>
          <w:szCs w:val="24"/>
          <w:lang w:eastAsia="en-GB"/>
        </w:rPr>
        <w:t xml:space="preserve"> et al., 2024).</w:t>
      </w:r>
    </w:p>
    <w:p w14:paraId="415E1304"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Industrial sources, including cement production, small-scale manufacturing, and petroleum extraction and processing, contribute substantially to ambient pollution in specific localities. Gas flaring associated with petroleum extraction in Nigeria's Niger Delta region is one such intensive, geographically concentrated source, releasing large quantities of particulate matter, sulphur and nitrogen oxides, and volatile organic compounds into communities close to flare </w:t>
      </w:r>
      <w:r w:rsidRPr="00A777C3">
        <w:rPr>
          <w:rFonts w:ascii="Times New Roman" w:eastAsia="Times New Roman" w:hAnsi="Times New Roman" w:cs="Times New Roman"/>
          <w:sz w:val="24"/>
          <w:szCs w:val="24"/>
          <w:lang w:eastAsia="en-GB"/>
        </w:rPr>
        <w:lastRenderedPageBreak/>
        <w:t>sites. This is a well-recognised regional pollution concern, although it remains comparatively under-studied within the peer-reviewed epidemiological literature relative to its scale, with most available accounts drawn from localised cross-sectional surveys rather than the larger comparative cohort studies that exist for household and traffic-related pollution elsewhere on the continent. Open burning of municipal solid waste, including the informal recycling and burning of electronic waste at sites such as Agbogbloshie in Accra, Ghana, is a further significant and geographically concentrated source of ambient particulate and toxic-metal exposure: measured concentrations at e-waste burning sites are substantially elevated even above an urban background that is itself already high owing to biomass burning and vehicular emissions (Kwarteng et al., 2020).</w:t>
      </w:r>
    </w:p>
    <w:p w14:paraId="510C5BFA"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3.3 Natural sources and seasonal dust transport</w:t>
      </w:r>
    </w:p>
    <w:p w14:paraId="62316DF8"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Beyond these anthropogenic sources, the seasonal transport of mineral dust from the Sahara constitutes a major natural contributor to ambient particulate concentrations across West, Central and North Africa, particularly during the dry-season Harmattan. Modelling and observational studies indicate that desert dust, together with industrial emissions and agricultural fires, accounts for a substantial proportion of outdoor air pollution-related health impacts across the continent, with the relative contribution of dust varying markedly by season and sub-region (Bauer et al., 2019). Saharan dust intrusions have been linked to the exacerbation of asthma and other respiratory conditions, and a substantial body of evidence connects dust events to the seasonal incidence of invasive bacterial meningitis within the African meningitis belt, a region stretching from Senegal to Ethiopia that bears the heaviest burden of meningococcal disease anywhere in the world (Yarber et al., 2023). Proposed mechanisms include direct mucosal irritation that facilitates bacterial colonisation, behavioural changes such as increased indoor crowding during dusty periods, and impairment of macrophage-mediated bacterial clearance by inhaled particulates, although the precise biological pathway remains incompletely understood (Yarber et al., 2023). Work in Benin has further shown associations between Saharan dust events and acute childhood respiratory symptoms, reinforcing the public health relevance of this natural exposure pathway across the Sahelian zone (McElroy et al., 2022).</w:t>
      </w:r>
    </w:p>
    <w:p w14:paraId="1D54AF5E"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Table 1. Principal sources of air pollution exposure in Africa and associated population groups</w:t>
      </w:r>
    </w:p>
    <w:tbl>
      <w:tblPr>
        <w:tblStyle w:val="TableGrid"/>
        <w:tblW w:w="0" w:type="auto"/>
        <w:tblLook w:val="04A0" w:firstRow="1" w:lastRow="0" w:firstColumn="1" w:lastColumn="0" w:noHBand="0" w:noVBand="1"/>
      </w:tblPr>
      <w:tblGrid>
        <w:gridCol w:w="2202"/>
        <w:gridCol w:w="2394"/>
        <w:gridCol w:w="2418"/>
        <w:gridCol w:w="2228"/>
      </w:tblGrid>
      <w:tr w:rsidR="00A777C3" w:rsidRPr="00A777C3" w14:paraId="13A70D41" w14:textId="77777777" w:rsidTr="0011244A">
        <w:tc>
          <w:tcPr>
            <w:tcW w:w="0" w:type="auto"/>
            <w:hideMark/>
          </w:tcPr>
          <w:p w14:paraId="54D86EAE"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Source category</w:t>
            </w:r>
          </w:p>
        </w:tc>
        <w:tc>
          <w:tcPr>
            <w:tcW w:w="0" w:type="auto"/>
            <w:hideMark/>
          </w:tcPr>
          <w:p w14:paraId="0E1AF8A2"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Principal pollutants</w:t>
            </w:r>
          </w:p>
        </w:tc>
        <w:tc>
          <w:tcPr>
            <w:tcW w:w="0" w:type="auto"/>
            <w:hideMark/>
          </w:tcPr>
          <w:p w14:paraId="3BC11626"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Geographical pattern</w:t>
            </w:r>
          </w:p>
        </w:tc>
        <w:tc>
          <w:tcPr>
            <w:tcW w:w="0" w:type="auto"/>
            <w:hideMark/>
          </w:tcPr>
          <w:p w14:paraId="797B8B97"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Most affected population</w:t>
            </w:r>
          </w:p>
        </w:tc>
      </w:tr>
      <w:tr w:rsidR="00A777C3" w:rsidRPr="00A777C3" w14:paraId="678E0D5F" w14:textId="77777777" w:rsidTr="0011244A">
        <w:tc>
          <w:tcPr>
            <w:tcW w:w="0" w:type="auto"/>
            <w:hideMark/>
          </w:tcPr>
          <w:p w14:paraId="0AB43196"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Household solid fuel combustion (wood, charcoal, dung, kerosene)</w:t>
            </w:r>
          </w:p>
        </w:tc>
        <w:tc>
          <w:tcPr>
            <w:tcW w:w="0" w:type="auto"/>
            <w:hideMark/>
          </w:tcPr>
          <w:p w14:paraId="3DDEF918"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PM2.5, carbon monoxide, polycyclic aromatic hydrocarbons</w:t>
            </w:r>
          </w:p>
        </w:tc>
        <w:tc>
          <w:tcPr>
            <w:tcW w:w="0" w:type="auto"/>
            <w:hideMark/>
          </w:tcPr>
          <w:p w14:paraId="2E06F10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Continent-wide; highest in rural and peri-urban households</w:t>
            </w:r>
          </w:p>
        </w:tc>
        <w:tc>
          <w:tcPr>
            <w:tcW w:w="0" w:type="auto"/>
            <w:hideMark/>
          </w:tcPr>
          <w:p w14:paraId="5B585A53"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Women (cooks) and young children</w:t>
            </w:r>
          </w:p>
        </w:tc>
      </w:tr>
      <w:tr w:rsidR="00A777C3" w:rsidRPr="00A777C3" w14:paraId="622D6972" w14:textId="77777777" w:rsidTr="0011244A">
        <w:tc>
          <w:tcPr>
            <w:tcW w:w="0" w:type="auto"/>
            <w:hideMark/>
          </w:tcPr>
          <w:p w14:paraId="4FA3F2F1"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Road transport (ageing imported vehicles, poor fuel quality)</w:t>
            </w:r>
          </w:p>
        </w:tc>
        <w:tc>
          <w:tcPr>
            <w:tcW w:w="0" w:type="auto"/>
            <w:hideMark/>
          </w:tcPr>
          <w:p w14:paraId="5FABE3F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PM2.5/PM10, black carbon, nitrogen oxides</w:t>
            </w:r>
          </w:p>
        </w:tc>
        <w:tc>
          <w:tcPr>
            <w:tcW w:w="0" w:type="auto"/>
            <w:hideMark/>
          </w:tcPr>
          <w:p w14:paraId="6054469A"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Urban centres, especially West and East African cities</w:t>
            </w:r>
          </w:p>
        </w:tc>
        <w:tc>
          <w:tcPr>
            <w:tcW w:w="0" w:type="auto"/>
            <w:hideMark/>
          </w:tcPr>
          <w:p w14:paraId="1C2568AD"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Urban residents, commuters, roadside vendors</w:t>
            </w:r>
          </w:p>
        </w:tc>
      </w:tr>
      <w:tr w:rsidR="00A777C3" w:rsidRPr="00A777C3" w14:paraId="56DCE1BD" w14:textId="77777777" w:rsidTr="0011244A">
        <w:tc>
          <w:tcPr>
            <w:tcW w:w="0" w:type="auto"/>
            <w:hideMark/>
          </w:tcPr>
          <w:p w14:paraId="033327E3"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Industrial activity and gas flaring</w:t>
            </w:r>
          </w:p>
        </w:tc>
        <w:tc>
          <w:tcPr>
            <w:tcW w:w="0" w:type="auto"/>
            <w:hideMark/>
          </w:tcPr>
          <w:p w14:paraId="5C8DF166"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PM2.5, sulphur dioxide, nitrogen oxides, volatile organic compounds</w:t>
            </w:r>
          </w:p>
        </w:tc>
        <w:tc>
          <w:tcPr>
            <w:tcW w:w="0" w:type="auto"/>
            <w:hideMark/>
          </w:tcPr>
          <w:p w14:paraId="4C72D04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Localised around extraction and industrial sites (e.g., Niger Delta)</w:t>
            </w:r>
          </w:p>
        </w:tc>
        <w:tc>
          <w:tcPr>
            <w:tcW w:w="0" w:type="auto"/>
            <w:hideMark/>
          </w:tcPr>
          <w:p w14:paraId="6BAC94FF"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Communities near flare sites and industrial zones</w:t>
            </w:r>
          </w:p>
        </w:tc>
      </w:tr>
      <w:tr w:rsidR="00A777C3" w:rsidRPr="00A777C3" w14:paraId="4403582C" w14:textId="77777777" w:rsidTr="0011244A">
        <w:tc>
          <w:tcPr>
            <w:tcW w:w="0" w:type="auto"/>
            <w:hideMark/>
          </w:tcPr>
          <w:p w14:paraId="72CCE71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Open waste and e-</w:t>
            </w:r>
            <w:r w:rsidRPr="00A777C3">
              <w:rPr>
                <w:rFonts w:ascii="Times New Roman" w:eastAsia="Times New Roman" w:hAnsi="Times New Roman" w:cs="Times New Roman"/>
                <w:sz w:val="24"/>
                <w:szCs w:val="24"/>
                <w:lang w:eastAsia="en-GB"/>
              </w:rPr>
              <w:lastRenderedPageBreak/>
              <w:t>waste burning</w:t>
            </w:r>
          </w:p>
        </w:tc>
        <w:tc>
          <w:tcPr>
            <w:tcW w:w="0" w:type="auto"/>
            <w:hideMark/>
          </w:tcPr>
          <w:p w14:paraId="39CAA95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PM2.5, heavy metals, </w:t>
            </w:r>
            <w:r w:rsidRPr="00A777C3">
              <w:rPr>
                <w:rFonts w:ascii="Times New Roman" w:eastAsia="Times New Roman" w:hAnsi="Times New Roman" w:cs="Times New Roman"/>
                <w:sz w:val="24"/>
                <w:szCs w:val="24"/>
                <w:lang w:eastAsia="en-GB"/>
              </w:rPr>
              <w:lastRenderedPageBreak/>
              <w:t>dioxins, polycyclic aromatic hydrocarbons</w:t>
            </w:r>
          </w:p>
        </w:tc>
        <w:tc>
          <w:tcPr>
            <w:tcW w:w="0" w:type="auto"/>
            <w:hideMark/>
          </w:tcPr>
          <w:p w14:paraId="2ECE2606"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Concentrated at </w:t>
            </w:r>
            <w:r w:rsidRPr="00A777C3">
              <w:rPr>
                <w:rFonts w:ascii="Times New Roman" w:eastAsia="Times New Roman" w:hAnsi="Times New Roman" w:cs="Times New Roman"/>
                <w:sz w:val="24"/>
                <w:szCs w:val="24"/>
                <w:lang w:eastAsia="en-GB"/>
              </w:rPr>
              <w:lastRenderedPageBreak/>
              <w:t>informal recycling sites (e.g., Agbogbloshie, Accra)</w:t>
            </w:r>
          </w:p>
        </w:tc>
        <w:tc>
          <w:tcPr>
            <w:tcW w:w="0" w:type="auto"/>
            <w:hideMark/>
          </w:tcPr>
          <w:p w14:paraId="3595845B"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Informal-sector </w:t>
            </w:r>
            <w:r w:rsidRPr="00A777C3">
              <w:rPr>
                <w:rFonts w:ascii="Times New Roman" w:eastAsia="Times New Roman" w:hAnsi="Times New Roman" w:cs="Times New Roman"/>
                <w:sz w:val="24"/>
                <w:szCs w:val="24"/>
                <w:lang w:eastAsia="en-GB"/>
              </w:rPr>
              <w:lastRenderedPageBreak/>
              <w:t>workers and adjacent residential communities</w:t>
            </w:r>
          </w:p>
        </w:tc>
      </w:tr>
      <w:tr w:rsidR="00A777C3" w:rsidRPr="00A777C3" w14:paraId="29F622E3" w14:textId="77777777" w:rsidTr="0011244A">
        <w:tc>
          <w:tcPr>
            <w:tcW w:w="0" w:type="auto"/>
            <w:hideMark/>
          </w:tcPr>
          <w:p w14:paraId="4F5A63E7"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Saharan dust transport (Harmattan)</w:t>
            </w:r>
          </w:p>
        </w:tc>
        <w:tc>
          <w:tcPr>
            <w:tcW w:w="0" w:type="auto"/>
            <w:hideMark/>
          </w:tcPr>
          <w:p w14:paraId="59B77F8A"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Coarse and fine mineral particulates</w:t>
            </w:r>
          </w:p>
        </w:tc>
        <w:tc>
          <w:tcPr>
            <w:tcW w:w="0" w:type="auto"/>
            <w:hideMark/>
          </w:tcPr>
          <w:p w14:paraId="6FA4BD2D"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West, Central and North Africa, dry season</w:t>
            </w:r>
          </w:p>
        </w:tc>
        <w:tc>
          <w:tcPr>
            <w:tcW w:w="0" w:type="auto"/>
            <w:hideMark/>
          </w:tcPr>
          <w:p w14:paraId="1DFA64B5"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Populations across the Sahelian meningitis belt</w:t>
            </w:r>
          </w:p>
        </w:tc>
      </w:tr>
    </w:tbl>
    <w:p w14:paraId="62A51B9B"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i/>
          <w:iCs/>
          <w:sz w:val="24"/>
          <w:szCs w:val="24"/>
          <w:lang w:eastAsia="en-GB"/>
        </w:rPr>
        <w:t xml:space="preserve">Sources: Jafta et al. (2025); </w:t>
      </w:r>
      <w:proofErr w:type="spellStart"/>
      <w:r w:rsidRPr="00A777C3">
        <w:rPr>
          <w:rFonts w:ascii="Times New Roman" w:eastAsia="Times New Roman" w:hAnsi="Times New Roman" w:cs="Times New Roman"/>
          <w:i/>
          <w:iCs/>
          <w:sz w:val="24"/>
          <w:szCs w:val="24"/>
          <w:lang w:eastAsia="en-GB"/>
        </w:rPr>
        <w:t>Amegah</w:t>
      </w:r>
      <w:proofErr w:type="spellEnd"/>
      <w:r w:rsidRPr="00A777C3">
        <w:rPr>
          <w:rFonts w:ascii="Times New Roman" w:eastAsia="Times New Roman" w:hAnsi="Times New Roman" w:cs="Times New Roman"/>
          <w:i/>
          <w:iCs/>
          <w:sz w:val="24"/>
          <w:szCs w:val="24"/>
          <w:lang w:eastAsia="en-GB"/>
        </w:rPr>
        <w:t xml:space="preserve"> &amp; Agyei-Mensah (2017); </w:t>
      </w:r>
      <w:proofErr w:type="spellStart"/>
      <w:r w:rsidRPr="00A777C3">
        <w:rPr>
          <w:rFonts w:ascii="Times New Roman" w:eastAsia="Times New Roman" w:hAnsi="Times New Roman" w:cs="Times New Roman"/>
          <w:i/>
          <w:iCs/>
          <w:sz w:val="24"/>
          <w:szCs w:val="24"/>
          <w:lang w:eastAsia="en-GB"/>
        </w:rPr>
        <w:t>Bahino</w:t>
      </w:r>
      <w:proofErr w:type="spellEnd"/>
      <w:r w:rsidRPr="00A777C3">
        <w:rPr>
          <w:rFonts w:ascii="Times New Roman" w:eastAsia="Times New Roman" w:hAnsi="Times New Roman" w:cs="Times New Roman"/>
          <w:i/>
          <w:iCs/>
          <w:sz w:val="24"/>
          <w:szCs w:val="24"/>
          <w:lang w:eastAsia="en-GB"/>
        </w:rPr>
        <w:t xml:space="preserve"> et al. (2024); Capitanio et al. (2024); Kwarteng et al. (2020); Bauer et al. (2019); Yarber et al. (2023).</w:t>
      </w:r>
    </w:p>
    <w:p w14:paraId="7320EB8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Table 1 brings together the exposure pathways discussed in this section. It is notable that, while household air pollution affects the largest absolute number of Africans, the most intensive individual-level exposures tend to be concentrated among smaller, geographically and occupationally defined groups, such as informal e-waste recyclers and residents of gas-flaring communities. This distinction matters for the targeting of mitigation interventions, a point to which the review returns in Sections 8 and 10.</w:t>
      </w:r>
    </w:p>
    <w:p w14:paraId="50F8EBFE"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7882479C"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4. Air Quality Monitoring and Surveillance Infrastructure</w:t>
      </w:r>
    </w:p>
    <w:p w14:paraId="390231CB"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 recurring theme throughout the African air pollution literature is the scarcity of reference-grade ground-based monitoring infrastructure relative to other world regions, a deficiency that constrains both the accuracy of exposure assessment in epidemiological studies and the capacity of national and municipal authorities to design evidence-based mitigation strategies (Mir Alvarez et al., 2020). Many African cities have few or no continuously operating reference monitors, so that available ambient pollution estimates are frequently derived instead from satellite-based aerosol optical depth retrievals, chemical transport models, or, increasingly, networks of low-cost optical particulate sensors (Capitanio et al., 2024).</w:t>
      </w:r>
    </w:p>
    <w:p w14:paraId="243D17FB"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 deployment of low-cost sensor networks has gone some way towards closing this gap over the past decade. Sensor networks established in Accra, Ghana, and across multiple cities in Côte d'Ivoire and Ghana under regional air quality improvement initiatives have provided high temporal-resolution data revealing pronounced diurnal and seasonal variation in fine particulate concentrations, with morning traffic-related peaks and dry-season dust-related increases (</w:t>
      </w:r>
      <w:proofErr w:type="spellStart"/>
      <w:r w:rsidRPr="00A777C3">
        <w:rPr>
          <w:rFonts w:ascii="Times New Roman" w:eastAsia="Times New Roman" w:hAnsi="Times New Roman" w:cs="Times New Roman"/>
          <w:sz w:val="24"/>
          <w:szCs w:val="24"/>
          <w:lang w:eastAsia="en-GB"/>
        </w:rPr>
        <w:t>Bahino</w:t>
      </w:r>
      <w:proofErr w:type="spellEnd"/>
      <w:r w:rsidRPr="00A777C3">
        <w:rPr>
          <w:rFonts w:ascii="Times New Roman" w:eastAsia="Times New Roman" w:hAnsi="Times New Roman" w:cs="Times New Roman"/>
          <w:sz w:val="24"/>
          <w:szCs w:val="24"/>
          <w:lang w:eastAsia="en-GB"/>
        </w:rPr>
        <w:t xml:space="preserve"> et al., 2024). Such deployments illustrate both the feasibility and the practical value of supplementing the continent's sparse reference-grade network with more affordable monitoring technology, though, as the literature itself acknowledges, this still falls well short of the dense, continuously validated coverage available in most high-income regions.</w:t>
      </w:r>
    </w:p>
    <w:p w14:paraId="56CDCCDA"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Important limitations persist. Low-cost optical sensors require careful calibration against reference instruments to account for the effects of high ambient humidity, particularly in humid tropical and coastal West African settings, and uncorrected sensor data can introduce substantial bias into exposure estimates (</w:t>
      </w:r>
      <w:proofErr w:type="spellStart"/>
      <w:r w:rsidRPr="00A777C3">
        <w:rPr>
          <w:rFonts w:ascii="Times New Roman" w:eastAsia="Times New Roman" w:hAnsi="Times New Roman" w:cs="Times New Roman"/>
          <w:sz w:val="24"/>
          <w:szCs w:val="24"/>
          <w:lang w:eastAsia="en-GB"/>
        </w:rPr>
        <w:t>Bahino</w:t>
      </w:r>
      <w:proofErr w:type="spellEnd"/>
      <w:r w:rsidRPr="00A777C3">
        <w:rPr>
          <w:rFonts w:ascii="Times New Roman" w:eastAsia="Times New Roman" w:hAnsi="Times New Roman" w:cs="Times New Roman"/>
          <w:sz w:val="24"/>
          <w:szCs w:val="24"/>
          <w:lang w:eastAsia="en-GB"/>
        </w:rPr>
        <w:t xml:space="preserve"> et al., 2024). Moreover, even low-cost networks remain heavily concentrated in national capitals and a small number of major cities, leaving rural areas, secondary cities and cross-border regions with minimal coverage. A scoping review of air quality monitoring, policy and health research across West African cities found that, even where legislative frameworks for air quality management exist on paper, enforcement is frequently undermined by the absence of routine monitoring data, weak </w:t>
      </w:r>
      <w:r w:rsidRPr="00A777C3">
        <w:rPr>
          <w:rFonts w:ascii="Times New Roman" w:eastAsia="Times New Roman" w:hAnsi="Times New Roman" w:cs="Times New Roman"/>
          <w:sz w:val="24"/>
          <w:szCs w:val="24"/>
          <w:lang w:eastAsia="en-GB"/>
        </w:rPr>
        <w:lastRenderedPageBreak/>
        <w:t>coordination between environment and health authorities, and limited technical and financial capacity within national meteorological and environmental agencies (Mir Alvarez et al., 2020). This monitoring deficit has direct epidemiological consequences: the majority of African exposure-response studies have necessarily relied on indirect exposure proxies, such as fuel type, distance from major roads, or modelled satellite-derived concentrations, rather than on direct personal or household-level measurement, introducing a degree of exposure misclassification that complicates cross-study comparison and may bias some effect estimates towards the null (Capitanio et al., 2024; Lake et al., 2025).</w:t>
      </w:r>
    </w:p>
    <w:p w14:paraId="3038AAC7"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08FC5722"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5. Respiratory Health Effects</w:t>
      </w:r>
    </w:p>
    <w:p w14:paraId="53A767BA"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5.1 Acute lower respiratory infection and pneumonia in children</w:t>
      </w:r>
    </w:p>
    <w:p w14:paraId="5843232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Acute lower respiratory infection, including pneumonia, remains among the leading causes of death in children under five years of age across sub-Saharan Africa, and air pollution exposure, both household and ambient, is consistently identified as a major modifiable risk factor (Sarfo et al., 2023; </w:t>
      </w:r>
      <w:r w:rsidR="0011244A" w:rsidRPr="0011244A">
        <w:rPr>
          <w:rFonts w:ascii="Times New Roman" w:eastAsia="Times New Roman" w:hAnsi="Times New Roman" w:cs="Times New Roman"/>
          <w:sz w:val="24"/>
          <w:szCs w:val="24"/>
          <w:lang w:eastAsia="en-GB"/>
        </w:rPr>
        <w:t>GBD 2021 Lower Respiratory Infections and Antimicrobial Resistance Collaborators</w:t>
      </w:r>
      <w:r w:rsidRPr="00A777C3">
        <w:rPr>
          <w:rFonts w:ascii="Times New Roman" w:eastAsia="Times New Roman" w:hAnsi="Times New Roman" w:cs="Times New Roman"/>
          <w:sz w:val="24"/>
          <w:szCs w:val="24"/>
          <w:lang w:eastAsia="en-GB"/>
        </w:rPr>
        <w:t>, 2024). A systematic review and meta-analysis focused specifically on sub-Saharan Africa, drawing on more than two million participants across thirty-one included studies, found that children exposed to indoor solid fuel combustion had substantially elevated odds of all-cause mortality relative to unexposed children, and that exposure to household tobacco smoke was similarly associated with increased odds of respiratory hospitalisation (Lake et al., 2025). The same review noted that the great majority of available African studies have relied on proxy measures of exposure, such as reported fuel type, rather than on direct measurement of ambient or household pollutant concentrations, and that comparatively few studies have examined ambient air pollution's independent contribution to childhood mortality, a gap that reflects the broader monitoring deficit discussed above (Lake et al., 2025).</w:t>
      </w:r>
    </w:p>
    <w:p w14:paraId="22A7C404"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Analyses linking Demographic and Health Survey data to satellite-derived ambient PM2.5 estimates across thirty-five developing countries, including a substantial number of African nations, have shown significant positive associations between ambient particulate exposure and acute respiratory infection risk in children under five, with effect estimates broadly consistent across regions (Odo et al., 2022). A </w:t>
      </w:r>
      <w:proofErr w:type="spellStart"/>
      <w:r w:rsidRPr="00A777C3">
        <w:rPr>
          <w:rFonts w:ascii="Times New Roman" w:eastAsia="Times New Roman" w:hAnsi="Times New Roman" w:cs="Times New Roman"/>
          <w:sz w:val="24"/>
          <w:szCs w:val="24"/>
          <w:lang w:eastAsia="en-GB"/>
        </w:rPr>
        <w:t>multicountry</w:t>
      </w:r>
      <w:proofErr w:type="spellEnd"/>
      <w:r w:rsidRPr="00A777C3">
        <w:rPr>
          <w:rFonts w:ascii="Times New Roman" w:eastAsia="Times New Roman" w:hAnsi="Times New Roman" w:cs="Times New Roman"/>
          <w:sz w:val="24"/>
          <w:szCs w:val="24"/>
          <w:lang w:eastAsia="en-GB"/>
        </w:rPr>
        <w:t xml:space="preserve"> analysis of ambient PM2.5 and under-five mortality drawing on African Demographic and Health Survey data found, in a similar vein, that different source-specific components of ambient particulate matter were differentially associated with under-five and maternal mortality risk, underscoring the importance of pollutant source apportionment for accurate risk characterisation (</w:t>
      </w:r>
      <w:proofErr w:type="spellStart"/>
      <w:r w:rsidRPr="00A777C3">
        <w:rPr>
          <w:rFonts w:ascii="Times New Roman" w:eastAsia="Times New Roman" w:hAnsi="Times New Roman" w:cs="Times New Roman"/>
          <w:sz w:val="24"/>
          <w:szCs w:val="24"/>
          <w:lang w:eastAsia="en-GB"/>
        </w:rPr>
        <w:t>Owili</w:t>
      </w:r>
      <w:proofErr w:type="spellEnd"/>
      <w:r w:rsidRPr="00A777C3">
        <w:rPr>
          <w:rFonts w:ascii="Times New Roman" w:eastAsia="Times New Roman" w:hAnsi="Times New Roman" w:cs="Times New Roman"/>
          <w:sz w:val="24"/>
          <w:szCs w:val="24"/>
          <w:lang w:eastAsia="en-GB"/>
        </w:rPr>
        <w:t xml:space="preserve"> et al., 2017). Country-specific evidence corroborates these multi-country findings: studies among schoolchildren in Durban, South Africa, have documented acute respiratory symptom exacerbation in association with short-term fluctuations in ambient nitrogen dioxide and fine particulate matter, indicating that ambient pollution effects are detectable even at the comparatively lower concentrations characteristic of southern African cities relative to West African settings (Mentz et al., 2018).</w:t>
      </w:r>
    </w:p>
    <w:p w14:paraId="1917A02D"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5.2 Chronic respiratory disease, tuberculosis and interaction with infectious disease</w:t>
      </w:r>
    </w:p>
    <w:p w14:paraId="3A68A634"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Beyond acute infection, household and ambient air pollution exposure are implicated in the development of chronic respiratory disease, including chronic obstructive pulmonary disease and asthma, across African populations. A systematic review and meta-analysis of household air pollution's adverse health effects, encompassing global evidence with particular relevance to African exposure circumstances, demonstrated significant positive associations between household air pollution and asthma, adult and childhood acute respiratory infection, chronic obstructive pulmonary disease and lung cancer, alongside associations with cerebrovascular and ischaemic heart disease discussed further below (Lee et al., 2020). The continuing reliance on biomass and charcoal combustion across the continent, combined with the comparatively limited penetration of cleaner cooking technologies relative to other low- and middle-income regions, means that the chronic respiratory disease burden attributable to household air pollution in Africa has not declined in step with global trends, even as overall biomass fuel use has fallen modestly in some other world regions (Jafta et al., 2025).</w:t>
      </w:r>
    </w:p>
    <w:p w14:paraId="5BBCFA25"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 particularly important, and frequently underappreciated, dimension of the African air pollution burden concerns its interaction with tuberculosis, a disease for which the continent continues to bear a disproportionate share of the global burden. A foundational systematic review and meta-analysis showed that both household air pollution from biomass combustion and exposure to tobacco smoke are associated with significantly increased risk of tuberculosis infection, active disease and tuberculosis-related death, with proposed mechanisms including impairment of alveolar macrophage function and a consequent reduced capacity to contain mycobacterial infection (Lin et al., 2007). Subsequent studies in South African communities affected by high tuberculosis and HIV prevalence have documented a high prevalence of exposure to </w:t>
      </w:r>
      <w:proofErr w:type="spellStart"/>
      <w:r w:rsidRPr="00A777C3">
        <w:rPr>
          <w:rFonts w:ascii="Times New Roman" w:eastAsia="Times New Roman" w:hAnsi="Times New Roman" w:cs="Times New Roman"/>
          <w:sz w:val="24"/>
          <w:szCs w:val="24"/>
          <w:lang w:eastAsia="en-GB"/>
        </w:rPr>
        <w:t>secondhand</w:t>
      </w:r>
      <w:proofErr w:type="spellEnd"/>
      <w:r w:rsidRPr="00A777C3">
        <w:rPr>
          <w:rFonts w:ascii="Times New Roman" w:eastAsia="Times New Roman" w:hAnsi="Times New Roman" w:cs="Times New Roman"/>
          <w:sz w:val="24"/>
          <w:szCs w:val="24"/>
          <w:lang w:eastAsia="en-GB"/>
        </w:rPr>
        <w:t xml:space="preserve"> tobacco smoke, solid fuel combustion and kerosene use within households of individuals with active tuberculosis, suggesting that household air pollution exposure may contribute to ongoing transmission dynamics even where formal tuberculosis control programmes are well established (Elf et al., 2017). This intersection between air pollution and an already substantial infectious disease burden represents a distinctively African dimension of the overall impact, one that has received comparatively limited attention in reviews framed primarily around high-income evidence.</w:t>
      </w:r>
    </w:p>
    <w:p w14:paraId="7BD554CD"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Table 2. Summary of selected respiratory health associations with air pollution exposure in African settings</w:t>
      </w:r>
    </w:p>
    <w:tbl>
      <w:tblPr>
        <w:tblStyle w:val="TableGrid"/>
        <w:tblW w:w="0" w:type="auto"/>
        <w:tblLook w:val="04A0" w:firstRow="1" w:lastRow="0" w:firstColumn="1" w:lastColumn="0" w:noHBand="0" w:noVBand="1"/>
      </w:tblPr>
      <w:tblGrid>
        <w:gridCol w:w="2151"/>
        <w:gridCol w:w="2944"/>
        <w:gridCol w:w="3036"/>
        <w:gridCol w:w="1111"/>
      </w:tblGrid>
      <w:tr w:rsidR="00A777C3" w:rsidRPr="00A777C3" w14:paraId="5EABFBCC" w14:textId="77777777" w:rsidTr="0011244A">
        <w:tc>
          <w:tcPr>
            <w:tcW w:w="0" w:type="auto"/>
            <w:hideMark/>
          </w:tcPr>
          <w:p w14:paraId="422323E0"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Outcome</w:t>
            </w:r>
          </w:p>
        </w:tc>
        <w:tc>
          <w:tcPr>
            <w:tcW w:w="0" w:type="auto"/>
            <w:hideMark/>
          </w:tcPr>
          <w:p w14:paraId="59241553"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Exposure</w:t>
            </w:r>
          </w:p>
        </w:tc>
        <w:tc>
          <w:tcPr>
            <w:tcW w:w="0" w:type="auto"/>
            <w:hideMark/>
          </w:tcPr>
          <w:p w14:paraId="5852FFE5"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Key finding</w:t>
            </w:r>
          </w:p>
        </w:tc>
        <w:tc>
          <w:tcPr>
            <w:tcW w:w="0" w:type="auto"/>
            <w:hideMark/>
          </w:tcPr>
          <w:p w14:paraId="032FDFDE"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Source</w:t>
            </w:r>
          </w:p>
        </w:tc>
      </w:tr>
      <w:tr w:rsidR="00A777C3" w:rsidRPr="00A777C3" w14:paraId="1EDB858A" w14:textId="77777777" w:rsidTr="0011244A">
        <w:tc>
          <w:tcPr>
            <w:tcW w:w="0" w:type="auto"/>
            <w:hideMark/>
          </w:tcPr>
          <w:p w14:paraId="06E7AB2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All-cause under-five mortality</w:t>
            </w:r>
          </w:p>
        </w:tc>
        <w:tc>
          <w:tcPr>
            <w:tcW w:w="0" w:type="auto"/>
            <w:hideMark/>
          </w:tcPr>
          <w:p w14:paraId="009D2906"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Indoor solid fuel combustion</w:t>
            </w:r>
          </w:p>
        </w:tc>
        <w:tc>
          <w:tcPr>
            <w:tcW w:w="0" w:type="auto"/>
            <w:hideMark/>
          </w:tcPr>
          <w:p w14:paraId="283B6D5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Significantly elevated odds of mortality among exposed children (meta-analysis, sub-Saharan Africa)</w:t>
            </w:r>
          </w:p>
        </w:tc>
        <w:tc>
          <w:tcPr>
            <w:tcW w:w="0" w:type="auto"/>
            <w:hideMark/>
          </w:tcPr>
          <w:p w14:paraId="0ADEC295"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Lake et al. (2025)</w:t>
            </w:r>
          </w:p>
        </w:tc>
      </w:tr>
      <w:tr w:rsidR="00A777C3" w:rsidRPr="00A777C3" w14:paraId="35F608F6" w14:textId="77777777" w:rsidTr="0011244A">
        <w:tc>
          <w:tcPr>
            <w:tcW w:w="0" w:type="auto"/>
            <w:hideMark/>
          </w:tcPr>
          <w:p w14:paraId="669ED23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Acute respiratory infection, under-five children</w:t>
            </w:r>
          </w:p>
        </w:tc>
        <w:tc>
          <w:tcPr>
            <w:tcW w:w="0" w:type="auto"/>
            <w:hideMark/>
          </w:tcPr>
          <w:p w14:paraId="75F275D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Ambient PM2.5 (35 developing countries)</w:t>
            </w:r>
          </w:p>
        </w:tc>
        <w:tc>
          <w:tcPr>
            <w:tcW w:w="0" w:type="auto"/>
            <w:hideMark/>
          </w:tcPr>
          <w:p w14:paraId="719F4E3C"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positive association across multiple regions including Africa</w:t>
            </w:r>
          </w:p>
        </w:tc>
        <w:tc>
          <w:tcPr>
            <w:tcW w:w="0" w:type="auto"/>
            <w:hideMark/>
          </w:tcPr>
          <w:p w14:paraId="07893655"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Odo et al. (2022)</w:t>
            </w:r>
          </w:p>
        </w:tc>
      </w:tr>
      <w:tr w:rsidR="00A777C3" w:rsidRPr="00A777C3" w14:paraId="04C941FE" w14:textId="77777777" w:rsidTr="0011244A">
        <w:tc>
          <w:tcPr>
            <w:tcW w:w="0" w:type="auto"/>
            <w:hideMark/>
          </w:tcPr>
          <w:p w14:paraId="3AC2940B"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Under-five and maternal mortality</w:t>
            </w:r>
          </w:p>
        </w:tc>
        <w:tc>
          <w:tcPr>
            <w:tcW w:w="0" w:type="auto"/>
            <w:hideMark/>
          </w:tcPr>
          <w:p w14:paraId="55B63932"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Source-specific ambient PM2.5</w:t>
            </w:r>
          </w:p>
        </w:tc>
        <w:tc>
          <w:tcPr>
            <w:tcW w:w="0" w:type="auto"/>
            <w:hideMark/>
          </w:tcPr>
          <w:p w14:paraId="4ABD0CC7"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Differential mortality association by pollutant source across African countries</w:t>
            </w:r>
          </w:p>
        </w:tc>
        <w:tc>
          <w:tcPr>
            <w:tcW w:w="0" w:type="auto"/>
            <w:hideMark/>
          </w:tcPr>
          <w:p w14:paraId="51A0116C" w14:textId="77777777" w:rsidR="00A777C3" w:rsidRPr="00A777C3" w:rsidRDefault="00A777C3" w:rsidP="00A777C3">
            <w:pPr>
              <w:rPr>
                <w:rFonts w:ascii="Times New Roman" w:eastAsia="Times New Roman" w:hAnsi="Times New Roman" w:cs="Times New Roman"/>
                <w:sz w:val="24"/>
                <w:szCs w:val="24"/>
                <w:lang w:eastAsia="en-GB"/>
              </w:rPr>
            </w:pPr>
            <w:proofErr w:type="spellStart"/>
            <w:r w:rsidRPr="00A777C3">
              <w:rPr>
                <w:rFonts w:ascii="Times New Roman" w:eastAsia="Times New Roman" w:hAnsi="Times New Roman" w:cs="Times New Roman"/>
                <w:sz w:val="24"/>
                <w:szCs w:val="24"/>
                <w:lang w:eastAsia="en-GB"/>
              </w:rPr>
              <w:t>Owili</w:t>
            </w:r>
            <w:proofErr w:type="spellEnd"/>
            <w:r w:rsidRPr="00A777C3">
              <w:rPr>
                <w:rFonts w:ascii="Times New Roman" w:eastAsia="Times New Roman" w:hAnsi="Times New Roman" w:cs="Times New Roman"/>
                <w:sz w:val="24"/>
                <w:szCs w:val="24"/>
                <w:lang w:eastAsia="en-GB"/>
              </w:rPr>
              <w:t xml:space="preserve"> et al. (2017)</w:t>
            </w:r>
          </w:p>
        </w:tc>
      </w:tr>
      <w:tr w:rsidR="00A777C3" w:rsidRPr="00A777C3" w14:paraId="1AC686B9" w14:textId="77777777" w:rsidTr="0011244A">
        <w:tc>
          <w:tcPr>
            <w:tcW w:w="0" w:type="auto"/>
            <w:hideMark/>
          </w:tcPr>
          <w:p w14:paraId="37F55403"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Acute respiratory symptoms, schoolchildren</w:t>
            </w:r>
          </w:p>
        </w:tc>
        <w:tc>
          <w:tcPr>
            <w:tcW w:w="0" w:type="auto"/>
            <w:hideMark/>
          </w:tcPr>
          <w:p w14:paraId="59A4CD68"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Short-term ambient NO2 and PM2.5 fluctuations</w:t>
            </w:r>
          </w:p>
        </w:tc>
        <w:tc>
          <w:tcPr>
            <w:tcW w:w="0" w:type="auto"/>
            <w:hideMark/>
          </w:tcPr>
          <w:p w14:paraId="2268F237"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symptom exacerbation, Durban, South Africa</w:t>
            </w:r>
          </w:p>
        </w:tc>
        <w:tc>
          <w:tcPr>
            <w:tcW w:w="0" w:type="auto"/>
            <w:hideMark/>
          </w:tcPr>
          <w:p w14:paraId="2F20DCE2"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Mentz et al. (2018)</w:t>
            </w:r>
          </w:p>
        </w:tc>
      </w:tr>
      <w:tr w:rsidR="00A777C3" w:rsidRPr="00A777C3" w14:paraId="5AAAC9AE" w14:textId="77777777" w:rsidTr="0011244A">
        <w:tc>
          <w:tcPr>
            <w:tcW w:w="0" w:type="auto"/>
            <w:hideMark/>
          </w:tcPr>
          <w:p w14:paraId="4D2B18A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Asthma, COPD, </w:t>
            </w:r>
            <w:r w:rsidRPr="00A777C3">
              <w:rPr>
                <w:rFonts w:ascii="Times New Roman" w:eastAsia="Times New Roman" w:hAnsi="Times New Roman" w:cs="Times New Roman"/>
                <w:sz w:val="24"/>
                <w:szCs w:val="24"/>
                <w:lang w:eastAsia="en-GB"/>
              </w:rPr>
              <w:lastRenderedPageBreak/>
              <w:t>lung cancer, tuberculosis</w:t>
            </w:r>
          </w:p>
        </w:tc>
        <w:tc>
          <w:tcPr>
            <w:tcW w:w="0" w:type="auto"/>
            <w:hideMark/>
          </w:tcPr>
          <w:p w14:paraId="095DE0BE"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Household air pollution </w:t>
            </w:r>
            <w:r w:rsidRPr="00A777C3">
              <w:rPr>
                <w:rFonts w:ascii="Times New Roman" w:eastAsia="Times New Roman" w:hAnsi="Times New Roman" w:cs="Times New Roman"/>
                <w:sz w:val="24"/>
                <w:szCs w:val="24"/>
                <w:lang w:eastAsia="en-GB"/>
              </w:rPr>
              <w:lastRenderedPageBreak/>
              <w:t>(biomass/coal/kerosene)</w:t>
            </w:r>
          </w:p>
        </w:tc>
        <w:tc>
          <w:tcPr>
            <w:tcW w:w="0" w:type="auto"/>
            <w:hideMark/>
          </w:tcPr>
          <w:p w14:paraId="7183883A"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Significant positive </w:t>
            </w:r>
            <w:r w:rsidRPr="00A777C3">
              <w:rPr>
                <w:rFonts w:ascii="Times New Roman" w:eastAsia="Times New Roman" w:hAnsi="Times New Roman" w:cs="Times New Roman"/>
                <w:sz w:val="24"/>
                <w:szCs w:val="24"/>
                <w:lang w:eastAsia="en-GB"/>
              </w:rPr>
              <w:lastRenderedPageBreak/>
              <w:t>associations (global meta-analysis with strong LMIC representation)</w:t>
            </w:r>
          </w:p>
        </w:tc>
        <w:tc>
          <w:tcPr>
            <w:tcW w:w="0" w:type="auto"/>
            <w:hideMark/>
          </w:tcPr>
          <w:p w14:paraId="5E0E038B"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 xml:space="preserve">Lee et al. </w:t>
            </w:r>
            <w:r w:rsidRPr="00A777C3">
              <w:rPr>
                <w:rFonts w:ascii="Times New Roman" w:eastAsia="Times New Roman" w:hAnsi="Times New Roman" w:cs="Times New Roman"/>
                <w:sz w:val="24"/>
                <w:szCs w:val="24"/>
                <w:lang w:eastAsia="en-GB"/>
              </w:rPr>
              <w:lastRenderedPageBreak/>
              <w:t>(2020)</w:t>
            </w:r>
          </w:p>
        </w:tc>
      </w:tr>
      <w:tr w:rsidR="00A777C3" w:rsidRPr="00A777C3" w14:paraId="1404B604" w14:textId="77777777" w:rsidTr="0011244A">
        <w:tc>
          <w:tcPr>
            <w:tcW w:w="0" w:type="auto"/>
            <w:hideMark/>
          </w:tcPr>
          <w:p w14:paraId="6507FE6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Tuberculosis infection, disease and death</w:t>
            </w:r>
          </w:p>
        </w:tc>
        <w:tc>
          <w:tcPr>
            <w:tcW w:w="0" w:type="auto"/>
            <w:hideMark/>
          </w:tcPr>
          <w:p w14:paraId="7EB7F90D"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Biomass smoke and tobacco smoke</w:t>
            </w:r>
          </w:p>
        </w:tc>
        <w:tc>
          <w:tcPr>
            <w:tcW w:w="0" w:type="auto"/>
            <w:hideMark/>
          </w:tcPr>
          <w:p w14:paraId="72DA720A"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positive association across multiple observational studies</w:t>
            </w:r>
          </w:p>
        </w:tc>
        <w:tc>
          <w:tcPr>
            <w:tcW w:w="0" w:type="auto"/>
            <w:hideMark/>
          </w:tcPr>
          <w:p w14:paraId="4155CF76"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Lin et al. (2007)</w:t>
            </w:r>
          </w:p>
        </w:tc>
      </w:tr>
    </w:tbl>
    <w:p w14:paraId="13C76A4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i/>
          <w:iCs/>
          <w:sz w:val="24"/>
          <w:szCs w:val="24"/>
          <w:lang w:eastAsia="en-GB"/>
        </w:rPr>
        <w:t xml:space="preserve">Sources: Lake et al. (2025); Odo et al. (2022); </w:t>
      </w:r>
      <w:proofErr w:type="spellStart"/>
      <w:r w:rsidRPr="00A777C3">
        <w:rPr>
          <w:rFonts w:ascii="Times New Roman" w:eastAsia="Times New Roman" w:hAnsi="Times New Roman" w:cs="Times New Roman"/>
          <w:i/>
          <w:iCs/>
          <w:sz w:val="24"/>
          <w:szCs w:val="24"/>
          <w:lang w:eastAsia="en-GB"/>
        </w:rPr>
        <w:t>Owili</w:t>
      </w:r>
      <w:proofErr w:type="spellEnd"/>
      <w:r w:rsidRPr="00A777C3">
        <w:rPr>
          <w:rFonts w:ascii="Times New Roman" w:eastAsia="Times New Roman" w:hAnsi="Times New Roman" w:cs="Times New Roman"/>
          <w:i/>
          <w:iCs/>
          <w:sz w:val="24"/>
          <w:szCs w:val="24"/>
          <w:lang w:eastAsia="en-GB"/>
        </w:rPr>
        <w:t xml:space="preserve"> et al. (2017); Mentz et al. (2018); Lee et al. (2020); Lin et al. (2007).</w:t>
      </w:r>
    </w:p>
    <w:p w14:paraId="64441F4B"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Table 2 brings together respiratory outcomes spanning the life course, from acute infection in infancy to chronic disease and infectious-disease interaction in adulthood, and underscores how consistent the underlying exposure-response relationship appears across diverse African study settings despite considerable variation in how exposure has been measured.</w:t>
      </w:r>
    </w:p>
    <w:p w14:paraId="24717EBA"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3117706D"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6. Cardiovascular and Other Non-Communicable Disease Effects</w:t>
      </w:r>
    </w:p>
    <w:p w14:paraId="6B40CAAE"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Air pollution's contribution to cardiovascular disease in Africa has historically received less research attention than its contribution to respiratory and infectious disease, a gap a recent scoping review attributes to the limited availability of African air quality monitoring data and the comparatively small number of dedicated cardiovascular cohort and surveillance studies on the continent relative to high-income settings (Adeoye et al., 2024). Even so, the available evidence, together with global disease-burden modelling that incorporates African exposure data, points to a substantial and likely growing cardiovascular impact.</w:t>
      </w:r>
    </w:p>
    <w:p w14:paraId="2FAC612F"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 systematic scoping review of air pollution and cardiovascular health outcomes in African populations identified only a small number of eligible epidemiological studies, the majority conducted in South Africa, which together demonstrated positive associations between exposure to ambient particulate matter, nitrogen dioxide and sulphur dioxide and increased risk of stroke incidence and overall cardiovascular hospitalisation and mortality (Adeoye et al., 2024). The review's authors were candid that this very small, geographically narrow evidence base makes it difficult to characterise the true continental impact of air pollution on cardiovascular health with any confidence, and called for expanded longitudinal cohort studies using standardised exposure and outcome assessment across a wider range of African settings (Adeoye et al., 2024).</w:t>
      </w:r>
    </w:p>
    <w:p w14:paraId="0319182D"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Global Burden of Disease modelling, which incorporates African exposure and mortality data within a broader analytic framework, offers complementary evidence of a substantial and likely still-growing cardiovascular burden attributable to air pollution in sub-Saharan Africa. A recent analysis of the global stroke burden attributable specifically to household air pollution, using Global Burden of Disease 2021 data with projections to 2040, places sub-Saharan Africa among the regions facing a persistently elevated stroke burden from this exposure pathway, in contrast to the declining trends seen in many higher-income settings (Li et al., 2025). This regional divergence is consistent with broader modelling of household air pollution's contribution to ischaemic heart disease and stroke, which likewise identifies sub-Saharan Africa as a region of persistently high age-standardised disability-adjusted life year rates from these causes, with the burden remaining essentially static over the past three decades despite substantial global declines elsewhere (GBD 2021 HAP Collaborators, 2025).</w:t>
      </w:r>
    </w:p>
    <w:p w14:paraId="74C1307D"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A geo-epidemiological analysis of twelve French-speaking African countries, drawing on satellite-derived ambient PM2.5 concentrations and applying disease-specific relative risk functions taken from global epidemiological evidence, estimated that ischaemic heart disease and stroke together accounted for the substantial majority of air pollution-attributable deaths within the study countries in the most recent assessment year, exceeding the combined contribution of chronic obstructive pulmonary disease and lower respiratory infection (Capitanio et al., 2024). This finding rests on a modelling approach that necessarily applies relative risk functions estimated predominantly from non-African cohorts, and so carries some uncertainty about direct transportability to African exposure circumstances and population susceptibility; nonetheless, it is broadly consistent with the cardiovascular-dominant pattern of air pollution-attributable mortality seen in global disease-burden analyses, and it underlines the need for African-specific exposure-response evidence to refine such risk-transfer assumptions (Capitanio et al., 2024).</w:t>
      </w:r>
    </w:p>
    <w:p w14:paraId="326E29D1"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Beyond cardiovascular outcomes narrowly defined, household air pollution exposure in Africa has also been associated, in global meta-analytic evidence that incorporates African data, with increased risk of cataract and with adverse outcomes mediated through impaired </w:t>
      </w:r>
      <w:proofErr w:type="spellStart"/>
      <w:r w:rsidRPr="00A777C3">
        <w:rPr>
          <w:rFonts w:ascii="Times New Roman" w:eastAsia="Times New Roman" w:hAnsi="Times New Roman" w:cs="Times New Roman"/>
          <w:sz w:val="24"/>
          <w:szCs w:val="24"/>
          <w:lang w:eastAsia="en-GB"/>
        </w:rPr>
        <w:t>fetal</w:t>
      </w:r>
      <w:proofErr w:type="spellEnd"/>
      <w:r w:rsidRPr="00A777C3">
        <w:rPr>
          <w:rFonts w:ascii="Times New Roman" w:eastAsia="Times New Roman" w:hAnsi="Times New Roman" w:cs="Times New Roman"/>
          <w:sz w:val="24"/>
          <w:szCs w:val="24"/>
          <w:lang w:eastAsia="en-GB"/>
        </w:rPr>
        <w:t xml:space="preserve"> growth and gestational duration, outcomes considered in greater detail in the following section, alongside emerging but still limited evidence on lung and other respiratory tract cancers attributable to chronic biomass smoke exposure (Lee et al., 2020; GBD 2021 HAP Collaborators, 2025).</w:t>
      </w:r>
    </w:p>
    <w:p w14:paraId="474711D0"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0C833F11"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7. Maternal, Perinatal and Child Developmental Effects</w:t>
      </w:r>
    </w:p>
    <w:p w14:paraId="2217353C"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7.1 Pregnancy outcomes</w:t>
      </w:r>
    </w:p>
    <w:p w14:paraId="6F621244"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 substantial and increasingly robust body of evidence links maternal exposure to ambient and household air pollution during pregnancy with adverse birth outcomes across African settings. A large </w:t>
      </w:r>
      <w:proofErr w:type="spellStart"/>
      <w:r w:rsidRPr="00A777C3">
        <w:rPr>
          <w:rFonts w:ascii="Times New Roman" w:eastAsia="Times New Roman" w:hAnsi="Times New Roman" w:cs="Times New Roman"/>
          <w:sz w:val="24"/>
          <w:szCs w:val="24"/>
          <w:lang w:eastAsia="en-GB"/>
        </w:rPr>
        <w:t>multicountry</w:t>
      </w:r>
      <w:proofErr w:type="spellEnd"/>
      <w:r w:rsidRPr="00A777C3">
        <w:rPr>
          <w:rFonts w:ascii="Times New Roman" w:eastAsia="Times New Roman" w:hAnsi="Times New Roman" w:cs="Times New Roman"/>
          <w:sz w:val="24"/>
          <w:szCs w:val="24"/>
          <w:lang w:eastAsia="en-GB"/>
        </w:rPr>
        <w:t xml:space="preserve"> cross-sectional analysis drawing on Demographic and Health Survey data from fifteen African countries, covering over 130,000 births and using satellite-based estimates of maternal PM2.5 exposure during pregnancy, found that an interquartile range increase in PM2.5 exposure was associated with significantly increased odds of both low birth weight and preterm birth, with associations evident across Western, Eastern, Central and Southern African regions, and a somewhat stronger association for low birth weight observed among female infants (</w:t>
      </w:r>
      <w:proofErr w:type="spellStart"/>
      <w:r w:rsidRPr="00A777C3">
        <w:rPr>
          <w:rFonts w:ascii="Times New Roman" w:eastAsia="Times New Roman" w:hAnsi="Times New Roman" w:cs="Times New Roman"/>
          <w:sz w:val="24"/>
          <w:szCs w:val="24"/>
          <w:lang w:eastAsia="en-GB"/>
        </w:rPr>
        <w:t>Bachwenkizi</w:t>
      </w:r>
      <w:proofErr w:type="spellEnd"/>
      <w:r w:rsidRPr="00A777C3">
        <w:rPr>
          <w:rFonts w:ascii="Times New Roman" w:eastAsia="Times New Roman" w:hAnsi="Times New Roman" w:cs="Times New Roman"/>
          <w:sz w:val="24"/>
          <w:szCs w:val="24"/>
          <w:lang w:eastAsia="en-GB"/>
        </w:rPr>
        <w:t xml:space="preserve"> et al., 2022). A complementary cohort-based analysis from the Mother and Child in the Environment birth cohort in Durban, South Africa, using land-use regression modelling of household-level prenatal exposure to PM2.5, sulphur dioxide and nitrogen oxides, similarly demonstrated significant direct and indirect effects of PM2.5 exposure on the risk of adverse birth outcomes, with preterm birth acting as a partial mediator of the pathway linking ambient pollutant exposure to low birth weight and small-for-gestational-age status (Mitku et al., 2023).</w:t>
      </w:r>
    </w:p>
    <w:p w14:paraId="2063A1E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These African-specific findings sit alongside, and contribute to, global </w:t>
      </w:r>
      <w:proofErr w:type="spellStart"/>
      <w:r w:rsidRPr="00A777C3">
        <w:rPr>
          <w:rFonts w:ascii="Times New Roman" w:eastAsia="Times New Roman" w:hAnsi="Times New Roman" w:cs="Times New Roman"/>
          <w:sz w:val="24"/>
          <w:szCs w:val="24"/>
          <w:lang w:eastAsia="en-GB"/>
        </w:rPr>
        <w:t>Global</w:t>
      </w:r>
      <w:proofErr w:type="spellEnd"/>
      <w:r w:rsidRPr="00A777C3">
        <w:rPr>
          <w:rFonts w:ascii="Times New Roman" w:eastAsia="Times New Roman" w:hAnsi="Times New Roman" w:cs="Times New Roman"/>
          <w:sz w:val="24"/>
          <w:szCs w:val="24"/>
          <w:lang w:eastAsia="en-GB"/>
        </w:rPr>
        <w:t xml:space="preserve"> Burden of Disease modelling of household air pollution-attributable perinatal outcomes, which identifies adverse reproductive outcomes, including reduced birth weight and shortened gestational age, as accounting for roughly a third of the total disease burden attributable to household air pollution worldwide, with this mediated burden particularly pronounced in sub-Saharan Africa and South Asia, the two regions with the lowest population-level mean birth </w:t>
      </w:r>
      <w:r w:rsidRPr="00A777C3">
        <w:rPr>
          <w:rFonts w:ascii="Times New Roman" w:eastAsia="Times New Roman" w:hAnsi="Times New Roman" w:cs="Times New Roman"/>
          <w:sz w:val="24"/>
          <w:szCs w:val="24"/>
          <w:lang w:eastAsia="en-GB"/>
        </w:rPr>
        <w:lastRenderedPageBreak/>
        <w:t>weight and gestational age globally (GBD 2021 HAP Collaborators, 2025). Taken together, this evidence suggests that the reproductive health consequences of air pollution exposure represent a quantitatively major, though historically underappreciated, component of the continent's overall pollution-attributable disease burden, with direct implications for downstream child survival and development given the well-established relationship between low birth weight, preterm birth and subsequent child morbidity and mortality risk.</w:t>
      </w:r>
    </w:p>
    <w:p w14:paraId="29461339"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7.2 Child growth and neurodevelopment: an evidence gap</w:t>
      </w:r>
    </w:p>
    <w:p w14:paraId="005C4D6C"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Beyond effects on birth outcomes themselves, a smaller and considerably less developed literature has begun to ask whether early-life air pollution exposure carries consequences for subsequent child growth and neurodevelopment within African settings. The biological plausibility of such effects rests largely on mechanisms established outside Africa, including the capacity of ultrafine particulate matter to cross the immature blood-brain barrier and provoke systemic and neuroinflammatory responses during critical windows of </w:t>
      </w:r>
      <w:proofErr w:type="spellStart"/>
      <w:r w:rsidRPr="00A777C3">
        <w:rPr>
          <w:rFonts w:ascii="Times New Roman" w:eastAsia="Times New Roman" w:hAnsi="Times New Roman" w:cs="Times New Roman"/>
          <w:sz w:val="24"/>
          <w:szCs w:val="24"/>
          <w:lang w:eastAsia="en-GB"/>
        </w:rPr>
        <w:t>fetal</w:t>
      </w:r>
      <w:proofErr w:type="spellEnd"/>
      <w:r w:rsidRPr="00A777C3">
        <w:rPr>
          <w:rFonts w:ascii="Times New Roman" w:eastAsia="Times New Roman" w:hAnsi="Times New Roman" w:cs="Times New Roman"/>
          <w:sz w:val="24"/>
          <w:szCs w:val="24"/>
          <w:lang w:eastAsia="en-GB"/>
        </w:rPr>
        <w:t xml:space="preserve"> and infant brain development. Given the high prevalence of household air pollution exposure among pregnant women and young children across the continent, alongside the coexisting burden of undernutrition, infectious disease and, in some settings, perinatal HIV exposure, there is a clear case for prioritising longitudinal African cohort studies capable of disentangling air pollution's independent contribution to child cognitive and developmental outcomes from these closely correlated co-exposures. At present, this is better described as one of the more significant gaps identified in this review than as an area where firm, Africa-specific quantitative conclusions can yet be drawn.</w:t>
      </w:r>
    </w:p>
    <w:p w14:paraId="7012E84C"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Table 3. Summary of maternal and perinatal outcomes associated with air pollution exposure in Africa</w:t>
      </w:r>
    </w:p>
    <w:tbl>
      <w:tblPr>
        <w:tblStyle w:val="TableGrid"/>
        <w:tblW w:w="0" w:type="auto"/>
        <w:tblLook w:val="04A0" w:firstRow="1" w:lastRow="0" w:firstColumn="1" w:lastColumn="0" w:noHBand="0" w:noVBand="1"/>
      </w:tblPr>
      <w:tblGrid>
        <w:gridCol w:w="2868"/>
        <w:gridCol w:w="2265"/>
        <w:gridCol w:w="4109"/>
      </w:tblGrid>
      <w:tr w:rsidR="00A777C3" w:rsidRPr="00A777C3" w14:paraId="263CA949" w14:textId="77777777" w:rsidTr="0011244A">
        <w:tc>
          <w:tcPr>
            <w:tcW w:w="0" w:type="auto"/>
            <w:hideMark/>
          </w:tcPr>
          <w:p w14:paraId="20669111"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Outcome</w:t>
            </w:r>
          </w:p>
        </w:tc>
        <w:tc>
          <w:tcPr>
            <w:tcW w:w="0" w:type="auto"/>
            <w:hideMark/>
          </w:tcPr>
          <w:p w14:paraId="19D7F8CB"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Exposure assessment</w:t>
            </w:r>
          </w:p>
        </w:tc>
        <w:tc>
          <w:tcPr>
            <w:tcW w:w="0" w:type="auto"/>
            <w:hideMark/>
          </w:tcPr>
          <w:p w14:paraId="0D703F64"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Key finding</w:t>
            </w:r>
          </w:p>
        </w:tc>
      </w:tr>
      <w:tr w:rsidR="00A777C3" w:rsidRPr="00A777C3" w14:paraId="0C157BF7" w14:textId="77777777" w:rsidTr="0011244A">
        <w:tc>
          <w:tcPr>
            <w:tcW w:w="0" w:type="auto"/>
            <w:hideMark/>
          </w:tcPr>
          <w:p w14:paraId="003713B7"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Low birth weight, preterm birth (15-country analysis)</w:t>
            </w:r>
          </w:p>
        </w:tc>
        <w:tc>
          <w:tcPr>
            <w:tcW w:w="0" w:type="auto"/>
            <w:hideMark/>
          </w:tcPr>
          <w:p w14:paraId="5BFBFDD0"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Satellite-derived maternal PM2.5 during pregnancy</w:t>
            </w:r>
          </w:p>
        </w:tc>
        <w:tc>
          <w:tcPr>
            <w:tcW w:w="0" w:type="auto"/>
            <w:hideMark/>
          </w:tcPr>
          <w:p w14:paraId="6D45067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increase in odds for both outcomes across all African sub-regions</w:t>
            </w:r>
          </w:p>
        </w:tc>
      </w:tr>
      <w:tr w:rsidR="00A777C3" w:rsidRPr="00A777C3" w14:paraId="1A6A0A74" w14:textId="77777777" w:rsidTr="0011244A">
        <w:tc>
          <w:tcPr>
            <w:tcW w:w="0" w:type="auto"/>
            <w:hideMark/>
          </w:tcPr>
          <w:p w14:paraId="2F4174E5"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Low birth weight, small for gestational age, preterm birth (Durban cohort)</w:t>
            </w:r>
          </w:p>
        </w:tc>
        <w:tc>
          <w:tcPr>
            <w:tcW w:w="0" w:type="auto"/>
            <w:hideMark/>
          </w:tcPr>
          <w:p w14:paraId="7D2E3793"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Land-use regression household PM2.5, SO2, NOx</w:t>
            </w:r>
          </w:p>
        </w:tc>
        <w:tc>
          <w:tcPr>
            <w:tcW w:w="0" w:type="auto"/>
            <w:hideMark/>
          </w:tcPr>
          <w:p w14:paraId="7117000E"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Significant direct and mediated effects via preterm birth</w:t>
            </w:r>
          </w:p>
        </w:tc>
      </w:tr>
      <w:tr w:rsidR="00A777C3" w:rsidRPr="00A777C3" w14:paraId="02457755" w14:textId="77777777" w:rsidTr="0011244A">
        <w:tc>
          <w:tcPr>
            <w:tcW w:w="0" w:type="auto"/>
            <w:hideMark/>
          </w:tcPr>
          <w:p w14:paraId="711FD73C"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Adverse reproductive outcomes, global GBD modelling</w:t>
            </w:r>
          </w:p>
        </w:tc>
        <w:tc>
          <w:tcPr>
            <w:tcW w:w="0" w:type="auto"/>
            <w:hideMark/>
          </w:tcPr>
          <w:p w14:paraId="6D91037E"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Household air pollution-attributable PM2.5</w:t>
            </w:r>
          </w:p>
        </w:tc>
        <w:tc>
          <w:tcPr>
            <w:tcW w:w="0" w:type="auto"/>
            <w:hideMark/>
          </w:tcPr>
          <w:p w14:paraId="6F3FEBC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Roughly one-third of global household air pollution burden mediated via reproductive outcomes; highest in sub-Saharan Africa</w:t>
            </w:r>
          </w:p>
        </w:tc>
      </w:tr>
    </w:tbl>
    <w:p w14:paraId="3DFFAE5A"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i/>
          <w:iCs/>
          <w:sz w:val="24"/>
          <w:szCs w:val="24"/>
          <w:lang w:eastAsia="en-GB"/>
        </w:rPr>
        <w:t xml:space="preserve">Sources: </w:t>
      </w:r>
      <w:proofErr w:type="spellStart"/>
      <w:r w:rsidRPr="00A777C3">
        <w:rPr>
          <w:rFonts w:ascii="Times New Roman" w:eastAsia="Times New Roman" w:hAnsi="Times New Roman" w:cs="Times New Roman"/>
          <w:i/>
          <w:iCs/>
          <w:sz w:val="24"/>
          <w:szCs w:val="24"/>
          <w:lang w:eastAsia="en-GB"/>
        </w:rPr>
        <w:t>Bachwenkizi</w:t>
      </w:r>
      <w:proofErr w:type="spellEnd"/>
      <w:r w:rsidRPr="00A777C3">
        <w:rPr>
          <w:rFonts w:ascii="Times New Roman" w:eastAsia="Times New Roman" w:hAnsi="Times New Roman" w:cs="Times New Roman"/>
          <w:i/>
          <w:iCs/>
          <w:sz w:val="24"/>
          <w:szCs w:val="24"/>
          <w:lang w:eastAsia="en-GB"/>
        </w:rPr>
        <w:t xml:space="preserve"> et al. (2022); Mitku et al. (2023); GBD 2021 HAP Collaborators (2025).</w:t>
      </w:r>
    </w:p>
    <w:p w14:paraId="14D08E90"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Table 3 draws together the maternal and perinatal findings discussed in Section 7.1. Read alongside the under-five mortality evidence in Section 5 and the cardiovascular findings in Section 6, it illustrates how a single exposure pathway, household and ambient particulate pollution, can act on health at several points across the reproductive and early-life continuum, from impaired </w:t>
      </w:r>
      <w:proofErr w:type="spellStart"/>
      <w:r w:rsidRPr="00A777C3">
        <w:rPr>
          <w:rFonts w:ascii="Times New Roman" w:eastAsia="Times New Roman" w:hAnsi="Times New Roman" w:cs="Times New Roman"/>
          <w:sz w:val="24"/>
          <w:szCs w:val="24"/>
          <w:lang w:eastAsia="en-GB"/>
        </w:rPr>
        <w:t>fetal</w:t>
      </w:r>
      <w:proofErr w:type="spellEnd"/>
      <w:r w:rsidRPr="00A777C3">
        <w:rPr>
          <w:rFonts w:ascii="Times New Roman" w:eastAsia="Times New Roman" w:hAnsi="Times New Roman" w:cs="Times New Roman"/>
          <w:sz w:val="24"/>
          <w:szCs w:val="24"/>
          <w:lang w:eastAsia="en-GB"/>
        </w:rPr>
        <w:t xml:space="preserve"> growth through to subsequent infant respiratory vulnerability.</w:t>
      </w:r>
    </w:p>
    <w:p w14:paraId="1FF9E8F4"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516AACC9"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lastRenderedPageBreak/>
        <w:t>8. Vulnerable Populations and Occupational Exposures</w:t>
      </w:r>
    </w:p>
    <w:p w14:paraId="04737430"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8.1 Women and children as a structurally exposed population</w:t>
      </w:r>
    </w:p>
    <w:p w14:paraId="5C3D0EC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The gendered distribution of exposure to household air pollution is one of the most consistent and policy-relevant findings in the African air pollution literature. Because the preparation of food using biomass and charcoal fuels remains overwhelmingly the responsibility of women and girls within African households, women experience substantially higher personal exposure to household air pollution than men, a pattern documented consistently across multiple national and sub-national studies, including investigations of respiratory symptoms among women responsible for household cooking in Burkina Faso (Jafta et al., 2025; Sana et al., 2019). Young children, who frequently remain close to their mothers during cooking and who have both a higher minute ventilation relative to body mass and an immature respiratory and immune system, represent a second structurally exposed population, accounting for a disproportionate share of the household air pollution-attributable disease burden, particularly with respect to acute respiratory infection and mortality (Lake et al., 2025; Sarfo et al., 2023). This gendered and age-structured pattern of exposure carries direct implications for intervention design: measures that fail to address the underlying division of domestic labour, or that impose excessive cost or behavioural burden on women without commensurate involvement of male household members in fuel and cooking decisions, are likely to achieve only limited and </w:t>
      </w:r>
      <w:proofErr w:type="spellStart"/>
      <w:r w:rsidRPr="00A777C3">
        <w:rPr>
          <w:rFonts w:ascii="Times New Roman" w:eastAsia="Times New Roman" w:hAnsi="Times New Roman" w:cs="Times New Roman"/>
          <w:sz w:val="24"/>
          <w:szCs w:val="24"/>
          <w:lang w:eastAsia="en-GB"/>
        </w:rPr>
        <w:t>unsustained</w:t>
      </w:r>
      <w:proofErr w:type="spellEnd"/>
      <w:r w:rsidRPr="00A777C3">
        <w:rPr>
          <w:rFonts w:ascii="Times New Roman" w:eastAsia="Times New Roman" w:hAnsi="Times New Roman" w:cs="Times New Roman"/>
          <w:sz w:val="24"/>
          <w:szCs w:val="24"/>
          <w:lang w:eastAsia="en-GB"/>
        </w:rPr>
        <w:t xml:space="preserve"> exposure reduction, a point taken up again in the discussion of cookstove evidence in Section 10.</w:t>
      </w:r>
    </w:p>
    <w:p w14:paraId="2D6C0098"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8.2 Informal-sector and occupationally exposed populations</w:t>
      </w:r>
    </w:p>
    <w:p w14:paraId="235F9213"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Beyond the household, particular occupational and informal-sector populations face acute and often poorly characterised exposures that compound the broader ambient and household burden. Workers engaged in informal electronic waste recycling, including the burning of plastic insulation from copper wiring to recover saleable metals, as practised extensively at sites such as Agbogbloshie in Accra, are exposed to ambient particulate concentrations substantially elevated above an already high urban background, alongside toxic heavy metals and polycyclic aromatic hydrocarbons released during combustion (Kwarteng et al., 2020). Occupationally exposed groups such as urban bus drivers, who spend extended periods within congested traffic corridors, have also been shown to experience elevated respiratory symptom prevalence relative to comparison populations, as documented among bus drivers in Dakar, Senegal (Sylla et al., 2018). Residents of communities near petroleum gas-flaring sites in the Niger Delta region similarly experience chronic exposure to elevated concentrations of particulate matter and gaseous pollutants, a pattern widely reported in regional environmental health literature, though robust comparative epidemiological data quantifying the resulting disease burden remain scarce. These occupationally and residentially concentrated exposures, while affecting smaller absolute numbers of people than the continent-wide household air pollution burden, frequently involve substantially higher individual-level exposure intensities and disproportionately affect populations who are simultaneously disadvantaged with respect to income, healthcare access, and capacity to relocate away from the source of exposure, raising environmental justice considerations that merit explicit attention in national air quality policy (Kwarteng et al., 2020).</w:t>
      </w:r>
    </w:p>
    <w:p w14:paraId="2473A7FD" w14:textId="77777777" w:rsidR="00A777C3" w:rsidRDefault="00A777C3" w:rsidP="00A777C3">
      <w:pPr>
        <w:spacing w:after="0" w:line="240" w:lineRule="auto"/>
        <w:rPr>
          <w:rFonts w:ascii="Times New Roman" w:eastAsia="Times New Roman" w:hAnsi="Times New Roman" w:cs="Times New Roman"/>
          <w:sz w:val="24"/>
          <w:szCs w:val="24"/>
          <w:lang w:eastAsia="en-GB"/>
        </w:rPr>
      </w:pPr>
    </w:p>
    <w:p w14:paraId="6626F0F4" w14:textId="77777777" w:rsidR="007A1C01" w:rsidRPr="00A777C3" w:rsidRDefault="007A1C01" w:rsidP="00A777C3">
      <w:pPr>
        <w:spacing w:after="0" w:line="240" w:lineRule="auto"/>
        <w:rPr>
          <w:rFonts w:ascii="Times New Roman" w:eastAsia="Times New Roman" w:hAnsi="Times New Roman" w:cs="Times New Roman"/>
          <w:sz w:val="24"/>
          <w:szCs w:val="24"/>
          <w:lang w:eastAsia="en-GB"/>
        </w:rPr>
      </w:pPr>
    </w:p>
    <w:p w14:paraId="04005A86"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lastRenderedPageBreak/>
        <w:t>9. Economic Burden of Air Pollution in Africa</w:t>
      </w:r>
    </w:p>
    <w:p w14:paraId="1C9D7058"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 economic consequences of air pollution-attributable morbidity and mortality in Africa are substantial, encompassing direct healthcare expenditure, lost labour income arising from premature death and disability among the working-age population, and broader welfare losses that reflect the value populations place on avoiding the risk of premature death. Cross-country economic analyses conducted by the World Bank indicate that annual labour income losses attributable to air pollution in sub-Saharan Africa represent a meaningful share of regional gross domestic product; because the region's comparatively youthful population structure means that a larger proportion of pollution-attributable deaths occur among individuals of working age than is typical in regions with older populations, the labour income consequences of pollution-related mortality are amplified relative to its mortality count alone (World Bank, 2016).</w:t>
      </w:r>
    </w:p>
    <w:p w14:paraId="5EEB9325"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A comprehensive synthesis of the health, economic and human capital consequences of air pollution across Africa concluded that the continent's pollution-attributable mortality burden has implications well beyond direct health expenditure, given the demonstrated associations between early-life pollution exposure and impaired cognitive development discussed above, with potential long-run consequences for educational attainment and lifetime earning capacity that extend far beyond the health sector (Fisher et al., 2021). This analysis argued that the economic case for air pollution mitigation in Africa rests on more than conventional health-sector cost accounting: it encompasses productivity losses from both mortality and non-fatal morbidity, and longer-term human capital effects operating through impaired child development, and it concluded that the costs of inaction substantially exceed the costs of feasible mitigation measures, including a genuine transition to cleaner household energy and strengthened vehicle emissions standards (Fisher et al., 2021).</w:t>
      </w:r>
    </w:p>
    <w:p w14:paraId="0E78CE9B"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These findings align with broader global economic assessments of air pollution's welfare costs, which consistently identify sub-Saharan Africa as a region where the proportional economic burden of air pollution, relative to the size of the regional economy, is among the highest in the world, reflecting high pollution-attributable mortality rates, a young working-age population bearing a disproportionate share of pollution-related deaths, and the constrained fiscal capacity of many African health systems to absorb the associated costs (Fisher et al., 2021; World Bank, 2016). The economic evidence base specific to Africa nonetheless remains considerably less developed than the underlying epidemiological evidence, with relatively few country-level cost-of-illness or willingness-to-pay studies available to refine continental-level extrapolations, an area that would benefit from health economics research attuned specifically to African labour market structures, informal-sector employment patterns, and health system financing.</w:t>
      </w:r>
    </w:p>
    <w:p w14:paraId="4B9AD3D2"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0DBCEC05"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10. Policy, Governance and Intervention Evidence</w:t>
      </w:r>
    </w:p>
    <w:p w14:paraId="23B72F4B"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10.1 Clean cookstove and household energy transition interventions</w:t>
      </w:r>
    </w:p>
    <w:p w14:paraId="459E21EB"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Given the centrality of household air pollution to the continent's overall pollution burden, considerable policy attention has focused on interventions intended to reduce exposure through improved cookstove technology or transition to cleaner fuels. The Cooking and Pneumonia Study, a large community-level cluster-randomised controlled trial conducted in </w:t>
      </w:r>
      <w:r w:rsidRPr="00A777C3">
        <w:rPr>
          <w:rFonts w:ascii="Times New Roman" w:eastAsia="Times New Roman" w:hAnsi="Times New Roman" w:cs="Times New Roman"/>
          <w:sz w:val="24"/>
          <w:szCs w:val="24"/>
          <w:lang w:eastAsia="en-GB"/>
        </w:rPr>
        <w:lastRenderedPageBreak/>
        <w:t>rural Malawi, enrolling over ten thousand children across more than eight thousand households, remains the most rigorous evaluation of a cleaner-burning biomass-fuelled cookstove intervention conducted to date in an African setting, and indeed the first randomised trial of any cookstove intervention conducted on the continent (Mortimer et al., 2017). Households randomised to receive advanced combustion biomass cookstoves were compared against households continuing traditional open-fire cooking, with World Health Organization-defined pneumonia incidence among children under five as the primary outcome. Contrary to the trial's underlying hypothesis, the intervention did not produce a statistically significant reduction in pneumonia incidence: intervention and control group incidence rates were closely comparable over the two-year follow-up period (Mortimer et al., 2017).</w:t>
      </w:r>
    </w:p>
    <w:p w14:paraId="5E880DC2"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This null finding carries weight for how household energy interventions across the continent are designed and evaluated. It suggests that improved, but still biomass-fuelled, cookstoves, even where they achieve meaningful reductions in measured personal or household particulate exposure relative to traditional open fires, may not reduce exposure far enough, given the shape of the exposure-response curve for pneumonia risk, to produce a detectable reduction in clinical disease at the population level. The trial's findings have informed a broader shift in policy emphasis away from intermediate "improved" biomass stove technologies and towards genuinely clean fuel transitions, such as liquefied petroleum gas or electricity, capable of achieving the larger exposure reductions that appear necessary for measurable clinical benefit. They also underline the importance of rigorous randomised evaluation, rather than reliance on exposure-reduction proxies alone, when assessing the real-world effectiveness of household energy interventions (Mortimer et al., 2017). It is worth noting, more broadly, that household decisions about cooking technology are shaped by a wide range of practical considerations, including fuel cost, cooking time, safety and convenience, that extend well beyond respiratory health alone; interventions that overlook these considerations are unlikely to achieve sustained adoption even where they offer genuine health benefits.</w:t>
      </w:r>
    </w:p>
    <w:p w14:paraId="2484C011"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10.2 Regulatory and legislative frameworks</w:t>
      </w:r>
    </w:p>
    <w:p w14:paraId="13C917EE"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 regulatory landscape governing air quality across African states remains markedly heterogeneous and, in most countries, underdeveloped relative to the scale of the underlying public health problem. A scoping review of air quality monitoring, policy and health research across West African cities found that, while several countries have enacted formal air quality legislation or established nominal regulatory standards, enforcement is frequently undermined by the absence of routine monitoring data needed to demonstrate compliance, weak coordination between environmental and health ministries, and limited technical and financial capacity within the relevant regulatory agencies (Mir Alvarez et al., 2020). Among the small number of African jurisdictions with comparatively well-developed air quality governance, South Africa's National Environmental Management: Air Quality Act, enacted in 2004 and subsequently amended, established a comprehensive framework encompassing national ambient air quality standards, mandatory air quality management planning at provincial and municipal level, and a system of atmospheric emission licensing for listed industrial activities. This represents a relatively mature regulatory model, though one that remains the exception rather than the rule on the continent; a small number of other African cities and national governments have begun to develop comparable air quality policy and legislative instruments in recent years, but these efforts are at a considerably earlier stage of development and implementation.</w:t>
      </w:r>
    </w:p>
    <w:p w14:paraId="24A7D171"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lastRenderedPageBreak/>
        <w:t>Of the twelve French-speaking African countries examined in a recent geo-epidemiological mortality analysis, only a minority had established formal national ambient air quality standards, a finding the authors read as indicative of a broader continental pattern in which air quality regulation has lagged well behind the documented scale of pollution-attributable mortality, particularly outside the relatively small number of countries, predominantly in North and Southern Africa, with more developed environmental regulatory institutions (Capitanio et al., 2024). This regulatory gap is compounded by the continent-wide monitoring deficit discussed in Section 4, since the absence of reliable monitoring data both weakens the evidentiary basis for setting locally appropriate standards and removes the means of verifying compliance even where formal standards exist on paper.</w:t>
      </w:r>
    </w:p>
    <w:p w14:paraId="551A9692" w14:textId="77777777" w:rsidR="00A777C3" w:rsidRPr="00A777C3" w:rsidRDefault="00A777C3" w:rsidP="00A777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Table 4. Selected policy and intervention evidence relevant to African air pollution mitigation</w:t>
      </w:r>
    </w:p>
    <w:tbl>
      <w:tblPr>
        <w:tblStyle w:val="TableGrid"/>
        <w:tblW w:w="0" w:type="auto"/>
        <w:tblLook w:val="04A0" w:firstRow="1" w:lastRow="0" w:firstColumn="1" w:lastColumn="0" w:noHBand="0" w:noVBand="1"/>
      </w:tblPr>
      <w:tblGrid>
        <w:gridCol w:w="2626"/>
        <w:gridCol w:w="3321"/>
        <w:gridCol w:w="3295"/>
      </w:tblGrid>
      <w:tr w:rsidR="00A777C3" w:rsidRPr="00A777C3" w14:paraId="1634C18C" w14:textId="77777777" w:rsidTr="0011244A">
        <w:tc>
          <w:tcPr>
            <w:tcW w:w="0" w:type="auto"/>
            <w:hideMark/>
          </w:tcPr>
          <w:p w14:paraId="780F338E"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Intervention or policy domain</w:t>
            </w:r>
          </w:p>
        </w:tc>
        <w:tc>
          <w:tcPr>
            <w:tcW w:w="0" w:type="auto"/>
            <w:hideMark/>
          </w:tcPr>
          <w:p w14:paraId="7A39CA97"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Key evidence</w:t>
            </w:r>
          </w:p>
        </w:tc>
        <w:tc>
          <w:tcPr>
            <w:tcW w:w="0" w:type="auto"/>
            <w:hideMark/>
          </w:tcPr>
          <w:p w14:paraId="161DF460" w14:textId="77777777" w:rsidR="00A777C3" w:rsidRPr="00A777C3" w:rsidRDefault="00A777C3" w:rsidP="00A777C3">
            <w:pPr>
              <w:jc w:val="center"/>
              <w:rPr>
                <w:rFonts w:ascii="Times New Roman" w:eastAsia="Times New Roman" w:hAnsi="Times New Roman" w:cs="Times New Roman"/>
                <w:b/>
                <w:bCs/>
                <w:sz w:val="24"/>
                <w:szCs w:val="24"/>
                <w:lang w:eastAsia="en-GB"/>
              </w:rPr>
            </w:pPr>
            <w:r w:rsidRPr="00A777C3">
              <w:rPr>
                <w:rFonts w:ascii="Times New Roman" w:eastAsia="Times New Roman" w:hAnsi="Times New Roman" w:cs="Times New Roman"/>
                <w:b/>
                <w:bCs/>
                <w:sz w:val="24"/>
                <w:szCs w:val="24"/>
                <w:lang w:eastAsia="en-GB"/>
              </w:rPr>
              <w:t>Implication</w:t>
            </w:r>
          </w:p>
        </w:tc>
      </w:tr>
      <w:tr w:rsidR="00A777C3" w:rsidRPr="00A777C3" w14:paraId="5CEB7710" w14:textId="77777777" w:rsidTr="0011244A">
        <w:tc>
          <w:tcPr>
            <w:tcW w:w="0" w:type="auto"/>
            <w:hideMark/>
          </w:tcPr>
          <w:p w14:paraId="00F1D3F5"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Improved biomass cookstove intervention (cluster RCT, rural Malawi)</w:t>
            </w:r>
          </w:p>
        </w:tc>
        <w:tc>
          <w:tcPr>
            <w:tcW w:w="0" w:type="auto"/>
            <w:hideMark/>
          </w:tcPr>
          <w:p w14:paraId="585D050A"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No significant reduction in childhood pneumonia incidence despite intervention</w:t>
            </w:r>
          </w:p>
        </w:tc>
        <w:tc>
          <w:tcPr>
            <w:tcW w:w="0" w:type="auto"/>
            <w:hideMark/>
          </w:tcPr>
          <w:p w14:paraId="039742D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Intermediate biomass stove improvements may be insufficient; genuine clean fuel transition required</w:t>
            </w:r>
          </w:p>
        </w:tc>
      </w:tr>
      <w:tr w:rsidR="00A777C3" w:rsidRPr="00A777C3" w14:paraId="2AB0CB13" w14:textId="77777777" w:rsidTr="0011244A">
        <w:tc>
          <w:tcPr>
            <w:tcW w:w="0" w:type="auto"/>
            <w:hideMark/>
          </w:tcPr>
          <w:p w14:paraId="5043758E"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National air quality legislation (South Africa)</w:t>
            </w:r>
          </w:p>
        </w:tc>
        <w:tc>
          <w:tcPr>
            <w:tcW w:w="0" w:type="auto"/>
            <w:hideMark/>
          </w:tcPr>
          <w:p w14:paraId="4701B322"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Comprehensive regulatory framework with ambient standards and emission licensing since 2004</w:t>
            </w:r>
          </w:p>
        </w:tc>
        <w:tc>
          <w:tcPr>
            <w:tcW w:w="0" w:type="auto"/>
            <w:hideMark/>
          </w:tcPr>
          <w:p w14:paraId="2742046F"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Demonstrates feasibility of robust African air quality governance models</w:t>
            </w:r>
          </w:p>
        </w:tc>
      </w:tr>
      <w:tr w:rsidR="00A777C3" w:rsidRPr="00A777C3" w14:paraId="64A8D755" w14:textId="77777777" w:rsidTr="0011244A">
        <w:tc>
          <w:tcPr>
            <w:tcW w:w="0" w:type="auto"/>
            <w:hideMark/>
          </w:tcPr>
          <w:p w14:paraId="5B6B6CF2"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Regional legislative coverage (12 Francophone African countries)</w:t>
            </w:r>
          </w:p>
        </w:tc>
        <w:tc>
          <w:tcPr>
            <w:tcW w:w="0" w:type="auto"/>
            <w:hideMark/>
          </w:tcPr>
          <w:p w14:paraId="433F5FF9"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Minority of countries possess formal ambient air quality standards</w:t>
            </w:r>
          </w:p>
        </w:tc>
        <w:tc>
          <w:tcPr>
            <w:tcW w:w="0" w:type="auto"/>
            <w:hideMark/>
          </w:tcPr>
          <w:p w14:paraId="7151A80C"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Substantial continental regulatory gap, particularly outside North and Southern Africa</w:t>
            </w:r>
          </w:p>
        </w:tc>
      </w:tr>
      <w:tr w:rsidR="00A777C3" w:rsidRPr="00A777C3" w14:paraId="0AEEE8EB" w14:textId="77777777" w:rsidTr="0011244A">
        <w:tc>
          <w:tcPr>
            <w:tcW w:w="0" w:type="auto"/>
            <w:hideMark/>
          </w:tcPr>
          <w:p w14:paraId="3C59C533"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West African urban air quality governance (scoping review)</w:t>
            </w:r>
          </w:p>
        </w:tc>
        <w:tc>
          <w:tcPr>
            <w:tcW w:w="0" w:type="auto"/>
            <w:hideMark/>
          </w:tcPr>
          <w:p w14:paraId="5AEF0FE4"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Enforcement undermined by data gaps and weak inter-sectoral coordination</w:t>
            </w:r>
          </w:p>
        </w:tc>
        <w:tc>
          <w:tcPr>
            <w:tcW w:w="0" w:type="auto"/>
            <w:hideMark/>
          </w:tcPr>
          <w:p w14:paraId="204179EB" w14:textId="77777777" w:rsidR="00A777C3" w:rsidRPr="00A777C3" w:rsidRDefault="00A777C3" w:rsidP="00A777C3">
            <w:pPr>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Monitoring investment is a prerequisite for effective regulatory enforcement</w:t>
            </w:r>
          </w:p>
        </w:tc>
      </w:tr>
    </w:tbl>
    <w:p w14:paraId="0A6A29DC"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i/>
          <w:iCs/>
          <w:sz w:val="24"/>
          <w:szCs w:val="24"/>
          <w:lang w:eastAsia="en-GB"/>
        </w:rPr>
        <w:t>Sources: Mortimer et al. (2017); Capitanio et al. (2024); Mir Alvarez et al. (2020).</w:t>
      </w:r>
    </w:p>
    <w:p w14:paraId="25D49006"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Table 4 draws together this intervention and policy evidence. The pattern it reveals is consistent across rows: even where mitigation tools exist, whether a clean-cooking intervention or a regulatory framework, their practical benefit depends heavily on factors, such as the achieved magnitude of exposure reduction or the availability of monitoring data to enforce standards, that are easy to overlook if attention stops at the existence of the policy or technology itself.</w:t>
      </w:r>
    </w:p>
    <w:p w14:paraId="66A60B5F"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0B0F2983"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11. Interactions with Climate Change</w:t>
      </w:r>
    </w:p>
    <w:p w14:paraId="5FB82C94"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Air pollution and climate change are increasingly understood as interconnected phenomena across the African continent, sharing common anthropogenic sources, including biomass combustion and fossil fuel use, and exhibiting important bidirectional interactions with implications for human health. Rising ambient temperatures associated with climate change can exacerbate the formation of secondary pollutants such as ground-level ozone, while </w:t>
      </w:r>
      <w:r w:rsidRPr="00A777C3">
        <w:rPr>
          <w:rFonts w:ascii="Times New Roman" w:eastAsia="Times New Roman" w:hAnsi="Times New Roman" w:cs="Times New Roman"/>
          <w:sz w:val="24"/>
          <w:szCs w:val="24"/>
          <w:lang w:eastAsia="en-GB"/>
        </w:rPr>
        <w:lastRenderedPageBreak/>
        <w:t>changes in precipitation patterns and a greater frequency of drought across parts of the Sahel and Horn of Africa may push households towards increased reliance on biomass fuel collection and combustion as alternative livelihood and energy strategies become less viable, potentially reinforcing household air pollution exposure even as broader development efforts seek to promote cleaner energy transition. Conversely, measures targeting black carbon and other short-lived climate pollutants, which arise substantially from the same biomass combustion, vehicular and gas flaring sources implicated in the continent's air pollution burden, offer the potential for genuine co-benefits: reducing near-term climate forcing and improving regional air quality and human health at the same time, a synergy that has informed growing international policy interest in integrated climate and air quality action frameworks specific to the African context.</w:t>
      </w:r>
    </w:p>
    <w:p w14:paraId="37930721"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The relationship between Saharan dust transport, discussed in Section 3.3, and broader climatic variability illustrates a further dimension of this interaction, since dust emission and transport are themselves sensitive to changes in regional wind patterns, soil moisture and vegetation cover, all of which are projected to be affected by ongoing climate change across North and West Africa, with corresponding implications for the future seasonality and intensity of dust-related respiratory and meningococcal disease risk within the Sahelian meningitis belt (Yarber et al., 2023). Taken together, the evidence suggests that air pollution and climate change mitigation strategies in Africa should not be designed or evaluated in isolation from one another, given the substantial overlap in their underlying drivers and the potential for integrated interventions, particularly those targeting clean household energy transition and reduced fossil fuel and gas flaring emissions, to deliver compounded public health and climate benefits relative to interventions addressing either domain alone.</w:t>
      </w:r>
    </w:p>
    <w:p w14:paraId="1E853CE8"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787E416E"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12. Conclusions</w:t>
      </w:r>
    </w:p>
    <w:p w14:paraId="1EA11F2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 xml:space="preserve">This critical review of the evidence on air pollution and human health in Africa shows a continent facing a distinctive and substantial pollution-related health burden, shaped by the coexistence of persistently high household air pollution exposure from continued reliance on solid biomass fuels with rapidly intensifying ambient pollution driven by urbanisation, ageing vehicle fleets, industrial activity and informal waste burning. The available evidence consistently links air pollution exposure to a broad range of adverse health outcomes across the life course, including acute respiratory infection and mortality in early childhood, adverse pregnancy outcomes, chronic respiratory disease, tuberculosis, and a growing and likely underestimated burden of cardiovascular disease. Women and young children bear a disproportionate share of this burden through their structural position within household cooking and care arrangements, while specific occupational and residentially concentrated populations, including informal e-waste recyclers and communities near petroleum gas flaring sites, face particularly intensive localised exposures. The continent's air quality monitoring infrastructure remains substantially underdeveloped relative to the scale of the problem, which limits both the precision of exposure-response evidence and the capacity of national authorities to design, implement and enforce effective mitigation policy. Economic analyses indicate that the costs of this burden, spanning healthcare expenditure, lost labour income and longer-term human capital consequences operating through impaired childhood cognitive development, are substantial and likely exceed the costs of feasible mitigation, including a genuine clean household energy transition, strengthened vehicle emissions standards, and expanded investment in monitoring and regulatory enforcement. The null </w:t>
      </w:r>
      <w:r w:rsidRPr="00A777C3">
        <w:rPr>
          <w:rFonts w:ascii="Times New Roman" w:eastAsia="Times New Roman" w:hAnsi="Times New Roman" w:cs="Times New Roman"/>
          <w:sz w:val="24"/>
          <w:szCs w:val="24"/>
          <w:lang w:eastAsia="en-GB"/>
        </w:rPr>
        <w:lastRenderedPageBreak/>
        <w:t>finding of the principal randomised evaluation of an improved biomass cookstove intervention in reducing childhood pneumonia incidence is a useful corrective here: it underscores the importance of pursuing genuinely clean fuel transitions rather than intermediate biomass stove improvements alone, and of grounding intervention design in rigorous evaluation rather than in exposure-reduction proxies. Taken as a whole, the evidence supports treating air pollution as an urgent and substantially addressable public health priority for the African continent, one warranting coordinated investment across the energy, transport, industrial regulation, urban planning and health sectors, supported by expanded regional monitoring infrastructure and stronger, more harmonised air quality governance.</w:t>
      </w:r>
    </w:p>
    <w:p w14:paraId="263527A9" w14:textId="77777777" w:rsidR="00A777C3" w:rsidRP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13. Limitations</w:t>
      </w:r>
    </w:p>
    <w:p w14:paraId="603F47F9" w14:textId="77777777" w:rsidR="00A777C3" w:rsidRPr="00A777C3" w:rsidRDefault="00A777C3" w:rsidP="00A777C3">
      <w:pPr>
        <w:spacing w:before="100" w:beforeAutospacing="1" w:after="100" w:afterAutospacing="1" w:line="240" w:lineRule="auto"/>
        <w:rPr>
          <w:rFonts w:ascii="Times New Roman" w:eastAsia="Times New Roman" w:hAnsi="Times New Roman" w:cs="Times New Roman"/>
          <w:sz w:val="24"/>
          <w:szCs w:val="24"/>
          <w:lang w:eastAsia="en-GB"/>
        </w:rPr>
      </w:pPr>
      <w:r w:rsidRPr="00A777C3">
        <w:rPr>
          <w:rFonts w:ascii="Times New Roman" w:eastAsia="Times New Roman" w:hAnsi="Times New Roman" w:cs="Times New Roman"/>
          <w:sz w:val="24"/>
          <w:szCs w:val="24"/>
          <w:lang w:eastAsia="en-GB"/>
        </w:rPr>
        <w:t>This review is subject to several limitations that should be borne in mind when interpreting its conclusions. As a narrative rather than systematic review, the literature search and selection process, while structured and transparently described, did not use the fully reproducible, dual-reviewer screening protocols characteristic of formal systematic reviews, and the synthesis presented reflects a degree of interpretive judgement about how much weight individual studies should carry. The underlying African evidence base is itself geographically uneven, with a disproportionate concentration of available studies from a small number of countries, particularly South Africa, Nigeria, Ghana, Ethiopia and Malawi, so that the generalisability of specific quantitative findings to the full diversity of African geographical, climatic and socioeconomic contexts should be treated with caution rather than assumed. The continent-wide deficit in reference-grade air quality monitoring, discussed at length within the review itself, means that a substantial share of the underlying primary studies have relied on indirect exposure proxies, satellite-derived estimates or modelled concentrations rather than direct personal or household measurement, introducing exposure misclassification of uncertain magnitude and direction. Many of the disease-burden and economic-cost estimates discussed here derive from global modelling exercises that apply exposure-response functions estimated predominantly from non-African cohorts to African exposure and population data, an approach that may not fully capture differences in baseline disease susceptibility, co-exposure patterns, nutritional status or healthcare access that could modify the true exposure-response relationship within African populations. The review's exclusion of books, conference proceedings, theses, pre-print manuscripts and most grey literature, in line with its stated selection criteria, may also have led to the omission of some emerging or context-specific findings not yet published in peer-reviewed journal format, particularly given the comparatively recent expansion of African environmental health research capacity. Finally, the breadth of this review, spanning household and ambient exposure sources, multiple organ systems and health outcomes, monitoring infrastructure, economic costs, policy and climate interactions, necessarily limited the depth that could be given to any single sub-topic relative to a more narrowly focused systematic review or meta-analysis; readers seeking detailed pooled effect estimates for specific exposure-outcome pairs are encouraged to consult the dedicated systematic reviews and meta-analyses cited throughout this synthesis.</w:t>
      </w:r>
    </w:p>
    <w:p w14:paraId="6178956B" w14:textId="77777777" w:rsidR="006E1C34" w:rsidRPr="000839CE" w:rsidRDefault="006E1C34" w:rsidP="006E1C34">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A0924FA" w14:textId="77777777" w:rsidR="006E1C34" w:rsidRPr="000839CE" w:rsidRDefault="006E1C34" w:rsidP="006E1C34">
      <w:pPr>
        <w:spacing w:after="0" w:line="240" w:lineRule="auto"/>
        <w:rPr>
          <w:rFonts w:ascii="Times New Roman" w:hAnsi="Times New Roman" w:cs="Times New Roman"/>
        </w:rPr>
      </w:pPr>
    </w:p>
    <w:p w14:paraId="7BDC755D" w14:textId="77777777" w:rsidR="006E1C34" w:rsidRPr="000839CE" w:rsidRDefault="006E1C34" w:rsidP="006E1C34">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w:t>
      </w:r>
      <w:r w:rsidRPr="00C56790">
        <w:rPr>
          <w:rFonts w:ascii="Times New Roman" w:hAnsi="Times New Roman" w:cs="Times New Roman"/>
        </w:rPr>
        <w:lastRenderedPageBreak/>
        <w:t>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6B90388" w14:textId="77777777" w:rsidR="00A777C3" w:rsidRPr="00A777C3" w:rsidRDefault="00A777C3" w:rsidP="00A777C3">
      <w:pPr>
        <w:spacing w:after="0" w:line="240" w:lineRule="auto"/>
        <w:rPr>
          <w:rFonts w:ascii="Times New Roman" w:eastAsia="Times New Roman" w:hAnsi="Times New Roman" w:cs="Times New Roman"/>
          <w:sz w:val="24"/>
          <w:szCs w:val="24"/>
          <w:lang w:eastAsia="en-GB"/>
        </w:rPr>
      </w:pPr>
    </w:p>
    <w:p w14:paraId="32C95DB6" w14:textId="77777777" w:rsidR="00A777C3" w:rsidRDefault="00A777C3" w:rsidP="00A777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777C3">
        <w:rPr>
          <w:rFonts w:ascii="Times New Roman" w:eastAsia="Times New Roman" w:hAnsi="Times New Roman" w:cs="Times New Roman"/>
          <w:b/>
          <w:bCs/>
          <w:sz w:val="27"/>
          <w:szCs w:val="27"/>
          <w:lang w:eastAsia="en-GB"/>
        </w:rPr>
        <w:t>References</w:t>
      </w:r>
    </w:p>
    <w:p w14:paraId="721CD8C5"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Adeoye, M., Rahimzadeh, S., Taylor, S., Shrikhande, S., Perel, P., Shah, A., Di Cesare, M., &amp; Miller, M. R. (2024). The impact of air pollution on cardiovascular health outcomes in African populations: A scoping review. JACC: Advances, 3(12), 101371. https://doi.org/10.1016/j.jacadv.2024.101371</w:t>
      </w:r>
    </w:p>
    <w:p w14:paraId="57B4EC9C"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Agbo, K. E., </w:t>
      </w:r>
      <w:proofErr w:type="spellStart"/>
      <w:r w:rsidRPr="0011244A">
        <w:rPr>
          <w:rFonts w:ascii="Times New Roman" w:eastAsia="Times New Roman" w:hAnsi="Times New Roman" w:cs="Times New Roman"/>
          <w:bCs/>
          <w:sz w:val="24"/>
          <w:szCs w:val="27"/>
          <w:lang w:eastAsia="en-GB"/>
        </w:rPr>
        <w:t>Walgraeve</w:t>
      </w:r>
      <w:proofErr w:type="spellEnd"/>
      <w:r w:rsidRPr="0011244A">
        <w:rPr>
          <w:rFonts w:ascii="Times New Roman" w:eastAsia="Times New Roman" w:hAnsi="Times New Roman" w:cs="Times New Roman"/>
          <w:bCs/>
          <w:sz w:val="24"/>
          <w:szCs w:val="27"/>
          <w:lang w:eastAsia="en-GB"/>
        </w:rPr>
        <w:t xml:space="preserve">, C., Eze, J. I., Ugwoke, P. E., </w:t>
      </w:r>
      <w:proofErr w:type="spellStart"/>
      <w:r w:rsidRPr="0011244A">
        <w:rPr>
          <w:rFonts w:ascii="Times New Roman" w:eastAsia="Times New Roman" w:hAnsi="Times New Roman" w:cs="Times New Roman"/>
          <w:bCs/>
          <w:sz w:val="24"/>
          <w:szCs w:val="27"/>
          <w:lang w:eastAsia="en-GB"/>
        </w:rPr>
        <w:t>Ukoha</w:t>
      </w:r>
      <w:proofErr w:type="spellEnd"/>
      <w:r w:rsidRPr="0011244A">
        <w:rPr>
          <w:rFonts w:ascii="Times New Roman" w:eastAsia="Times New Roman" w:hAnsi="Times New Roman" w:cs="Times New Roman"/>
          <w:bCs/>
          <w:sz w:val="24"/>
          <w:szCs w:val="27"/>
          <w:lang w:eastAsia="en-GB"/>
        </w:rPr>
        <w:t xml:space="preserve">, P. O., &amp; Van </w:t>
      </w:r>
      <w:proofErr w:type="spellStart"/>
      <w:r w:rsidRPr="0011244A">
        <w:rPr>
          <w:rFonts w:ascii="Times New Roman" w:eastAsia="Times New Roman" w:hAnsi="Times New Roman" w:cs="Times New Roman"/>
          <w:bCs/>
          <w:sz w:val="24"/>
          <w:szCs w:val="27"/>
          <w:lang w:eastAsia="en-GB"/>
        </w:rPr>
        <w:t>Langenhove</w:t>
      </w:r>
      <w:proofErr w:type="spellEnd"/>
      <w:r w:rsidRPr="0011244A">
        <w:rPr>
          <w:rFonts w:ascii="Times New Roman" w:eastAsia="Times New Roman" w:hAnsi="Times New Roman" w:cs="Times New Roman"/>
          <w:bCs/>
          <w:sz w:val="24"/>
          <w:szCs w:val="27"/>
          <w:lang w:eastAsia="en-GB"/>
        </w:rPr>
        <w:t>, H. (2021). A review on ambient and indoor air pollution status in Africa. Atmospheric Pollution Research, 12(2), 243–260. https://doi.org/10.1016/j.apr.2020.11.006</w:t>
      </w:r>
    </w:p>
    <w:p w14:paraId="52E5FE01"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11244A">
        <w:rPr>
          <w:rFonts w:ascii="Times New Roman" w:eastAsia="Times New Roman" w:hAnsi="Times New Roman" w:cs="Times New Roman"/>
          <w:bCs/>
          <w:sz w:val="24"/>
          <w:szCs w:val="27"/>
          <w:lang w:eastAsia="en-GB"/>
        </w:rPr>
        <w:t>Amegah</w:t>
      </w:r>
      <w:proofErr w:type="spellEnd"/>
      <w:r w:rsidRPr="0011244A">
        <w:rPr>
          <w:rFonts w:ascii="Times New Roman" w:eastAsia="Times New Roman" w:hAnsi="Times New Roman" w:cs="Times New Roman"/>
          <w:bCs/>
          <w:sz w:val="24"/>
          <w:szCs w:val="27"/>
          <w:lang w:eastAsia="en-GB"/>
        </w:rPr>
        <w:t>, A. K., &amp; Agyei-Mensah, S. (2017). Urban air pollution in Sub-Saharan Africa: Time for action. Environmental Pollution, 220, 738–743. https://doi.org/10.1016/j.envpol.2016.09.042</w:t>
      </w:r>
    </w:p>
    <w:p w14:paraId="5C4E4454"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11244A">
        <w:rPr>
          <w:rFonts w:ascii="Times New Roman" w:eastAsia="Times New Roman" w:hAnsi="Times New Roman" w:cs="Times New Roman"/>
          <w:bCs/>
          <w:sz w:val="24"/>
          <w:szCs w:val="27"/>
          <w:lang w:eastAsia="en-GB"/>
        </w:rPr>
        <w:t>Bachwenkizi</w:t>
      </w:r>
      <w:proofErr w:type="spellEnd"/>
      <w:r w:rsidRPr="0011244A">
        <w:rPr>
          <w:rFonts w:ascii="Times New Roman" w:eastAsia="Times New Roman" w:hAnsi="Times New Roman" w:cs="Times New Roman"/>
          <w:bCs/>
          <w:sz w:val="24"/>
          <w:szCs w:val="27"/>
          <w:lang w:eastAsia="en-GB"/>
        </w:rPr>
        <w:t xml:space="preserve">, J., Liu, C., Meng, X., Zhang, L., Wang, W., van </w:t>
      </w:r>
      <w:proofErr w:type="spellStart"/>
      <w:r w:rsidRPr="0011244A">
        <w:rPr>
          <w:rFonts w:ascii="Times New Roman" w:eastAsia="Times New Roman" w:hAnsi="Times New Roman" w:cs="Times New Roman"/>
          <w:bCs/>
          <w:sz w:val="24"/>
          <w:szCs w:val="27"/>
          <w:lang w:eastAsia="en-GB"/>
        </w:rPr>
        <w:t>Donkelaar</w:t>
      </w:r>
      <w:proofErr w:type="spellEnd"/>
      <w:r w:rsidRPr="0011244A">
        <w:rPr>
          <w:rFonts w:ascii="Times New Roman" w:eastAsia="Times New Roman" w:hAnsi="Times New Roman" w:cs="Times New Roman"/>
          <w:bCs/>
          <w:sz w:val="24"/>
          <w:szCs w:val="27"/>
          <w:lang w:eastAsia="en-GB"/>
        </w:rPr>
        <w:t>, A., Martin, R. V., Hammer, M. S., Chen, R., &amp; Kan, H. (2022). Maternal exposure to fine particulate matter and preterm birth and low birth weight in Africa. Environment International, 160, 107053. https://doi.org/10.1016/j.envint.2021.107053</w:t>
      </w:r>
    </w:p>
    <w:p w14:paraId="41A02DCC"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11244A">
        <w:rPr>
          <w:rFonts w:ascii="Times New Roman" w:eastAsia="Times New Roman" w:hAnsi="Times New Roman" w:cs="Times New Roman"/>
          <w:bCs/>
          <w:sz w:val="24"/>
          <w:szCs w:val="27"/>
          <w:lang w:eastAsia="en-GB"/>
        </w:rPr>
        <w:t>Bahino</w:t>
      </w:r>
      <w:proofErr w:type="spellEnd"/>
      <w:r w:rsidRPr="0011244A">
        <w:rPr>
          <w:rFonts w:ascii="Times New Roman" w:eastAsia="Times New Roman" w:hAnsi="Times New Roman" w:cs="Times New Roman"/>
          <w:bCs/>
          <w:sz w:val="24"/>
          <w:szCs w:val="27"/>
          <w:lang w:eastAsia="en-GB"/>
        </w:rPr>
        <w:t xml:space="preserve">, J., Giordano, M., Beekmann, M., </w:t>
      </w:r>
      <w:proofErr w:type="spellStart"/>
      <w:r w:rsidRPr="0011244A">
        <w:rPr>
          <w:rFonts w:ascii="Times New Roman" w:eastAsia="Times New Roman" w:hAnsi="Times New Roman" w:cs="Times New Roman"/>
          <w:bCs/>
          <w:sz w:val="24"/>
          <w:szCs w:val="27"/>
          <w:lang w:eastAsia="en-GB"/>
        </w:rPr>
        <w:t>Yoboué</w:t>
      </w:r>
      <w:proofErr w:type="spellEnd"/>
      <w:r w:rsidRPr="0011244A">
        <w:rPr>
          <w:rFonts w:ascii="Times New Roman" w:eastAsia="Times New Roman" w:hAnsi="Times New Roman" w:cs="Times New Roman"/>
          <w:bCs/>
          <w:sz w:val="24"/>
          <w:szCs w:val="27"/>
          <w:lang w:eastAsia="en-GB"/>
        </w:rPr>
        <w:t>, V., Ochou, A., Galy-</w:t>
      </w:r>
      <w:proofErr w:type="spellStart"/>
      <w:r w:rsidRPr="0011244A">
        <w:rPr>
          <w:rFonts w:ascii="Times New Roman" w:eastAsia="Times New Roman" w:hAnsi="Times New Roman" w:cs="Times New Roman"/>
          <w:bCs/>
          <w:sz w:val="24"/>
          <w:szCs w:val="27"/>
          <w:lang w:eastAsia="en-GB"/>
        </w:rPr>
        <w:t>Lacaux</w:t>
      </w:r>
      <w:proofErr w:type="spellEnd"/>
      <w:r w:rsidRPr="0011244A">
        <w:rPr>
          <w:rFonts w:ascii="Times New Roman" w:eastAsia="Times New Roman" w:hAnsi="Times New Roman" w:cs="Times New Roman"/>
          <w:bCs/>
          <w:sz w:val="24"/>
          <w:szCs w:val="27"/>
          <w:lang w:eastAsia="en-GB"/>
        </w:rPr>
        <w:t xml:space="preserve">, C., </w:t>
      </w:r>
      <w:proofErr w:type="spellStart"/>
      <w:r w:rsidRPr="0011244A">
        <w:rPr>
          <w:rFonts w:ascii="Times New Roman" w:eastAsia="Times New Roman" w:hAnsi="Times New Roman" w:cs="Times New Roman"/>
          <w:bCs/>
          <w:sz w:val="24"/>
          <w:szCs w:val="27"/>
          <w:lang w:eastAsia="en-GB"/>
        </w:rPr>
        <w:t>Liousse</w:t>
      </w:r>
      <w:proofErr w:type="spellEnd"/>
      <w:r w:rsidRPr="0011244A">
        <w:rPr>
          <w:rFonts w:ascii="Times New Roman" w:eastAsia="Times New Roman" w:hAnsi="Times New Roman" w:cs="Times New Roman"/>
          <w:bCs/>
          <w:sz w:val="24"/>
          <w:szCs w:val="27"/>
          <w:lang w:eastAsia="en-GB"/>
        </w:rPr>
        <w:t xml:space="preserve">, C., Hughes, A., Nimo, J., </w:t>
      </w:r>
      <w:proofErr w:type="spellStart"/>
      <w:r w:rsidRPr="0011244A">
        <w:rPr>
          <w:rFonts w:ascii="Times New Roman" w:eastAsia="Times New Roman" w:hAnsi="Times New Roman" w:cs="Times New Roman"/>
          <w:bCs/>
          <w:sz w:val="24"/>
          <w:szCs w:val="27"/>
          <w:lang w:eastAsia="en-GB"/>
        </w:rPr>
        <w:t>Lemmouchi</w:t>
      </w:r>
      <w:proofErr w:type="spellEnd"/>
      <w:r w:rsidRPr="0011244A">
        <w:rPr>
          <w:rFonts w:ascii="Times New Roman" w:eastAsia="Times New Roman" w:hAnsi="Times New Roman" w:cs="Times New Roman"/>
          <w:bCs/>
          <w:sz w:val="24"/>
          <w:szCs w:val="27"/>
          <w:lang w:eastAsia="en-GB"/>
        </w:rPr>
        <w:t xml:space="preserve">, F., Cuesta, J., </w:t>
      </w:r>
      <w:proofErr w:type="spellStart"/>
      <w:r w:rsidRPr="0011244A">
        <w:rPr>
          <w:rFonts w:ascii="Times New Roman" w:eastAsia="Times New Roman" w:hAnsi="Times New Roman" w:cs="Times New Roman"/>
          <w:bCs/>
          <w:sz w:val="24"/>
          <w:szCs w:val="27"/>
          <w:lang w:eastAsia="en-GB"/>
        </w:rPr>
        <w:t>Amegah</w:t>
      </w:r>
      <w:proofErr w:type="spellEnd"/>
      <w:r w:rsidRPr="0011244A">
        <w:rPr>
          <w:rFonts w:ascii="Times New Roman" w:eastAsia="Times New Roman" w:hAnsi="Times New Roman" w:cs="Times New Roman"/>
          <w:bCs/>
          <w:sz w:val="24"/>
          <w:szCs w:val="27"/>
          <w:lang w:eastAsia="en-GB"/>
        </w:rPr>
        <w:t>, A. K., &amp; Subramanian, R. (2024). Temporal variability and regional influences of PM2.5 in the West African cities of Abidjan (Côte d'Ivoire) and Accra (Ghana). Environmental Science: Atmospheres, 4(4), 468–487. https://doi.org/10.1039/D4EA00012A</w:t>
      </w:r>
    </w:p>
    <w:p w14:paraId="3909B870"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Bauer, S. E., </w:t>
      </w:r>
      <w:proofErr w:type="spellStart"/>
      <w:r w:rsidRPr="0011244A">
        <w:rPr>
          <w:rFonts w:ascii="Times New Roman" w:eastAsia="Times New Roman" w:hAnsi="Times New Roman" w:cs="Times New Roman"/>
          <w:bCs/>
          <w:sz w:val="24"/>
          <w:szCs w:val="27"/>
          <w:lang w:eastAsia="en-GB"/>
        </w:rPr>
        <w:t>Im</w:t>
      </w:r>
      <w:proofErr w:type="spellEnd"/>
      <w:r w:rsidRPr="0011244A">
        <w:rPr>
          <w:rFonts w:ascii="Times New Roman" w:eastAsia="Times New Roman" w:hAnsi="Times New Roman" w:cs="Times New Roman"/>
          <w:bCs/>
          <w:sz w:val="24"/>
          <w:szCs w:val="27"/>
          <w:lang w:eastAsia="en-GB"/>
        </w:rPr>
        <w:t xml:space="preserve">, U., </w:t>
      </w:r>
      <w:proofErr w:type="spellStart"/>
      <w:r w:rsidRPr="0011244A">
        <w:rPr>
          <w:rFonts w:ascii="Times New Roman" w:eastAsia="Times New Roman" w:hAnsi="Times New Roman" w:cs="Times New Roman"/>
          <w:bCs/>
          <w:sz w:val="24"/>
          <w:szCs w:val="27"/>
          <w:lang w:eastAsia="en-GB"/>
        </w:rPr>
        <w:t>Mezuman</w:t>
      </w:r>
      <w:proofErr w:type="spellEnd"/>
      <w:r w:rsidRPr="0011244A">
        <w:rPr>
          <w:rFonts w:ascii="Times New Roman" w:eastAsia="Times New Roman" w:hAnsi="Times New Roman" w:cs="Times New Roman"/>
          <w:bCs/>
          <w:sz w:val="24"/>
          <w:szCs w:val="27"/>
          <w:lang w:eastAsia="en-GB"/>
        </w:rPr>
        <w:t>, K., &amp; Gao, C. Y. (2019). Desert dust, industrialization and agricultural fires: Health impacts of outdoor air pollution in Africa. Journal of Geophysical Research: Atmospheres, 124(7), 4104–4120. https://doi.org/10.1029/2018JD029336</w:t>
      </w:r>
    </w:p>
    <w:p w14:paraId="44F5658C"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GBD 2021 Lower Respiratory Infections and Antimicrobial Resistance Collaborators. (2024). Global, regional, and national incidence and mortality burden of non-COVID-19 lower respiratory infections and aetiologies, 1990–2021: A systematic analysis from the Global Burden of Disease Study 2021. The Lancet Infectious Diseases, 24(9), 974–1002. https://doi.org/10.1016/S1473-3099(24)00176-2 </w:t>
      </w:r>
    </w:p>
    <w:p w14:paraId="154582EE"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Capitanio, L., Ratte, S., Gautier, S., &amp; </w:t>
      </w:r>
      <w:proofErr w:type="spellStart"/>
      <w:r w:rsidRPr="0011244A">
        <w:rPr>
          <w:rFonts w:ascii="Times New Roman" w:eastAsia="Times New Roman" w:hAnsi="Times New Roman" w:cs="Times New Roman"/>
          <w:bCs/>
          <w:sz w:val="24"/>
          <w:szCs w:val="27"/>
          <w:lang w:eastAsia="en-GB"/>
        </w:rPr>
        <w:t>Josseran</w:t>
      </w:r>
      <w:proofErr w:type="spellEnd"/>
      <w:r w:rsidRPr="0011244A">
        <w:rPr>
          <w:rFonts w:ascii="Times New Roman" w:eastAsia="Times New Roman" w:hAnsi="Times New Roman" w:cs="Times New Roman"/>
          <w:bCs/>
          <w:sz w:val="24"/>
          <w:szCs w:val="27"/>
          <w:lang w:eastAsia="en-GB"/>
        </w:rPr>
        <w:t xml:space="preserve">, L. (2024). Impact of air pollution on mortality: Geo-epidemiological study in French-speaking Africa. </w:t>
      </w:r>
      <w:proofErr w:type="spellStart"/>
      <w:r w:rsidRPr="0011244A">
        <w:rPr>
          <w:rFonts w:ascii="Times New Roman" w:eastAsia="Times New Roman" w:hAnsi="Times New Roman" w:cs="Times New Roman"/>
          <w:bCs/>
          <w:sz w:val="24"/>
          <w:szCs w:val="27"/>
          <w:lang w:eastAsia="en-GB"/>
        </w:rPr>
        <w:t>Heliyon</w:t>
      </w:r>
      <w:proofErr w:type="spellEnd"/>
      <w:r w:rsidRPr="0011244A">
        <w:rPr>
          <w:rFonts w:ascii="Times New Roman" w:eastAsia="Times New Roman" w:hAnsi="Times New Roman" w:cs="Times New Roman"/>
          <w:bCs/>
          <w:sz w:val="24"/>
          <w:szCs w:val="27"/>
          <w:lang w:eastAsia="en-GB"/>
        </w:rPr>
        <w:t>, 10(20), e39473. https://doi.org/10.1016/j.heliyon.2024.e39473</w:t>
      </w:r>
    </w:p>
    <w:p w14:paraId="26BC9A7C"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Coker, E., &amp; Kizito, S. (2018). A narrative review on the human health effects of ambient air pollution in Sub-Saharan Africa: An urgent need for health effects studies. International Journal of Environmental Research and Public Health, 15(3), 427. https://doi.org/10.3390/ijerph15030427</w:t>
      </w:r>
    </w:p>
    <w:p w14:paraId="2C7F5F77"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lastRenderedPageBreak/>
        <w:t xml:space="preserve">Elf, J. L., Eke, O., </w:t>
      </w:r>
      <w:proofErr w:type="spellStart"/>
      <w:r w:rsidRPr="0011244A">
        <w:rPr>
          <w:rFonts w:ascii="Times New Roman" w:eastAsia="Times New Roman" w:hAnsi="Times New Roman" w:cs="Times New Roman"/>
          <w:bCs/>
          <w:sz w:val="24"/>
          <w:szCs w:val="27"/>
          <w:lang w:eastAsia="en-GB"/>
        </w:rPr>
        <w:t>Rakgokong</w:t>
      </w:r>
      <w:proofErr w:type="spellEnd"/>
      <w:r w:rsidRPr="0011244A">
        <w:rPr>
          <w:rFonts w:ascii="Times New Roman" w:eastAsia="Times New Roman" w:hAnsi="Times New Roman" w:cs="Times New Roman"/>
          <w:bCs/>
          <w:sz w:val="24"/>
          <w:szCs w:val="27"/>
          <w:lang w:eastAsia="en-GB"/>
        </w:rPr>
        <w:t xml:space="preserve">, M., </w:t>
      </w:r>
      <w:proofErr w:type="spellStart"/>
      <w:r w:rsidRPr="0011244A">
        <w:rPr>
          <w:rFonts w:ascii="Times New Roman" w:eastAsia="Times New Roman" w:hAnsi="Times New Roman" w:cs="Times New Roman"/>
          <w:bCs/>
          <w:sz w:val="24"/>
          <w:szCs w:val="27"/>
          <w:lang w:eastAsia="en-GB"/>
        </w:rPr>
        <w:t>Variava</w:t>
      </w:r>
      <w:proofErr w:type="spellEnd"/>
      <w:r w:rsidRPr="0011244A">
        <w:rPr>
          <w:rFonts w:ascii="Times New Roman" w:eastAsia="Times New Roman" w:hAnsi="Times New Roman" w:cs="Times New Roman"/>
          <w:bCs/>
          <w:sz w:val="24"/>
          <w:szCs w:val="27"/>
          <w:lang w:eastAsia="en-GB"/>
        </w:rPr>
        <w:t xml:space="preserve">, E., Baliram, Y., </w:t>
      </w:r>
      <w:proofErr w:type="spellStart"/>
      <w:r w:rsidRPr="0011244A">
        <w:rPr>
          <w:rFonts w:ascii="Times New Roman" w:eastAsia="Times New Roman" w:hAnsi="Times New Roman" w:cs="Times New Roman"/>
          <w:bCs/>
          <w:sz w:val="24"/>
          <w:szCs w:val="27"/>
          <w:lang w:eastAsia="en-GB"/>
        </w:rPr>
        <w:t>Motlhaoleng</w:t>
      </w:r>
      <w:proofErr w:type="spellEnd"/>
      <w:r w:rsidRPr="0011244A">
        <w:rPr>
          <w:rFonts w:ascii="Times New Roman" w:eastAsia="Times New Roman" w:hAnsi="Times New Roman" w:cs="Times New Roman"/>
          <w:bCs/>
          <w:sz w:val="24"/>
          <w:szCs w:val="27"/>
          <w:lang w:eastAsia="en-GB"/>
        </w:rPr>
        <w:t xml:space="preserve">, K., </w:t>
      </w:r>
      <w:proofErr w:type="spellStart"/>
      <w:r w:rsidRPr="0011244A">
        <w:rPr>
          <w:rFonts w:ascii="Times New Roman" w:eastAsia="Times New Roman" w:hAnsi="Times New Roman" w:cs="Times New Roman"/>
          <w:bCs/>
          <w:sz w:val="24"/>
          <w:szCs w:val="27"/>
          <w:lang w:eastAsia="en-GB"/>
        </w:rPr>
        <w:t>Lebina</w:t>
      </w:r>
      <w:proofErr w:type="spellEnd"/>
      <w:r w:rsidRPr="0011244A">
        <w:rPr>
          <w:rFonts w:ascii="Times New Roman" w:eastAsia="Times New Roman" w:hAnsi="Times New Roman" w:cs="Times New Roman"/>
          <w:bCs/>
          <w:sz w:val="24"/>
          <w:szCs w:val="27"/>
          <w:lang w:eastAsia="en-GB"/>
        </w:rPr>
        <w:t xml:space="preserve">, L., Shapiro, A. E., </w:t>
      </w:r>
      <w:proofErr w:type="spellStart"/>
      <w:r w:rsidRPr="0011244A">
        <w:rPr>
          <w:rFonts w:ascii="Times New Roman" w:eastAsia="Times New Roman" w:hAnsi="Times New Roman" w:cs="Times New Roman"/>
          <w:bCs/>
          <w:sz w:val="24"/>
          <w:szCs w:val="27"/>
          <w:lang w:eastAsia="en-GB"/>
        </w:rPr>
        <w:t>Breysse</w:t>
      </w:r>
      <w:proofErr w:type="spellEnd"/>
      <w:r w:rsidRPr="0011244A">
        <w:rPr>
          <w:rFonts w:ascii="Times New Roman" w:eastAsia="Times New Roman" w:hAnsi="Times New Roman" w:cs="Times New Roman"/>
          <w:bCs/>
          <w:sz w:val="24"/>
          <w:szCs w:val="27"/>
          <w:lang w:eastAsia="en-GB"/>
        </w:rPr>
        <w:t xml:space="preserve">, P. N., Golub, J. E., &amp; Martinson, N. (2017). Indoor air pollution from </w:t>
      </w:r>
      <w:proofErr w:type="spellStart"/>
      <w:r w:rsidRPr="0011244A">
        <w:rPr>
          <w:rFonts w:ascii="Times New Roman" w:eastAsia="Times New Roman" w:hAnsi="Times New Roman" w:cs="Times New Roman"/>
          <w:bCs/>
          <w:sz w:val="24"/>
          <w:szCs w:val="27"/>
          <w:lang w:eastAsia="en-GB"/>
        </w:rPr>
        <w:t>secondhand</w:t>
      </w:r>
      <w:proofErr w:type="spellEnd"/>
      <w:r w:rsidRPr="0011244A">
        <w:rPr>
          <w:rFonts w:ascii="Times New Roman" w:eastAsia="Times New Roman" w:hAnsi="Times New Roman" w:cs="Times New Roman"/>
          <w:bCs/>
          <w:sz w:val="24"/>
          <w:szCs w:val="27"/>
          <w:lang w:eastAsia="en-GB"/>
        </w:rPr>
        <w:t xml:space="preserve"> tobacco smoke, solid fuels, and kerosene in homes with active tuberculosis disease in South Africa. BMC Research Notes, 10, 591. https://doi.org/10.1186/s13104-017-2892-2</w:t>
      </w:r>
    </w:p>
    <w:p w14:paraId="2D7E1898"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Fisher, S., Bellinger, D. C., Cropper, M. L., Kumar, P., </w:t>
      </w:r>
      <w:proofErr w:type="spellStart"/>
      <w:r w:rsidRPr="0011244A">
        <w:rPr>
          <w:rFonts w:ascii="Times New Roman" w:eastAsia="Times New Roman" w:hAnsi="Times New Roman" w:cs="Times New Roman"/>
          <w:bCs/>
          <w:sz w:val="24"/>
          <w:szCs w:val="27"/>
          <w:lang w:eastAsia="en-GB"/>
        </w:rPr>
        <w:t>Binagwaho</w:t>
      </w:r>
      <w:proofErr w:type="spellEnd"/>
      <w:r w:rsidRPr="0011244A">
        <w:rPr>
          <w:rFonts w:ascii="Times New Roman" w:eastAsia="Times New Roman" w:hAnsi="Times New Roman" w:cs="Times New Roman"/>
          <w:bCs/>
          <w:sz w:val="24"/>
          <w:szCs w:val="27"/>
          <w:lang w:eastAsia="en-GB"/>
        </w:rPr>
        <w:t xml:space="preserve">, A., </w:t>
      </w:r>
      <w:proofErr w:type="spellStart"/>
      <w:r w:rsidRPr="0011244A">
        <w:rPr>
          <w:rFonts w:ascii="Times New Roman" w:eastAsia="Times New Roman" w:hAnsi="Times New Roman" w:cs="Times New Roman"/>
          <w:bCs/>
          <w:sz w:val="24"/>
          <w:szCs w:val="27"/>
          <w:lang w:eastAsia="en-GB"/>
        </w:rPr>
        <w:t>Koudenoukpo</w:t>
      </w:r>
      <w:proofErr w:type="spellEnd"/>
      <w:r w:rsidRPr="0011244A">
        <w:rPr>
          <w:rFonts w:ascii="Times New Roman" w:eastAsia="Times New Roman" w:hAnsi="Times New Roman" w:cs="Times New Roman"/>
          <w:bCs/>
          <w:sz w:val="24"/>
          <w:szCs w:val="27"/>
          <w:lang w:eastAsia="en-GB"/>
        </w:rPr>
        <w:t xml:space="preserve">, J. B., Park, Y., </w:t>
      </w:r>
      <w:proofErr w:type="spellStart"/>
      <w:r w:rsidRPr="0011244A">
        <w:rPr>
          <w:rFonts w:ascii="Times New Roman" w:eastAsia="Times New Roman" w:hAnsi="Times New Roman" w:cs="Times New Roman"/>
          <w:bCs/>
          <w:sz w:val="24"/>
          <w:szCs w:val="27"/>
          <w:lang w:eastAsia="en-GB"/>
        </w:rPr>
        <w:t>Taghian</w:t>
      </w:r>
      <w:proofErr w:type="spellEnd"/>
      <w:r w:rsidRPr="0011244A">
        <w:rPr>
          <w:rFonts w:ascii="Times New Roman" w:eastAsia="Times New Roman" w:hAnsi="Times New Roman" w:cs="Times New Roman"/>
          <w:bCs/>
          <w:sz w:val="24"/>
          <w:szCs w:val="27"/>
          <w:lang w:eastAsia="en-GB"/>
        </w:rPr>
        <w:t>, G., &amp; Landrigan, P. J. (2021). Air pollution and development in Africa: Impacts on health, the economy, and human capital. The Lancet Planetary Health, 5(10), e681–e688. https://doi.org/10.1016/S2542-5196(21)00201-1</w:t>
      </w:r>
    </w:p>
    <w:p w14:paraId="59825A2E"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GBD 2021 HAP Collaborators. (2025). Global, regional, and national burden of household air pollution, 1990–2021: A systematic analysis for the Global Burden of Disease Study 2021. The Lancet, 405(10485), 1167–1181. https://doi.org/10.1016/S0140-6736(24)02840-X</w:t>
      </w:r>
    </w:p>
    <w:p w14:paraId="78CA842E"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Gordon, S. B., Bruce, N. G., Grigg, J., Hibberd, P. L., Kurmi, O. P., Lam, K. B. H., Mortimer, K., Asante, K. P., Balakrishnan, K., Balmes, J., Bar-Zeev, N., Bates, M. N., </w:t>
      </w:r>
      <w:proofErr w:type="spellStart"/>
      <w:r w:rsidRPr="0011244A">
        <w:rPr>
          <w:rFonts w:ascii="Times New Roman" w:eastAsia="Times New Roman" w:hAnsi="Times New Roman" w:cs="Times New Roman"/>
          <w:bCs/>
          <w:sz w:val="24"/>
          <w:szCs w:val="27"/>
          <w:lang w:eastAsia="en-GB"/>
        </w:rPr>
        <w:t>Breysse</w:t>
      </w:r>
      <w:proofErr w:type="spellEnd"/>
      <w:r w:rsidRPr="0011244A">
        <w:rPr>
          <w:rFonts w:ascii="Times New Roman" w:eastAsia="Times New Roman" w:hAnsi="Times New Roman" w:cs="Times New Roman"/>
          <w:bCs/>
          <w:sz w:val="24"/>
          <w:szCs w:val="27"/>
          <w:lang w:eastAsia="en-GB"/>
        </w:rPr>
        <w:t>, P. N., Buist, S., Chen, Z., Havens, D., Jack, D., Jindal, S. K., Kan, H., … Pope, D. (2014). Respiratory risks from household air pollution in low and middle income countries. The Lancet Respiratory Medicine, 2(10), 823–860. https://doi.org/10.1016/S2213-2600(14)70168-7</w:t>
      </w:r>
    </w:p>
    <w:p w14:paraId="0C3DC104"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Jafta, N., Shezi, B., Buthelezi, M., Muteti-Fana, S., &amp; Naidoo, R. N. (2025). Household air pollution and respiratory health in Africa: Persistent risk and unchanged health burdens. Current Opinion in Pulmonary Medicine, 31(2), 89–97. https://doi.org/10.1097/MCP.0000000000001126</w:t>
      </w:r>
    </w:p>
    <w:p w14:paraId="382263EF"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Katoto, P. D. M. C., Byamungu, L., Brand, A. S., Mokaya, J., Strijdom, H., Goswami, N., De Boever, P., Nawrot, T. S., &amp; </w:t>
      </w:r>
      <w:proofErr w:type="spellStart"/>
      <w:r w:rsidRPr="0011244A">
        <w:rPr>
          <w:rFonts w:ascii="Times New Roman" w:eastAsia="Times New Roman" w:hAnsi="Times New Roman" w:cs="Times New Roman"/>
          <w:bCs/>
          <w:sz w:val="24"/>
          <w:szCs w:val="27"/>
          <w:lang w:eastAsia="en-GB"/>
        </w:rPr>
        <w:t>Nemery</w:t>
      </w:r>
      <w:proofErr w:type="spellEnd"/>
      <w:r w:rsidRPr="0011244A">
        <w:rPr>
          <w:rFonts w:ascii="Times New Roman" w:eastAsia="Times New Roman" w:hAnsi="Times New Roman" w:cs="Times New Roman"/>
          <w:bCs/>
          <w:sz w:val="24"/>
          <w:szCs w:val="27"/>
          <w:lang w:eastAsia="en-GB"/>
        </w:rPr>
        <w:t>, B. (2019). Ambient air pollution and health in Sub-Saharan Africa: Current evidence, perspectives and a call to action. Environmental Research, 173, 174–188. https://doi.org/10.1016/j.envres.2019.03.029</w:t>
      </w:r>
    </w:p>
    <w:p w14:paraId="1A60AB7B"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Kwarteng, L., Baiden, E. A., </w:t>
      </w:r>
      <w:proofErr w:type="spellStart"/>
      <w:r w:rsidRPr="0011244A">
        <w:rPr>
          <w:rFonts w:ascii="Times New Roman" w:eastAsia="Times New Roman" w:hAnsi="Times New Roman" w:cs="Times New Roman"/>
          <w:bCs/>
          <w:sz w:val="24"/>
          <w:szCs w:val="27"/>
          <w:lang w:eastAsia="en-GB"/>
        </w:rPr>
        <w:t>Fobil</w:t>
      </w:r>
      <w:proofErr w:type="spellEnd"/>
      <w:r w:rsidRPr="0011244A">
        <w:rPr>
          <w:rFonts w:ascii="Times New Roman" w:eastAsia="Times New Roman" w:hAnsi="Times New Roman" w:cs="Times New Roman"/>
          <w:bCs/>
          <w:sz w:val="24"/>
          <w:szCs w:val="27"/>
          <w:lang w:eastAsia="en-GB"/>
        </w:rPr>
        <w:t xml:space="preserve">, J., Arko-Mensah, J., Robins, T., &amp; Batterman, S. (2020). Air quality impacts at an e-waste site in Ghana using flexible, moderate-cost and quality-assured measurements. </w:t>
      </w:r>
      <w:proofErr w:type="spellStart"/>
      <w:r w:rsidRPr="0011244A">
        <w:rPr>
          <w:rFonts w:ascii="Times New Roman" w:eastAsia="Times New Roman" w:hAnsi="Times New Roman" w:cs="Times New Roman"/>
          <w:bCs/>
          <w:sz w:val="24"/>
          <w:szCs w:val="27"/>
          <w:lang w:eastAsia="en-GB"/>
        </w:rPr>
        <w:t>GeoHealth</w:t>
      </w:r>
      <w:proofErr w:type="spellEnd"/>
      <w:r w:rsidRPr="0011244A">
        <w:rPr>
          <w:rFonts w:ascii="Times New Roman" w:eastAsia="Times New Roman" w:hAnsi="Times New Roman" w:cs="Times New Roman"/>
          <w:bCs/>
          <w:sz w:val="24"/>
          <w:szCs w:val="27"/>
          <w:lang w:eastAsia="en-GB"/>
        </w:rPr>
        <w:t xml:space="preserve">, 4(8), e2020GH000247. https://doi.org/10.1029/2020GH000247 </w:t>
      </w:r>
    </w:p>
    <w:p w14:paraId="099F577E"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Lake, E. A., Karras, J., Marks, G. B., &amp; Cowie, C. T. (2025). The effect of air pollution on morbidity and mortality among children aged under five in Sub-Saharan Africa: Systematic review and meta-analysis. PLOS ONE, 20(4), e0320048. https://doi.org/10.1371/journal.pone.0320048</w:t>
      </w:r>
    </w:p>
    <w:p w14:paraId="40EC2D07"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Lee, K. K., Bing, R., Kiang, J., Bashir, S., Spath, N., </w:t>
      </w:r>
      <w:proofErr w:type="spellStart"/>
      <w:r w:rsidRPr="0011244A">
        <w:rPr>
          <w:rFonts w:ascii="Times New Roman" w:eastAsia="Times New Roman" w:hAnsi="Times New Roman" w:cs="Times New Roman"/>
          <w:bCs/>
          <w:sz w:val="24"/>
          <w:szCs w:val="27"/>
          <w:lang w:eastAsia="en-GB"/>
        </w:rPr>
        <w:t>Stelzle</w:t>
      </w:r>
      <w:proofErr w:type="spellEnd"/>
      <w:r w:rsidRPr="0011244A">
        <w:rPr>
          <w:rFonts w:ascii="Times New Roman" w:eastAsia="Times New Roman" w:hAnsi="Times New Roman" w:cs="Times New Roman"/>
          <w:bCs/>
          <w:sz w:val="24"/>
          <w:szCs w:val="27"/>
          <w:lang w:eastAsia="en-GB"/>
        </w:rPr>
        <w:t xml:space="preserve">, D., Mortimer, K., </w:t>
      </w:r>
      <w:proofErr w:type="spellStart"/>
      <w:r w:rsidRPr="0011244A">
        <w:rPr>
          <w:rFonts w:ascii="Times New Roman" w:eastAsia="Times New Roman" w:hAnsi="Times New Roman" w:cs="Times New Roman"/>
          <w:bCs/>
          <w:sz w:val="24"/>
          <w:szCs w:val="27"/>
          <w:lang w:eastAsia="en-GB"/>
        </w:rPr>
        <w:t>Bularga</w:t>
      </w:r>
      <w:proofErr w:type="spellEnd"/>
      <w:r w:rsidRPr="0011244A">
        <w:rPr>
          <w:rFonts w:ascii="Times New Roman" w:eastAsia="Times New Roman" w:hAnsi="Times New Roman" w:cs="Times New Roman"/>
          <w:bCs/>
          <w:sz w:val="24"/>
          <w:szCs w:val="27"/>
          <w:lang w:eastAsia="en-GB"/>
        </w:rPr>
        <w:t xml:space="preserve">, A., </w:t>
      </w:r>
      <w:proofErr w:type="spellStart"/>
      <w:r w:rsidRPr="0011244A">
        <w:rPr>
          <w:rFonts w:ascii="Times New Roman" w:eastAsia="Times New Roman" w:hAnsi="Times New Roman" w:cs="Times New Roman"/>
          <w:bCs/>
          <w:sz w:val="24"/>
          <w:szCs w:val="27"/>
          <w:lang w:eastAsia="en-GB"/>
        </w:rPr>
        <w:t>Doudesis</w:t>
      </w:r>
      <w:proofErr w:type="spellEnd"/>
      <w:r w:rsidRPr="0011244A">
        <w:rPr>
          <w:rFonts w:ascii="Times New Roman" w:eastAsia="Times New Roman" w:hAnsi="Times New Roman" w:cs="Times New Roman"/>
          <w:bCs/>
          <w:sz w:val="24"/>
          <w:szCs w:val="27"/>
          <w:lang w:eastAsia="en-GB"/>
        </w:rPr>
        <w:t xml:space="preserve">, D., Joshi, S. S., Strachan, F., </w:t>
      </w:r>
      <w:proofErr w:type="spellStart"/>
      <w:r w:rsidRPr="0011244A">
        <w:rPr>
          <w:rFonts w:ascii="Times New Roman" w:eastAsia="Times New Roman" w:hAnsi="Times New Roman" w:cs="Times New Roman"/>
          <w:bCs/>
          <w:sz w:val="24"/>
          <w:szCs w:val="27"/>
          <w:lang w:eastAsia="en-GB"/>
        </w:rPr>
        <w:t>Gumy</w:t>
      </w:r>
      <w:proofErr w:type="spellEnd"/>
      <w:r w:rsidRPr="0011244A">
        <w:rPr>
          <w:rFonts w:ascii="Times New Roman" w:eastAsia="Times New Roman" w:hAnsi="Times New Roman" w:cs="Times New Roman"/>
          <w:bCs/>
          <w:sz w:val="24"/>
          <w:szCs w:val="27"/>
          <w:lang w:eastAsia="en-GB"/>
        </w:rPr>
        <w:t>, S., Adair-Rohani, H., Attia, E. F., Chung, M. H., Miller, M. R., Newby, D. E., Mills, N. L., McAllister, D. A., &amp; Shah, A. S. V. (2020). Adverse health effects associated with household air pollution: A systematic review, meta-analysis, and burden estimation study. The Lancet Global Health, 8(11), e1427–e1434. https://doi.org/10.1016/S2214-109X(20)30343-0</w:t>
      </w:r>
    </w:p>
    <w:p w14:paraId="3F883E7C"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lastRenderedPageBreak/>
        <w:t xml:space="preserve">Lelieveld, J., Haines, A., &amp; </w:t>
      </w:r>
      <w:proofErr w:type="spellStart"/>
      <w:r w:rsidRPr="0011244A">
        <w:rPr>
          <w:rFonts w:ascii="Times New Roman" w:eastAsia="Times New Roman" w:hAnsi="Times New Roman" w:cs="Times New Roman"/>
          <w:bCs/>
          <w:sz w:val="24"/>
          <w:szCs w:val="27"/>
          <w:lang w:eastAsia="en-GB"/>
        </w:rPr>
        <w:t>Pozzer</w:t>
      </w:r>
      <w:proofErr w:type="spellEnd"/>
      <w:r w:rsidRPr="0011244A">
        <w:rPr>
          <w:rFonts w:ascii="Times New Roman" w:eastAsia="Times New Roman" w:hAnsi="Times New Roman" w:cs="Times New Roman"/>
          <w:bCs/>
          <w:sz w:val="24"/>
          <w:szCs w:val="27"/>
          <w:lang w:eastAsia="en-GB"/>
        </w:rPr>
        <w:t>, A. (2018). Age-dependent health risk from ambient air pollution: A modelling and data analysis of childhood mortality in middle-income and low-income countries. The Lancet Planetary Health, 2(7), e292–e300. https://doi.org/10.1016/S2542-5196(18)30147-5</w:t>
      </w:r>
    </w:p>
    <w:p w14:paraId="68D1E5D3"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Li, M., Liao, S., Wang, C., Ma, H., Xing, X., Yuan, J., Jiang, J., &amp; Zeng, Z. (2025). Global stroke burden attributable to household air pollution: Insights from GBD 2021 and projections to 2040. PLOS One, 20(7), Article e0327976. https://doi.org/10.1371/journal.pone.0327976</w:t>
      </w:r>
    </w:p>
    <w:p w14:paraId="576AB421"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Lin, H.-H., Ezzati, M., &amp; Murray, M. (2007). Tobacco smoke, indoor air pollution and tuberculosis: A systematic review and meta-analysis. PLOS Medicine, 4(1), Article e20. https://doi.org/10.1371/journal.pmed.0040020</w:t>
      </w:r>
    </w:p>
    <w:p w14:paraId="338D4615"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McElroy, S., Dimitrova, A., Evan, A., &amp; </w:t>
      </w:r>
      <w:proofErr w:type="spellStart"/>
      <w:r w:rsidRPr="0011244A">
        <w:rPr>
          <w:rFonts w:ascii="Times New Roman" w:eastAsia="Times New Roman" w:hAnsi="Times New Roman" w:cs="Times New Roman"/>
          <w:bCs/>
          <w:sz w:val="24"/>
          <w:szCs w:val="27"/>
          <w:lang w:eastAsia="en-GB"/>
        </w:rPr>
        <w:t>Benmarhnia</w:t>
      </w:r>
      <w:proofErr w:type="spellEnd"/>
      <w:r w:rsidRPr="0011244A">
        <w:rPr>
          <w:rFonts w:ascii="Times New Roman" w:eastAsia="Times New Roman" w:hAnsi="Times New Roman" w:cs="Times New Roman"/>
          <w:bCs/>
          <w:sz w:val="24"/>
          <w:szCs w:val="27"/>
          <w:lang w:eastAsia="en-GB"/>
        </w:rPr>
        <w:t>, T. (2022). Saharan dust and childhood respiratory symptoms in Benin. International Journal of Environmental Research and Public Health, 19(8), Article 4743. https://doi.org/10.3390/ijerph19084743</w:t>
      </w:r>
    </w:p>
    <w:p w14:paraId="4DC66347"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Mentz, G., Robins, T. G., Batterman, S., &amp; Naidoo, R. N. (2018). Acute respiratory symptoms associated with short term fluctuations in ambient pollutants among schoolchildren in Durban, South Africa. Environmental Pollution, 233, 529–539. https://doi.org/10.1016/j.envpol.2017.10.108</w:t>
      </w:r>
    </w:p>
    <w:p w14:paraId="4EDB77DA"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Mir Alvarez, C., </w:t>
      </w:r>
      <w:proofErr w:type="spellStart"/>
      <w:r w:rsidRPr="0011244A">
        <w:rPr>
          <w:rFonts w:ascii="Times New Roman" w:eastAsia="Times New Roman" w:hAnsi="Times New Roman" w:cs="Times New Roman"/>
          <w:bCs/>
          <w:sz w:val="24"/>
          <w:szCs w:val="27"/>
          <w:lang w:eastAsia="en-GB"/>
        </w:rPr>
        <w:t>Hourcade</w:t>
      </w:r>
      <w:proofErr w:type="spellEnd"/>
      <w:r w:rsidRPr="0011244A">
        <w:rPr>
          <w:rFonts w:ascii="Times New Roman" w:eastAsia="Times New Roman" w:hAnsi="Times New Roman" w:cs="Times New Roman"/>
          <w:bCs/>
          <w:sz w:val="24"/>
          <w:szCs w:val="27"/>
          <w:lang w:eastAsia="en-GB"/>
        </w:rPr>
        <w:t>, R., Lefebvre, B., &amp; Pilot, E. (2020). A scoping review on air quality monitoring, policy and health in West African cities. International Journal of Environmental Research and Public Health, 17(23), Article 9151. https://doi.org/10.3390/ijerph17239151</w:t>
      </w:r>
    </w:p>
    <w:p w14:paraId="5491D6F6"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Mitku, A. A., </w:t>
      </w:r>
      <w:proofErr w:type="spellStart"/>
      <w:r w:rsidRPr="0011244A">
        <w:rPr>
          <w:rFonts w:ascii="Times New Roman" w:eastAsia="Times New Roman" w:hAnsi="Times New Roman" w:cs="Times New Roman"/>
          <w:bCs/>
          <w:sz w:val="24"/>
          <w:szCs w:val="27"/>
          <w:lang w:eastAsia="en-GB"/>
        </w:rPr>
        <w:t>Zewotir</w:t>
      </w:r>
      <w:proofErr w:type="spellEnd"/>
      <w:r w:rsidRPr="0011244A">
        <w:rPr>
          <w:rFonts w:ascii="Times New Roman" w:eastAsia="Times New Roman" w:hAnsi="Times New Roman" w:cs="Times New Roman"/>
          <w:bCs/>
          <w:sz w:val="24"/>
          <w:szCs w:val="27"/>
          <w:lang w:eastAsia="en-GB"/>
        </w:rPr>
        <w:t xml:space="preserve">, T., North, D., Jeena, P., </w:t>
      </w:r>
      <w:proofErr w:type="spellStart"/>
      <w:r w:rsidRPr="0011244A">
        <w:rPr>
          <w:rFonts w:ascii="Times New Roman" w:eastAsia="Times New Roman" w:hAnsi="Times New Roman" w:cs="Times New Roman"/>
          <w:bCs/>
          <w:sz w:val="24"/>
          <w:szCs w:val="27"/>
          <w:lang w:eastAsia="en-GB"/>
        </w:rPr>
        <w:t>Asharam</w:t>
      </w:r>
      <w:proofErr w:type="spellEnd"/>
      <w:r w:rsidRPr="0011244A">
        <w:rPr>
          <w:rFonts w:ascii="Times New Roman" w:eastAsia="Times New Roman" w:hAnsi="Times New Roman" w:cs="Times New Roman"/>
          <w:bCs/>
          <w:sz w:val="24"/>
          <w:szCs w:val="27"/>
          <w:lang w:eastAsia="en-GB"/>
        </w:rPr>
        <w:t xml:space="preserve">, K., </w:t>
      </w:r>
      <w:proofErr w:type="spellStart"/>
      <w:r w:rsidRPr="0011244A">
        <w:rPr>
          <w:rFonts w:ascii="Times New Roman" w:eastAsia="Times New Roman" w:hAnsi="Times New Roman" w:cs="Times New Roman"/>
          <w:bCs/>
          <w:sz w:val="24"/>
          <w:szCs w:val="27"/>
          <w:lang w:eastAsia="en-GB"/>
        </w:rPr>
        <w:t>Muttoo</w:t>
      </w:r>
      <w:proofErr w:type="spellEnd"/>
      <w:r w:rsidRPr="0011244A">
        <w:rPr>
          <w:rFonts w:ascii="Times New Roman" w:eastAsia="Times New Roman" w:hAnsi="Times New Roman" w:cs="Times New Roman"/>
          <w:bCs/>
          <w:sz w:val="24"/>
          <w:szCs w:val="27"/>
          <w:lang w:eastAsia="en-GB"/>
        </w:rPr>
        <w:t xml:space="preserve">, S., Tularam, H., &amp; Naidoo, R. N. (2023). Impact of ambient air pollution exposure during pregnancy on adverse birth outcomes: Generalized structural equation </w:t>
      </w:r>
      <w:proofErr w:type="spellStart"/>
      <w:r w:rsidRPr="0011244A">
        <w:rPr>
          <w:rFonts w:ascii="Times New Roman" w:eastAsia="Times New Roman" w:hAnsi="Times New Roman" w:cs="Times New Roman"/>
          <w:bCs/>
          <w:sz w:val="24"/>
          <w:szCs w:val="27"/>
          <w:lang w:eastAsia="en-GB"/>
        </w:rPr>
        <w:t>modeling</w:t>
      </w:r>
      <w:proofErr w:type="spellEnd"/>
      <w:r w:rsidRPr="0011244A">
        <w:rPr>
          <w:rFonts w:ascii="Times New Roman" w:eastAsia="Times New Roman" w:hAnsi="Times New Roman" w:cs="Times New Roman"/>
          <w:bCs/>
          <w:sz w:val="24"/>
          <w:szCs w:val="27"/>
          <w:lang w:eastAsia="en-GB"/>
        </w:rPr>
        <w:t xml:space="preserve"> approach. BMC Public Health, 23, Article 45. https://doi.org/10.1186/s12889-022-14971-3</w:t>
      </w:r>
    </w:p>
    <w:p w14:paraId="79F0835D"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Mortimer, K., </w:t>
      </w:r>
      <w:proofErr w:type="spellStart"/>
      <w:r w:rsidRPr="0011244A">
        <w:rPr>
          <w:rFonts w:ascii="Times New Roman" w:eastAsia="Times New Roman" w:hAnsi="Times New Roman" w:cs="Times New Roman"/>
          <w:bCs/>
          <w:sz w:val="24"/>
          <w:szCs w:val="27"/>
          <w:lang w:eastAsia="en-GB"/>
        </w:rPr>
        <w:t>Ndamala</w:t>
      </w:r>
      <w:proofErr w:type="spellEnd"/>
      <w:r w:rsidRPr="0011244A">
        <w:rPr>
          <w:rFonts w:ascii="Times New Roman" w:eastAsia="Times New Roman" w:hAnsi="Times New Roman" w:cs="Times New Roman"/>
          <w:bCs/>
          <w:sz w:val="24"/>
          <w:szCs w:val="27"/>
          <w:lang w:eastAsia="en-GB"/>
        </w:rPr>
        <w:t xml:space="preserve">, C. B., </w:t>
      </w:r>
      <w:proofErr w:type="spellStart"/>
      <w:r w:rsidRPr="0011244A">
        <w:rPr>
          <w:rFonts w:ascii="Times New Roman" w:eastAsia="Times New Roman" w:hAnsi="Times New Roman" w:cs="Times New Roman"/>
          <w:bCs/>
          <w:sz w:val="24"/>
          <w:szCs w:val="27"/>
          <w:lang w:eastAsia="en-GB"/>
        </w:rPr>
        <w:t>Naunje</w:t>
      </w:r>
      <w:proofErr w:type="spellEnd"/>
      <w:r w:rsidRPr="0011244A">
        <w:rPr>
          <w:rFonts w:ascii="Times New Roman" w:eastAsia="Times New Roman" w:hAnsi="Times New Roman" w:cs="Times New Roman"/>
          <w:bCs/>
          <w:sz w:val="24"/>
          <w:szCs w:val="27"/>
          <w:lang w:eastAsia="en-GB"/>
        </w:rPr>
        <w:t xml:space="preserve">, A. W., </w:t>
      </w:r>
      <w:proofErr w:type="spellStart"/>
      <w:r w:rsidRPr="0011244A">
        <w:rPr>
          <w:rFonts w:ascii="Times New Roman" w:eastAsia="Times New Roman" w:hAnsi="Times New Roman" w:cs="Times New Roman"/>
          <w:bCs/>
          <w:sz w:val="24"/>
          <w:szCs w:val="27"/>
          <w:lang w:eastAsia="en-GB"/>
        </w:rPr>
        <w:t>Malava</w:t>
      </w:r>
      <w:proofErr w:type="spellEnd"/>
      <w:r w:rsidRPr="0011244A">
        <w:rPr>
          <w:rFonts w:ascii="Times New Roman" w:eastAsia="Times New Roman" w:hAnsi="Times New Roman" w:cs="Times New Roman"/>
          <w:bCs/>
          <w:sz w:val="24"/>
          <w:szCs w:val="27"/>
          <w:lang w:eastAsia="en-GB"/>
        </w:rPr>
        <w:t xml:space="preserve">, J., </w:t>
      </w:r>
      <w:proofErr w:type="spellStart"/>
      <w:r w:rsidRPr="0011244A">
        <w:rPr>
          <w:rFonts w:ascii="Times New Roman" w:eastAsia="Times New Roman" w:hAnsi="Times New Roman" w:cs="Times New Roman"/>
          <w:bCs/>
          <w:sz w:val="24"/>
          <w:szCs w:val="27"/>
          <w:lang w:eastAsia="en-GB"/>
        </w:rPr>
        <w:t>Katundu</w:t>
      </w:r>
      <w:proofErr w:type="spellEnd"/>
      <w:r w:rsidRPr="0011244A">
        <w:rPr>
          <w:rFonts w:ascii="Times New Roman" w:eastAsia="Times New Roman" w:hAnsi="Times New Roman" w:cs="Times New Roman"/>
          <w:bCs/>
          <w:sz w:val="24"/>
          <w:szCs w:val="27"/>
          <w:lang w:eastAsia="en-GB"/>
        </w:rPr>
        <w:t xml:space="preserve">, C., Weston, W., Havens, D., Pope, D., Bruce, N. G., Nyirenda, M., Wang, D., </w:t>
      </w:r>
      <w:proofErr w:type="spellStart"/>
      <w:r w:rsidRPr="0011244A">
        <w:rPr>
          <w:rFonts w:ascii="Times New Roman" w:eastAsia="Times New Roman" w:hAnsi="Times New Roman" w:cs="Times New Roman"/>
          <w:bCs/>
          <w:sz w:val="24"/>
          <w:szCs w:val="27"/>
          <w:lang w:eastAsia="en-GB"/>
        </w:rPr>
        <w:t>Crampin</w:t>
      </w:r>
      <w:proofErr w:type="spellEnd"/>
      <w:r w:rsidRPr="0011244A">
        <w:rPr>
          <w:rFonts w:ascii="Times New Roman" w:eastAsia="Times New Roman" w:hAnsi="Times New Roman" w:cs="Times New Roman"/>
          <w:bCs/>
          <w:sz w:val="24"/>
          <w:szCs w:val="27"/>
          <w:lang w:eastAsia="en-GB"/>
        </w:rPr>
        <w:t>, A., Grigg, J., Balmes, J., &amp; Gordon, S. B. (2017). A cleaner burning biomass-fuelled cookstove intervention to prevent pneumonia in children under 5 years old in rural Malawi (the Cooking and Pneumonia Study): A cluster randomised controlled trial. The Lancet, 389(10065), 167–175. https://doi.org/10.1016/S0140-6736(16)32507-7</w:t>
      </w:r>
    </w:p>
    <w:p w14:paraId="1AEC8B7C"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Odo, D. B., Yang, I. A., Dey, S., Hammer, M. S., van </w:t>
      </w:r>
      <w:proofErr w:type="spellStart"/>
      <w:r w:rsidRPr="0011244A">
        <w:rPr>
          <w:rFonts w:ascii="Times New Roman" w:eastAsia="Times New Roman" w:hAnsi="Times New Roman" w:cs="Times New Roman"/>
          <w:bCs/>
          <w:sz w:val="24"/>
          <w:szCs w:val="27"/>
          <w:lang w:eastAsia="en-GB"/>
        </w:rPr>
        <w:t>Donkelaar</w:t>
      </w:r>
      <w:proofErr w:type="spellEnd"/>
      <w:r w:rsidRPr="0011244A">
        <w:rPr>
          <w:rFonts w:ascii="Times New Roman" w:eastAsia="Times New Roman" w:hAnsi="Times New Roman" w:cs="Times New Roman"/>
          <w:bCs/>
          <w:sz w:val="24"/>
          <w:szCs w:val="27"/>
          <w:lang w:eastAsia="en-GB"/>
        </w:rPr>
        <w:t>, A., Martin, R., Dong, G.-H., Yang, B.-Y., Hystad, P., &amp; Knibbs, L. D. (2022). Ambient air pollution and acute respiratory infection in children aged under 5 years living in 35 developing countries. Environment International, 159, Article 107019. https://doi.org/10.1016/j.envint.2021.107019</w:t>
      </w:r>
    </w:p>
    <w:p w14:paraId="7FAFE1E5"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11244A">
        <w:rPr>
          <w:rFonts w:ascii="Times New Roman" w:eastAsia="Times New Roman" w:hAnsi="Times New Roman" w:cs="Times New Roman"/>
          <w:bCs/>
          <w:sz w:val="24"/>
          <w:szCs w:val="27"/>
          <w:lang w:eastAsia="en-GB"/>
        </w:rPr>
        <w:t>Owili</w:t>
      </w:r>
      <w:proofErr w:type="spellEnd"/>
      <w:r w:rsidRPr="0011244A">
        <w:rPr>
          <w:rFonts w:ascii="Times New Roman" w:eastAsia="Times New Roman" w:hAnsi="Times New Roman" w:cs="Times New Roman"/>
          <w:bCs/>
          <w:sz w:val="24"/>
          <w:szCs w:val="27"/>
          <w:lang w:eastAsia="en-GB"/>
        </w:rPr>
        <w:t>, P. O., Lien, W.-H., Muga, M. A., &amp; Lin, T.-H. (2017). The associations between types of ambient PM2.5 and under-five and maternal mortality in Africa. International Journal of Environmental Research and Public Health, 14(4), Article 359. https://doi.org/10.3390/ijerph14040359</w:t>
      </w:r>
    </w:p>
    <w:p w14:paraId="197A03D5"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lastRenderedPageBreak/>
        <w:t xml:space="preserve">Sana, A., Meda, N., </w:t>
      </w:r>
      <w:proofErr w:type="spellStart"/>
      <w:r w:rsidRPr="0011244A">
        <w:rPr>
          <w:rFonts w:ascii="Times New Roman" w:eastAsia="Times New Roman" w:hAnsi="Times New Roman" w:cs="Times New Roman"/>
          <w:bCs/>
          <w:sz w:val="24"/>
          <w:szCs w:val="27"/>
          <w:lang w:eastAsia="en-GB"/>
        </w:rPr>
        <w:t>Badoum</w:t>
      </w:r>
      <w:proofErr w:type="spellEnd"/>
      <w:r w:rsidRPr="0011244A">
        <w:rPr>
          <w:rFonts w:ascii="Times New Roman" w:eastAsia="Times New Roman" w:hAnsi="Times New Roman" w:cs="Times New Roman"/>
          <w:bCs/>
          <w:sz w:val="24"/>
          <w:szCs w:val="27"/>
          <w:lang w:eastAsia="en-GB"/>
        </w:rPr>
        <w:t>, G., Kafando, B., &amp; Bouland, C. (2019). Primary cooking fuel choice and respiratory health outcomes among women in charge of household cooking in Ouagadougou, Burkina Faso: Cross-sectional study. International Journal of Environmental Research and Public Health, 16(6), Article 1040. https://doi.org/10.3390/ijerph16061040</w:t>
      </w:r>
    </w:p>
    <w:p w14:paraId="78F1BCBF"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Sarfo, J. O., </w:t>
      </w:r>
      <w:proofErr w:type="spellStart"/>
      <w:r w:rsidRPr="0011244A">
        <w:rPr>
          <w:rFonts w:ascii="Times New Roman" w:eastAsia="Times New Roman" w:hAnsi="Times New Roman" w:cs="Times New Roman"/>
          <w:bCs/>
          <w:sz w:val="24"/>
          <w:szCs w:val="27"/>
          <w:lang w:eastAsia="en-GB"/>
        </w:rPr>
        <w:t>Amoadu</w:t>
      </w:r>
      <w:proofErr w:type="spellEnd"/>
      <w:r w:rsidRPr="0011244A">
        <w:rPr>
          <w:rFonts w:ascii="Times New Roman" w:eastAsia="Times New Roman" w:hAnsi="Times New Roman" w:cs="Times New Roman"/>
          <w:bCs/>
          <w:sz w:val="24"/>
          <w:szCs w:val="27"/>
          <w:lang w:eastAsia="en-GB"/>
        </w:rPr>
        <w:t xml:space="preserve">, M., Gyan, T. B., Osman, A.-G., </w:t>
      </w:r>
      <w:proofErr w:type="spellStart"/>
      <w:r w:rsidRPr="0011244A">
        <w:rPr>
          <w:rFonts w:ascii="Times New Roman" w:eastAsia="Times New Roman" w:hAnsi="Times New Roman" w:cs="Times New Roman"/>
          <w:bCs/>
          <w:sz w:val="24"/>
          <w:szCs w:val="27"/>
          <w:lang w:eastAsia="en-GB"/>
        </w:rPr>
        <w:t>Kordorwu</w:t>
      </w:r>
      <w:proofErr w:type="spellEnd"/>
      <w:r w:rsidRPr="0011244A">
        <w:rPr>
          <w:rFonts w:ascii="Times New Roman" w:eastAsia="Times New Roman" w:hAnsi="Times New Roman" w:cs="Times New Roman"/>
          <w:bCs/>
          <w:sz w:val="24"/>
          <w:szCs w:val="27"/>
          <w:lang w:eastAsia="en-GB"/>
        </w:rPr>
        <w:t xml:space="preserve">, P. Y., Adams, A. K., Asiedu, I., Ansah, E. W., Amponsah-Manu, F., &amp; Ofosu-Appiah, P. (2023). Acute lower respiratory infections among children under five in Sub-Saharan Africa: A scoping review of prevalence and risk factors. BMC </w:t>
      </w:r>
      <w:proofErr w:type="spellStart"/>
      <w:r w:rsidRPr="0011244A">
        <w:rPr>
          <w:rFonts w:ascii="Times New Roman" w:eastAsia="Times New Roman" w:hAnsi="Times New Roman" w:cs="Times New Roman"/>
          <w:bCs/>
          <w:sz w:val="24"/>
          <w:szCs w:val="27"/>
          <w:lang w:eastAsia="en-GB"/>
        </w:rPr>
        <w:t>Pediatrics</w:t>
      </w:r>
      <w:proofErr w:type="spellEnd"/>
      <w:r w:rsidRPr="0011244A">
        <w:rPr>
          <w:rFonts w:ascii="Times New Roman" w:eastAsia="Times New Roman" w:hAnsi="Times New Roman" w:cs="Times New Roman"/>
          <w:bCs/>
          <w:sz w:val="24"/>
          <w:szCs w:val="27"/>
          <w:lang w:eastAsia="en-GB"/>
        </w:rPr>
        <w:t>, 23, Article 225. https://doi.org/10.1186/s12887-023-04033-x</w:t>
      </w:r>
    </w:p>
    <w:p w14:paraId="6CE2D854"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Sukhera, J. (2022). Narrative reviews: Flexible, rigorous, and practical. Journal of Graduate Medical Education, 14(4), 414–417. https://doi.org/10.4300/JGME-D-22-00480.1</w:t>
      </w:r>
    </w:p>
    <w:p w14:paraId="559212EA"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Sylla, F. K., Faye, A., Diaw, M., Fall, M., &amp; Tal-Dia, A. (2018). Traffic air pollution and respiratory health: A cross-sectional study among bus drivers in Dakar (Senegal). Open Journal of Epidemiology, 8(1), 1–13. https://doi.org/10.4236/ojepi.2018.81001</w:t>
      </w:r>
    </w:p>
    <w:p w14:paraId="5FEC7359"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World Bank &amp; Institute for Health Metrics and Evaluation. (2016). The cost of air pollution: Strengthening the economic case for action. World Bank. https://documents.worldbank.org/en/publication/documents-reports/documentdetail/781521473177013155</w:t>
      </w:r>
    </w:p>
    <w:p w14:paraId="0D11FD18"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World Health Organization. (2021). WHO global air quality guidelines: Particulate matter (PM2.5 and PM10), ozone, nitrogen dioxide, </w:t>
      </w:r>
      <w:proofErr w:type="spellStart"/>
      <w:r w:rsidRPr="0011244A">
        <w:rPr>
          <w:rFonts w:ascii="Times New Roman" w:eastAsia="Times New Roman" w:hAnsi="Times New Roman" w:cs="Times New Roman"/>
          <w:bCs/>
          <w:sz w:val="24"/>
          <w:szCs w:val="27"/>
          <w:lang w:eastAsia="en-GB"/>
        </w:rPr>
        <w:t>sulfur</w:t>
      </w:r>
      <w:proofErr w:type="spellEnd"/>
      <w:r w:rsidRPr="0011244A">
        <w:rPr>
          <w:rFonts w:ascii="Times New Roman" w:eastAsia="Times New Roman" w:hAnsi="Times New Roman" w:cs="Times New Roman"/>
          <w:bCs/>
          <w:sz w:val="24"/>
          <w:szCs w:val="27"/>
          <w:lang w:eastAsia="en-GB"/>
        </w:rPr>
        <w:t xml:space="preserve"> dioxide and carbon monoxide. World Health Organization. https://iris.who.int/handle/10665/345329</w:t>
      </w:r>
    </w:p>
    <w:p w14:paraId="06273A71" w14:textId="77777777" w:rsidR="0011244A" w:rsidRPr="0011244A" w:rsidRDefault="0011244A" w:rsidP="0011244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11244A">
        <w:rPr>
          <w:rFonts w:ascii="Times New Roman" w:eastAsia="Times New Roman" w:hAnsi="Times New Roman" w:cs="Times New Roman"/>
          <w:bCs/>
          <w:sz w:val="24"/>
          <w:szCs w:val="27"/>
          <w:lang w:eastAsia="en-GB"/>
        </w:rPr>
        <w:t xml:space="preserve">Yarber, A. Y., Jenkins, G. S., Singh, A., &amp; Diokhane, A. (2023). Temporal relationships between Saharan dust proxies, climate, and meningitis in Senegal. </w:t>
      </w:r>
      <w:proofErr w:type="spellStart"/>
      <w:r w:rsidRPr="0011244A">
        <w:rPr>
          <w:rFonts w:ascii="Times New Roman" w:eastAsia="Times New Roman" w:hAnsi="Times New Roman" w:cs="Times New Roman"/>
          <w:bCs/>
          <w:sz w:val="24"/>
          <w:szCs w:val="27"/>
          <w:lang w:eastAsia="en-GB"/>
        </w:rPr>
        <w:t>GeoHealth</w:t>
      </w:r>
      <w:proofErr w:type="spellEnd"/>
      <w:r w:rsidRPr="0011244A">
        <w:rPr>
          <w:rFonts w:ascii="Times New Roman" w:eastAsia="Times New Roman" w:hAnsi="Times New Roman" w:cs="Times New Roman"/>
          <w:bCs/>
          <w:sz w:val="24"/>
          <w:szCs w:val="27"/>
          <w:lang w:eastAsia="en-GB"/>
        </w:rPr>
        <w:t>, 7(2), Article e2021GH000574. https://doi.org/10.1029/2021GH000574</w:t>
      </w:r>
    </w:p>
    <w:p w14:paraId="29F9C7C9" w14:textId="77777777" w:rsidR="0011244A" w:rsidRPr="00A777C3" w:rsidRDefault="0011244A" w:rsidP="00A777C3">
      <w:pPr>
        <w:spacing w:before="100" w:beforeAutospacing="1" w:after="100" w:afterAutospacing="1" w:line="240" w:lineRule="auto"/>
        <w:outlineLvl w:val="2"/>
        <w:rPr>
          <w:rFonts w:ascii="Times New Roman" w:eastAsia="Times New Roman" w:hAnsi="Times New Roman" w:cs="Times New Roman"/>
          <w:bCs/>
          <w:sz w:val="24"/>
          <w:szCs w:val="27"/>
          <w:lang w:eastAsia="en-GB"/>
        </w:rPr>
      </w:pPr>
    </w:p>
    <w:sectPr w:rsidR="0011244A" w:rsidRPr="00A777C3"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9929" w14:textId="77777777" w:rsidR="00274F6B" w:rsidRDefault="00274F6B" w:rsidP="007A1C01">
      <w:pPr>
        <w:spacing w:after="0" w:line="240" w:lineRule="auto"/>
      </w:pPr>
      <w:r>
        <w:separator/>
      </w:r>
    </w:p>
  </w:endnote>
  <w:endnote w:type="continuationSeparator" w:id="0">
    <w:p w14:paraId="4539BAF4" w14:textId="77777777" w:rsidR="00274F6B" w:rsidRDefault="00274F6B" w:rsidP="007A1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E9FA" w14:textId="77777777" w:rsidR="007A1C01" w:rsidRDefault="007A1C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388CA" w14:textId="77777777" w:rsidR="007A1C01" w:rsidRDefault="007A1C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51C3" w14:textId="77777777" w:rsidR="007A1C01" w:rsidRDefault="007A1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0CBEF" w14:textId="77777777" w:rsidR="00274F6B" w:rsidRDefault="00274F6B" w:rsidP="007A1C01">
      <w:pPr>
        <w:spacing w:after="0" w:line="240" w:lineRule="auto"/>
      </w:pPr>
      <w:r>
        <w:separator/>
      </w:r>
    </w:p>
  </w:footnote>
  <w:footnote w:type="continuationSeparator" w:id="0">
    <w:p w14:paraId="3DA8431D" w14:textId="77777777" w:rsidR="00274F6B" w:rsidRDefault="00274F6B" w:rsidP="007A1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7640" w14:textId="43F42566" w:rsidR="007A1C01" w:rsidRDefault="007A1C01">
    <w:pPr>
      <w:pStyle w:val="Header"/>
    </w:pPr>
    <w:r>
      <w:rPr>
        <w:noProof/>
      </w:rPr>
      <w:pict w14:anchorId="55193A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9218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1A43" w14:textId="1A13C7CA" w:rsidR="007A1C01" w:rsidRDefault="007A1C01">
    <w:pPr>
      <w:pStyle w:val="Header"/>
    </w:pPr>
    <w:r>
      <w:rPr>
        <w:noProof/>
      </w:rPr>
      <w:pict w14:anchorId="667463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9218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B400" w14:textId="0CD8B0BF" w:rsidR="007A1C01" w:rsidRDefault="007A1C01">
    <w:pPr>
      <w:pStyle w:val="Header"/>
    </w:pPr>
    <w:r>
      <w:rPr>
        <w:noProof/>
      </w:rPr>
      <w:pict w14:anchorId="28137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9218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80E9B"/>
    <w:multiLevelType w:val="hybridMultilevel"/>
    <w:tmpl w:val="AD82D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2449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77C3"/>
    <w:rsid w:val="0011244A"/>
    <w:rsid w:val="00274F6B"/>
    <w:rsid w:val="004841B3"/>
    <w:rsid w:val="006E1C34"/>
    <w:rsid w:val="007A1C01"/>
    <w:rsid w:val="00A1188B"/>
    <w:rsid w:val="00A777C3"/>
    <w:rsid w:val="00BE2CEA"/>
    <w:rsid w:val="00CC1512"/>
    <w:rsid w:val="00F32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0F77D"/>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A777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777C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A777C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77C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777C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A777C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A777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777C3"/>
    <w:rPr>
      <w:b/>
      <w:bCs/>
    </w:rPr>
  </w:style>
  <w:style w:type="character" w:styleId="Emphasis">
    <w:name w:val="Emphasis"/>
    <w:basedOn w:val="DefaultParagraphFont"/>
    <w:uiPriority w:val="20"/>
    <w:qFormat/>
    <w:rsid w:val="00A777C3"/>
    <w:rPr>
      <w:i/>
      <w:iCs/>
    </w:rPr>
  </w:style>
  <w:style w:type="character" w:styleId="Hyperlink">
    <w:name w:val="Hyperlink"/>
    <w:basedOn w:val="DefaultParagraphFont"/>
    <w:uiPriority w:val="99"/>
    <w:semiHidden/>
    <w:unhideWhenUsed/>
    <w:rsid w:val="00A777C3"/>
    <w:rPr>
      <w:color w:val="0000FF"/>
      <w:u w:val="single"/>
    </w:rPr>
  </w:style>
  <w:style w:type="paragraph" w:styleId="ListParagraph">
    <w:name w:val="List Paragraph"/>
    <w:basedOn w:val="Normal"/>
    <w:uiPriority w:val="34"/>
    <w:qFormat/>
    <w:rsid w:val="00A777C3"/>
    <w:pPr>
      <w:ind w:left="720"/>
      <w:contextualSpacing/>
    </w:pPr>
  </w:style>
  <w:style w:type="paragraph" w:styleId="NormalWeb">
    <w:name w:val="Normal (Web)"/>
    <w:basedOn w:val="Normal"/>
    <w:uiPriority w:val="99"/>
    <w:semiHidden/>
    <w:unhideWhenUsed/>
    <w:rsid w:val="00A777C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112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C01"/>
  </w:style>
  <w:style w:type="paragraph" w:styleId="Footer">
    <w:name w:val="footer"/>
    <w:basedOn w:val="Normal"/>
    <w:link w:val="FooterChar"/>
    <w:uiPriority w:val="99"/>
    <w:unhideWhenUsed/>
    <w:rsid w:val="007A1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90151">
      <w:bodyDiv w:val="1"/>
      <w:marLeft w:val="0"/>
      <w:marRight w:val="0"/>
      <w:marTop w:val="0"/>
      <w:marBottom w:val="0"/>
      <w:divBdr>
        <w:top w:val="none" w:sz="0" w:space="0" w:color="auto"/>
        <w:left w:val="none" w:sz="0" w:space="0" w:color="auto"/>
        <w:bottom w:val="none" w:sz="0" w:space="0" w:color="auto"/>
        <w:right w:val="none" w:sz="0" w:space="0" w:color="auto"/>
      </w:divBdr>
      <w:divsChild>
        <w:div w:id="1179320400">
          <w:marLeft w:val="0"/>
          <w:marRight w:val="0"/>
          <w:marTop w:val="0"/>
          <w:marBottom w:val="0"/>
          <w:divBdr>
            <w:top w:val="none" w:sz="0" w:space="0" w:color="auto"/>
            <w:left w:val="none" w:sz="0" w:space="0" w:color="auto"/>
            <w:bottom w:val="none" w:sz="0" w:space="0" w:color="auto"/>
            <w:right w:val="none" w:sz="0" w:space="0" w:color="auto"/>
          </w:divBdr>
          <w:divsChild>
            <w:div w:id="1116175694">
              <w:marLeft w:val="0"/>
              <w:marRight w:val="0"/>
              <w:marTop w:val="0"/>
              <w:marBottom w:val="0"/>
              <w:divBdr>
                <w:top w:val="none" w:sz="0" w:space="0" w:color="auto"/>
                <w:left w:val="none" w:sz="0" w:space="0" w:color="auto"/>
                <w:bottom w:val="none" w:sz="0" w:space="0" w:color="auto"/>
                <w:right w:val="none" w:sz="0" w:space="0" w:color="auto"/>
              </w:divBdr>
              <w:divsChild>
                <w:div w:id="499851565">
                  <w:marLeft w:val="0"/>
                  <w:marRight w:val="0"/>
                  <w:marTop w:val="0"/>
                  <w:marBottom w:val="0"/>
                  <w:divBdr>
                    <w:top w:val="none" w:sz="0" w:space="0" w:color="auto"/>
                    <w:left w:val="none" w:sz="0" w:space="0" w:color="auto"/>
                    <w:bottom w:val="none" w:sz="0" w:space="0" w:color="auto"/>
                    <w:right w:val="none" w:sz="0" w:space="0" w:color="auto"/>
                  </w:divBdr>
                  <w:divsChild>
                    <w:div w:id="1893273985">
                      <w:marLeft w:val="0"/>
                      <w:marRight w:val="0"/>
                      <w:marTop w:val="0"/>
                      <w:marBottom w:val="0"/>
                      <w:divBdr>
                        <w:top w:val="none" w:sz="0" w:space="0" w:color="auto"/>
                        <w:left w:val="none" w:sz="0" w:space="0" w:color="auto"/>
                        <w:bottom w:val="none" w:sz="0" w:space="0" w:color="auto"/>
                        <w:right w:val="none" w:sz="0" w:space="0" w:color="auto"/>
                      </w:divBdr>
                      <w:divsChild>
                        <w:div w:id="598483883">
                          <w:marLeft w:val="0"/>
                          <w:marRight w:val="0"/>
                          <w:marTop w:val="0"/>
                          <w:marBottom w:val="0"/>
                          <w:divBdr>
                            <w:top w:val="none" w:sz="0" w:space="0" w:color="auto"/>
                            <w:left w:val="none" w:sz="0" w:space="0" w:color="auto"/>
                            <w:bottom w:val="none" w:sz="0" w:space="0" w:color="auto"/>
                            <w:right w:val="none" w:sz="0" w:space="0" w:color="auto"/>
                          </w:divBdr>
                          <w:divsChild>
                            <w:div w:id="2046976098">
                              <w:marLeft w:val="0"/>
                              <w:marRight w:val="0"/>
                              <w:marTop w:val="0"/>
                              <w:marBottom w:val="0"/>
                              <w:divBdr>
                                <w:top w:val="none" w:sz="0" w:space="0" w:color="auto"/>
                                <w:left w:val="none" w:sz="0" w:space="0" w:color="auto"/>
                                <w:bottom w:val="none" w:sz="0" w:space="0" w:color="auto"/>
                                <w:right w:val="none" w:sz="0" w:space="0" w:color="auto"/>
                              </w:divBdr>
                              <w:divsChild>
                                <w:div w:id="1435130766">
                                  <w:marLeft w:val="0"/>
                                  <w:marRight w:val="0"/>
                                  <w:marTop w:val="0"/>
                                  <w:marBottom w:val="0"/>
                                  <w:divBdr>
                                    <w:top w:val="none" w:sz="0" w:space="0" w:color="auto"/>
                                    <w:left w:val="none" w:sz="0" w:space="0" w:color="auto"/>
                                    <w:bottom w:val="none" w:sz="0" w:space="0" w:color="auto"/>
                                    <w:right w:val="none" w:sz="0" w:space="0" w:color="auto"/>
                                  </w:divBdr>
                                  <w:divsChild>
                                    <w:div w:id="207481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264351">
      <w:bodyDiv w:val="1"/>
      <w:marLeft w:val="0"/>
      <w:marRight w:val="0"/>
      <w:marTop w:val="0"/>
      <w:marBottom w:val="0"/>
      <w:divBdr>
        <w:top w:val="none" w:sz="0" w:space="0" w:color="auto"/>
        <w:left w:val="none" w:sz="0" w:space="0" w:color="auto"/>
        <w:bottom w:val="none" w:sz="0" w:space="0" w:color="auto"/>
        <w:right w:val="none" w:sz="0" w:space="0" w:color="auto"/>
      </w:divBdr>
      <w:divsChild>
        <w:div w:id="1937444723">
          <w:marLeft w:val="0"/>
          <w:marRight w:val="0"/>
          <w:marTop w:val="0"/>
          <w:marBottom w:val="0"/>
          <w:divBdr>
            <w:top w:val="none" w:sz="0" w:space="0" w:color="auto"/>
            <w:left w:val="none" w:sz="0" w:space="0" w:color="auto"/>
            <w:bottom w:val="none" w:sz="0" w:space="0" w:color="auto"/>
            <w:right w:val="none" w:sz="0" w:space="0" w:color="auto"/>
          </w:divBdr>
        </w:div>
        <w:div w:id="902910165">
          <w:marLeft w:val="0"/>
          <w:marRight w:val="0"/>
          <w:marTop w:val="0"/>
          <w:marBottom w:val="0"/>
          <w:divBdr>
            <w:top w:val="none" w:sz="0" w:space="0" w:color="auto"/>
            <w:left w:val="none" w:sz="0" w:space="0" w:color="auto"/>
            <w:bottom w:val="none" w:sz="0" w:space="0" w:color="auto"/>
            <w:right w:val="none" w:sz="0" w:space="0" w:color="auto"/>
          </w:divBdr>
        </w:div>
        <w:div w:id="420492558">
          <w:marLeft w:val="0"/>
          <w:marRight w:val="0"/>
          <w:marTop w:val="0"/>
          <w:marBottom w:val="0"/>
          <w:divBdr>
            <w:top w:val="none" w:sz="0" w:space="0" w:color="auto"/>
            <w:left w:val="none" w:sz="0" w:space="0" w:color="auto"/>
            <w:bottom w:val="none" w:sz="0" w:space="0" w:color="auto"/>
            <w:right w:val="none" w:sz="0" w:space="0" w:color="auto"/>
          </w:divBdr>
        </w:div>
        <w:div w:id="67853107">
          <w:marLeft w:val="0"/>
          <w:marRight w:val="0"/>
          <w:marTop w:val="0"/>
          <w:marBottom w:val="0"/>
          <w:divBdr>
            <w:top w:val="none" w:sz="0" w:space="0" w:color="auto"/>
            <w:left w:val="none" w:sz="0" w:space="0" w:color="auto"/>
            <w:bottom w:val="none" w:sz="0" w:space="0" w:color="auto"/>
            <w:right w:val="none" w:sz="0" w:space="0" w:color="auto"/>
          </w:divBdr>
        </w:div>
      </w:divsChild>
    </w:div>
    <w:div w:id="173022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22</Pages>
  <Words>11248</Words>
  <Characters>64117</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4</cp:revision>
  <dcterms:created xsi:type="dcterms:W3CDTF">2026-06-21T17:36:00Z</dcterms:created>
  <dcterms:modified xsi:type="dcterms:W3CDTF">2026-06-22T11:03:00Z</dcterms:modified>
</cp:coreProperties>
</file>