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781F4" w14:textId="729D1637" w:rsidR="002730AC" w:rsidRDefault="002730AC" w:rsidP="00A86D7C">
      <w:pPr>
        <w:spacing w:line="360" w:lineRule="auto"/>
        <w:rPr>
          <w:rFonts w:ascii="Times New Roman" w:hAnsi="Times New Roman" w:cs="Times New Roman"/>
          <w:b/>
          <w:bCs/>
          <w:lang w:val="en-US"/>
        </w:rPr>
      </w:pPr>
    </w:p>
    <w:p w14:paraId="698976BD" w14:textId="33F80A7F" w:rsidR="009926E6" w:rsidRPr="00365CAC" w:rsidRDefault="009926E6" w:rsidP="00DB565D">
      <w:pPr>
        <w:spacing w:line="360" w:lineRule="auto"/>
        <w:jc w:val="right"/>
        <w:rPr>
          <w:rFonts w:ascii="Arial" w:hAnsi="Arial" w:cs="Arial"/>
          <w:b/>
          <w:bCs/>
          <w:sz w:val="36"/>
          <w:szCs w:val="36"/>
          <w:lang w:val="en-US"/>
        </w:rPr>
      </w:pPr>
      <w:r w:rsidRPr="00365CAC">
        <w:rPr>
          <w:rFonts w:ascii="Arial" w:hAnsi="Arial" w:cs="Arial"/>
          <w:b/>
          <w:bCs/>
          <w:sz w:val="36"/>
          <w:szCs w:val="36"/>
          <w:lang w:val="en-US"/>
        </w:rPr>
        <w:t xml:space="preserve">Evaluation of the physicochemical and biochemical composition of seeds from vigorous plants of </w:t>
      </w:r>
      <w:r w:rsidRPr="00365CAC">
        <w:rPr>
          <w:rFonts w:ascii="Arial" w:hAnsi="Arial" w:cs="Arial"/>
          <w:b/>
          <w:bCs/>
          <w:i/>
          <w:iCs/>
          <w:sz w:val="36"/>
          <w:szCs w:val="36"/>
          <w:lang w:val="en-US"/>
        </w:rPr>
        <w:t>Hibiscus cannabinus L</w:t>
      </w:r>
      <w:r w:rsidRPr="00365CAC">
        <w:rPr>
          <w:rFonts w:ascii="Arial" w:hAnsi="Arial" w:cs="Arial"/>
          <w:b/>
          <w:bCs/>
          <w:sz w:val="36"/>
          <w:szCs w:val="36"/>
          <w:lang w:val="en-US"/>
        </w:rPr>
        <w:t>. grown in Burkina Faso</w:t>
      </w:r>
    </w:p>
    <w:p w14:paraId="599D1B5B" w14:textId="6A9942CD" w:rsidR="00DB565D" w:rsidRPr="00365CAC" w:rsidRDefault="00DB565D" w:rsidP="00A86D7C">
      <w:pPr>
        <w:spacing w:line="360" w:lineRule="auto"/>
        <w:rPr>
          <w:rFonts w:ascii="Times New Roman" w:hAnsi="Times New Roman" w:cs="Times New Roman"/>
          <w:b/>
          <w:bCs/>
          <w:lang w:val="en-US"/>
        </w:rPr>
      </w:pPr>
    </w:p>
    <w:p w14:paraId="57A3F3EE" w14:textId="77777777" w:rsidR="007C38BB" w:rsidRPr="00365CAC" w:rsidRDefault="00DB565D" w:rsidP="00A86D7C">
      <w:pPr>
        <w:spacing w:line="360" w:lineRule="auto"/>
        <w:rPr>
          <w:rFonts w:ascii="Times New Roman" w:hAnsi="Times New Roman" w:cs="Times New Roman"/>
          <w:b/>
          <w:bCs/>
          <w:lang w:val="en-US"/>
        </w:rPr>
      </w:pPr>
      <w:r w:rsidRPr="00365CAC">
        <w:rPr>
          <w:rFonts w:ascii="Arial" w:hAnsi="Arial" w:cs="Arial"/>
          <w:noProof/>
        </w:rPr>
        <mc:AlternateContent>
          <mc:Choice Requires="wps">
            <w:drawing>
              <wp:inline distT="0" distB="0" distL="0" distR="0" wp14:anchorId="03E414CF" wp14:editId="5FFEE8AB">
                <wp:extent cx="5303520" cy="635"/>
                <wp:effectExtent l="13335" t="13335" r="17145" b="15240"/>
                <wp:docPr id="1175856489"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352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B4A99C2" id="_x0000_t32" coordsize="21600,21600" o:spt="32" o:oned="t" path="m,l21600,21600e" filled="f">
                <v:path arrowok="t" fillok="f" o:connecttype="none"/>
                <o:lock v:ext="edit" shapetype="t"/>
              </v:shapetype>
              <v:shape id="AutoShape 2" o:spid="_x0000_s1026" type="#_x0000_t32" style="width:417.6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" strokeweight="1.5pt">
                <w10:anchorlock/>
              </v:shape>
            </w:pict>
          </mc:Fallback>
        </mc:AlternateContent>
      </w:r>
    </w:p>
    <w:p w14:paraId="30D6A9E5" w14:textId="77777777" w:rsidR="007C38BB" w:rsidRPr="00365CAC" w:rsidRDefault="007C38BB" w:rsidP="00A86D7C">
      <w:pPr>
        <w:spacing w:line="360" w:lineRule="auto"/>
        <w:rPr>
          <w:rFonts w:ascii="Times New Roman" w:hAnsi="Times New Roman" w:cs="Times New Roman"/>
          <w:b/>
          <w:bCs/>
          <w:lang w:val="en-US"/>
        </w:rPr>
      </w:pPr>
    </w:p>
    <w:p w14:paraId="6FF41EF3" w14:textId="0DC94A27" w:rsidR="007C38BB" w:rsidRPr="00365CAC" w:rsidRDefault="007C38BB" w:rsidP="00A86D7C">
      <w:pPr>
        <w:spacing w:line="360" w:lineRule="auto"/>
        <w:rPr>
          <w:rFonts w:ascii="Times New Roman" w:hAnsi="Times New Roman" w:cs="Times New Roman"/>
          <w:b/>
          <w:bCs/>
          <w:lang w:val="en-US"/>
        </w:rPr>
        <w:sectPr w:rsidR="007C38BB" w:rsidRPr="00365CAC">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pPr>
    </w:p>
    <w:p w14:paraId="26AFECFC" w14:textId="77777777" w:rsidR="00DB565D" w:rsidRPr="00365CAC" w:rsidRDefault="00DB565D">
      <w:pPr>
        <w:rPr>
          <w:rFonts w:ascii="Arial" w:hAnsi="Arial" w:cs="Arial"/>
          <w:b/>
          <w:bCs/>
          <w:sz w:val="22"/>
          <w:szCs w:val="22"/>
        </w:rPr>
      </w:pPr>
      <w:r w:rsidRPr="00365CAC">
        <w:rPr>
          <w:rFonts w:ascii="Arial" w:hAnsi="Arial" w:cs="Arial"/>
          <w:b/>
          <w:bCs/>
          <w:sz w:val="22"/>
          <w:szCs w:val="22"/>
        </w:rPr>
        <w:t>ABSTRACT</w:t>
      </w:r>
    </w:p>
    <w:tbl>
      <w:tblPr>
        <w:tblStyle w:val="TableGrid"/>
        <w:tblW w:w="0" w:type="auto"/>
        <w:tblLook w:val="04A0" w:firstRow="1" w:lastRow="0" w:firstColumn="1" w:lastColumn="0" w:noHBand="0" w:noVBand="1"/>
      </w:tblPr>
      <w:tblGrid>
        <w:gridCol w:w="9062"/>
      </w:tblGrid>
      <w:tr w:rsidR="00DB565D" w:rsidRPr="00365CAC" w14:paraId="287404B3" w14:textId="77777777" w:rsidTr="00DB565D">
        <w:tc>
          <w:tcPr>
            <w:tcW w:w="9062" w:type="dxa"/>
            <w:shd w:val="clear" w:color="auto" w:fill="D9D9D9" w:themeFill="background1" w:themeFillShade="D9"/>
          </w:tcPr>
          <w:p w14:paraId="6959E56F" w14:textId="77777777" w:rsidR="00DB565D" w:rsidRPr="00365CAC" w:rsidRDefault="00DB565D" w:rsidP="00DB565D">
            <w:pPr>
              <w:spacing w:line="360" w:lineRule="auto"/>
              <w:rPr>
                <w:rFonts w:ascii="Times New Roman" w:hAnsi="Times New Roman" w:cs="Times New Roman"/>
                <w:b/>
                <w:bCs/>
              </w:rPr>
            </w:pPr>
          </w:p>
          <w:p w14:paraId="6BC6C2AD" w14:textId="77777777" w:rsidR="00D57BE8" w:rsidRPr="00365CAC" w:rsidRDefault="00DB565D" w:rsidP="00DB565D">
            <w:pPr>
              <w:spacing w:line="360" w:lineRule="auto"/>
              <w:jc w:val="both"/>
              <w:rPr>
                <w:rFonts w:ascii="Times New Roman" w:hAnsi="Times New Roman" w:cs="Times New Roman"/>
                <w:sz w:val="20"/>
                <w:szCs w:val="20"/>
              </w:rPr>
            </w:pPr>
            <w:r w:rsidRPr="00365CAC">
              <w:rPr>
                <w:rFonts w:ascii="Arial" w:eastAsia="Calibri" w:hAnsi="Arial" w:cs="Arial"/>
                <w:b/>
                <w:sz w:val="20"/>
                <w:szCs w:val="20"/>
              </w:rPr>
              <w:t>Aims:</w:t>
            </w:r>
            <w:r w:rsidR="00D57BE8" w:rsidRPr="00365CAC">
              <w:rPr>
                <w:rFonts w:ascii="Arial" w:eastAsia="Calibri" w:hAnsi="Arial" w:cs="Arial"/>
                <w:b/>
                <w:sz w:val="20"/>
                <w:szCs w:val="20"/>
              </w:rPr>
              <w:t xml:space="preserve"> </w:t>
            </w:r>
            <w:r w:rsidRPr="00365CAC">
              <w:rPr>
                <w:rFonts w:ascii="Times New Roman" w:hAnsi="Times New Roman" w:cs="Times New Roman"/>
                <w:i/>
                <w:iCs/>
                <w:sz w:val="20"/>
                <w:szCs w:val="20"/>
              </w:rPr>
              <w:t>Hibiscus cannabinus</w:t>
            </w:r>
            <w:r w:rsidRPr="00365CAC">
              <w:rPr>
                <w:rFonts w:ascii="Times New Roman" w:hAnsi="Times New Roman" w:cs="Times New Roman"/>
                <w:sz w:val="20"/>
                <w:szCs w:val="20"/>
              </w:rPr>
              <w:t xml:space="preserve"> L. is used as a leafy vegetable in many countries, but its seeds also have high nutritional value. It is a multipurpose plant offering numerous socioeconomic benefits in Burkina Faso. However, the plant is facing genetic erosion due to the introduction of exotic vegetables. Awareness is therefore necessary to establish the scientific basis for its nutritional potential, thereby reviving interest in the use of the seeds in the diet. Hence the relevance of this study, which aims to deepen understanding of the mineral and nutritional value of </w:t>
            </w:r>
            <w:r w:rsidRPr="00365CAC">
              <w:rPr>
                <w:rFonts w:ascii="Times New Roman" w:hAnsi="Times New Roman" w:cs="Times New Roman"/>
                <w:i/>
                <w:iCs/>
                <w:sz w:val="20"/>
                <w:szCs w:val="20"/>
              </w:rPr>
              <w:t>Hibiscus cannabinus</w:t>
            </w:r>
            <w:r w:rsidRPr="00365CAC">
              <w:rPr>
                <w:rFonts w:ascii="Times New Roman" w:hAnsi="Times New Roman" w:cs="Times New Roman"/>
                <w:sz w:val="20"/>
                <w:szCs w:val="20"/>
              </w:rPr>
              <w:t xml:space="preserve"> L. seeds. </w:t>
            </w:r>
          </w:p>
          <w:p w14:paraId="38C3B76E" w14:textId="4797ABBD" w:rsidR="00DB565D" w:rsidRPr="00365CAC" w:rsidRDefault="00D57BE8" w:rsidP="00DB565D">
            <w:pPr>
              <w:spacing w:line="360" w:lineRule="auto"/>
              <w:jc w:val="both"/>
              <w:rPr>
                <w:rFonts w:ascii="Times New Roman" w:hAnsi="Times New Roman" w:cs="Times New Roman"/>
                <w:sz w:val="20"/>
                <w:szCs w:val="20"/>
              </w:rPr>
            </w:pPr>
            <w:r w:rsidRPr="00365CAC">
              <w:rPr>
                <w:rFonts w:ascii="Arial" w:eastAsia="Calibri" w:hAnsi="Arial" w:cs="Arial"/>
                <w:b/>
                <w:bCs/>
                <w:sz w:val="20"/>
                <w:szCs w:val="20"/>
              </w:rPr>
              <w:t>Methodology:</w:t>
            </w:r>
            <w:r w:rsidRPr="00365CAC">
              <w:rPr>
                <w:rFonts w:ascii="Arial" w:eastAsia="Calibri" w:hAnsi="Arial" w:cs="Arial"/>
                <w:sz w:val="20"/>
                <w:szCs w:val="20"/>
              </w:rPr>
              <w:t xml:space="preserve"> </w:t>
            </w:r>
            <w:r w:rsidR="00DB565D" w:rsidRPr="00365CAC">
              <w:rPr>
                <w:rFonts w:ascii="Times New Roman" w:hAnsi="Times New Roman" w:cs="Times New Roman"/>
                <w:sz w:val="20"/>
                <w:szCs w:val="20"/>
              </w:rPr>
              <w:t>The study involved fifteen (15) samples of powder derived from the seeds. They were shade-dried and stored in the laboratory of the Plant Genetics and Breeding Team (EGAP).</w:t>
            </w:r>
          </w:p>
          <w:p w14:paraId="4760C436" w14:textId="77777777" w:rsidR="00DB565D" w:rsidRPr="00365CAC" w:rsidRDefault="00DB565D" w:rsidP="00DB565D">
            <w:pPr>
              <w:spacing w:line="360" w:lineRule="auto"/>
              <w:jc w:val="both"/>
              <w:rPr>
                <w:rFonts w:ascii="Times New Roman" w:hAnsi="Times New Roman" w:cs="Times New Roman"/>
                <w:sz w:val="20"/>
                <w:szCs w:val="20"/>
              </w:rPr>
            </w:pPr>
            <w:r w:rsidRPr="00365CAC">
              <w:rPr>
                <w:rFonts w:ascii="Times New Roman" w:hAnsi="Times New Roman" w:cs="Times New Roman"/>
                <w:sz w:val="20"/>
                <w:szCs w:val="20"/>
              </w:rPr>
              <w:t xml:space="preserve">The determination of moisture, ash, fat, protein, and carbohydrate content began with the collection of a 5-g sample; in accordance with the protocols of the respective standards, the content of each parameter was determined using appropriate formulas. The contents of K, Mg, Ca, Fe, Zn, and Na were measured by atomic absorption spectrophotometry according to the AOAC (1990) digestion method using strong acids and 0.5 g of ash obtained from the complete incineration of each sample. </w:t>
            </w:r>
          </w:p>
          <w:p w14:paraId="66542FDF" w14:textId="020D0B66" w:rsidR="00DB565D" w:rsidRPr="00365CAC" w:rsidRDefault="00D57BE8" w:rsidP="00DB565D">
            <w:pPr>
              <w:spacing w:line="360" w:lineRule="auto"/>
              <w:jc w:val="both"/>
              <w:rPr>
                <w:rFonts w:ascii="Times New Roman" w:hAnsi="Times New Roman" w:cs="Times New Roman"/>
                <w:sz w:val="20"/>
                <w:szCs w:val="20"/>
              </w:rPr>
            </w:pPr>
            <w:r w:rsidRPr="00365CAC">
              <w:rPr>
                <w:rFonts w:ascii="Arial" w:eastAsia="Calibri" w:hAnsi="Arial" w:cs="Arial"/>
                <w:b/>
                <w:bCs/>
                <w:sz w:val="20"/>
                <w:szCs w:val="20"/>
              </w:rPr>
              <w:t>Results:</w:t>
            </w:r>
            <w:r w:rsidRPr="00365CAC">
              <w:rPr>
                <w:rFonts w:ascii="Arial" w:eastAsia="Calibri" w:hAnsi="Arial" w:cs="Arial"/>
                <w:sz w:val="20"/>
                <w:szCs w:val="20"/>
              </w:rPr>
              <w:t xml:space="preserve"> </w:t>
            </w:r>
            <w:r w:rsidR="00DB565D" w:rsidRPr="00365CAC">
              <w:rPr>
                <w:rFonts w:ascii="Times New Roman" w:hAnsi="Times New Roman" w:cs="Times New Roman"/>
                <w:sz w:val="20"/>
                <w:szCs w:val="20"/>
              </w:rPr>
              <w:t xml:space="preserve">The results show calcium contents ranging from 10.50 mg/100 g to 0.5 mg/100 g, and iron contents ranging from 1.05 mg/100 g to 0.3 mg/100 g. The potassium, magnesium, sodium, and zinc ranged from 38 mg/100 g to 58 mg/100 g; 25 mg/100 g to 37 mg/100 g; 23 mg/100 g to 65 mg/100 g; and 1.25 mg/100 g to 4.5 mg/100 g, respectively. </w:t>
            </w:r>
          </w:p>
          <w:p w14:paraId="46BD5933" w14:textId="7C268E87" w:rsidR="00DB565D" w:rsidRPr="00365CAC" w:rsidRDefault="00D57BE8" w:rsidP="00DB565D">
            <w:pPr>
              <w:spacing w:line="360" w:lineRule="auto"/>
              <w:jc w:val="both"/>
              <w:rPr>
                <w:rFonts w:ascii="Times New Roman" w:hAnsi="Times New Roman" w:cs="Times New Roman"/>
                <w:sz w:val="20"/>
                <w:szCs w:val="20"/>
              </w:rPr>
            </w:pPr>
            <w:r w:rsidRPr="00365CAC">
              <w:rPr>
                <w:rFonts w:ascii="Arial" w:eastAsia="Calibri" w:hAnsi="Arial" w:cs="Arial"/>
                <w:b/>
                <w:bCs/>
                <w:sz w:val="20"/>
                <w:szCs w:val="20"/>
              </w:rPr>
              <w:t>Conclusion:</w:t>
            </w:r>
            <w:r w:rsidRPr="00365CAC">
              <w:rPr>
                <w:rFonts w:ascii="Arial" w:eastAsia="Calibri" w:hAnsi="Arial" w:cs="Arial"/>
                <w:sz w:val="20"/>
                <w:szCs w:val="20"/>
              </w:rPr>
              <w:t xml:space="preserve"> </w:t>
            </w:r>
            <w:r w:rsidR="00DB565D" w:rsidRPr="00365CAC">
              <w:rPr>
                <w:rFonts w:ascii="Times New Roman" w:hAnsi="Times New Roman" w:cs="Times New Roman"/>
                <w:sz w:val="20"/>
                <w:szCs w:val="20"/>
              </w:rPr>
              <w:t xml:space="preserve">These results indicate that </w:t>
            </w:r>
            <w:r w:rsidR="00DB565D" w:rsidRPr="00365CAC">
              <w:rPr>
                <w:rFonts w:ascii="Times New Roman" w:hAnsi="Times New Roman" w:cs="Times New Roman"/>
                <w:i/>
                <w:iCs/>
                <w:sz w:val="20"/>
                <w:szCs w:val="20"/>
              </w:rPr>
              <w:t>Hibiscus cannabinus</w:t>
            </w:r>
            <w:r w:rsidR="00DB565D" w:rsidRPr="00365CAC">
              <w:rPr>
                <w:rFonts w:ascii="Times New Roman" w:hAnsi="Times New Roman" w:cs="Times New Roman"/>
                <w:sz w:val="20"/>
                <w:szCs w:val="20"/>
              </w:rPr>
              <w:t xml:space="preserve"> L. could be an important source of minerals and play a significant role in improving the nutritional intake of rural and urban populations. It therefore appears necessary to encourage the cultivation, consumption, and commercial utilization of Hibiscus cannabinus L. seeds. </w:t>
            </w:r>
          </w:p>
          <w:p w14:paraId="483EB35E" w14:textId="77777777" w:rsidR="00DB565D" w:rsidRPr="00365CAC" w:rsidRDefault="00DB565D">
            <w:pPr>
              <w:rPr>
                <w:rFonts w:ascii="Times New Roman" w:hAnsi="Times New Roman" w:cs="Times New Roman"/>
                <w:b/>
                <w:bCs/>
                <w:sz w:val="22"/>
                <w:szCs w:val="22"/>
              </w:rPr>
            </w:pPr>
          </w:p>
        </w:tc>
      </w:tr>
    </w:tbl>
    <w:p w14:paraId="371CA865" w14:textId="77777777" w:rsidR="006E132B" w:rsidRPr="00365CAC" w:rsidRDefault="006E132B">
      <w:pPr>
        <w:rPr>
          <w:rFonts w:ascii="Times New Roman" w:hAnsi="Times New Roman" w:cs="Times New Roman"/>
          <w:b/>
          <w:bCs/>
          <w:sz w:val="22"/>
          <w:szCs w:val="22"/>
          <w:lang w:val="en-US"/>
        </w:rPr>
      </w:pPr>
    </w:p>
    <w:p w14:paraId="0AA9C81F" w14:textId="77777777" w:rsidR="006E132B" w:rsidRPr="00365CAC" w:rsidRDefault="006E132B" w:rsidP="006E132B">
      <w:pPr>
        <w:spacing w:line="360" w:lineRule="auto"/>
        <w:jc w:val="both"/>
        <w:rPr>
          <w:rFonts w:ascii="Arial" w:hAnsi="Arial" w:cs="Arial"/>
          <w:sz w:val="20"/>
          <w:szCs w:val="20"/>
          <w:lang w:val="en-US"/>
        </w:rPr>
      </w:pPr>
      <w:r w:rsidRPr="00365CAC">
        <w:rPr>
          <w:rFonts w:ascii="Times New Roman" w:hAnsi="Times New Roman" w:cs="Times New Roman"/>
          <w:b/>
          <w:bCs/>
          <w:lang w:val="en-US"/>
        </w:rPr>
        <w:t>Keywords</w:t>
      </w:r>
      <w:r w:rsidRPr="00365CAC">
        <w:rPr>
          <w:rFonts w:ascii="Times New Roman" w:hAnsi="Times New Roman" w:cs="Times New Roman"/>
          <w:lang w:val="en-US"/>
        </w:rPr>
        <w:t xml:space="preserve">: </w:t>
      </w:r>
      <w:r w:rsidRPr="00365CAC">
        <w:rPr>
          <w:rFonts w:ascii="Arial" w:hAnsi="Arial" w:cs="Arial"/>
          <w:i/>
          <w:iCs/>
          <w:sz w:val="20"/>
          <w:szCs w:val="20"/>
          <w:lang w:val="en-US"/>
        </w:rPr>
        <w:t>Hibiscus cannabinus L</w:t>
      </w:r>
      <w:r w:rsidRPr="00365CAC">
        <w:rPr>
          <w:rFonts w:ascii="Arial" w:hAnsi="Arial" w:cs="Arial"/>
          <w:sz w:val="20"/>
          <w:szCs w:val="20"/>
          <w:lang w:val="en-US"/>
        </w:rPr>
        <w:t>., biochemical and mineral composition, vigorous plants, Burkina Faso.</w:t>
      </w:r>
    </w:p>
    <w:p w14:paraId="76B2D789" w14:textId="7EB2628C" w:rsidR="009926E6" w:rsidRPr="00365CAC" w:rsidRDefault="009926E6" w:rsidP="00245462">
      <w:pPr>
        <w:pStyle w:val="ListParagraph"/>
        <w:numPr>
          <w:ilvl w:val="0"/>
          <w:numId w:val="2"/>
        </w:numPr>
        <w:spacing w:line="360" w:lineRule="auto"/>
        <w:rPr>
          <w:rFonts w:ascii="Arial" w:hAnsi="Arial" w:cs="Arial"/>
          <w:b/>
          <w:bCs/>
          <w:caps/>
          <w:sz w:val="22"/>
          <w:szCs w:val="22"/>
          <w:lang w:val="en-US"/>
        </w:rPr>
      </w:pPr>
      <w:r w:rsidRPr="00365CAC">
        <w:rPr>
          <w:rFonts w:ascii="Arial" w:hAnsi="Arial" w:cs="Arial"/>
          <w:b/>
          <w:bCs/>
          <w:caps/>
          <w:sz w:val="22"/>
          <w:szCs w:val="22"/>
          <w:lang w:val="en-US"/>
        </w:rPr>
        <w:lastRenderedPageBreak/>
        <w:t>Introduction</w:t>
      </w:r>
    </w:p>
    <w:p w14:paraId="61D44599" w14:textId="2D9BF19E" w:rsidR="009926E6" w:rsidRPr="00365CAC" w:rsidRDefault="00F73FA0" w:rsidP="002334EB">
      <w:pPr>
        <w:spacing w:line="360" w:lineRule="auto"/>
        <w:jc w:val="both"/>
        <w:rPr>
          <w:rFonts w:ascii="Arial" w:hAnsi="Arial" w:cs="Arial"/>
          <w:sz w:val="20"/>
          <w:szCs w:val="20"/>
          <w:lang w:val="en-US"/>
        </w:rPr>
      </w:pPr>
      <w:r w:rsidRPr="00365CAC">
        <w:rPr>
          <w:rFonts w:ascii="Arial" w:hAnsi="Arial" w:cs="Arial"/>
          <w:i/>
          <w:iCs/>
          <w:sz w:val="20"/>
          <w:szCs w:val="20"/>
          <w:lang w:val="en-US"/>
        </w:rPr>
        <w:t>Hibiscus cannabinus</w:t>
      </w:r>
      <w:r w:rsidRPr="00365CAC">
        <w:rPr>
          <w:rFonts w:ascii="Arial" w:hAnsi="Arial" w:cs="Arial"/>
          <w:sz w:val="20"/>
          <w:szCs w:val="20"/>
          <w:lang w:val="en-US"/>
        </w:rPr>
        <w:t xml:space="preserve"> is a plant belonging to the </w:t>
      </w:r>
      <w:proofErr w:type="spellStart"/>
      <w:r w:rsidRPr="00365CAC">
        <w:rPr>
          <w:rFonts w:ascii="Arial" w:hAnsi="Arial" w:cs="Arial"/>
          <w:i/>
          <w:iCs/>
          <w:sz w:val="20"/>
          <w:szCs w:val="20"/>
          <w:lang w:val="en-US"/>
        </w:rPr>
        <w:t>Malvaceae</w:t>
      </w:r>
      <w:proofErr w:type="spellEnd"/>
      <w:r w:rsidRPr="00365CAC">
        <w:rPr>
          <w:rFonts w:ascii="Arial" w:hAnsi="Arial" w:cs="Arial"/>
          <w:sz w:val="20"/>
          <w:szCs w:val="20"/>
          <w:lang w:val="en-US"/>
        </w:rPr>
        <w:t xml:space="preserve"> family</w:t>
      </w:r>
      <w:r w:rsidR="009039BE" w:rsidRPr="00365CAC">
        <w:rPr>
          <w:rFonts w:ascii="Arial" w:hAnsi="Arial" w:cs="Arial"/>
          <w:sz w:val="20"/>
          <w:szCs w:val="20"/>
          <w:lang w:val="en-US"/>
        </w:rPr>
        <w:fldChar w:fldCharType="begin"/>
      </w:r>
      <w:r w:rsidR="009039BE" w:rsidRPr="00365CAC">
        <w:rPr>
          <w:rFonts w:ascii="Arial" w:hAnsi="Arial" w:cs="Arial"/>
          <w:sz w:val="20"/>
          <w:szCs w:val="20"/>
          <w:lang w:val="en-US"/>
        </w:rPr>
        <w:instrText xml:space="preserve"> ADDIN ZOTERO_ITEM CSL_CITATION {"citationID":"4Twu12Pn","properties":{"unsorted":false,"formattedCitation":"(Onyeukwu et al., 2023)","plainCitation":"(Onyeukwu et al., 2023)","noteIndex":0},"citationItems":[{"id":395,"uris":["http://zotero.org/users/local/c6S0FUmy/items/I8XDBH38"],"itemData":{"id":395,"type":"article-journal","abstract":"Hibiscus sabdariffa is a shrub that belongs to the family Malvacea. Over 200 different species of Hibiscus exist worldwide. Hisbiscus sabdariffa has been noted to have a high nutritional potential, particularly in the leaves, calyces, and seeds. The Roselle calyx, which is used to make a variety of beverages, has been said to contain a significant amount of vitamins, minerals, flavonoids, protein, lipids, carbs, and other nutrients. There are reports on the plants' antioxidant, antihypertensive, hepatoprotective, nutritive, and antihyperlipemic qualities. Reviewing the uses, the nutritional worth and therapeutic benefits of Hibiscus sabdariffa is the goal of this paper.","container-title":"Journal of Bioscience and Biotechnology Discovery","DOI":"10.31248/JBBD2023.178","journalAbbreviation":"Journal of Bioscience and Biotechnology Discovery","page":"18-23","source":"ResearchGate","title":"Hibiscus sabdariffa -uses, nutritional and therapeutic benefits -A review","volume":"8","author":[{"family":"Onyeukwu","given":"Onyeka"},{"family":"Ezeokafor","given":"Dumebi"},{"family":"Njideaka","given":"Ogochukwu"}],"issued":{"date-parts":[["2023",4,1]]}}}],"schema":"https://github.com/citation-style-language/schema/raw/master/csl-citation.json"} </w:instrText>
      </w:r>
      <w:r w:rsidR="009039BE" w:rsidRPr="00365CAC">
        <w:rPr>
          <w:rFonts w:ascii="Arial" w:hAnsi="Arial" w:cs="Arial"/>
          <w:sz w:val="20"/>
          <w:szCs w:val="20"/>
          <w:lang w:val="en-US"/>
        </w:rPr>
        <w:fldChar w:fldCharType="separate"/>
      </w:r>
      <w:r w:rsidR="009039BE" w:rsidRPr="00365CAC">
        <w:rPr>
          <w:rFonts w:ascii="Arial" w:hAnsi="Arial" w:cs="Arial"/>
          <w:sz w:val="20"/>
          <w:szCs w:val="20"/>
          <w:lang w:val="en-US"/>
        </w:rPr>
        <w:t>(</w:t>
      </w:r>
      <w:proofErr w:type="spellStart"/>
      <w:r w:rsidR="009039BE" w:rsidRPr="00365CAC">
        <w:rPr>
          <w:rFonts w:ascii="Arial" w:hAnsi="Arial" w:cs="Arial"/>
          <w:sz w:val="20"/>
          <w:szCs w:val="20"/>
          <w:lang w:val="en-US"/>
        </w:rPr>
        <w:t>Onyeukwu</w:t>
      </w:r>
      <w:proofErr w:type="spellEnd"/>
      <w:r w:rsidR="009039BE" w:rsidRPr="00365CAC">
        <w:rPr>
          <w:rFonts w:ascii="Arial" w:hAnsi="Arial" w:cs="Arial"/>
          <w:sz w:val="20"/>
          <w:szCs w:val="20"/>
          <w:lang w:val="en-US"/>
        </w:rPr>
        <w:t xml:space="preserve"> et al., 2023)</w:t>
      </w:r>
      <w:r w:rsidR="009039BE" w:rsidRPr="00365CAC">
        <w:rPr>
          <w:rFonts w:ascii="Arial" w:hAnsi="Arial" w:cs="Arial"/>
          <w:sz w:val="20"/>
          <w:szCs w:val="20"/>
          <w:lang w:val="en-US"/>
        </w:rPr>
        <w:fldChar w:fldCharType="end"/>
      </w:r>
      <w:r w:rsidRPr="00365CAC">
        <w:rPr>
          <w:rFonts w:ascii="Arial" w:hAnsi="Arial" w:cs="Arial"/>
          <w:sz w:val="20"/>
          <w:szCs w:val="20"/>
          <w:lang w:val="en-US"/>
        </w:rPr>
        <w:t xml:space="preserve">. This species is an herbaceous plant characterized by its highly fibrous nature. </w:t>
      </w:r>
      <w:r w:rsidRPr="00365CAC">
        <w:rPr>
          <w:rFonts w:ascii="Arial" w:hAnsi="Arial" w:cs="Arial"/>
          <w:i/>
          <w:iCs/>
          <w:sz w:val="20"/>
          <w:szCs w:val="20"/>
          <w:lang w:val="en-US"/>
        </w:rPr>
        <w:t>Hibiscus cannabinus</w:t>
      </w:r>
      <w:r w:rsidRPr="00365CAC">
        <w:rPr>
          <w:rFonts w:ascii="Arial" w:hAnsi="Arial" w:cs="Arial"/>
          <w:sz w:val="20"/>
          <w:szCs w:val="20"/>
          <w:lang w:val="en-US"/>
        </w:rPr>
        <w:t xml:space="preserve"> has traditionally been used for its therapeutic properties</w:t>
      </w:r>
      <w:r w:rsidR="00B1563B" w:rsidRPr="00365CAC">
        <w:rPr>
          <w:rFonts w:ascii="Arial" w:hAnsi="Arial" w:cs="Arial"/>
          <w:sz w:val="20"/>
          <w:szCs w:val="20"/>
          <w:lang w:val="en-US"/>
        </w:rPr>
        <w:fldChar w:fldCharType="begin"/>
      </w:r>
      <w:r w:rsidR="00B1563B" w:rsidRPr="00365CAC">
        <w:rPr>
          <w:rFonts w:ascii="Arial" w:hAnsi="Arial" w:cs="Arial"/>
          <w:sz w:val="20"/>
          <w:szCs w:val="20"/>
          <w:lang w:val="en-US"/>
        </w:rPr>
        <w:instrText xml:space="preserve"> ADDIN ZOTERO_ITEM CSL_CITATION {"citationID":"icf6Zy2B","properties":{"unsorted":false,"formattedCitation":"(Szyma\\uc0\\u324{}ski et al., 2024)","plainCitation":"(Szymański et al., 2024)","noteIndex":0},"citationItems":[{"id":397,"uris":["http://zotero.org/users/local/c6S0FUmy/items/DY9CAXTN"],"itemData":{"id":397,"type":"webpage","title":"Développement de solutions innovantes pour la sécurité environnementale : films de pectine rouge à base d’extrait de fleurs d’Hibiscus sabdariffa, composés bioactifs contre les bactéries pathogènes, pour une économie circulaire.","URL":"https://www.mdpi.com/2079-6412/14/12/1500","author":[{"family":"Szymański","given":"Marcin"},{"family":"Długaszewska","given":"Jolanta"},{"family":"Mikoła","given":"Pawlik"},{"family":"Dobrucka","given":"Renata"}],"accessed":{"date-parts":[["2026",5,22]]},"issued":{"date-parts":[["2024"]]}}}],"schema":"https://github.com/citation-style-language/schema/raw/master/csl-citation.json"} </w:instrText>
      </w:r>
      <w:r w:rsidR="00B1563B" w:rsidRPr="00365CAC">
        <w:rPr>
          <w:rFonts w:ascii="Arial" w:hAnsi="Arial" w:cs="Arial"/>
          <w:sz w:val="20"/>
          <w:szCs w:val="20"/>
          <w:lang w:val="en-US"/>
        </w:rPr>
        <w:fldChar w:fldCharType="separate"/>
      </w:r>
      <w:r w:rsidR="00B1563B" w:rsidRPr="00365CAC">
        <w:rPr>
          <w:rFonts w:ascii="Arial" w:hAnsi="Arial" w:cs="Arial"/>
          <w:kern w:val="0"/>
          <w:sz w:val="20"/>
          <w:szCs w:val="20"/>
          <w:lang w:val="en-US"/>
        </w:rPr>
        <w:t>(Szymański et al., 2024)</w:t>
      </w:r>
      <w:r w:rsidR="00B1563B" w:rsidRPr="00365CAC">
        <w:rPr>
          <w:rFonts w:ascii="Arial" w:hAnsi="Arial" w:cs="Arial"/>
          <w:sz w:val="20"/>
          <w:szCs w:val="20"/>
          <w:lang w:val="en-US"/>
        </w:rPr>
        <w:fldChar w:fldCharType="end"/>
      </w:r>
      <w:r w:rsidRPr="00365CAC">
        <w:rPr>
          <w:rFonts w:ascii="Arial" w:hAnsi="Arial" w:cs="Arial"/>
          <w:sz w:val="20"/>
          <w:szCs w:val="20"/>
          <w:lang w:val="en-US"/>
        </w:rPr>
        <w:t>. In addition to being prized for its nutritional value, it is a plant that commands admiration among populations in both rural and urban areas</w:t>
      </w:r>
      <w:r w:rsidR="00B77967" w:rsidRPr="00365CAC">
        <w:rPr>
          <w:rFonts w:ascii="Arial" w:hAnsi="Arial" w:cs="Arial"/>
          <w:sz w:val="20"/>
          <w:szCs w:val="20"/>
          <w:lang w:val="en-US"/>
        </w:rPr>
        <w:fldChar w:fldCharType="begin"/>
      </w:r>
      <w:r w:rsidR="00B77967" w:rsidRPr="00365CAC">
        <w:rPr>
          <w:rFonts w:ascii="Arial" w:hAnsi="Arial" w:cs="Arial"/>
          <w:sz w:val="20"/>
          <w:szCs w:val="20"/>
          <w:lang w:val="en-US"/>
        </w:rPr>
        <w:instrText xml:space="preserve"> ADDIN ZOTERO_ITEM CSL_CITATION {"citationID":"XE9IP7jb","properties":{"unsorted":false,"formattedCitation":"(Borelli et al., 2020)","plainCitation":"(Borelli et al., 2020)","noteIndex":0},"citationItems":[{"id":401,"uris":["http://zotero.org/users/local/c6S0FUmy/items/QFQDZ8IQ"],"itemData":{"id":401,"type":"article-journal","abstract":"Overlooked in national reports and in conservation programs, wild food plants (WFPs) have been a vital component of food and nutrition security for centuries. Recently, several countries have reported on the widespread and regular consumption of WFPs, particularly by rural and indigenous communities but also in urban contexts. They are reported as critical for livelihood resilience and for providing essential micronutrients to people enduring food shortages or other emergency situations. However, threats derived from changes in land use and climate, overexploitation and urbanization are reducing the availability of these biological resources in the wild and contributing to the loss of traditional knowledge associated with their use. Meanwhile, few policy measures are in place explicitly targeting their conservation and sustainable use. This can be partially attributed to a lack of scientific evidence and awareness among policymakers and relevant stakeholders of the untapped potential of WFPs, accompanied by market and non-market barriers limiting their use. This paper reviews recent efforts being undertaken in several countries to build evidence of the importance of WFPs, while providing examples of cross-sectoral cooperation and multi-stakeholder approaches that are contributing to advance their conservation and sustainable use. An integrated conservation approach is proposed contributing to secure their availability for future generations.","container-title":"Plants","DOI":"10.3390/plants9101299","ISSN":"2223-7747","issue":"10","language":"en","license":"http://creativecommons.org/licenses/by/3.0/","page":"1299","publisher":"Multidisciplinary Digital Publishing Institute","source":"www.mdpi.com","title":"Born to Eat Wild: An Integrated Conservation Approach to Secure Wild Food Plants for Food Security and Nutrition","title-short":"Born to Eat Wild","volume":"9","author":[{"family":"Borelli","given":"Teresa"},{"family":"Hunter","given":"Danny"},{"family":"Powell","given":"Bronwen"},{"family":"Ulian","given":"Tiziana"},{"family":"Mattana","given":"Efisio"},{"family":"Termote","given":"Céline"},{"family":"Pawera","given":"Lukas"},{"family":"Beltrame","given":"Daniela"},{"family":"Penafiel","given":"Daniela"},{"family":"Tan","given":"Ayfer"},{"family":"Taylor","given":"Mary"},{"family":"Engels","given":"Johannes"}],"issued":{"date-parts":[["2020",10]]}}}],"schema":"https://github.com/citation-style-language/schema/raw/master/csl-citation.json"} </w:instrText>
      </w:r>
      <w:r w:rsidR="00B77967" w:rsidRPr="00365CAC">
        <w:rPr>
          <w:rFonts w:ascii="Arial" w:hAnsi="Arial" w:cs="Arial"/>
          <w:sz w:val="20"/>
          <w:szCs w:val="20"/>
          <w:lang w:val="en-US"/>
        </w:rPr>
        <w:fldChar w:fldCharType="separate"/>
      </w:r>
      <w:r w:rsidR="00B77967" w:rsidRPr="00365CAC">
        <w:rPr>
          <w:rFonts w:ascii="Arial" w:hAnsi="Arial" w:cs="Arial"/>
          <w:sz w:val="20"/>
          <w:szCs w:val="20"/>
          <w:lang w:val="en-US"/>
        </w:rPr>
        <w:t>(Borelli et al., 2020)</w:t>
      </w:r>
      <w:r w:rsidR="00B77967" w:rsidRPr="00365CAC">
        <w:rPr>
          <w:rFonts w:ascii="Arial" w:hAnsi="Arial" w:cs="Arial"/>
          <w:sz w:val="20"/>
          <w:szCs w:val="20"/>
          <w:lang w:val="en-US"/>
        </w:rPr>
        <w:fldChar w:fldCharType="end"/>
      </w:r>
      <w:r w:rsidRPr="00365CAC">
        <w:rPr>
          <w:rFonts w:ascii="Arial" w:hAnsi="Arial" w:cs="Arial"/>
          <w:sz w:val="20"/>
          <w:szCs w:val="20"/>
          <w:lang w:val="en-US"/>
        </w:rPr>
        <w:t>. This widespread interest in this multifaceted plant can be attributed to the variety of products derived from it, as well as the ease with which it can be cultivated</w:t>
      </w:r>
      <w:r w:rsidR="004A328B" w:rsidRPr="00365CAC">
        <w:rPr>
          <w:rFonts w:ascii="Arial" w:hAnsi="Arial" w:cs="Arial"/>
          <w:sz w:val="20"/>
          <w:szCs w:val="20"/>
          <w:lang w:val="en-US"/>
        </w:rPr>
        <w:t xml:space="preserve"> </w:t>
      </w:r>
      <w:r w:rsidR="00B63C41" w:rsidRPr="00365CAC">
        <w:rPr>
          <w:rFonts w:ascii="Arial" w:hAnsi="Arial" w:cs="Arial"/>
          <w:sz w:val="20"/>
          <w:szCs w:val="20"/>
          <w:lang w:val="en-US"/>
        </w:rPr>
        <w:fldChar w:fldCharType="begin"/>
      </w:r>
      <w:r w:rsidR="00D67095" w:rsidRPr="00365CAC">
        <w:rPr>
          <w:rFonts w:ascii="Arial" w:hAnsi="Arial" w:cs="Arial"/>
          <w:sz w:val="20"/>
          <w:szCs w:val="20"/>
          <w:lang w:val="en-US"/>
        </w:rPr>
        <w:instrText xml:space="preserve"> ADDIN ZOTERO_ITEM CSL_CITATION {"citationID":"cysYAoKW","properties":{"unsorted":false,"formattedCitation":"(Chaachouay &amp; Zidane, 2024)","plainCitation":"(Chaachouay &amp; Zidane, 2024)","dontUpdate":true,"noteIndex":0},"citationItems":[{"id":403,"uris":["http://zotero.org/users/local/c6S0FUmy/items/KG667I88"],"itemData":{"id":403,"type":"webpage","title":"Produits naturels d'origine végétale : une source pour la découverte et le développement de médicaments","URL":"https://www.mdpi.com/2813-2998/3/1/11","author":[{"family":"Chaachouay","given":"Noureddine"},{"family":"Zidane","given":"Lahcen"}],"accessed":{"date-parts":[["2026",5,22]]},"issued":{"date-parts":[["2024"]]}}}],"schema":"https://github.com/citation-style-language/schema/raw/master/csl-citation.json"} </w:instrText>
      </w:r>
      <w:r w:rsidR="00B63C41" w:rsidRPr="00365CAC">
        <w:rPr>
          <w:rFonts w:ascii="Arial" w:hAnsi="Arial" w:cs="Arial"/>
          <w:sz w:val="20"/>
          <w:szCs w:val="20"/>
          <w:lang w:val="en-US"/>
        </w:rPr>
        <w:fldChar w:fldCharType="separate"/>
      </w:r>
      <w:r w:rsidR="00B63C41" w:rsidRPr="00365CAC">
        <w:rPr>
          <w:rFonts w:ascii="Arial" w:hAnsi="Arial" w:cs="Arial"/>
          <w:sz w:val="20"/>
          <w:szCs w:val="20"/>
          <w:lang w:val="en-US"/>
        </w:rPr>
        <w:t>(Chaachouay et al , 2024)</w:t>
      </w:r>
      <w:r w:rsidR="00B63C41" w:rsidRPr="00365CAC">
        <w:rPr>
          <w:rFonts w:ascii="Arial" w:hAnsi="Arial" w:cs="Arial"/>
          <w:sz w:val="20"/>
          <w:szCs w:val="20"/>
          <w:lang w:val="en-US"/>
        </w:rPr>
        <w:fldChar w:fldCharType="end"/>
      </w:r>
      <w:r w:rsidRPr="00365CAC">
        <w:rPr>
          <w:rFonts w:ascii="Arial" w:hAnsi="Arial" w:cs="Arial"/>
          <w:sz w:val="20"/>
          <w:szCs w:val="20"/>
          <w:lang w:val="en-US"/>
        </w:rPr>
        <w:t>. Beyond its many practical applications, this plant is also regarded as an ornamental species—a fact that explains its cultivation in local gardens</w:t>
      </w:r>
      <w:r w:rsidR="00B63C41" w:rsidRPr="00365CAC">
        <w:rPr>
          <w:rFonts w:ascii="Arial" w:hAnsi="Arial" w:cs="Arial"/>
          <w:sz w:val="20"/>
          <w:szCs w:val="20"/>
          <w:lang w:val="en-US"/>
        </w:rPr>
        <w:fldChar w:fldCharType="begin"/>
      </w:r>
      <w:r w:rsidR="00B63C41" w:rsidRPr="00365CAC">
        <w:rPr>
          <w:rFonts w:ascii="Arial" w:hAnsi="Arial" w:cs="Arial"/>
          <w:sz w:val="20"/>
          <w:szCs w:val="20"/>
          <w:lang w:val="en-US"/>
        </w:rPr>
        <w:instrText xml:space="preserve"> ADDIN ZOTERO_ITEM CSL_CITATION {"citationID":"0sP3r7jV","properties":{"unsorted":false,"formattedCitation":"(Francini et al., 2022)","plainCitation":"(Francini et al., 2022)","noteIndex":0},"citationItems":[{"id":407,"uris":["http://zotero.org/users/local/c6S0FUmy/items/LMAH2FS9"],"itemData":{"id":407,"type":"article-journal","abstract":"Urban areas can be differently anthropized; often, high-density populations lead to higher amounts of pollution. Nowadays, ornamental plants can represent important living components of urban areas, and if appropriate species are used, they can provide important ecosystem services. The relationships between green infrastructures and ecosystem services have been recognized for a long time, but the role of ornamental plant species has not been studied as much. In this frame, the different ecosystem services of ornamental plants, i.e., provisioning (e.g., food, air, and water cleaning), regulating (e.g., rain water, climate, nutrient recycling, pollination, and the formation of fertile soils), and cultural (e.g., recreation opportunities or the inspiration we draw from nature) will be critically analyzed to select the most suitable ornamental plant species able to assure the better performance. The action mechanisms will also be analyzed and discussed to individuate the best ideotypes of plant species able to better assure water purification, air quality, space for recreation, climate mitigation and adaptation, human wellbeing, and health. This information is suitable to ensure that the protection, restoration, creation, and enhancement of green infrastructure become integral parts of urban spatial planning and territorial development.","container-title":"Earth","DOI":"10.3390/earth3040071","ISSN":"2673-4834","issue":"4","language":"en","license":"http://creativecommons.org/licenses/by/3.0/","page":"1258-1274","publisher":"Multidisciplinary Digital Publishing Institute","source":"www.mdpi.com","title":"The Contribution of Ornamental Plants to Urban Ecosystem Services","volume":"3","author":[{"family":"Francini","given":"Alessandra"},{"family":"Romano","given":"Daniela"},{"family":"Toscano","given":"Stefania"},{"family":"Ferrante","given":"Antonio"}],"issued":{"date-parts":[["2022",12]]}}}],"schema":"https://github.com/citation-style-language/schema/raw/master/csl-citation.json"} </w:instrText>
      </w:r>
      <w:r w:rsidR="00B63C41" w:rsidRPr="00365CAC">
        <w:rPr>
          <w:rFonts w:ascii="Arial" w:hAnsi="Arial" w:cs="Arial"/>
          <w:sz w:val="20"/>
          <w:szCs w:val="20"/>
          <w:lang w:val="en-US"/>
        </w:rPr>
        <w:fldChar w:fldCharType="separate"/>
      </w:r>
      <w:r w:rsidR="00B63C41" w:rsidRPr="00365CAC">
        <w:rPr>
          <w:rFonts w:ascii="Arial" w:hAnsi="Arial" w:cs="Arial"/>
          <w:sz w:val="20"/>
          <w:szCs w:val="20"/>
          <w:lang w:val="en-US"/>
        </w:rPr>
        <w:t>(Francini et al., 2022)</w:t>
      </w:r>
      <w:r w:rsidR="00B63C41" w:rsidRPr="00365CAC">
        <w:rPr>
          <w:rFonts w:ascii="Arial" w:hAnsi="Arial" w:cs="Arial"/>
          <w:sz w:val="20"/>
          <w:szCs w:val="20"/>
          <w:lang w:val="en-US"/>
        </w:rPr>
        <w:fldChar w:fldCharType="end"/>
      </w:r>
      <w:r w:rsidRPr="00365CAC">
        <w:rPr>
          <w:rFonts w:ascii="Arial" w:hAnsi="Arial" w:cs="Arial"/>
          <w:sz w:val="20"/>
          <w:szCs w:val="20"/>
          <w:lang w:val="en-US"/>
        </w:rPr>
        <w:t>.</w:t>
      </w:r>
      <w:r w:rsidRPr="00365CAC">
        <w:rPr>
          <w:rFonts w:ascii="Arial" w:hAnsi="Arial" w:cs="Arial"/>
          <w:i/>
          <w:iCs/>
          <w:sz w:val="20"/>
          <w:szCs w:val="20"/>
          <w:lang w:val="en-US"/>
        </w:rPr>
        <w:t xml:space="preserve"> </w:t>
      </w:r>
      <w:r w:rsidR="009926E6" w:rsidRPr="00365CAC">
        <w:rPr>
          <w:rFonts w:ascii="Arial" w:hAnsi="Arial" w:cs="Arial"/>
          <w:i/>
          <w:iCs/>
          <w:sz w:val="20"/>
          <w:szCs w:val="20"/>
          <w:lang w:val="en-US"/>
        </w:rPr>
        <w:t>Hibiscus cannabinus</w:t>
      </w:r>
      <w:r w:rsidR="009926E6" w:rsidRPr="00365CAC">
        <w:rPr>
          <w:rFonts w:ascii="Arial" w:hAnsi="Arial" w:cs="Arial"/>
          <w:sz w:val="20"/>
          <w:szCs w:val="20"/>
          <w:lang w:val="en-US"/>
        </w:rPr>
        <w:t xml:space="preserve"> is an industrial plant whose seeds are rich in nitrogenous matter (21.4%), oil (20.4%), and potassium ash (6%) </w:t>
      </w:r>
      <w:r w:rsidR="006E781B" w:rsidRPr="00365CAC">
        <w:rPr>
          <w:rFonts w:ascii="Arial" w:hAnsi="Arial" w:cs="Arial"/>
          <w:sz w:val="20"/>
          <w:szCs w:val="20"/>
          <w:lang w:val="en-US"/>
        </w:rPr>
        <w:fldChar w:fldCharType="begin"/>
      </w:r>
      <w:r w:rsidR="00BC4841" w:rsidRPr="00365CAC">
        <w:rPr>
          <w:rFonts w:ascii="Arial" w:hAnsi="Arial" w:cs="Arial"/>
          <w:sz w:val="20"/>
          <w:szCs w:val="20"/>
          <w:lang w:val="en-US"/>
        </w:rPr>
        <w:instrText xml:space="preserve"> ADDIN ZOTERO_ITEM CSL_CITATION {"citationID":"gW6zSFZr","properties":{"unsorted":false,"formattedCitation":"(Shikha et al., 2023a)","plainCitation":"(Shikha et al., 2023a)","noteIndex":0},"citationItems":[{"id":379,"uris":["http://zotero.org/users/local/c6S0FUmy/items/6JIUVIJN"],"itemData":{"id":379,"type":"chapter","abstract":"Hibiscus cannabinus (kenaf) is part of the family Malcaveae, a tall yearly herbaceous woody plant with high fiber, energy, and feedstock. Traditionally used as an herbal medicine, as flavouring agent in food industries and in various herbal drinks. Consumers generally show keen interest in natural plant-based food products having health properties. Kenaf and its parts particularly seeds are the rich source of vital nutrients and outstanding source for value added plant-based foods. Along with this, it is also good source of phytocompounds, antioxidant vitamins and amino acids, which are accountable for its antioxidant properties and pharmacological merits. The plant exhibits anti-oxidant, anti-microbial, anti-diabetic, hepatoprotective, antihypertensive, anti-cholesterol, and other therapeutic properties. Possessing high nutritional content and an important source of natural antioxidants, Hibiscus cannabinus can be utilized as a nutraceutical source and also as functional foods. The fibers of kenaf are not only used for pulping and cordage of paper but also are a promising bio-energy lingo-cellulosic feedstock. Oil from its seeds might be utilized for cooking and various industrial uses. The current chapter delves into history, present production trends, botany and nutritional profile Hibiscus cannabinus . The bioactive profile and health benefits interests of Hibiscus cannabinus will also be highlighted on the conditions with the researches in support with the systematic scientific approaches. The chapter concludes with a discussion of kenaf 's potential industrial applications. The industries and scientists can utilize this natural plant source as value added food source which might be of great significance for industries as well as human kind.","container-title":"Harvesting Food from Weeds","DOI":"10.1002/9781119793007.ch8","ISBN":"978-1-119-79300-7","language":"en","license":"© 2023 Scrivener Publishing LLC","note":"section: 8\n_eprint: https://onlinelibrary.wiley.com/doi/pdf/10.1002/9781119793007.ch8\nDOI: 10.1002/9781119793007.ch8","page":"267-326","publisher":"John Wiley &amp; Sons, Ltd","source":"Wiley Online Library","title":"Hibiscus cannabinus","URL":"https://onlinelibrary.wiley.com/doi/abs/10.1002/9781119793007.ch8","author":[{"family":"Shikha","given":"Deep"},{"family":"Kashyap","given":"Piyush"},{"family":"Thakur","given":"Abhimanyu"},{"family":"Sharma","given":"Madhusudan"}],"accessed":{"date-parts":[["2026",5,18]]},"issued":{"date-parts":[["2023"]]}}}],"schema":"https://github.com/citation-style-language/schema/raw/master/csl-citation.json"} </w:instrText>
      </w:r>
      <w:r w:rsidR="006E781B" w:rsidRPr="00365CAC">
        <w:rPr>
          <w:rFonts w:ascii="Arial" w:hAnsi="Arial" w:cs="Arial"/>
          <w:sz w:val="20"/>
          <w:szCs w:val="20"/>
          <w:lang w:val="en-US"/>
        </w:rPr>
        <w:fldChar w:fldCharType="separate"/>
      </w:r>
      <w:r w:rsidR="00BC4841" w:rsidRPr="00365CAC">
        <w:rPr>
          <w:rFonts w:ascii="Arial" w:hAnsi="Arial" w:cs="Arial"/>
          <w:sz w:val="20"/>
          <w:szCs w:val="20"/>
          <w:lang w:val="en-US"/>
        </w:rPr>
        <w:t>(Shikha et al., 2023a)</w:t>
      </w:r>
      <w:r w:rsidR="006E781B" w:rsidRPr="00365CAC">
        <w:rPr>
          <w:rFonts w:ascii="Arial" w:hAnsi="Arial" w:cs="Arial"/>
          <w:sz w:val="20"/>
          <w:szCs w:val="20"/>
          <w:lang w:val="en-US"/>
        </w:rPr>
        <w:fldChar w:fldCharType="end"/>
      </w:r>
      <w:r w:rsidR="009926E6" w:rsidRPr="00365CAC">
        <w:rPr>
          <w:rFonts w:ascii="Arial" w:hAnsi="Arial" w:cs="Arial"/>
          <w:sz w:val="20"/>
          <w:szCs w:val="20"/>
          <w:lang w:val="en-US"/>
        </w:rPr>
        <w:t>. According to</w:t>
      </w:r>
      <w:r w:rsidR="00845CAA" w:rsidRPr="00365CAC">
        <w:rPr>
          <w:rFonts w:ascii="Arial" w:hAnsi="Arial" w:cs="Arial"/>
          <w:sz w:val="20"/>
          <w:szCs w:val="20"/>
          <w:lang w:val="en-US"/>
        </w:rPr>
        <w:t xml:space="preserve"> Shen</w:t>
      </w:r>
      <w:r w:rsidR="009926E6" w:rsidRPr="00365CAC">
        <w:rPr>
          <w:rFonts w:ascii="Arial" w:hAnsi="Arial" w:cs="Arial"/>
          <w:sz w:val="20"/>
          <w:szCs w:val="20"/>
          <w:lang w:val="en-US"/>
        </w:rPr>
        <w:t xml:space="preserve"> </w:t>
      </w:r>
      <w:r w:rsidR="00845CAA" w:rsidRPr="00365CAC">
        <w:rPr>
          <w:rFonts w:ascii="Arial" w:hAnsi="Arial" w:cs="Arial"/>
          <w:sz w:val="20"/>
          <w:szCs w:val="20"/>
          <w:lang w:val="en-US"/>
        </w:rPr>
        <w:fldChar w:fldCharType="begin"/>
      </w:r>
      <w:r w:rsidR="00845CAA" w:rsidRPr="00365CAC">
        <w:rPr>
          <w:rFonts w:ascii="Arial" w:hAnsi="Arial" w:cs="Arial"/>
          <w:sz w:val="20"/>
          <w:szCs w:val="20"/>
          <w:lang w:val="en-US"/>
        </w:rPr>
        <w:instrText xml:space="preserve"> ADDIN ZOTERO_ITEM CSL_CITATION {"citationID":"pEqsNPD4","properties":{"unsorted":false,"formattedCitation":"(2022)","plainCitation":"(2022)","noteIndex":0},"citationItems":[{"id":383,"uris":["http://zotero.org/users/local/c6S0FUmy/items/6KFQ62ME"],"itemData":{"id":383,"type":"article-journal","abstract":"Chenopodium quinoa Willd. is recognized to be an excellent nutrient with high nutritional content. However, few genotypes of quinoa were analyzed, so we found a knowledge gap in the comparison of quinoa seeds of different genotypes. This study aims to compare the physicochemical, antioxidant, and anticancer properties of seed oil from three C. quinoa genotypes. Seeds of three genotypes (white, red, and black) were extracted with hexane and compared in this study. The oil yields of these quinoa seeds were 5.68–6.19% which contained predominantly polyunsaturated fatty acids (82.78–85.52%). The total tocopherol content ranged from 117.29 to 156.67 mg/kg and mainly consisted of γ-tocopherol. Total phytosterols in the three oils ranged from 9.4 to 12.2 g/kg. Black quinoa seed oil had the highest phytosterols followed by red and white quinoas. The chemical profile of quinoa seed oils paralleled by their antioxidant and anticancer activities in vitro was positively correlated with the seed coat color. Black quinoa seed oil had the best antioxidant and anti-proliferation effect on HCT 116 cells by the induction of apoptosis in a dose-dependent manner, which may play more significant roles in the chemoprevention of cancer and other diseases related to oxidative stress as a source of functional foods.","container-title":"Molecules","DOI":"10.3390/molecules27082453","ISSN":"1420-3049","issue":"8","language":"en","license":"http://creativecommons.org/licenses/by/3.0/","page":"2453","publisher":"Multidisciplinary Digital Publishing Institute","source":"www.mdpi.com","title":"Physicochemical, Antioxidant and Anticancer Characteristics of Seed Oil from Three Chenopodium quinoa Genotypes","volume":"27","author":[{"family":"Shen","given":"Yingbin"},{"family":"Zheng","given":"Liyou"},{"family":"Peng","given":"Yao"},{"family":"Zhu","given":"Xucheng"},{"family":"Liu","given":"Fu"},{"family":"Yang","given":"Xinquan"},{"family":"Li","given":"Haimei"}],"issued":{"date-parts":[["2022",1]]}},"suppress-author":true}],"schema":"https://github.com/citation-style-language/schema/raw/master/csl-citation.json"} </w:instrText>
      </w:r>
      <w:r w:rsidR="00845CAA" w:rsidRPr="00365CAC">
        <w:rPr>
          <w:rFonts w:ascii="Arial" w:hAnsi="Arial" w:cs="Arial"/>
          <w:sz w:val="20"/>
          <w:szCs w:val="20"/>
          <w:lang w:val="en-US"/>
        </w:rPr>
        <w:fldChar w:fldCharType="separate"/>
      </w:r>
      <w:r w:rsidR="00845CAA" w:rsidRPr="00365CAC">
        <w:rPr>
          <w:rFonts w:ascii="Arial" w:hAnsi="Arial" w:cs="Arial"/>
          <w:sz w:val="20"/>
          <w:szCs w:val="20"/>
          <w:lang w:val="en-US"/>
        </w:rPr>
        <w:t>(2022)</w:t>
      </w:r>
      <w:r w:rsidR="00845CAA" w:rsidRPr="00365CAC">
        <w:rPr>
          <w:rFonts w:ascii="Arial" w:hAnsi="Arial" w:cs="Arial"/>
          <w:sz w:val="20"/>
          <w:szCs w:val="20"/>
          <w:lang w:val="en-US"/>
        </w:rPr>
        <w:fldChar w:fldCharType="end"/>
      </w:r>
      <w:r w:rsidR="009926E6" w:rsidRPr="00365CAC">
        <w:rPr>
          <w:rFonts w:ascii="Arial" w:hAnsi="Arial" w:cs="Arial"/>
          <w:sz w:val="20"/>
          <w:szCs w:val="20"/>
          <w:lang w:val="en-US"/>
        </w:rPr>
        <w:t xml:space="preserve">, the oil has anticarcinogenic properties. According to </w:t>
      </w:r>
      <w:r w:rsidR="00173CFF" w:rsidRPr="00365CAC">
        <w:rPr>
          <w:rFonts w:ascii="Arial" w:hAnsi="Arial" w:cs="Arial"/>
          <w:sz w:val="20"/>
          <w:szCs w:val="20"/>
          <w:lang w:val="en-US"/>
        </w:rPr>
        <w:t xml:space="preserve">Latifah </w:t>
      </w:r>
      <w:r w:rsidR="00173CFF" w:rsidRPr="00365CAC">
        <w:rPr>
          <w:rFonts w:ascii="Arial" w:hAnsi="Arial" w:cs="Arial"/>
          <w:sz w:val="20"/>
          <w:szCs w:val="20"/>
          <w:lang w:val="en-US"/>
        </w:rPr>
        <w:fldChar w:fldCharType="begin"/>
      </w:r>
      <w:r w:rsidR="00B77967" w:rsidRPr="00365CAC">
        <w:rPr>
          <w:rFonts w:ascii="Arial" w:hAnsi="Arial" w:cs="Arial"/>
          <w:sz w:val="20"/>
          <w:szCs w:val="20"/>
          <w:lang w:val="en-US"/>
        </w:rPr>
        <w:instrText xml:space="preserve"> ADDIN ZOTERO_ITEM CSL_CITATION {"citationID":"Cg7cyXln","properties":{"unsorted":false,"formattedCitation":"(s.\\uc0\\u160{}d.)","plainCitation":"(s. d.)","dontUpdate":true,"noteIndex":0},"citationItems":[{"id":385,"uris":["http://zotero.org/users/local/c6S0FUmy/items/WIW6SKI4"],"itemData":{"id":385,"type":"webpage","title":"(PDF) Effect of kenaf seed oil from different ways of extraction towards ovarian cancer cells","URL":"https://www.researchgate.net/publication/228058186_Effect_of_kenaf_seed_oil_from_different_ways_of_extraction_towards_ovarian_cancer_cells","accessed":{"date-parts":[["2026",5,18]]}},"suppress-author":true}],"schema":"https://github.com/citation-style-language/schema/raw/master/csl-citation.json"} </w:instrText>
      </w:r>
      <w:r w:rsidR="00173CFF" w:rsidRPr="00365CAC">
        <w:rPr>
          <w:rFonts w:ascii="Arial" w:hAnsi="Arial" w:cs="Arial"/>
          <w:sz w:val="20"/>
          <w:szCs w:val="20"/>
          <w:lang w:val="en-US"/>
        </w:rPr>
        <w:fldChar w:fldCharType="separate"/>
      </w:r>
      <w:r w:rsidR="00173CFF" w:rsidRPr="00365CAC">
        <w:rPr>
          <w:rFonts w:ascii="Arial" w:hAnsi="Arial" w:cs="Arial"/>
          <w:kern w:val="0"/>
          <w:sz w:val="20"/>
          <w:szCs w:val="20"/>
          <w:lang w:val="en-US"/>
        </w:rPr>
        <w:t>(2011.)</w:t>
      </w:r>
      <w:r w:rsidR="00173CFF" w:rsidRPr="00365CAC">
        <w:rPr>
          <w:rFonts w:ascii="Arial" w:hAnsi="Arial" w:cs="Arial"/>
          <w:sz w:val="20"/>
          <w:szCs w:val="20"/>
          <w:lang w:val="en-US"/>
        </w:rPr>
        <w:fldChar w:fldCharType="end"/>
      </w:r>
      <w:r w:rsidR="009926E6" w:rsidRPr="00365CAC">
        <w:rPr>
          <w:rFonts w:ascii="Arial" w:hAnsi="Arial" w:cs="Arial"/>
          <w:sz w:val="20"/>
          <w:szCs w:val="20"/>
          <w:lang w:val="en-US"/>
        </w:rPr>
        <w:t xml:space="preserve">, it is cytotoxic to ovarian cancer cells. The oil has phytotoxic, fungitoxic, and antioxidant properties. Due to it high content of unsaturated fatty acids and low phenolic pigment content, it is an essential source for health (cholesterol reduction) and growth </w:t>
      </w:r>
      <w:r w:rsidR="00173CFF" w:rsidRPr="00365CAC">
        <w:rPr>
          <w:rFonts w:ascii="Arial" w:hAnsi="Arial" w:cs="Arial"/>
          <w:sz w:val="20"/>
          <w:szCs w:val="20"/>
          <w:lang w:val="en-US"/>
        </w:rPr>
        <w:fldChar w:fldCharType="begin"/>
      </w:r>
      <w:r w:rsidR="00173CFF" w:rsidRPr="00365CAC">
        <w:rPr>
          <w:rFonts w:ascii="Arial" w:hAnsi="Arial" w:cs="Arial"/>
          <w:sz w:val="20"/>
          <w:szCs w:val="20"/>
          <w:lang w:val="en-US"/>
        </w:rPr>
        <w:instrText xml:space="preserve"> ADDIN ZOTERO_ITEM CSL_CITATION {"citationID":"RllrlXPq","properties":{"unsorted":false,"formattedCitation":"(Rudzi\\uc0\\u324{}ska et al., 2023)","plainCitation":"(Rudzińska et al., 2023)","noteIndex":0},"citationItems":[{"id":387,"uris":["http://zotero.org/users/local/c6S0FUmy/items/LMA2ZHJF"],"itemData":{"id":387,"type":"article-journal","abstract":"Phytochemicals are a non-nutritive substances that are present in plants and contribute significantly to their flavor and color. These biologically active compounds are classified into five major groups, namely phenolics, carotenoids, organosulfur compounds, nitrogen-containing compounds, and alkaloids, and are known for their potential health benefits in the prevention of various diseases, including cancer. The purpose of this review article is to explore the potential therapeutic benefits of the dietary phytochemicals, such as flavonoids, phenolic acids, phytosterols, carotenoids, and stilbenes, in cancer treatment and prevention based on the epidemiological studies and clinical trials. Although the majority of epidemiological studies report a significant advantage of the heightened phytochemical consumption and increased serum levels of these compounds, linking increased exposure with a lower cancer risk across most cancer types, these effects could not be replicated in the most available clinical trials. In fact, many of these trials were withdrawn early due to a lack of evidence and/or risk of harm. Despite the strong anticancer effect of phytochemicals, as well as their proven efficacy in multiple epidemiological studies, there is still a great need for human studies and clinical trials, with great caution regarding the safety measures. This review article provides an overview of the epidemiological and clinical evidence supporting the potential chemopreventive and anticancer properties of phytochemicals, with a focus on the need for further research in this area.","container-title":"Nutrients","DOI":"10.3390/nu15081896","ISSN":"2072-6643","issue":"8","journalAbbreviation":"Nutrients","page":"1896","PMID":"37111115","PMCID":"PMC10144429","source":"PubMed Central","title":"Phytochemicals in Cancer Treatment and Cancer Prevention—Review on Epidemiological Data and Clinical Trials","volume":"15","author":[{"family":"Rudzińska","given":"Anna"},{"family":"Juchaniuk","given":"Pola"},{"family":"Oberda","given":"Jakub"},{"family":"Wiśniewska","given":"Jolanta"},{"family":"Wojdan","given":"Witold"},{"family":"Szklener","given":"Katarzyna"},{"family":"Mańdziuk","given":"Sławomir"}],"issued":{"date-parts":[["2023",4,14]]}}}],"schema":"https://github.com/citation-style-language/schema/raw/master/csl-citation.json"} </w:instrText>
      </w:r>
      <w:r w:rsidR="00173CFF" w:rsidRPr="00365CAC">
        <w:rPr>
          <w:rFonts w:ascii="Arial" w:hAnsi="Arial" w:cs="Arial"/>
          <w:sz w:val="20"/>
          <w:szCs w:val="20"/>
          <w:lang w:val="en-US"/>
        </w:rPr>
        <w:fldChar w:fldCharType="separate"/>
      </w:r>
      <w:r w:rsidR="00173CFF" w:rsidRPr="00365CAC">
        <w:rPr>
          <w:rFonts w:ascii="Arial" w:hAnsi="Arial" w:cs="Arial"/>
          <w:kern w:val="0"/>
          <w:sz w:val="20"/>
          <w:szCs w:val="20"/>
          <w:lang w:val="en-US"/>
        </w:rPr>
        <w:t>(Rudzińska et al., 2023)</w:t>
      </w:r>
      <w:r w:rsidR="00173CFF" w:rsidRPr="00365CAC">
        <w:rPr>
          <w:rFonts w:ascii="Arial" w:hAnsi="Arial" w:cs="Arial"/>
          <w:sz w:val="20"/>
          <w:szCs w:val="20"/>
          <w:lang w:val="en-US"/>
        </w:rPr>
        <w:fldChar w:fldCharType="end"/>
      </w:r>
      <w:r w:rsidR="009926E6" w:rsidRPr="00365CAC">
        <w:rPr>
          <w:rFonts w:ascii="Arial" w:hAnsi="Arial" w:cs="Arial"/>
          <w:sz w:val="20"/>
          <w:szCs w:val="20"/>
          <w:lang w:val="en-US"/>
        </w:rPr>
        <w:t>.</w:t>
      </w:r>
      <w:r w:rsidR="009926E6" w:rsidRPr="00365CAC">
        <w:rPr>
          <w:rFonts w:ascii="Arial" w:eastAsia="Times New Roman" w:hAnsi="Arial" w:cs="Arial"/>
          <w:kern w:val="0"/>
          <w:sz w:val="20"/>
          <w:szCs w:val="20"/>
          <w:lang w:val="en-US" w:eastAsia="fr-FR"/>
          <w14:ligatures w14:val="none"/>
        </w:rPr>
        <w:t xml:space="preserve"> </w:t>
      </w:r>
      <w:r w:rsidR="009926E6" w:rsidRPr="00365CAC">
        <w:rPr>
          <w:rFonts w:ascii="Arial" w:hAnsi="Arial" w:cs="Arial"/>
          <w:sz w:val="20"/>
          <w:szCs w:val="20"/>
          <w:lang w:val="en-US"/>
        </w:rPr>
        <w:t>All of the essential nutrients and micronutrients contained in this plant make it critically important in the fight against childhood malnutrition and nutritional deficiencies</w:t>
      </w:r>
      <w:r w:rsidR="00334307" w:rsidRPr="00365CAC">
        <w:rPr>
          <w:rFonts w:ascii="Arial" w:hAnsi="Arial" w:cs="Arial"/>
          <w:sz w:val="20"/>
          <w:szCs w:val="20"/>
          <w:lang w:val="en-US"/>
        </w:rPr>
        <w:t xml:space="preserve"> </w:t>
      </w:r>
      <w:r w:rsidR="000C7D70" w:rsidRPr="00365CAC">
        <w:rPr>
          <w:rFonts w:ascii="Arial" w:hAnsi="Arial" w:cs="Arial"/>
          <w:sz w:val="20"/>
          <w:szCs w:val="20"/>
          <w:lang w:val="en-US"/>
        </w:rPr>
        <w:fldChar w:fldCharType="begin"/>
      </w:r>
      <w:r w:rsidR="000C7D70" w:rsidRPr="00365CAC">
        <w:rPr>
          <w:rFonts w:ascii="Arial" w:hAnsi="Arial" w:cs="Arial"/>
          <w:sz w:val="20"/>
          <w:szCs w:val="20"/>
          <w:lang w:val="en-US"/>
        </w:rPr>
        <w:instrText xml:space="preserve"> ADDIN ZOTERO_ITEM CSL_CITATION {"citationID":"LHYKKVaP","properties":{"unsorted":false,"formattedCitation":"(Wakeel et al., 2018)","plainCitation":"(Wakeel et al., 2018)","noteIndex":0},"citationItems":[{"id":349,"uris":["http://zotero.org/users/local/c6S0FUmy/items/GX92GBJY"],"itemData":{"id":349,"type":"chapter","abstract":"Micronutrients malnutrition is of great public health importance in several parts of the world, especially the developing and underdeveloped countries…","container-title":"Plant Micronutrient Use Efficiency","DOI":"10.1016/B978-0-12-812104-7.00017-4","language":"fr","note":"DOI: 10.1016/B978-0-12-812104-7.00017-4","page":"225-243","publisher":"Academic Press","source":"www.sciencedirect.com","title":"Micronutrient Malnutrition and Biofortification: Recent Advances and Future Perspectives","title-short":"Micronutrient Malnutrition and Biofortification","URL":"https://www.sciencedirect.com/science/chapter/edited-volume/abs/pii/B9780128121047000174","author":[{"family":"Wakeel","given":"Abdul"},{"family":"Farooq","given":"Muhammad"},{"family":"Bashir","given":"Khurram"},{"family":"Ozturk","given":"Levent"}],"accessed":{"date-parts":[["2026",5,18]]},"issued":{"date-parts":[["2018"]]}}}],"schema":"https://github.com/citation-style-language/schema/raw/master/csl-citation.json"} </w:instrText>
      </w:r>
      <w:r w:rsidR="000C7D70" w:rsidRPr="00365CAC">
        <w:rPr>
          <w:rFonts w:ascii="Arial" w:hAnsi="Arial" w:cs="Arial"/>
          <w:sz w:val="20"/>
          <w:szCs w:val="20"/>
          <w:lang w:val="en-US"/>
        </w:rPr>
        <w:fldChar w:fldCharType="separate"/>
      </w:r>
      <w:r w:rsidR="000C7D70" w:rsidRPr="00365CAC">
        <w:rPr>
          <w:rFonts w:ascii="Arial" w:hAnsi="Arial" w:cs="Arial"/>
          <w:sz w:val="20"/>
          <w:szCs w:val="20"/>
          <w:lang w:val="en-US"/>
        </w:rPr>
        <w:t>(Wakeel et al., 2018)</w:t>
      </w:r>
      <w:r w:rsidR="000C7D70" w:rsidRPr="00365CAC">
        <w:rPr>
          <w:rFonts w:ascii="Arial" w:hAnsi="Arial" w:cs="Arial"/>
          <w:sz w:val="20"/>
          <w:szCs w:val="20"/>
          <w:lang w:val="en-US"/>
        </w:rPr>
        <w:fldChar w:fldCharType="end"/>
      </w:r>
      <w:r w:rsidR="009926E6" w:rsidRPr="00365CAC">
        <w:rPr>
          <w:rFonts w:ascii="Arial" w:hAnsi="Arial" w:cs="Arial"/>
          <w:sz w:val="20"/>
          <w:szCs w:val="20"/>
          <w:lang w:val="en-US"/>
        </w:rPr>
        <w:t xml:space="preserve">. Consequently, to better explore its nutritional potential, research has been conducted by researchers around the world to assess the plant’s nutritional value. For example, phytochemical studies indicate that the seeds contain an average of 23.7% oil, 21.4% nitrogenous matter, and 12.9% crude fiber </w:t>
      </w:r>
      <w:r w:rsidR="00163439" w:rsidRPr="00365CAC">
        <w:rPr>
          <w:rFonts w:ascii="Arial" w:hAnsi="Arial" w:cs="Arial"/>
          <w:sz w:val="20"/>
          <w:szCs w:val="20"/>
          <w:lang w:val="en-US"/>
        </w:rPr>
        <w:fldChar w:fldCharType="begin"/>
      </w:r>
      <w:r w:rsidR="00163439" w:rsidRPr="00365CAC">
        <w:rPr>
          <w:rFonts w:ascii="Arial" w:hAnsi="Arial" w:cs="Arial"/>
          <w:sz w:val="20"/>
          <w:szCs w:val="20"/>
          <w:lang w:val="en-US"/>
        </w:rPr>
        <w:instrText xml:space="preserve"> ADDIN ZOTERO_ITEM CSL_CITATION {"citationID":"btMxmaWk","properties":{"unsorted":false,"formattedCitation":"(Ojelere, 2016)","plainCitation":"(Ojelere, 2016)","noteIndex":0},"citationItems":[{"id":351,"uris":["http://zotero.org/users/local/c6S0FUmy/items/JISJ4EUR"],"itemData":{"id":351,"type":"book","abstract":"The present study was conducted to evaluate the phytochemicals, proximate, mineral element composition and antimicrobial activity of ten different medicinal plant seeds. The medicinal plants investigated were Canna bidentata, Ceasalpinia bunduc, Cola millenii, Hunteria umbellata, Hydrocotyle asiata, Megaphrynium macrostarchyum, Perinari excelsa, Rauwolfia vomitoria, Solanum dasyphyllum, and Sphenocentrum jollyanum. The micro-organisms used for the antimicrobial assay were seven clinical pathogens, four bacteria: Bacillus subtilis, Staphylococcus aureus, Escherichia coli, Pseudomonas aeruginosa, and three fungi: Aspergillus niger, Penicillium notatum, and Candida albican using agar well diffusion method. In proximate analysis, moisture, ash, crude protein, crude fat, crude fibre, nitrogen-free extract and energy values were determined. And for minerals analysis, potassium and sodium were determined using Flame Photometer, while calcium, magnesium, iron, manganese and zinc were determined using Atomic Absorption Spectrophotometer. The result of the phytochemical screening showed that all the selected plant seeds contained alkaloids and saponin, except in Megaphrynium macrostarchyum, and phenolic group is present in Perinari excelsa only. Proximate analysis result revealed that the moisture content of the samples ranged between 12.51-26.7%, crude protein 8.65-48.09%, crude fibre 2.69-12.66%, crude fat 2.65-18.10%, ash contents 3.26-11.45% and carbohydrate 16.79-59.38%. While mineral element analysis result showed that the selected plant seeds contained low levels of potassium (2.14-8.12 mg/l), zinc (1.38-5.53 mg/l), iron (0.22-1.9 mg/l) and manganese (0.14-1.40 mg/l) and high levels of calcium (3.25-68.55 mg/l). The antimicrobial screening revealed that all the plant seeds used in this study have good antibiotics properties against various bacterial and fungi pathogens tested with maximum inhibition observed in S. jollyanum and minimum in M. macrostachyum. The result of this study showed that all the selected plant seeds contained reasonable amount of nutritional values and phytochemical constituents which suggest the application of the seeds as supplementary sources of antimicrobial agent and essential nutrients to man and livestock.","DOI":"10.13140/RG.2.1.2160.2808","source":"ResearchGate","title":"PHYTOCHEMICALS, PROXIMATE, MINERAL ELEMENT COMPOSITION AND ANTIMICROBIAL ACTIVITY OF SOME SELECTED MEDICINAL PLANT SEEDS","author":[{"family":"Ojelere","given":"Olusola"}],"issued":{"date-parts":[["2016",7,1]]}}}],"schema":"https://github.com/citation-style-language/schema/raw/master/csl-citation.json"} </w:instrText>
      </w:r>
      <w:r w:rsidR="00163439" w:rsidRPr="00365CAC">
        <w:rPr>
          <w:rFonts w:ascii="Arial" w:hAnsi="Arial" w:cs="Arial"/>
          <w:sz w:val="20"/>
          <w:szCs w:val="20"/>
          <w:lang w:val="en-US"/>
        </w:rPr>
        <w:fldChar w:fldCharType="separate"/>
      </w:r>
      <w:r w:rsidR="00163439" w:rsidRPr="00365CAC">
        <w:rPr>
          <w:rFonts w:ascii="Arial" w:hAnsi="Arial" w:cs="Arial"/>
          <w:sz w:val="20"/>
          <w:szCs w:val="20"/>
          <w:lang w:val="en-US"/>
        </w:rPr>
        <w:t>(Ojelere, 2016)</w:t>
      </w:r>
      <w:r w:rsidR="00163439" w:rsidRPr="00365CAC">
        <w:rPr>
          <w:rFonts w:ascii="Arial" w:hAnsi="Arial" w:cs="Arial"/>
          <w:sz w:val="20"/>
          <w:szCs w:val="20"/>
          <w:lang w:val="en-US"/>
        </w:rPr>
        <w:fldChar w:fldCharType="end"/>
      </w:r>
      <w:r w:rsidR="009926E6" w:rsidRPr="00365CAC">
        <w:rPr>
          <w:rFonts w:ascii="Arial" w:hAnsi="Arial" w:cs="Arial"/>
          <w:sz w:val="20"/>
          <w:szCs w:val="20"/>
          <w:lang w:val="en-US"/>
        </w:rPr>
        <w:t>. The oil extracted from the seeds has a high content of unsaturated fatty acids, which are essential for health and normal growth, as well as for lowering blood cholesterol levels. This oil contains 45.3% oleic acid, 23.4% linoleic acid, 14% palmitic acid, and 6% stearic acid</w:t>
      </w:r>
      <w:r w:rsidR="00FC4C2C" w:rsidRPr="00365CAC">
        <w:rPr>
          <w:rFonts w:ascii="Arial" w:hAnsi="Arial" w:cs="Arial"/>
          <w:sz w:val="20"/>
          <w:szCs w:val="20"/>
          <w:lang w:val="en-US"/>
        </w:rPr>
        <w:t xml:space="preserve"> </w:t>
      </w:r>
      <w:r w:rsidR="007642C8" w:rsidRPr="00365CAC">
        <w:rPr>
          <w:rFonts w:ascii="Arial" w:hAnsi="Arial" w:cs="Arial"/>
          <w:sz w:val="20"/>
          <w:szCs w:val="20"/>
        </w:rPr>
        <w:fldChar w:fldCharType="begin"/>
      </w:r>
      <w:r w:rsidR="00B77967" w:rsidRPr="00365CAC">
        <w:rPr>
          <w:rFonts w:ascii="Arial" w:hAnsi="Arial" w:cs="Arial"/>
          <w:sz w:val="20"/>
          <w:szCs w:val="20"/>
          <w:lang w:val="en-US"/>
        </w:rPr>
        <w:instrText xml:space="preserve"> ADDIN ZOTERO_ITEM CSL_CITATION {"citationID":"U6xiV6Bf","properties":{"unsorted":false,"formattedCitation":"(Ojha et al., 2024)","plainCitation":"(Ojha et al., 2024)","noteIndex":0},"citationItems":[{"id":354,"uris":["http://zotero.org/users/local/c6S0FUmy/items/KEIT59WB"],"itemData":{"id":354,"type":"article-journal","abstract":"The fatty acid (FA) compositions of thirty-nine vegetable oils and fats, including nangai nut, pili nut, shea butter, tamanu oil, baobab, sea buckthorn berry, Brazil nut, grape seed, black seed, evening primrose, passion fruit, milk thistle, sunflower, pumpkin seed, sesame, soybean, flax seed, kukui, red raspberry seed, walnut, chia seed, hemp seed, rosehip, almond, avocado, carrot seed, moringa, apricot kernel, camellia seed, macadamia, olive, marula, argan, castor, jojoba, pomegranate seed, medium-chain triglyceride (MCT) coconut, roasted coconut, canola, and mustard oil, were analyzed using gas chromatography–mass spectrometry (GC-MS). Vegetable oils and fats have different profiles in terms of their fatty acid composition, and their major constituents vary significantly. However, we categorized them into different classes based on the percentages of different fatty acids they contain. The saturated fatty acids, such as palmitic acid and stearic acid, and the unsaturated fatty acids, including oleic acid, linoleic acid, and linolenic acid, are the main categories. Among them, roasted coconut oil contained the greatest amount of saturated fatty acids followed by nangai nut (45.61%). Passion fruit oil contained the largest amount of linoleic acid (66.23%), while chia seed oil had the highest content of linolenic acid (58.25%). Oleic acid was exclusively present in camellia seed oil, constituting 78.57% of its composition. Notably, mustard oil had a significant presence of erucic acid (54.32%), while pomegranate seed oil exclusively contained punicic acid (74.77%). Jojoba oil primarily consisted of (Z)-11-eicosenoic acid (29.55%) and (Z)-docos-13-en-1-ol (27.96%). The major constituent in castor oil was ricinoleic acid (89.89%). Compared with other vegetable oils and fats, pili nut oil contained a significant amount of (E)-FA (20.62%), followed by sea buckthorn berry oil with a content of 9.60%. FA compositions from sources may be problematic in the human diet due to no labeling or the absence of essential components. Therefore, consumers must cast an eye over some essential components consumed in their dietary intake.","container-title":"Compounds","DOI":"10.3390/compounds4010003","ISSN":"2673-6918","issue":"1","language":"en","license":"http://creativecommons.org/licenses/by/3.0/","page":"37-70","publisher":"Multidisciplinary Digital Publishing Institute","source":"www.mdpi.com","title":"Chemical Compositions and Essential Fatty Acid Analysis of Selected Vegetable Oils and Fats","volume":"4","author":[{"family":"Ojha","given":"Pawan Kumar"},{"family":"Poudel","given":"Darbin Kumar"},{"family":"Rokaya","given":"Anil"},{"family":"Maharjan","given":"Salina"},{"family":"Timsina","given":"Sunita"},{"family":"Poudel","given":"Ambika"},{"family":"Satyal","given":"Rakesh"},{"family":"Satyal","given":"Prabodh"},{"family":"Setzer","given":"William N."}],"issued":{"date-parts":[["2024"]]}}}],"schema":"https://github.com/citation-style-language/schema/raw/master/csl-citation.json"} </w:instrText>
      </w:r>
      <w:r w:rsidR="007642C8" w:rsidRPr="00365CAC">
        <w:rPr>
          <w:rFonts w:ascii="Arial" w:hAnsi="Arial" w:cs="Arial"/>
          <w:sz w:val="20"/>
          <w:szCs w:val="20"/>
        </w:rPr>
        <w:fldChar w:fldCharType="separate"/>
      </w:r>
      <w:r w:rsidR="007642C8" w:rsidRPr="00365CAC">
        <w:rPr>
          <w:rFonts w:ascii="Arial" w:hAnsi="Arial" w:cs="Arial"/>
          <w:sz w:val="20"/>
          <w:szCs w:val="20"/>
          <w:lang w:val="en-US"/>
        </w:rPr>
        <w:t>(Ojha et al., 2024)</w:t>
      </w:r>
      <w:r w:rsidR="007642C8" w:rsidRPr="00365CAC">
        <w:rPr>
          <w:rFonts w:ascii="Arial" w:hAnsi="Arial" w:cs="Arial"/>
          <w:sz w:val="20"/>
          <w:szCs w:val="20"/>
        </w:rPr>
        <w:fldChar w:fldCharType="end"/>
      </w:r>
      <w:r w:rsidR="009926E6" w:rsidRPr="00365CAC">
        <w:rPr>
          <w:rFonts w:ascii="Arial" w:hAnsi="Arial" w:cs="Arial"/>
          <w:sz w:val="20"/>
          <w:szCs w:val="20"/>
          <w:lang w:val="en-US"/>
        </w:rPr>
        <w:t>.</w:t>
      </w:r>
      <w:r w:rsidR="002374DE" w:rsidRPr="00365CAC">
        <w:rPr>
          <w:rFonts w:ascii="Arial" w:hAnsi="Arial" w:cs="Arial"/>
          <w:sz w:val="20"/>
          <w:szCs w:val="20"/>
          <w:lang w:val="en-US"/>
        </w:rPr>
        <w:t xml:space="preserve"> </w:t>
      </w:r>
      <w:r w:rsidR="004C2369" w:rsidRPr="00365CAC">
        <w:rPr>
          <w:rFonts w:ascii="Arial" w:hAnsi="Arial" w:cs="Arial"/>
          <w:sz w:val="20"/>
          <w:szCs w:val="20"/>
          <w:lang w:val="en-US"/>
        </w:rPr>
        <w:t>Plant-based products are enjoying renewed confidence in light of new approaches to local consumption</w:t>
      </w:r>
      <w:r w:rsidR="00A33DDB" w:rsidRPr="00365CAC">
        <w:rPr>
          <w:rFonts w:ascii="Arial" w:hAnsi="Arial" w:cs="Arial"/>
          <w:sz w:val="20"/>
          <w:szCs w:val="20"/>
          <w:lang w:val="en-US"/>
        </w:rPr>
        <w:fldChar w:fldCharType="begin"/>
      </w:r>
      <w:r w:rsidR="00A33DDB" w:rsidRPr="00365CAC">
        <w:rPr>
          <w:rFonts w:ascii="Arial" w:hAnsi="Arial" w:cs="Arial"/>
          <w:sz w:val="20"/>
          <w:szCs w:val="20"/>
          <w:lang w:val="en-US"/>
        </w:rPr>
        <w:instrText xml:space="preserve"> ADDIN ZOTERO_ITEM CSL_CITATION {"citationID":"Ed5m2xHk","properties":{"unsorted":false,"formattedCitation":"(Sharma et al., 2024)","plainCitation":"(Sharma et al., 2024)","noteIndex":0},"citationItems":[{"id":409,"uris":["http://zotero.org/users/local/c6S0FUmy/items/LH9PWQWP"],"itemData":{"id":409,"type":"article-journal","abstract":"The success of plant-based beverages hinges not only on their inherent properties but also on an understanding of consumer behavior. Factors such as health conditions, sustainability awareness, and constant innovation drive consumer interest, while barriers like food neophobia and sensory attributes can deter consumption. To address these challenges, strategies such as nutrient complementation and customization of taste, color, and texture cater to individual preferences, expanding the appeal of plant-based beverages. Despite challenges, the plant-based beverage industry presents significant opportunities for growth, with consumer behavior playing a pivotal role in shaping this trend. This paper investigates the multifaceted factors influencing consumer behavior towards plant-based beverages, offering specific examples of motivations and barriers, drawing from a comprehensive analysis of available literature. The findings suggest that a consumer-centric approach, informed by a nuanced understanding of consumer behavior, is essential for the success of the plant-based beverage industry. By addressing consumer needs and preferences, companies can attract new customers and foster loyalty among existing ones, thereby capitalizing on the significant opportunities for growth within the plant-based beverage market. This paper highlights the implications of consumer behavior for industry stakeholders and underscores the importance of ongoing research and innovation in meeting evolving consumer demands.","container-title":"Food Reviews International","DOI":"10.1080/87559129.2024.2351920","ISSN":"8755-9129","issue":"10","note":"_eprint: https://doi.org/10.1080/87559129.2024.2351920","page":"3315-3341","publisher":"Taylor &amp; Francis","source":"Taylor and Francis+NEJM","title":"Rise of Plant-Based Beverages: A Consumer-Driven Perspective","title-short":"Rise of Plant-Based Beverages","volume":"40","author":[{"family":"Sharma","given":"Neha"},{"family":"Yeasmen","given":"Nushrat"},{"family":"Dube","given":"Laurette"},{"family":"Orsat","given":"Valérie"}],"issued":{"date-parts":[["2024",11,11]]}}}],"schema":"https://github.com/citation-style-language/schema/raw/master/csl-citation.json"} </w:instrText>
      </w:r>
      <w:r w:rsidR="00A33DDB" w:rsidRPr="00365CAC">
        <w:rPr>
          <w:rFonts w:ascii="Arial" w:hAnsi="Arial" w:cs="Arial"/>
          <w:sz w:val="20"/>
          <w:szCs w:val="20"/>
          <w:lang w:val="en-US"/>
        </w:rPr>
        <w:fldChar w:fldCharType="separate"/>
      </w:r>
      <w:r w:rsidR="00A33DDB" w:rsidRPr="00365CAC">
        <w:rPr>
          <w:rFonts w:ascii="Arial" w:hAnsi="Arial" w:cs="Arial"/>
          <w:sz w:val="20"/>
          <w:szCs w:val="20"/>
          <w:lang w:val="en-US"/>
        </w:rPr>
        <w:t>(Sharma et al., 2024)</w:t>
      </w:r>
      <w:r w:rsidR="00A33DDB" w:rsidRPr="00365CAC">
        <w:rPr>
          <w:rFonts w:ascii="Arial" w:hAnsi="Arial" w:cs="Arial"/>
          <w:sz w:val="20"/>
          <w:szCs w:val="20"/>
          <w:lang w:val="en-US"/>
        </w:rPr>
        <w:fldChar w:fldCharType="end"/>
      </w:r>
      <w:r w:rsidR="004C2369" w:rsidRPr="00365CAC">
        <w:rPr>
          <w:rFonts w:ascii="Arial" w:hAnsi="Arial" w:cs="Arial"/>
          <w:sz w:val="20"/>
          <w:szCs w:val="20"/>
          <w:lang w:val="en-US"/>
        </w:rPr>
        <w:t>. This trend is also underpinned by the need to support these approaches with high-quality scientific data. The "consume local" policy is a key driver of development actively promoted in Burkina Faso</w:t>
      </w:r>
      <w:r w:rsidR="00A33DDB" w:rsidRPr="00365CAC">
        <w:rPr>
          <w:rFonts w:ascii="Arial" w:hAnsi="Arial" w:cs="Arial"/>
          <w:sz w:val="20"/>
          <w:szCs w:val="20"/>
          <w:lang w:val="en-US"/>
        </w:rPr>
        <w:fldChar w:fldCharType="begin"/>
      </w:r>
      <w:r w:rsidR="00A33DDB" w:rsidRPr="00365CAC">
        <w:rPr>
          <w:rFonts w:ascii="Arial" w:hAnsi="Arial" w:cs="Arial"/>
          <w:sz w:val="20"/>
          <w:szCs w:val="20"/>
          <w:lang w:val="en-US"/>
        </w:rPr>
        <w:instrText xml:space="preserve"> ADDIN ZOTERO_ITEM CSL_CITATION {"citationID":"iN9sNytr","properties":{"unsorted":false,"formattedCitation":"(Patel, 2020)","plainCitation":"(Patel, 2020)","noteIndex":0},"citationItems":[{"id":410,"uris":["http://zotero.org/users/local/c6S0FUmy/items/ZLRRCJFL"],"itemData":{"id":410,"type":"chapter","abstract":"'Ethics of Food Production and Consumption' published in 'Zero Hunger'","container-title":"Zero Hunger","DOI":"10.1007/978-3-319-95675-6_16","ISBN":"978-3-319-95675-6","ISSN":"2523-7411","language":"en","note":"DOI: 10.1007/978-3-319-95675-6_16","page":"282-292","publisher":"Springer, Cham","source":"link.springer.com","title":"Ethics of Food Production and Consumption","URL":"https://link.springer.com/rwe/10.1007/978-3-319-95675-6_16","author":[{"family":"Patel","given":"Vibhuti"}],"accessed":{"date-parts":[["2026",5,22]]},"issued":{"date-parts":[["2020"]]}}}],"schema":"https://github.com/citation-style-language/schema/raw/master/csl-citation.json"} </w:instrText>
      </w:r>
      <w:r w:rsidR="00A33DDB" w:rsidRPr="00365CAC">
        <w:rPr>
          <w:rFonts w:ascii="Arial" w:hAnsi="Arial" w:cs="Arial"/>
          <w:sz w:val="20"/>
          <w:szCs w:val="20"/>
          <w:lang w:val="en-US"/>
        </w:rPr>
        <w:fldChar w:fldCharType="separate"/>
      </w:r>
      <w:r w:rsidR="00A33DDB" w:rsidRPr="00365CAC">
        <w:rPr>
          <w:rFonts w:ascii="Arial" w:hAnsi="Arial" w:cs="Arial"/>
          <w:sz w:val="20"/>
          <w:szCs w:val="20"/>
          <w:lang w:val="en-US"/>
        </w:rPr>
        <w:t>(Patel, 2020)</w:t>
      </w:r>
      <w:r w:rsidR="00A33DDB" w:rsidRPr="00365CAC">
        <w:rPr>
          <w:rFonts w:ascii="Arial" w:hAnsi="Arial" w:cs="Arial"/>
          <w:sz w:val="20"/>
          <w:szCs w:val="20"/>
          <w:lang w:val="en-US"/>
        </w:rPr>
        <w:fldChar w:fldCharType="end"/>
      </w:r>
      <w:r w:rsidR="004C2369" w:rsidRPr="00365CAC">
        <w:rPr>
          <w:rFonts w:ascii="Arial" w:hAnsi="Arial" w:cs="Arial"/>
          <w:sz w:val="20"/>
          <w:szCs w:val="20"/>
          <w:lang w:val="en-US"/>
        </w:rPr>
        <w:t xml:space="preserve">. Products derived from </w:t>
      </w:r>
      <w:r w:rsidR="004C2369" w:rsidRPr="00365CAC">
        <w:rPr>
          <w:rFonts w:ascii="Arial" w:hAnsi="Arial" w:cs="Arial"/>
          <w:i/>
          <w:iCs/>
          <w:sz w:val="20"/>
          <w:szCs w:val="20"/>
          <w:lang w:val="en-US"/>
        </w:rPr>
        <w:t>Hibiscus cannabinus</w:t>
      </w:r>
      <w:r w:rsidR="004C2369" w:rsidRPr="00365CAC">
        <w:rPr>
          <w:rFonts w:ascii="Arial" w:hAnsi="Arial" w:cs="Arial"/>
          <w:sz w:val="20"/>
          <w:szCs w:val="20"/>
          <w:lang w:val="en-US"/>
        </w:rPr>
        <w:t xml:space="preserve"> L. are highly prized for their nutritional and functional potential</w:t>
      </w:r>
      <w:r w:rsidR="006F6CFC" w:rsidRPr="00365CAC">
        <w:rPr>
          <w:rFonts w:ascii="Arial" w:hAnsi="Arial" w:cs="Arial"/>
          <w:sz w:val="20"/>
          <w:szCs w:val="20"/>
          <w:lang w:val="en-US"/>
        </w:rPr>
        <w:t xml:space="preserve"> </w:t>
      </w:r>
      <w:r w:rsidR="00577112" w:rsidRPr="00365CAC">
        <w:rPr>
          <w:rFonts w:ascii="Arial" w:hAnsi="Arial" w:cs="Arial"/>
          <w:sz w:val="20"/>
          <w:szCs w:val="20"/>
          <w:lang w:val="en-US"/>
        </w:rPr>
        <w:fldChar w:fldCharType="begin"/>
      </w:r>
      <w:r w:rsidR="00577112" w:rsidRPr="00365CAC">
        <w:rPr>
          <w:rFonts w:ascii="Arial" w:hAnsi="Arial" w:cs="Arial"/>
          <w:sz w:val="20"/>
          <w:szCs w:val="20"/>
          <w:lang w:val="en-US"/>
        </w:rPr>
        <w:instrText xml:space="preserve"> ADDIN ZOTERO_ITEM CSL_CITATION {"citationID":"9AUx4SpW","properties":{"unsorted":false,"formattedCitation":"(Shikha et al., 2023b)","plainCitation":"(Shikha et al., 2023b)","noteIndex":0},"citationItems":[{"id":411,"uris":["http://zotero.org/users/local/c6S0FUmy/items/ITZSPYGQ"],"itemData":{"id":411,"type":"chapter","abstract":"Hibiscus cannabinus (kenaf) is part of the family Malcaveae, a tall yearly herbaceous woody plant with high fiber, energy, and feedstock. Traditionally used as an herbal medicine, as flavouring agent in food industries and in various herbal drinks. Consumers generally show keen interest in natural plant-based food products having health properties. Kenaf and its parts particularly seeds are the rich source of vital nutrients and outstanding source for value added plant-based foods. Along with this, it is also good source of phytocompounds, antioxidant vitamins and amino acids, which are accountable for its antioxidant properties and pharmacological merits. The plant exhibits anti-oxidant, anti-microbial, anti-diabetic, hepatoprotective, antihypertensive, anti-cholesterol, and other therapeutic properties. Possessing high nutritional content and an important source of natural antioxidants, Hibiscus cannabinus can be utilized as a nutraceutical source and also as functional foods. The fibers of kenaf are not only used for pulping and cordage of paper but also are a promising bio-energy lingo-cellulosic feedstock. Oil from its seeds might be utilized for cooking and various industrial uses. The current chapter delves into history, present production trends, botany and nutritional profile Hibiscus cannabinus . The bioactive profile and health benefits interests of Hibiscus cannabinus will also be highlighted on the conditions with the researches in support with the systematic scientific approaches. The chapter concludes with a discussion of kenaf 's potential industrial applications. The industries and scientists can utilize this natural plant source as value added food source which might be of great significance for industries as well as human kind.","container-title":"Harvesting Food from Weeds","DOI":"10.1002/9781119793007.ch8","ISBN":"978-1-119-79300-7","language":"en","license":"© 2023 Scrivener Publishing LLC","note":"section: 8\n_eprint: https://onlinelibrary.wiley.com/doi/pdf/10.1002/9781119793007.ch8\nDOI: 10.1002/9781119793007.ch8","page":"267-326","publisher":"John Wiley &amp; Sons, Ltd","source":"Wiley Online Library","title":"Hibiscus cannabinus","URL":"https://onlinelibrary.wiley.com/doi/abs/10.1002/9781119793007.ch8","author":[{"family":"Shikha","given":"Deep"},{"family":"Kashyap","given":"Piyush"},{"family":"Thakur","given":"Abhimanyu"},{"family":"Sharma","given":"Madhusudan"}],"accessed":{"date-parts":[["2026",5,22]]},"issued":{"date-parts":[["2023"]]}}}],"schema":"https://github.com/citation-style-language/schema/raw/master/csl-citation.json"} </w:instrText>
      </w:r>
      <w:r w:rsidR="00577112" w:rsidRPr="00365CAC">
        <w:rPr>
          <w:rFonts w:ascii="Arial" w:hAnsi="Arial" w:cs="Arial"/>
          <w:sz w:val="20"/>
          <w:szCs w:val="20"/>
          <w:lang w:val="en-US"/>
        </w:rPr>
        <w:fldChar w:fldCharType="separate"/>
      </w:r>
      <w:r w:rsidR="00577112" w:rsidRPr="00365CAC">
        <w:rPr>
          <w:rFonts w:ascii="Arial" w:hAnsi="Arial" w:cs="Arial"/>
          <w:sz w:val="20"/>
          <w:szCs w:val="20"/>
          <w:lang w:val="en-US"/>
        </w:rPr>
        <w:t>(Shikha et al., 2023b)</w:t>
      </w:r>
      <w:r w:rsidR="00577112" w:rsidRPr="00365CAC">
        <w:rPr>
          <w:rFonts w:ascii="Arial" w:hAnsi="Arial" w:cs="Arial"/>
          <w:sz w:val="20"/>
          <w:szCs w:val="20"/>
          <w:lang w:val="en-US"/>
        </w:rPr>
        <w:fldChar w:fldCharType="end"/>
      </w:r>
      <w:r w:rsidR="009926E6" w:rsidRPr="00365CAC">
        <w:rPr>
          <w:rFonts w:ascii="Arial" w:hAnsi="Arial" w:cs="Arial"/>
          <w:sz w:val="20"/>
          <w:szCs w:val="20"/>
          <w:lang w:val="en-US"/>
        </w:rPr>
        <w:t xml:space="preserve">. In Burkina Faso, the seeds are most commonly consumed by the </w:t>
      </w:r>
      <w:r w:rsidR="009926E6" w:rsidRPr="00365CAC">
        <w:rPr>
          <w:rFonts w:ascii="Arial" w:hAnsi="Arial" w:cs="Arial"/>
          <w:i/>
          <w:iCs/>
          <w:sz w:val="20"/>
          <w:szCs w:val="20"/>
          <w:lang w:val="en-US"/>
        </w:rPr>
        <w:t xml:space="preserve">Mossi </w:t>
      </w:r>
      <w:r w:rsidR="009926E6" w:rsidRPr="00365CAC">
        <w:rPr>
          <w:rFonts w:ascii="Arial" w:hAnsi="Arial" w:cs="Arial"/>
          <w:sz w:val="20"/>
          <w:szCs w:val="20"/>
          <w:lang w:val="en-US"/>
        </w:rPr>
        <w:t xml:space="preserve">and </w:t>
      </w:r>
      <w:r w:rsidR="009926E6" w:rsidRPr="00365CAC">
        <w:rPr>
          <w:rFonts w:ascii="Arial" w:hAnsi="Arial" w:cs="Arial"/>
          <w:i/>
          <w:iCs/>
          <w:sz w:val="20"/>
          <w:szCs w:val="20"/>
          <w:lang w:val="en-US"/>
        </w:rPr>
        <w:t>Gurunsi</w:t>
      </w:r>
      <w:r w:rsidR="009926E6" w:rsidRPr="00365CAC">
        <w:rPr>
          <w:rFonts w:ascii="Arial" w:hAnsi="Arial" w:cs="Arial"/>
          <w:sz w:val="20"/>
          <w:szCs w:val="20"/>
          <w:lang w:val="en-US"/>
        </w:rPr>
        <w:t xml:space="preserve"> ethnic groups, where they are processed into a spice called “</w:t>
      </w:r>
      <w:proofErr w:type="spellStart"/>
      <w:r w:rsidR="009926E6" w:rsidRPr="00365CAC">
        <w:rPr>
          <w:rFonts w:ascii="Arial" w:hAnsi="Arial" w:cs="Arial"/>
          <w:sz w:val="20"/>
          <w:szCs w:val="20"/>
          <w:lang w:val="en-US"/>
        </w:rPr>
        <w:t>bicalga</w:t>
      </w:r>
      <w:proofErr w:type="spellEnd"/>
      <w:r w:rsidR="009926E6" w:rsidRPr="00365CAC">
        <w:rPr>
          <w:rFonts w:ascii="Arial" w:hAnsi="Arial" w:cs="Arial"/>
          <w:sz w:val="20"/>
          <w:szCs w:val="20"/>
          <w:lang w:val="en-US"/>
        </w:rPr>
        <w:t>” by the Mossi and “</w:t>
      </w:r>
      <w:proofErr w:type="spellStart"/>
      <w:r w:rsidR="009926E6" w:rsidRPr="00365CAC">
        <w:rPr>
          <w:rFonts w:ascii="Arial" w:hAnsi="Arial" w:cs="Arial"/>
          <w:sz w:val="20"/>
          <w:szCs w:val="20"/>
          <w:lang w:val="en-US"/>
        </w:rPr>
        <w:t>gio</w:t>
      </w:r>
      <w:proofErr w:type="spellEnd"/>
      <w:r w:rsidR="009926E6" w:rsidRPr="00365CAC">
        <w:rPr>
          <w:rFonts w:ascii="Arial" w:hAnsi="Arial" w:cs="Arial"/>
          <w:sz w:val="20"/>
          <w:szCs w:val="20"/>
          <w:lang w:val="en-US"/>
        </w:rPr>
        <w:t xml:space="preserve">-sola” by the </w:t>
      </w:r>
      <w:r w:rsidR="009926E6" w:rsidRPr="00365CAC">
        <w:rPr>
          <w:rFonts w:ascii="Arial" w:hAnsi="Arial" w:cs="Arial"/>
          <w:i/>
          <w:iCs/>
          <w:sz w:val="20"/>
          <w:szCs w:val="20"/>
          <w:lang w:val="en-US"/>
        </w:rPr>
        <w:t>Gurunsi-</w:t>
      </w:r>
      <w:proofErr w:type="spellStart"/>
      <w:r w:rsidR="009926E6" w:rsidRPr="00365CAC">
        <w:rPr>
          <w:rFonts w:ascii="Arial" w:hAnsi="Arial" w:cs="Arial"/>
          <w:i/>
          <w:iCs/>
          <w:sz w:val="20"/>
          <w:szCs w:val="20"/>
          <w:lang w:val="en-US"/>
        </w:rPr>
        <w:t>Ly</w:t>
      </w:r>
      <w:r w:rsidR="00B86391" w:rsidRPr="00365CAC">
        <w:rPr>
          <w:rFonts w:ascii="Arial" w:hAnsi="Arial" w:cs="Arial"/>
          <w:i/>
          <w:iCs/>
          <w:sz w:val="20"/>
          <w:szCs w:val="20"/>
          <w:lang w:val="en-US"/>
        </w:rPr>
        <w:t>e</w:t>
      </w:r>
      <w:r w:rsidR="009926E6" w:rsidRPr="00365CAC">
        <w:rPr>
          <w:rFonts w:ascii="Arial" w:hAnsi="Arial" w:cs="Arial"/>
          <w:i/>
          <w:iCs/>
          <w:sz w:val="20"/>
          <w:szCs w:val="20"/>
          <w:lang w:val="en-US"/>
        </w:rPr>
        <w:t>l</w:t>
      </w:r>
      <w:r w:rsidR="00B86391" w:rsidRPr="00365CAC">
        <w:rPr>
          <w:rFonts w:ascii="Arial" w:hAnsi="Arial" w:cs="Arial"/>
          <w:i/>
          <w:iCs/>
          <w:sz w:val="20"/>
          <w:szCs w:val="20"/>
          <w:lang w:val="en-US"/>
        </w:rPr>
        <w:t>e</w:t>
      </w:r>
      <w:proofErr w:type="spellEnd"/>
      <w:r w:rsidR="009926E6" w:rsidRPr="00365CAC">
        <w:rPr>
          <w:rFonts w:ascii="Arial" w:hAnsi="Arial" w:cs="Arial"/>
          <w:sz w:val="20"/>
          <w:szCs w:val="20"/>
          <w:lang w:val="en-US"/>
        </w:rPr>
        <w:t xml:space="preserve"> </w:t>
      </w:r>
      <w:r w:rsidR="007642C8" w:rsidRPr="00365CAC">
        <w:rPr>
          <w:rFonts w:ascii="Arial" w:hAnsi="Arial" w:cs="Arial"/>
          <w:sz w:val="20"/>
          <w:szCs w:val="20"/>
          <w:lang w:val="en-US"/>
        </w:rPr>
        <w:fldChar w:fldCharType="begin"/>
      </w:r>
      <w:r w:rsidR="007642C8" w:rsidRPr="00365CAC">
        <w:rPr>
          <w:rFonts w:ascii="Arial" w:hAnsi="Arial" w:cs="Arial"/>
          <w:sz w:val="20"/>
          <w:szCs w:val="20"/>
          <w:lang w:val="en-US"/>
        </w:rPr>
        <w:instrText xml:space="preserve"> ADDIN ZOTERO_ITEM CSL_CITATION {"citationID":"xBpDUadD","properties":{"unsorted":false,"formattedCitation":"(Nikod\\uc0\\u232{}me et al., 2019)","plainCitation":"(Nikodème et al., 2019)","noteIndex":0},"citationItems":[{"id":342,"uris":["http://zotero.org/users/local/c6S0FUmy/items/CUL4XXZ6"],"itemData":{"id":342,"type":"article-journal","language":"en","source":"Zotero","title":"Genetic diversity of Hibiscus cannabinus L. of Burkina Faso using SSRs markers","author":[{"family":"Nikodème","given":"KABRE Vonogo"},{"family":"Boureima","given":"SAWADOGO"},{"family":"Zakaria","given":"KIEBRE"},{"family":"Mariam","given":"KIEBRE"},{"family":"Hamed","given":"OUEDRAOGO Mahamadi"},{"family":"Pauline","given":"KANDO"}],"issued":{"date-parts":[["2019"]]}}}],"schema":"https://github.com/citation-style-language/schema/raw/master/csl-citation.json"} </w:instrText>
      </w:r>
      <w:r w:rsidR="007642C8" w:rsidRPr="00365CAC">
        <w:rPr>
          <w:rFonts w:ascii="Arial" w:hAnsi="Arial" w:cs="Arial"/>
          <w:sz w:val="20"/>
          <w:szCs w:val="20"/>
          <w:lang w:val="en-US"/>
        </w:rPr>
        <w:fldChar w:fldCharType="separate"/>
      </w:r>
      <w:r w:rsidR="007642C8" w:rsidRPr="00365CAC">
        <w:rPr>
          <w:rFonts w:ascii="Arial" w:hAnsi="Arial" w:cs="Arial"/>
          <w:kern w:val="0"/>
          <w:sz w:val="20"/>
          <w:szCs w:val="20"/>
          <w:lang w:val="en-US"/>
        </w:rPr>
        <w:t>(Nikodème et al., 2019)</w:t>
      </w:r>
      <w:r w:rsidR="007642C8" w:rsidRPr="00365CAC">
        <w:rPr>
          <w:rFonts w:ascii="Arial" w:hAnsi="Arial" w:cs="Arial"/>
          <w:sz w:val="20"/>
          <w:szCs w:val="20"/>
          <w:lang w:val="en-US"/>
        </w:rPr>
        <w:fldChar w:fldCharType="end"/>
      </w:r>
      <w:r w:rsidR="009926E6" w:rsidRPr="00365CAC">
        <w:rPr>
          <w:rFonts w:ascii="Arial" w:hAnsi="Arial" w:cs="Arial"/>
          <w:sz w:val="20"/>
          <w:szCs w:val="20"/>
          <w:lang w:val="en-US"/>
        </w:rPr>
        <w:t xml:space="preserve">. However, the plant is facing genetic erosion due to the introduction of exotic vegetables </w:t>
      </w:r>
      <w:r w:rsidR="007642C8" w:rsidRPr="00365CAC">
        <w:rPr>
          <w:rFonts w:ascii="Arial" w:hAnsi="Arial" w:cs="Arial"/>
          <w:sz w:val="20"/>
          <w:szCs w:val="20"/>
          <w:lang w:val="en-US"/>
        </w:rPr>
        <w:fldChar w:fldCharType="begin"/>
      </w:r>
      <w:r w:rsidR="007642C8" w:rsidRPr="00365CAC">
        <w:rPr>
          <w:rFonts w:ascii="Arial" w:hAnsi="Arial" w:cs="Arial"/>
          <w:sz w:val="20"/>
          <w:szCs w:val="20"/>
          <w:lang w:val="en-US"/>
        </w:rPr>
        <w:instrText xml:space="preserve"> ADDIN ZOTERO_ITEM CSL_CITATION {"citationID":"3JljVOIA","properties":{"unsorted":false,"formattedCitation":"(FAO, 2013)","plainCitation":"(FAO, 2013)","noteIndex":0},"citationItems":[{"id":345,"uris":["http://zotero.org/users/local/c6S0FUmy/items/J6ZBKD87"],"itemData":{"id":345,"type":"article-journal","language":"fr","source":"Zotero","title":"La situation mondiale de l’alimentation et de l’agriculture 2013","author":[{"family":"FAO","given":""}],"issued":{"date-parts":[["2013"]]}}}],"schema":"https://github.com/citation-style-language/schema/raw/master/csl-citation.json"} </w:instrText>
      </w:r>
      <w:r w:rsidR="007642C8" w:rsidRPr="00365CAC">
        <w:rPr>
          <w:rFonts w:ascii="Arial" w:hAnsi="Arial" w:cs="Arial"/>
          <w:sz w:val="20"/>
          <w:szCs w:val="20"/>
          <w:lang w:val="en-US"/>
        </w:rPr>
        <w:fldChar w:fldCharType="separate"/>
      </w:r>
      <w:r w:rsidR="007642C8" w:rsidRPr="00365CAC">
        <w:rPr>
          <w:rFonts w:ascii="Arial" w:hAnsi="Arial" w:cs="Arial"/>
          <w:sz w:val="20"/>
          <w:szCs w:val="20"/>
          <w:lang w:val="en-US"/>
        </w:rPr>
        <w:t>(FAO, 2013)</w:t>
      </w:r>
      <w:r w:rsidR="007642C8" w:rsidRPr="00365CAC">
        <w:rPr>
          <w:rFonts w:ascii="Arial" w:hAnsi="Arial" w:cs="Arial"/>
          <w:sz w:val="20"/>
          <w:szCs w:val="20"/>
          <w:lang w:val="en-US"/>
        </w:rPr>
        <w:fldChar w:fldCharType="end"/>
      </w:r>
      <w:r w:rsidR="009926E6" w:rsidRPr="00365CAC">
        <w:rPr>
          <w:rFonts w:ascii="Arial" w:hAnsi="Arial" w:cs="Arial"/>
          <w:sz w:val="20"/>
          <w:szCs w:val="20"/>
          <w:lang w:val="en-US"/>
        </w:rPr>
        <w:t xml:space="preserve">. Awareness is therefore necessary to establish the scientific basis for its nutritional potential, in order to revive interest in the use of the seeds in the diet. Hence the relevance of this study, which aims to evaluate the physicochemical and biochemical composition of the seeds of several accessions of </w:t>
      </w:r>
      <w:r w:rsidR="009926E6" w:rsidRPr="00365CAC">
        <w:rPr>
          <w:rFonts w:ascii="Arial" w:hAnsi="Arial" w:cs="Arial"/>
          <w:i/>
          <w:iCs/>
          <w:sz w:val="20"/>
          <w:szCs w:val="20"/>
          <w:lang w:val="en-US"/>
        </w:rPr>
        <w:t>Hibiscus cannabinus</w:t>
      </w:r>
      <w:r w:rsidR="009926E6" w:rsidRPr="00365CAC">
        <w:rPr>
          <w:rFonts w:ascii="Arial" w:hAnsi="Arial" w:cs="Arial"/>
          <w:sz w:val="20"/>
          <w:szCs w:val="20"/>
          <w:lang w:val="en-US"/>
        </w:rPr>
        <w:t xml:space="preserve"> L. cultivated in Burkina Faso. Specifically, the study will determine the content of minerals and macronutrients and assess the relationships among these evaluated parameters.</w:t>
      </w:r>
    </w:p>
    <w:p w14:paraId="43EDD7E1" w14:textId="1263EA34" w:rsidR="009926E6" w:rsidRPr="00365CAC" w:rsidRDefault="009926E6" w:rsidP="00245462">
      <w:pPr>
        <w:pStyle w:val="ListParagraph"/>
        <w:numPr>
          <w:ilvl w:val="0"/>
          <w:numId w:val="2"/>
        </w:numPr>
        <w:spacing w:line="360" w:lineRule="auto"/>
        <w:jc w:val="both"/>
        <w:rPr>
          <w:rFonts w:ascii="Arial" w:hAnsi="Arial" w:cs="Arial"/>
          <w:b/>
          <w:bCs/>
          <w:caps/>
          <w:sz w:val="22"/>
          <w:szCs w:val="22"/>
          <w:lang w:val="en-US"/>
        </w:rPr>
      </w:pPr>
      <w:r w:rsidRPr="00365CAC">
        <w:rPr>
          <w:rFonts w:ascii="Arial" w:hAnsi="Arial" w:cs="Arial"/>
          <w:b/>
          <w:bCs/>
          <w:caps/>
          <w:sz w:val="22"/>
          <w:szCs w:val="22"/>
          <w:lang w:val="en-US"/>
        </w:rPr>
        <w:t xml:space="preserve">Materials and Methods </w:t>
      </w:r>
    </w:p>
    <w:p w14:paraId="167FAF21" w14:textId="1CC42B22" w:rsidR="009926E6" w:rsidRPr="00365CAC" w:rsidRDefault="00245462" w:rsidP="002334EB">
      <w:pPr>
        <w:spacing w:line="360" w:lineRule="auto"/>
        <w:jc w:val="both"/>
        <w:rPr>
          <w:rFonts w:ascii="Arial" w:hAnsi="Arial" w:cs="Arial"/>
          <w:b/>
          <w:bCs/>
          <w:sz w:val="20"/>
          <w:szCs w:val="20"/>
          <w:lang w:val="en-US"/>
        </w:rPr>
      </w:pPr>
      <w:r w:rsidRPr="00365CAC">
        <w:rPr>
          <w:rFonts w:ascii="Arial" w:hAnsi="Arial" w:cs="Arial"/>
          <w:b/>
          <w:bCs/>
          <w:sz w:val="20"/>
          <w:szCs w:val="20"/>
          <w:lang w:val="en-US"/>
        </w:rPr>
        <w:t xml:space="preserve">2.1 </w:t>
      </w:r>
      <w:r w:rsidR="009926E6" w:rsidRPr="00365CAC">
        <w:rPr>
          <w:rFonts w:ascii="Arial" w:hAnsi="Arial" w:cs="Arial"/>
          <w:b/>
          <w:bCs/>
          <w:sz w:val="20"/>
          <w:szCs w:val="20"/>
          <w:lang w:val="en-US"/>
        </w:rPr>
        <w:t>Plant Material</w:t>
      </w:r>
    </w:p>
    <w:p w14:paraId="3B6E370A" w14:textId="43EE50A1" w:rsidR="009926E6" w:rsidRPr="00365CAC" w:rsidRDefault="009926E6" w:rsidP="002334EB">
      <w:pPr>
        <w:spacing w:line="360" w:lineRule="auto"/>
        <w:jc w:val="both"/>
        <w:rPr>
          <w:rFonts w:ascii="Arial" w:hAnsi="Arial" w:cs="Arial"/>
          <w:sz w:val="20"/>
          <w:szCs w:val="20"/>
          <w:lang w:val="en-US"/>
        </w:rPr>
      </w:pPr>
      <w:r w:rsidRPr="00365CAC">
        <w:rPr>
          <w:rFonts w:ascii="Arial" w:hAnsi="Arial" w:cs="Arial"/>
          <w:sz w:val="20"/>
          <w:szCs w:val="20"/>
          <w:lang w:val="en-US"/>
        </w:rPr>
        <w:lastRenderedPageBreak/>
        <w:t xml:space="preserve">The plant material consisted of 15 samples of </w:t>
      </w:r>
      <w:r w:rsidRPr="00365CAC">
        <w:rPr>
          <w:rFonts w:ascii="Arial" w:hAnsi="Arial" w:cs="Arial"/>
          <w:i/>
          <w:iCs/>
          <w:sz w:val="20"/>
          <w:szCs w:val="20"/>
          <w:lang w:val="en-US"/>
        </w:rPr>
        <w:t>Hibiscus cannabinus</w:t>
      </w:r>
      <w:r w:rsidRPr="00365CAC">
        <w:rPr>
          <w:rFonts w:ascii="Arial" w:hAnsi="Arial" w:cs="Arial"/>
          <w:sz w:val="20"/>
          <w:szCs w:val="20"/>
          <w:lang w:val="en-US"/>
        </w:rPr>
        <w:t xml:space="preserve"> seeds, selected following the harvest of seeds from propagation carried out from July to October 2025 at the experimental site of the Institute for Rural Development (IDR) in </w:t>
      </w:r>
      <w:proofErr w:type="spellStart"/>
      <w:r w:rsidRPr="00365CAC">
        <w:rPr>
          <w:rFonts w:ascii="Arial" w:hAnsi="Arial" w:cs="Arial"/>
          <w:i/>
          <w:iCs/>
          <w:sz w:val="20"/>
          <w:szCs w:val="20"/>
          <w:lang w:val="en-US"/>
        </w:rPr>
        <w:t>Gamp</w:t>
      </w:r>
      <w:r w:rsidR="001E06AB" w:rsidRPr="00365CAC">
        <w:rPr>
          <w:rFonts w:ascii="Arial" w:hAnsi="Arial" w:cs="Arial"/>
          <w:i/>
          <w:iCs/>
          <w:sz w:val="20"/>
          <w:szCs w:val="20"/>
          <w:lang w:val="en-US"/>
        </w:rPr>
        <w:t>e</w:t>
      </w:r>
      <w:r w:rsidRPr="00365CAC">
        <w:rPr>
          <w:rFonts w:ascii="Arial" w:hAnsi="Arial" w:cs="Arial"/>
          <w:i/>
          <w:iCs/>
          <w:sz w:val="20"/>
          <w:szCs w:val="20"/>
          <w:lang w:val="en-US"/>
        </w:rPr>
        <w:t>la</w:t>
      </w:r>
      <w:proofErr w:type="spellEnd"/>
      <w:r w:rsidRPr="00365CAC">
        <w:rPr>
          <w:rFonts w:ascii="Arial" w:hAnsi="Arial" w:cs="Arial"/>
          <w:sz w:val="20"/>
          <w:szCs w:val="20"/>
          <w:lang w:val="en-US"/>
        </w:rPr>
        <w:t>, a locality located in Kadiogo Province at 12°15’ north latitude and 1°12’ west longitude. The climate is of the Sudano-Sahelian type with an average annual precipitation of 852.7 mm and 850 mm recorded per year</w:t>
      </w:r>
      <w:r w:rsidR="004A328B" w:rsidRPr="00365CAC">
        <w:rPr>
          <w:rFonts w:ascii="Arial" w:hAnsi="Arial" w:cs="Arial"/>
          <w:sz w:val="20"/>
          <w:szCs w:val="20"/>
          <w:lang w:val="en-US"/>
        </w:rPr>
        <w:t xml:space="preserve"> </w:t>
      </w:r>
      <w:r w:rsidR="00D67095" w:rsidRPr="00365CAC">
        <w:rPr>
          <w:rFonts w:ascii="Arial" w:hAnsi="Arial" w:cs="Arial"/>
          <w:sz w:val="20"/>
          <w:szCs w:val="20"/>
          <w:lang w:val="en-US"/>
        </w:rPr>
        <w:fldChar w:fldCharType="begin"/>
      </w:r>
      <w:r w:rsidR="00D67095" w:rsidRPr="00365CAC">
        <w:rPr>
          <w:rFonts w:ascii="Arial" w:hAnsi="Arial" w:cs="Arial"/>
          <w:sz w:val="20"/>
          <w:szCs w:val="20"/>
          <w:lang w:val="en-US"/>
        </w:rPr>
        <w:instrText xml:space="preserve"> ADDIN ZOTERO_ITEM CSL_CITATION {"citationID":"HNh7Ibqd","properties":{"unsorted":false,"formattedCitation":"(Yam\\uc0\\u233{}ogo, 2024)","plainCitation":"(Yaméogo, 2024)","noteIndex":0},"citationItems":[{"id":415,"uris":["http://zotero.org/users/local/c6S0FUmy/items/NE6NTQMI"],"itemData":{"id":415,"type":"article-journal","container-title":"Meteorology Hydrology and Water Management. Research and Operational Applications","issue":"2","page":"1–25","publisher":"Instytut Meteorologii i Gospodarki Wodnej-Państwowy Instytut Badawczy","source":"Google Scholar","title":"Changes in the seasonal cycles of extreme temperatures in the Sudano-Sahelian domain in West Africa: a case study from Burkina Faso","title-short":"Changes in the seasonal cycles of extreme temperatures in the Sudano-Sahelian domain in West Africa","volume":"12","author":[{"family":"Yaméogo","given":"Joseph"}],"issued":{"date-parts":[["2024"]]}}}],"schema":"https://github.com/citation-style-language/schema/raw/master/csl-citation.json"} </w:instrText>
      </w:r>
      <w:r w:rsidR="00D67095" w:rsidRPr="00365CAC">
        <w:rPr>
          <w:rFonts w:ascii="Arial" w:hAnsi="Arial" w:cs="Arial"/>
          <w:sz w:val="20"/>
          <w:szCs w:val="20"/>
          <w:lang w:val="en-US"/>
        </w:rPr>
        <w:fldChar w:fldCharType="separate"/>
      </w:r>
      <w:r w:rsidR="00D67095" w:rsidRPr="00365CAC">
        <w:rPr>
          <w:rFonts w:ascii="Arial" w:hAnsi="Arial" w:cs="Arial"/>
          <w:kern w:val="0"/>
          <w:sz w:val="20"/>
          <w:szCs w:val="20"/>
          <w:lang w:val="en-US"/>
        </w:rPr>
        <w:t>(Yaméogo, 2024)</w:t>
      </w:r>
      <w:r w:rsidR="00D67095" w:rsidRPr="00365CAC">
        <w:rPr>
          <w:rFonts w:ascii="Arial" w:hAnsi="Arial" w:cs="Arial"/>
          <w:sz w:val="20"/>
          <w:szCs w:val="20"/>
          <w:lang w:val="en-US"/>
        </w:rPr>
        <w:fldChar w:fldCharType="end"/>
      </w:r>
      <w:r w:rsidRPr="00365CAC">
        <w:rPr>
          <w:rFonts w:ascii="Arial" w:hAnsi="Arial" w:cs="Arial"/>
          <w:sz w:val="20"/>
          <w:szCs w:val="20"/>
          <w:lang w:val="en-US"/>
        </w:rPr>
        <w:t xml:space="preserve">. The soil texture is predominantly sandy loam, consisting of 32.5% fine silt, 23.98% coarse silt, 21.32% fine sand, and 3.2% coarse sand. The 15 samples were selected based on seed consistency. They were subsequently ground into powder using a </w:t>
      </w:r>
      <w:r w:rsidRPr="00365CAC">
        <w:rPr>
          <w:rFonts w:ascii="Arial" w:hAnsi="Arial" w:cs="Arial"/>
          <w:i/>
          <w:iCs/>
          <w:sz w:val="20"/>
          <w:szCs w:val="20"/>
          <w:lang w:val="en-US"/>
        </w:rPr>
        <w:t>NINJA</w:t>
      </w:r>
      <w:r w:rsidRPr="00365CAC">
        <w:rPr>
          <w:rFonts w:ascii="Arial" w:hAnsi="Arial" w:cs="Arial"/>
          <w:sz w:val="20"/>
          <w:szCs w:val="20"/>
          <w:lang w:val="en-US"/>
        </w:rPr>
        <w:t xml:space="preserve"> brand electric blender and finally sieved to obtain the powder. This phase and the subsequent work were carried out at the National Public Health Laboratory (L.N.S.P), now known as the “National Agency for Environmental, Food, Occupational, and Health Product Safety (ANSSEAT),” from October 8 to 22, 2025.</w:t>
      </w:r>
    </w:p>
    <w:p w14:paraId="150AA577" w14:textId="237BD3CA" w:rsidR="001A57FC" w:rsidRPr="00365CAC" w:rsidRDefault="00245462" w:rsidP="002334EB">
      <w:pPr>
        <w:spacing w:line="360" w:lineRule="auto"/>
        <w:jc w:val="both"/>
        <w:rPr>
          <w:rFonts w:ascii="Arial" w:hAnsi="Arial" w:cs="Arial"/>
          <w:b/>
          <w:bCs/>
          <w:sz w:val="22"/>
          <w:szCs w:val="22"/>
          <w:lang w:val="en-US"/>
        </w:rPr>
      </w:pPr>
      <w:r w:rsidRPr="00365CAC">
        <w:rPr>
          <w:rFonts w:ascii="Arial" w:hAnsi="Arial" w:cs="Arial"/>
          <w:b/>
          <w:bCs/>
          <w:sz w:val="22"/>
          <w:szCs w:val="22"/>
          <w:lang w:val="en-US"/>
        </w:rPr>
        <w:t xml:space="preserve">2.2 </w:t>
      </w:r>
      <w:r w:rsidR="009926E6" w:rsidRPr="00365CAC">
        <w:rPr>
          <w:rFonts w:ascii="Arial" w:hAnsi="Arial" w:cs="Arial"/>
          <w:b/>
          <w:bCs/>
          <w:sz w:val="22"/>
          <w:szCs w:val="22"/>
          <w:lang w:val="en-US"/>
        </w:rPr>
        <w:t>Evaluation of biochemical and mineral composition</w:t>
      </w:r>
    </w:p>
    <w:p w14:paraId="547A7057" w14:textId="005C2957" w:rsidR="001A57FC" w:rsidRPr="00365CAC" w:rsidRDefault="001A57FC" w:rsidP="002334EB">
      <w:pPr>
        <w:spacing w:line="360" w:lineRule="auto"/>
        <w:jc w:val="both"/>
        <w:rPr>
          <w:rFonts w:ascii="Arial" w:hAnsi="Arial" w:cs="Arial"/>
          <w:sz w:val="20"/>
          <w:szCs w:val="20"/>
          <w:lang w:val="en-US"/>
        </w:rPr>
      </w:pPr>
      <w:r w:rsidRPr="00365CAC">
        <w:rPr>
          <w:rFonts w:ascii="Arial" w:hAnsi="Arial" w:cs="Arial"/>
          <w:sz w:val="20"/>
          <w:szCs w:val="20"/>
          <w:lang w:val="en-US"/>
        </w:rPr>
        <w:t xml:space="preserve">Powder samples of </w:t>
      </w:r>
      <w:r w:rsidRPr="00365CAC">
        <w:rPr>
          <w:rFonts w:ascii="Arial" w:hAnsi="Arial" w:cs="Arial"/>
          <w:i/>
          <w:iCs/>
          <w:sz w:val="20"/>
          <w:szCs w:val="20"/>
          <w:lang w:val="en-US"/>
        </w:rPr>
        <w:t>Hibiscus cannabinus L.</w:t>
      </w:r>
      <w:r w:rsidRPr="00365CAC">
        <w:rPr>
          <w:rFonts w:ascii="Arial" w:hAnsi="Arial" w:cs="Arial"/>
          <w:sz w:val="20"/>
          <w:szCs w:val="20"/>
          <w:lang w:val="en-US"/>
        </w:rPr>
        <w:t xml:space="preserve"> seeds were analyzed to determine their physicochemical and nutritional parameters, including moisture content, ash content, fat content, protein content, carbohydrate content, and mineral content (K, Mg, Ca, Fe, Zn, and Na). The moisture content was determined by differential weighing after drying in an oven at 105 ± 2 °C according to standard NF V03-707 </w:t>
      </w:r>
      <w:r w:rsidR="00CE24AC" w:rsidRPr="00365CAC">
        <w:rPr>
          <w:rFonts w:ascii="Arial" w:hAnsi="Arial" w:cs="Arial"/>
          <w:sz w:val="20"/>
          <w:szCs w:val="20"/>
          <w:lang w:val="en-US"/>
        </w:rPr>
        <w:fldChar w:fldCharType="begin"/>
      </w:r>
      <w:r w:rsidR="00CE24AC" w:rsidRPr="00365CAC">
        <w:rPr>
          <w:rFonts w:ascii="Arial" w:hAnsi="Arial" w:cs="Arial"/>
          <w:sz w:val="20"/>
          <w:szCs w:val="20"/>
          <w:lang w:val="en-US"/>
        </w:rPr>
        <w:instrText xml:space="preserve"> ADDIN ZOTERO_ITEM CSL_CITATION {"citationID":"Vyhznyf6","properties":{"unsorted":false,"formattedCitation":"(2025)","plainCitation":"(2025)","noteIndex":0},"citationItems":[{"id":417,"uris":["http://zotero.org/users/local/c6S0FUmy/items/H7U3J6UR"],"itemData":{"id":417,"type":"article-journal","abstract":"Quality nutrition is required for sustainable human health as well as disease prevention. This study aimed to evaluate the physico-chemical elements sources...","container-title":"Food Science and Applied Biotechnology","DOI":"10.30721/fsab2025.v8.i2.464","ISSN":"2603-3380","issue":"2","language":"en","license":"Copyright (c) 2025 Food Science and Applied Biotechnology","page":"264-276","source":"www.ijfsab.com","title":"Nutraceutical potentiality of Moringa oleifera and Senna occidentalis grown under organic conditions from Burkina Faso","volume":"8","author":[{"family":"Kone","given":"Souleymane"},{"family":"Tapsoba","given":"François"},{"family":"Sanon","given":"Souleymane"},{"family":"Zongo","given":"Cheikna"},{"family":"Traore","given":"Yves"},{"family":"Savadogo","given":"Aly"}],"issued":{"date-parts":[["2025",10,10]]}},"suppress-author":true}],"schema":"https://github.com/citation-style-language/schema/raw/master/csl-citation.json"} </w:instrText>
      </w:r>
      <w:r w:rsidR="00CE24AC" w:rsidRPr="00365CAC">
        <w:rPr>
          <w:rFonts w:ascii="Arial" w:hAnsi="Arial" w:cs="Arial"/>
          <w:sz w:val="20"/>
          <w:szCs w:val="20"/>
          <w:lang w:val="en-US"/>
        </w:rPr>
        <w:fldChar w:fldCharType="separate"/>
      </w:r>
      <w:r w:rsidR="00CE24AC" w:rsidRPr="00365CAC">
        <w:rPr>
          <w:rFonts w:ascii="Arial" w:hAnsi="Arial" w:cs="Arial"/>
          <w:sz w:val="20"/>
          <w:szCs w:val="20"/>
          <w:lang w:val="en-US"/>
        </w:rPr>
        <w:t>(2025)</w:t>
      </w:r>
      <w:r w:rsidR="00CE24AC" w:rsidRPr="00365CAC">
        <w:rPr>
          <w:rFonts w:ascii="Arial" w:hAnsi="Arial" w:cs="Arial"/>
          <w:sz w:val="20"/>
          <w:szCs w:val="20"/>
          <w:lang w:val="en-US"/>
        </w:rPr>
        <w:fldChar w:fldCharType="end"/>
      </w:r>
      <w:r w:rsidRPr="00365CAC">
        <w:rPr>
          <w:rFonts w:ascii="Arial" w:hAnsi="Arial" w:cs="Arial"/>
          <w:sz w:val="20"/>
          <w:szCs w:val="20"/>
          <w:lang w:val="en-US"/>
        </w:rPr>
        <w:t xml:space="preserve">. Ash content was determined by differential weighing after oven drying the samples in accordance with standard NF EN ISO 2171 </w:t>
      </w:r>
      <w:r w:rsidR="001A145B" w:rsidRPr="00365CAC">
        <w:rPr>
          <w:rFonts w:ascii="Arial" w:hAnsi="Arial" w:cs="Arial"/>
          <w:sz w:val="20"/>
          <w:szCs w:val="20"/>
          <w:lang w:val="en-US"/>
        </w:rPr>
        <w:fldChar w:fldCharType="begin"/>
      </w:r>
      <w:r w:rsidR="001A145B" w:rsidRPr="00365CAC">
        <w:rPr>
          <w:rFonts w:ascii="Arial" w:hAnsi="Arial" w:cs="Arial"/>
          <w:sz w:val="20"/>
          <w:szCs w:val="20"/>
          <w:lang w:val="en-US"/>
        </w:rPr>
        <w:instrText xml:space="preserve"> ADDIN ZOTERO_ITEM CSL_CITATION {"citationID":"HJ4Gb135","properties":{"unsorted":false,"formattedCitation":"(2021a)","plainCitation":"(2021a)","noteIndex":0},"citationItems":[{"id":419,"uris":["http://zotero.org/users/local/c6S0FUmy/items/3ENIWE2Z"],"itemData":{"id":419,"type":"article-journal","abstract":"Method validation within food science is a not only paramount to assess method certainty and ensure the quality of the results, but a pennant in analytical chemistry. Proximate analysis is an indispensable requirement for food characterization. To improve proximate analysis, automated protein and thermogravimetric methods were validated according to international guidelines (including ISO 17025) and acceptance criteria of results based on certified reference materials and participation within international recognized proficiency schemes. Common food groups (e.g., meat, dairy, and grain products) were included and at the end of validation, we obtained three rugged and accurate methods with adequate z scores (−2 ≥ x ≤ 2) and recoveries (92–105%). During optimization, variables such as gas flows, subsample masses, and temperatures were varied and specific conditions (those that rendered the best results) were selected for each food group. For each validated method, a comparison (technical and economic) among the data obtained and the data extracted for its traditional counterpart were included: assays validated demonstrate to be more cost-effective labor-wise (ca. 9 and 16-fold) than their traditional alternatives. Specifically for combustion assay regression analysis (y = 0.9361x, y = 1.1001x, and y = 0.9739x, for meat, dairy and grain products, respectively) were performed to assess the factor, if any, which must be applied to the results to effectively match those obtained for Kjeldahl method. Finally, in the case of protein, samples can be analyzed under 5 min with no residue and a subsample mass below 400 mg. Moisture and ash analysis can be performed simultaneously using the same subsample. Data herein will also help harmonize and advance food analysis toward more efficient greener methods for proximate analysis.","container-title":"Current Research in Food Science","DOI":"10.1016/j.crfs.2021.11.015","ISSN":"2665-9271","journalAbbreviation":"Current Research in Food Science","page":"900-909","source":"ScienceDirect","title":"Nitrogen/protein and one-step moisture and ash examination in foodstuffs: Validation case analysis using automated combustion and thermogravimetry determination under ISO/IEC 17025 guidelines","title-short":"Nitrogen/protein and one-step moisture and ash examination in foodstuffs","volume":"4","author":[{"family":"Cortés-Herrera","given":"Carolina"},{"family":"Quirós-Fallas","given":"Silvia"},{"family":"Calderón-Calvo","given":"Eduardo"},{"family":"Cordero-Madrigal","given":"Randall"},{"family":"Jiménez","given":"Laura"},{"family":"Granados-Chinchilla","given":"Fabio"},{"family":"Artavia","given":"Graciela"}],"issued":{"date-parts":[["2021",1,1]]}},"suppress-author":true}],"schema":"https://github.com/citation-style-language/schema/raw/master/csl-citation.json"} </w:instrText>
      </w:r>
      <w:r w:rsidR="001A145B" w:rsidRPr="00365CAC">
        <w:rPr>
          <w:rFonts w:ascii="Arial" w:hAnsi="Arial" w:cs="Arial"/>
          <w:sz w:val="20"/>
          <w:szCs w:val="20"/>
          <w:lang w:val="en-US"/>
        </w:rPr>
        <w:fldChar w:fldCharType="separate"/>
      </w:r>
      <w:r w:rsidR="001A145B" w:rsidRPr="00365CAC">
        <w:rPr>
          <w:rFonts w:ascii="Arial" w:hAnsi="Arial" w:cs="Arial"/>
          <w:sz w:val="20"/>
          <w:szCs w:val="20"/>
          <w:lang w:val="en-US"/>
        </w:rPr>
        <w:t>(2021a)</w:t>
      </w:r>
      <w:r w:rsidR="001A145B" w:rsidRPr="00365CAC">
        <w:rPr>
          <w:rFonts w:ascii="Arial" w:hAnsi="Arial" w:cs="Arial"/>
          <w:sz w:val="20"/>
          <w:szCs w:val="20"/>
          <w:lang w:val="en-US"/>
        </w:rPr>
        <w:fldChar w:fldCharType="end"/>
      </w:r>
      <w:r w:rsidRPr="00365CAC">
        <w:rPr>
          <w:rFonts w:ascii="Arial" w:hAnsi="Arial" w:cs="Arial"/>
          <w:sz w:val="20"/>
          <w:szCs w:val="20"/>
          <w:lang w:val="en-US"/>
        </w:rPr>
        <w:t xml:space="preserve">. The lipid content of the samples was determined by the Soxhlet method, in accordance with standard ISO 659 </w:t>
      </w:r>
      <w:r w:rsidR="001A145B" w:rsidRPr="00365CAC">
        <w:rPr>
          <w:rFonts w:ascii="Arial" w:hAnsi="Arial" w:cs="Arial"/>
          <w:sz w:val="20"/>
          <w:szCs w:val="20"/>
          <w:lang w:val="en-US"/>
        </w:rPr>
        <w:fldChar w:fldCharType="begin"/>
      </w:r>
      <w:r w:rsidR="001A145B" w:rsidRPr="00365CAC">
        <w:rPr>
          <w:rFonts w:ascii="Arial" w:hAnsi="Arial" w:cs="Arial"/>
          <w:sz w:val="20"/>
          <w:szCs w:val="20"/>
          <w:lang w:val="en-US"/>
        </w:rPr>
        <w:instrText xml:space="preserve"> ADDIN ZOTERO_ITEM CSL_CITATION {"citationID":"oSOFw0vY","properties":{"unsorted":false,"formattedCitation":"(2021b)","plainCitation":"(2021b)","noteIndex":0},"citationItems":[{"id":422,"uris":["http://zotero.org/users/local/c6S0FUmy/items/9KZ2UXZD"],"itemData":{"id":422,"type":"article-journal","abstract":"Method validation within food science is a not only paramount to assess method certainty and ensure the quality of the results, but a pennant in analytical chemistry. Proximate analysis is an indispensable requirement for food characterization. To improve proximate analysis, automated protein and thermogravimetric methods were validated according to international guidelines (including ISO 17025) and acceptance criteria of results based on certified reference materials and participation within international recognized proficiency schemes. Common food groups (e.g., meat, dairy, and grain products) were included and at the end of validation, we obtained three rugged and accurate methods with adequate z scores (−2 ≥ x ≤ 2) and recoveries (92–105%). During optimization, variables such as gas flows, subsample masses, and temperatures were varied and specific conditions (those that rendered the best results) were selected for each food group. For each validated method, a comparison (technical and economic) among the data obtained and the data extracted for its traditional counterpart were included: assays validated demonstrate to be more cost-effective labor-wise (ca. 9 and 16-fold) than their traditional alternatives. Specifically for combustion assay regression analysis (y = 0.9361x, y = 1.1001x, and y = 0.9739x, for meat, dairy and grain products, respectively) were performed to assess the factor, if any, which must be applied to the results to effectively match those obtained for Kjeldahl method. Finally, in the case of protein, samples can be analyzed under 5 min with no residue and a subsample mass below 400 mg. Moisture and ash analysis can be performed simultaneously using the same subsample. Data herein will also help harmonize and advance food analysis toward more efficient greener methods for proximate analysis.","container-title":"Current Research in Food Science","DOI":"10.1016/j.crfs.2021.11.015","ISSN":"2665-9271","journalAbbreviation":"Current Research in Food Science","page":"900-909","source":"ScienceDirect","title":"Nitrogen/protein and one-step moisture and ash examination in foodstuffs: Validation case analysis using automated combustion and thermogravimetry determination under ISO/IEC 17025 guidelines","title-short":"Nitrogen/protein and one-step moisture and ash examination in foodstuffs","volume":"4","author":[{"family":"Cortés-Herrera","given":"Carolina"},{"family":"Quirós-Fallas","given":"Silvia"},{"family":"Calderón-Calvo","given":"Eduardo"},{"family":"Cordero-Madrigal","given":"Randall"},{"family":"Jiménez","given":"Laura"},{"family":"Granados-Chinchilla","given":"Fabio"},{"family":"Artavia","given":"Graciela"}],"issued":{"date-parts":[["2021",1,1]]}},"suppress-author":true}],"schema":"https://github.com/citation-style-language/schema/raw/master/csl-citation.json"} </w:instrText>
      </w:r>
      <w:r w:rsidR="001A145B" w:rsidRPr="00365CAC">
        <w:rPr>
          <w:rFonts w:ascii="Arial" w:hAnsi="Arial" w:cs="Arial"/>
          <w:sz w:val="20"/>
          <w:szCs w:val="20"/>
          <w:lang w:val="en-US"/>
        </w:rPr>
        <w:fldChar w:fldCharType="separate"/>
      </w:r>
      <w:r w:rsidR="001A145B" w:rsidRPr="00365CAC">
        <w:rPr>
          <w:rFonts w:ascii="Arial" w:hAnsi="Arial" w:cs="Arial"/>
          <w:sz w:val="20"/>
          <w:szCs w:val="20"/>
          <w:lang w:val="en-US"/>
        </w:rPr>
        <w:t>(2021b)</w:t>
      </w:r>
      <w:r w:rsidR="001A145B" w:rsidRPr="00365CAC">
        <w:rPr>
          <w:rFonts w:ascii="Arial" w:hAnsi="Arial" w:cs="Arial"/>
          <w:sz w:val="20"/>
          <w:szCs w:val="20"/>
          <w:lang w:val="en-US"/>
        </w:rPr>
        <w:fldChar w:fldCharType="end"/>
      </w:r>
      <w:r w:rsidRPr="00365CAC">
        <w:rPr>
          <w:rFonts w:ascii="Arial" w:hAnsi="Arial" w:cs="Arial"/>
          <w:sz w:val="20"/>
          <w:szCs w:val="20"/>
          <w:lang w:val="en-US"/>
        </w:rPr>
        <w:t xml:space="preserve">. Protein content was determined using the Kjeldahl method </w:t>
      </w:r>
      <w:r w:rsidR="0084212C" w:rsidRPr="00365CAC">
        <w:rPr>
          <w:rFonts w:ascii="Arial" w:hAnsi="Arial" w:cs="Arial"/>
          <w:sz w:val="20"/>
          <w:szCs w:val="20"/>
          <w:lang w:val="en-US"/>
        </w:rPr>
        <w:fldChar w:fldCharType="begin"/>
      </w:r>
      <w:r w:rsidR="00B77967" w:rsidRPr="00365CAC">
        <w:rPr>
          <w:rFonts w:ascii="Arial" w:hAnsi="Arial" w:cs="Arial"/>
          <w:sz w:val="20"/>
          <w:szCs w:val="20"/>
          <w:lang w:val="en-US"/>
        </w:rPr>
        <w:instrText xml:space="preserve"> ADDIN ZOTERO_ITEM CSL_CITATION {"citationID":"XRjHxJhf","properties":{"unsorted":false,"formattedCitation":"(AOAC, s.\\uc0\\u160{}d.)","plainCitation":"(AOAC, s. d.)","dontUpdate":true,"noteIndex":0},"citationItems":[{"id":391,"uris":["http://zotero.org/users/local/c6S0FUmy/items/U2LZ4JI5"],"itemData":{"id":391,"type":"webpage","title":"AOAC (1984) Méthodes officielles d'analyse. Association des chimistes analystes officiels. 14e édition, AOAC, Arlington. - Références - Scientific Research Publishing","URL":"https://www.scirp.org/reference/ReferencesPapers?ReferenceID=1300500","author":[{"family":"AOAC","given":""}],"accessed":{"date-parts":[["2026",5,18]]}}}],"schema":"https://github.com/citation-style-language/schema/raw/master/csl-citation.json"} </w:instrText>
      </w:r>
      <w:r w:rsidR="0084212C" w:rsidRPr="00365CAC">
        <w:rPr>
          <w:rFonts w:ascii="Arial" w:hAnsi="Arial" w:cs="Arial"/>
          <w:sz w:val="20"/>
          <w:szCs w:val="20"/>
          <w:lang w:val="en-US"/>
        </w:rPr>
        <w:fldChar w:fldCharType="separate"/>
      </w:r>
      <w:r w:rsidR="0084212C" w:rsidRPr="00365CAC">
        <w:rPr>
          <w:rFonts w:ascii="Arial" w:hAnsi="Arial" w:cs="Arial"/>
          <w:kern w:val="0"/>
          <w:sz w:val="20"/>
          <w:szCs w:val="20"/>
          <w:lang w:val="en-US"/>
        </w:rPr>
        <w:t>(AOAC, 1984)</w:t>
      </w:r>
      <w:r w:rsidR="0084212C" w:rsidRPr="00365CAC">
        <w:rPr>
          <w:rFonts w:ascii="Arial" w:hAnsi="Arial" w:cs="Arial"/>
          <w:sz w:val="20"/>
          <w:szCs w:val="20"/>
          <w:lang w:val="en-US"/>
        </w:rPr>
        <w:fldChar w:fldCharType="end"/>
      </w:r>
      <w:r w:rsidRPr="00365CAC">
        <w:rPr>
          <w:rFonts w:ascii="Arial" w:hAnsi="Arial" w:cs="Arial"/>
          <w:sz w:val="20"/>
          <w:szCs w:val="20"/>
          <w:lang w:val="en-US"/>
        </w:rPr>
        <w:t xml:space="preserve"> in accordance with NF V03-050 </w:t>
      </w:r>
      <w:r w:rsidR="00122DFF" w:rsidRPr="00365CAC">
        <w:rPr>
          <w:rFonts w:ascii="Arial" w:hAnsi="Arial" w:cs="Arial"/>
          <w:sz w:val="20"/>
          <w:szCs w:val="20"/>
          <w:lang w:val="en-US"/>
        </w:rPr>
        <w:fldChar w:fldCharType="begin"/>
      </w:r>
      <w:r w:rsidR="00122DFF" w:rsidRPr="00365CAC">
        <w:rPr>
          <w:rFonts w:ascii="Arial" w:hAnsi="Arial" w:cs="Arial"/>
          <w:sz w:val="20"/>
          <w:szCs w:val="20"/>
          <w:lang w:val="en-US"/>
        </w:rPr>
        <w:instrText xml:space="preserve"> ADDIN ZOTERO_ITEM CSL_CITATION {"citationID":"i5fggDIt","properties":{"unsorted":false,"formattedCitation":"(2019)","plainCitation":"(2019)","noteIndex":0},"citationItems":[{"id":425,"uris":["http://zotero.org/users/local/c6S0FUmy/items/GAIA3E2L"],"itemData":{"id":425,"type":"article-journal","abstract":"AbstraitL'objectif de ce travail est d'étudier la faisabilité d'une classification plus objective et rigoureuse des calices d' Hibiscus sabdariffa, basée sur leur profil physico-chimique. À cette fin, 19 analyses ont été réalisées sur 4 variétés de calices cultivées au Sénégal : Vimto, Koor, Thaï et CLT92. L'analyse en composantes principales a montré que 15 paramètres physico-chimiques et biochimiques pourraient potentiellement servir à discriminer les variétés de calices. Les teneurs en polyphénols et en anthocyanes étaient inversement corrélées à la teneur en protéines et permettaient de différencier les variétés Vimto/CLT92 et Koor/Thaï. Au sein de ces deux groupes, le pH et la teneur en lipides permettaient de discriminer chaque variété. Enfin, l'analyse discriminante factorielle a montré que la teneur totale en anthocyanes, la teneur en lipides et la chromaticité C* étaient les 3 paramètres permettant la classification la plus efficace des calices selon la variété, avec une précision de classification de 100 %.Mots-clés : Hibiscus sabdariffa L. ; analyse discriminante ; couleur ; anthocyanes","container-title":"Food Science and Technology","DOI":"https://doi.org/10.1590/1678-457X.29417","ISSN":"0101-2061, 1678-457X","journalAbbreviation":"Food Sci. Technol","language":"en","page":"321-327","publisher":"Sociedade Brasileira de Ciência e Tecnologia de Alimentos","source":"SciELO","title":"Identification of roselle varieties through simple discriminating physicochemical characteristics using multivariate analysis","volume":"39","author":[{"family":"Kane","given":"Alé"},{"family":"Achir","given":"Nawel"},{"family":"Cisse","given":"Mady"},{"family":"Pallet","given":"Dominique"},{"family":"Sakho","given":"Mama"},{"family":"Dornier","given":"Manuel"}],"issued":{"date-parts":[["2019"]]}},"suppress-author":true}],"schema":"https://github.com/citation-style-language/schema/raw/master/csl-citation.json"} </w:instrText>
      </w:r>
      <w:r w:rsidR="00122DFF" w:rsidRPr="00365CAC">
        <w:rPr>
          <w:rFonts w:ascii="Arial" w:hAnsi="Arial" w:cs="Arial"/>
          <w:sz w:val="20"/>
          <w:szCs w:val="20"/>
          <w:lang w:val="en-US"/>
        </w:rPr>
        <w:fldChar w:fldCharType="separate"/>
      </w:r>
      <w:r w:rsidR="00122DFF" w:rsidRPr="00365CAC">
        <w:rPr>
          <w:rFonts w:ascii="Arial" w:hAnsi="Arial" w:cs="Arial"/>
          <w:sz w:val="20"/>
          <w:szCs w:val="20"/>
          <w:lang w:val="en-US"/>
        </w:rPr>
        <w:t>(2019)</w:t>
      </w:r>
      <w:r w:rsidR="00122DFF" w:rsidRPr="00365CAC">
        <w:rPr>
          <w:rFonts w:ascii="Arial" w:hAnsi="Arial" w:cs="Arial"/>
          <w:sz w:val="20"/>
          <w:szCs w:val="20"/>
          <w:lang w:val="en-US"/>
        </w:rPr>
        <w:fldChar w:fldCharType="end"/>
      </w:r>
      <w:r w:rsidRPr="00365CAC">
        <w:rPr>
          <w:rFonts w:ascii="Arial" w:hAnsi="Arial" w:cs="Arial"/>
          <w:sz w:val="20"/>
          <w:szCs w:val="20"/>
          <w:lang w:val="en-US"/>
        </w:rPr>
        <w:t xml:space="preserve">. </w:t>
      </w:r>
      <w:r w:rsidR="009852C4" w:rsidRPr="00365CAC">
        <w:rPr>
          <w:rFonts w:ascii="Arial" w:hAnsi="Arial" w:cs="Arial"/>
          <w:sz w:val="20"/>
          <w:szCs w:val="20"/>
          <w:lang w:val="en-US"/>
        </w:rPr>
        <w:fldChar w:fldCharType="begin"/>
      </w:r>
      <w:r w:rsidR="009852C4" w:rsidRPr="00365CAC">
        <w:rPr>
          <w:rFonts w:ascii="Arial" w:hAnsi="Arial" w:cs="Arial"/>
          <w:sz w:val="20"/>
          <w:szCs w:val="20"/>
          <w:lang w:val="en-US"/>
        </w:rPr>
        <w:instrText xml:space="preserve"> ADDIN ZOTERO_ITEM CSL_CITATION {"citationID":"id2jgrzi","properties":{"unsorted":false,"formattedCitation":"(Nielsen, 2024)","plainCitation":"(Nielsen, 2024)","noteIndex":0},"citationItems":[{"id":461,"uris":["http://zotero.org/users/local/c6S0FUmy/items/PAE8Z3XR"],"itemData":{"id":461,"type":"chapter","abstract":"The phenol-sulfuric acid method is a simple and rapid colorimetric method to determine total carbohydrates in a sample. While the method detects virtually all classes of carbohydrates (mono-, di-, oligo-, and polysaccharides), the absorptivity of the different carbohydrates varies. Thus, unless a sample is known to contain only one carbohydrate, the results must be expressed arbitrarily in terms of one carbohydrate. In this laboratory exercise, the total carbohydrate content of soft drinks and beers is determined with the phenol-sulfuric acid method, using a glucose standard curve. Data generated are used to calculate the caloric content of those beverages.","container-title":"Nielsen's Food Analysis Laboratory Manual","DOI":"10.1007/978-3-031-44970-3_17","ISBN":"978-3-031-44970-3","language":"en","page":"147-151","publisher":"Springer International Publishing","publisher-place":"Cham","source":"Springer Link","title":"Total Carbohydrate by Phenol-Sulfuric Acid Method","URL":"https://doi.org/10.1007/978-3-031-44970-3_17","author":[{"family":"Nielsen","given":"S. Suzanne"}],"editor":[{"family":"Ismail","given":"B. Pam"},{"family":"Nielsen","given":"S. Suzanne"}],"accessed":{"date-parts":[["2026",5,22]]},"issued":{"date-parts":[["2024"]]}}}],"schema":"https://github.com/citation-style-language/schema/raw/master/csl-citation.json"} </w:instrText>
      </w:r>
      <w:r w:rsidR="009852C4" w:rsidRPr="00365CAC">
        <w:rPr>
          <w:rFonts w:ascii="Arial" w:hAnsi="Arial" w:cs="Arial"/>
          <w:sz w:val="20"/>
          <w:szCs w:val="20"/>
          <w:lang w:val="en-US"/>
        </w:rPr>
        <w:fldChar w:fldCharType="separate"/>
      </w:r>
      <w:r w:rsidR="009852C4" w:rsidRPr="00365CAC">
        <w:rPr>
          <w:rFonts w:ascii="Arial" w:hAnsi="Arial" w:cs="Arial"/>
          <w:sz w:val="20"/>
          <w:szCs w:val="20"/>
          <w:lang w:val="en-US"/>
        </w:rPr>
        <w:t>(Nielsen, 2024)</w:t>
      </w:r>
      <w:r w:rsidR="009852C4" w:rsidRPr="00365CAC">
        <w:rPr>
          <w:rFonts w:ascii="Arial" w:hAnsi="Arial" w:cs="Arial"/>
          <w:sz w:val="20"/>
          <w:szCs w:val="20"/>
          <w:lang w:val="en-US"/>
        </w:rPr>
        <w:fldChar w:fldCharType="end"/>
      </w:r>
      <w:r w:rsidRPr="00365CAC">
        <w:rPr>
          <w:rFonts w:ascii="Arial" w:hAnsi="Arial" w:cs="Arial"/>
          <w:sz w:val="20"/>
          <w:szCs w:val="20"/>
          <w:lang w:val="en-US"/>
        </w:rPr>
        <w:t xml:space="preserve">  The determination of these parameters began with the collection of 5 g of a powdered sample of young Hibiscus cannabinus leaves. In accordance with the protocols of the respective standards, the content of the various parameters was determined using the formulas listed in Table I. </w:t>
      </w:r>
    </w:p>
    <w:p w14:paraId="6CD68BC8" w14:textId="1279CECB" w:rsidR="001A57FC" w:rsidRDefault="001A57FC" w:rsidP="002334EB">
      <w:pPr>
        <w:spacing w:line="360" w:lineRule="auto"/>
        <w:jc w:val="both"/>
        <w:rPr>
          <w:rFonts w:ascii="Arial" w:hAnsi="Arial" w:cs="Arial"/>
          <w:sz w:val="20"/>
          <w:szCs w:val="20"/>
          <w:lang w:val="en-US"/>
        </w:rPr>
      </w:pPr>
      <w:r w:rsidRPr="00365CAC">
        <w:rPr>
          <w:rFonts w:ascii="Arial" w:hAnsi="Arial" w:cs="Arial"/>
          <w:sz w:val="20"/>
          <w:szCs w:val="20"/>
          <w:lang w:val="en-US"/>
        </w:rPr>
        <w:t xml:space="preserve">The minerals were determined by atomic absorption spectrophotometry according to the AOAC digestion method </w:t>
      </w:r>
      <w:r w:rsidR="00D57D02" w:rsidRPr="00365CAC">
        <w:rPr>
          <w:rFonts w:ascii="Arial" w:hAnsi="Arial" w:cs="Arial"/>
          <w:sz w:val="20"/>
          <w:szCs w:val="20"/>
          <w:lang w:val="en-US"/>
        </w:rPr>
        <w:fldChar w:fldCharType="begin"/>
      </w:r>
      <w:r w:rsidR="00D57D02" w:rsidRPr="00365CAC">
        <w:rPr>
          <w:rFonts w:ascii="Arial" w:hAnsi="Arial" w:cs="Arial"/>
          <w:sz w:val="20"/>
          <w:szCs w:val="20"/>
          <w:lang w:val="en-US"/>
        </w:rPr>
        <w:instrText xml:space="preserve"> ADDIN ZOTERO_ITEM CSL_CITATION {"citationID":"R08Jgy86","properties":{"unsorted":false,"formattedCitation":"(2016)","plainCitation":"(2016)","noteIndex":0},"citationItems":[{"id":457,"uris":["http://zotero.org/users/local/c6S0FUmy/items/NQ42B4P4"],"itemData":{"id":457,"type":"article-journal","abstract":"Traditional medicine mainly of herbal origin is widely used all around the world. Heavy metal contamination in such products is frequently reported. Accumulation of heavy metals in the human body leads to various health hazards. Thus, precise determination for such contaminants is required for safety assurance. Sample preparation is a significant step in spectroscopic analysis to achieve reliable and accurate results. Wet digestion methods are basically used for the dissolution of herbal product samples prior to elemental analysis.","container-title":"Journal of Analytical Science and Technology","DOI":"10.1186/s40543-016-0085-6","ISSN":"2093-3371","issue":"1","journalAbbreviation":"J Anal Sci Technol","language":"en","page":"6","source":"Springer Link","title":"Comparative study of three digestion methods for elemental analysis in traditional medicine products using atomic absorption spectrometry","volume":"7","author":[{"family":"Uddin","given":"ABM Helal"},{"family":"Khalid","given":"Reem Saadi"},{"family":"Alaama","given":"Mohamed"},{"family":"Abdualkader","given":"Abdualrahman M."},{"family":"Kasmuri","given":"Abdulrazak"},{"family":"Abbas","given":"S. A."}],"issued":{"date-parts":[["2016",1,30]]}},"suppress-author":true}],"schema":"https://github.com/citation-style-language/schema/raw/master/csl-citation.json"} </w:instrText>
      </w:r>
      <w:r w:rsidR="00D57D02" w:rsidRPr="00365CAC">
        <w:rPr>
          <w:rFonts w:ascii="Arial" w:hAnsi="Arial" w:cs="Arial"/>
          <w:sz w:val="20"/>
          <w:szCs w:val="20"/>
          <w:lang w:val="en-US"/>
        </w:rPr>
        <w:fldChar w:fldCharType="separate"/>
      </w:r>
      <w:r w:rsidR="00D57D02" w:rsidRPr="00365CAC">
        <w:rPr>
          <w:rFonts w:ascii="Arial" w:hAnsi="Arial" w:cs="Arial"/>
          <w:sz w:val="20"/>
          <w:szCs w:val="20"/>
          <w:lang w:val="en-US"/>
        </w:rPr>
        <w:t>(2016)</w:t>
      </w:r>
      <w:r w:rsidR="00D57D02" w:rsidRPr="00365CAC">
        <w:rPr>
          <w:rFonts w:ascii="Arial" w:hAnsi="Arial" w:cs="Arial"/>
          <w:sz w:val="20"/>
          <w:szCs w:val="20"/>
          <w:lang w:val="en-US"/>
        </w:rPr>
        <w:fldChar w:fldCharType="end"/>
      </w:r>
      <w:r w:rsidR="00D57D02" w:rsidRPr="00365CAC">
        <w:rPr>
          <w:rFonts w:ascii="Arial" w:hAnsi="Arial" w:cs="Arial"/>
          <w:sz w:val="20"/>
          <w:szCs w:val="20"/>
          <w:lang w:val="en-US"/>
        </w:rPr>
        <w:t xml:space="preserve"> </w:t>
      </w:r>
      <w:r w:rsidRPr="00365CAC">
        <w:rPr>
          <w:rFonts w:ascii="Arial" w:hAnsi="Arial" w:cs="Arial"/>
          <w:sz w:val="20"/>
          <w:szCs w:val="20"/>
          <w:lang w:val="en-US"/>
        </w:rPr>
        <w:t>using strong acids. Thus, 0.5 g of ash from the incineration of each sample powder was dissolved in 31 mL of a mixture consisting of perchloric acid (11.80 mol/L), nitric acid (14.44 mol/L), and sulfuric acid (18.01 mol/L). The resulting mixture, thoroughly stirred under a fume hood, was heated on a hot plate until thick white fumes appeared. The reaction mixture was then cooled on the lab bench for 10 min, then diluted in 50 ml of distilled water. It was brought to a boil again for 30 min</w:t>
      </w:r>
      <w:r w:rsidR="00787DA6" w:rsidRPr="00365CAC">
        <w:rPr>
          <w:rFonts w:ascii="Arial" w:hAnsi="Arial" w:cs="Arial"/>
          <w:sz w:val="20"/>
          <w:szCs w:val="20"/>
          <w:lang w:val="en-US"/>
        </w:rPr>
        <w:t>utes</w:t>
      </w:r>
      <w:r w:rsidRPr="00365CAC">
        <w:rPr>
          <w:rFonts w:ascii="Arial" w:hAnsi="Arial" w:cs="Arial"/>
          <w:sz w:val="20"/>
          <w:szCs w:val="20"/>
          <w:lang w:val="en-US"/>
        </w:rPr>
        <w:t xml:space="preserve">, then cooled under the same conditions. The mixture was then filtered through Whatman filter paper, and the filtrate was made up to the mark on the flask (50 mL) with distilled water. The content of each mineral element was determined using a </w:t>
      </w:r>
      <w:r w:rsidRPr="00365CAC">
        <w:rPr>
          <w:rFonts w:ascii="Arial" w:hAnsi="Arial" w:cs="Arial"/>
          <w:i/>
          <w:iCs/>
          <w:sz w:val="20"/>
          <w:szCs w:val="20"/>
          <w:lang w:val="en-US"/>
        </w:rPr>
        <w:t>VARIAN AA.20</w:t>
      </w:r>
      <w:r w:rsidRPr="00365CAC">
        <w:rPr>
          <w:rFonts w:ascii="Arial" w:hAnsi="Arial" w:cs="Arial"/>
          <w:sz w:val="20"/>
          <w:szCs w:val="20"/>
          <w:lang w:val="en-US"/>
        </w:rPr>
        <w:t xml:space="preserve"> flame atomic spectrophotometer at a specific wavelength by comparison with standard solutions. The contents were expressed in mg/100 g of dry matter (DM).</w:t>
      </w:r>
    </w:p>
    <w:p w14:paraId="5EEC289E" w14:textId="77777777" w:rsidR="0046076C" w:rsidRDefault="0046076C" w:rsidP="002334EB">
      <w:pPr>
        <w:spacing w:line="360" w:lineRule="auto"/>
        <w:jc w:val="both"/>
        <w:rPr>
          <w:rFonts w:ascii="Arial" w:hAnsi="Arial" w:cs="Arial"/>
          <w:sz w:val="20"/>
          <w:szCs w:val="20"/>
          <w:lang w:val="en-US"/>
        </w:rPr>
      </w:pPr>
    </w:p>
    <w:p w14:paraId="1DFC15F4" w14:textId="77777777" w:rsidR="0046076C" w:rsidRDefault="0046076C" w:rsidP="002334EB">
      <w:pPr>
        <w:spacing w:line="360" w:lineRule="auto"/>
        <w:jc w:val="both"/>
        <w:rPr>
          <w:rFonts w:ascii="Arial" w:hAnsi="Arial" w:cs="Arial"/>
          <w:sz w:val="20"/>
          <w:szCs w:val="20"/>
          <w:lang w:val="en-US"/>
        </w:rPr>
      </w:pPr>
    </w:p>
    <w:p w14:paraId="1F3CED66" w14:textId="77777777" w:rsidR="0046076C" w:rsidRPr="00365CAC" w:rsidRDefault="0046076C" w:rsidP="002334EB">
      <w:pPr>
        <w:spacing w:line="360" w:lineRule="auto"/>
        <w:jc w:val="both"/>
        <w:rPr>
          <w:rFonts w:ascii="Arial" w:hAnsi="Arial" w:cs="Arial"/>
          <w:sz w:val="20"/>
          <w:szCs w:val="20"/>
          <w:lang w:val="en-US"/>
        </w:rPr>
      </w:pPr>
    </w:p>
    <w:p w14:paraId="7DBD79F4" w14:textId="77777777" w:rsidR="001A57FC" w:rsidRPr="00365CAC" w:rsidRDefault="001A57FC" w:rsidP="002334EB">
      <w:pPr>
        <w:spacing w:line="360" w:lineRule="auto"/>
        <w:jc w:val="both"/>
        <w:rPr>
          <w:rFonts w:ascii="Arial" w:hAnsi="Arial" w:cs="Arial"/>
          <w:sz w:val="20"/>
          <w:szCs w:val="20"/>
          <w:lang w:val="en-US"/>
        </w:rPr>
      </w:pPr>
      <w:r w:rsidRPr="00365CAC">
        <w:rPr>
          <w:rFonts w:ascii="Arial" w:hAnsi="Arial" w:cs="Arial"/>
          <w:sz w:val="20"/>
          <w:szCs w:val="20"/>
          <w:lang w:val="en-US"/>
        </w:rPr>
        <w:lastRenderedPageBreak/>
        <w:t>Table I: Formulas used for estimating physicochemical parameters</w:t>
      </w:r>
    </w:p>
    <w:p w14:paraId="68FC810C" w14:textId="77777777" w:rsidR="001A57FC" w:rsidRPr="00365CAC" w:rsidRDefault="001A57FC" w:rsidP="002334EB">
      <w:pPr>
        <w:spacing w:line="360" w:lineRule="auto"/>
        <w:jc w:val="both"/>
        <w:rPr>
          <w:rFonts w:ascii="Arial" w:hAnsi="Arial" w:cs="Arial"/>
          <w:sz w:val="22"/>
          <w:szCs w:val="22"/>
          <w:lang w:val="en-US"/>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559"/>
        <w:gridCol w:w="2386"/>
        <w:gridCol w:w="6127"/>
      </w:tblGrid>
      <w:tr w:rsidR="00743CC8" w:rsidRPr="00365CAC" w14:paraId="44B1F535" w14:textId="77777777">
        <w:tc>
          <w:tcPr>
            <w:tcW w:w="562" w:type="dxa"/>
            <w:tcBorders>
              <w:bottom w:val="single" w:sz="4" w:space="0" w:color="auto"/>
            </w:tcBorders>
          </w:tcPr>
          <w:p w14:paraId="401546D7" w14:textId="77777777" w:rsidR="00743CC8" w:rsidRPr="00365CAC" w:rsidRDefault="00743CC8" w:rsidP="002334EB">
            <w:pPr>
              <w:autoSpaceDN w:val="0"/>
              <w:spacing w:after="120" w:line="360" w:lineRule="auto"/>
              <w:jc w:val="both"/>
              <w:rPr>
                <w:rFonts w:ascii="Arial" w:eastAsia="Times New Roman" w:hAnsi="Arial" w:cs="Arial"/>
                <w:b/>
                <w:bCs/>
                <w:color w:val="000000"/>
                <w:kern w:val="0"/>
                <w:sz w:val="20"/>
                <w:szCs w:val="20"/>
                <w:lang w:val="fr-FR" w:eastAsia="fr-FR"/>
                <w14:ligatures w14:val="none"/>
              </w:rPr>
            </w:pPr>
            <w:r w:rsidRPr="00365CAC">
              <w:rPr>
                <w:rFonts w:ascii="Arial" w:eastAsia="Times New Roman" w:hAnsi="Arial" w:cs="Arial"/>
                <w:b/>
                <w:bCs/>
                <w:color w:val="000000"/>
                <w:kern w:val="0"/>
                <w:sz w:val="20"/>
                <w:szCs w:val="20"/>
                <w:lang w:val="fr-FR" w:eastAsia="fr-FR"/>
                <w14:ligatures w14:val="none"/>
              </w:rPr>
              <w:t>N</w:t>
            </w:r>
            <w:r w:rsidRPr="00365CAC">
              <w:rPr>
                <w:rFonts w:ascii="Arial" w:eastAsia="Times New Roman" w:hAnsi="Arial" w:cs="Arial"/>
                <w:b/>
                <w:bCs/>
                <w:color w:val="000000"/>
                <w:kern w:val="0"/>
                <w:sz w:val="20"/>
                <w:szCs w:val="20"/>
                <w:u w:val="single"/>
                <w:vertAlign w:val="superscript"/>
                <w:lang w:val="fr-FR" w:eastAsia="fr-FR"/>
                <w14:ligatures w14:val="none"/>
              </w:rPr>
              <w:t xml:space="preserve">0 </w:t>
            </w:r>
          </w:p>
        </w:tc>
        <w:tc>
          <w:tcPr>
            <w:tcW w:w="2410" w:type="dxa"/>
            <w:tcBorders>
              <w:bottom w:val="single" w:sz="4" w:space="0" w:color="auto"/>
            </w:tcBorders>
          </w:tcPr>
          <w:p w14:paraId="0B4B7AEE" w14:textId="11561002" w:rsidR="00743CC8" w:rsidRPr="00365CAC" w:rsidRDefault="00743CC8" w:rsidP="002334EB">
            <w:pPr>
              <w:autoSpaceDN w:val="0"/>
              <w:spacing w:after="120" w:line="360" w:lineRule="auto"/>
              <w:jc w:val="both"/>
              <w:rPr>
                <w:rFonts w:ascii="Arial" w:eastAsia="Times New Roman" w:hAnsi="Arial" w:cs="Arial"/>
                <w:b/>
                <w:bCs/>
                <w:color w:val="000000"/>
                <w:kern w:val="0"/>
                <w:sz w:val="20"/>
                <w:szCs w:val="20"/>
                <w:lang w:val="fr-FR" w:eastAsia="fr-FR"/>
                <w14:ligatures w14:val="none"/>
              </w:rPr>
            </w:pPr>
            <w:proofErr w:type="spellStart"/>
            <w:r w:rsidRPr="00365CAC">
              <w:rPr>
                <w:rFonts w:ascii="Arial" w:eastAsia="Times New Roman" w:hAnsi="Arial" w:cs="Arial"/>
                <w:b/>
                <w:bCs/>
                <w:color w:val="000000"/>
                <w:kern w:val="0"/>
                <w:sz w:val="20"/>
                <w:szCs w:val="20"/>
                <w:lang w:val="fr-FR" w:eastAsia="fr-FR"/>
                <w14:ligatures w14:val="none"/>
              </w:rPr>
              <w:t>Parameters</w:t>
            </w:r>
            <w:proofErr w:type="spellEnd"/>
          </w:p>
        </w:tc>
        <w:tc>
          <w:tcPr>
            <w:tcW w:w="6237" w:type="dxa"/>
            <w:tcBorders>
              <w:bottom w:val="single" w:sz="4" w:space="0" w:color="auto"/>
            </w:tcBorders>
          </w:tcPr>
          <w:p w14:paraId="69B7A140" w14:textId="3C9CFA18" w:rsidR="00743CC8" w:rsidRPr="00365CAC" w:rsidRDefault="00743CC8" w:rsidP="002334EB">
            <w:pPr>
              <w:autoSpaceDN w:val="0"/>
              <w:spacing w:after="120" w:line="360" w:lineRule="auto"/>
              <w:jc w:val="both"/>
              <w:rPr>
                <w:rFonts w:ascii="Arial" w:eastAsia="Times New Roman" w:hAnsi="Arial" w:cs="Arial"/>
                <w:b/>
                <w:bCs/>
                <w:color w:val="000000"/>
                <w:kern w:val="0"/>
                <w:sz w:val="20"/>
                <w:szCs w:val="20"/>
                <w:lang w:val="fr-FR" w:eastAsia="fr-FR"/>
                <w14:ligatures w14:val="none"/>
              </w:rPr>
            </w:pPr>
            <w:r w:rsidRPr="00365CAC">
              <w:rPr>
                <w:rFonts w:ascii="Arial" w:eastAsia="Times New Roman" w:hAnsi="Arial" w:cs="Arial"/>
                <w:b/>
                <w:bCs/>
                <w:color w:val="000000"/>
                <w:kern w:val="0"/>
                <w:sz w:val="20"/>
                <w:szCs w:val="20"/>
                <w:lang w:val="fr-FR" w:eastAsia="fr-FR"/>
                <w14:ligatures w14:val="none"/>
              </w:rPr>
              <w:t>Formulas used</w:t>
            </w:r>
          </w:p>
        </w:tc>
      </w:tr>
      <w:tr w:rsidR="00743CC8" w:rsidRPr="00365CAC" w14:paraId="3872DC88" w14:textId="77777777">
        <w:tc>
          <w:tcPr>
            <w:tcW w:w="562" w:type="dxa"/>
            <w:tcBorders>
              <w:bottom w:val="nil"/>
            </w:tcBorders>
          </w:tcPr>
          <w:p w14:paraId="7A18CDBD" w14:textId="77777777" w:rsidR="00743CC8" w:rsidRPr="00365CAC" w:rsidRDefault="00743CC8" w:rsidP="002334EB">
            <w:pPr>
              <w:autoSpaceDN w:val="0"/>
              <w:spacing w:after="120" w:line="360" w:lineRule="auto"/>
              <w:jc w:val="both"/>
              <w:rPr>
                <w:rFonts w:ascii="Arial" w:eastAsia="Times New Roman" w:hAnsi="Arial" w:cs="Arial"/>
                <w:color w:val="000000"/>
                <w:kern w:val="0"/>
                <w:sz w:val="20"/>
                <w:szCs w:val="20"/>
                <w:lang w:val="fr-FR" w:eastAsia="fr-FR"/>
                <w14:ligatures w14:val="none"/>
              </w:rPr>
            </w:pPr>
            <w:r w:rsidRPr="00365CAC">
              <w:rPr>
                <w:rFonts w:ascii="Arial" w:eastAsia="Times New Roman" w:hAnsi="Arial" w:cs="Arial"/>
                <w:color w:val="000000"/>
                <w:kern w:val="0"/>
                <w:sz w:val="20"/>
                <w:szCs w:val="20"/>
                <w:lang w:val="fr-FR" w:eastAsia="fr-FR"/>
                <w14:ligatures w14:val="none"/>
              </w:rPr>
              <w:t>1</w:t>
            </w:r>
          </w:p>
        </w:tc>
        <w:tc>
          <w:tcPr>
            <w:tcW w:w="2410" w:type="dxa"/>
            <w:tcBorders>
              <w:bottom w:val="nil"/>
            </w:tcBorders>
          </w:tcPr>
          <w:p w14:paraId="2499C38C" w14:textId="6A0AC9E1" w:rsidR="00743CC8" w:rsidRPr="00365CAC" w:rsidRDefault="00743CC8" w:rsidP="002334EB">
            <w:pPr>
              <w:autoSpaceDN w:val="0"/>
              <w:spacing w:after="120" w:line="360" w:lineRule="auto"/>
              <w:jc w:val="both"/>
              <w:rPr>
                <w:rFonts w:ascii="Arial" w:eastAsia="Times New Roman" w:hAnsi="Arial" w:cs="Arial"/>
                <w:color w:val="000000"/>
                <w:kern w:val="0"/>
                <w:sz w:val="20"/>
                <w:szCs w:val="20"/>
                <w:lang w:val="fr-FR" w:eastAsia="fr-FR"/>
                <w14:ligatures w14:val="none"/>
              </w:rPr>
            </w:pPr>
            <w:proofErr w:type="spellStart"/>
            <w:proofErr w:type="gramStart"/>
            <w:r w:rsidRPr="00365CAC">
              <w:rPr>
                <w:rFonts w:ascii="Arial" w:eastAsia="Times New Roman" w:hAnsi="Arial" w:cs="Arial"/>
                <w:color w:val="000000"/>
                <w:kern w:val="0"/>
                <w:sz w:val="20"/>
                <w:szCs w:val="20"/>
                <w:lang w:val="fr-FR" w:eastAsia="fr-FR"/>
                <w14:ligatures w14:val="none"/>
              </w:rPr>
              <w:t>moisture</w:t>
            </w:r>
            <w:proofErr w:type="spellEnd"/>
            <w:proofErr w:type="gramEnd"/>
            <w:r w:rsidRPr="00365CAC">
              <w:rPr>
                <w:rFonts w:ascii="Arial" w:eastAsia="Times New Roman" w:hAnsi="Arial" w:cs="Arial"/>
                <w:color w:val="000000"/>
                <w:kern w:val="0"/>
                <w:sz w:val="20"/>
                <w:szCs w:val="20"/>
                <w:lang w:val="fr-FR" w:eastAsia="fr-FR"/>
                <w14:ligatures w14:val="none"/>
              </w:rPr>
              <w:t xml:space="preserve"> (%)</w:t>
            </w:r>
          </w:p>
        </w:tc>
        <w:tc>
          <w:tcPr>
            <w:tcW w:w="6237" w:type="dxa"/>
            <w:tcBorders>
              <w:bottom w:val="nil"/>
            </w:tcBorders>
          </w:tcPr>
          <w:p w14:paraId="39EF9D50" w14:textId="77777777" w:rsidR="00743CC8" w:rsidRPr="00365CAC" w:rsidRDefault="00743CC8" w:rsidP="002334EB">
            <w:pPr>
              <w:autoSpaceDN w:val="0"/>
              <w:spacing w:after="120" w:line="360" w:lineRule="auto"/>
              <w:jc w:val="both"/>
              <w:rPr>
                <w:rFonts w:ascii="Arial" w:eastAsia="Times New Roman" w:hAnsi="Arial" w:cs="Arial"/>
                <w:color w:val="000000"/>
                <w:kern w:val="0"/>
                <w:sz w:val="20"/>
                <w:szCs w:val="20"/>
                <w:lang w:eastAsia="fr-FR"/>
                <w14:ligatures w14:val="none"/>
              </w:rPr>
            </w:pPr>
            <w:r w:rsidRPr="00365CAC">
              <w:rPr>
                <w:rFonts w:ascii="Arial" w:eastAsia="Times New Roman" w:hAnsi="Arial" w:cs="Arial"/>
                <w:color w:val="000000"/>
                <w:kern w:val="0"/>
                <w:sz w:val="20"/>
                <w:szCs w:val="20"/>
                <w:lang w:eastAsia="fr-FR"/>
                <w14:ligatures w14:val="none"/>
              </w:rPr>
              <w:t>H (%) = [Pe - (</w:t>
            </w:r>
            <w:proofErr w:type="spellStart"/>
            <w:r w:rsidRPr="00365CAC">
              <w:rPr>
                <w:rFonts w:ascii="Arial" w:eastAsia="Times New Roman" w:hAnsi="Arial" w:cs="Arial"/>
                <w:color w:val="000000"/>
                <w:kern w:val="0"/>
                <w:sz w:val="20"/>
                <w:szCs w:val="20"/>
                <w:lang w:eastAsia="fr-FR"/>
                <w14:ligatures w14:val="none"/>
              </w:rPr>
              <w:t>Pf-Pv</w:t>
            </w:r>
            <w:proofErr w:type="spellEnd"/>
            <w:r w:rsidRPr="00365CAC">
              <w:rPr>
                <w:rFonts w:ascii="Arial" w:eastAsia="Times New Roman" w:hAnsi="Arial" w:cs="Arial"/>
                <w:color w:val="000000"/>
                <w:kern w:val="0"/>
                <w:sz w:val="20"/>
                <w:szCs w:val="20"/>
                <w:lang w:eastAsia="fr-FR"/>
                <w14:ligatures w14:val="none"/>
              </w:rPr>
              <w:t xml:space="preserve">) </w:t>
            </w:r>
            <w:r w:rsidRPr="00365CAC">
              <w:rPr>
                <w:rFonts w:ascii="Arial" w:eastAsia="Times New Roman" w:hAnsi="Arial" w:cs="Arial"/>
                <w:b/>
                <w:bCs/>
                <w:color w:val="000000"/>
                <w:kern w:val="0"/>
                <w:sz w:val="20"/>
                <w:szCs w:val="20"/>
                <w:lang w:eastAsia="fr-FR"/>
                <w14:ligatures w14:val="none"/>
              </w:rPr>
              <w:t xml:space="preserve">/ </w:t>
            </w:r>
            <w:r w:rsidRPr="00365CAC">
              <w:rPr>
                <w:rFonts w:ascii="Arial" w:eastAsia="Times New Roman" w:hAnsi="Arial" w:cs="Arial"/>
                <w:color w:val="000000"/>
                <w:kern w:val="0"/>
                <w:sz w:val="20"/>
                <w:szCs w:val="20"/>
                <w:lang w:eastAsia="fr-FR"/>
                <w14:ligatures w14:val="none"/>
              </w:rPr>
              <w:t>Pe] x 100</w:t>
            </w:r>
          </w:p>
        </w:tc>
      </w:tr>
      <w:tr w:rsidR="00743CC8" w:rsidRPr="00365CAC" w14:paraId="5C4D2FAE" w14:textId="77777777">
        <w:tc>
          <w:tcPr>
            <w:tcW w:w="562" w:type="dxa"/>
            <w:tcBorders>
              <w:top w:val="nil"/>
              <w:bottom w:val="nil"/>
            </w:tcBorders>
          </w:tcPr>
          <w:p w14:paraId="29831869" w14:textId="77777777" w:rsidR="00743CC8" w:rsidRPr="00365CAC" w:rsidRDefault="00743CC8" w:rsidP="002334EB">
            <w:pPr>
              <w:autoSpaceDN w:val="0"/>
              <w:spacing w:after="120" w:line="360" w:lineRule="auto"/>
              <w:jc w:val="both"/>
              <w:rPr>
                <w:rFonts w:ascii="Arial" w:eastAsia="Times New Roman" w:hAnsi="Arial" w:cs="Arial"/>
                <w:color w:val="000000"/>
                <w:kern w:val="0"/>
                <w:sz w:val="20"/>
                <w:szCs w:val="20"/>
                <w:lang w:val="fr-FR" w:eastAsia="fr-FR"/>
                <w14:ligatures w14:val="none"/>
              </w:rPr>
            </w:pPr>
            <w:r w:rsidRPr="00365CAC">
              <w:rPr>
                <w:rFonts w:ascii="Arial" w:eastAsia="Times New Roman" w:hAnsi="Arial" w:cs="Arial"/>
                <w:color w:val="000000"/>
                <w:kern w:val="0"/>
                <w:sz w:val="20"/>
                <w:szCs w:val="20"/>
                <w:lang w:val="fr-FR" w:eastAsia="fr-FR"/>
                <w14:ligatures w14:val="none"/>
              </w:rPr>
              <w:t>2</w:t>
            </w:r>
          </w:p>
        </w:tc>
        <w:tc>
          <w:tcPr>
            <w:tcW w:w="2410" w:type="dxa"/>
            <w:tcBorders>
              <w:top w:val="nil"/>
              <w:bottom w:val="nil"/>
            </w:tcBorders>
          </w:tcPr>
          <w:p w14:paraId="254C472B" w14:textId="62945243" w:rsidR="00743CC8" w:rsidRPr="00365CAC" w:rsidRDefault="00743CC8" w:rsidP="002334EB">
            <w:pPr>
              <w:autoSpaceDN w:val="0"/>
              <w:spacing w:after="120" w:line="360" w:lineRule="auto"/>
              <w:jc w:val="both"/>
              <w:rPr>
                <w:rFonts w:ascii="Arial" w:eastAsia="Times New Roman" w:hAnsi="Arial" w:cs="Arial"/>
                <w:color w:val="000000"/>
                <w:kern w:val="0"/>
                <w:sz w:val="20"/>
                <w:szCs w:val="20"/>
                <w:lang w:val="fr-FR" w:eastAsia="fr-FR"/>
                <w14:ligatures w14:val="none"/>
              </w:rPr>
            </w:pPr>
            <w:r w:rsidRPr="00365CAC">
              <w:rPr>
                <w:rFonts w:ascii="Arial" w:eastAsia="Times New Roman" w:hAnsi="Arial" w:cs="Arial"/>
                <w:color w:val="000000"/>
                <w:kern w:val="0"/>
                <w:sz w:val="20"/>
                <w:szCs w:val="20"/>
                <w:lang w:val="fr-FR" w:eastAsia="fr-FR"/>
                <w14:ligatures w14:val="none"/>
              </w:rPr>
              <w:t>Ash (%)</w:t>
            </w:r>
          </w:p>
        </w:tc>
        <w:tc>
          <w:tcPr>
            <w:tcW w:w="6237" w:type="dxa"/>
            <w:tcBorders>
              <w:top w:val="nil"/>
              <w:bottom w:val="nil"/>
            </w:tcBorders>
          </w:tcPr>
          <w:p w14:paraId="7A52F9FC" w14:textId="77777777" w:rsidR="00743CC8" w:rsidRPr="00365CAC" w:rsidRDefault="00743CC8" w:rsidP="002334EB">
            <w:pPr>
              <w:autoSpaceDN w:val="0"/>
              <w:spacing w:after="120" w:line="360" w:lineRule="auto"/>
              <w:jc w:val="both"/>
              <w:rPr>
                <w:rFonts w:ascii="Arial" w:eastAsia="Times New Roman" w:hAnsi="Arial" w:cs="Arial"/>
                <w:color w:val="000000"/>
                <w:kern w:val="0"/>
                <w:sz w:val="20"/>
                <w:szCs w:val="20"/>
                <w:lang w:val="fr-FR" w:eastAsia="fr-FR"/>
                <w14:ligatures w14:val="none"/>
              </w:rPr>
            </w:pPr>
            <w:r w:rsidRPr="00365CAC">
              <w:rPr>
                <w:rFonts w:ascii="Arial" w:eastAsia="Times New Roman" w:hAnsi="Arial" w:cs="Arial"/>
                <w:color w:val="000000"/>
                <w:kern w:val="0"/>
                <w:sz w:val="20"/>
                <w:szCs w:val="20"/>
                <w:lang w:val="fr-FR" w:eastAsia="fr-FR"/>
                <w14:ligatures w14:val="none"/>
              </w:rPr>
              <w:t xml:space="preserve">C (%) = (Pf – </w:t>
            </w:r>
            <w:proofErr w:type="spellStart"/>
            <w:r w:rsidRPr="00365CAC">
              <w:rPr>
                <w:rFonts w:ascii="Arial" w:eastAsia="Times New Roman" w:hAnsi="Arial" w:cs="Arial"/>
                <w:color w:val="000000"/>
                <w:kern w:val="0"/>
                <w:sz w:val="20"/>
                <w:szCs w:val="20"/>
                <w:lang w:val="fr-FR" w:eastAsia="fr-FR"/>
                <w14:ligatures w14:val="none"/>
              </w:rPr>
              <w:t>Pv</w:t>
            </w:r>
            <w:proofErr w:type="spellEnd"/>
            <w:r w:rsidRPr="00365CAC">
              <w:rPr>
                <w:rFonts w:ascii="Arial" w:eastAsia="Times New Roman" w:hAnsi="Arial" w:cs="Arial"/>
                <w:color w:val="000000"/>
                <w:kern w:val="0"/>
                <w:sz w:val="20"/>
                <w:szCs w:val="20"/>
                <w:lang w:val="fr-FR" w:eastAsia="fr-FR"/>
                <w14:ligatures w14:val="none"/>
              </w:rPr>
              <w:t xml:space="preserve"> / </w:t>
            </w:r>
            <w:proofErr w:type="spellStart"/>
            <w:r w:rsidRPr="00365CAC">
              <w:rPr>
                <w:rFonts w:ascii="Arial" w:eastAsia="Times New Roman" w:hAnsi="Arial" w:cs="Arial"/>
                <w:color w:val="000000"/>
                <w:kern w:val="0"/>
                <w:sz w:val="20"/>
                <w:szCs w:val="20"/>
                <w:lang w:val="fr-FR" w:eastAsia="fr-FR"/>
                <w14:ligatures w14:val="none"/>
              </w:rPr>
              <w:t>Pe</w:t>
            </w:r>
            <w:proofErr w:type="spellEnd"/>
            <w:r w:rsidRPr="00365CAC">
              <w:rPr>
                <w:rFonts w:ascii="Arial" w:eastAsia="Times New Roman" w:hAnsi="Arial" w:cs="Arial"/>
                <w:color w:val="000000"/>
                <w:kern w:val="0"/>
                <w:sz w:val="20"/>
                <w:szCs w:val="20"/>
                <w:lang w:val="fr-FR" w:eastAsia="fr-FR"/>
                <w14:ligatures w14:val="none"/>
              </w:rPr>
              <w:t>) x 100</w:t>
            </w:r>
          </w:p>
        </w:tc>
      </w:tr>
      <w:tr w:rsidR="00743CC8" w:rsidRPr="00365CAC" w14:paraId="69C7B834" w14:textId="77777777">
        <w:tc>
          <w:tcPr>
            <w:tcW w:w="562" w:type="dxa"/>
            <w:tcBorders>
              <w:top w:val="nil"/>
              <w:bottom w:val="nil"/>
            </w:tcBorders>
          </w:tcPr>
          <w:p w14:paraId="182B1F39" w14:textId="77777777" w:rsidR="00743CC8" w:rsidRPr="00365CAC" w:rsidRDefault="00743CC8" w:rsidP="002334EB">
            <w:pPr>
              <w:autoSpaceDN w:val="0"/>
              <w:spacing w:after="120" w:line="360" w:lineRule="auto"/>
              <w:jc w:val="both"/>
              <w:rPr>
                <w:rFonts w:ascii="Arial" w:eastAsia="Times New Roman" w:hAnsi="Arial" w:cs="Arial"/>
                <w:color w:val="000000"/>
                <w:kern w:val="0"/>
                <w:sz w:val="20"/>
                <w:szCs w:val="20"/>
                <w:lang w:val="fr-FR" w:eastAsia="fr-FR"/>
                <w14:ligatures w14:val="none"/>
              </w:rPr>
            </w:pPr>
            <w:r w:rsidRPr="00365CAC">
              <w:rPr>
                <w:rFonts w:ascii="Arial" w:eastAsia="Times New Roman" w:hAnsi="Arial" w:cs="Arial"/>
                <w:color w:val="000000"/>
                <w:kern w:val="0"/>
                <w:sz w:val="20"/>
                <w:szCs w:val="20"/>
                <w:lang w:val="fr-FR" w:eastAsia="fr-FR"/>
                <w14:ligatures w14:val="none"/>
              </w:rPr>
              <w:t>3</w:t>
            </w:r>
          </w:p>
        </w:tc>
        <w:tc>
          <w:tcPr>
            <w:tcW w:w="2410" w:type="dxa"/>
            <w:tcBorders>
              <w:top w:val="nil"/>
              <w:bottom w:val="nil"/>
            </w:tcBorders>
          </w:tcPr>
          <w:p w14:paraId="49598E98" w14:textId="4B54762A" w:rsidR="00743CC8" w:rsidRPr="00365CAC" w:rsidRDefault="00743CC8" w:rsidP="002334EB">
            <w:pPr>
              <w:autoSpaceDN w:val="0"/>
              <w:spacing w:after="120" w:line="360" w:lineRule="auto"/>
              <w:jc w:val="both"/>
              <w:rPr>
                <w:rFonts w:ascii="Arial" w:eastAsia="Times New Roman" w:hAnsi="Arial" w:cs="Arial"/>
                <w:color w:val="000000"/>
                <w:kern w:val="0"/>
                <w:sz w:val="20"/>
                <w:szCs w:val="20"/>
                <w:lang w:val="fr-FR" w:eastAsia="fr-FR"/>
                <w14:ligatures w14:val="none"/>
              </w:rPr>
            </w:pPr>
            <w:r w:rsidRPr="00365CAC">
              <w:rPr>
                <w:rFonts w:ascii="Arial" w:eastAsia="Times New Roman" w:hAnsi="Arial" w:cs="Arial"/>
                <w:color w:val="000000"/>
                <w:kern w:val="0"/>
                <w:sz w:val="20"/>
                <w:szCs w:val="20"/>
                <w:lang w:val="fr-FR" w:eastAsia="fr-FR"/>
                <w14:ligatures w14:val="none"/>
              </w:rPr>
              <w:t>Fat (%)</w:t>
            </w:r>
          </w:p>
        </w:tc>
        <w:tc>
          <w:tcPr>
            <w:tcW w:w="6237" w:type="dxa"/>
            <w:tcBorders>
              <w:top w:val="nil"/>
              <w:bottom w:val="nil"/>
            </w:tcBorders>
          </w:tcPr>
          <w:p w14:paraId="0BC0429A" w14:textId="77777777" w:rsidR="00743CC8" w:rsidRPr="00365CAC" w:rsidRDefault="00743CC8" w:rsidP="002334EB">
            <w:pPr>
              <w:autoSpaceDN w:val="0"/>
              <w:spacing w:after="120" w:line="360" w:lineRule="auto"/>
              <w:jc w:val="both"/>
              <w:rPr>
                <w:rFonts w:ascii="Arial" w:eastAsia="Times New Roman" w:hAnsi="Arial" w:cs="Arial"/>
                <w:color w:val="000000"/>
                <w:kern w:val="0"/>
                <w:sz w:val="20"/>
                <w:szCs w:val="20"/>
                <w:lang w:val="fr-FR" w:eastAsia="fr-FR"/>
                <w14:ligatures w14:val="none"/>
              </w:rPr>
            </w:pPr>
            <w:r w:rsidRPr="00365CAC">
              <w:rPr>
                <w:rFonts w:ascii="Arial" w:eastAsia="Times New Roman" w:hAnsi="Arial" w:cs="Arial"/>
                <w:color w:val="000000"/>
                <w:kern w:val="0"/>
                <w:sz w:val="20"/>
                <w:szCs w:val="20"/>
                <w:lang w:val="fr-FR" w:eastAsia="fr-FR"/>
                <w14:ligatures w14:val="none"/>
              </w:rPr>
              <w:t xml:space="preserve">MG (%) = [Pf – </w:t>
            </w:r>
            <w:proofErr w:type="spellStart"/>
            <w:r w:rsidRPr="00365CAC">
              <w:rPr>
                <w:rFonts w:ascii="Arial" w:eastAsia="Times New Roman" w:hAnsi="Arial" w:cs="Arial"/>
                <w:color w:val="000000"/>
                <w:kern w:val="0"/>
                <w:sz w:val="20"/>
                <w:szCs w:val="20"/>
                <w:lang w:val="fr-FR" w:eastAsia="fr-FR"/>
                <w14:ligatures w14:val="none"/>
              </w:rPr>
              <w:t>Pv</w:t>
            </w:r>
            <w:proofErr w:type="spellEnd"/>
            <w:r w:rsidRPr="00365CAC">
              <w:rPr>
                <w:rFonts w:ascii="Arial" w:eastAsia="Times New Roman" w:hAnsi="Arial" w:cs="Arial"/>
                <w:color w:val="000000"/>
                <w:kern w:val="0"/>
                <w:sz w:val="20"/>
                <w:szCs w:val="20"/>
                <w:lang w:val="fr-FR" w:eastAsia="fr-FR"/>
                <w14:ligatures w14:val="none"/>
              </w:rPr>
              <w:t xml:space="preserve"> / </w:t>
            </w:r>
            <w:proofErr w:type="spellStart"/>
            <w:r w:rsidRPr="00365CAC">
              <w:rPr>
                <w:rFonts w:ascii="Arial" w:eastAsia="Times New Roman" w:hAnsi="Arial" w:cs="Arial"/>
                <w:color w:val="000000"/>
                <w:kern w:val="0"/>
                <w:sz w:val="20"/>
                <w:szCs w:val="20"/>
                <w:lang w:val="fr-FR" w:eastAsia="fr-FR"/>
                <w14:ligatures w14:val="none"/>
              </w:rPr>
              <w:t>Pe</w:t>
            </w:r>
            <w:proofErr w:type="spellEnd"/>
            <w:r w:rsidRPr="00365CAC">
              <w:rPr>
                <w:rFonts w:ascii="Arial" w:eastAsia="Times New Roman" w:hAnsi="Arial" w:cs="Arial"/>
                <w:color w:val="000000"/>
                <w:kern w:val="0"/>
                <w:sz w:val="20"/>
                <w:szCs w:val="20"/>
                <w:lang w:val="fr-FR" w:eastAsia="fr-FR"/>
                <w14:ligatures w14:val="none"/>
              </w:rPr>
              <w:t>] x 100</w:t>
            </w:r>
          </w:p>
        </w:tc>
      </w:tr>
      <w:tr w:rsidR="00743CC8" w:rsidRPr="00365CAC" w14:paraId="2F74317C" w14:textId="77777777">
        <w:tc>
          <w:tcPr>
            <w:tcW w:w="562" w:type="dxa"/>
            <w:tcBorders>
              <w:top w:val="nil"/>
              <w:bottom w:val="nil"/>
            </w:tcBorders>
          </w:tcPr>
          <w:p w14:paraId="2DF28DD1" w14:textId="77777777" w:rsidR="00743CC8" w:rsidRPr="00365CAC" w:rsidRDefault="00743CC8" w:rsidP="002334EB">
            <w:pPr>
              <w:autoSpaceDN w:val="0"/>
              <w:spacing w:after="120" w:line="360" w:lineRule="auto"/>
              <w:jc w:val="both"/>
              <w:rPr>
                <w:rFonts w:ascii="Arial" w:eastAsia="Times New Roman" w:hAnsi="Arial" w:cs="Arial"/>
                <w:color w:val="000000"/>
                <w:kern w:val="0"/>
                <w:sz w:val="20"/>
                <w:szCs w:val="20"/>
                <w:lang w:val="fr-FR" w:eastAsia="fr-FR"/>
                <w14:ligatures w14:val="none"/>
              </w:rPr>
            </w:pPr>
            <w:r w:rsidRPr="00365CAC">
              <w:rPr>
                <w:rFonts w:ascii="Arial" w:eastAsia="Times New Roman" w:hAnsi="Arial" w:cs="Arial"/>
                <w:color w:val="000000"/>
                <w:kern w:val="0"/>
                <w:sz w:val="20"/>
                <w:szCs w:val="20"/>
                <w:lang w:val="fr-FR" w:eastAsia="fr-FR"/>
                <w14:ligatures w14:val="none"/>
              </w:rPr>
              <w:t>4</w:t>
            </w:r>
          </w:p>
        </w:tc>
        <w:tc>
          <w:tcPr>
            <w:tcW w:w="2410" w:type="dxa"/>
            <w:tcBorders>
              <w:top w:val="nil"/>
              <w:bottom w:val="nil"/>
            </w:tcBorders>
          </w:tcPr>
          <w:p w14:paraId="4D37461E" w14:textId="0245F89C" w:rsidR="00743CC8" w:rsidRPr="00365CAC" w:rsidRDefault="00743CC8" w:rsidP="002334EB">
            <w:pPr>
              <w:autoSpaceDN w:val="0"/>
              <w:spacing w:after="120" w:line="360" w:lineRule="auto"/>
              <w:jc w:val="both"/>
              <w:rPr>
                <w:rFonts w:ascii="Arial" w:eastAsia="Times New Roman" w:hAnsi="Arial" w:cs="Arial"/>
                <w:color w:val="000000"/>
                <w:kern w:val="0"/>
                <w:sz w:val="20"/>
                <w:szCs w:val="20"/>
                <w:lang w:val="fr-FR" w:eastAsia="fr-FR"/>
                <w14:ligatures w14:val="none"/>
              </w:rPr>
            </w:pPr>
            <w:r w:rsidRPr="00365CAC">
              <w:rPr>
                <w:rFonts w:ascii="Arial" w:eastAsia="Times New Roman" w:hAnsi="Arial" w:cs="Arial"/>
                <w:color w:val="000000"/>
                <w:kern w:val="0"/>
                <w:sz w:val="20"/>
                <w:szCs w:val="20"/>
                <w:lang w:val="fr-FR" w:eastAsia="fr-FR"/>
                <w14:ligatures w14:val="none"/>
              </w:rPr>
              <w:t>Protein (%)</w:t>
            </w:r>
          </w:p>
        </w:tc>
        <w:tc>
          <w:tcPr>
            <w:tcW w:w="6237" w:type="dxa"/>
            <w:tcBorders>
              <w:top w:val="nil"/>
              <w:bottom w:val="nil"/>
            </w:tcBorders>
          </w:tcPr>
          <w:p w14:paraId="5C89D9C5" w14:textId="77777777" w:rsidR="00743CC8" w:rsidRPr="00365CAC" w:rsidRDefault="00743CC8" w:rsidP="002334EB">
            <w:pPr>
              <w:autoSpaceDN w:val="0"/>
              <w:spacing w:after="120" w:line="360" w:lineRule="auto"/>
              <w:jc w:val="both"/>
              <w:rPr>
                <w:rFonts w:ascii="Arial" w:eastAsia="Times New Roman" w:hAnsi="Arial" w:cs="Arial"/>
                <w:color w:val="000000"/>
                <w:kern w:val="0"/>
                <w:sz w:val="20"/>
                <w:szCs w:val="20"/>
                <w:lang w:val="fr-FR" w:eastAsia="fr-FR"/>
                <w14:ligatures w14:val="none"/>
              </w:rPr>
            </w:pPr>
            <w:r w:rsidRPr="00365CAC">
              <w:rPr>
                <w:rFonts w:ascii="Arial" w:eastAsia="Times New Roman" w:hAnsi="Arial" w:cs="Arial"/>
                <w:color w:val="000000"/>
                <w:kern w:val="0"/>
                <w:sz w:val="20"/>
                <w:szCs w:val="20"/>
                <w:lang w:val="fr-FR" w:eastAsia="fr-FR"/>
                <w14:ligatures w14:val="none"/>
              </w:rPr>
              <w:t xml:space="preserve">P (%) = [N (%) x 6,25] ; </w:t>
            </w:r>
            <w:r w:rsidRPr="00365CAC">
              <w:rPr>
                <w:rFonts w:ascii="Arial" w:eastAsia="Times New Roman" w:hAnsi="Arial" w:cs="Arial"/>
                <w:i/>
                <w:iCs/>
                <w:color w:val="000000"/>
                <w:kern w:val="0"/>
                <w:sz w:val="20"/>
                <w:szCs w:val="20"/>
                <w:lang w:val="fr-FR" w:eastAsia="fr-FR"/>
                <w14:ligatures w14:val="none"/>
              </w:rPr>
              <w:t xml:space="preserve">N (%) = [0,014 x 0,1 x (Ve - </w:t>
            </w:r>
            <w:proofErr w:type="spellStart"/>
            <w:r w:rsidRPr="00365CAC">
              <w:rPr>
                <w:rFonts w:ascii="Arial" w:eastAsia="Times New Roman" w:hAnsi="Arial" w:cs="Arial"/>
                <w:i/>
                <w:iCs/>
                <w:color w:val="000000"/>
                <w:kern w:val="0"/>
                <w:sz w:val="20"/>
                <w:szCs w:val="20"/>
                <w:lang w:val="fr-FR" w:eastAsia="fr-FR"/>
                <w14:ligatures w14:val="none"/>
              </w:rPr>
              <w:t>Vb</w:t>
            </w:r>
            <w:proofErr w:type="spellEnd"/>
            <w:r w:rsidRPr="00365CAC">
              <w:rPr>
                <w:rFonts w:ascii="Arial" w:eastAsia="Times New Roman" w:hAnsi="Arial" w:cs="Arial"/>
                <w:i/>
                <w:iCs/>
                <w:color w:val="000000"/>
                <w:kern w:val="0"/>
                <w:sz w:val="20"/>
                <w:szCs w:val="20"/>
                <w:lang w:val="fr-FR" w:eastAsia="fr-FR"/>
                <w14:ligatures w14:val="none"/>
              </w:rPr>
              <w:t xml:space="preserve">) x 100] / </w:t>
            </w:r>
            <w:proofErr w:type="spellStart"/>
            <w:r w:rsidRPr="00365CAC">
              <w:rPr>
                <w:rFonts w:ascii="Arial" w:eastAsia="Times New Roman" w:hAnsi="Arial" w:cs="Arial"/>
                <w:i/>
                <w:iCs/>
                <w:color w:val="000000"/>
                <w:kern w:val="0"/>
                <w:sz w:val="20"/>
                <w:szCs w:val="20"/>
                <w:lang w:val="fr-FR" w:eastAsia="fr-FR"/>
                <w14:ligatures w14:val="none"/>
              </w:rPr>
              <w:t>Pe</w:t>
            </w:r>
            <w:proofErr w:type="spellEnd"/>
          </w:p>
        </w:tc>
      </w:tr>
      <w:tr w:rsidR="00743CC8" w:rsidRPr="00365CAC" w14:paraId="1DC82037" w14:textId="77777777">
        <w:tc>
          <w:tcPr>
            <w:tcW w:w="562" w:type="dxa"/>
            <w:tcBorders>
              <w:top w:val="nil"/>
            </w:tcBorders>
          </w:tcPr>
          <w:p w14:paraId="179B3080" w14:textId="77777777" w:rsidR="00743CC8" w:rsidRPr="00365CAC" w:rsidRDefault="00743CC8" w:rsidP="002334EB">
            <w:pPr>
              <w:autoSpaceDN w:val="0"/>
              <w:spacing w:after="120" w:line="360" w:lineRule="auto"/>
              <w:jc w:val="both"/>
              <w:rPr>
                <w:rFonts w:ascii="Arial" w:eastAsia="Times New Roman" w:hAnsi="Arial" w:cs="Arial"/>
                <w:color w:val="000000"/>
                <w:kern w:val="0"/>
                <w:sz w:val="20"/>
                <w:szCs w:val="20"/>
                <w:lang w:val="fr-FR" w:eastAsia="fr-FR"/>
                <w14:ligatures w14:val="none"/>
              </w:rPr>
            </w:pPr>
            <w:r w:rsidRPr="00365CAC">
              <w:rPr>
                <w:rFonts w:ascii="Arial" w:eastAsia="Times New Roman" w:hAnsi="Arial" w:cs="Arial"/>
                <w:color w:val="000000"/>
                <w:kern w:val="0"/>
                <w:sz w:val="20"/>
                <w:szCs w:val="20"/>
                <w:lang w:val="fr-FR" w:eastAsia="fr-FR"/>
                <w14:ligatures w14:val="none"/>
              </w:rPr>
              <w:t>5</w:t>
            </w:r>
          </w:p>
        </w:tc>
        <w:tc>
          <w:tcPr>
            <w:tcW w:w="2410" w:type="dxa"/>
            <w:tcBorders>
              <w:top w:val="nil"/>
            </w:tcBorders>
          </w:tcPr>
          <w:p w14:paraId="37A058CC" w14:textId="77777777" w:rsidR="00743CC8" w:rsidRPr="00365CAC" w:rsidRDefault="00743CC8" w:rsidP="002334EB">
            <w:pPr>
              <w:autoSpaceDN w:val="0"/>
              <w:spacing w:after="120" w:line="360" w:lineRule="auto"/>
              <w:jc w:val="both"/>
              <w:rPr>
                <w:rFonts w:ascii="Arial" w:eastAsia="Times New Roman" w:hAnsi="Arial" w:cs="Arial"/>
                <w:color w:val="000000"/>
                <w:kern w:val="0"/>
                <w:sz w:val="20"/>
                <w:szCs w:val="20"/>
                <w:lang w:val="fr-FR" w:eastAsia="fr-FR"/>
                <w14:ligatures w14:val="none"/>
              </w:rPr>
            </w:pPr>
            <w:r w:rsidRPr="00365CAC">
              <w:rPr>
                <w:rFonts w:ascii="Arial" w:eastAsia="Times New Roman" w:hAnsi="Arial" w:cs="Arial"/>
                <w:color w:val="000000"/>
                <w:kern w:val="0"/>
                <w:sz w:val="20"/>
                <w:szCs w:val="20"/>
                <w:lang w:val="fr-FR" w:eastAsia="fr-FR"/>
                <w14:ligatures w14:val="none"/>
              </w:rPr>
              <w:t>Glucides (%)</w:t>
            </w:r>
          </w:p>
        </w:tc>
        <w:tc>
          <w:tcPr>
            <w:tcW w:w="6237" w:type="dxa"/>
            <w:tcBorders>
              <w:top w:val="nil"/>
            </w:tcBorders>
          </w:tcPr>
          <w:p w14:paraId="1D7B49BA" w14:textId="77777777" w:rsidR="00743CC8" w:rsidRPr="00365CAC" w:rsidRDefault="00743CC8" w:rsidP="002334EB">
            <w:pPr>
              <w:autoSpaceDN w:val="0"/>
              <w:spacing w:after="120" w:line="360" w:lineRule="auto"/>
              <w:jc w:val="both"/>
              <w:rPr>
                <w:rFonts w:ascii="Arial" w:eastAsia="Times New Roman" w:hAnsi="Arial" w:cs="Arial"/>
                <w:color w:val="000000"/>
                <w:kern w:val="0"/>
                <w:sz w:val="20"/>
                <w:szCs w:val="20"/>
                <w:lang w:val="fr-FR" w:eastAsia="fr-FR"/>
                <w14:ligatures w14:val="none"/>
              </w:rPr>
            </w:pPr>
            <w:r w:rsidRPr="00365CAC">
              <w:rPr>
                <w:rFonts w:ascii="Arial" w:eastAsia="Times New Roman" w:hAnsi="Arial" w:cs="Arial"/>
                <w:color w:val="000000"/>
                <w:kern w:val="0"/>
                <w:sz w:val="20"/>
                <w:szCs w:val="20"/>
                <w:lang w:val="fr-FR" w:eastAsia="fr-FR"/>
                <w14:ligatures w14:val="none"/>
              </w:rPr>
              <w:t>G (%) = 100 – [H (%) + P (%) + MG (%) + C (%)]</w:t>
            </w:r>
          </w:p>
        </w:tc>
      </w:tr>
    </w:tbl>
    <w:p w14:paraId="7895F793" w14:textId="77777777" w:rsidR="001A57FC" w:rsidRPr="00365CAC" w:rsidRDefault="001A57FC" w:rsidP="002334EB">
      <w:pPr>
        <w:spacing w:line="360" w:lineRule="auto"/>
        <w:jc w:val="both"/>
        <w:rPr>
          <w:rFonts w:ascii="Arial" w:hAnsi="Arial" w:cs="Arial"/>
          <w:sz w:val="20"/>
          <w:szCs w:val="20"/>
          <w:lang w:val="en-US"/>
        </w:rPr>
      </w:pPr>
      <w:r w:rsidRPr="00365CAC">
        <w:rPr>
          <w:rFonts w:ascii="Arial" w:hAnsi="Arial" w:cs="Arial"/>
          <w:sz w:val="20"/>
          <w:szCs w:val="20"/>
          <w:lang w:val="en-US"/>
        </w:rPr>
        <w:t xml:space="preserve">Pe: test sample; </w:t>
      </w:r>
      <w:proofErr w:type="spellStart"/>
      <w:r w:rsidRPr="00365CAC">
        <w:rPr>
          <w:rFonts w:ascii="Arial" w:hAnsi="Arial" w:cs="Arial"/>
          <w:sz w:val="20"/>
          <w:szCs w:val="20"/>
          <w:lang w:val="en-US"/>
        </w:rPr>
        <w:t>Pf</w:t>
      </w:r>
      <w:proofErr w:type="spellEnd"/>
      <w:r w:rsidRPr="00365CAC">
        <w:rPr>
          <w:rFonts w:ascii="Arial" w:hAnsi="Arial" w:cs="Arial"/>
          <w:sz w:val="20"/>
          <w:szCs w:val="20"/>
          <w:lang w:val="en-US"/>
        </w:rPr>
        <w:t xml:space="preserve">: final weight (weighing pan + dehydrated sample, or crucible + calcined sample, or flask + fat); </w:t>
      </w:r>
      <w:proofErr w:type="spellStart"/>
      <w:r w:rsidRPr="00365CAC">
        <w:rPr>
          <w:rFonts w:ascii="Arial" w:hAnsi="Arial" w:cs="Arial"/>
          <w:sz w:val="20"/>
          <w:szCs w:val="20"/>
          <w:lang w:val="en-US"/>
        </w:rPr>
        <w:t>Pv</w:t>
      </w:r>
      <w:proofErr w:type="spellEnd"/>
      <w:r w:rsidRPr="00365CAC">
        <w:rPr>
          <w:rFonts w:ascii="Arial" w:hAnsi="Arial" w:cs="Arial"/>
          <w:sz w:val="20"/>
          <w:szCs w:val="20"/>
          <w:lang w:val="en-US"/>
        </w:rPr>
        <w:t xml:space="preserve">: empty weight of weighing pans, crucibles, or flasks in g; Ve: burette drop (sample), </w:t>
      </w:r>
      <w:proofErr w:type="spellStart"/>
      <w:r w:rsidRPr="00365CAC">
        <w:rPr>
          <w:rFonts w:ascii="Arial" w:hAnsi="Arial" w:cs="Arial"/>
          <w:sz w:val="20"/>
          <w:szCs w:val="20"/>
          <w:lang w:val="en-US"/>
        </w:rPr>
        <w:t>Vb</w:t>
      </w:r>
      <w:proofErr w:type="spellEnd"/>
      <w:r w:rsidRPr="00365CAC">
        <w:rPr>
          <w:rFonts w:ascii="Arial" w:hAnsi="Arial" w:cs="Arial"/>
          <w:sz w:val="20"/>
          <w:szCs w:val="20"/>
          <w:lang w:val="en-US"/>
        </w:rPr>
        <w:t>: burette drop (blank), 0.1: sulfuric acid strength, 0.014: molar weight of nitrogen × 10</w:t>
      </w:r>
      <w:r w:rsidRPr="00365CAC">
        <w:rPr>
          <w:rFonts w:ascii="Cambria Math" w:hAnsi="Cambria Math" w:cs="Cambria Math"/>
          <w:sz w:val="20"/>
          <w:szCs w:val="20"/>
          <w:lang w:val="en-US"/>
        </w:rPr>
        <w:t>⁻</w:t>
      </w:r>
      <w:r w:rsidRPr="00365CAC">
        <w:rPr>
          <w:rFonts w:ascii="Arial" w:hAnsi="Arial" w:cs="Arial"/>
          <w:sz w:val="20"/>
          <w:szCs w:val="20"/>
          <w:lang w:val="en-US"/>
        </w:rPr>
        <w:t>³, 6.25: conversion factor to sulfuric acid equivalent.</w:t>
      </w:r>
    </w:p>
    <w:p w14:paraId="0682BE41" w14:textId="77777777" w:rsidR="001A57FC" w:rsidRPr="00365CAC" w:rsidRDefault="001A57FC" w:rsidP="002334EB">
      <w:pPr>
        <w:spacing w:line="360" w:lineRule="auto"/>
        <w:jc w:val="both"/>
        <w:rPr>
          <w:rFonts w:ascii="Arial" w:hAnsi="Arial" w:cs="Arial"/>
          <w:sz w:val="22"/>
          <w:szCs w:val="22"/>
          <w:lang w:val="en-US"/>
        </w:rPr>
      </w:pPr>
    </w:p>
    <w:p w14:paraId="2C47B21F" w14:textId="4CA17481" w:rsidR="001A57FC" w:rsidRPr="00365CAC" w:rsidRDefault="00245462" w:rsidP="002334EB">
      <w:pPr>
        <w:spacing w:line="360" w:lineRule="auto"/>
        <w:jc w:val="both"/>
        <w:rPr>
          <w:rFonts w:ascii="Arial" w:hAnsi="Arial" w:cs="Arial"/>
          <w:b/>
          <w:bCs/>
          <w:sz w:val="22"/>
          <w:szCs w:val="22"/>
          <w:lang w:val="en-US"/>
        </w:rPr>
      </w:pPr>
      <w:r w:rsidRPr="00365CAC">
        <w:rPr>
          <w:rFonts w:ascii="Arial" w:hAnsi="Arial" w:cs="Arial"/>
          <w:b/>
          <w:bCs/>
          <w:sz w:val="22"/>
          <w:szCs w:val="22"/>
          <w:lang w:val="en-US"/>
        </w:rPr>
        <w:t xml:space="preserve">2.3 </w:t>
      </w:r>
      <w:r w:rsidR="001A57FC" w:rsidRPr="00365CAC">
        <w:rPr>
          <w:rFonts w:ascii="Arial" w:hAnsi="Arial" w:cs="Arial"/>
          <w:b/>
          <w:bCs/>
          <w:sz w:val="22"/>
          <w:szCs w:val="22"/>
          <w:lang w:val="en-US"/>
        </w:rPr>
        <w:t xml:space="preserve">Collection of morphological data </w:t>
      </w:r>
    </w:p>
    <w:p w14:paraId="55892282" w14:textId="4EC8A638" w:rsidR="001A57FC" w:rsidRPr="00365CAC" w:rsidRDefault="001A57FC" w:rsidP="002334EB">
      <w:pPr>
        <w:spacing w:line="360" w:lineRule="auto"/>
        <w:jc w:val="both"/>
        <w:rPr>
          <w:rFonts w:ascii="Arial" w:hAnsi="Arial" w:cs="Arial"/>
          <w:sz w:val="20"/>
          <w:szCs w:val="20"/>
          <w:lang w:val="en-US"/>
        </w:rPr>
      </w:pPr>
      <w:r w:rsidRPr="00365CAC">
        <w:rPr>
          <w:rFonts w:ascii="Arial" w:hAnsi="Arial" w:cs="Arial"/>
          <w:sz w:val="20"/>
          <w:szCs w:val="20"/>
          <w:lang w:val="en-US"/>
        </w:rPr>
        <w:t xml:space="preserve">The characteristics of vigorous genotypes are illustrated by seven (07) quantitative variables derived from the </w:t>
      </w:r>
      <w:r w:rsidRPr="00365CAC">
        <w:rPr>
          <w:rFonts w:ascii="Arial" w:hAnsi="Arial" w:cs="Arial"/>
          <w:i/>
          <w:iCs/>
          <w:sz w:val="20"/>
          <w:szCs w:val="20"/>
          <w:lang w:val="en-US"/>
        </w:rPr>
        <w:t>H. cannabinus</w:t>
      </w:r>
      <w:r w:rsidRPr="00365CAC">
        <w:rPr>
          <w:rFonts w:ascii="Arial" w:hAnsi="Arial" w:cs="Arial"/>
          <w:sz w:val="20"/>
          <w:szCs w:val="20"/>
          <w:lang w:val="en-US"/>
        </w:rPr>
        <w:t xml:space="preserve"> descriptor of the National Bureau of Plant Genetic Resources. With the exception of the number of days to 50% flowering (DFL), which was assessed across the entire line, the other six (06) quantitative traits were measured at the flowering stage on four plants randomly selected per line (Table II).</w:t>
      </w:r>
    </w:p>
    <w:p w14:paraId="29195759" w14:textId="17702222" w:rsidR="00557B95" w:rsidRPr="00365CAC" w:rsidRDefault="001A57FC" w:rsidP="002334EB">
      <w:pPr>
        <w:spacing w:line="360" w:lineRule="auto"/>
        <w:jc w:val="both"/>
        <w:rPr>
          <w:rFonts w:ascii="Arial" w:hAnsi="Arial" w:cs="Arial"/>
          <w:b/>
          <w:bCs/>
          <w:sz w:val="22"/>
          <w:szCs w:val="22"/>
        </w:rPr>
      </w:pPr>
      <w:r w:rsidRPr="00365CAC">
        <w:rPr>
          <w:rFonts w:ascii="Arial" w:hAnsi="Arial" w:cs="Arial"/>
          <w:b/>
          <w:bCs/>
          <w:sz w:val="22"/>
          <w:szCs w:val="22"/>
        </w:rPr>
        <w:t xml:space="preserve">Table </w:t>
      </w:r>
      <w:r w:rsidR="00D67095" w:rsidRPr="00365CAC">
        <w:rPr>
          <w:rFonts w:ascii="Arial" w:hAnsi="Arial" w:cs="Arial"/>
          <w:b/>
          <w:bCs/>
          <w:sz w:val="22"/>
          <w:szCs w:val="22"/>
        </w:rPr>
        <w:t>II :</w:t>
      </w:r>
      <w:r w:rsidRPr="00365CAC">
        <w:rPr>
          <w:rFonts w:ascii="Arial" w:hAnsi="Arial" w:cs="Arial"/>
          <w:b/>
          <w:bCs/>
          <w:sz w:val="22"/>
          <w:szCs w:val="22"/>
        </w:rPr>
        <w:t xml:space="preserve"> Quantitative variables of </w:t>
      </w:r>
      <w:r w:rsidRPr="00365CAC">
        <w:rPr>
          <w:rFonts w:ascii="Arial" w:hAnsi="Arial" w:cs="Arial"/>
          <w:b/>
          <w:bCs/>
          <w:i/>
          <w:iCs/>
          <w:sz w:val="22"/>
          <w:szCs w:val="22"/>
        </w:rPr>
        <w:t xml:space="preserve">H. </w:t>
      </w:r>
      <w:proofErr w:type="spellStart"/>
      <w:r w:rsidRPr="00365CAC">
        <w:rPr>
          <w:rFonts w:ascii="Arial" w:hAnsi="Arial" w:cs="Arial"/>
          <w:b/>
          <w:bCs/>
          <w:i/>
          <w:iCs/>
          <w:sz w:val="22"/>
          <w:szCs w:val="22"/>
        </w:rPr>
        <w:t>cannabinus</w:t>
      </w:r>
      <w:proofErr w:type="spellEnd"/>
      <w:r w:rsidRPr="00365CAC">
        <w:rPr>
          <w:rFonts w:ascii="Arial" w:hAnsi="Arial" w:cs="Arial"/>
          <w:b/>
          <w:bCs/>
          <w:sz w:val="22"/>
          <w:szCs w:val="22"/>
        </w:rPr>
        <w:t xml:space="preserve"> </w:t>
      </w:r>
      <w:proofErr w:type="spellStart"/>
      <w:r w:rsidRPr="00365CAC">
        <w:rPr>
          <w:rFonts w:ascii="Arial" w:hAnsi="Arial" w:cs="Arial"/>
          <w:b/>
          <w:bCs/>
          <w:sz w:val="22"/>
          <w:szCs w:val="22"/>
        </w:rPr>
        <w:t>genotypes</w:t>
      </w:r>
      <w:proofErr w:type="spellEnd"/>
      <w:r w:rsidRPr="00365CAC">
        <w:rPr>
          <w:rFonts w:ascii="Arial" w:hAnsi="Arial" w:cs="Arial"/>
          <w:b/>
          <w:bCs/>
          <w:sz w:val="22"/>
          <w:szCs w:val="22"/>
        </w:rPr>
        <w:t xml:space="preserve"> and </w:t>
      </w:r>
      <w:proofErr w:type="spellStart"/>
      <w:r w:rsidRPr="00365CAC">
        <w:rPr>
          <w:rFonts w:ascii="Arial" w:hAnsi="Arial" w:cs="Arial"/>
          <w:b/>
          <w:bCs/>
          <w:sz w:val="22"/>
          <w:szCs w:val="22"/>
        </w:rPr>
        <w:t>measurement</w:t>
      </w:r>
      <w:proofErr w:type="spellEnd"/>
      <w:r w:rsidRPr="00365CAC">
        <w:rPr>
          <w:rFonts w:ascii="Arial" w:hAnsi="Arial" w:cs="Arial"/>
          <w:b/>
          <w:bCs/>
          <w:sz w:val="22"/>
          <w:szCs w:val="22"/>
        </w:rPr>
        <w:t xml:space="preserve"> techniques</w:t>
      </w:r>
    </w:p>
    <w:p w14:paraId="6046AD2A" w14:textId="77777777" w:rsidR="00557B95" w:rsidRPr="00365CAC" w:rsidRDefault="00557B95" w:rsidP="002334EB">
      <w:pPr>
        <w:spacing w:line="360" w:lineRule="auto"/>
        <w:jc w:val="both"/>
        <w:rPr>
          <w:rFonts w:ascii="Arial" w:hAnsi="Arial" w:cs="Arial"/>
          <w:sz w:val="22"/>
          <w:szCs w:val="22"/>
          <w:lang w:val="en-US"/>
        </w:rPr>
      </w:pPr>
    </w:p>
    <w:tbl>
      <w:tblPr>
        <w:tblpPr w:leftFromText="141" w:rightFromText="141" w:vertAnchor="text" w:tblpY="1"/>
        <w:tblOverlap w:val="never"/>
        <w:tblW w:w="0" w:type="auto"/>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4498"/>
        <w:gridCol w:w="4498"/>
      </w:tblGrid>
      <w:tr w:rsidR="00674597" w:rsidRPr="00365CAC" w14:paraId="3F5E148F" w14:textId="77777777" w:rsidTr="0013379F">
        <w:trPr>
          <w:trHeight w:val="107"/>
        </w:trPr>
        <w:tc>
          <w:tcPr>
            <w:tcW w:w="4498" w:type="dxa"/>
          </w:tcPr>
          <w:p w14:paraId="4D946B47" w14:textId="3B89D010" w:rsidR="00674597" w:rsidRPr="00365CAC" w:rsidRDefault="00674597" w:rsidP="0013379F">
            <w:pPr>
              <w:pStyle w:val="Default"/>
              <w:spacing w:line="360" w:lineRule="auto"/>
              <w:jc w:val="both"/>
              <w:rPr>
                <w:rFonts w:ascii="Arial" w:hAnsi="Arial" w:cs="Arial"/>
                <w:b/>
                <w:bCs/>
                <w:sz w:val="20"/>
                <w:szCs w:val="20"/>
              </w:rPr>
            </w:pPr>
            <w:r w:rsidRPr="00365CAC">
              <w:rPr>
                <w:rFonts w:ascii="Arial" w:hAnsi="Arial" w:cs="Arial"/>
                <w:b/>
                <w:bCs/>
                <w:sz w:val="20"/>
                <w:szCs w:val="20"/>
              </w:rPr>
              <w:t>Parameters</w:t>
            </w:r>
          </w:p>
        </w:tc>
        <w:tc>
          <w:tcPr>
            <w:tcW w:w="4498" w:type="dxa"/>
          </w:tcPr>
          <w:p w14:paraId="7B49BC27" w14:textId="77777777" w:rsidR="00674597" w:rsidRPr="00365CAC" w:rsidRDefault="00674597" w:rsidP="0013379F">
            <w:pPr>
              <w:spacing w:line="360" w:lineRule="auto"/>
              <w:jc w:val="both"/>
              <w:rPr>
                <w:rFonts w:ascii="Arial" w:hAnsi="Arial" w:cs="Arial"/>
                <w:b/>
                <w:bCs/>
                <w:sz w:val="20"/>
                <w:szCs w:val="20"/>
                <w:lang w:val="en-US"/>
              </w:rPr>
            </w:pPr>
            <w:r w:rsidRPr="00365CAC">
              <w:rPr>
                <w:rFonts w:ascii="Arial" w:hAnsi="Arial" w:cs="Arial"/>
                <w:b/>
                <w:bCs/>
                <w:sz w:val="20"/>
                <w:szCs w:val="20"/>
                <w:lang w:val="en-US"/>
              </w:rPr>
              <w:t xml:space="preserve">Measurement Techniques </w:t>
            </w:r>
          </w:p>
          <w:p w14:paraId="51E45357" w14:textId="74A86579" w:rsidR="00674597" w:rsidRPr="00365CAC" w:rsidRDefault="00674597" w:rsidP="0013379F">
            <w:pPr>
              <w:pStyle w:val="Default"/>
              <w:spacing w:line="360" w:lineRule="auto"/>
              <w:jc w:val="both"/>
              <w:rPr>
                <w:rFonts w:ascii="Arial" w:hAnsi="Arial" w:cs="Arial"/>
                <w:b/>
                <w:bCs/>
                <w:sz w:val="20"/>
                <w:szCs w:val="20"/>
              </w:rPr>
            </w:pPr>
          </w:p>
        </w:tc>
      </w:tr>
      <w:tr w:rsidR="00674597" w:rsidRPr="00365CAC" w14:paraId="68604695" w14:textId="77777777" w:rsidTr="0013379F">
        <w:trPr>
          <w:trHeight w:val="385"/>
        </w:trPr>
        <w:tc>
          <w:tcPr>
            <w:tcW w:w="4498" w:type="dxa"/>
          </w:tcPr>
          <w:p w14:paraId="4D95DF30" w14:textId="77777777" w:rsidR="00674597" w:rsidRPr="00365CAC" w:rsidRDefault="00674597" w:rsidP="0013379F">
            <w:pPr>
              <w:spacing w:line="360" w:lineRule="auto"/>
              <w:jc w:val="both"/>
              <w:rPr>
                <w:rFonts w:ascii="Arial" w:hAnsi="Arial" w:cs="Arial"/>
                <w:sz w:val="20"/>
                <w:szCs w:val="20"/>
                <w:lang w:val="en-US"/>
              </w:rPr>
            </w:pPr>
            <w:r w:rsidRPr="00365CAC">
              <w:rPr>
                <w:rFonts w:ascii="Arial" w:hAnsi="Arial" w:cs="Arial"/>
                <w:sz w:val="20"/>
                <w:szCs w:val="20"/>
                <w:lang w:val="en-US"/>
              </w:rPr>
              <w:t xml:space="preserve">Date of flowering (DFL) </w:t>
            </w:r>
          </w:p>
          <w:p w14:paraId="3090C19F" w14:textId="09A00583" w:rsidR="00674597" w:rsidRPr="00365CAC" w:rsidRDefault="00674597" w:rsidP="0013379F">
            <w:pPr>
              <w:pStyle w:val="Default"/>
              <w:spacing w:line="360" w:lineRule="auto"/>
              <w:jc w:val="both"/>
              <w:rPr>
                <w:rFonts w:ascii="Arial" w:hAnsi="Arial" w:cs="Arial"/>
                <w:sz w:val="20"/>
                <w:szCs w:val="20"/>
              </w:rPr>
            </w:pPr>
            <w:r w:rsidRPr="00365CAC">
              <w:rPr>
                <w:rFonts w:ascii="Arial" w:hAnsi="Arial" w:cs="Arial"/>
                <w:sz w:val="20"/>
                <w:szCs w:val="20"/>
              </w:rPr>
              <w:t>[days]</w:t>
            </w:r>
          </w:p>
        </w:tc>
        <w:tc>
          <w:tcPr>
            <w:tcW w:w="4498" w:type="dxa"/>
          </w:tcPr>
          <w:p w14:paraId="2D0B9164" w14:textId="77777777" w:rsidR="00674597" w:rsidRPr="00365CAC" w:rsidRDefault="00674597" w:rsidP="0013379F">
            <w:pPr>
              <w:spacing w:line="360" w:lineRule="auto"/>
              <w:jc w:val="both"/>
              <w:rPr>
                <w:rFonts w:ascii="Arial" w:hAnsi="Arial" w:cs="Arial"/>
                <w:sz w:val="20"/>
                <w:szCs w:val="20"/>
                <w:lang w:val="en-US"/>
              </w:rPr>
            </w:pPr>
            <w:r w:rsidRPr="00365CAC">
              <w:rPr>
                <w:rFonts w:ascii="Arial" w:hAnsi="Arial" w:cs="Arial"/>
                <w:sz w:val="20"/>
                <w:szCs w:val="20"/>
                <w:lang w:val="en-US"/>
              </w:rPr>
              <w:t xml:space="preserve">By counting the number of days between sowing and flowering of at least 50% of the plants in the entire row containing the accession </w:t>
            </w:r>
          </w:p>
          <w:p w14:paraId="3C60CB33" w14:textId="773D51FE" w:rsidR="00674597" w:rsidRPr="00365CAC" w:rsidRDefault="00674597" w:rsidP="0013379F">
            <w:pPr>
              <w:pStyle w:val="Default"/>
              <w:spacing w:line="360" w:lineRule="auto"/>
              <w:jc w:val="both"/>
              <w:rPr>
                <w:rFonts w:ascii="Arial" w:hAnsi="Arial" w:cs="Arial"/>
                <w:sz w:val="20"/>
                <w:szCs w:val="20"/>
              </w:rPr>
            </w:pPr>
          </w:p>
        </w:tc>
      </w:tr>
      <w:tr w:rsidR="00674597" w:rsidRPr="00365CAC" w14:paraId="699EB4E6" w14:textId="77777777" w:rsidTr="0013379F">
        <w:trPr>
          <w:trHeight w:val="247"/>
        </w:trPr>
        <w:tc>
          <w:tcPr>
            <w:tcW w:w="4498" w:type="dxa"/>
          </w:tcPr>
          <w:p w14:paraId="3ACB3DD2" w14:textId="77777777" w:rsidR="00674597" w:rsidRPr="00365CAC" w:rsidRDefault="00674597" w:rsidP="0013379F">
            <w:pPr>
              <w:spacing w:line="360" w:lineRule="auto"/>
              <w:jc w:val="both"/>
              <w:rPr>
                <w:rFonts w:ascii="Arial" w:hAnsi="Arial" w:cs="Arial"/>
                <w:sz w:val="20"/>
                <w:szCs w:val="20"/>
                <w:lang w:val="en-US"/>
              </w:rPr>
            </w:pPr>
            <w:r w:rsidRPr="00365CAC">
              <w:rPr>
                <w:rFonts w:ascii="Arial" w:hAnsi="Arial" w:cs="Arial"/>
                <w:sz w:val="20"/>
                <w:szCs w:val="20"/>
                <w:lang w:val="en-US"/>
              </w:rPr>
              <w:t xml:space="preserve">Plant height (HPL) </w:t>
            </w:r>
          </w:p>
          <w:p w14:paraId="71AA023A" w14:textId="220F73B6" w:rsidR="00674597" w:rsidRPr="00365CAC" w:rsidRDefault="00674597" w:rsidP="0013379F">
            <w:pPr>
              <w:spacing w:line="360" w:lineRule="auto"/>
              <w:jc w:val="both"/>
              <w:rPr>
                <w:rFonts w:ascii="Arial" w:hAnsi="Arial" w:cs="Arial"/>
                <w:sz w:val="20"/>
                <w:szCs w:val="20"/>
                <w:lang w:val="en-US"/>
              </w:rPr>
            </w:pPr>
            <w:r w:rsidRPr="00365CAC">
              <w:rPr>
                <w:rFonts w:ascii="Arial" w:hAnsi="Arial" w:cs="Arial"/>
                <w:sz w:val="20"/>
                <w:szCs w:val="20"/>
                <w:lang w:val="en-US"/>
              </w:rPr>
              <w:t>[m]</w:t>
            </w:r>
          </w:p>
        </w:tc>
        <w:tc>
          <w:tcPr>
            <w:tcW w:w="4498" w:type="dxa"/>
          </w:tcPr>
          <w:p w14:paraId="04890A7B" w14:textId="77777777" w:rsidR="006733D1" w:rsidRPr="00365CAC" w:rsidRDefault="006733D1" w:rsidP="0013379F">
            <w:pPr>
              <w:spacing w:line="360" w:lineRule="auto"/>
              <w:jc w:val="both"/>
              <w:rPr>
                <w:rFonts w:ascii="Arial" w:hAnsi="Arial" w:cs="Arial"/>
                <w:sz w:val="20"/>
                <w:szCs w:val="20"/>
                <w:lang w:val="en-US"/>
              </w:rPr>
            </w:pPr>
            <w:r w:rsidRPr="00365CAC">
              <w:rPr>
                <w:rFonts w:ascii="Arial" w:hAnsi="Arial" w:cs="Arial"/>
                <w:sz w:val="20"/>
                <w:szCs w:val="20"/>
                <w:lang w:val="en-US"/>
              </w:rPr>
              <w:t xml:space="preserve">Measured from the ground to the top leaf of the main stem using a well-calibrated ruler </w:t>
            </w:r>
          </w:p>
          <w:p w14:paraId="22246761" w14:textId="45D6DF77" w:rsidR="00674597" w:rsidRPr="00365CAC" w:rsidRDefault="00674597" w:rsidP="0013379F">
            <w:pPr>
              <w:pStyle w:val="Default"/>
              <w:spacing w:line="360" w:lineRule="auto"/>
              <w:jc w:val="both"/>
              <w:rPr>
                <w:rFonts w:ascii="Arial" w:hAnsi="Arial" w:cs="Arial"/>
                <w:sz w:val="20"/>
                <w:szCs w:val="20"/>
              </w:rPr>
            </w:pPr>
          </w:p>
        </w:tc>
      </w:tr>
      <w:tr w:rsidR="00674597" w:rsidRPr="00365CAC" w14:paraId="3949ED0B" w14:textId="77777777" w:rsidTr="0013379F">
        <w:trPr>
          <w:trHeight w:val="247"/>
        </w:trPr>
        <w:tc>
          <w:tcPr>
            <w:tcW w:w="4498" w:type="dxa"/>
          </w:tcPr>
          <w:p w14:paraId="7E71ADB0" w14:textId="77777777" w:rsidR="006733D1" w:rsidRPr="00365CAC" w:rsidRDefault="006733D1" w:rsidP="0013379F">
            <w:pPr>
              <w:spacing w:line="360" w:lineRule="auto"/>
              <w:jc w:val="both"/>
              <w:rPr>
                <w:rFonts w:ascii="Arial" w:hAnsi="Arial" w:cs="Arial"/>
                <w:sz w:val="20"/>
                <w:szCs w:val="20"/>
                <w:lang w:val="en-US"/>
              </w:rPr>
            </w:pPr>
            <w:r w:rsidRPr="00365CAC">
              <w:rPr>
                <w:rFonts w:ascii="Arial" w:hAnsi="Arial" w:cs="Arial"/>
                <w:sz w:val="20"/>
                <w:szCs w:val="20"/>
                <w:lang w:val="en-US"/>
              </w:rPr>
              <w:t xml:space="preserve">Stem diameter (SD) </w:t>
            </w:r>
          </w:p>
          <w:p w14:paraId="6A2A2350" w14:textId="2FBADC4B" w:rsidR="00674597" w:rsidRPr="00365CAC" w:rsidRDefault="00161AC7" w:rsidP="0013379F">
            <w:pPr>
              <w:spacing w:line="360" w:lineRule="auto"/>
              <w:jc w:val="both"/>
              <w:rPr>
                <w:rFonts w:ascii="Arial" w:hAnsi="Arial" w:cs="Arial"/>
                <w:sz w:val="20"/>
                <w:szCs w:val="20"/>
                <w:lang w:val="en-US"/>
              </w:rPr>
            </w:pPr>
            <w:r w:rsidRPr="00365CAC">
              <w:rPr>
                <w:rFonts w:ascii="Arial" w:hAnsi="Arial" w:cs="Arial"/>
                <w:sz w:val="20"/>
                <w:szCs w:val="20"/>
                <w:lang w:val="en-US"/>
              </w:rPr>
              <w:lastRenderedPageBreak/>
              <w:t>[cm]</w:t>
            </w:r>
          </w:p>
        </w:tc>
        <w:tc>
          <w:tcPr>
            <w:tcW w:w="4498" w:type="dxa"/>
          </w:tcPr>
          <w:p w14:paraId="6D999DDC" w14:textId="2CEE07D5" w:rsidR="00674597" w:rsidRPr="00365CAC" w:rsidRDefault="00161AC7" w:rsidP="0013379F">
            <w:pPr>
              <w:spacing w:line="360" w:lineRule="auto"/>
              <w:jc w:val="both"/>
              <w:rPr>
                <w:rFonts w:ascii="Arial" w:hAnsi="Arial" w:cs="Arial"/>
                <w:sz w:val="20"/>
                <w:szCs w:val="20"/>
                <w:lang w:val="en-US"/>
              </w:rPr>
            </w:pPr>
            <w:r w:rsidRPr="00365CAC">
              <w:rPr>
                <w:rFonts w:ascii="Arial" w:hAnsi="Arial" w:cs="Arial"/>
                <w:sz w:val="20"/>
                <w:szCs w:val="20"/>
                <w:lang w:val="en-US"/>
              </w:rPr>
              <w:lastRenderedPageBreak/>
              <w:t>Measured at the stem base using a caliper</w:t>
            </w:r>
          </w:p>
        </w:tc>
      </w:tr>
      <w:tr w:rsidR="00674597" w:rsidRPr="00365CAC" w14:paraId="731DF335" w14:textId="77777777" w:rsidTr="0013379F">
        <w:trPr>
          <w:trHeight w:val="247"/>
        </w:trPr>
        <w:tc>
          <w:tcPr>
            <w:tcW w:w="4498" w:type="dxa"/>
          </w:tcPr>
          <w:p w14:paraId="1D02B442" w14:textId="77777777" w:rsidR="00161AC7" w:rsidRPr="00365CAC" w:rsidRDefault="00161AC7" w:rsidP="0013379F">
            <w:pPr>
              <w:spacing w:line="360" w:lineRule="auto"/>
              <w:jc w:val="both"/>
              <w:rPr>
                <w:rFonts w:ascii="Arial" w:hAnsi="Arial" w:cs="Arial"/>
                <w:sz w:val="20"/>
                <w:szCs w:val="20"/>
                <w:lang w:val="en-US"/>
              </w:rPr>
            </w:pPr>
            <w:r w:rsidRPr="00365CAC">
              <w:rPr>
                <w:rFonts w:ascii="Arial" w:hAnsi="Arial" w:cs="Arial"/>
                <w:sz w:val="20"/>
                <w:szCs w:val="20"/>
                <w:lang w:val="en-US"/>
              </w:rPr>
              <w:t xml:space="preserve">Fruit length (FL) </w:t>
            </w:r>
          </w:p>
          <w:p w14:paraId="78F0142B" w14:textId="33467A3E" w:rsidR="00674597" w:rsidRPr="00365CAC" w:rsidRDefault="00161AC7" w:rsidP="0013379F">
            <w:pPr>
              <w:spacing w:line="360" w:lineRule="auto"/>
              <w:jc w:val="both"/>
              <w:rPr>
                <w:rFonts w:ascii="Arial" w:hAnsi="Arial" w:cs="Arial"/>
                <w:sz w:val="20"/>
                <w:szCs w:val="20"/>
                <w:lang w:val="en-US"/>
              </w:rPr>
            </w:pPr>
            <w:r w:rsidRPr="00365CAC">
              <w:rPr>
                <w:rFonts w:ascii="Arial" w:hAnsi="Arial" w:cs="Arial"/>
                <w:sz w:val="20"/>
                <w:szCs w:val="20"/>
                <w:lang w:val="en-US"/>
              </w:rPr>
              <w:t>[cm]</w:t>
            </w:r>
          </w:p>
        </w:tc>
        <w:tc>
          <w:tcPr>
            <w:tcW w:w="4498" w:type="dxa"/>
          </w:tcPr>
          <w:p w14:paraId="2D42B4C7" w14:textId="775C9352" w:rsidR="00674597" w:rsidRPr="00365CAC" w:rsidRDefault="00161AC7" w:rsidP="0013379F">
            <w:pPr>
              <w:spacing w:line="360" w:lineRule="auto"/>
              <w:jc w:val="both"/>
              <w:rPr>
                <w:rFonts w:ascii="Arial" w:hAnsi="Arial" w:cs="Arial"/>
                <w:sz w:val="20"/>
                <w:szCs w:val="20"/>
                <w:lang w:val="en-US"/>
              </w:rPr>
            </w:pPr>
            <w:r w:rsidRPr="00365CAC">
              <w:rPr>
                <w:rFonts w:ascii="Arial" w:hAnsi="Arial" w:cs="Arial"/>
                <w:sz w:val="20"/>
                <w:szCs w:val="20"/>
                <w:lang w:val="en-US"/>
              </w:rPr>
              <w:t>Determined by measuring 4 fruits from the four selected plants using a tape measure</w:t>
            </w:r>
          </w:p>
        </w:tc>
      </w:tr>
      <w:tr w:rsidR="00674597" w:rsidRPr="00365CAC" w14:paraId="7B186C05" w14:textId="77777777" w:rsidTr="0013379F">
        <w:trPr>
          <w:trHeight w:val="247"/>
        </w:trPr>
        <w:tc>
          <w:tcPr>
            <w:tcW w:w="4498" w:type="dxa"/>
          </w:tcPr>
          <w:p w14:paraId="3DA2580D" w14:textId="77777777" w:rsidR="00D23CAE" w:rsidRPr="00365CAC" w:rsidRDefault="00D23CAE" w:rsidP="0013379F">
            <w:pPr>
              <w:spacing w:line="360" w:lineRule="auto"/>
              <w:jc w:val="both"/>
              <w:rPr>
                <w:rFonts w:ascii="Arial" w:hAnsi="Arial" w:cs="Arial"/>
                <w:sz w:val="20"/>
                <w:szCs w:val="20"/>
                <w:lang w:val="en-US"/>
              </w:rPr>
            </w:pPr>
            <w:r w:rsidRPr="00365CAC">
              <w:rPr>
                <w:rFonts w:ascii="Arial" w:hAnsi="Arial" w:cs="Arial"/>
                <w:sz w:val="20"/>
                <w:szCs w:val="20"/>
                <w:lang w:val="en-US"/>
              </w:rPr>
              <w:t xml:space="preserve">Fruit diameter (FD) </w:t>
            </w:r>
          </w:p>
          <w:p w14:paraId="578AA7C6" w14:textId="1818CD8E" w:rsidR="00674597" w:rsidRPr="00365CAC" w:rsidRDefault="00D23CAE" w:rsidP="0013379F">
            <w:pPr>
              <w:pStyle w:val="Default"/>
              <w:spacing w:line="360" w:lineRule="auto"/>
              <w:jc w:val="both"/>
              <w:rPr>
                <w:rFonts w:ascii="Arial" w:hAnsi="Arial" w:cs="Arial"/>
                <w:sz w:val="20"/>
                <w:szCs w:val="20"/>
                <w:lang w:val="fr-FR"/>
              </w:rPr>
            </w:pPr>
            <w:r w:rsidRPr="00365CAC">
              <w:rPr>
                <w:rFonts w:ascii="Arial" w:hAnsi="Arial" w:cs="Arial"/>
                <w:sz w:val="20"/>
                <w:szCs w:val="20"/>
              </w:rPr>
              <w:t>[cm]</w:t>
            </w:r>
          </w:p>
        </w:tc>
        <w:tc>
          <w:tcPr>
            <w:tcW w:w="4498" w:type="dxa"/>
          </w:tcPr>
          <w:p w14:paraId="7D532DFE" w14:textId="29362726" w:rsidR="00674597" w:rsidRPr="00365CAC" w:rsidRDefault="00161AC7" w:rsidP="0013379F">
            <w:pPr>
              <w:pStyle w:val="Default"/>
              <w:spacing w:line="360" w:lineRule="auto"/>
              <w:jc w:val="both"/>
              <w:rPr>
                <w:rFonts w:ascii="Arial" w:hAnsi="Arial" w:cs="Arial"/>
                <w:sz w:val="20"/>
                <w:szCs w:val="20"/>
              </w:rPr>
            </w:pPr>
            <w:r w:rsidRPr="00365CAC">
              <w:rPr>
                <w:rFonts w:ascii="Arial" w:hAnsi="Arial" w:cs="Arial"/>
                <w:sz w:val="20"/>
                <w:szCs w:val="20"/>
              </w:rPr>
              <w:t>Determined by measuring 4 fruits from the four selected plants using a caliper</w:t>
            </w:r>
          </w:p>
        </w:tc>
      </w:tr>
      <w:tr w:rsidR="00674597" w:rsidRPr="00365CAC" w14:paraId="56088BB6" w14:textId="77777777" w:rsidTr="0013379F">
        <w:trPr>
          <w:trHeight w:val="247"/>
        </w:trPr>
        <w:tc>
          <w:tcPr>
            <w:tcW w:w="4498" w:type="dxa"/>
          </w:tcPr>
          <w:p w14:paraId="72F4FAAB" w14:textId="199B8960" w:rsidR="00674597" w:rsidRPr="00365CAC" w:rsidRDefault="00161AC7" w:rsidP="0013379F">
            <w:pPr>
              <w:pStyle w:val="Default"/>
              <w:spacing w:line="360" w:lineRule="auto"/>
              <w:jc w:val="both"/>
              <w:rPr>
                <w:rFonts w:ascii="Arial" w:hAnsi="Arial" w:cs="Arial"/>
                <w:sz w:val="20"/>
                <w:szCs w:val="20"/>
              </w:rPr>
            </w:pPr>
            <w:r w:rsidRPr="00365CAC">
              <w:rPr>
                <w:rFonts w:ascii="Arial" w:hAnsi="Arial" w:cs="Arial"/>
                <w:sz w:val="20"/>
                <w:szCs w:val="20"/>
              </w:rPr>
              <w:t xml:space="preserve">Number of fruits (NFR)  </w:t>
            </w:r>
          </w:p>
        </w:tc>
        <w:tc>
          <w:tcPr>
            <w:tcW w:w="4498" w:type="dxa"/>
          </w:tcPr>
          <w:p w14:paraId="3B415FE4" w14:textId="3E548A1D" w:rsidR="00674597" w:rsidRPr="00365CAC" w:rsidRDefault="00161AC7" w:rsidP="0013379F">
            <w:pPr>
              <w:pStyle w:val="Default"/>
              <w:spacing w:line="360" w:lineRule="auto"/>
              <w:jc w:val="both"/>
              <w:rPr>
                <w:rFonts w:ascii="Arial" w:hAnsi="Arial" w:cs="Arial"/>
                <w:sz w:val="20"/>
                <w:szCs w:val="20"/>
              </w:rPr>
            </w:pPr>
            <w:r w:rsidRPr="00365CAC">
              <w:rPr>
                <w:rFonts w:ascii="Arial" w:hAnsi="Arial" w:cs="Arial"/>
                <w:sz w:val="20"/>
                <w:szCs w:val="20"/>
              </w:rPr>
              <w:t>Determine by counting the total number of fruits on the four selected plants</w:t>
            </w:r>
          </w:p>
        </w:tc>
      </w:tr>
      <w:tr w:rsidR="00674597" w:rsidRPr="00365CAC" w14:paraId="04AE4C3C" w14:textId="77777777" w:rsidTr="0013379F">
        <w:trPr>
          <w:trHeight w:val="247"/>
        </w:trPr>
        <w:tc>
          <w:tcPr>
            <w:tcW w:w="4498" w:type="dxa"/>
          </w:tcPr>
          <w:p w14:paraId="13DDD5E0" w14:textId="77777777" w:rsidR="00161AC7" w:rsidRPr="00365CAC" w:rsidRDefault="00161AC7" w:rsidP="0013379F">
            <w:pPr>
              <w:pStyle w:val="Default"/>
              <w:spacing w:line="360" w:lineRule="auto"/>
              <w:jc w:val="both"/>
              <w:rPr>
                <w:rFonts w:ascii="Arial" w:hAnsi="Arial" w:cs="Arial"/>
                <w:sz w:val="20"/>
                <w:szCs w:val="20"/>
              </w:rPr>
            </w:pPr>
            <w:r w:rsidRPr="00365CAC">
              <w:rPr>
                <w:rFonts w:ascii="Arial" w:hAnsi="Arial" w:cs="Arial"/>
                <w:sz w:val="20"/>
                <w:szCs w:val="20"/>
              </w:rPr>
              <w:t xml:space="preserve">Weight of 100 seeds (PCG) </w:t>
            </w:r>
          </w:p>
          <w:p w14:paraId="011FA73C" w14:textId="4062A494" w:rsidR="00674597" w:rsidRPr="00365CAC" w:rsidRDefault="00161AC7" w:rsidP="0013379F">
            <w:pPr>
              <w:pStyle w:val="Default"/>
              <w:spacing w:line="360" w:lineRule="auto"/>
              <w:jc w:val="both"/>
              <w:rPr>
                <w:rFonts w:ascii="Arial" w:hAnsi="Arial" w:cs="Arial"/>
                <w:sz w:val="20"/>
                <w:szCs w:val="20"/>
              </w:rPr>
            </w:pPr>
            <w:r w:rsidRPr="00365CAC">
              <w:rPr>
                <w:rFonts w:ascii="Arial" w:hAnsi="Arial" w:cs="Arial"/>
                <w:sz w:val="20"/>
                <w:szCs w:val="20"/>
              </w:rPr>
              <w:t>[g]</w:t>
            </w:r>
          </w:p>
        </w:tc>
        <w:tc>
          <w:tcPr>
            <w:tcW w:w="4498" w:type="dxa"/>
          </w:tcPr>
          <w:p w14:paraId="365F64E4" w14:textId="2020AA51" w:rsidR="00674597" w:rsidRPr="00365CAC" w:rsidRDefault="0051477C" w:rsidP="0013379F">
            <w:pPr>
              <w:pStyle w:val="Default"/>
              <w:spacing w:line="360" w:lineRule="auto"/>
              <w:jc w:val="both"/>
              <w:rPr>
                <w:rFonts w:ascii="Arial" w:hAnsi="Arial" w:cs="Arial"/>
                <w:sz w:val="20"/>
                <w:szCs w:val="20"/>
              </w:rPr>
            </w:pPr>
            <w:r w:rsidRPr="00365CAC">
              <w:rPr>
                <w:rFonts w:ascii="Arial" w:hAnsi="Arial" w:cs="Arial"/>
                <w:sz w:val="20"/>
                <w:szCs w:val="20"/>
              </w:rPr>
              <w:t>Determine by weighing 100 dry seeds per plant</w:t>
            </w:r>
          </w:p>
        </w:tc>
      </w:tr>
    </w:tbl>
    <w:p w14:paraId="5162991B" w14:textId="0269C756" w:rsidR="0051477C" w:rsidRPr="00365CAC" w:rsidRDefault="0013379F" w:rsidP="002334EB">
      <w:pPr>
        <w:spacing w:line="360" w:lineRule="auto"/>
        <w:jc w:val="both"/>
        <w:rPr>
          <w:rFonts w:ascii="Arial" w:hAnsi="Arial" w:cs="Arial"/>
          <w:sz w:val="22"/>
          <w:szCs w:val="22"/>
          <w:lang w:val="en-US"/>
        </w:rPr>
      </w:pPr>
      <w:r w:rsidRPr="00365CAC">
        <w:rPr>
          <w:rFonts w:ascii="Arial" w:hAnsi="Arial" w:cs="Arial"/>
          <w:sz w:val="22"/>
          <w:szCs w:val="22"/>
          <w:lang w:val="en-US"/>
        </w:rPr>
        <w:br w:type="textWrapping" w:clear="all"/>
      </w:r>
    </w:p>
    <w:p w14:paraId="027BC008" w14:textId="59DF4FC5" w:rsidR="00F9703D" w:rsidRPr="00365CAC" w:rsidRDefault="00245462" w:rsidP="002334EB">
      <w:pPr>
        <w:spacing w:line="360" w:lineRule="auto"/>
        <w:jc w:val="both"/>
        <w:rPr>
          <w:rFonts w:ascii="Arial" w:hAnsi="Arial" w:cs="Arial"/>
          <w:b/>
          <w:bCs/>
          <w:sz w:val="22"/>
          <w:szCs w:val="22"/>
          <w:lang w:val="en-US"/>
        </w:rPr>
      </w:pPr>
      <w:r w:rsidRPr="00365CAC">
        <w:rPr>
          <w:rFonts w:ascii="Arial" w:hAnsi="Arial" w:cs="Arial"/>
          <w:b/>
          <w:bCs/>
          <w:sz w:val="22"/>
          <w:szCs w:val="22"/>
          <w:lang w:val="en-US"/>
        </w:rPr>
        <w:t xml:space="preserve">2.4 </w:t>
      </w:r>
      <w:r w:rsidR="00F9703D" w:rsidRPr="00365CAC">
        <w:rPr>
          <w:rFonts w:ascii="Arial" w:hAnsi="Arial" w:cs="Arial"/>
          <w:b/>
          <w:bCs/>
          <w:sz w:val="22"/>
          <w:szCs w:val="22"/>
          <w:lang w:val="en-US"/>
        </w:rPr>
        <w:t>Statistical Analysis of the Data</w:t>
      </w:r>
    </w:p>
    <w:p w14:paraId="6082A781" w14:textId="176A147E" w:rsidR="00F9703D" w:rsidRPr="00365CAC" w:rsidRDefault="00F9703D" w:rsidP="002334EB">
      <w:pPr>
        <w:spacing w:line="360" w:lineRule="auto"/>
        <w:jc w:val="both"/>
        <w:rPr>
          <w:rFonts w:ascii="Arial" w:hAnsi="Arial" w:cs="Arial"/>
          <w:sz w:val="20"/>
          <w:szCs w:val="20"/>
          <w:lang w:val="en-US"/>
        </w:rPr>
      </w:pPr>
      <w:r w:rsidRPr="00365CAC">
        <w:rPr>
          <w:rFonts w:ascii="Arial" w:hAnsi="Arial" w:cs="Arial"/>
          <w:sz w:val="20"/>
          <w:szCs w:val="20"/>
          <w:lang w:val="en-US"/>
        </w:rPr>
        <w:t xml:space="preserve">Excel 2016 was used for data entry and table management. The collected data were analyzed using the statistical software R version 4.0.3 (R Core Team 2020). Thus, analysis of variance (ANOVA), followed by Pearson’s correlation matrix, was performed to compare and establish relationships between the </w:t>
      </w:r>
      <w:proofErr w:type="spellStart"/>
      <w:r w:rsidRPr="00365CAC">
        <w:rPr>
          <w:rFonts w:ascii="Arial" w:hAnsi="Arial" w:cs="Arial"/>
          <w:sz w:val="20"/>
          <w:szCs w:val="20"/>
          <w:lang w:val="en-US"/>
        </w:rPr>
        <w:t>agro</w:t>
      </w:r>
      <w:proofErr w:type="spellEnd"/>
      <w:r w:rsidR="005A6F49" w:rsidRPr="00365CAC">
        <w:rPr>
          <w:rFonts w:ascii="Arial" w:hAnsi="Arial" w:cs="Arial"/>
          <w:sz w:val="20"/>
          <w:szCs w:val="20"/>
          <w:lang w:val="en-US"/>
        </w:rPr>
        <w:t xml:space="preserve"> </w:t>
      </w:r>
      <w:r w:rsidRPr="00365CAC">
        <w:rPr>
          <w:rFonts w:ascii="Arial" w:hAnsi="Arial" w:cs="Arial"/>
          <w:sz w:val="20"/>
          <w:szCs w:val="20"/>
          <w:lang w:val="en-US"/>
        </w:rPr>
        <w:t xml:space="preserve">morphological parameters of </w:t>
      </w:r>
      <w:r w:rsidRPr="00365CAC">
        <w:rPr>
          <w:rFonts w:ascii="Arial" w:hAnsi="Arial" w:cs="Arial"/>
          <w:i/>
          <w:iCs/>
          <w:sz w:val="20"/>
          <w:szCs w:val="20"/>
          <w:lang w:val="en-US"/>
        </w:rPr>
        <w:t>Hibiscus cannabinus</w:t>
      </w:r>
      <w:r w:rsidRPr="00365CAC">
        <w:rPr>
          <w:rFonts w:ascii="Arial" w:hAnsi="Arial" w:cs="Arial"/>
          <w:sz w:val="20"/>
          <w:szCs w:val="20"/>
          <w:lang w:val="en-US"/>
        </w:rPr>
        <w:t xml:space="preserve"> and the physicochemical and biochemical parameters of the leaves. The data were presented as means with corresponding standard deviations, and each experiment was conducted in a series of two separate replicates (n = 2) for the physicochemical parameters (water, ash, Fe, Mg, Ca, Zn, K, Na) and three separate replicates (n = 3) for the biochemical parameters (lipids, proteins, carbohydrates). To characterize the collected samples based on their physicochemical and nutritional profiles, a principal component analysis (PCA) was performed using only the parameters that could distinguish between accessions. In addition, a global heat map of performance was created to evaluate the specific performance of the accessions, which resulted in the grouping of individuals based on phenotypic and chemical similarity using Hierarchical Classification.</w:t>
      </w:r>
    </w:p>
    <w:p w14:paraId="0F60ED57" w14:textId="77777777" w:rsidR="00F9703D" w:rsidRPr="00365CAC" w:rsidRDefault="00F9703D" w:rsidP="002334EB">
      <w:pPr>
        <w:spacing w:line="360" w:lineRule="auto"/>
        <w:jc w:val="both"/>
        <w:rPr>
          <w:rFonts w:ascii="Arial" w:hAnsi="Arial" w:cs="Arial"/>
          <w:sz w:val="22"/>
          <w:szCs w:val="22"/>
          <w:lang w:val="en-US"/>
        </w:rPr>
      </w:pPr>
    </w:p>
    <w:p w14:paraId="6CF79BE7" w14:textId="48C012C9" w:rsidR="00F9703D" w:rsidRPr="00365CAC" w:rsidRDefault="00F9703D" w:rsidP="00245462">
      <w:pPr>
        <w:pStyle w:val="ListParagraph"/>
        <w:numPr>
          <w:ilvl w:val="0"/>
          <w:numId w:val="2"/>
        </w:numPr>
        <w:spacing w:line="360" w:lineRule="auto"/>
        <w:jc w:val="both"/>
        <w:rPr>
          <w:rFonts w:ascii="Arial" w:hAnsi="Arial" w:cs="Arial"/>
          <w:b/>
          <w:bCs/>
          <w:caps/>
          <w:sz w:val="22"/>
          <w:szCs w:val="22"/>
          <w:lang w:val="en-US"/>
        </w:rPr>
      </w:pPr>
      <w:r w:rsidRPr="00365CAC">
        <w:rPr>
          <w:rFonts w:ascii="Arial" w:hAnsi="Arial" w:cs="Arial"/>
          <w:b/>
          <w:bCs/>
          <w:caps/>
          <w:sz w:val="22"/>
          <w:szCs w:val="22"/>
          <w:lang w:val="en-US"/>
        </w:rPr>
        <w:t>Results</w:t>
      </w:r>
    </w:p>
    <w:p w14:paraId="7224E686" w14:textId="5FA6F90A" w:rsidR="00F9703D" w:rsidRPr="00365CAC" w:rsidRDefault="00F9703D" w:rsidP="002334EB">
      <w:pPr>
        <w:spacing w:line="360" w:lineRule="auto"/>
        <w:jc w:val="both"/>
        <w:rPr>
          <w:rFonts w:ascii="Arial" w:hAnsi="Arial" w:cs="Arial"/>
          <w:sz w:val="20"/>
          <w:szCs w:val="20"/>
          <w:lang w:val="en-US"/>
        </w:rPr>
      </w:pPr>
      <w:r w:rsidRPr="00365CAC">
        <w:rPr>
          <w:rFonts w:ascii="Arial" w:hAnsi="Arial" w:cs="Arial"/>
          <w:sz w:val="20"/>
          <w:szCs w:val="20"/>
          <w:lang w:val="en-US"/>
        </w:rPr>
        <w:t xml:space="preserve">Analysis of variance reveals heterogeneity among the accessions studied, as evidenced by the high variability of </w:t>
      </w:r>
      <w:proofErr w:type="spellStart"/>
      <w:r w:rsidRPr="00365CAC">
        <w:rPr>
          <w:rFonts w:ascii="Arial" w:hAnsi="Arial" w:cs="Arial"/>
          <w:sz w:val="20"/>
          <w:szCs w:val="20"/>
          <w:lang w:val="en-US"/>
        </w:rPr>
        <w:t>agro</w:t>
      </w:r>
      <w:proofErr w:type="spellEnd"/>
      <w:r w:rsidR="005A6F49" w:rsidRPr="00365CAC">
        <w:rPr>
          <w:rFonts w:ascii="Arial" w:hAnsi="Arial" w:cs="Arial"/>
          <w:sz w:val="20"/>
          <w:szCs w:val="20"/>
          <w:lang w:val="en-US"/>
        </w:rPr>
        <w:t xml:space="preserve"> </w:t>
      </w:r>
      <w:r w:rsidRPr="00365CAC">
        <w:rPr>
          <w:rFonts w:ascii="Arial" w:hAnsi="Arial" w:cs="Arial"/>
          <w:sz w:val="20"/>
          <w:szCs w:val="20"/>
          <w:lang w:val="en-US"/>
        </w:rPr>
        <w:t xml:space="preserve">morphological, biochemical, and physicochemical parameters relative to the mean (Table I). This variability is partly explained by the high values of the standard deviations and coefficients of variation calculated, which range from 0.16 to 18.44 and from 1.50% to 158.10%, respectively. Indeed, the standard deviations were relatively high for the number of fruits (NFR = 53.82 ± 14.50), potassium (K = 47.47 ± 14.01), sodium (Na = 42.72 ± 18.44), and carbohydrate (38.52 ± 15.06), with similarly high coefficients of variation of 26.95%, 29.51%, 43.16%, and 39.10%, respectively. Furthermore, the standard deviations were relatively low for the parameters fruit length (FRL = 2.28 ± 0.84), iron content (Fe = 0.40 ± 0.18), calcium content (Ca = 1.53 ± 2.42), ash content (11.18 ± 9.04), and lipid content </w:t>
      </w:r>
      <w:r w:rsidRPr="00365CAC">
        <w:rPr>
          <w:rFonts w:ascii="Arial" w:hAnsi="Arial" w:cs="Arial"/>
          <w:sz w:val="20"/>
          <w:szCs w:val="20"/>
          <w:lang w:val="en-US"/>
        </w:rPr>
        <w:lastRenderedPageBreak/>
        <w:t xml:space="preserve">(Lipid = 18.58 ± 6.19), while the respective coefficients of variation were high (FRL = 36.97%; Fe = 44.90%; Ca = 158.10%; Ash = 80.87%; and Lipid = 33.33%). All these parameters showed high coefficients of variation (CV &gt; 30%), indicating significant heterogeneity among the accessions studied for these traits. However, the coefficients of variation were low (CV &lt; 30%) for the majority of the traits studied, reflecting low heterogeneity of the plant material for these various traits. </w:t>
      </w:r>
    </w:p>
    <w:p w14:paraId="74889EB5" w14:textId="77777777" w:rsidR="00F9703D" w:rsidRPr="00365CAC" w:rsidRDefault="00F9703D" w:rsidP="002334EB">
      <w:pPr>
        <w:spacing w:line="360" w:lineRule="auto"/>
        <w:jc w:val="both"/>
        <w:rPr>
          <w:rFonts w:ascii="Arial" w:hAnsi="Arial" w:cs="Arial"/>
          <w:sz w:val="20"/>
          <w:szCs w:val="20"/>
          <w:lang w:val="en-US"/>
        </w:rPr>
      </w:pPr>
      <w:r w:rsidRPr="00365CAC">
        <w:rPr>
          <w:rFonts w:ascii="Arial" w:hAnsi="Arial" w:cs="Arial"/>
          <w:i/>
          <w:iCs/>
          <w:sz w:val="20"/>
          <w:szCs w:val="20"/>
          <w:lang w:val="en-US"/>
        </w:rPr>
        <w:t>H. cannabinus</w:t>
      </w:r>
      <w:r w:rsidRPr="00365CAC">
        <w:rPr>
          <w:rFonts w:ascii="Arial" w:hAnsi="Arial" w:cs="Arial"/>
          <w:sz w:val="20"/>
          <w:szCs w:val="20"/>
          <w:lang w:val="en-US"/>
        </w:rPr>
        <w:t xml:space="preserve"> accessions flowered between 59 and 91 days after sowing, reaching an average height of 2.77 m with stems 3.30 cm in diameter. The majority of accessions produced fruits 2.28 cm long, with an average diameter of 1.55 cm.</w:t>
      </w:r>
    </w:p>
    <w:p w14:paraId="43D97AD4" w14:textId="77777777" w:rsidR="00795285" w:rsidRPr="00365CAC" w:rsidRDefault="00795285" w:rsidP="002334EB">
      <w:pPr>
        <w:spacing w:line="360" w:lineRule="auto"/>
        <w:jc w:val="both"/>
        <w:rPr>
          <w:rFonts w:ascii="Times New Roman" w:hAnsi="Times New Roman" w:cs="Times New Roman"/>
          <w:lang w:val="en-US"/>
        </w:rPr>
      </w:pPr>
    </w:p>
    <w:p w14:paraId="65C3D4A0" w14:textId="2E8BDC87" w:rsidR="00795285" w:rsidRPr="00365CAC" w:rsidRDefault="00F9703D" w:rsidP="002334EB">
      <w:pPr>
        <w:spacing w:line="360" w:lineRule="auto"/>
        <w:jc w:val="both"/>
        <w:rPr>
          <w:rFonts w:ascii="Arial" w:hAnsi="Arial" w:cs="Arial"/>
          <w:b/>
          <w:bCs/>
          <w:sz w:val="20"/>
          <w:szCs w:val="20"/>
          <w:lang w:val="en-US"/>
        </w:rPr>
      </w:pPr>
      <w:r w:rsidRPr="00365CAC">
        <w:rPr>
          <w:rFonts w:ascii="Arial" w:hAnsi="Arial" w:cs="Arial"/>
          <w:b/>
          <w:bCs/>
          <w:sz w:val="20"/>
          <w:szCs w:val="20"/>
          <w:lang w:val="en-US"/>
        </w:rPr>
        <w:t xml:space="preserve">Table </w:t>
      </w:r>
      <w:r w:rsidR="007D5A2D" w:rsidRPr="00365CAC">
        <w:rPr>
          <w:rFonts w:ascii="Arial" w:hAnsi="Arial" w:cs="Arial"/>
          <w:b/>
          <w:bCs/>
          <w:sz w:val="20"/>
          <w:szCs w:val="20"/>
          <w:lang w:val="en-US"/>
        </w:rPr>
        <w:t>II</w:t>
      </w:r>
      <w:r w:rsidRPr="00365CAC">
        <w:rPr>
          <w:rFonts w:ascii="Arial" w:hAnsi="Arial" w:cs="Arial"/>
          <w:b/>
          <w:bCs/>
          <w:sz w:val="20"/>
          <w:szCs w:val="20"/>
          <w:lang w:val="en-US"/>
        </w:rPr>
        <w:t xml:space="preserve">I: Average performance of the </w:t>
      </w:r>
      <w:r w:rsidRPr="00365CAC">
        <w:rPr>
          <w:rFonts w:ascii="Arial" w:hAnsi="Arial" w:cs="Arial"/>
          <w:b/>
          <w:bCs/>
          <w:i/>
          <w:iCs/>
          <w:sz w:val="20"/>
          <w:szCs w:val="20"/>
          <w:lang w:val="en-US"/>
        </w:rPr>
        <w:t>H. cannabinus</w:t>
      </w:r>
      <w:r w:rsidRPr="00365CAC">
        <w:rPr>
          <w:rFonts w:ascii="Arial" w:hAnsi="Arial" w:cs="Arial"/>
          <w:b/>
          <w:bCs/>
          <w:sz w:val="20"/>
          <w:szCs w:val="20"/>
          <w:lang w:val="en-US"/>
        </w:rPr>
        <w:t xml:space="preserve"> accessions studied</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670"/>
        <w:gridCol w:w="1160"/>
        <w:gridCol w:w="1139"/>
        <w:gridCol w:w="1418"/>
        <w:gridCol w:w="1417"/>
        <w:gridCol w:w="1134"/>
      </w:tblGrid>
      <w:tr w:rsidR="0051477C" w:rsidRPr="00365CAC" w14:paraId="0853BB6A" w14:textId="77777777">
        <w:tc>
          <w:tcPr>
            <w:tcW w:w="1670" w:type="dxa"/>
          </w:tcPr>
          <w:p w14:paraId="6BF51FA4" w14:textId="05F2AC32" w:rsidR="0051477C" w:rsidRPr="00365CAC" w:rsidRDefault="0051477C" w:rsidP="002334EB">
            <w:pPr>
              <w:spacing w:line="360" w:lineRule="auto"/>
              <w:jc w:val="both"/>
              <w:rPr>
                <w:rFonts w:ascii="Arial" w:eastAsia="Calibri" w:hAnsi="Arial" w:cs="Arial"/>
                <w:b/>
                <w:kern w:val="0"/>
                <w:sz w:val="20"/>
                <w:szCs w:val="20"/>
                <w:lang w:val="fr-FR"/>
                <w14:ligatures w14:val="none"/>
              </w:rPr>
            </w:pPr>
            <w:proofErr w:type="spellStart"/>
            <w:r w:rsidRPr="00365CAC">
              <w:rPr>
                <w:rFonts w:ascii="Arial" w:eastAsia="Calibri" w:hAnsi="Arial" w:cs="Arial"/>
                <w:b/>
                <w:kern w:val="0"/>
                <w:sz w:val="20"/>
                <w:szCs w:val="20"/>
                <w:lang w:val="fr-FR"/>
                <w14:ligatures w14:val="none"/>
              </w:rPr>
              <w:t>Parameters</w:t>
            </w:r>
            <w:proofErr w:type="spellEnd"/>
          </w:p>
        </w:tc>
        <w:tc>
          <w:tcPr>
            <w:tcW w:w="1160" w:type="dxa"/>
          </w:tcPr>
          <w:p w14:paraId="35CBC1F4" w14:textId="783057A0"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b/>
                <w:bCs/>
                <w:sz w:val="20"/>
                <w:szCs w:val="20"/>
                <w:lang w:eastAsia="fr-FR"/>
              </w:rPr>
              <w:t>Min</w:t>
            </w:r>
            <w:r w:rsidR="00D056FC" w:rsidRPr="00365CAC">
              <w:rPr>
                <w:rFonts w:ascii="Arial" w:eastAsia="Times New Roman" w:hAnsi="Arial" w:cs="Arial"/>
                <w:b/>
                <w:bCs/>
                <w:sz w:val="20"/>
                <w:szCs w:val="20"/>
                <w:lang w:eastAsia="fr-FR"/>
              </w:rPr>
              <w:t>imum</w:t>
            </w:r>
          </w:p>
        </w:tc>
        <w:tc>
          <w:tcPr>
            <w:tcW w:w="1134" w:type="dxa"/>
          </w:tcPr>
          <w:p w14:paraId="64DC6C5B" w14:textId="6DA4918C"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b/>
                <w:bCs/>
                <w:sz w:val="20"/>
                <w:szCs w:val="20"/>
                <w:lang w:eastAsia="fr-FR"/>
              </w:rPr>
              <w:t>Max</w:t>
            </w:r>
            <w:r w:rsidR="00D056FC" w:rsidRPr="00365CAC">
              <w:rPr>
                <w:rFonts w:ascii="Arial" w:eastAsia="Times New Roman" w:hAnsi="Arial" w:cs="Arial"/>
                <w:b/>
                <w:bCs/>
                <w:sz w:val="20"/>
                <w:szCs w:val="20"/>
                <w:lang w:eastAsia="fr-FR"/>
              </w:rPr>
              <w:t>imum</w:t>
            </w:r>
          </w:p>
        </w:tc>
        <w:tc>
          <w:tcPr>
            <w:tcW w:w="1418" w:type="dxa"/>
          </w:tcPr>
          <w:p w14:paraId="7735BA2B" w14:textId="6DDC76F0"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Calibri" w:hAnsi="Arial" w:cs="Arial"/>
                <w:b/>
                <w:kern w:val="0"/>
                <w:sz w:val="20"/>
                <w:szCs w:val="20"/>
                <w:lang w:val="fr-FR"/>
                <w14:ligatures w14:val="none"/>
              </w:rPr>
              <w:t>Mean</w:t>
            </w:r>
          </w:p>
        </w:tc>
        <w:tc>
          <w:tcPr>
            <w:tcW w:w="1417" w:type="dxa"/>
          </w:tcPr>
          <w:p w14:paraId="6333FF07" w14:textId="148D721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Calibri" w:hAnsi="Arial" w:cs="Arial"/>
                <w:b/>
                <w:kern w:val="0"/>
                <w:sz w:val="20"/>
                <w:szCs w:val="20"/>
                <w:lang w:val="fr-FR"/>
                <w14:ligatures w14:val="none"/>
              </w:rPr>
              <w:t xml:space="preserve">Standard </w:t>
            </w:r>
            <w:proofErr w:type="spellStart"/>
            <w:r w:rsidRPr="00365CAC">
              <w:rPr>
                <w:rFonts w:ascii="Arial" w:eastAsia="Calibri" w:hAnsi="Arial" w:cs="Arial"/>
                <w:b/>
                <w:kern w:val="0"/>
                <w:sz w:val="20"/>
                <w:szCs w:val="20"/>
                <w:lang w:val="fr-FR"/>
                <w14:ligatures w14:val="none"/>
              </w:rPr>
              <w:t>Deviation</w:t>
            </w:r>
            <w:proofErr w:type="spellEnd"/>
          </w:p>
        </w:tc>
        <w:tc>
          <w:tcPr>
            <w:tcW w:w="1134" w:type="dxa"/>
          </w:tcPr>
          <w:p w14:paraId="5CCB8FAD"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b/>
                <w:bCs/>
                <w:sz w:val="20"/>
                <w:szCs w:val="20"/>
                <w:lang w:eastAsia="fr-FR"/>
              </w:rPr>
              <w:t>CV (%)</w:t>
            </w:r>
          </w:p>
        </w:tc>
      </w:tr>
      <w:tr w:rsidR="0051477C" w:rsidRPr="00365CAC" w14:paraId="273C0E5D" w14:textId="77777777">
        <w:tc>
          <w:tcPr>
            <w:tcW w:w="1670" w:type="dxa"/>
          </w:tcPr>
          <w:p w14:paraId="0F4983A3"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b/>
                <w:bCs/>
                <w:sz w:val="20"/>
                <w:szCs w:val="20"/>
                <w:lang w:eastAsia="fr-FR"/>
              </w:rPr>
              <w:t>FLD</w:t>
            </w:r>
          </w:p>
        </w:tc>
        <w:tc>
          <w:tcPr>
            <w:tcW w:w="1160" w:type="dxa"/>
          </w:tcPr>
          <w:p w14:paraId="124BCB8D"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59.00</w:t>
            </w:r>
          </w:p>
        </w:tc>
        <w:tc>
          <w:tcPr>
            <w:tcW w:w="1134" w:type="dxa"/>
          </w:tcPr>
          <w:p w14:paraId="00CC90B5"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90.75</w:t>
            </w:r>
          </w:p>
        </w:tc>
        <w:tc>
          <w:tcPr>
            <w:tcW w:w="1418" w:type="dxa"/>
          </w:tcPr>
          <w:p w14:paraId="42D810DF"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73.88</w:t>
            </w:r>
          </w:p>
        </w:tc>
        <w:tc>
          <w:tcPr>
            <w:tcW w:w="1417" w:type="dxa"/>
          </w:tcPr>
          <w:p w14:paraId="760C1FCA"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8.87</w:t>
            </w:r>
          </w:p>
        </w:tc>
        <w:tc>
          <w:tcPr>
            <w:tcW w:w="1134" w:type="dxa"/>
          </w:tcPr>
          <w:p w14:paraId="4A2C7973"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12.01</w:t>
            </w:r>
          </w:p>
        </w:tc>
      </w:tr>
      <w:tr w:rsidR="0051477C" w:rsidRPr="00365CAC" w14:paraId="5F339485" w14:textId="77777777">
        <w:tc>
          <w:tcPr>
            <w:tcW w:w="1670" w:type="dxa"/>
          </w:tcPr>
          <w:p w14:paraId="45FFDA9B"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b/>
                <w:bCs/>
                <w:sz w:val="20"/>
                <w:szCs w:val="20"/>
                <w:lang w:eastAsia="fr-FR"/>
              </w:rPr>
              <w:t>NFR</w:t>
            </w:r>
          </w:p>
        </w:tc>
        <w:tc>
          <w:tcPr>
            <w:tcW w:w="1160" w:type="dxa"/>
          </w:tcPr>
          <w:p w14:paraId="03723777"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22.00</w:t>
            </w:r>
          </w:p>
        </w:tc>
        <w:tc>
          <w:tcPr>
            <w:tcW w:w="1134" w:type="dxa"/>
          </w:tcPr>
          <w:p w14:paraId="4FC68AD3"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93.50</w:t>
            </w:r>
          </w:p>
        </w:tc>
        <w:tc>
          <w:tcPr>
            <w:tcW w:w="1418" w:type="dxa"/>
          </w:tcPr>
          <w:p w14:paraId="0EC89C25"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53.82</w:t>
            </w:r>
          </w:p>
        </w:tc>
        <w:tc>
          <w:tcPr>
            <w:tcW w:w="1417" w:type="dxa"/>
          </w:tcPr>
          <w:p w14:paraId="411AE29A"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14.50</w:t>
            </w:r>
          </w:p>
        </w:tc>
        <w:tc>
          <w:tcPr>
            <w:tcW w:w="1134" w:type="dxa"/>
          </w:tcPr>
          <w:p w14:paraId="3F73F966"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26.95</w:t>
            </w:r>
          </w:p>
        </w:tc>
      </w:tr>
      <w:tr w:rsidR="0051477C" w:rsidRPr="00365CAC" w14:paraId="02C9E8A8" w14:textId="77777777">
        <w:tc>
          <w:tcPr>
            <w:tcW w:w="1670" w:type="dxa"/>
          </w:tcPr>
          <w:p w14:paraId="58D5A3AF"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b/>
                <w:bCs/>
                <w:sz w:val="20"/>
                <w:szCs w:val="20"/>
                <w:lang w:eastAsia="fr-FR"/>
              </w:rPr>
              <w:t>PLH</w:t>
            </w:r>
          </w:p>
        </w:tc>
        <w:tc>
          <w:tcPr>
            <w:tcW w:w="1160" w:type="dxa"/>
          </w:tcPr>
          <w:p w14:paraId="16F54399"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1.42</w:t>
            </w:r>
          </w:p>
        </w:tc>
        <w:tc>
          <w:tcPr>
            <w:tcW w:w="1134" w:type="dxa"/>
          </w:tcPr>
          <w:p w14:paraId="5A2F01F2"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4.17</w:t>
            </w:r>
          </w:p>
        </w:tc>
        <w:tc>
          <w:tcPr>
            <w:tcW w:w="1418" w:type="dxa"/>
          </w:tcPr>
          <w:p w14:paraId="586A980D"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2.77</w:t>
            </w:r>
          </w:p>
        </w:tc>
        <w:tc>
          <w:tcPr>
            <w:tcW w:w="1417" w:type="dxa"/>
          </w:tcPr>
          <w:p w14:paraId="0C57FD39"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0.47</w:t>
            </w:r>
          </w:p>
        </w:tc>
        <w:tc>
          <w:tcPr>
            <w:tcW w:w="1134" w:type="dxa"/>
          </w:tcPr>
          <w:p w14:paraId="269A26A9"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16.94</w:t>
            </w:r>
          </w:p>
        </w:tc>
      </w:tr>
      <w:tr w:rsidR="0051477C" w:rsidRPr="00365CAC" w14:paraId="62085EE1" w14:textId="77777777">
        <w:tc>
          <w:tcPr>
            <w:tcW w:w="1670" w:type="dxa"/>
          </w:tcPr>
          <w:p w14:paraId="16EF1E8B"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b/>
                <w:bCs/>
                <w:sz w:val="20"/>
                <w:szCs w:val="20"/>
                <w:lang w:eastAsia="fr-FR"/>
              </w:rPr>
              <w:t>SHD</w:t>
            </w:r>
          </w:p>
        </w:tc>
        <w:tc>
          <w:tcPr>
            <w:tcW w:w="1160" w:type="dxa"/>
          </w:tcPr>
          <w:p w14:paraId="6E738619"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2.22</w:t>
            </w:r>
          </w:p>
        </w:tc>
        <w:tc>
          <w:tcPr>
            <w:tcW w:w="1134" w:type="dxa"/>
          </w:tcPr>
          <w:p w14:paraId="60EC687D"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6.12</w:t>
            </w:r>
          </w:p>
        </w:tc>
        <w:tc>
          <w:tcPr>
            <w:tcW w:w="1418" w:type="dxa"/>
          </w:tcPr>
          <w:p w14:paraId="6871638A"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3.30</w:t>
            </w:r>
          </w:p>
        </w:tc>
        <w:tc>
          <w:tcPr>
            <w:tcW w:w="1417" w:type="dxa"/>
          </w:tcPr>
          <w:p w14:paraId="6104A70F"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0.72</w:t>
            </w:r>
          </w:p>
        </w:tc>
        <w:tc>
          <w:tcPr>
            <w:tcW w:w="1134" w:type="dxa"/>
          </w:tcPr>
          <w:p w14:paraId="0A89C2F1"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21.90</w:t>
            </w:r>
          </w:p>
        </w:tc>
      </w:tr>
      <w:tr w:rsidR="0051477C" w:rsidRPr="00365CAC" w14:paraId="56C12D57" w14:textId="77777777">
        <w:tc>
          <w:tcPr>
            <w:tcW w:w="1670" w:type="dxa"/>
          </w:tcPr>
          <w:p w14:paraId="762CDAF1"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b/>
                <w:bCs/>
                <w:sz w:val="20"/>
                <w:szCs w:val="20"/>
                <w:lang w:eastAsia="fr-FR"/>
              </w:rPr>
              <w:t>FRL</w:t>
            </w:r>
          </w:p>
        </w:tc>
        <w:tc>
          <w:tcPr>
            <w:tcW w:w="1160" w:type="dxa"/>
          </w:tcPr>
          <w:p w14:paraId="31D83D66"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1.35</w:t>
            </w:r>
          </w:p>
        </w:tc>
        <w:tc>
          <w:tcPr>
            <w:tcW w:w="1134" w:type="dxa"/>
          </w:tcPr>
          <w:p w14:paraId="4FB8309F"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7.07</w:t>
            </w:r>
          </w:p>
        </w:tc>
        <w:tc>
          <w:tcPr>
            <w:tcW w:w="1418" w:type="dxa"/>
          </w:tcPr>
          <w:p w14:paraId="682E10F0"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2.28</w:t>
            </w:r>
          </w:p>
        </w:tc>
        <w:tc>
          <w:tcPr>
            <w:tcW w:w="1417" w:type="dxa"/>
          </w:tcPr>
          <w:p w14:paraId="4A4CA479"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0.84</w:t>
            </w:r>
          </w:p>
        </w:tc>
        <w:tc>
          <w:tcPr>
            <w:tcW w:w="1134" w:type="dxa"/>
          </w:tcPr>
          <w:p w14:paraId="794E9543"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36.97</w:t>
            </w:r>
          </w:p>
        </w:tc>
      </w:tr>
      <w:tr w:rsidR="0051477C" w:rsidRPr="00365CAC" w14:paraId="21459B1F" w14:textId="77777777">
        <w:tc>
          <w:tcPr>
            <w:tcW w:w="1670" w:type="dxa"/>
          </w:tcPr>
          <w:p w14:paraId="4BF54223"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b/>
                <w:bCs/>
                <w:sz w:val="20"/>
                <w:szCs w:val="20"/>
                <w:lang w:eastAsia="fr-FR"/>
              </w:rPr>
              <w:t>FRD</w:t>
            </w:r>
          </w:p>
        </w:tc>
        <w:tc>
          <w:tcPr>
            <w:tcW w:w="1160" w:type="dxa"/>
          </w:tcPr>
          <w:p w14:paraId="1AF72942"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1.22</w:t>
            </w:r>
          </w:p>
        </w:tc>
        <w:tc>
          <w:tcPr>
            <w:tcW w:w="1134" w:type="dxa"/>
          </w:tcPr>
          <w:p w14:paraId="16F69C13"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2.00</w:t>
            </w:r>
          </w:p>
        </w:tc>
        <w:tc>
          <w:tcPr>
            <w:tcW w:w="1418" w:type="dxa"/>
          </w:tcPr>
          <w:p w14:paraId="0DCE493E"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1.55</w:t>
            </w:r>
          </w:p>
        </w:tc>
        <w:tc>
          <w:tcPr>
            <w:tcW w:w="1417" w:type="dxa"/>
          </w:tcPr>
          <w:p w14:paraId="3DDC75D0"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0.16</w:t>
            </w:r>
          </w:p>
        </w:tc>
        <w:tc>
          <w:tcPr>
            <w:tcW w:w="1134" w:type="dxa"/>
          </w:tcPr>
          <w:p w14:paraId="4DA07F6F"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10.12</w:t>
            </w:r>
          </w:p>
        </w:tc>
      </w:tr>
      <w:tr w:rsidR="0051477C" w:rsidRPr="00365CAC" w14:paraId="0A75B802" w14:textId="77777777">
        <w:tc>
          <w:tcPr>
            <w:tcW w:w="1670" w:type="dxa"/>
          </w:tcPr>
          <w:p w14:paraId="065CA6EB"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b/>
                <w:bCs/>
                <w:sz w:val="20"/>
                <w:szCs w:val="20"/>
                <w:lang w:eastAsia="fr-FR"/>
              </w:rPr>
              <w:t>WHS</w:t>
            </w:r>
          </w:p>
        </w:tc>
        <w:tc>
          <w:tcPr>
            <w:tcW w:w="1160" w:type="dxa"/>
          </w:tcPr>
          <w:p w14:paraId="2B7C30C2"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2.20</w:t>
            </w:r>
          </w:p>
        </w:tc>
        <w:tc>
          <w:tcPr>
            <w:tcW w:w="1134" w:type="dxa"/>
          </w:tcPr>
          <w:p w14:paraId="56673C78"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3.40</w:t>
            </w:r>
          </w:p>
        </w:tc>
        <w:tc>
          <w:tcPr>
            <w:tcW w:w="1418" w:type="dxa"/>
          </w:tcPr>
          <w:p w14:paraId="5187B80F"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2.83</w:t>
            </w:r>
          </w:p>
        </w:tc>
        <w:tc>
          <w:tcPr>
            <w:tcW w:w="1417" w:type="dxa"/>
          </w:tcPr>
          <w:p w14:paraId="5EAD09F0"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0.33</w:t>
            </w:r>
          </w:p>
        </w:tc>
        <w:tc>
          <w:tcPr>
            <w:tcW w:w="1134" w:type="dxa"/>
          </w:tcPr>
          <w:p w14:paraId="2F632B02"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11.95</w:t>
            </w:r>
          </w:p>
        </w:tc>
      </w:tr>
      <w:tr w:rsidR="0051477C" w:rsidRPr="00365CAC" w14:paraId="7CFEBE29" w14:textId="77777777">
        <w:tc>
          <w:tcPr>
            <w:tcW w:w="1670" w:type="dxa"/>
          </w:tcPr>
          <w:p w14:paraId="6120D4C1"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b/>
                <w:bCs/>
                <w:sz w:val="20"/>
                <w:szCs w:val="20"/>
                <w:lang w:eastAsia="fr-FR"/>
              </w:rPr>
              <w:t>Fe</w:t>
            </w:r>
          </w:p>
        </w:tc>
        <w:tc>
          <w:tcPr>
            <w:tcW w:w="1160" w:type="dxa"/>
          </w:tcPr>
          <w:p w14:paraId="438EDA83"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0.33</w:t>
            </w:r>
          </w:p>
        </w:tc>
        <w:tc>
          <w:tcPr>
            <w:tcW w:w="1134" w:type="dxa"/>
          </w:tcPr>
          <w:p w14:paraId="5A61AABB"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1.04</w:t>
            </w:r>
          </w:p>
        </w:tc>
        <w:tc>
          <w:tcPr>
            <w:tcW w:w="1418" w:type="dxa"/>
          </w:tcPr>
          <w:p w14:paraId="6FDFAB49"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0.40</w:t>
            </w:r>
          </w:p>
        </w:tc>
        <w:tc>
          <w:tcPr>
            <w:tcW w:w="1417" w:type="dxa"/>
          </w:tcPr>
          <w:p w14:paraId="72BB0A2D"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0.18</w:t>
            </w:r>
          </w:p>
        </w:tc>
        <w:tc>
          <w:tcPr>
            <w:tcW w:w="1134" w:type="dxa"/>
          </w:tcPr>
          <w:p w14:paraId="0C824787"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44.90</w:t>
            </w:r>
          </w:p>
        </w:tc>
      </w:tr>
      <w:tr w:rsidR="0051477C" w:rsidRPr="00365CAC" w14:paraId="7361518C" w14:textId="77777777">
        <w:tc>
          <w:tcPr>
            <w:tcW w:w="1670" w:type="dxa"/>
          </w:tcPr>
          <w:p w14:paraId="53D22CF8"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b/>
                <w:bCs/>
                <w:sz w:val="20"/>
                <w:szCs w:val="20"/>
                <w:lang w:eastAsia="fr-FR"/>
              </w:rPr>
              <w:t>Zn</w:t>
            </w:r>
          </w:p>
        </w:tc>
        <w:tc>
          <w:tcPr>
            <w:tcW w:w="1160" w:type="dxa"/>
          </w:tcPr>
          <w:p w14:paraId="41140C85"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1.23</w:t>
            </w:r>
          </w:p>
        </w:tc>
        <w:tc>
          <w:tcPr>
            <w:tcW w:w="1134" w:type="dxa"/>
          </w:tcPr>
          <w:p w14:paraId="39312FC5"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4.53</w:t>
            </w:r>
          </w:p>
        </w:tc>
        <w:tc>
          <w:tcPr>
            <w:tcW w:w="1418" w:type="dxa"/>
          </w:tcPr>
          <w:p w14:paraId="2F027029"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3.44</w:t>
            </w:r>
          </w:p>
        </w:tc>
        <w:tc>
          <w:tcPr>
            <w:tcW w:w="1417" w:type="dxa"/>
          </w:tcPr>
          <w:p w14:paraId="0B959556"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0.82</w:t>
            </w:r>
          </w:p>
        </w:tc>
        <w:tc>
          <w:tcPr>
            <w:tcW w:w="1134" w:type="dxa"/>
          </w:tcPr>
          <w:p w14:paraId="048EBFD0"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23.93</w:t>
            </w:r>
          </w:p>
        </w:tc>
      </w:tr>
      <w:tr w:rsidR="0051477C" w:rsidRPr="00365CAC" w14:paraId="74027B74" w14:textId="77777777">
        <w:tc>
          <w:tcPr>
            <w:tcW w:w="1670" w:type="dxa"/>
          </w:tcPr>
          <w:p w14:paraId="77825088"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b/>
                <w:bCs/>
                <w:sz w:val="20"/>
                <w:szCs w:val="20"/>
                <w:lang w:eastAsia="fr-FR"/>
              </w:rPr>
              <w:t>Ca</w:t>
            </w:r>
          </w:p>
        </w:tc>
        <w:tc>
          <w:tcPr>
            <w:tcW w:w="1160" w:type="dxa"/>
          </w:tcPr>
          <w:p w14:paraId="5D58682B"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0.31</w:t>
            </w:r>
          </w:p>
        </w:tc>
        <w:tc>
          <w:tcPr>
            <w:tcW w:w="1134" w:type="dxa"/>
          </w:tcPr>
          <w:p w14:paraId="23A10FB7"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10.27</w:t>
            </w:r>
          </w:p>
        </w:tc>
        <w:tc>
          <w:tcPr>
            <w:tcW w:w="1418" w:type="dxa"/>
          </w:tcPr>
          <w:p w14:paraId="74E4AE01"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1.53</w:t>
            </w:r>
          </w:p>
        </w:tc>
        <w:tc>
          <w:tcPr>
            <w:tcW w:w="1417" w:type="dxa"/>
          </w:tcPr>
          <w:p w14:paraId="03F443FE"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2.42</w:t>
            </w:r>
          </w:p>
        </w:tc>
        <w:tc>
          <w:tcPr>
            <w:tcW w:w="1134" w:type="dxa"/>
          </w:tcPr>
          <w:p w14:paraId="4CE122D7"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158.10</w:t>
            </w:r>
          </w:p>
        </w:tc>
      </w:tr>
      <w:tr w:rsidR="0051477C" w:rsidRPr="00365CAC" w14:paraId="40CC3623" w14:textId="77777777">
        <w:tc>
          <w:tcPr>
            <w:tcW w:w="1670" w:type="dxa"/>
          </w:tcPr>
          <w:p w14:paraId="1E46F9D1"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b/>
                <w:bCs/>
                <w:sz w:val="20"/>
                <w:szCs w:val="20"/>
                <w:lang w:eastAsia="fr-FR"/>
              </w:rPr>
              <w:t>Mg</w:t>
            </w:r>
          </w:p>
        </w:tc>
        <w:tc>
          <w:tcPr>
            <w:tcW w:w="1160" w:type="dxa"/>
          </w:tcPr>
          <w:p w14:paraId="23EA9753"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1.10</w:t>
            </w:r>
          </w:p>
        </w:tc>
        <w:tc>
          <w:tcPr>
            <w:tcW w:w="1134" w:type="dxa"/>
          </w:tcPr>
          <w:p w14:paraId="79BC212B"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36.27</w:t>
            </w:r>
          </w:p>
        </w:tc>
        <w:tc>
          <w:tcPr>
            <w:tcW w:w="1418" w:type="dxa"/>
          </w:tcPr>
          <w:p w14:paraId="41515C8B"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29.97</w:t>
            </w:r>
          </w:p>
        </w:tc>
        <w:tc>
          <w:tcPr>
            <w:tcW w:w="1417" w:type="dxa"/>
          </w:tcPr>
          <w:p w14:paraId="695805F4"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8.29</w:t>
            </w:r>
          </w:p>
        </w:tc>
        <w:tc>
          <w:tcPr>
            <w:tcW w:w="1134" w:type="dxa"/>
          </w:tcPr>
          <w:p w14:paraId="70E94A17"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27.67</w:t>
            </w:r>
          </w:p>
        </w:tc>
      </w:tr>
      <w:tr w:rsidR="0051477C" w:rsidRPr="00365CAC" w14:paraId="57869F61" w14:textId="77777777">
        <w:tc>
          <w:tcPr>
            <w:tcW w:w="1670" w:type="dxa"/>
          </w:tcPr>
          <w:p w14:paraId="7545B833"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b/>
                <w:bCs/>
                <w:sz w:val="20"/>
                <w:szCs w:val="20"/>
                <w:lang w:eastAsia="fr-FR"/>
              </w:rPr>
              <w:t>K</w:t>
            </w:r>
          </w:p>
        </w:tc>
        <w:tc>
          <w:tcPr>
            <w:tcW w:w="1160" w:type="dxa"/>
          </w:tcPr>
          <w:p w14:paraId="0EB8746A"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1.80</w:t>
            </w:r>
          </w:p>
        </w:tc>
        <w:tc>
          <w:tcPr>
            <w:tcW w:w="1134" w:type="dxa"/>
          </w:tcPr>
          <w:p w14:paraId="5556D1F6"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57.26</w:t>
            </w:r>
          </w:p>
        </w:tc>
        <w:tc>
          <w:tcPr>
            <w:tcW w:w="1418" w:type="dxa"/>
          </w:tcPr>
          <w:p w14:paraId="7EC1A0D5"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47.47</w:t>
            </w:r>
          </w:p>
        </w:tc>
        <w:tc>
          <w:tcPr>
            <w:tcW w:w="1417" w:type="dxa"/>
          </w:tcPr>
          <w:p w14:paraId="6543FCBE"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14.01</w:t>
            </w:r>
          </w:p>
        </w:tc>
        <w:tc>
          <w:tcPr>
            <w:tcW w:w="1134" w:type="dxa"/>
          </w:tcPr>
          <w:p w14:paraId="7C43FE7B"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29.51</w:t>
            </w:r>
          </w:p>
        </w:tc>
      </w:tr>
      <w:tr w:rsidR="0051477C" w:rsidRPr="00365CAC" w14:paraId="3FBC3419" w14:textId="77777777">
        <w:tc>
          <w:tcPr>
            <w:tcW w:w="1670" w:type="dxa"/>
          </w:tcPr>
          <w:p w14:paraId="629D3F40"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b/>
                <w:bCs/>
                <w:sz w:val="20"/>
                <w:szCs w:val="20"/>
                <w:lang w:eastAsia="fr-FR"/>
              </w:rPr>
              <w:t>Na</w:t>
            </w:r>
          </w:p>
        </w:tc>
        <w:tc>
          <w:tcPr>
            <w:tcW w:w="1160" w:type="dxa"/>
          </w:tcPr>
          <w:p w14:paraId="4590737C"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1.91</w:t>
            </w:r>
          </w:p>
        </w:tc>
        <w:tc>
          <w:tcPr>
            <w:tcW w:w="1134" w:type="dxa"/>
          </w:tcPr>
          <w:p w14:paraId="51AB31D7"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62.65</w:t>
            </w:r>
          </w:p>
        </w:tc>
        <w:tc>
          <w:tcPr>
            <w:tcW w:w="1418" w:type="dxa"/>
          </w:tcPr>
          <w:p w14:paraId="2FA3DE1F"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42.72</w:t>
            </w:r>
          </w:p>
        </w:tc>
        <w:tc>
          <w:tcPr>
            <w:tcW w:w="1417" w:type="dxa"/>
          </w:tcPr>
          <w:p w14:paraId="3C8D1D02"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18.44</w:t>
            </w:r>
          </w:p>
        </w:tc>
        <w:tc>
          <w:tcPr>
            <w:tcW w:w="1134" w:type="dxa"/>
          </w:tcPr>
          <w:p w14:paraId="0C9EB616"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43.16</w:t>
            </w:r>
          </w:p>
        </w:tc>
      </w:tr>
      <w:tr w:rsidR="0051477C" w:rsidRPr="00365CAC" w14:paraId="21F49F1B" w14:textId="77777777">
        <w:tc>
          <w:tcPr>
            <w:tcW w:w="1670" w:type="dxa"/>
          </w:tcPr>
          <w:p w14:paraId="32276F36"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b/>
                <w:bCs/>
                <w:sz w:val="20"/>
                <w:szCs w:val="20"/>
                <w:lang w:eastAsia="fr-FR"/>
              </w:rPr>
              <w:t>Humidity</w:t>
            </w:r>
          </w:p>
        </w:tc>
        <w:tc>
          <w:tcPr>
            <w:tcW w:w="1160" w:type="dxa"/>
          </w:tcPr>
          <w:p w14:paraId="2DE23313"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91.15</w:t>
            </w:r>
          </w:p>
        </w:tc>
        <w:tc>
          <w:tcPr>
            <w:tcW w:w="1134" w:type="dxa"/>
          </w:tcPr>
          <w:p w14:paraId="59CE2C2E"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96.87</w:t>
            </w:r>
          </w:p>
        </w:tc>
        <w:tc>
          <w:tcPr>
            <w:tcW w:w="1418" w:type="dxa"/>
          </w:tcPr>
          <w:p w14:paraId="5581B71A"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93.53</w:t>
            </w:r>
          </w:p>
        </w:tc>
        <w:tc>
          <w:tcPr>
            <w:tcW w:w="1417" w:type="dxa"/>
          </w:tcPr>
          <w:p w14:paraId="6C5A4AD7"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1.40</w:t>
            </w:r>
          </w:p>
        </w:tc>
        <w:tc>
          <w:tcPr>
            <w:tcW w:w="1134" w:type="dxa"/>
          </w:tcPr>
          <w:p w14:paraId="5EF6179C"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1.50</w:t>
            </w:r>
          </w:p>
        </w:tc>
      </w:tr>
      <w:tr w:rsidR="0051477C" w:rsidRPr="00365CAC" w14:paraId="617A5462" w14:textId="77777777">
        <w:tc>
          <w:tcPr>
            <w:tcW w:w="1670" w:type="dxa"/>
          </w:tcPr>
          <w:p w14:paraId="408883B5"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b/>
                <w:bCs/>
                <w:sz w:val="20"/>
                <w:szCs w:val="20"/>
                <w:lang w:eastAsia="fr-FR"/>
              </w:rPr>
              <w:t>Ash</w:t>
            </w:r>
          </w:p>
        </w:tc>
        <w:tc>
          <w:tcPr>
            <w:tcW w:w="1160" w:type="dxa"/>
          </w:tcPr>
          <w:p w14:paraId="503199BC"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3.58</w:t>
            </w:r>
          </w:p>
        </w:tc>
        <w:tc>
          <w:tcPr>
            <w:tcW w:w="1134" w:type="dxa"/>
          </w:tcPr>
          <w:p w14:paraId="19E3991E"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31.16</w:t>
            </w:r>
          </w:p>
        </w:tc>
        <w:tc>
          <w:tcPr>
            <w:tcW w:w="1418" w:type="dxa"/>
          </w:tcPr>
          <w:p w14:paraId="4B75C2E1"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11.18</w:t>
            </w:r>
          </w:p>
        </w:tc>
        <w:tc>
          <w:tcPr>
            <w:tcW w:w="1417" w:type="dxa"/>
          </w:tcPr>
          <w:p w14:paraId="7FC2074E"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9.04</w:t>
            </w:r>
          </w:p>
        </w:tc>
        <w:tc>
          <w:tcPr>
            <w:tcW w:w="1134" w:type="dxa"/>
          </w:tcPr>
          <w:p w14:paraId="519F25CF"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80.87</w:t>
            </w:r>
          </w:p>
        </w:tc>
      </w:tr>
      <w:tr w:rsidR="0051477C" w:rsidRPr="00365CAC" w14:paraId="267F6BA9" w14:textId="77777777">
        <w:tc>
          <w:tcPr>
            <w:tcW w:w="1670" w:type="dxa"/>
          </w:tcPr>
          <w:p w14:paraId="2D0419CE"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b/>
                <w:bCs/>
                <w:sz w:val="20"/>
                <w:szCs w:val="20"/>
                <w:lang w:eastAsia="fr-FR"/>
              </w:rPr>
              <w:t>Lipid</w:t>
            </w:r>
          </w:p>
        </w:tc>
        <w:tc>
          <w:tcPr>
            <w:tcW w:w="1160" w:type="dxa"/>
          </w:tcPr>
          <w:p w14:paraId="115EC463"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13.30</w:t>
            </w:r>
          </w:p>
        </w:tc>
        <w:tc>
          <w:tcPr>
            <w:tcW w:w="1134" w:type="dxa"/>
          </w:tcPr>
          <w:p w14:paraId="7BA0C78D"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39.92</w:t>
            </w:r>
          </w:p>
        </w:tc>
        <w:tc>
          <w:tcPr>
            <w:tcW w:w="1418" w:type="dxa"/>
          </w:tcPr>
          <w:p w14:paraId="62147843"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18.58</w:t>
            </w:r>
          </w:p>
        </w:tc>
        <w:tc>
          <w:tcPr>
            <w:tcW w:w="1417" w:type="dxa"/>
          </w:tcPr>
          <w:p w14:paraId="46568EE9"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6.19</w:t>
            </w:r>
          </w:p>
        </w:tc>
        <w:tc>
          <w:tcPr>
            <w:tcW w:w="1134" w:type="dxa"/>
          </w:tcPr>
          <w:p w14:paraId="01B5620E"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33.33</w:t>
            </w:r>
          </w:p>
        </w:tc>
      </w:tr>
      <w:tr w:rsidR="0051477C" w:rsidRPr="00365CAC" w14:paraId="6677E107" w14:textId="77777777">
        <w:tc>
          <w:tcPr>
            <w:tcW w:w="1670" w:type="dxa"/>
          </w:tcPr>
          <w:p w14:paraId="0151EB32"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b/>
                <w:bCs/>
                <w:sz w:val="20"/>
                <w:szCs w:val="20"/>
                <w:lang w:eastAsia="fr-FR"/>
              </w:rPr>
              <w:t>Protein</w:t>
            </w:r>
          </w:p>
        </w:tc>
        <w:tc>
          <w:tcPr>
            <w:tcW w:w="1160" w:type="dxa"/>
          </w:tcPr>
          <w:p w14:paraId="3EB89B81"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25.98</w:t>
            </w:r>
          </w:p>
        </w:tc>
        <w:tc>
          <w:tcPr>
            <w:tcW w:w="1134" w:type="dxa"/>
          </w:tcPr>
          <w:p w14:paraId="4B328280"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41.47</w:t>
            </w:r>
          </w:p>
        </w:tc>
        <w:tc>
          <w:tcPr>
            <w:tcW w:w="1418" w:type="dxa"/>
          </w:tcPr>
          <w:p w14:paraId="6BC5373F"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31.71</w:t>
            </w:r>
          </w:p>
        </w:tc>
        <w:tc>
          <w:tcPr>
            <w:tcW w:w="1417" w:type="dxa"/>
          </w:tcPr>
          <w:p w14:paraId="07E5686C"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4.17</w:t>
            </w:r>
          </w:p>
        </w:tc>
        <w:tc>
          <w:tcPr>
            <w:tcW w:w="1134" w:type="dxa"/>
          </w:tcPr>
          <w:p w14:paraId="06E3A685"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13.16</w:t>
            </w:r>
          </w:p>
        </w:tc>
      </w:tr>
      <w:tr w:rsidR="0051477C" w:rsidRPr="00365CAC" w14:paraId="6A366C34" w14:textId="77777777">
        <w:tc>
          <w:tcPr>
            <w:tcW w:w="1670" w:type="dxa"/>
          </w:tcPr>
          <w:p w14:paraId="2000C9E6"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b/>
                <w:bCs/>
                <w:sz w:val="20"/>
                <w:szCs w:val="20"/>
                <w:lang w:eastAsia="fr-FR"/>
              </w:rPr>
              <w:t>Carbohydrate</w:t>
            </w:r>
          </w:p>
        </w:tc>
        <w:tc>
          <w:tcPr>
            <w:tcW w:w="1160" w:type="dxa"/>
          </w:tcPr>
          <w:p w14:paraId="594E35CC"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2.09</w:t>
            </w:r>
          </w:p>
        </w:tc>
        <w:tc>
          <w:tcPr>
            <w:tcW w:w="1134" w:type="dxa"/>
          </w:tcPr>
          <w:p w14:paraId="2872CA9F"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52.77</w:t>
            </w:r>
          </w:p>
        </w:tc>
        <w:tc>
          <w:tcPr>
            <w:tcW w:w="1418" w:type="dxa"/>
          </w:tcPr>
          <w:p w14:paraId="56D404BC"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38.52</w:t>
            </w:r>
          </w:p>
        </w:tc>
        <w:tc>
          <w:tcPr>
            <w:tcW w:w="1417" w:type="dxa"/>
          </w:tcPr>
          <w:p w14:paraId="1EC68B5F"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15.06</w:t>
            </w:r>
          </w:p>
        </w:tc>
        <w:tc>
          <w:tcPr>
            <w:tcW w:w="1134" w:type="dxa"/>
          </w:tcPr>
          <w:p w14:paraId="41DD84A4"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39.10</w:t>
            </w:r>
          </w:p>
        </w:tc>
      </w:tr>
    </w:tbl>
    <w:p w14:paraId="29824B06" w14:textId="77777777" w:rsidR="00F9703D" w:rsidRPr="00365CAC" w:rsidRDefault="00F9703D" w:rsidP="002334EB">
      <w:pPr>
        <w:spacing w:line="360" w:lineRule="auto"/>
        <w:jc w:val="both"/>
        <w:rPr>
          <w:rFonts w:ascii="Arial" w:hAnsi="Arial" w:cs="Arial"/>
          <w:i/>
          <w:iCs/>
          <w:sz w:val="18"/>
          <w:szCs w:val="18"/>
          <w:lang w:val="en-US"/>
        </w:rPr>
      </w:pPr>
      <w:r w:rsidRPr="00365CAC">
        <w:rPr>
          <w:rFonts w:ascii="Arial" w:hAnsi="Arial" w:cs="Arial"/>
          <w:i/>
          <w:iCs/>
          <w:sz w:val="18"/>
          <w:szCs w:val="18"/>
          <w:lang w:val="en-US"/>
        </w:rPr>
        <w:t>FLD: Flowering Date; NFR: Number of fruits; PLH: Plant Height; SHD: Shank Diameter; FRL: Fruit Length; FRD: Fruit Diameter; WHS: Weight of 100 seeds; Ca: Calcium content; Mg: Magnesium content; Na: Sodium content; Fe: Iron content; Zn: Zinc content; K: Potassium content; Humidity: Water content; Ash: Ash content; Lipid: Lipid content; Protein: Protein content; Carbohydrate: Carbohydrate content.</w:t>
      </w:r>
    </w:p>
    <w:p w14:paraId="44D297C6" w14:textId="77777777" w:rsidR="00D056FC" w:rsidRPr="00365CAC" w:rsidRDefault="00D056FC" w:rsidP="002334EB">
      <w:pPr>
        <w:spacing w:line="360" w:lineRule="auto"/>
        <w:jc w:val="both"/>
        <w:rPr>
          <w:rFonts w:ascii="Times New Roman" w:hAnsi="Times New Roman" w:cs="Times New Roman"/>
          <w:b/>
          <w:bCs/>
          <w:lang w:val="en-US"/>
        </w:rPr>
      </w:pPr>
    </w:p>
    <w:p w14:paraId="23822FC4" w14:textId="50AA444C" w:rsidR="0051477C" w:rsidRPr="00365CAC" w:rsidRDefault="00245462" w:rsidP="002334EB">
      <w:pPr>
        <w:spacing w:line="360" w:lineRule="auto"/>
        <w:jc w:val="both"/>
        <w:rPr>
          <w:rFonts w:ascii="Arial" w:hAnsi="Arial" w:cs="Arial"/>
          <w:sz w:val="22"/>
          <w:szCs w:val="22"/>
          <w:lang w:val="en-US"/>
        </w:rPr>
      </w:pPr>
      <w:r w:rsidRPr="00365CAC">
        <w:rPr>
          <w:rFonts w:ascii="Arial" w:hAnsi="Arial" w:cs="Arial"/>
          <w:b/>
          <w:bCs/>
          <w:sz w:val="22"/>
          <w:szCs w:val="22"/>
          <w:lang w:val="en-US"/>
        </w:rPr>
        <w:t xml:space="preserve">3.1 </w:t>
      </w:r>
      <w:r w:rsidR="00F9703D" w:rsidRPr="00365CAC">
        <w:rPr>
          <w:rFonts w:ascii="Arial" w:hAnsi="Arial" w:cs="Arial"/>
          <w:b/>
          <w:bCs/>
          <w:sz w:val="22"/>
          <w:szCs w:val="22"/>
          <w:lang w:val="en-US"/>
        </w:rPr>
        <w:t xml:space="preserve">Analysis of the chemical composition of </w:t>
      </w:r>
      <w:r w:rsidR="00F9703D" w:rsidRPr="00365CAC">
        <w:rPr>
          <w:rFonts w:ascii="Arial" w:hAnsi="Arial" w:cs="Arial"/>
          <w:b/>
          <w:bCs/>
          <w:i/>
          <w:iCs/>
          <w:sz w:val="22"/>
          <w:szCs w:val="22"/>
          <w:lang w:val="en-US"/>
        </w:rPr>
        <w:t>Hibiscus cannabinus L</w:t>
      </w:r>
      <w:r w:rsidR="00F9703D" w:rsidRPr="00365CAC">
        <w:rPr>
          <w:rFonts w:ascii="Arial" w:hAnsi="Arial" w:cs="Arial"/>
          <w:b/>
          <w:bCs/>
          <w:sz w:val="22"/>
          <w:szCs w:val="22"/>
          <w:lang w:val="en-US"/>
        </w:rPr>
        <w:t>. seeds</w:t>
      </w:r>
    </w:p>
    <w:p w14:paraId="21551C5D" w14:textId="38B8C59F" w:rsidR="00F9703D" w:rsidRPr="00365CAC" w:rsidRDefault="00F9703D" w:rsidP="002334EB">
      <w:pPr>
        <w:spacing w:line="360" w:lineRule="auto"/>
        <w:jc w:val="both"/>
        <w:rPr>
          <w:rFonts w:ascii="Arial" w:hAnsi="Arial" w:cs="Arial"/>
          <w:sz w:val="20"/>
          <w:szCs w:val="20"/>
          <w:lang w:val="en-US"/>
        </w:rPr>
      </w:pPr>
      <w:r w:rsidRPr="00365CAC">
        <w:rPr>
          <w:rFonts w:ascii="Arial" w:hAnsi="Arial" w:cs="Arial"/>
          <w:sz w:val="20"/>
          <w:szCs w:val="20"/>
          <w:lang w:val="en-US"/>
        </w:rPr>
        <w:lastRenderedPageBreak/>
        <w:t xml:space="preserve">Analysis by atomic absorption spectrophotometry of the mineral content (Ca, Fe, K, Mg, Na, and Zn) for all the accessions studied reveals that calcium (Ca) and iron (Fe) are rare minerals in the seeds of Hibiscus cannabinus L (Figure 1). In fact, a calcium (Ca) content of 10.50 mg/100 g DM was measured in </w:t>
      </w:r>
      <w:r w:rsidRPr="00365CAC">
        <w:rPr>
          <w:rFonts w:ascii="Arial" w:hAnsi="Arial" w:cs="Arial"/>
          <w:i/>
          <w:iCs/>
          <w:sz w:val="20"/>
          <w:szCs w:val="20"/>
          <w:lang w:val="en-US"/>
        </w:rPr>
        <w:t>H. cannabinus</w:t>
      </w:r>
      <w:r w:rsidRPr="00365CAC">
        <w:rPr>
          <w:rFonts w:ascii="Arial" w:hAnsi="Arial" w:cs="Arial"/>
          <w:sz w:val="20"/>
          <w:szCs w:val="20"/>
          <w:lang w:val="en-US"/>
        </w:rPr>
        <w:t xml:space="preserve"> seeds from accession NAG1, whereas in the remaining accessions, calcium content values ranged from 2 mg/100 g DM for KOT1 to 0.5 mg/100 g DM for OUT1. Furthermore, the iron (Fe) content was 1.05 mg/100 g DM for accession OUT1, whereas for the remaining accessions studied, the contents ranged from 0.5 mg/100 g DM for KOT1 and NAL2 to 0.3 mg/100 g DM for SID2 and OUO2. Furthermore, accession OUT1 exhibits an extremely low content (0 mg/100 g DM to 1 mg/100 g DM) for all minerals (Ca, Fe, K, Mg, Na, and Zn). However, most individuals—90%—had potassium (K), magnesium (Mg), sodium (Na), and zinc (Zn) levels ranging from 38 mg/100 g DM to 58 mg/100 g DM; 25 mg/100 g DM to 37 mg/100 g DM; 23 mg/100 g DM to 65 mg/100 g DM, and 1.25 mg/100 g DM to 4.5 mg/100 g DM, respectively. </w:t>
      </w:r>
    </w:p>
    <w:p w14:paraId="3735549E" w14:textId="2C1CBB52" w:rsidR="00F9703D" w:rsidRPr="00365CAC" w:rsidRDefault="00F9703D" w:rsidP="002334EB">
      <w:pPr>
        <w:spacing w:line="360" w:lineRule="auto"/>
        <w:jc w:val="both"/>
        <w:rPr>
          <w:rFonts w:ascii="Times New Roman" w:hAnsi="Times New Roman" w:cs="Times New Roman"/>
          <w:lang w:val="en-US"/>
        </w:rPr>
      </w:pPr>
      <w:r w:rsidRPr="00365CAC">
        <w:rPr>
          <w:rFonts w:ascii="Times New Roman" w:eastAsia="Calibri" w:hAnsi="Times New Roman" w:cs="Times New Roman"/>
          <w:noProof/>
          <w:kern w:val="0"/>
          <w14:ligatures w14:val="none"/>
        </w:rPr>
        <w:drawing>
          <wp:inline distT="0" distB="0" distL="0" distR="0" wp14:anchorId="654B06A3" wp14:editId="519D20E3">
            <wp:extent cx="5760720" cy="3685999"/>
            <wp:effectExtent l="19050" t="19050" r="11430" b="1016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3685999"/>
                    </a:xfrm>
                    <a:prstGeom prst="rect">
                      <a:avLst/>
                    </a:prstGeom>
                    <a:noFill/>
                    <a:ln w="9525">
                      <a:solidFill>
                        <a:schemeClr val="tx1"/>
                      </a:solidFill>
                    </a:ln>
                  </pic:spPr>
                </pic:pic>
              </a:graphicData>
            </a:graphic>
          </wp:inline>
        </w:drawing>
      </w:r>
    </w:p>
    <w:p w14:paraId="783D5894" w14:textId="77777777" w:rsidR="00245462" w:rsidRPr="00365CAC" w:rsidRDefault="00245462" w:rsidP="00245462">
      <w:pPr>
        <w:spacing w:line="360" w:lineRule="auto"/>
        <w:jc w:val="both"/>
        <w:rPr>
          <w:rFonts w:ascii="Arial" w:hAnsi="Arial" w:cs="Arial"/>
          <w:b/>
          <w:bCs/>
          <w:sz w:val="20"/>
          <w:szCs w:val="20"/>
          <w:lang w:val="en-US"/>
        </w:rPr>
      </w:pPr>
      <w:r w:rsidRPr="00365CAC">
        <w:rPr>
          <w:rFonts w:ascii="Arial" w:hAnsi="Arial" w:cs="Arial"/>
          <w:b/>
          <w:bCs/>
          <w:sz w:val="20"/>
          <w:szCs w:val="20"/>
          <w:lang w:val="en-US"/>
        </w:rPr>
        <w:t xml:space="preserve">Figure 1: Mineral composition per 100 g of dry matter (DM) of </w:t>
      </w:r>
      <w:r w:rsidRPr="00365CAC">
        <w:rPr>
          <w:rFonts w:ascii="Arial" w:hAnsi="Arial" w:cs="Arial"/>
          <w:b/>
          <w:bCs/>
          <w:i/>
          <w:iCs/>
          <w:sz w:val="20"/>
          <w:szCs w:val="20"/>
          <w:lang w:val="en-US"/>
        </w:rPr>
        <w:t>Hibiscus cannabinus L</w:t>
      </w:r>
      <w:r w:rsidRPr="00365CAC">
        <w:rPr>
          <w:rFonts w:ascii="Arial" w:hAnsi="Arial" w:cs="Arial"/>
          <w:b/>
          <w:bCs/>
          <w:sz w:val="20"/>
          <w:szCs w:val="20"/>
          <w:lang w:val="en-US"/>
        </w:rPr>
        <w:t>. seeds</w:t>
      </w:r>
    </w:p>
    <w:p w14:paraId="0CD5D6A2" w14:textId="77777777" w:rsidR="00F9703D" w:rsidRPr="00365CAC" w:rsidRDefault="00F9703D" w:rsidP="002334EB">
      <w:pPr>
        <w:spacing w:line="360" w:lineRule="auto"/>
        <w:jc w:val="both"/>
        <w:rPr>
          <w:rFonts w:ascii="Arial" w:hAnsi="Arial" w:cs="Arial"/>
          <w:i/>
          <w:iCs/>
          <w:sz w:val="18"/>
          <w:szCs w:val="18"/>
          <w:lang w:val="en-US"/>
        </w:rPr>
      </w:pPr>
      <w:r w:rsidRPr="00365CAC">
        <w:rPr>
          <w:rFonts w:ascii="Arial" w:hAnsi="Arial" w:cs="Arial"/>
          <w:i/>
          <w:iCs/>
          <w:sz w:val="18"/>
          <w:szCs w:val="18"/>
          <w:lang w:val="en-US"/>
        </w:rPr>
        <w:t>Code = The first two initials of the province of origin of the accession + the first initial of the village + the sample's order number within the locality</w:t>
      </w:r>
    </w:p>
    <w:p w14:paraId="11538285" w14:textId="5EB56D9D" w:rsidR="00F9703D" w:rsidRPr="00365CAC" w:rsidRDefault="00245462" w:rsidP="002334EB">
      <w:pPr>
        <w:spacing w:line="360" w:lineRule="auto"/>
        <w:jc w:val="both"/>
        <w:rPr>
          <w:rFonts w:ascii="Arial" w:hAnsi="Arial" w:cs="Arial"/>
          <w:b/>
          <w:bCs/>
          <w:sz w:val="22"/>
          <w:szCs w:val="22"/>
          <w:lang w:val="en-US"/>
        </w:rPr>
      </w:pPr>
      <w:r w:rsidRPr="00365CAC">
        <w:rPr>
          <w:rFonts w:ascii="Arial" w:hAnsi="Arial" w:cs="Arial"/>
          <w:b/>
          <w:bCs/>
          <w:sz w:val="22"/>
          <w:szCs w:val="22"/>
          <w:lang w:val="en-US"/>
        </w:rPr>
        <w:t xml:space="preserve">3.2 </w:t>
      </w:r>
      <w:r w:rsidR="00F9703D" w:rsidRPr="00365CAC">
        <w:rPr>
          <w:rFonts w:ascii="Arial" w:hAnsi="Arial" w:cs="Arial"/>
          <w:b/>
          <w:bCs/>
          <w:sz w:val="22"/>
          <w:szCs w:val="22"/>
          <w:lang w:val="en-US"/>
        </w:rPr>
        <w:t xml:space="preserve">Analysis of the physical composition of </w:t>
      </w:r>
      <w:r w:rsidR="00F9703D" w:rsidRPr="00365CAC">
        <w:rPr>
          <w:rFonts w:ascii="Arial" w:hAnsi="Arial" w:cs="Arial"/>
          <w:b/>
          <w:bCs/>
          <w:i/>
          <w:iCs/>
          <w:sz w:val="22"/>
          <w:szCs w:val="22"/>
          <w:lang w:val="en-US"/>
        </w:rPr>
        <w:t>Hibiscus cannabinus L.</w:t>
      </w:r>
      <w:r w:rsidR="00F9703D" w:rsidRPr="00365CAC">
        <w:rPr>
          <w:rFonts w:ascii="Arial" w:hAnsi="Arial" w:cs="Arial"/>
          <w:b/>
          <w:bCs/>
          <w:sz w:val="22"/>
          <w:szCs w:val="22"/>
          <w:lang w:val="en-US"/>
        </w:rPr>
        <w:t xml:space="preserve"> seeds</w:t>
      </w:r>
    </w:p>
    <w:p w14:paraId="4BC2D8CC" w14:textId="77777777" w:rsidR="00F9703D" w:rsidRPr="00365CAC" w:rsidRDefault="00F9703D" w:rsidP="002334EB">
      <w:pPr>
        <w:spacing w:line="360" w:lineRule="auto"/>
        <w:jc w:val="both"/>
        <w:rPr>
          <w:rFonts w:ascii="Times New Roman" w:hAnsi="Times New Roman" w:cs="Times New Roman"/>
          <w:sz w:val="20"/>
          <w:szCs w:val="20"/>
          <w:lang w:val="en-US"/>
        </w:rPr>
      </w:pPr>
      <w:r w:rsidRPr="00365CAC">
        <w:rPr>
          <w:rFonts w:ascii="Times New Roman" w:hAnsi="Times New Roman" w:cs="Times New Roman"/>
          <w:sz w:val="20"/>
          <w:szCs w:val="20"/>
          <w:lang w:val="en-US"/>
        </w:rPr>
        <w:t xml:space="preserve">Analysis of physical parameters by differential weighing for all studied accessions reveals significant levels of total ash and moisture (Figure 2). Indeed, high ash contents were obtained for accessions KOG4 (32 ± 0.24%), OUO2 (29 ± 0.13%), and NAG2 (21 ± 0.05%). Furthermore, ash content values ranged from 14 ± 0.03% to 4 ± 0.03% in the remaining Hibiscus cannabinus L. seed accessions. The lowest ash content was measured in accession SID2. Furthermore, the determination of moisture content in Hibiscus cannabinus L. seeds revealed a range of </w:t>
      </w:r>
      <w:r w:rsidRPr="00365CAC">
        <w:rPr>
          <w:rFonts w:ascii="Times New Roman" w:hAnsi="Times New Roman" w:cs="Times New Roman"/>
          <w:sz w:val="20"/>
          <w:szCs w:val="20"/>
          <w:lang w:val="en-US"/>
        </w:rPr>
        <w:lastRenderedPageBreak/>
        <w:t>relatively high values for all the accessions studied. Indeed, the highest moisture contents were measured in accessions KOT1 (93.99 ± 0.07%) and OUT1 (92.94 ± 0.08%). For the remaining accessions, moisture content values ranged from 90.03 ± 0.01% to 88.59 ± 0.05%.</w:t>
      </w:r>
    </w:p>
    <w:p w14:paraId="0D03E899" w14:textId="77777777" w:rsidR="00F9703D" w:rsidRPr="00365CAC" w:rsidRDefault="00F9703D" w:rsidP="002334EB">
      <w:pPr>
        <w:spacing w:line="360" w:lineRule="auto"/>
        <w:jc w:val="both"/>
        <w:rPr>
          <w:rFonts w:ascii="Times New Roman" w:hAnsi="Times New Roman" w:cs="Times New Roman"/>
          <w:lang w:val="en-US"/>
        </w:rPr>
      </w:pPr>
    </w:p>
    <w:p w14:paraId="59877CBD" w14:textId="7BB46EE6" w:rsidR="00F9703D" w:rsidRPr="00365CAC" w:rsidRDefault="00F9703D" w:rsidP="002334EB">
      <w:pPr>
        <w:spacing w:line="360" w:lineRule="auto"/>
        <w:jc w:val="both"/>
        <w:rPr>
          <w:rFonts w:ascii="Times New Roman" w:hAnsi="Times New Roman" w:cs="Times New Roman"/>
          <w:lang w:val="en-US"/>
        </w:rPr>
      </w:pPr>
      <w:r w:rsidRPr="00365CAC">
        <w:rPr>
          <w:rFonts w:ascii="Times New Roman" w:eastAsia="Calibri" w:hAnsi="Times New Roman" w:cs="Times New Roman"/>
          <w:noProof/>
          <w:kern w:val="0"/>
          <w14:ligatures w14:val="none"/>
        </w:rPr>
        <w:drawing>
          <wp:inline distT="0" distB="0" distL="0" distR="0" wp14:anchorId="1A9DC236" wp14:editId="344A170B">
            <wp:extent cx="5760720" cy="3194861"/>
            <wp:effectExtent l="19050" t="19050" r="11430" b="24765"/>
            <wp:docPr id="378686335" name="Image 378686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3194861"/>
                    </a:xfrm>
                    <a:prstGeom prst="rect">
                      <a:avLst/>
                    </a:prstGeom>
                    <a:noFill/>
                    <a:ln w="9525">
                      <a:solidFill>
                        <a:schemeClr val="tx1"/>
                      </a:solidFill>
                    </a:ln>
                  </pic:spPr>
                </pic:pic>
              </a:graphicData>
            </a:graphic>
          </wp:inline>
        </w:drawing>
      </w:r>
    </w:p>
    <w:p w14:paraId="185369D7" w14:textId="77777777" w:rsidR="00ED1FC1" w:rsidRPr="00365CAC" w:rsidRDefault="00ED1FC1" w:rsidP="00ED1FC1">
      <w:pPr>
        <w:spacing w:line="360" w:lineRule="auto"/>
        <w:jc w:val="both"/>
        <w:rPr>
          <w:rFonts w:ascii="Arial" w:hAnsi="Arial" w:cs="Arial"/>
          <w:b/>
          <w:bCs/>
          <w:sz w:val="20"/>
          <w:szCs w:val="20"/>
          <w:lang w:val="en-US"/>
        </w:rPr>
      </w:pPr>
      <w:r w:rsidRPr="00365CAC">
        <w:rPr>
          <w:rFonts w:ascii="Arial" w:hAnsi="Arial" w:cs="Arial"/>
          <w:b/>
          <w:bCs/>
          <w:sz w:val="20"/>
          <w:szCs w:val="20"/>
          <w:lang w:val="en-US"/>
        </w:rPr>
        <w:t>Figure 2: Chemical composition per 100 g of dry matter (DM) of Hibiscus cannabinus L. seeds</w:t>
      </w:r>
    </w:p>
    <w:p w14:paraId="2B3E2272" w14:textId="61676290" w:rsidR="005C1F51" w:rsidRPr="00365CAC" w:rsidRDefault="005C1F51" w:rsidP="002334EB">
      <w:pPr>
        <w:spacing w:line="360" w:lineRule="auto"/>
        <w:jc w:val="both"/>
        <w:rPr>
          <w:rFonts w:ascii="Arial" w:hAnsi="Arial" w:cs="Arial"/>
          <w:sz w:val="18"/>
          <w:szCs w:val="18"/>
          <w:lang w:val="en-US"/>
        </w:rPr>
      </w:pPr>
      <w:r w:rsidRPr="00365CAC">
        <w:rPr>
          <w:rFonts w:ascii="Arial" w:hAnsi="Arial" w:cs="Arial"/>
          <w:sz w:val="18"/>
          <w:szCs w:val="18"/>
          <w:lang w:val="en-US"/>
        </w:rPr>
        <w:t>Code = The first two initials of the province of origin of the accession + the first initial of the village + the sample's order number within the locality</w:t>
      </w:r>
    </w:p>
    <w:p w14:paraId="73486D17" w14:textId="77777777" w:rsidR="00D056FC" w:rsidRPr="00365CAC" w:rsidRDefault="00D056FC" w:rsidP="002334EB">
      <w:pPr>
        <w:spacing w:line="360" w:lineRule="auto"/>
        <w:jc w:val="both"/>
        <w:rPr>
          <w:rFonts w:ascii="Times New Roman" w:hAnsi="Times New Roman" w:cs="Times New Roman"/>
          <w:lang w:val="en-US"/>
        </w:rPr>
      </w:pPr>
    </w:p>
    <w:p w14:paraId="13E09BFE" w14:textId="2C4865F9" w:rsidR="005C1F51" w:rsidRPr="00365CAC" w:rsidRDefault="005C1F51" w:rsidP="00A54BE7">
      <w:pPr>
        <w:pStyle w:val="ListParagraph"/>
        <w:numPr>
          <w:ilvl w:val="1"/>
          <w:numId w:val="2"/>
        </w:numPr>
        <w:spacing w:line="360" w:lineRule="auto"/>
        <w:jc w:val="both"/>
        <w:rPr>
          <w:rFonts w:ascii="Arial" w:hAnsi="Arial" w:cs="Arial"/>
          <w:b/>
          <w:bCs/>
          <w:sz w:val="22"/>
          <w:szCs w:val="22"/>
          <w:lang w:val="en-US"/>
        </w:rPr>
      </w:pPr>
      <w:r w:rsidRPr="00365CAC">
        <w:rPr>
          <w:rFonts w:ascii="Arial" w:hAnsi="Arial" w:cs="Arial"/>
          <w:b/>
          <w:bCs/>
          <w:sz w:val="22"/>
          <w:szCs w:val="22"/>
          <w:lang w:val="en-US"/>
        </w:rPr>
        <w:t xml:space="preserve">Analysis of the biochemical composition of </w:t>
      </w:r>
      <w:r w:rsidRPr="00365CAC">
        <w:rPr>
          <w:rFonts w:ascii="Arial" w:hAnsi="Arial" w:cs="Arial"/>
          <w:b/>
          <w:bCs/>
          <w:i/>
          <w:iCs/>
          <w:sz w:val="22"/>
          <w:szCs w:val="22"/>
          <w:lang w:val="en-US"/>
        </w:rPr>
        <w:t>Hibiscus cannabinus L</w:t>
      </w:r>
      <w:r w:rsidRPr="00365CAC">
        <w:rPr>
          <w:rFonts w:ascii="Arial" w:hAnsi="Arial" w:cs="Arial"/>
          <w:b/>
          <w:bCs/>
          <w:sz w:val="22"/>
          <w:szCs w:val="22"/>
          <w:lang w:val="en-US"/>
        </w:rPr>
        <w:t>. seeds</w:t>
      </w:r>
    </w:p>
    <w:p w14:paraId="66289368" w14:textId="44CF8F3E" w:rsidR="005C1F51" w:rsidRPr="00365CAC" w:rsidRDefault="005C1F51" w:rsidP="002334EB">
      <w:pPr>
        <w:spacing w:line="360" w:lineRule="auto"/>
        <w:jc w:val="both"/>
        <w:rPr>
          <w:rFonts w:ascii="Arial" w:hAnsi="Arial" w:cs="Arial"/>
          <w:sz w:val="20"/>
          <w:szCs w:val="20"/>
          <w:lang w:val="en-US"/>
        </w:rPr>
      </w:pPr>
      <w:r w:rsidRPr="00365CAC">
        <w:rPr>
          <w:rFonts w:ascii="Arial" w:hAnsi="Arial" w:cs="Arial"/>
          <w:sz w:val="20"/>
          <w:szCs w:val="20"/>
          <w:lang w:val="en-US"/>
        </w:rPr>
        <w:t xml:space="preserve">The biochemical parameters analyzed included the carbohydrate, lipid, and protein contents of </w:t>
      </w:r>
      <w:r w:rsidRPr="00365CAC">
        <w:rPr>
          <w:rFonts w:ascii="Arial" w:hAnsi="Arial" w:cs="Arial"/>
          <w:i/>
          <w:iCs/>
          <w:sz w:val="20"/>
          <w:szCs w:val="20"/>
          <w:lang w:val="en-US"/>
        </w:rPr>
        <w:t>Hibiscus cannabinus</w:t>
      </w:r>
      <w:r w:rsidRPr="00365CAC">
        <w:rPr>
          <w:rFonts w:ascii="Arial" w:hAnsi="Arial" w:cs="Arial"/>
          <w:sz w:val="20"/>
          <w:szCs w:val="20"/>
          <w:lang w:val="en-US"/>
        </w:rPr>
        <w:t xml:space="preserve"> L. seeds (Figure 3). Carbohydrate analysis revealed contents strictly above 40% for the majority of accessions (KAD1, KOK3, KOT1, KOW2, KOW3, NAG1, NAL2, NAL4, NAS2, and SID2), with the highest contents observed in KOW3 (55 ± 2.81%); NAL2 (52 ± 1.51%), and KOT1 (50 ± 2.81%). In contrast, NAG2 is very low in carbohydrates (2 ± 0.00%). Determination of the lipid content of Hibiscus cannabinus L. seeds yielded values strictly above 15% for the majority of the accessions studied. In fact, with the exception of accession KOW3, all others contain a lipid content ranging from 16.80 ± 0.08% to 40 ± 0.68%, with accession NAG2 standing out from the others as having the highest content. Furthermore, all samples of </w:t>
      </w:r>
      <w:r w:rsidRPr="00365CAC">
        <w:rPr>
          <w:rFonts w:ascii="Arial" w:hAnsi="Arial" w:cs="Arial"/>
          <w:i/>
          <w:iCs/>
          <w:sz w:val="20"/>
          <w:szCs w:val="20"/>
          <w:lang w:val="en-US"/>
        </w:rPr>
        <w:t>Hibiscus cannabinus</w:t>
      </w:r>
      <w:r w:rsidRPr="00365CAC">
        <w:rPr>
          <w:rFonts w:ascii="Arial" w:hAnsi="Arial" w:cs="Arial"/>
          <w:sz w:val="20"/>
          <w:szCs w:val="20"/>
          <w:lang w:val="en-US"/>
        </w:rPr>
        <w:t xml:space="preserve"> L. seeds used contain a protein content strictly above 25%.</w:t>
      </w:r>
      <w:r w:rsidRPr="00365CAC">
        <w:rPr>
          <w:rFonts w:ascii="Arial" w:eastAsia="Times New Roman" w:hAnsi="Arial" w:cs="Arial"/>
          <w:kern w:val="0"/>
          <w:sz w:val="20"/>
          <w:szCs w:val="20"/>
          <w:lang w:val="en-US" w:eastAsia="fr-FR"/>
          <w14:ligatures w14:val="none"/>
        </w:rPr>
        <w:t xml:space="preserve"> </w:t>
      </w:r>
      <w:r w:rsidRPr="00365CAC">
        <w:rPr>
          <w:rFonts w:ascii="Arial" w:hAnsi="Arial" w:cs="Arial"/>
          <w:sz w:val="20"/>
          <w:szCs w:val="20"/>
          <w:lang w:val="en-US"/>
        </w:rPr>
        <w:t xml:space="preserve">However, some accessions stand out for their relatively high protein content, notably KON3 (42 ± 1.77%), OUT1 (38 ± 0.37%), </w:t>
      </w:r>
      <w:r w:rsidRPr="00365CAC">
        <w:rPr>
          <w:rFonts w:ascii="Arial" w:hAnsi="Arial" w:cs="Arial"/>
          <w:b/>
          <w:bCs/>
          <w:sz w:val="20"/>
          <w:szCs w:val="20"/>
          <w:lang w:val="en-US"/>
        </w:rPr>
        <w:t>and</w:t>
      </w:r>
      <w:r w:rsidRPr="00365CAC">
        <w:rPr>
          <w:rFonts w:ascii="Arial" w:hAnsi="Arial" w:cs="Arial"/>
          <w:sz w:val="20"/>
          <w:szCs w:val="20"/>
          <w:lang w:val="en-US"/>
        </w:rPr>
        <w:t xml:space="preserve"> NAG2 (37.5 ± 0.13%).</w:t>
      </w:r>
    </w:p>
    <w:p w14:paraId="2ACD117A" w14:textId="1888D3CC" w:rsidR="005C1F51" w:rsidRPr="00365CAC" w:rsidRDefault="005C1F51" w:rsidP="002334EB">
      <w:pPr>
        <w:spacing w:line="360" w:lineRule="auto"/>
        <w:jc w:val="both"/>
        <w:rPr>
          <w:rFonts w:ascii="Times New Roman" w:hAnsi="Times New Roman" w:cs="Times New Roman"/>
          <w:lang w:val="en-US"/>
        </w:rPr>
      </w:pPr>
      <w:r w:rsidRPr="00365CAC">
        <w:rPr>
          <w:rFonts w:ascii="Times New Roman" w:eastAsia="Calibri" w:hAnsi="Times New Roman" w:cs="Times New Roman"/>
          <w:noProof/>
          <w:kern w:val="0"/>
          <w14:ligatures w14:val="none"/>
        </w:rPr>
        <w:lastRenderedPageBreak/>
        <w:drawing>
          <wp:inline distT="0" distB="0" distL="0" distR="0" wp14:anchorId="54320011" wp14:editId="4BE61BF5">
            <wp:extent cx="5760720" cy="2936693"/>
            <wp:effectExtent l="19050" t="19050" r="11430" b="16510"/>
            <wp:docPr id="584471893" name="Image 584471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2936693"/>
                    </a:xfrm>
                    <a:prstGeom prst="rect">
                      <a:avLst/>
                    </a:prstGeom>
                    <a:noFill/>
                    <a:ln w="9525">
                      <a:solidFill>
                        <a:schemeClr val="tx1"/>
                      </a:solidFill>
                    </a:ln>
                  </pic:spPr>
                </pic:pic>
              </a:graphicData>
            </a:graphic>
          </wp:inline>
        </w:drawing>
      </w:r>
      <w:r w:rsidRPr="00365CAC">
        <w:rPr>
          <w:rFonts w:ascii="Times New Roman" w:hAnsi="Times New Roman" w:cs="Times New Roman"/>
          <w:lang w:val="en-US"/>
        </w:rPr>
        <w:t xml:space="preserve"> </w:t>
      </w:r>
    </w:p>
    <w:p w14:paraId="21BB9FF7" w14:textId="1D6713AD" w:rsidR="00ED1FC1" w:rsidRPr="00365CAC" w:rsidRDefault="00ED1FC1" w:rsidP="002334EB">
      <w:pPr>
        <w:spacing w:line="360" w:lineRule="auto"/>
        <w:jc w:val="both"/>
        <w:rPr>
          <w:rFonts w:ascii="Arial" w:hAnsi="Arial" w:cs="Arial"/>
          <w:b/>
          <w:bCs/>
          <w:sz w:val="20"/>
          <w:szCs w:val="20"/>
          <w:lang w:val="en-US"/>
        </w:rPr>
      </w:pPr>
      <w:r w:rsidRPr="00365CAC">
        <w:rPr>
          <w:rFonts w:ascii="Arial" w:hAnsi="Arial" w:cs="Arial"/>
          <w:b/>
          <w:bCs/>
          <w:sz w:val="20"/>
          <w:szCs w:val="20"/>
          <w:lang w:val="en-US"/>
        </w:rPr>
        <w:t xml:space="preserve">Figure 3: Biochemical composition per 100 g of dry matter (DM) of </w:t>
      </w:r>
      <w:r w:rsidRPr="00365CAC">
        <w:rPr>
          <w:rFonts w:ascii="Arial" w:hAnsi="Arial" w:cs="Arial"/>
          <w:b/>
          <w:bCs/>
          <w:i/>
          <w:iCs/>
          <w:sz w:val="20"/>
          <w:szCs w:val="20"/>
          <w:lang w:val="en-US"/>
        </w:rPr>
        <w:t>Hibiscus cannabinus L</w:t>
      </w:r>
      <w:r w:rsidRPr="00365CAC">
        <w:rPr>
          <w:rFonts w:ascii="Arial" w:hAnsi="Arial" w:cs="Arial"/>
          <w:b/>
          <w:bCs/>
          <w:sz w:val="20"/>
          <w:szCs w:val="20"/>
          <w:lang w:val="en-US"/>
        </w:rPr>
        <w:t>. seeds</w:t>
      </w:r>
    </w:p>
    <w:p w14:paraId="76E32670" w14:textId="5DC32051" w:rsidR="005C1F51" w:rsidRPr="00365CAC" w:rsidRDefault="005C1F51" w:rsidP="002334EB">
      <w:pPr>
        <w:spacing w:line="360" w:lineRule="auto"/>
        <w:jc w:val="both"/>
        <w:rPr>
          <w:rFonts w:ascii="Arial" w:hAnsi="Arial" w:cs="Arial"/>
          <w:i/>
          <w:iCs/>
          <w:sz w:val="18"/>
          <w:szCs w:val="18"/>
          <w:lang w:val="en-US"/>
        </w:rPr>
      </w:pPr>
      <w:r w:rsidRPr="00365CAC">
        <w:rPr>
          <w:rFonts w:ascii="Arial" w:hAnsi="Arial" w:cs="Arial"/>
          <w:i/>
          <w:iCs/>
          <w:sz w:val="18"/>
          <w:szCs w:val="18"/>
          <w:lang w:val="en-US"/>
        </w:rPr>
        <w:t>Code = The first two initials of the province of origin of the accession + the first initial of the village + the sample's order number within the locality</w:t>
      </w:r>
    </w:p>
    <w:p w14:paraId="3130152E" w14:textId="77777777" w:rsidR="00D056FC" w:rsidRPr="00365CAC" w:rsidRDefault="00D056FC" w:rsidP="002334EB">
      <w:pPr>
        <w:spacing w:line="360" w:lineRule="auto"/>
        <w:jc w:val="both"/>
        <w:rPr>
          <w:rFonts w:ascii="Times New Roman" w:hAnsi="Times New Roman" w:cs="Times New Roman"/>
          <w:b/>
          <w:bCs/>
          <w:lang w:val="en-US"/>
        </w:rPr>
      </w:pPr>
    </w:p>
    <w:p w14:paraId="1B07FE1C" w14:textId="04A839B6" w:rsidR="008107BD" w:rsidRPr="00365CAC" w:rsidRDefault="00A54BE7" w:rsidP="002334EB">
      <w:pPr>
        <w:spacing w:line="360" w:lineRule="auto"/>
        <w:jc w:val="both"/>
        <w:rPr>
          <w:rFonts w:ascii="Arial" w:hAnsi="Arial" w:cs="Arial"/>
          <w:sz w:val="22"/>
          <w:szCs w:val="22"/>
          <w:lang w:val="en-US"/>
        </w:rPr>
      </w:pPr>
      <w:r w:rsidRPr="00365CAC">
        <w:rPr>
          <w:rFonts w:ascii="Arial" w:hAnsi="Arial" w:cs="Arial"/>
          <w:b/>
          <w:bCs/>
          <w:sz w:val="22"/>
          <w:szCs w:val="22"/>
          <w:lang w:val="en-US"/>
        </w:rPr>
        <w:t xml:space="preserve">3.4 </w:t>
      </w:r>
      <w:r w:rsidR="005C1F51" w:rsidRPr="00365CAC">
        <w:rPr>
          <w:rFonts w:ascii="Arial" w:hAnsi="Arial" w:cs="Arial"/>
          <w:b/>
          <w:bCs/>
          <w:sz w:val="22"/>
          <w:szCs w:val="22"/>
          <w:lang w:val="en-US"/>
        </w:rPr>
        <w:t xml:space="preserve">Interactions between </w:t>
      </w:r>
      <w:proofErr w:type="spellStart"/>
      <w:r w:rsidR="005C1F51" w:rsidRPr="00365CAC">
        <w:rPr>
          <w:rFonts w:ascii="Arial" w:hAnsi="Arial" w:cs="Arial"/>
          <w:b/>
          <w:bCs/>
          <w:sz w:val="22"/>
          <w:szCs w:val="22"/>
          <w:lang w:val="en-US"/>
        </w:rPr>
        <w:t>agro</w:t>
      </w:r>
      <w:proofErr w:type="spellEnd"/>
      <w:r w:rsidR="00D53FE6" w:rsidRPr="00365CAC">
        <w:rPr>
          <w:rFonts w:ascii="Arial" w:hAnsi="Arial" w:cs="Arial"/>
          <w:b/>
          <w:bCs/>
          <w:sz w:val="22"/>
          <w:szCs w:val="22"/>
          <w:lang w:val="en-US"/>
        </w:rPr>
        <w:t xml:space="preserve"> </w:t>
      </w:r>
      <w:r w:rsidR="005C1F51" w:rsidRPr="00365CAC">
        <w:rPr>
          <w:rFonts w:ascii="Arial" w:hAnsi="Arial" w:cs="Arial"/>
          <w:b/>
          <w:bCs/>
          <w:sz w:val="22"/>
          <w:szCs w:val="22"/>
          <w:lang w:val="en-US"/>
        </w:rPr>
        <w:t>morphological, physicochemical, and biochemical parameters</w:t>
      </w:r>
    </w:p>
    <w:p w14:paraId="6317B47A" w14:textId="61080307" w:rsidR="005C1F51" w:rsidRPr="00365CAC" w:rsidRDefault="005C1F51" w:rsidP="002334EB">
      <w:pPr>
        <w:spacing w:line="360" w:lineRule="auto"/>
        <w:jc w:val="both"/>
        <w:rPr>
          <w:rFonts w:ascii="Arial" w:hAnsi="Arial" w:cs="Arial"/>
          <w:sz w:val="20"/>
          <w:szCs w:val="20"/>
          <w:lang w:val="en-US"/>
        </w:rPr>
      </w:pPr>
      <w:r w:rsidRPr="00365CAC">
        <w:rPr>
          <w:rFonts w:ascii="Arial" w:hAnsi="Arial" w:cs="Arial"/>
          <w:sz w:val="20"/>
          <w:szCs w:val="20"/>
          <w:lang w:val="en-US"/>
        </w:rPr>
        <w:t xml:space="preserve">The study of the relationships between the measured quantitative parameters revealed numerous significant correlations at the 1% level (Table II). Indeed, positive and significant correlations were observed between the flowering date and each of the variables, fruit diameter (r = 0.59) and moisture content (r = 0.66). Furthermore, a positive and significant correlation was also observed between plant height and stem diameter (r = 0.66). Furthermore, highly significant correlations were observed between zinc content and each of the variables—magnesium and potassium content (r = 0.86, respectively)—as well as between magnesium content and potassium content (r = 0.94). In contrast, highly significant </w:t>
      </w:r>
      <w:r w:rsidR="004774B1" w:rsidRPr="00365CAC">
        <w:rPr>
          <w:rFonts w:ascii="Arial" w:hAnsi="Arial" w:cs="Arial"/>
          <w:sz w:val="20"/>
          <w:szCs w:val="20"/>
          <w:lang w:val="en-US"/>
        </w:rPr>
        <w:t>negative correlations</w:t>
      </w:r>
      <w:r w:rsidRPr="00365CAC">
        <w:rPr>
          <w:rFonts w:ascii="Arial" w:hAnsi="Arial" w:cs="Arial"/>
          <w:sz w:val="20"/>
          <w:szCs w:val="20"/>
          <w:lang w:val="en-US"/>
        </w:rPr>
        <w:t xml:space="preserve"> were found between iron content and each of the variables: zinc content (r = -0.79), potassium content (r = -0.88), and magnesium content (r = -0.94); between carbohydrate content and each of the variables: protein content (r = -0.66), lipid content (r = -0.82), and ash content (r = -0.86).</w:t>
      </w:r>
    </w:p>
    <w:p w14:paraId="00031DED" w14:textId="77777777" w:rsidR="00A54BE7" w:rsidRPr="00365CAC" w:rsidRDefault="00A54BE7" w:rsidP="002334EB">
      <w:pPr>
        <w:spacing w:line="360" w:lineRule="auto"/>
        <w:jc w:val="both"/>
        <w:rPr>
          <w:rFonts w:ascii="Arial" w:hAnsi="Arial" w:cs="Arial"/>
          <w:b/>
          <w:bCs/>
          <w:sz w:val="20"/>
          <w:szCs w:val="20"/>
          <w:lang w:val="en-US"/>
        </w:rPr>
      </w:pPr>
    </w:p>
    <w:p w14:paraId="66045F7B" w14:textId="5B4CAD1C" w:rsidR="005C1F51" w:rsidRPr="00365CAC" w:rsidRDefault="005C1F51" w:rsidP="002334EB">
      <w:pPr>
        <w:spacing w:line="360" w:lineRule="auto"/>
        <w:jc w:val="both"/>
        <w:rPr>
          <w:rFonts w:ascii="Arial" w:hAnsi="Arial" w:cs="Arial"/>
          <w:b/>
          <w:bCs/>
          <w:sz w:val="20"/>
          <w:szCs w:val="20"/>
          <w:lang w:val="en-US"/>
        </w:rPr>
      </w:pPr>
      <w:r w:rsidRPr="00365CAC">
        <w:rPr>
          <w:rFonts w:ascii="Arial" w:hAnsi="Arial" w:cs="Arial"/>
          <w:b/>
          <w:bCs/>
          <w:sz w:val="20"/>
          <w:szCs w:val="20"/>
          <w:lang w:val="en-US"/>
        </w:rPr>
        <w:t>Table I</w:t>
      </w:r>
      <w:r w:rsidR="000872DC" w:rsidRPr="00365CAC">
        <w:rPr>
          <w:rFonts w:ascii="Arial" w:hAnsi="Arial" w:cs="Arial"/>
          <w:b/>
          <w:bCs/>
          <w:sz w:val="20"/>
          <w:szCs w:val="20"/>
          <w:lang w:val="en-US"/>
        </w:rPr>
        <w:t>V</w:t>
      </w:r>
      <w:r w:rsidRPr="00365CAC">
        <w:rPr>
          <w:rFonts w:ascii="Arial" w:hAnsi="Arial" w:cs="Arial"/>
          <w:b/>
          <w:bCs/>
          <w:sz w:val="20"/>
          <w:szCs w:val="20"/>
          <w:lang w:val="en-US"/>
        </w:rPr>
        <w:t xml:space="preserve">: Pearson correlation matrix between the variables </w:t>
      </w:r>
    </w:p>
    <w:p w14:paraId="1155F7AF" w14:textId="761BCE83" w:rsidR="005C1F51" w:rsidRPr="00365CAC" w:rsidRDefault="005C1F51" w:rsidP="002334EB">
      <w:pPr>
        <w:spacing w:line="360" w:lineRule="auto"/>
        <w:jc w:val="both"/>
        <w:rPr>
          <w:rFonts w:ascii="Times New Roman" w:hAnsi="Times New Roman" w:cs="Times New Roman"/>
          <w:lang w:val="en-US"/>
        </w:rPr>
      </w:pPr>
      <w:r w:rsidRPr="00365CAC">
        <w:rPr>
          <w:rFonts w:ascii="Times New Roman" w:hAnsi="Times New Roman" w:cs="Times New Roman"/>
          <w:noProof/>
        </w:rPr>
        <w:lastRenderedPageBreak/>
        <w:drawing>
          <wp:inline distT="0" distB="0" distL="0" distR="0" wp14:anchorId="23CE601E" wp14:editId="3F4A215C">
            <wp:extent cx="5334000" cy="4391025"/>
            <wp:effectExtent l="19050" t="19050" r="19050" b="28575"/>
            <wp:docPr id="139616431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164316" name=""/>
                    <pic:cNvPicPr/>
                  </pic:nvPicPr>
                  <pic:blipFill>
                    <a:blip r:embed="rId17"/>
                    <a:stretch>
                      <a:fillRect/>
                    </a:stretch>
                  </pic:blipFill>
                  <pic:spPr>
                    <a:xfrm>
                      <a:off x="0" y="0"/>
                      <a:ext cx="5334749" cy="4391642"/>
                    </a:xfrm>
                    <a:prstGeom prst="rect">
                      <a:avLst/>
                    </a:prstGeom>
                    <a:ln w="9525">
                      <a:solidFill>
                        <a:schemeClr val="tx1"/>
                      </a:solidFill>
                    </a:ln>
                  </pic:spPr>
                </pic:pic>
              </a:graphicData>
            </a:graphic>
          </wp:inline>
        </w:drawing>
      </w:r>
    </w:p>
    <w:p w14:paraId="0E9049B7" w14:textId="77777777" w:rsidR="00EB15AC" w:rsidRPr="00365CAC" w:rsidRDefault="00EB15AC" w:rsidP="002334EB">
      <w:pPr>
        <w:spacing w:line="360" w:lineRule="auto"/>
        <w:jc w:val="both"/>
        <w:rPr>
          <w:rFonts w:ascii="Arial" w:hAnsi="Arial" w:cs="Arial"/>
          <w:sz w:val="18"/>
          <w:szCs w:val="18"/>
          <w:lang w:val="en-US"/>
        </w:rPr>
      </w:pPr>
      <w:r w:rsidRPr="00365CAC">
        <w:rPr>
          <w:rFonts w:ascii="Arial" w:hAnsi="Arial" w:cs="Arial"/>
          <w:sz w:val="18"/>
          <w:szCs w:val="18"/>
          <w:lang w:val="en-US"/>
        </w:rPr>
        <w:t>FLD: Flowering Date; NFR: Number of fruits; PLH: Plant Height; SHD: Shank Diameter; FRL: Fruit Length; FRD: Fruit Diameter; WHS: Weight of 100 seeds; Ca: Calcium content; Mg: Magnesium content; Na: Sodium content; Fe: Iron content; Zn: Zinc content; K: Potassium content; Humidity: Water content; Ash: Ash content; Lipid: Lipid content; Protein: Protein content; Carbohydrate: Carbohydrate content.</w:t>
      </w:r>
    </w:p>
    <w:p w14:paraId="5068BC42" w14:textId="07015379" w:rsidR="00EB15AC" w:rsidRPr="00365CAC" w:rsidRDefault="00A54BE7" w:rsidP="002334EB">
      <w:pPr>
        <w:spacing w:line="360" w:lineRule="auto"/>
        <w:jc w:val="both"/>
        <w:rPr>
          <w:rFonts w:ascii="Arial" w:hAnsi="Arial" w:cs="Arial"/>
          <w:b/>
          <w:bCs/>
          <w:sz w:val="22"/>
          <w:szCs w:val="22"/>
          <w:lang w:val="en-US"/>
        </w:rPr>
      </w:pPr>
      <w:r w:rsidRPr="00365CAC">
        <w:rPr>
          <w:rFonts w:ascii="Arial" w:hAnsi="Arial" w:cs="Arial"/>
          <w:b/>
          <w:bCs/>
          <w:sz w:val="22"/>
          <w:szCs w:val="22"/>
          <w:lang w:val="en-US"/>
        </w:rPr>
        <w:t xml:space="preserve">3.4 </w:t>
      </w:r>
      <w:r w:rsidR="00EB15AC" w:rsidRPr="00365CAC">
        <w:rPr>
          <w:rFonts w:ascii="Arial" w:hAnsi="Arial" w:cs="Arial"/>
          <w:b/>
          <w:bCs/>
          <w:sz w:val="22"/>
          <w:szCs w:val="22"/>
          <w:lang w:val="en-US"/>
        </w:rPr>
        <w:t xml:space="preserve">Association of the studied </w:t>
      </w:r>
      <w:proofErr w:type="spellStart"/>
      <w:r w:rsidR="00EB15AC" w:rsidRPr="00365CAC">
        <w:rPr>
          <w:rFonts w:ascii="Arial" w:hAnsi="Arial" w:cs="Arial"/>
          <w:b/>
          <w:bCs/>
          <w:sz w:val="22"/>
          <w:szCs w:val="22"/>
          <w:lang w:val="en-US"/>
        </w:rPr>
        <w:t>agro</w:t>
      </w:r>
      <w:proofErr w:type="spellEnd"/>
      <w:r w:rsidR="00D056FC" w:rsidRPr="00365CAC">
        <w:rPr>
          <w:rFonts w:ascii="Arial" w:hAnsi="Arial" w:cs="Arial"/>
          <w:b/>
          <w:bCs/>
          <w:sz w:val="22"/>
          <w:szCs w:val="22"/>
          <w:lang w:val="en-US"/>
        </w:rPr>
        <w:t xml:space="preserve"> </w:t>
      </w:r>
      <w:r w:rsidR="00EB15AC" w:rsidRPr="00365CAC">
        <w:rPr>
          <w:rFonts w:ascii="Arial" w:hAnsi="Arial" w:cs="Arial"/>
          <w:b/>
          <w:bCs/>
          <w:sz w:val="22"/>
          <w:szCs w:val="22"/>
          <w:lang w:val="en-US"/>
        </w:rPr>
        <w:t>morphological, physicochemical, and biochemical parameters with the axes</w:t>
      </w:r>
    </w:p>
    <w:p w14:paraId="6082780E" w14:textId="650B053B" w:rsidR="00C50884" w:rsidRPr="00365CAC" w:rsidRDefault="00EB15AC" w:rsidP="002334EB">
      <w:pPr>
        <w:spacing w:line="360" w:lineRule="auto"/>
        <w:jc w:val="both"/>
        <w:rPr>
          <w:rFonts w:ascii="Arial" w:hAnsi="Arial" w:cs="Arial"/>
          <w:sz w:val="20"/>
          <w:szCs w:val="20"/>
          <w:lang w:val="en-US"/>
        </w:rPr>
      </w:pPr>
      <w:r w:rsidRPr="00365CAC">
        <w:rPr>
          <w:rFonts w:ascii="Arial" w:hAnsi="Arial" w:cs="Arial"/>
          <w:sz w:val="20"/>
          <w:szCs w:val="20"/>
          <w:lang w:val="en-US"/>
        </w:rPr>
        <w:t>The contribution and correlation of the variables on the 1-2 factorial plane are illustrated through the results of the Principal Component Analysis (PCA)</w:t>
      </w:r>
      <w:r w:rsidR="00BD1CCE" w:rsidRPr="00365CAC">
        <w:rPr>
          <w:rFonts w:ascii="Arial" w:hAnsi="Arial" w:cs="Arial"/>
          <w:sz w:val="20"/>
          <w:szCs w:val="20"/>
          <w:lang w:val="en-US"/>
        </w:rPr>
        <w:t xml:space="preserve"> (figure 4)</w:t>
      </w:r>
      <w:r w:rsidRPr="00365CAC">
        <w:rPr>
          <w:rFonts w:ascii="Arial" w:hAnsi="Arial" w:cs="Arial"/>
          <w:sz w:val="20"/>
          <w:szCs w:val="20"/>
          <w:lang w:val="en-US"/>
        </w:rPr>
        <w:t>, which explains a total of 48.2% of the variance (Axis 1: 28.8%; Axis 2: 19.4%). In the ½-plan (Figure 4), Axis 1, accounting for 28.8% of the total inertia, is strongly defined by a group of nutritional and mineral variables that are positively correlated with one another, such as magnesium content (r = 0.90), potassium content (r = 0.85), zinc content (r = 0.75), and the weight of 100 seeds (r = 0.60). Magnesium, potassium, and zinc content, as well as the weight of 100 seeds, have the highest contributions on this axis, which negatively correlates with iron content (r = -0.95), moisture content (r = -0.60), and flowering date (r = -0.55).</w:t>
      </w:r>
      <w:r w:rsidR="00C50884" w:rsidRPr="00365CAC">
        <w:rPr>
          <w:rFonts w:ascii="Arial" w:eastAsia="Times New Roman" w:hAnsi="Arial" w:cs="Arial"/>
          <w:kern w:val="0"/>
          <w:sz w:val="20"/>
          <w:szCs w:val="20"/>
          <w:lang w:val="en-US" w:eastAsia="fr-FR"/>
          <w14:ligatures w14:val="none"/>
        </w:rPr>
        <w:t xml:space="preserve"> </w:t>
      </w:r>
      <w:r w:rsidR="00C50884" w:rsidRPr="00365CAC">
        <w:rPr>
          <w:rFonts w:ascii="Arial" w:hAnsi="Arial" w:cs="Arial"/>
          <w:sz w:val="20"/>
          <w:szCs w:val="20"/>
          <w:lang w:val="en-US"/>
        </w:rPr>
        <w:t>This axis reveals a clear negative correlation between the parameters mentioned above and carbohydrate content (r = -0.95). It characterizes tall accessions with sturdy stems, such as KON3, KOG4, KOW2, NAL2, and KOW3, whose seeds are rich in lipids and protein but low in carbohydrates</w:t>
      </w:r>
      <w:r w:rsidR="00BD1CCE" w:rsidRPr="00365CAC">
        <w:rPr>
          <w:rFonts w:ascii="Arial" w:hAnsi="Arial" w:cs="Arial"/>
          <w:sz w:val="20"/>
          <w:szCs w:val="20"/>
          <w:lang w:val="en-US"/>
        </w:rPr>
        <w:t xml:space="preserve"> (figure 5)</w:t>
      </w:r>
      <w:r w:rsidR="00C50884" w:rsidRPr="00365CAC">
        <w:rPr>
          <w:rFonts w:ascii="Arial" w:hAnsi="Arial" w:cs="Arial"/>
          <w:sz w:val="20"/>
          <w:szCs w:val="20"/>
          <w:lang w:val="en-US"/>
        </w:rPr>
        <w:t>.</w:t>
      </w:r>
    </w:p>
    <w:p w14:paraId="56DD0A34" w14:textId="77777777" w:rsidR="00132C62" w:rsidRPr="00365CAC" w:rsidRDefault="00C50884" w:rsidP="002334EB">
      <w:pPr>
        <w:spacing w:line="360" w:lineRule="auto"/>
        <w:jc w:val="both"/>
        <w:rPr>
          <w:rFonts w:ascii="Times New Roman" w:hAnsi="Times New Roman" w:cs="Times New Roman"/>
          <w:lang w:val="en-US"/>
        </w:rPr>
      </w:pPr>
      <w:r w:rsidRPr="00365CAC">
        <w:rPr>
          <w:rFonts w:ascii="Times New Roman" w:hAnsi="Times New Roman" w:cs="Times New Roman"/>
          <w:noProof/>
        </w:rPr>
        <w:lastRenderedPageBreak/>
        <w:drawing>
          <wp:inline distT="0" distB="0" distL="0" distR="0" wp14:anchorId="05D533BC" wp14:editId="5F2E57EF">
            <wp:extent cx="4467225" cy="3893732"/>
            <wp:effectExtent l="19050" t="19050" r="9525" b="12065"/>
            <wp:docPr id="88061743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617432" name=""/>
                    <pic:cNvPicPr/>
                  </pic:nvPicPr>
                  <pic:blipFill>
                    <a:blip r:embed="rId18"/>
                    <a:stretch>
                      <a:fillRect/>
                    </a:stretch>
                  </pic:blipFill>
                  <pic:spPr>
                    <a:xfrm>
                      <a:off x="0" y="0"/>
                      <a:ext cx="4470270" cy="3896386"/>
                    </a:xfrm>
                    <a:prstGeom prst="rect">
                      <a:avLst/>
                    </a:prstGeom>
                    <a:ln w="9525">
                      <a:solidFill>
                        <a:schemeClr val="tx1"/>
                      </a:solidFill>
                    </a:ln>
                  </pic:spPr>
                </pic:pic>
              </a:graphicData>
            </a:graphic>
          </wp:inline>
        </w:drawing>
      </w:r>
    </w:p>
    <w:p w14:paraId="0ABD0A1E" w14:textId="77777777" w:rsidR="00365CAC" w:rsidRDefault="00365CAC" w:rsidP="002334EB">
      <w:pPr>
        <w:spacing w:line="360" w:lineRule="auto"/>
        <w:jc w:val="both"/>
        <w:rPr>
          <w:rFonts w:ascii="Arial" w:hAnsi="Arial" w:cs="Arial"/>
          <w:i/>
          <w:iCs/>
          <w:sz w:val="18"/>
          <w:szCs w:val="18"/>
        </w:rPr>
      </w:pPr>
      <w:proofErr w:type="gramStart"/>
      <w:r w:rsidRPr="00365CAC">
        <w:rPr>
          <w:rFonts w:ascii="Arial" w:hAnsi="Arial" w:cs="Arial"/>
          <w:i/>
          <w:iCs/>
          <w:sz w:val="18"/>
          <w:szCs w:val="18"/>
        </w:rPr>
        <w:t>FLD:</w:t>
      </w:r>
      <w:proofErr w:type="gramEnd"/>
      <w:r w:rsidRPr="00365CAC">
        <w:rPr>
          <w:rFonts w:ascii="Arial" w:hAnsi="Arial" w:cs="Arial"/>
          <w:i/>
          <w:iCs/>
          <w:sz w:val="18"/>
          <w:szCs w:val="18"/>
        </w:rPr>
        <w:t xml:space="preserve"> </w:t>
      </w:r>
      <w:proofErr w:type="spellStart"/>
      <w:r w:rsidRPr="00365CAC">
        <w:rPr>
          <w:rFonts w:ascii="Arial" w:hAnsi="Arial" w:cs="Arial"/>
          <w:i/>
          <w:iCs/>
          <w:sz w:val="18"/>
          <w:szCs w:val="18"/>
        </w:rPr>
        <w:t>Flowering</w:t>
      </w:r>
      <w:proofErr w:type="spellEnd"/>
      <w:r w:rsidRPr="00365CAC">
        <w:rPr>
          <w:rFonts w:ascii="Arial" w:hAnsi="Arial" w:cs="Arial"/>
          <w:i/>
          <w:iCs/>
          <w:sz w:val="18"/>
          <w:szCs w:val="18"/>
        </w:rPr>
        <w:t xml:space="preserve"> </w:t>
      </w:r>
      <w:proofErr w:type="gramStart"/>
      <w:r w:rsidRPr="00365CAC">
        <w:rPr>
          <w:rFonts w:ascii="Arial" w:hAnsi="Arial" w:cs="Arial"/>
          <w:i/>
          <w:iCs/>
          <w:sz w:val="18"/>
          <w:szCs w:val="18"/>
        </w:rPr>
        <w:t>date;</w:t>
      </w:r>
      <w:proofErr w:type="gramEnd"/>
      <w:r w:rsidRPr="00365CAC">
        <w:rPr>
          <w:rFonts w:ascii="Arial" w:hAnsi="Arial" w:cs="Arial"/>
          <w:i/>
          <w:iCs/>
          <w:sz w:val="18"/>
          <w:szCs w:val="18"/>
        </w:rPr>
        <w:t xml:space="preserve"> </w:t>
      </w:r>
      <w:proofErr w:type="gramStart"/>
      <w:r w:rsidRPr="00365CAC">
        <w:rPr>
          <w:rFonts w:ascii="Arial" w:hAnsi="Arial" w:cs="Arial"/>
          <w:i/>
          <w:iCs/>
          <w:sz w:val="18"/>
          <w:szCs w:val="18"/>
        </w:rPr>
        <w:t>NFR:</w:t>
      </w:r>
      <w:proofErr w:type="gramEnd"/>
      <w:r w:rsidRPr="00365CAC">
        <w:rPr>
          <w:rFonts w:ascii="Arial" w:hAnsi="Arial" w:cs="Arial"/>
          <w:i/>
          <w:iCs/>
          <w:sz w:val="18"/>
          <w:szCs w:val="18"/>
        </w:rPr>
        <w:t xml:space="preserve"> Number of </w:t>
      </w:r>
      <w:proofErr w:type="gramStart"/>
      <w:r w:rsidRPr="00365CAC">
        <w:rPr>
          <w:rFonts w:ascii="Arial" w:hAnsi="Arial" w:cs="Arial"/>
          <w:i/>
          <w:iCs/>
          <w:sz w:val="18"/>
          <w:szCs w:val="18"/>
        </w:rPr>
        <w:t>fruits;</w:t>
      </w:r>
      <w:proofErr w:type="gramEnd"/>
      <w:r w:rsidRPr="00365CAC">
        <w:rPr>
          <w:rFonts w:ascii="Arial" w:hAnsi="Arial" w:cs="Arial"/>
          <w:i/>
          <w:iCs/>
          <w:sz w:val="18"/>
          <w:szCs w:val="18"/>
        </w:rPr>
        <w:t xml:space="preserve"> </w:t>
      </w:r>
      <w:proofErr w:type="gramStart"/>
      <w:r w:rsidRPr="00365CAC">
        <w:rPr>
          <w:rFonts w:ascii="Arial" w:hAnsi="Arial" w:cs="Arial"/>
          <w:i/>
          <w:iCs/>
          <w:sz w:val="18"/>
          <w:szCs w:val="18"/>
        </w:rPr>
        <w:t>PLH:</w:t>
      </w:r>
      <w:proofErr w:type="gramEnd"/>
      <w:r w:rsidRPr="00365CAC">
        <w:rPr>
          <w:rFonts w:ascii="Arial" w:hAnsi="Arial" w:cs="Arial"/>
          <w:i/>
          <w:iCs/>
          <w:sz w:val="18"/>
          <w:szCs w:val="18"/>
        </w:rPr>
        <w:t xml:space="preserve"> Plant </w:t>
      </w:r>
      <w:proofErr w:type="spellStart"/>
      <w:proofErr w:type="gramStart"/>
      <w:r w:rsidRPr="00365CAC">
        <w:rPr>
          <w:rFonts w:ascii="Arial" w:hAnsi="Arial" w:cs="Arial"/>
          <w:i/>
          <w:iCs/>
          <w:sz w:val="18"/>
          <w:szCs w:val="18"/>
        </w:rPr>
        <w:t>height</w:t>
      </w:r>
      <w:proofErr w:type="spellEnd"/>
      <w:r w:rsidRPr="00365CAC">
        <w:rPr>
          <w:rFonts w:ascii="Arial" w:hAnsi="Arial" w:cs="Arial"/>
          <w:i/>
          <w:iCs/>
          <w:sz w:val="18"/>
          <w:szCs w:val="18"/>
        </w:rPr>
        <w:t>;</w:t>
      </w:r>
      <w:proofErr w:type="gramEnd"/>
      <w:r w:rsidRPr="00365CAC">
        <w:rPr>
          <w:rFonts w:ascii="Arial" w:hAnsi="Arial" w:cs="Arial"/>
          <w:i/>
          <w:iCs/>
          <w:sz w:val="18"/>
          <w:szCs w:val="18"/>
        </w:rPr>
        <w:t xml:space="preserve"> </w:t>
      </w:r>
      <w:proofErr w:type="gramStart"/>
      <w:r w:rsidRPr="00365CAC">
        <w:rPr>
          <w:rFonts w:ascii="Arial" w:hAnsi="Arial" w:cs="Arial"/>
          <w:i/>
          <w:iCs/>
          <w:sz w:val="18"/>
          <w:szCs w:val="18"/>
        </w:rPr>
        <w:t>SHD:</w:t>
      </w:r>
      <w:proofErr w:type="gramEnd"/>
      <w:r w:rsidRPr="00365CAC">
        <w:rPr>
          <w:rFonts w:ascii="Arial" w:hAnsi="Arial" w:cs="Arial"/>
          <w:i/>
          <w:iCs/>
          <w:sz w:val="18"/>
          <w:szCs w:val="18"/>
        </w:rPr>
        <w:t xml:space="preserve"> Stem </w:t>
      </w:r>
      <w:proofErr w:type="spellStart"/>
      <w:proofErr w:type="gramStart"/>
      <w:r w:rsidRPr="00365CAC">
        <w:rPr>
          <w:rFonts w:ascii="Arial" w:hAnsi="Arial" w:cs="Arial"/>
          <w:i/>
          <w:iCs/>
          <w:sz w:val="18"/>
          <w:szCs w:val="18"/>
        </w:rPr>
        <w:t>diameter</w:t>
      </w:r>
      <w:proofErr w:type="spellEnd"/>
      <w:r w:rsidRPr="00365CAC">
        <w:rPr>
          <w:rFonts w:ascii="Arial" w:hAnsi="Arial" w:cs="Arial"/>
          <w:i/>
          <w:iCs/>
          <w:sz w:val="18"/>
          <w:szCs w:val="18"/>
        </w:rPr>
        <w:t>;</w:t>
      </w:r>
      <w:proofErr w:type="gramEnd"/>
      <w:r w:rsidRPr="00365CAC">
        <w:rPr>
          <w:rFonts w:ascii="Arial" w:hAnsi="Arial" w:cs="Arial"/>
          <w:i/>
          <w:iCs/>
          <w:sz w:val="18"/>
          <w:szCs w:val="18"/>
        </w:rPr>
        <w:t xml:space="preserve"> </w:t>
      </w:r>
      <w:proofErr w:type="gramStart"/>
      <w:r w:rsidRPr="00365CAC">
        <w:rPr>
          <w:rFonts w:ascii="Arial" w:hAnsi="Arial" w:cs="Arial"/>
          <w:i/>
          <w:iCs/>
          <w:sz w:val="18"/>
          <w:szCs w:val="18"/>
        </w:rPr>
        <w:t>FRL:</w:t>
      </w:r>
      <w:proofErr w:type="gramEnd"/>
      <w:r w:rsidRPr="00365CAC">
        <w:rPr>
          <w:rFonts w:ascii="Arial" w:hAnsi="Arial" w:cs="Arial"/>
          <w:i/>
          <w:iCs/>
          <w:sz w:val="18"/>
          <w:szCs w:val="18"/>
        </w:rPr>
        <w:t xml:space="preserve"> Fruit </w:t>
      </w:r>
      <w:proofErr w:type="spellStart"/>
      <w:proofErr w:type="gramStart"/>
      <w:r w:rsidRPr="00365CAC">
        <w:rPr>
          <w:rFonts w:ascii="Arial" w:hAnsi="Arial" w:cs="Arial"/>
          <w:i/>
          <w:iCs/>
          <w:sz w:val="18"/>
          <w:szCs w:val="18"/>
        </w:rPr>
        <w:t>length</w:t>
      </w:r>
      <w:proofErr w:type="spellEnd"/>
      <w:r w:rsidRPr="00365CAC">
        <w:rPr>
          <w:rFonts w:ascii="Arial" w:hAnsi="Arial" w:cs="Arial"/>
          <w:i/>
          <w:iCs/>
          <w:sz w:val="18"/>
          <w:szCs w:val="18"/>
        </w:rPr>
        <w:t>;</w:t>
      </w:r>
      <w:proofErr w:type="gramEnd"/>
      <w:r w:rsidRPr="00365CAC">
        <w:rPr>
          <w:rFonts w:ascii="Arial" w:hAnsi="Arial" w:cs="Arial"/>
          <w:i/>
          <w:iCs/>
          <w:sz w:val="18"/>
          <w:szCs w:val="18"/>
        </w:rPr>
        <w:t xml:space="preserve"> </w:t>
      </w:r>
      <w:proofErr w:type="gramStart"/>
      <w:r w:rsidRPr="00365CAC">
        <w:rPr>
          <w:rFonts w:ascii="Arial" w:hAnsi="Arial" w:cs="Arial"/>
          <w:i/>
          <w:iCs/>
          <w:sz w:val="18"/>
          <w:szCs w:val="18"/>
        </w:rPr>
        <w:t>FRD:</w:t>
      </w:r>
      <w:proofErr w:type="gramEnd"/>
      <w:r w:rsidRPr="00365CAC">
        <w:rPr>
          <w:rFonts w:ascii="Arial" w:hAnsi="Arial" w:cs="Arial"/>
          <w:i/>
          <w:iCs/>
          <w:sz w:val="18"/>
          <w:szCs w:val="18"/>
        </w:rPr>
        <w:t xml:space="preserve"> Fruit </w:t>
      </w:r>
      <w:proofErr w:type="spellStart"/>
      <w:proofErr w:type="gramStart"/>
      <w:r w:rsidRPr="00365CAC">
        <w:rPr>
          <w:rFonts w:ascii="Arial" w:hAnsi="Arial" w:cs="Arial"/>
          <w:i/>
          <w:iCs/>
          <w:sz w:val="18"/>
          <w:szCs w:val="18"/>
        </w:rPr>
        <w:t>diameter</w:t>
      </w:r>
      <w:proofErr w:type="spellEnd"/>
      <w:r w:rsidRPr="00365CAC">
        <w:rPr>
          <w:rFonts w:ascii="Arial" w:hAnsi="Arial" w:cs="Arial"/>
          <w:i/>
          <w:iCs/>
          <w:sz w:val="18"/>
          <w:szCs w:val="18"/>
        </w:rPr>
        <w:t>;</w:t>
      </w:r>
      <w:proofErr w:type="gramEnd"/>
      <w:r w:rsidRPr="00365CAC">
        <w:rPr>
          <w:rFonts w:ascii="Arial" w:hAnsi="Arial" w:cs="Arial"/>
          <w:i/>
          <w:iCs/>
          <w:sz w:val="18"/>
          <w:szCs w:val="18"/>
        </w:rPr>
        <w:t xml:space="preserve"> </w:t>
      </w:r>
      <w:proofErr w:type="gramStart"/>
      <w:r w:rsidRPr="00365CAC">
        <w:rPr>
          <w:rFonts w:ascii="Arial" w:hAnsi="Arial" w:cs="Arial"/>
          <w:i/>
          <w:iCs/>
          <w:sz w:val="18"/>
          <w:szCs w:val="18"/>
        </w:rPr>
        <w:t>WHS:</w:t>
      </w:r>
      <w:proofErr w:type="gramEnd"/>
      <w:r w:rsidRPr="00365CAC">
        <w:rPr>
          <w:rFonts w:ascii="Arial" w:hAnsi="Arial" w:cs="Arial"/>
          <w:i/>
          <w:iCs/>
          <w:sz w:val="18"/>
          <w:szCs w:val="18"/>
        </w:rPr>
        <w:t xml:space="preserve"> Weight of 100 </w:t>
      </w:r>
      <w:proofErr w:type="spellStart"/>
      <w:proofErr w:type="gramStart"/>
      <w:r w:rsidRPr="00365CAC">
        <w:rPr>
          <w:rFonts w:ascii="Arial" w:hAnsi="Arial" w:cs="Arial"/>
          <w:i/>
          <w:iCs/>
          <w:sz w:val="18"/>
          <w:szCs w:val="18"/>
        </w:rPr>
        <w:t>seeds</w:t>
      </w:r>
      <w:proofErr w:type="spellEnd"/>
      <w:r w:rsidRPr="00365CAC">
        <w:rPr>
          <w:rFonts w:ascii="Arial" w:hAnsi="Arial" w:cs="Arial"/>
          <w:i/>
          <w:iCs/>
          <w:sz w:val="18"/>
          <w:szCs w:val="18"/>
        </w:rPr>
        <w:t>;</w:t>
      </w:r>
      <w:proofErr w:type="gramEnd"/>
      <w:r w:rsidRPr="00365CAC">
        <w:rPr>
          <w:rFonts w:ascii="Arial" w:hAnsi="Arial" w:cs="Arial"/>
          <w:i/>
          <w:iCs/>
          <w:sz w:val="18"/>
          <w:szCs w:val="18"/>
        </w:rPr>
        <w:t xml:space="preserve"> </w:t>
      </w:r>
      <w:proofErr w:type="gramStart"/>
      <w:r w:rsidRPr="00365CAC">
        <w:rPr>
          <w:rFonts w:ascii="Arial" w:hAnsi="Arial" w:cs="Arial"/>
          <w:i/>
          <w:iCs/>
          <w:sz w:val="18"/>
          <w:szCs w:val="18"/>
        </w:rPr>
        <w:t>Ca:</w:t>
      </w:r>
      <w:proofErr w:type="gramEnd"/>
      <w:r w:rsidRPr="00365CAC">
        <w:rPr>
          <w:rFonts w:ascii="Arial" w:hAnsi="Arial" w:cs="Arial"/>
          <w:i/>
          <w:iCs/>
          <w:sz w:val="18"/>
          <w:szCs w:val="18"/>
        </w:rPr>
        <w:t xml:space="preserve"> Calcium </w:t>
      </w:r>
      <w:proofErr w:type="gramStart"/>
      <w:r w:rsidRPr="00365CAC">
        <w:rPr>
          <w:rFonts w:ascii="Arial" w:hAnsi="Arial" w:cs="Arial"/>
          <w:i/>
          <w:iCs/>
          <w:sz w:val="18"/>
          <w:szCs w:val="18"/>
        </w:rPr>
        <w:t>content;</w:t>
      </w:r>
      <w:proofErr w:type="gramEnd"/>
      <w:r w:rsidRPr="00365CAC">
        <w:rPr>
          <w:rFonts w:ascii="Arial" w:hAnsi="Arial" w:cs="Arial"/>
          <w:i/>
          <w:iCs/>
          <w:sz w:val="18"/>
          <w:szCs w:val="18"/>
        </w:rPr>
        <w:t xml:space="preserve"> </w:t>
      </w:r>
      <w:proofErr w:type="gramStart"/>
      <w:r w:rsidRPr="00365CAC">
        <w:rPr>
          <w:rFonts w:ascii="Arial" w:hAnsi="Arial" w:cs="Arial"/>
          <w:i/>
          <w:iCs/>
          <w:sz w:val="18"/>
          <w:szCs w:val="18"/>
        </w:rPr>
        <w:t>Mg:</w:t>
      </w:r>
      <w:proofErr w:type="gramEnd"/>
      <w:r w:rsidRPr="00365CAC">
        <w:rPr>
          <w:rFonts w:ascii="Arial" w:hAnsi="Arial" w:cs="Arial"/>
          <w:i/>
          <w:iCs/>
          <w:sz w:val="18"/>
          <w:szCs w:val="18"/>
        </w:rPr>
        <w:t xml:space="preserve"> </w:t>
      </w:r>
      <w:proofErr w:type="spellStart"/>
      <w:r w:rsidRPr="00365CAC">
        <w:rPr>
          <w:rFonts w:ascii="Arial" w:hAnsi="Arial" w:cs="Arial"/>
          <w:i/>
          <w:iCs/>
          <w:sz w:val="18"/>
          <w:szCs w:val="18"/>
        </w:rPr>
        <w:t>Magnesium</w:t>
      </w:r>
      <w:proofErr w:type="spellEnd"/>
      <w:r w:rsidRPr="00365CAC">
        <w:rPr>
          <w:rFonts w:ascii="Arial" w:hAnsi="Arial" w:cs="Arial"/>
          <w:i/>
          <w:iCs/>
          <w:sz w:val="18"/>
          <w:szCs w:val="18"/>
        </w:rPr>
        <w:t xml:space="preserve"> </w:t>
      </w:r>
      <w:proofErr w:type="gramStart"/>
      <w:r w:rsidRPr="00365CAC">
        <w:rPr>
          <w:rFonts w:ascii="Arial" w:hAnsi="Arial" w:cs="Arial"/>
          <w:i/>
          <w:iCs/>
          <w:sz w:val="18"/>
          <w:szCs w:val="18"/>
        </w:rPr>
        <w:t>content;</w:t>
      </w:r>
      <w:proofErr w:type="gramEnd"/>
      <w:r w:rsidRPr="00365CAC">
        <w:rPr>
          <w:rFonts w:ascii="Arial" w:hAnsi="Arial" w:cs="Arial"/>
          <w:i/>
          <w:iCs/>
          <w:sz w:val="18"/>
          <w:szCs w:val="18"/>
        </w:rPr>
        <w:t xml:space="preserve"> </w:t>
      </w:r>
      <w:proofErr w:type="gramStart"/>
      <w:r w:rsidRPr="00365CAC">
        <w:rPr>
          <w:rFonts w:ascii="Arial" w:hAnsi="Arial" w:cs="Arial"/>
          <w:i/>
          <w:iCs/>
          <w:sz w:val="18"/>
          <w:szCs w:val="18"/>
        </w:rPr>
        <w:t>Na:</w:t>
      </w:r>
      <w:proofErr w:type="gramEnd"/>
      <w:r w:rsidRPr="00365CAC">
        <w:rPr>
          <w:rFonts w:ascii="Arial" w:hAnsi="Arial" w:cs="Arial"/>
          <w:i/>
          <w:iCs/>
          <w:sz w:val="18"/>
          <w:szCs w:val="18"/>
        </w:rPr>
        <w:t xml:space="preserve"> Sodium </w:t>
      </w:r>
      <w:proofErr w:type="gramStart"/>
      <w:r w:rsidRPr="00365CAC">
        <w:rPr>
          <w:rFonts w:ascii="Arial" w:hAnsi="Arial" w:cs="Arial"/>
          <w:i/>
          <w:iCs/>
          <w:sz w:val="18"/>
          <w:szCs w:val="18"/>
        </w:rPr>
        <w:t>content;</w:t>
      </w:r>
      <w:proofErr w:type="gramEnd"/>
      <w:r w:rsidRPr="00365CAC">
        <w:rPr>
          <w:rFonts w:ascii="Arial" w:hAnsi="Arial" w:cs="Arial"/>
          <w:i/>
          <w:iCs/>
          <w:sz w:val="18"/>
          <w:szCs w:val="18"/>
        </w:rPr>
        <w:t xml:space="preserve"> </w:t>
      </w:r>
      <w:proofErr w:type="gramStart"/>
      <w:r w:rsidRPr="00365CAC">
        <w:rPr>
          <w:rFonts w:ascii="Arial" w:hAnsi="Arial" w:cs="Arial"/>
          <w:i/>
          <w:iCs/>
          <w:sz w:val="18"/>
          <w:szCs w:val="18"/>
        </w:rPr>
        <w:t>Fe:</w:t>
      </w:r>
      <w:proofErr w:type="gramEnd"/>
      <w:r w:rsidRPr="00365CAC">
        <w:rPr>
          <w:rFonts w:ascii="Arial" w:hAnsi="Arial" w:cs="Arial"/>
          <w:i/>
          <w:iCs/>
          <w:sz w:val="18"/>
          <w:szCs w:val="18"/>
        </w:rPr>
        <w:t xml:space="preserve"> Iron </w:t>
      </w:r>
      <w:proofErr w:type="gramStart"/>
      <w:r w:rsidRPr="00365CAC">
        <w:rPr>
          <w:rFonts w:ascii="Arial" w:hAnsi="Arial" w:cs="Arial"/>
          <w:i/>
          <w:iCs/>
          <w:sz w:val="18"/>
          <w:szCs w:val="18"/>
        </w:rPr>
        <w:t>content;</w:t>
      </w:r>
      <w:proofErr w:type="gramEnd"/>
      <w:r w:rsidRPr="00365CAC">
        <w:rPr>
          <w:rFonts w:ascii="Arial" w:hAnsi="Arial" w:cs="Arial"/>
          <w:i/>
          <w:iCs/>
          <w:sz w:val="18"/>
          <w:szCs w:val="18"/>
        </w:rPr>
        <w:t xml:space="preserve"> </w:t>
      </w:r>
      <w:proofErr w:type="gramStart"/>
      <w:r w:rsidRPr="00365CAC">
        <w:rPr>
          <w:rFonts w:ascii="Arial" w:hAnsi="Arial" w:cs="Arial"/>
          <w:i/>
          <w:iCs/>
          <w:sz w:val="18"/>
          <w:szCs w:val="18"/>
        </w:rPr>
        <w:t>Zn:</w:t>
      </w:r>
      <w:proofErr w:type="gramEnd"/>
      <w:r w:rsidRPr="00365CAC">
        <w:rPr>
          <w:rFonts w:ascii="Arial" w:hAnsi="Arial" w:cs="Arial"/>
          <w:i/>
          <w:iCs/>
          <w:sz w:val="18"/>
          <w:szCs w:val="18"/>
        </w:rPr>
        <w:t xml:space="preserve"> Zinc </w:t>
      </w:r>
      <w:proofErr w:type="gramStart"/>
      <w:r w:rsidRPr="00365CAC">
        <w:rPr>
          <w:rFonts w:ascii="Arial" w:hAnsi="Arial" w:cs="Arial"/>
          <w:i/>
          <w:iCs/>
          <w:sz w:val="18"/>
          <w:szCs w:val="18"/>
        </w:rPr>
        <w:t>content;</w:t>
      </w:r>
      <w:proofErr w:type="gramEnd"/>
      <w:r w:rsidRPr="00365CAC">
        <w:rPr>
          <w:rFonts w:ascii="Arial" w:hAnsi="Arial" w:cs="Arial"/>
          <w:i/>
          <w:iCs/>
          <w:sz w:val="18"/>
          <w:szCs w:val="18"/>
        </w:rPr>
        <w:t xml:space="preserve"> </w:t>
      </w:r>
      <w:proofErr w:type="gramStart"/>
      <w:r w:rsidRPr="00365CAC">
        <w:rPr>
          <w:rFonts w:ascii="Arial" w:hAnsi="Arial" w:cs="Arial"/>
          <w:i/>
          <w:iCs/>
          <w:sz w:val="18"/>
          <w:szCs w:val="18"/>
        </w:rPr>
        <w:t>K:</w:t>
      </w:r>
      <w:proofErr w:type="gramEnd"/>
      <w:r w:rsidRPr="00365CAC">
        <w:rPr>
          <w:rFonts w:ascii="Arial" w:hAnsi="Arial" w:cs="Arial"/>
          <w:i/>
          <w:iCs/>
          <w:sz w:val="18"/>
          <w:szCs w:val="18"/>
        </w:rPr>
        <w:t xml:space="preserve"> Potassium </w:t>
      </w:r>
      <w:proofErr w:type="gramStart"/>
      <w:r w:rsidRPr="00365CAC">
        <w:rPr>
          <w:rFonts w:ascii="Arial" w:hAnsi="Arial" w:cs="Arial"/>
          <w:i/>
          <w:iCs/>
          <w:sz w:val="18"/>
          <w:szCs w:val="18"/>
        </w:rPr>
        <w:t>content;</w:t>
      </w:r>
      <w:proofErr w:type="gramEnd"/>
      <w:r w:rsidRPr="00365CAC">
        <w:rPr>
          <w:rFonts w:ascii="Arial" w:hAnsi="Arial" w:cs="Arial"/>
          <w:i/>
          <w:iCs/>
          <w:sz w:val="18"/>
          <w:szCs w:val="18"/>
        </w:rPr>
        <w:t xml:space="preserve"> </w:t>
      </w:r>
      <w:proofErr w:type="spellStart"/>
      <w:proofErr w:type="gramStart"/>
      <w:r w:rsidRPr="00365CAC">
        <w:rPr>
          <w:rFonts w:ascii="Arial" w:hAnsi="Arial" w:cs="Arial"/>
          <w:i/>
          <w:iCs/>
          <w:sz w:val="18"/>
          <w:szCs w:val="18"/>
        </w:rPr>
        <w:t>Moisture</w:t>
      </w:r>
      <w:proofErr w:type="spellEnd"/>
      <w:r w:rsidRPr="00365CAC">
        <w:rPr>
          <w:rFonts w:ascii="Arial" w:hAnsi="Arial" w:cs="Arial"/>
          <w:i/>
          <w:iCs/>
          <w:sz w:val="18"/>
          <w:szCs w:val="18"/>
        </w:rPr>
        <w:t>:</w:t>
      </w:r>
      <w:proofErr w:type="gramEnd"/>
      <w:r w:rsidRPr="00365CAC">
        <w:rPr>
          <w:rFonts w:ascii="Arial" w:hAnsi="Arial" w:cs="Arial"/>
          <w:i/>
          <w:iCs/>
          <w:sz w:val="18"/>
          <w:szCs w:val="18"/>
        </w:rPr>
        <w:t xml:space="preserve"> Water </w:t>
      </w:r>
      <w:proofErr w:type="gramStart"/>
      <w:r w:rsidRPr="00365CAC">
        <w:rPr>
          <w:rFonts w:ascii="Arial" w:hAnsi="Arial" w:cs="Arial"/>
          <w:i/>
          <w:iCs/>
          <w:sz w:val="18"/>
          <w:szCs w:val="18"/>
        </w:rPr>
        <w:t>content;</w:t>
      </w:r>
      <w:proofErr w:type="gramEnd"/>
      <w:r w:rsidRPr="00365CAC">
        <w:rPr>
          <w:rFonts w:ascii="Arial" w:hAnsi="Arial" w:cs="Arial"/>
          <w:i/>
          <w:iCs/>
          <w:sz w:val="18"/>
          <w:szCs w:val="18"/>
        </w:rPr>
        <w:t xml:space="preserve"> </w:t>
      </w:r>
      <w:proofErr w:type="gramStart"/>
      <w:r w:rsidRPr="00365CAC">
        <w:rPr>
          <w:rFonts w:ascii="Arial" w:hAnsi="Arial" w:cs="Arial"/>
          <w:i/>
          <w:iCs/>
          <w:sz w:val="18"/>
          <w:szCs w:val="18"/>
        </w:rPr>
        <w:t>Ash:</w:t>
      </w:r>
      <w:proofErr w:type="gramEnd"/>
      <w:r w:rsidRPr="00365CAC">
        <w:rPr>
          <w:rFonts w:ascii="Arial" w:hAnsi="Arial" w:cs="Arial"/>
          <w:i/>
          <w:iCs/>
          <w:sz w:val="18"/>
          <w:szCs w:val="18"/>
        </w:rPr>
        <w:t xml:space="preserve"> Ash </w:t>
      </w:r>
      <w:proofErr w:type="gramStart"/>
      <w:r w:rsidRPr="00365CAC">
        <w:rPr>
          <w:rFonts w:ascii="Arial" w:hAnsi="Arial" w:cs="Arial"/>
          <w:i/>
          <w:iCs/>
          <w:sz w:val="18"/>
          <w:szCs w:val="18"/>
        </w:rPr>
        <w:t>content;</w:t>
      </w:r>
      <w:proofErr w:type="gramEnd"/>
      <w:r w:rsidRPr="00365CAC">
        <w:rPr>
          <w:rFonts w:ascii="Arial" w:hAnsi="Arial" w:cs="Arial"/>
          <w:i/>
          <w:iCs/>
          <w:sz w:val="18"/>
          <w:szCs w:val="18"/>
        </w:rPr>
        <w:t xml:space="preserve"> </w:t>
      </w:r>
      <w:proofErr w:type="spellStart"/>
      <w:proofErr w:type="gramStart"/>
      <w:r w:rsidRPr="00365CAC">
        <w:rPr>
          <w:rFonts w:ascii="Arial" w:hAnsi="Arial" w:cs="Arial"/>
          <w:i/>
          <w:iCs/>
          <w:sz w:val="18"/>
          <w:szCs w:val="18"/>
        </w:rPr>
        <w:t>Lipids</w:t>
      </w:r>
      <w:proofErr w:type="spellEnd"/>
      <w:r w:rsidRPr="00365CAC">
        <w:rPr>
          <w:rFonts w:ascii="Arial" w:hAnsi="Arial" w:cs="Arial"/>
          <w:i/>
          <w:iCs/>
          <w:sz w:val="18"/>
          <w:szCs w:val="18"/>
        </w:rPr>
        <w:t>:</w:t>
      </w:r>
      <w:proofErr w:type="gramEnd"/>
      <w:r w:rsidRPr="00365CAC">
        <w:rPr>
          <w:rFonts w:ascii="Arial" w:hAnsi="Arial" w:cs="Arial"/>
          <w:i/>
          <w:iCs/>
          <w:sz w:val="18"/>
          <w:szCs w:val="18"/>
        </w:rPr>
        <w:t xml:space="preserve"> </w:t>
      </w:r>
      <w:proofErr w:type="spellStart"/>
      <w:r w:rsidRPr="00365CAC">
        <w:rPr>
          <w:rFonts w:ascii="Arial" w:hAnsi="Arial" w:cs="Arial"/>
          <w:i/>
          <w:iCs/>
          <w:sz w:val="18"/>
          <w:szCs w:val="18"/>
        </w:rPr>
        <w:t>Lipid</w:t>
      </w:r>
      <w:proofErr w:type="spellEnd"/>
      <w:r w:rsidRPr="00365CAC">
        <w:rPr>
          <w:rFonts w:ascii="Arial" w:hAnsi="Arial" w:cs="Arial"/>
          <w:i/>
          <w:iCs/>
          <w:sz w:val="18"/>
          <w:szCs w:val="18"/>
        </w:rPr>
        <w:t xml:space="preserve"> </w:t>
      </w:r>
      <w:proofErr w:type="gramStart"/>
      <w:r w:rsidRPr="00365CAC">
        <w:rPr>
          <w:rFonts w:ascii="Arial" w:hAnsi="Arial" w:cs="Arial"/>
          <w:i/>
          <w:iCs/>
          <w:sz w:val="18"/>
          <w:szCs w:val="18"/>
        </w:rPr>
        <w:t>content;</w:t>
      </w:r>
      <w:proofErr w:type="gramEnd"/>
      <w:r w:rsidRPr="00365CAC">
        <w:rPr>
          <w:rFonts w:ascii="Arial" w:hAnsi="Arial" w:cs="Arial"/>
          <w:i/>
          <w:iCs/>
          <w:sz w:val="18"/>
          <w:szCs w:val="18"/>
        </w:rPr>
        <w:t xml:space="preserve"> </w:t>
      </w:r>
      <w:proofErr w:type="spellStart"/>
      <w:proofErr w:type="gramStart"/>
      <w:r w:rsidRPr="00365CAC">
        <w:rPr>
          <w:rFonts w:ascii="Arial" w:hAnsi="Arial" w:cs="Arial"/>
          <w:i/>
          <w:iCs/>
          <w:sz w:val="18"/>
          <w:szCs w:val="18"/>
        </w:rPr>
        <w:t>Proteins</w:t>
      </w:r>
      <w:proofErr w:type="spellEnd"/>
      <w:r w:rsidRPr="00365CAC">
        <w:rPr>
          <w:rFonts w:ascii="Arial" w:hAnsi="Arial" w:cs="Arial"/>
          <w:i/>
          <w:iCs/>
          <w:sz w:val="18"/>
          <w:szCs w:val="18"/>
        </w:rPr>
        <w:t>:</w:t>
      </w:r>
      <w:proofErr w:type="gramEnd"/>
      <w:r w:rsidRPr="00365CAC">
        <w:rPr>
          <w:rFonts w:ascii="Arial" w:hAnsi="Arial" w:cs="Arial"/>
          <w:i/>
          <w:iCs/>
          <w:sz w:val="18"/>
          <w:szCs w:val="18"/>
        </w:rPr>
        <w:t xml:space="preserve"> </w:t>
      </w:r>
      <w:proofErr w:type="spellStart"/>
      <w:r w:rsidRPr="00365CAC">
        <w:rPr>
          <w:rFonts w:ascii="Arial" w:hAnsi="Arial" w:cs="Arial"/>
          <w:i/>
          <w:iCs/>
          <w:sz w:val="18"/>
          <w:szCs w:val="18"/>
        </w:rPr>
        <w:t>Protein</w:t>
      </w:r>
      <w:proofErr w:type="spellEnd"/>
      <w:r w:rsidRPr="00365CAC">
        <w:rPr>
          <w:rFonts w:ascii="Arial" w:hAnsi="Arial" w:cs="Arial"/>
          <w:i/>
          <w:iCs/>
          <w:sz w:val="18"/>
          <w:szCs w:val="18"/>
        </w:rPr>
        <w:t xml:space="preserve"> </w:t>
      </w:r>
      <w:proofErr w:type="gramStart"/>
      <w:r w:rsidRPr="00365CAC">
        <w:rPr>
          <w:rFonts w:ascii="Arial" w:hAnsi="Arial" w:cs="Arial"/>
          <w:i/>
          <w:iCs/>
          <w:sz w:val="18"/>
          <w:szCs w:val="18"/>
        </w:rPr>
        <w:t>content;</w:t>
      </w:r>
      <w:proofErr w:type="gramEnd"/>
      <w:r w:rsidRPr="00365CAC">
        <w:rPr>
          <w:rFonts w:ascii="Arial" w:hAnsi="Arial" w:cs="Arial"/>
          <w:i/>
          <w:iCs/>
          <w:sz w:val="18"/>
          <w:szCs w:val="18"/>
        </w:rPr>
        <w:t xml:space="preserve"> </w:t>
      </w:r>
      <w:proofErr w:type="gramStart"/>
      <w:r w:rsidRPr="00365CAC">
        <w:rPr>
          <w:rFonts w:ascii="Arial" w:hAnsi="Arial" w:cs="Arial"/>
          <w:i/>
          <w:iCs/>
          <w:sz w:val="18"/>
          <w:szCs w:val="18"/>
        </w:rPr>
        <w:t>Carbohydrates:</w:t>
      </w:r>
      <w:proofErr w:type="gramEnd"/>
      <w:r w:rsidRPr="00365CAC">
        <w:rPr>
          <w:rFonts w:ascii="Arial" w:hAnsi="Arial" w:cs="Arial"/>
          <w:i/>
          <w:iCs/>
          <w:sz w:val="18"/>
          <w:szCs w:val="18"/>
        </w:rPr>
        <w:t xml:space="preserve"> Carbohydrate content.</w:t>
      </w:r>
    </w:p>
    <w:p w14:paraId="72CBEF87" w14:textId="3B5D70CC" w:rsidR="00C50884" w:rsidRPr="00365CAC" w:rsidRDefault="00365CAC" w:rsidP="002334EB">
      <w:pPr>
        <w:spacing w:line="360" w:lineRule="auto"/>
        <w:jc w:val="both"/>
        <w:rPr>
          <w:rFonts w:ascii="Times New Roman" w:hAnsi="Times New Roman" w:cs="Times New Roman"/>
        </w:rPr>
      </w:pPr>
      <w:r w:rsidRPr="00365CAC">
        <w:rPr>
          <w:rFonts w:ascii="Arial" w:hAnsi="Arial" w:cs="Arial"/>
          <w:b/>
          <w:bCs/>
          <w:sz w:val="20"/>
          <w:szCs w:val="20"/>
        </w:rPr>
        <w:t xml:space="preserve">Figure </w:t>
      </w:r>
      <w:proofErr w:type="gramStart"/>
      <w:r w:rsidRPr="00365CAC">
        <w:rPr>
          <w:rFonts w:ascii="Arial" w:hAnsi="Arial" w:cs="Arial"/>
          <w:b/>
          <w:bCs/>
          <w:sz w:val="20"/>
          <w:szCs w:val="20"/>
        </w:rPr>
        <w:t>4:</w:t>
      </w:r>
      <w:proofErr w:type="gramEnd"/>
      <w:r w:rsidRPr="00365CAC">
        <w:rPr>
          <w:rFonts w:ascii="Arial" w:hAnsi="Arial" w:cs="Arial"/>
          <w:b/>
          <w:bCs/>
          <w:sz w:val="20"/>
          <w:szCs w:val="20"/>
        </w:rPr>
        <w:t xml:space="preserve"> Projection of variables onto the 1-2 plane of the Principal Component </w:t>
      </w:r>
      <w:proofErr w:type="spellStart"/>
      <w:r w:rsidRPr="00365CAC">
        <w:rPr>
          <w:rFonts w:ascii="Arial" w:hAnsi="Arial" w:cs="Arial"/>
          <w:b/>
          <w:bCs/>
          <w:sz w:val="20"/>
          <w:szCs w:val="20"/>
        </w:rPr>
        <w:t>Analysis</w:t>
      </w:r>
      <w:proofErr w:type="spellEnd"/>
      <w:r w:rsidRPr="00365CAC">
        <w:rPr>
          <w:rFonts w:ascii="Arial" w:hAnsi="Arial" w:cs="Arial"/>
          <w:b/>
          <w:bCs/>
          <w:sz w:val="20"/>
          <w:szCs w:val="20"/>
        </w:rPr>
        <w:t xml:space="preserve"> (PCA)</w:t>
      </w:r>
    </w:p>
    <w:p w14:paraId="6B7665E0" w14:textId="17126D24" w:rsidR="00C50884" w:rsidRPr="00365CAC" w:rsidRDefault="00C50884" w:rsidP="002334EB">
      <w:pPr>
        <w:spacing w:line="360" w:lineRule="auto"/>
        <w:jc w:val="both"/>
        <w:rPr>
          <w:rFonts w:ascii="Times New Roman" w:hAnsi="Times New Roman" w:cs="Times New Roman"/>
        </w:rPr>
      </w:pPr>
      <w:r w:rsidRPr="00365CAC">
        <w:rPr>
          <w:rFonts w:ascii="Times New Roman" w:eastAsia="Calibri" w:hAnsi="Times New Roman" w:cs="Times New Roman"/>
          <w:noProof/>
          <w:kern w:val="0"/>
          <w14:ligatures w14:val="none"/>
        </w:rPr>
        <w:drawing>
          <wp:inline distT="0" distB="0" distL="0" distR="0" wp14:anchorId="38F1C735" wp14:editId="40DCCCBF">
            <wp:extent cx="5760720" cy="3433841"/>
            <wp:effectExtent l="19050" t="19050" r="11430" b="1460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0720" cy="3433841"/>
                    </a:xfrm>
                    <a:prstGeom prst="rect">
                      <a:avLst/>
                    </a:prstGeom>
                    <a:noFill/>
                    <a:ln w="9525">
                      <a:solidFill>
                        <a:schemeClr val="tx1"/>
                      </a:solidFill>
                    </a:ln>
                  </pic:spPr>
                </pic:pic>
              </a:graphicData>
            </a:graphic>
          </wp:inline>
        </w:drawing>
      </w:r>
    </w:p>
    <w:p w14:paraId="1678AED1" w14:textId="77777777" w:rsidR="00C50884" w:rsidRPr="00365CAC" w:rsidRDefault="00C50884" w:rsidP="002334EB">
      <w:pPr>
        <w:spacing w:line="360" w:lineRule="auto"/>
        <w:jc w:val="both"/>
        <w:rPr>
          <w:rFonts w:ascii="Arial" w:hAnsi="Arial" w:cs="Arial"/>
          <w:i/>
          <w:iCs/>
          <w:sz w:val="18"/>
          <w:szCs w:val="18"/>
          <w:lang w:val="en-US"/>
        </w:rPr>
      </w:pPr>
      <w:r w:rsidRPr="00365CAC">
        <w:rPr>
          <w:rFonts w:ascii="Arial" w:hAnsi="Arial" w:cs="Arial"/>
          <w:i/>
          <w:iCs/>
          <w:sz w:val="18"/>
          <w:szCs w:val="18"/>
          <w:lang w:val="en-US"/>
        </w:rPr>
        <w:lastRenderedPageBreak/>
        <w:t>Code = The first two initials of the province of origin of the accession + the first initial of the village + the sample's serial number within the locality. FLD: Flowering date; NFR: Number of fruits; PLH: Plant height; SHD: Stem diameter; FRL: Fruit length; FRD: Fruit diameter; WHS: Weight of 100 seeds; Ca: Calcium content; Mg: Magnesium content; Na: Sodium content; Fe: Iron content; Zn: Zinc content; K: Potassium content; Moisture: Water content; Ash: Ash content; Lipids: Lipid content; Proteins: Protein content; Carbohydrates: Carbohydrate content.</w:t>
      </w:r>
    </w:p>
    <w:p w14:paraId="2ED73C87" w14:textId="77777777" w:rsidR="00C50884" w:rsidRPr="00365CAC" w:rsidRDefault="00C50884" w:rsidP="002334EB">
      <w:pPr>
        <w:spacing w:line="360" w:lineRule="auto"/>
        <w:jc w:val="both"/>
        <w:rPr>
          <w:rFonts w:ascii="Arial" w:hAnsi="Arial" w:cs="Arial"/>
          <w:sz w:val="20"/>
          <w:szCs w:val="20"/>
          <w:lang w:val="en-US"/>
        </w:rPr>
      </w:pPr>
      <w:r w:rsidRPr="00365CAC">
        <w:rPr>
          <w:rFonts w:ascii="Arial" w:hAnsi="Arial" w:cs="Arial"/>
          <w:sz w:val="20"/>
          <w:szCs w:val="20"/>
          <w:lang w:val="en-US"/>
        </w:rPr>
        <w:t>Figure 5: Statistical representativeness of accessions in the 1-2 factorial design</w:t>
      </w:r>
    </w:p>
    <w:p w14:paraId="1239CE27" w14:textId="0E0930D5" w:rsidR="00C50884" w:rsidRPr="00365CAC" w:rsidRDefault="00A54BE7" w:rsidP="002334EB">
      <w:pPr>
        <w:spacing w:line="360" w:lineRule="auto"/>
        <w:jc w:val="both"/>
        <w:rPr>
          <w:rFonts w:ascii="Arial" w:hAnsi="Arial" w:cs="Arial"/>
          <w:b/>
          <w:bCs/>
          <w:sz w:val="22"/>
          <w:szCs w:val="22"/>
          <w:lang w:val="en-US"/>
        </w:rPr>
      </w:pPr>
      <w:r w:rsidRPr="00365CAC">
        <w:rPr>
          <w:rFonts w:ascii="Arial" w:hAnsi="Arial" w:cs="Arial"/>
          <w:b/>
          <w:bCs/>
          <w:sz w:val="22"/>
          <w:szCs w:val="22"/>
          <w:lang w:val="en-US"/>
        </w:rPr>
        <w:t xml:space="preserve">3.5 </w:t>
      </w:r>
      <w:r w:rsidR="00C50884" w:rsidRPr="00365CAC">
        <w:rPr>
          <w:rFonts w:ascii="Arial" w:hAnsi="Arial" w:cs="Arial"/>
          <w:b/>
          <w:bCs/>
          <w:sz w:val="22"/>
          <w:szCs w:val="22"/>
          <w:lang w:val="en-US"/>
        </w:rPr>
        <w:t>Analysis of the global heat map of accession performance</w:t>
      </w:r>
    </w:p>
    <w:p w14:paraId="4EA6701B" w14:textId="77777777" w:rsidR="00C50884" w:rsidRPr="00365CAC" w:rsidRDefault="00C50884" w:rsidP="002334EB">
      <w:pPr>
        <w:spacing w:line="360" w:lineRule="auto"/>
        <w:jc w:val="both"/>
        <w:rPr>
          <w:rFonts w:ascii="Arial" w:hAnsi="Arial" w:cs="Arial"/>
          <w:sz w:val="20"/>
          <w:szCs w:val="20"/>
          <w:lang w:val="en-US"/>
        </w:rPr>
      </w:pPr>
      <w:r w:rsidRPr="00365CAC">
        <w:rPr>
          <w:rFonts w:ascii="Arial" w:hAnsi="Arial" w:cs="Arial"/>
          <w:sz w:val="20"/>
          <w:szCs w:val="20"/>
          <w:lang w:val="en-US"/>
        </w:rPr>
        <w:t xml:space="preserve">The factual analysis of the overall heat map of performance provides a visual summary of standardized performance (Z-scores) for each genotype (accession) across all measured variables (Figure 6). Indeed, regarding the specific high performances recorded, NAG1 exhibits the highest calcium content (Ca: 3.72). The OUT1 accession stands out for its high iron content (Fe: 3.62), while NAG2 has higher values for lipid content (Lipid: 3.57) and stem diameter (SHD: 2.31). </w:t>
      </w:r>
    </w:p>
    <w:p w14:paraId="3990E297" w14:textId="77777777" w:rsidR="000200F0" w:rsidRPr="00365CAC" w:rsidRDefault="000200F0" w:rsidP="002334EB">
      <w:pPr>
        <w:spacing w:line="360" w:lineRule="auto"/>
        <w:jc w:val="both"/>
        <w:rPr>
          <w:rFonts w:ascii="Arial" w:hAnsi="Arial" w:cs="Arial"/>
          <w:sz w:val="20"/>
          <w:szCs w:val="20"/>
          <w:lang w:val="en-US"/>
        </w:rPr>
      </w:pPr>
      <w:r w:rsidRPr="00365CAC">
        <w:rPr>
          <w:rFonts w:ascii="Arial" w:hAnsi="Arial" w:cs="Arial"/>
          <w:sz w:val="20"/>
          <w:szCs w:val="20"/>
          <w:lang w:val="en-US"/>
        </w:rPr>
        <w:t>The highest ash contents were observed in accessions KOG4 and OUO2 (Ash: 2.29 and 2.07, respectively). Seeds from genotype KOT1 had high moisture content (Moisture: 2.46), while KOG4 produced long fruits (FRL: 3.12). In summary, the OUT1/NAG2/NAG1/KON3 group has positive Z-scores (above average) for almost all minerals, lipids, and proteins. However, some genotypes showed low performance. Indeed, genotypes such as OUT1 and NAG2 exhibit a systematic deficit in seed yield and nutritional traits (WHS: -1.91; Na: -2.29; K: -3.27; Mg: -3.60; Zn: -2.77) and (Carbohydrate: -2.50).</w:t>
      </w:r>
    </w:p>
    <w:p w14:paraId="4D454D2A" w14:textId="4C4BA155" w:rsidR="00C50884" w:rsidRPr="00365CAC" w:rsidRDefault="000200F0" w:rsidP="002334EB">
      <w:pPr>
        <w:spacing w:line="360" w:lineRule="auto"/>
        <w:jc w:val="both"/>
        <w:rPr>
          <w:rFonts w:ascii="Times New Roman" w:hAnsi="Times New Roman" w:cs="Times New Roman"/>
          <w:lang w:val="en-US"/>
        </w:rPr>
      </w:pPr>
      <w:r w:rsidRPr="00365CAC">
        <w:rPr>
          <w:rFonts w:ascii="Times New Roman" w:eastAsia="Calibri" w:hAnsi="Times New Roman" w:cs="Times New Roman"/>
          <w:noProof/>
          <w:kern w:val="0"/>
          <w14:ligatures w14:val="none"/>
        </w:rPr>
        <w:drawing>
          <wp:inline distT="0" distB="0" distL="0" distR="0" wp14:anchorId="0C792840" wp14:editId="7F6C1E85">
            <wp:extent cx="5760720" cy="3757794"/>
            <wp:effectExtent l="19050" t="19050" r="11430" b="1460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0720" cy="3757794"/>
                    </a:xfrm>
                    <a:prstGeom prst="rect">
                      <a:avLst/>
                    </a:prstGeom>
                    <a:noFill/>
                    <a:ln w="9525">
                      <a:solidFill>
                        <a:schemeClr val="tx1"/>
                      </a:solidFill>
                    </a:ln>
                  </pic:spPr>
                </pic:pic>
              </a:graphicData>
            </a:graphic>
          </wp:inline>
        </w:drawing>
      </w:r>
    </w:p>
    <w:p w14:paraId="4B90E2B7" w14:textId="77777777" w:rsidR="008B630F" w:rsidRPr="00365CAC" w:rsidRDefault="008B630F" w:rsidP="008B630F">
      <w:pPr>
        <w:spacing w:line="360" w:lineRule="auto"/>
        <w:jc w:val="both"/>
        <w:rPr>
          <w:rFonts w:ascii="Arial" w:hAnsi="Arial" w:cs="Arial"/>
          <w:b/>
          <w:bCs/>
          <w:sz w:val="20"/>
          <w:szCs w:val="20"/>
          <w:lang w:val="en-US"/>
        </w:rPr>
      </w:pPr>
      <w:r w:rsidRPr="00365CAC">
        <w:rPr>
          <w:rFonts w:ascii="Arial" w:hAnsi="Arial" w:cs="Arial"/>
          <w:b/>
          <w:bCs/>
          <w:sz w:val="20"/>
          <w:szCs w:val="20"/>
          <w:lang w:val="en-US"/>
        </w:rPr>
        <w:t>Figure 6: Overall heat map of accession performance</w:t>
      </w:r>
    </w:p>
    <w:p w14:paraId="0F0B9806" w14:textId="6C0F42D5" w:rsidR="000200F0" w:rsidRPr="00365CAC" w:rsidRDefault="000200F0" w:rsidP="002334EB">
      <w:pPr>
        <w:spacing w:line="360" w:lineRule="auto"/>
        <w:jc w:val="both"/>
        <w:rPr>
          <w:rFonts w:ascii="Arial" w:eastAsia="Calibri" w:hAnsi="Arial" w:cs="Arial"/>
          <w:bCs/>
          <w:kern w:val="0"/>
          <w:sz w:val="18"/>
          <w:szCs w:val="18"/>
          <w:lang w:val="en-US"/>
          <w14:ligatures w14:val="none"/>
        </w:rPr>
      </w:pPr>
      <w:r w:rsidRPr="00365CAC">
        <w:rPr>
          <w:rFonts w:ascii="Arial" w:eastAsia="Calibri" w:hAnsi="Arial" w:cs="Arial"/>
          <w:i/>
          <w:kern w:val="0"/>
          <w:sz w:val="18"/>
          <w:szCs w:val="18"/>
          <w:lang w:val="en-US"/>
          <w14:ligatures w14:val="none"/>
        </w:rPr>
        <w:lastRenderedPageBreak/>
        <w:t>Code = The first two initials of the province of origin of the accession + the first initial of the village + the sample's order number in the locality. FLD : Flowering Date ; NFR:</w:t>
      </w:r>
      <w:r w:rsidRPr="00365CAC">
        <w:rPr>
          <w:rFonts w:ascii="Arial" w:hAnsi="Arial" w:cs="Arial"/>
          <w:sz w:val="18"/>
          <w:szCs w:val="18"/>
          <w:lang w:val="en-US"/>
        </w:rPr>
        <w:t xml:space="preserve"> </w:t>
      </w:r>
      <w:r w:rsidRPr="00365CAC">
        <w:rPr>
          <w:rFonts w:ascii="Arial" w:eastAsia="Calibri" w:hAnsi="Arial" w:cs="Arial"/>
          <w:i/>
          <w:kern w:val="0"/>
          <w:sz w:val="18"/>
          <w:szCs w:val="18"/>
          <w:lang w:val="en-US"/>
          <w14:ligatures w14:val="none"/>
        </w:rPr>
        <w:t>Number of fruits ; PLH : Plant Height ; SHD : Shank Diameter ; FRL :</w:t>
      </w:r>
      <w:r w:rsidRPr="00365CAC">
        <w:rPr>
          <w:rFonts w:ascii="Arial" w:hAnsi="Arial" w:cs="Arial"/>
          <w:sz w:val="18"/>
          <w:szCs w:val="18"/>
          <w:lang w:val="en-US"/>
        </w:rPr>
        <w:t xml:space="preserve"> </w:t>
      </w:r>
      <w:r w:rsidRPr="00365CAC">
        <w:rPr>
          <w:rFonts w:ascii="Arial" w:eastAsia="Calibri" w:hAnsi="Arial" w:cs="Arial"/>
          <w:i/>
          <w:kern w:val="0"/>
          <w:sz w:val="18"/>
          <w:szCs w:val="18"/>
          <w:lang w:val="en-US"/>
          <w14:ligatures w14:val="none"/>
        </w:rPr>
        <w:t>Fruit length ; FRD : Fruit diameter ; WHS : Weight of 100 seeds ; Ca : Calcium content ; Mg : Magnesium content ; Na : Sodium content ; Fe : Iron content ; Zn : Zinc content ; K : Potassium content ; Humidity : Water content ; Ash : Ash content ; Lipid : Lipid content ; Protein : Protein content ; Carbohydrate : Carbohydrate content.</w:t>
      </w:r>
    </w:p>
    <w:p w14:paraId="1630D124" w14:textId="2E4F831F" w:rsidR="000200F0" w:rsidRPr="00365CAC" w:rsidRDefault="00A54BE7" w:rsidP="002334EB">
      <w:pPr>
        <w:spacing w:line="360" w:lineRule="auto"/>
        <w:jc w:val="both"/>
        <w:rPr>
          <w:rFonts w:ascii="Times New Roman" w:hAnsi="Times New Roman" w:cs="Times New Roman"/>
          <w:b/>
          <w:bCs/>
          <w:lang w:val="en-US"/>
        </w:rPr>
      </w:pPr>
      <w:r w:rsidRPr="00365CAC">
        <w:rPr>
          <w:rFonts w:ascii="Times New Roman" w:hAnsi="Times New Roman" w:cs="Times New Roman"/>
          <w:b/>
          <w:bCs/>
          <w:lang w:val="en-US"/>
        </w:rPr>
        <w:t xml:space="preserve">3.5 </w:t>
      </w:r>
      <w:r w:rsidR="000200F0" w:rsidRPr="00365CAC">
        <w:rPr>
          <w:rFonts w:ascii="Times New Roman" w:hAnsi="Times New Roman" w:cs="Times New Roman"/>
          <w:b/>
          <w:bCs/>
          <w:lang w:val="en-US"/>
        </w:rPr>
        <w:t xml:space="preserve">Diversity pattern of the 15 </w:t>
      </w:r>
      <w:r w:rsidR="000200F0" w:rsidRPr="00365CAC">
        <w:rPr>
          <w:rFonts w:ascii="Times New Roman" w:hAnsi="Times New Roman" w:cs="Times New Roman"/>
          <w:b/>
          <w:bCs/>
          <w:i/>
          <w:iCs/>
          <w:lang w:val="en-US"/>
        </w:rPr>
        <w:t>Hibiscus cannabinus</w:t>
      </w:r>
      <w:r w:rsidR="000200F0" w:rsidRPr="00365CAC">
        <w:rPr>
          <w:rFonts w:ascii="Times New Roman" w:hAnsi="Times New Roman" w:cs="Times New Roman"/>
          <w:b/>
          <w:bCs/>
          <w:lang w:val="en-US"/>
        </w:rPr>
        <w:t xml:space="preserve"> accessions</w:t>
      </w:r>
    </w:p>
    <w:p w14:paraId="69D41AE9" w14:textId="77777777" w:rsidR="000200F0" w:rsidRPr="00365CAC" w:rsidRDefault="000200F0" w:rsidP="002334EB">
      <w:pPr>
        <w:spacing w:line="360" w:lineRule="auto"/>
        <w:jc w:val="both"/>
        <w:rPr>
          <w:rFonts w:ascii="Times New Roman" w:hAnsi="Times New Roman" w:cs="Times New Roman"/>
          <w:sz w:val="20"/>
          <w:szCs w:val="20"/>
          <w:lang w:val="en-US"/>
        </w:rPr>
      </w:pPr>
      <w:r w:rsidRPr="00365CAC">
        <w:rPr>
          <w:rFonts w:ascii="Times New Roman" w:hAnsi="Times New Roman" w:cs="Times New Roman"/>
          <w:sz w:val="20"/>
          <w:szCs w:val="20"/>
          <w:lang w:val="en-US"/>
        </w:rPr>
        <w:t xml:space="preserve">The dendrogram confirms a structure comprising three main classes, highlighting phenotypic and biochemical variability among the collected </w:t>
      </w:r>
      <w:r w:rsidRPr="00365CAC">
        <w:rPr>
          <w:rFonts w:ascii="Times New Roman" w:hAnsi="Times New Roman" w:cs="Times New Roman"/>
          <w:i/>
          <w:iCs/>
          <w:sz w:val="20"/>
          <w:szCs w:val="20"/>
          <w:lang w:val="en-US"/>
        </w:rPr>
        <w:t>Hibiscus cannabinus</w:t>
      </w:r>
      <w:r w:rsidRPr="00365CAC">
        <w:rPr>
          <w:rFonts w:ascii="Times New Roman" w:hAnsi="Times New Roman" w:cs="Times New Roman"/>
          <w:sz w:val="20"/>
          <w:szCs w:val="20"/>
          <w:lang w:val="en-US"/>
        </w:rPr>
        <w:t xml:space="preserve"> L. seed accessions (Figure 7). The first class is represented by the isolated accession OUT1, whose seeds have high iron and water content but very low levels of Ca, Mg, K, Na, and Zn. The second class consists of the accessions KOG4, KON3, NAG2, and OU02, which are very rich in ash, lipids, and proteins but low in carbohydrates. The third group includes the accessions KAD1, KOK3, KOT1, KOW2, KOW3, NAG1, NAL2, NAL4, NAS2, and SID2, which have an intermediate mineral profile and are high in Zn, Mg, K, and carbohydrates. This diversity is sufficiently pronounced to provide a basis for classifying the seeds by nutritional type and for targeted utilization. The NAG2 accession appears particularly interesting for magnesium, potassium, and lipids; NAG1 stands out for calcium; NAS2 for zinc; KON3 for protein content; and OUT1 for iron, though with an overall unbalanced profile. The group comprising KOG4, KON3, NAG2, and OU02 deserves special attention for development focused on lipid and protein reserves.</w:t>
      </w:r>
    </w:p>
    <w:p w14:paraId="09193C68" w14:textId="77777777" w:rsidR="000200F0" w:rsidRPr="00365CAC" w:rsidRDefault="000200F0" w:rsidP="002334EB">
      <w:pPr>
        <w:spacing w:line="360" w:lineRule="auto"/>
        <w:jc w:val="both"/>
        <w:rPr>
          <w:rFonts w:ascii="Times New Roman" w:hAnsi="Times New Roman" w:cs="Times New Roman"/>
          <w:lang w:val="en-US"/>
        </w:rPr>
      </w:pPr>
    </w:p>
    <w:p w14:paraId="4D4FF234" w14:textId="33207B6A" w:rsidR="000200F0" w:rsidRPr="00365CAC" w:rsidRDefault="000200F0" w:rsidP="002334EB">
      <w:pPr>
        <w:spacing w:line="360" w:lineRule="auto"/>
        <w:jc w:val="both"/>
        <w:rPr>
          <w:rFonts w:ascii="Times New Roman" w:hAnsi="Times New Roman" w:cs="Times New Roman"/>
          <w:lang w:val="en-US"/>
        </w:rPr>
      </w:pPr>
      <w:r w:rsidRPr="00365CAC">
        <w:rPr>
          <w:rFonts w:ascii="Times New Roman" w:hAnsi="Times New Roman" w:cs="Times New Roman"/>
          <w:noProof/>
        </w:rPr>
        <w:drawing>
          <wp:inline distT="0" distB="0" distL="0" distR="0" wp14:anchorId="002B650F" wp14:editId="1BD091DF">
            <wp:extent cx="5334744" cy="2991267"/>
            <wp:effectExtent l="0" t="0" r="0" b="0"/>
            <wp:docPr id="72615977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159772" name=""/>
                    <pic:cNvPicPr/>
                  </pic:nvPicPr>
                  <pic:blipFill>
                    <a:blip r:embed="rId21"/>
                    <a:stretch>
                      <a:fillRect/>
                    </a:stretch>
                  </pic:blipFill>
                  <pic:spPr>
                    <a:xfrm>
                      <a:off x="0" y="0"/>
                      <a:ext cx="5334744" cy="2991267"/>
                    </a:xfrm>
                    <a:prstGeom prst="rect">
                      <a:avLst/>
                    </a:prstGeom>
                  </pic:spPr>
                </pic:pic>
              </a:graphicData>
            </a:graphic>
          </wp:inline>
        </w:drawing>
      </w:r>
    </w:p>
    <w:p w14:paraId="239BEC84" w14:textId="77777777" w:rsidR="00544C2C" w:rsidRPr="00365CAC" w:rsidRDefault="00544C2C" w:rsidP="00544C2C">
      <w:pPr>
        <w:spacing w:line="360" w:lineRule="auto"/>
        <w:jc w:val="both"/>
        <w:rPr>
          <w:rFonts w:ascii="Arial" w:hAnsi="Arial" w:cs="Arial"/>
          <w:b/>
          <w:bCs/>
          <w:sz w:val="20"/>
          <w:szCs w:val="20"/>
          <w:lang w:val="en-US"/>
        </w:rPr>
      </w:pPr>
      <w:r w:rsidRPr="00365CAC">
        <w:rPr>
          <w:rFonts w:ascii="Arial" w:hAnsi="Arial" w:cs="Arial"/>
          <w:b/>
          <w:bCs/>
          <w:sz w:val="20"/>
          <w:szCs w:val="20"/>
          <w:lang w:val="en-US"/>
        </w:rPr>
        <w:t>Figure 7: Dendrogram of the hierarchical classification of accessions based on the variables</w:t>
      </w:r>
    </w:p>
    <w:p w14:paraId="0D81CCF0" w14:textId="74113C35" w:rsidR="000200F0" w:rsidRPr="00365CAC" w:rsidRDefault="000200F0" w:rsidP="002334EB">
      <w:pPr>
        <w:spacing w:line="360" w:lineRule="auto"/>
        <w:jc w:val="both"/>
        <w:rPr>
          <w:rFonts w:ascii="Arial" w:hAnsi="Arial" w:cs="Arial"/>
          <w:i/>
          <w:iCs/>
          <w:sz w:val="18"/>
          <w:szCs w:val="18"/>
          <w:lang w:val="en-US"/>
        </w:rPr>
      </w:pPr>
      <w:r w:rsidRPr="00365CAC">
        <w:rPr>
          <w:rFonts w:ascii="Arial" w:hAnsi="Arial" w:cs="Arial"/>
          <w:i/>
          <w:iCs/>
          <w:sz w:val="18"/>
          <w:szCs w:val="18"/>
          <w:lang w:val="en-US"/>
        </w:rPr>
        <w:t>Code = The first two initials of the province of origin of the accession + the first initial of the village + the sample's order number within the locality.</w:t>
      </w:r>
    </w:p>
    <w:p w14:paraId="5A21BC12" w14:textId="77777777" w:rsidR="000200F0" w:rsidRPr="00365CAC" w:rsidRDefault="000200F0" w:rsidP="002334EB">
      <w:pPr>
        <w:spacing w:line="360" w:lineRule="auto"/>
        <w:jc w:val="both"/>
        <w:rPr>
          <w:rFonts w:ascii="Times New Roman" w:hAnsi="Times New Roman" w:cs="Times New Roman"/>
          <w:lang w:val="en-US"/>
        </w:rPr>
      </w:pPr>
    </w:p>
    <w:p w14:paraId="7A4B70B1" w14:textId="02F20717" w:rsidR="000200F0" w:rsidRPr="00365CAC" w:rsidRDefault="000200F0" w:rsidP="00A54BE7">
      <w:pPr>
        <w:pStyle w:val="ListParagraph"/>
        <w:numPr>
          <w:ilvl w:val="0"/>
          <w:numId w:val="2"/>
        </w:numPr>
        <w:spacing w:line="360" w:lineRule="auto"/>
        <w:jc w:val="both"/>
        <w:rPr>
          <w:rFonts w:ascii="Arial" w:hAnsi="Arial" w:cs="Arial"/>
          <w:b/>
          <w:bCs/>
          <w:caps/>
          <w:sz w:val="22"/>
          <w:szCs w:val="22"/>
          <w:lang w:val="en-US"/>
        </w:rPr>
      </w:pPr>
      <w:r w:rsidRPr="00365CAC">
        <w:rPr>
          <w:rFonts w:ascii="Arial" w:hAnsi="Arial" w:cs="Arial"/>
          <w:b/>
          <w:bCs/>
          <w:caps/>
          <w:sz w:val="22"/>
          <w:szCs w:val="22"/>
          <w:lang w:val="en-US"/>
        </w:rPr>
        <w:lastRenderedPageBreak/>
        <w:t>Discussion</w:t>
      </w:r>
    </w:p>
    <w:p w14:paraId="3B2F396D" w14:textId="1CAA7165" w:rsidR="000200F0" w:rsidRPr="00365CAC" w:rsidRDefault="000200F0" w:rsidP="002334EB">
      <w:pPr>
        <w:spacing w:line="360" w:lineRule="auto"/>
        <w:jc w:val="both"/>
        <w:rPr>
          <w:rFonts w:ascii="Arial" w:hAnsi="Arial" w:cs="Arial"/>
          <w:sz w:val="20"/>
          <w:szCs w:val="20"/>
          <w:lang w:val="en-US"/>
        </w:rPr>
      </w:pPr>
      <w:r w:rsidRPr="00365CAC">
        <w:rPr>
          <w:rFonts w:ascii="Arial" w:hAnsi="Arial" w:cs="Arial"/>
          <w:sz w:val="20"/>
          <w:szCs w:val="20"/>
          <w:lang w:val="en-US"/>
        </w:rPr>
        <w:t xml:space="preserve">Analysis of the average performance of the </w:t>
      </w:r>
      <w:r w:rsidRPr="00365CAC">
        <w:rPr>
          <w:rFonts w:ascii="Arial" w:hAnsi="Arial" w:cs="Arial"/>
          <w:i/>
          <w:iCs/>
          <w:sz w:val="20"/>
          <w:szCs w:val="20"/>
          <w:lang w:val="en-US"/>
        </w:rPr>
        <w:t>Hibiscus cannabinus</w:t>
      </w:r>
      <w:r w:rsidRPr="00365CAC">
        <w:rPr>
          <w:rFonts w:ascii="Arial" w:hAnsi="Arial" w:cs="Arial"/>
          <w:sz w:val="20"/>
          <w:szCs w:val="20"/>
          <w:lang w:val="en-US"/>
        </w:rPr>
        <w:t xml:space="preserve"> L. seed accessions studied reveals that approximately 40% of the measured parameters exhibited high coefficients of variation (CV &gt; 30%), indicating significant heterogeneity among the accessions for these variables. Furthermore, the coefficients of variation for the majority of the parameters studied were low (CV &lt; 30%), reflecting low heterogeneity of the plant material for these various traits</w:t>
      </w:r>
      <w:r w:rsidR="00423719" w:rsidRPr="00365CAC">
        <w:rPr>
          <w:rFonts w:ascii="Arial" w:hAnsi="Arial" w:cs="Arial"/>
          <w:sz w:val="20"/>
          <w:szCs w:val="20"/>
          <w:lang w:val="en-US"/>
        </w:rPr>
        <w:t xml:space="preserve"> </w:t>
      </w:r>
      <w:r w:rsidR="00D53FE6" w:rsidRPr="00365CAC">
        <w:rPr>
          <w:rFonts w:ascii="Arial" w:hAnsi="Arial" w:cs="Arial"/>
          <w:sz w:val="20"/>
          <w:szCs w:val="20"/>
          <w:lang w:val="en-US"/>
        </w:rPr>
        <w:fldChar w:fldCharType="begin"/>
      </w:r>
      <w:r w:rsidR="00D53FE6" w:rsidRPr="00365CAC">
        <w:rPr>
          <w:rFonts w:ascii="Arial" w:hAnsi="Arial" w:cs="Arial"/>
          <w:sz w:val="20"/>
          <w:szCs w:val="20"/>
          <w:lang w:val="en-US"/>
        </w:rPr>
        <w:instrText xml:space="preserve"> ADDIN ZOTERO_ITEM CSL_CITATION {"citationID":"bSyQcCi9","properties":{"unsorted":false,"formattedCitation":"(Wang et al., 2024)","plainCitation":"(Wang et al., 2024)","noteIndex":0},"citationItems":[{"id":435,"uris":["http://zotero.org/users/local/c6S0FUmy/items/F3M3IDZP"],"itemData":{"id":435,"type":"article-journal","abstract":"IntroductionFunctional traits of desert plants exhibit remarkable responsiveness, adaptability and plasticity to environmental heterogeneity.MethodsIn this study, we measured six crucial plant functional traits (leaf carbon, leaf nitrogen, leaf phosphorus, leaf thickness, chlorophyll concentration, and plant height) and employed exemplar analysis to elucidate the effects of soil environmental heterogeneity on intraspecific traits variation in the high-moisture-salinity and low-moisture-salinity habitats of the Ebinur LakeWetland National Nature Reserve.ResultsThe results showed that (1) The soil moisture and electrical conductivity heterogeneity showed significant differences between the two moisture-salinity habitats. Moreover, soil nutrient in high moisture-salinity habitat exhibited higher heterogeneity than in low moisture-salinity habitat. The order of intraspecific trait variation among different life forms was herbs &gt; shrubs &gt; trees in both the soil moisture-salinity habitats. (2) At the community level, intraspecific variation of leaf carbon, nitrogen, plant height and chlorophyll content in high moisture-salinity habitat was higher than that in low moisture-salinity habitat, while the opposite was true for leaf thickness and leaf phosphorus content. (3) Our findings revealed a positive impact of soil heterogeneity on intraspecific traits variation. In high moisture-salinity habitat, the heterogeneity of soil organic carbon had the highest explanatory power for intraspecific traits variation, reaching up to 20.22%, followed by soil total nitrogen (9.55%) and soil total phosphorus (3.49%). By comparison, in low-moisture-salinity habitat, the heterogeneity of soil moisture alone contributes the highest explanatory power for intraspecific traits variation in community-level, reaching up to 13.89%, followed by the heterogeneity of soil total nitrogen (3.76%).DiscussionThis study emphasizes the differences in soil heterogeneity and intraspecific trait variation among plant life forms under various soil moisture-salinity habitats and confirms the significant promoting effect of soil heterogeneity on intraspecific trait variation of desert plant. Our findings provide valuable theoretical basis and reference for predicting plant adaptation strategies under environmental change scenarios.","container-title":"Frontiers in Plant Science","DOI":"10.3389/fpls.2024.1504238","ISSN":"1664-462X","journalAbbreviation":"Front. Plant Sci.","language":"English","publisher":"Frontiers","source":"Frontiers","title":"Spatial heterogeneity of soil factors enhances intraspecific variation in plant functional traits in a desert ecosystem","URL":"https://www.frontiersin.org/journals/plant-science/articles/10.3389/fpls.2024.1504238/full","volume":"15","author":[{"family":"Wang","given":"Yong-chang"},{"family":"Zhang","given":"Xue-ni"},{"family":"Yang","given":"Ji-fen"},{"family":"Tian","given":"Jing-ye"},{"family":"Song","given":"Dan-hong"},{"family":"Li","given":"Xiao-hui"},{"family":"Zhou","given":"Shuang-fu"}],"accessed":{"date-parts":[["2026",5,22]]},"issued":{"date-parts":[["2024",12,23]]}}}],"schema":"https://github.com/citation-style-language/schema/raw/master/csl-citation.json"} </w:instrText>
      </w:r>
      <w:r w:rsidR="00D53FE6" w:rsidRPr="00365CAC">
        <w:rPr>
          <w:rFonts w:ascii="Arial" w:hAnsi="Arial" w:cs="Arial"/>
          <w:sz w:val="20"/>
          <w:szCs w:val="20"/>
          <w:lang w:val="en-US"/>
        </w:rPr>
        <w:fldChar w:fldCharType="separate"/>
      </w:r>
      <w:r w:rsidR="00D53FE6" w:rsidRPr="00365CAC">
        <w:rPr>
          <w:rFonts w:ascii="Arial" w:hAnsi="Arial" w:cs="Arial"/>
          <w:sz w:val="20"/>
          <w:szCs w:val="20"/>
          <w:lang w:val="en-US"/>
        </w:rPr>
        <w:t>(Wang et al., 2024)</w:t>
      </w:r>
      <w:r w:rsidR="00D53FE6" w:rsidRPr="00365CAC">
        <w:rPr>
          <w:rFonts w:ascii="Arial" w:hAnsi="Arial" w:cs="Arial"/>
          <w:sz w:val="20"/>
          <w:szCs w:val="20"/>
          <w:lang w:val="en-US"/>
        </w:rPr>
        <w:fldChar w:fldCharType="end"/>
      </w:r>
      <w:r w:rsidRPr="00365CAC">
        <w:rPr>
          <w:rFonts w:ascii="Arial" w:hAnsi="Arial" w:cs="Arial"/>
          <w:sz w:val="20"/>
          <w:szCs w:val="20"/>
          <w:lang w:val="en-US"/>
        </w:rPr>
        <w:t>. This wide range of phenotypic variation thus increases the chances of identifying promising genetic resources for the improvement of traits of interest, particularly parameters related to mineral compounds (Mg, Ca, Fe, Zn, K, and Na), organic substances (proteins, carbohydrates, lipids), and chemical parameters such as ash and water content, in addition to parameters related to plant vigor</w:t>
      </w:r>
      <w:r w:rsidR="00F9444D" w:rsidRPr="00365CAC">
        <w:rPr>
          <w:rFonts w:ascii="Arial" w:hAnsi="Arial" w:cs="Arial"/>
          <w:sz w:val="20"/>
          <w:szCs w:val="20"/>
          <w:lang w:val="en-US"/>
        </w:rPr>
        <w:fldChar w:fldCharType="begin"/>
      </w:r>
      <w:r w:rsidR="00D57D02" w:rsidRPr="00365CAC">
        <w:rPr>
          <w:rFonts w:ascii="Arial" w:hAnsi="Arial" w:cs="Arial"/>
          <w:sz w:val="20"/>
          <w:szCs w:val="20"/>
          <w:lang w:val="en-US"/>
        </w:rPr>
        <w:instrText xml:space="preserve"> ADDIN ZOTERO_ITEM CSL_CITATION {"citationID":"pFO1bOMi","properties":{"unsorted":false,"formattedCitation":"(Maduna, s.\\uc0\\u160{}d.)","plainCitation":"(Maduna, s. d.)","dontUpdate":true,"noteIndex":0},"citationItems":[{"id":438,"uris":["http://zotero.org/users/local/c6S0FUmy/items/DLCNSDJ2"],"itemData":{"id":438,"type":"article-journal","language":"en","source":"Zotero","title":"Growth and productivity assessment of four cowpea genotypes under variable phosphorus levels and soil-moisture conditions","author":[{"family":"Maduna","given":"Mokoni Kenneth"}],"issued":{"date-parts":[["2025"]]}}}],"schema":"https://github.com/citation-style-language/schema/raw/master/csl-citation.json"} </w:instrText>
      </w:r>
      <w:r w:rsidR="00F9444D" w:rsidRPr="00365CAC">
        <w:rPr>
          <w:rFonts w:ascii="Arial" w:hAnsi="Arial" w:cs="Arial"/>
          <w:sz w:val="20"/>
          <w:szCs w:val="20"/>
          <w:lang w:val="en-US"/>
        </w:rPr>
        <w:fldChar w:fldCharType="separate"/>
      </w:r>
      <w:r w:rsidR="00F9444D" w:rsidRPr="00365CAC">
        <w:rPr>
          <w:rFonts w:ascii="Arial" w:hAnsi="Arial" w:cs="Arial"/>
          <w:kern w:val="0"/>
          <w:sz w:val="20"/>
          <w:szCs w:val="20"/>
          <w:lang w:val="en-US"/>
        </w:rPr>
        <w:t>(Maduna, 2025)</w:t>
      </w:r>
      <w:r w:rsidR="00F9444D" w:rsidRPr="00365CAC">
        <w:rPr>
          <w:rFonts w:ascii="Arial" w:hAnsi="Arial" w:cs="Arial"/>
          <w:sz w:val="20"/>
          <w:szCs w:val="20"/>
          <w:lang w:val="en-US"/>
        </w:rPr>
        <w:fldChar w:fldCharType="end"/>
      </w:r>
      <w:r w:rsidRPr="00365CAC">
        <w:rPr>
          <w:rFonts w:ascii="Arial" w:hAnsi="Arial" w:cs="Arial"/>
          <w:sz w:val="20"/>
          <w:szCs w:val="20"/>
          <w:lang w:val="en-US"/>
        </w:rPr>
        <w:t xml:space="preserve">. Such improvement could reignite interest in the consumption of </w:t>
      </w:r>
      <w:r w:rsidRPr="00365CAC">
        <w:rPr>
          <w:rFonts w:ascii="Arial" w:hAnsi="Arial" w:cs="Arial"/>
          <w:i/>
          <w:iCs/>
          <w:sz w:val="20"/>
          <w:szCs w:val="20"/>
          <w:lang w:val="en-US"/>
        </w:rPr>
        <w:t>Hibiscus cannabinus</w:t>
      </w:r>
      <w:r w:rsidRPr="00365CAC">
        <w:rPr>
          <w:rFonts w:ascii="Arial" w:hAnsi="Arial" w:cs="Arial"/>
          <w:sz w:val="20"/>
          <w:szCs w:val="20"/>
          <w:lang w:val="en-US"/>
        </w:rPr>
        <w:t xml:space="preserve"> L. seeds, which are processed into a spice called “</w:t>
      </w:r>
      <w:proofErr w:type="spellStart"/>
      <w:r w:rsidRPr="00365CAC">
        <w:rPr>
          <w:rFonts w:ascii="Arial" w:hAnsi="Arial" w:cs="Arial"/>
          <w:sz w:val="20"/>
          <w:szCs w:val="20"/>
          <w:lang w:val="en-US"/>
        </w:rPr>
        <w:t>bicalga</w:t>
      </w:r>
      <w:proofErr w:type="spellEnd"/>
      <w:r w:rsidRPr="00365CAC">
        <w:rPr>
          <w:rFonts w:ascii="Arial" w:hAnsi="Arial" w:cs="Arial"/>
          <w:sz w:val="20"/>
          <w:szCs w:val="20"/>
          <w:lang w:val="en-US"/>
        </w:rPr>
        <w:t>” by the Mossi and “</w:t>
      </w:r>
      <w:proofErr w:type="spellStart"/>
      <w:r w:rsidRPr="00365CAC">
        <w:rPr>
          <w:rFonts w:ascii="Arial" w:hAnsi="Arial" w:cs="Arial"/>
          <w:sz w:val="20"/>
          <w:szCs w:val="20"/>
          <w:lang w:val="en-US"/>
        </w:rPr>
        <w:t>gio</w:t>
      </w:r>
      <w:proofErr w:type="spellEnd"/>
      <w:r w:rsidRPr="00365CAC">
        <w:rPr>
          <w:rFonts w:ascii="Arial" w:hAnsi="Arial" w:cs="Arial"/>
          <w:sz w:val="20"/>
          <w:szCs w:val="20"/>
          <w:lang w:val="en-US"/>
        </w:rPr>
        <w:t>-sola” by the Gurunsi-</w:t>
      </w:r>
      <w:proofErr w:type="spellStart"/>
      <w:r w:rsidRPr="00365CAC">
        <w:rPr>
          <w:rFonts w:ascii="Arial" w:hAnsi="Arial" w:cs="Arial"/>
          <w:sz w:val="20"/>
          <w:szCs w:val="20"/>
          <w:lang w:val="en-US"/>
        </w:rPr>
        <w:t>Lélé</w:t>
      </w:r>
      <w:proofErr w:type="spellEnd"/>
      <w:r w:rsidRPr="00365CAC">
        <w:rPr>
          <w:rFonts w:ascii="Arial" w:hAnsi="Arial" w:cs="Arial"/>
          <w:sz w:val="20"/>
          <w:szCs w:val="20"/>
          <w:lang w:val="en-US"/>
        </w:rPr>
        <w:t xml:space="preserve"> </w:t>
      </w:r>
      <w:r w:rsidR="007642C8" w:rsidRPr="00365CAC">
        <w:rPr>
          <w:rFonts w:ascii="Arial" w:hAnsi="Arial" w:cs="Arial"/>
          <w:sz w:val="20"/>
          <w:szCs w:val="20"/>
          <w:lang w:val="en-US"/>
        </w:rPr>
        <w:fldChar w:fldCharType="begin"/>
      </w:r>
      <w:r w:rsidR="007642C8" w:rsidRPr="00365CAC">
        <w:rPr>
          <w:rFonts w:ascii="Arial" w:hAnsi="Arial" w:cs="Arial"/>
          <w:sz w:val="20"/>
          <w:szCs w:val="20"/>
          <w:lang w:val="en-US"/>
        </w:rPr>
        <w:instrText xml:space="preserve"> ADDIN ZOTERO_ITEM CSL_CITATION {"citationID":"zeERHO2Q","properties":{"unsorted":false,"formattedCitation":"(Nikod\\uc0\\u232{}me et al., 2019)","plainCitation":"(Nikodème et al., 2019)","noteIndex":0},"citationItems":[{"id":342,"uris":["http://zotero.org/users/local/c6S0FUmy/items/CUL4XXZ6"],"itemData":{"id":342,"type":"article-journal","language":"en","source":"Zotero","title":"Genetic diversity of Hibiscus cannabinus L. of Burkina Faso using SSRs markers","author":[{"family":"Nikodème","given":"KABRE Vonogo"},{"family":"Boureima","given":"SAWADOGO"},{"family":"Zakaria","given":"KIEBRE"},{"family":"Mariam","given":"KIEBRE"},{"family":"Hamed","given":"OUEDRAOGO Mahamadi"},{"family":"Pauline","given":"KANDO"}],"issued":{"date-parts":[["2019"]]}}}],"schema":"https://github.com/citation-style-language/schema/raw/master/csl-citation.json"} </w:instrText>
      </w:r>
      <w:r w:rsidR="007642C8" w:rsidRPr="00365CAC">
        <w:rPr>
          <w:rFonts w:ascii="Arial" w:hAnsi="Arial" w:cs="Arial"/>
          <w:sz w:val="20"/>
          <w:szCs w:val="20"/>
          <w:lang w:val="en-US"/>
        </w:rPr>
        <w:fldChar w:fldCharType="separate"/>
      </w:r>
      <w:r w:rsidR="007642C8" w:rsidRPr="00365CAC">
        <w:rPr>
          <w:rFonts w:ascii="Arial" w:hAnsi="Arial" w:cs="Arial"/>
          <w:kern w:val="0"/>
          <w:sz w:val="20"/>
          <w:szCs w:val="20"/>
          <w:lang w:val="en-US"/>
        </w:rPr>
        <w:t>(Nikodème et al., 2019)</w:t>
      </w:r>
      <w:r w:rsidR="007642C8" w:rsidRPr="00365CAC">
        <w:rPr>
          <w:rFonts w:ascii="Arial" w:hAnsi="Arial" w:cs="Arial"/>
          <w:sz w:val="20"/>
          <w:szCs w:val="20"/>
          <w:lang w:val="en-US"/>
        </w:rPr>
        <w:fldChar w:fldCharType="end"/>
      </w:r>
      <w:r w:rsidRPr="00365CAC">
        <w:rPr>
          <w:rFonts w:ascii="Arial" w:hAnsi="Arial" w:cs="Arial"/>
          <w:sz w:val="20"/>
          <w:szCs w:val="20"/>
          <w:lang w:val="en-US"/>
        </w:rPr>
        <w:t>. Indeed, minerals play a crucial role in human nutrition as they act as cofactors for various physiological and metabolic processes</w:t>
      </w:r>
      <w:r w:rsidR="00F9444D" w:rsidRPr="00365CAC">
        <w:rPr>
          <w:rFonts w:ascii="Arial" w:eastAsia="Times New Roman" w:hAnsi="Arial" w:cs="Arial"/>
          <w:kern w:val="0"/>
          <w:sz w:val="20"/>
          <w:szCs w:val="20"/>
          <w:lang w:val="en-US" w:eastAsia="fr-FR"/>
          <w14:ligatures w14:val="none"/>
        </w:rPr>
        <w:t xml:space="preserve"> </w:t>
      </w:r>
      <w:r w:rsidR="00F9444D" w:rsidRPr="00365CAC">
        <w:rPr>
          <w:rFonts w:ascii="Arial" w:eastAsia="Times New Roman" w:hAnsi="Arial" w:cs="Arial"/>
          <w:kern w:val="0"/>
          <w:sz w:val="20"/>
          <w:szCs w:val="20"/>
          <w:lang w:val="en-US" w:eastAsia="fr-FR"/>
          <w14:ligatures w14:val="none"/>
        </w:rPr>
        <w:fldChar w:fldCharType="begin"/>
      </w:r>
      <w:r w:rsidR="00F9444D" w:rsidRPr="00365CAC">
        <w:rPr>
          <w:rFonts w:ascii="Arial" w:eastAsia="Times New Roman" w:hAnsi="Arial" w:cs="Arial"/>
          <w:kern w:val="0"/>
          <w:sz w:val="20"/>
          <w:szCs w:val="20"/>
          <w:lang w:val="en-US" w:eastAsia="fr-FR"/>
          <w14:ligatures w14:val="none"/>
        </w:rPr>
        <w:instrText xml:space="preserve"> ADDIN ZOTERO_ITEM CSL_CITATION {"citationID":"gxMLJMV7","properties":{"unsorted":false,"formattedCitation":"(Alghamdi et al., 2023)","plainCitation":"(Alghamdi et al., 2023)","noteIndex":0},"citationItems":[{"id":439,"uris":["http://zotero.org/users/local/c6S0FUmy/items/TJTRR44D"],"itemData":{"id":439,"type":"article-journal","abstract":"Modern lifestyles deviated considerably from the ancestral routines towards major shifts in diets and increased sedentarism. The trace elements status of the human body is no longer adequately supported by micronutrient-inferior farmed meats and crop commodities produced by the existing agricultural food systems. This is particular evident in the increased obesogenic adipogenesis and low-grade inflammation that fails to resolve with time. The metabolically restrictive environment of the inflamed tissues drives activation and proliferation of transient and resident populations of immune cells in favor of pro-inflammatory phenotypes, as well as a part of the enhanced autoimmune response. As different stages of the immune activation and resolution depend on the availability of specific minerals to maintain the structural integrity of skin and mucus membranes, activation and migration of immune cells, activation of the complement system, and the release of pro-inflammatory cytokines and chemokines, this review discusses recent advances in our understanding of the contribution of select minerals in optimizing the responses of innate and adaptive immune outcomes. An abbreviated view on the absorption, transport, and delivery of minerals to the body tissues as related to metabolic adaptation is considered.","container-title":"Nutrients","DOI":"10.3390/nu15010123","ISSN":"2072-6643","issue":"1","language":"en","license":"http://creativecommons.org/licenses/by/3.0/","page":"123","publisher":"Multidisciplinary Digital Publishing Institute","source":"www.mdpi.com","title":"Essential Minerals and Metabolic Adaptation of Immune Cells","volume":"15","author":[{"family":"Alghamdi","given":"Malak"},{"family":"Gutierrez","given":"Janelle"},{"family":"Komarnytsky","given":"Slavko"}],"issued":{"date-parts":[["2023",1]]}}}],"schema":"https://github.com/citation-style-language/schema/raw/master/csl-citation.json"} </w:instrText>
      </w:r>
      <w:r w:rsidR="00F9444D" w:rsidRPr="00365CAC">
        <w:rPr>
          <w:rFonts w:ascii="Arial" w:eastAsia="Times New Roman" w:hAnsi="Arial" w:cs="Arial"/>
          <w:kern w:val="0"/>
          <w:sz w:val="20"/>
          <w:szCs w:val="20"/>
          <w:lang w:val="en-US" w:eastAsia="fr-FR"/>
          <w14:ligatures w14:val="none"/>
        </w:rPr>
        <w:fldChar w:fldCharType="separate"/>
      </w:r>
      <w:r w:rsidR="00F9444D" w:rsidRPr="00365CAC">
        <w:rPr>
          <w:rFonts w:ascii="Arial" w:hAnsi="Arial" w:cs="Arial"/>
          <w:sz w:val="20"/>
          <w:szCs w:val="20"/>
          <w:lang w:val="en-US" w:eastAsia="fr-FR"/>
        </w:rPr>
        <w:t>(Alghamdi et al., 2023)</w:t>
      </w:r>
      <w:r w:rsidR="00F9444D" w:rsidRPr="00365CAC">
        <w:rPr>
          <w:rFonts w:ascii="Arial" w:eastAsia="Times New Roman" w:hAnsi="Arial" w:cs="Arial"/>
          <w:kern w:val="0"/>
          <w:sz w:val="20"/>
          <w:szCs w:val="20"/>
          <w:lang w:val="en-US" w:eastAsia="fr-FR"/>
          <w14:ligatures w14:val="none"/>
        </w:rPr>
        <w:fldChar w:fldCharType="end"/>
      </w:r>
      <w:r w:rsidR="004C3D20" w:rsidRPr="00365CAC">
        <w:rPr>
          <w:rFonts w:ascii="Arial" w:hAnsi="Arial" w:cs="Arial"/>
          <w:sz w:val="20"/>
          <w:szCs w:val="20"/>
          <w:lang w:val="en-US"/>
        </w:rPr>
        <w:t xml:space="preserve">. The content of metabolites of interest in plant-based products could serve as an indicator of quality </w:t>
      </w:r>
      <w:r w:rsidR="00344A8F" w:rsidRPr="00365CAC">
        <w:rPr>
          <w:rFonts w:ascii="Arial" w:hAnsi="Arial" w:cs="Arial"/>
          <w:sz w:val="20"/>
          <w:szCs w:val="20"/>
          <w:lang w:val="en-US"/>
        </w:rPr>
        <w:fldChar w:fldCharType="begin"/>
      </w:r>
      <w:r w:rsidR="00344A8F" w:rsidRPr="00365CAC">
        <w:rPr>
          <w:rFonts w:ascii="Arial" w:hAnsi="Arial" w:cs="Arial"/>
          <w:sz w:val="20"/>
          <w:szCs w:val="20"/>
          <w:lang w:val="en-US"/>
        </w:rPr>
        <w:instrText xml:space="preserve"> ADDIN ZOTERO_ITEM CSL_CITATION {"citationID":"6S2gGVfZ","properties":{"unsorted":false,"formattedCitation":"(N\\uc0\\u8217{}do et al., 2025)","plainCitation":"(N’do et al., 2025)","noteIndex":0},"citationItems":[{"id":441,"uris":["http://zotero.org/users/local/c6S0FUmy/items/3YT6DLN2"],"itemData":{"id":441,"type":"article-journal","abstract":"Ethnobotanical aspects\nBurkina Faso has great potential in terms of medicinal plants. These plants have been used to treat many illnesses since time immemorial, both in rural and urban areas.\nAim of study\nMedicinal plants sold in urban areas are generally adulterated. Suspicions of ineffectiveness and toxicity by some users call into question the benefits of using these highly prized medicinal plants. In the light of an ethnobotanical survey on the use of medicinal plants in the city of Ouagadougou, thirteen medicinal plant parts were identified as the most widely used and of greatest economic interest to the sellers of these herbal products. Given the storage conditions of these medicinal plant parts in market stalls, it was important to carry out a quality control.\nMaterials and methods\nThe medicinal plant parts were collected and their equivalents were purchased from the stalls of three selected markets after the ethnobotanical survey. Samples of various origins had undergone comparative analysis for the microbiological quality of the plant extracts according to International Organization for Standardization 4832. The impact of storage conditions on the phytochemical composition and antioxidant properties through the Reduction of 2,2′-azinobis-(3-ethylbenzothiazoline-6-sulfonic acid), the Free radical scavenging power 1,1-diphenyl-2-picrylhydrazyl and the ferric reducing antioxidant power methods were also taken into account.\nResults\nThe microbial enumeration test revealed an excellent quality of the medicinal plant parts harvested and preserved under laboratory conditions (AdT: 0.02± 0.0001 × 106 CFU/g) compared with those acquired from the various markets (Ad1: 73.07 ± 1.42 × 106 CFU/g). Adansonia digitata extracts from markets 1 and 3 revealed the absence of total polyphenols and tannins compared to samples harvested and processed under laboratory conditions. The best anti-radical capacity was recorded for the decoction extract of Piliostigma reticulatum stored under laboratory conditions with a value of 59.91 ± 0.25 µgAAE/100 mg.\nConclusion\nThe storage conditions of medicinal plants had an impact on the content of secondary metabolites and, at the same time, on the antioxidant properties of plant extracts. A significant difference between the values of different parameters of samples from different environmental conditions allowed defining recommendations for better product quality. These results will help to improve the quality of medicinal plants sold in Ouagadougou.","container-title":"Results in Engineering","DOI":"10.1016/j.rineng.2025.106300","ISSN":"2590-1230","journalAbbreviation":"Results in Engineering","page":"106300","source":"ScienceDirect","title":"Ethnobotany and quality control of bioproducts: Sustainable management of natural resources in urban environments","title-short":"Ethnobotany and quality control of bioproducts","volume":"27","author":[{"family":"N’do","given":"Jotham Yhi-pênê"},{"family":"Paré","given":"Dramane"},{"family":"Soré","given":"Harouna"},{"family":"Sombié","given":"Ernest Nogma"},{"family":"Bangou","given":"Mindiédiba Jean"},{"family":"Hilou","given":"Adama"},{"family":"Kiendrébéogo","given":"Martin"}],"issued":{"date-parts":[["2025",9,1]]}}}],"schema":"https://github.com/citation-style-language/schema/raw/master/csl-citation.json"} </w:instrText>
      </w:r>
      <w:r w:rsidR="00344A8F" w:rsidRPr="00365CAC">
        <w:rPr>
          <w:rFonts w:ascii="Arial" w:hAnsi="Arial" w:cs="Arial"/>
          <w:sz w:val="20"/>
          <w:szCs w:val="20"/>
          <w:lang w:val="en-US"/>
        </w:rPr>
        <w:fldChar w:fldCharType="separate"/>
      </w:r>
      <w:r w:rsidR="00344A8F" w:rsidRPr="00365CAC">
        <w:rPr>
          <w:rFonts w:ascii="Arial" w:hAnsi="Arial" w:cs="Arial"/>
          <w:kern w:val="0"/>
          <w:sz w:val="20"/>
          <w:szCs w:val="20"/>
          <w:lang w:val="en-US"/>
        </w:rPr>
        <w:t>(N’do et al., 2025)</w:t>
      </w:r>
      <w:r w:rsidR="00344A8F" w:rsidRPr="00365CAC">
        <w:rPr>
          <w:rFonts w:ascii="Arial" w:hAnsi="Arial" w:cs="Arial"/>
          <w:sz w:val="20"/>
          <w:szCs w:val="20"/>
          <w:lang w:val="en-US"/>
        </w:rPr>
        <w:fldChar w:fldCharType="end"/>
      </w:r>
      <w:r w:rsidR="004C3D20" w:rsidRPr="00365CAC">
        <w:rPr>
          <w:rFonts w:ascii="Arial" w:hAnsi="Arial" w:cs="Arial"/>
          <w:sz w:val="20"/>
          <w:szCs w:val="20"/>
          <w:lang w:val="en-US"/>
        </w:rPr>
        <w:t>.</w:t>
      </w:r>
    </w:p>
    <w:p w14:paraId="02E156AD" w14:textId="768DA534" w:rsidR="007825DE" w:rsidRPr="00365CAC" w:rsidRDefault="000200F0" w:rsidP="002334EB">
      <w:pPr>
        <w:spacing w:line="360" w:lineRule="auto"/>
        <w:jc w:val="both"/>
        <w:rPr>
          <w:rFonts w:ascii="Arial" w:hAnsi="Arial" w:cs="Arial"/>
          <w:sz w:val="20"/>
          <w:szCs w:val="20"/>
          <w:lang w:val="en-US"/>
        </w:rPr>
      </w:pPr>
      <w:r w:rsidRPr="00365CAC">
        <w:rPr>
          <w:rFonts w:ascii="Arial" w:hAnsi="Arial" w:cs="Arial"/>
          <w:sz w:val="20"/>
          <w:szCs w:val="20"/>
          <w:lang w:val="en-US"/>
        </w:rPr>
        <w:t>The results of the chemical composition analysis of the seeds revealed high mineral content, which could help prevent certain deficiencies that might cause serious health problems</w:t>
      </w:r>
      <w:r w:rsidR="00344A8F" w:rsidRPr="00365CAC">
        <w:rPr>
          <w:rFonts w:ascii="Arial" w:hAnsi="Arial" w:cs="Arial"/>
          <w:sz w:val="20"/>
          <w:szCs w:val="20"/>
          <w:lang w:val="en-US"/>
        </w:rPr>
        <w:fldChar w:fldCharType="begin"/>
      </w:r>
      <w:r w:rsidR="00344A8F" w:rsidRPr="00365CAC">
        <w:rPr>
          <w:rFonts w:ascii="Arial" w:hAnsi="Arial" w:cs="Arial"/>
          <w:sz w:val="20"/>
          <w:szCs w:val="20"/>
          <w:lang w:val="en-US"/>
        </w:rPr>
        <w:instrText xml:space="preserve"> ADDIN ZOTERO_ITEM CSL_CITATION {"citationID":"ZceUCQkt","properties":{"unsorted":false,"formattedCitation":"(N\\uc0\\u8217{}Do et al., 2024)","plainCitation":"(N’Do et al., 2024)","noteIndex":0},"citationItems":[{"id":443,"uris":["http://zotero.org/users/local/c6S0FUmy/items/VFJ7D6MA"],"itemData":{"id":443,"type":"article-journal","abstract":"Background: In Burkina Faso, plant-based products are widely used by city dwellers to treat and/or prevent various diseases and ailments. Due to rapid population growth, the demand for plant products is increasing with high harvesting pressure on medicinal plants. This pressure combined with the erosion of indigenous knowledge related to medicinal use of plants, compromise the conservation and sustainable use of these plants. To this end, this study aimed to develop a checklist of medicinal plants used for human health in cities, as well as their applications.\nMethods: Ethnobotanical surveys were conducted from March 3, 2020, to December 15, 2020 in the city of Ouagadougou to account for plant availability based on their phenological occurrences. A total of 155 participants involved in traditional medicine (herbalists and healers) were interviewed using semi-structured approach.\nResults: A total of 42 plant species, comprising herbaceous and wood species were identified as medicinal plants and used for the treatment of seven disease categories. Results also indicated that liver diseases were the main category for which medicinal plants are highly demanded. Leaves and trunk bark were the most commonly used parts.  The most frequently cited method of preparation (58%) was decoction.\nConclusions: This study revealed that medicinal plant species supports the treatment of diseases for which conventional medicine failed to provide curative solutions such as liver diseases. Our findings are useful for guiding future investigations on quality control of plant-based products in the treatment of diseases by demonstrating their ethnopharmacological relevance.\nKeywords: Ethnobotany, Traditional medicine, Human health","container-title":"Ethnobotany Research and Applications","ISSN":"1547-3465","language":"en","license":"Copyright (c) 2024 Jotham Yhi-pênê N'Do, Dramane Paré, Loyapin Bondé, Samson Guenne, Adama Hilou, Martin Kiendrebeogo","page":"1-15","source":"ethnobotanyjournal.org","title":"Indigenous knowledge and uses of medicinal plants in Ouagadougou, Burkina Faso","volume":"29","author":[{"family":"N'Do","given":"Jotham Yhi-pênê"},{"family":"Paré","given":"Dramane"},{"family":"Bondé","given":"Loyapin"},{"family":"Guenne","given":"Samson"},{"family":"Hilou","given":"Adama"},{"family":"Kiendrebeogo","given":"Martin"}],"issued":{"date-parts":[["2024",6,25]]}}}],"schema":"https://github.com/citation-style-language/schema/raw/master/csl-citation.json"} </w:instrText>
      </w:r>
      <w:r w:rsidR="00344A8F" w:rsidRPr="00365CAC">
        <w:rPr>
          <w:rFonts w:ascii="Arial" w:hAnsi="Arial" w:cs="Arial"/>
          <w:sz w:val="20"/>
          <w:szCs w:val="20"/>
          <w:lang w:val="en-US"/>
        </w:rPr>
        <w:fldChar w:fldCharType="separate"/>
      </w:r>
      <w:r w:rsidR="00344A8F" w:rsidRPr="00365CAC">
        <w:rPr>
          <w:rFonts w:ascii="Arial" w:hAnsi="Arial" w:cs="Arial"/>
          <w:kern w:val="0"/>
          <w:sz w:val="20"/>
          <w:szCs w:val="20"/>
          <w:lang w:val="en-US"/>
        </w:rPr>
        <w:t>(N’Do et al., 2024)</w:t>
      </w:r>
      <w:r w:rsidR="00344A8F" w:rsidRPr="00365CAC">
        <w:rPr>
          <w:rFonts w:ascii="Arial" w:hAnsi="Arial" w:cs="Arial"/>
          <w:sz w:val="20"/>
          <w:szCs w:val="20"/>
          <w:lang w:val="en-US"/>
        </w:rPr>
        <w:fldChar w:fldCharType="end"/>
      </w:r>
      <w:r w:rsidRPr="00365CAC">
        <w:rPr>
          <w:rFonts w:ascii="Arial" w:hAnsi="Arial" w:cs="Arial"/>
          <w:sz w:val="20"/>
          <w:szCs w:val="20"/>
          <w:lang w:val="en-US"/>
        </w:rPr>
        <w:t>. The various significant correlations observed could aid in the development of selection methods for plant breeding. Thus, the positive and significant correlations observed between the flowering date and each of the variables fruit diameter and moisture content, and between plant height and stem diameter, indicate that accessions with a late cycle are generally tall with vigorous stems producing large fruits containing seeds with high water-holding capacity</w:t>
      </w:r>
      <w:r w:rsidR="00AE66DF" w:rsidRPr="00365CAC">
        <w:rPr>
          <w:rFonts w:ascii="Arial" w:hAnsi="Arial" w:cs="Arial"/>
          <w:sz w:val="20"/>
          <w:szCs w:val="20"/>
          <w:lang w:val="en-US"/>
        </w:rPr>
        <w:t xml:space="preserve"> </w:t>
      </w:r>
      <w:r w:rsidR="00344A8F" w:rsidRPr="00365CAC">
        <w:rPr>
          <w:rFonts w:ascii="Arial" w:hAnsi="Arial" w:cs="Arial"/>
          <w:sz w:val="20"/>
          <w:szCs w:val="20"/>
          <w:lang w:val="en-US"/>
        </w:rPr>
        <w:fldChar w:fldCharType="begin"/>
      </w:r>
      <w:r w:rsidR="00344A8F" w:rsidRPr="00365CAC">
        <w:rPr>
          <w:rFonts w:ascii="Arial" w:hAnsi="Arial" w:cs="Arial"/>
          <w:sz w:val="20"/>
          <w:szCs w:val="20"/>
          <w:lang w:val="en-US"/>
        </w:rPr>
        <w:instrText xml:space="preserve"> ADDIN ZOTERO_ITEM CSL_CITATION {"citationID":"sDy4GUEZ","properties":{"unsorted":false,"formattedCitation":"(Ahmed et al., 2023)","plainCitation":"(Ahmed et al., 2023)","noteIndex":0},"citationItems":[{"id":445,"uris":["http://zotero.org/users/local/c6S0FUmy/items/XXTLGZ6X"],"itemData":{"id":445,"type":"article-journal","container-title":"Heliyon","DOI":"10.1016/j.heliyon.2023.e21629","ISSN":"2405-8440","issue":"11","journalAbbreviation":"Heliyon","language":"English","publisher":"Elsevier","source":"www.cell.com","title":"Assessment of genetic variation among wheat genotypes for drought tolerance utilizing microsatellite markers and morpho-physiological characteristics","URL":"https://www.cell.com/heliyon/abstract/S2405-8440(23)08837-0","volume":"9","author":[{"family":"Ahmed","given":"Sheikh Faruk"},{"family":"Ahmed","given":"Jalal Uddin"},{"family":"Hasan","given":"Mehfuz"},{"family":"Mohi-Ud-Din","given":"Mohammed"}],"accessed":{"date-parts":[["2026",5,22]]},"issued":{"date-parts":[["2023",11,1]]}}}],"schema":"https://github.com/citation-style-language/schema/raw/master/csl-citation.json"} </w:instrText>
      </w:r>
      <w:r w:rsidR="00344A8F" w:rsidRPr="00365CAC">
        <w:rPr>
          <w:rFonts w:ascii="Arial" w:hAnsi="Arial" w:cs="Arial"/>
          <w:sz w:val="20"/>
          <w:szCs w:val="20"/>
          <w:lang w:val="en-US"/>
        </w:rPr>
        <w:fldChar w:fldCharType="separate"/>
      </w:r>
      <w:r w:rsidR="00344A8F" w:rsidRPr="00365CAC">
        <w:rPr>
          <w:rFonts w:ascii="Arial" w:hAnsi="Arial" w:cs="Arial"/>
          <w:sz w:val="20"/>
          <w:szCs w:val="20"/>
          <w:lang w:val="en-US"/>
        </w:rPr>
        <w:t>(Ahmed et al., 2023)</w:t>
      </w:r>
      <w:r w:rsidR="00344A8F" w:rsidRPr="00365CAC">
        <w:rPr>
          <w:rFonts w:ascii="Arial" w:hAnsi="Arial" w:cs="Arial"/>
          <w:sz w:val="20"/>
          <w:szCs w:val="20"/>
          <w:lang w:val="en-US"/>
        </w:rPr>
        <w:fldChar w:fldCharType="end"/>
      </w:r>
      <w:r w:rsidRPr="00365CAC">
        <w:rPr>
          <w:rFonts w:ascii="Arial" w:hAnsi="Arial" w:cs="Arial"/>
          <w:sz w:val="20"/>
          <w:szCs w:val="20"/>
          <w:lang w:val="en-US"/>
        </w:rPr>
        <w:t>. Zinc content was strongly correlated with magnesium and potassium content.</w:t>
      </w:r>
      <w:r w:rsidR="007825DE" w:rsidRPr="00365CAC">
        <w:rPr>
          <w:rFonts w:ascii="Arial" w:eastAsia="Times New Roman" w:hAnsi="Arial" w:cs="Arial"/>
          <w:kern w:val="0"/>
          <w:sz w:val="20"/>
          <w:szCs w:val="20"/>
          <w:lang w:val="en-US" w:eastAsia="fr-FR"/>
          <w14:ligatures w14:val="none"/>
        </w:rPr>
        <w:t xml:space="preserve"> </w:t>
      </w:r>
      <w:r w:rsidR="007825DE" w:rsidRPr="00365CAC">
        <w:rPr>
          <w:rFonts w:ascii="Arial" w:hAnsi="Arial" w:cs="Arial"/>
          <w:sz w:val="20"/>
          <w:szCs w:val="20"/>
          <w:lang w:val="en-US"/>
        </w:rPr>
        <w:t xml:space="preserve">In fact, iron is essential for hemoglobin synthesis and for the transport of oxygen from the lungs through the bloodstream </w:t>
      </w:r>
      <w:r w:rsidR="00F2410F" w:rsidRPr="00365CAC">
        <w:rPr>
          <w:rFonts w:ascii="Arial" w:hAnsi="Arial" w:cs="Arial"/>
          <w:sz w:val="20"/>
          <w:szCs w:val="20"/>
          <w:lang w:val="en-US"/>
        </w:rPr>
        <w:fldChar w:fldCharType="begin"/>
      </w:r>
      <w:r w:rsidR="00F2410F" w:rsidRPr="00365CAC">
        <w:rPr>
          <w:rFonts w:ascii="Arial" w:hAnsi="Arial" w:cs="Arial"/>
          <w:sz w:val="20"/>
          <w:szCs w:val="20"/>
          <w:lang w:val="en-US"/>
        </w:rPr>
        <w:instrText xml:space="preserve"> ADDIN ZOTERO_ITEM CSL_CITATION {"citationID":"qCcvCbKM","properties":{"unsorted":false,"formattedCitation":"(Benjamin Ya.n. et al., 2026)","plainCitation":"(Benjamin Ya.n. et al., 2026)","noteIndex":0},"citationItems":[{"id":343,"uris":["http://zotero.org/users/local/c6S0FUmy/items/9M8A47BV"],"itemData":{"id":343,"type":"article-journal","DOI":"10.19044/esj.2020.v16n36p257","source":"eLibrary.ru","title":"Caractérisation De Quelques Légumes-Feuilles Les Plus Consommés Dans La Ville De Daloa (Centre-Ouest, Côte d'Ivoire)","URL":"https://www.elibrary.ru/item.asp?id=75469273","author":[{"literal":"Benjamin Ya.n."},{"literal":"Édith Kkn"},{"literal":"Lacina Gk"},{"literal":"Kablan T."}],"accessed":{"date-parts":[["2026",5,5]]},"issued":{"date-parts":[["2026"]]}}}],"schema":"https://github.com/citation-style-language/schema/raw/master/csl-citation.json"} </w:instrText>
      </w:r>
      <w:r w:rsidR="00F2410F" w:rsidRPr="00365CAC">
        <w:rPr>
          <w:rFonts w:ascii="Arial" w:hAnsi="Arial" w:cs="Arial"/>
          <w:sz w:val="20"/>
          <w:szCs w:val="20"/>
          <w:lang w:val="en-US"/>
        </w:rPr>
        <w:fldChar w:fldCharType="separate"/>
      </w:r>
      <w:r w:rsidR="00F2410F" w:rsidRPr="00365CAC">
        <w:rPr>
          <w:rFonts w:ascii="Arial" w:hAnsi="Arial" w:cs="Arial"/>
          <w:sz w:val="20"/>
          <w:szCs w:val="20"/>
          <w:lang w:val="en-US"/>
        </w:rPr>
        <w:t>(Benjamin Ya.n. et al., 2026)</w:t>
      </w:r>
      <w:r w:rsidR="00F2410F" w:rsidRPr="00365CAC">
        <w:rPr>
          <w:rFonts w:ascii="Arial" w:hAnsi="Arial" w:cs="Arial"/>
          <w:sz w:val="20"/>
          <w:szCs w:val="20"/>
          <w:lang w:val="en-US"/>
        </w:rPr>
        <w:fldChar w:fldCharType="end"/>
      </w:r>
      <w:r w:rsidR="007825DE" w:rsidRPr="00365CAC">
        <w:rPr>
          <w:rFonts w:ascii="Arial" w:hAnsi="Arial" w:cs="Arial"/>
          <w:sz w:val="20"/>
          <w:szCs w:val="20"/>
          <w:lang w:val="en-US"/>
        </w:rPr>
        <w:t xml:space="preserve">. Calcium contributes to bone health by protecting them  </w:t>
      </w:r>
      <w:r w:rsidR="00F2410F" w:rsidRPr="00365CAC">
        <w:rPr>
          <w:rFonts w:ascii="Arial" w:hAnsi="Arial" w:cs="Arial"/>
          <w:sz w:val="20"/>
          <w:szCs w:val="20"/>
          <w:lang w:val="en-US"/>
        </w:rPr>
        <w:fldChar w:fldCharType="begin"/>
      </w:r>
      <w:r w:rsidR="00F2410F" w:rsidRPr="00365CAC">
        <w:rPr>
          <w:rFonts w:ascii="Arial" w:hAnsi="Arial" w:cs="Arial"/>
          <w:sz w:val="20"/>
          <w:szCs w:val="20"/>
          <w:lang w:val="en-US"/>
        </w:rPr>
        <w:instrText xml:space="preserve"> ADDIN ZOTERO_ITEM CSL_CITATION {"citationID":"HwnueaY7","properties":{"unsorted":false,"formattedCitation":"(Benjamin Ya.n. et al., 2026)","plainCitation":"(Benjamin Ya.n. et al., 2026)","noteIndex":0},"citationItems":[{"id":343,"uris":["http://zotero.org/users/local/c6S0FUmy/items/9M8A47BV"],"itemData":{"id":343,"type":"article-journal","DOI":"10.19044/esj.2020.v16n36p257","source":"eLibrary.ru","title":"Caractérisation De Quelques Légumes-Feuilles Les Plus Consommés Dans La Ville De Daloa (Centre-Ouest, Côte d'Ivoire)","URL":"https://www.elibrary.ru/item.asp?id=75469273","author":[{"literal":"Benjamin Ya.n."},{"literal":"Édith Kkn"},{"literal":"Lacina Gk"},{"literal":"Kablan T."}],"accessed":{"date-parts":[["2026",5,5]]},"issued":{"date-parts":[["2026"]]}}}],"schema":"https://github.com/citation-style-language/schema/raw/master/csl-citation.json"} </w:instrText>
      </w:r>
      <w:r w:rsidR="00F2410F" w:rsidRPr="00365CAC">
        <w:rPr>
          <w:rFonts w:ascii="Arial" w:hAnsi="Arial" w:cs="Arial"/>
          <w:sz w:val="20"/>
          <w:szCs w:val="20"/>
          <w:lang w:val="en-US"/>
        </w:rPr>
        <w:fldChar w:fldCharType="separate"/>
      </w:r>
      <w:r w:rsidR="00F2410F" w:rsidRPr="00365CAC">
        <w:rPr>
          <w:rFonts w:ascii="Arial" w:hAnsi="Arial" w:cs="Arial"/>
          <w:sz w:val="20"/>
          <w:szCs w:val="20"/>
          <w:lang w:val="en-US"/>
        </w:rPr>
        <w:t>(Benjamin Ya.n. et al., 2026)</w:t>
      </w:r>
      <w:r w:rsidR="00F2410F" w:rsidRPr="00365CAC">
        <w:rPr>
          <w:rFonts w:ascii="Arial" w:hAnsi="Arial" w:cs="Arial"/>
          <w:sz w:val="20"/>
          <w:szCs w:val="20"/>
          <w:lang w:val="en-US"/>
        </w:rPr>
        <w:fldChar w:fldCharType="end"/>
      </w:r>
      <w:r w:rsidR="007825DE" w:rsidRPr="00365CAC">
        <w:rPr>
          <w:rFonts w:ascii="Arial" w:hAnsi="Arial" w:cs="Arial"/>
          <w:sz w:val="20"/>
          <w:szCs w:val="20"/>
          <w:lang w:val="en-US"/>
        </w:rPr>
        <w:t>. It is essential for the process of ossification, participates in muscle contraction, and aids in the absorption of vitamin B12</w:t>
      </w:r>
      <w:r w:rsidR="00AE66DF" w:rsidRPr="00365CAC">
        <w:rPr>
          <w:rFonts w:ascii="Arial" w:hAnsi="Arial" w:cs="Arial"/>
          <w:sz w:val="20"/>
          <w:szCs w:val="20"/>
          <w:lang w:val="en-US"/>
        </w:rPr>
        <w:t xml:space="preserve"> </w:t>
      </w:r>
      <w:r w:rsidR="00F2410F" w:rsidRPr="00365CAC">
        <w:rPr>
          <w:rFonts w:ascii="Arial" w:hAnsi="Arial" w:cs="Arial"/>
          <w:sz w:val="20"/>
          <w:szCs w:val="20"/>
          <w:lang w:val="en-US"/>
        </w:rPr>
        <w:fldChar w:fldCharType="begin"/>
      </w:r>
      <w:r w:rsidR="00F2410F" w:rsidRPr="00365CAC">
        <w:rPr>
          <w:rFonts w:ascii="Arial" w:hAnsi="Arial" w:cs="Arial"/>
          <w:sz w:val="20"/>
          <w:szCs w:val="20"/>
          <w:lang w:val="en-US"/>
        </w:rPr>
        <w:instrText xml:space="preserve"> ADDIN ZOTERO_ITEM CSL_CITATION {"citationID":"KHWwX7An","properties":{"unsorted":false,"formattedCitation":"(Vieira et al., 2025)","plainCitation":"(Vieira et al., 2025)","noteIndex":0},"citationItems":[{"id":357,"uris":["http://zotero.org/users/local/c6S0FUmy/items/ADGDCNV8"],"itemData":{"id":357,"type":"chapter","abstract":"This chapter presents an analysis of the role of vitamins, minerals, and bioactive compounds in human nutrition, emphasizing their importance in maintaining health and preventing diseases. Although these micronutrients are required in small quantities, they play essential roles in physiological processes, such as energy metabolism, tissue synthesis, immune function, and protection against oxidative stress. Vitamins are classified into two major groups: fat-soluble (A, D, E, and K) and water-soluble (B-complex and vitamin C). Each group has unique characteristics in terms of dietary sources, absorption mechanisms, metabolism, and impact on health. Vitamin A, for example, is essential for ocular health, immune function, and epithelial integrity. Deficiency of this vitamin can lead to night blindness and weakened immune function, while its excess can result in toxicity, with symptoms such as nausea, vomiting, and liver damage. B-complex vitamins are crucial for cellular metabolism and energy production, acting as coenzymes in various enzymatic reactions. Deficiency of these vitamins can lead to anemia and severe neurological disorders. Vitamin D is vital for calcium absorption and bone health, while vitamin E possesses antioxidant properties, protecting cells from oxidative damage. Vitamin K is important for blood clotting and bone health. In addition to vitamins, this chapter explores the importance of minerals, such as calcium, iron, magnesium, zinc, sodium, and potassium. Calcium is the most abundant mineral in the human body and is essential for the formation and maintenance of bones and teeth, as well as participating in blood clotting and nerve signal transmission. Its deficiency can lead to osteoporosis and rickets, while excess calcium can cause kidney stones and interfere with the absorption of other minerals. Iron is vital for oxygen transport in the blood and energy metabolism, and iron deficiency is one of the most common nutritional deficiencies globally, leading to iron deficiency anemia. This chapter also highlights the role of bioactive compounds found in foods, such as carotenoids, polyphenols, and flavonoids. Although not considered essential nutrients, these compounds have antioxidant, anti-inflammatory, and chemopreventive properties, contributing to the protection against chronic diseases such as cancer, cardiovascular diseases, and neurodegenerative disorders. The bioavailability and impact of these compounds on health can vary depending on factors, such as the food matrix, interactions with other nutrients, and the individual’s physiological state.","container-title":"Fundamentals of Drug and Non-Drug Interactions: Physiopathological Perspectives and Clinical Approaches","DOI":"10.1007/978-3-031-80107-5_3","ISBN":"978-3-031-80107-5","language":"en","page":"57-86","publisher":"Springer Nature Switzerland","publisher-place":"Cham","source":"Springer Link","title":"Nutritional Elements II: Vitamins and Minerals","title-short":"Nutritional Elements II","URL":"https://doi.org/10.1007/978-3-031-80107-5_3","author":[{"family":"Vieira","given":"Barbara Martins"},{"family":"Mello e Silva","given":"Giovanna Nascimento","non-dropping-particle":"de"},{"family":"Silva","given":"Mariana Isaac"}],"editor":[{"family":"Fajemiroye","given":"James O."}],"accessed":{"date-parts":[["2026",5,18]]},"issued":{"date-parts":[["2025"]]}}}],"schema":"https://github.com/citation-style-language/schema/raw/master/csl-citation.json"} </w:instrText>
      </w:r>
      <w:r w:rsidR="00F2410F" w:rsidRPr="00365CAC">
        <w:rPr>
          <w:rFonts w:ascii="Arial" w:hAnsi="Arial" w:cs="Arial"/>
          <w:sz w:val="20"/>
          <w:szCs w:val="20"/>
          <w:lang w:val="en-US"/>
        </w:rPr>
        <w:fldChar w:fldCharType="separate"/>
      </w:r>
      <w:r w:rsidR="00F2410F" w:rsidRPr="00365CAC">
        <w:rPr>
          <w:rFonts w:ascii="Arial" w:hAnsi="Arial" w:cs="Arial"/>
          <w:sz w:val="20"/>
          <w:szCs w:val="20"/>
          <w:lang w:val="en-US"/>
        </w:rPr>
        <w:t>(Vieira et al., 2025)</w:t>
      </w:r>
      <w:r w:rsidR="00F2410F" w:rsidRPr="00365CAC">
        <w:rPr>
          <w:rFonts w:ascii="Arial" w:hAnsi="Arial" w:cs="Arial"/>
          <w:sz w:val="20"/>
          <w:szCs w:val="20"/>
          <w:lang w:val="en-US"/>
        </w:rPr>
        <w:fldChar w:fldCharType="end"/>
      </w:r>
      <w:r w:rsidR="007825DE" w:rsidRPr="00365CAC">
        <w:rPr>
          <w:rFonts w:ascii="Arial" w:hAnsi="Arial" w:cs="Arial"/>
          <w:sz w:val="20"/>
          <w:szCs w:val="20"/>
          <w:lang w:val="en-US"/>
        </w:rPr>
        <w:t xml:space="preserve"> </w:t>
      </w:r>
      <w:r w:rsidR="00F2410F" w:rsidRPr="00365CAC">
        <w:rPr>
          <w:rFonts w:ascii="Arial" w:hAnsi="Arial" w:cs="Arial"/>
          <w:sz w:val="20"/>
          <w:szCs w:val="20"/>
          <w:lang w:val="en-US"/>
        </w:rPr>
        <w:t>.</w:t>
      </w:r>
      <w:r w:rsidR="007825DE" w:rsidRPr="00365CAC">
        <w:rPr>
          <w:rFonts w:ascii="Arial" w:hAnsi="Arial" w:cs="Arial"/>
          <w:sz w:val="20"/>
          <w:szCs w:val="20"/>
          <w:lang w:val="en-US"/>
        </w:rPr>
        <w:t xml:space="preserve"> It also plays a role in blood clotting and synaptic transmission</w:t>
      </w:r>
      <w:r w:rsidR="00AE66DF" w:rsidRPr="00365CAC">
        <w:rPr>
          <w:rFonts w:ascii="Arial" w:hAnsi="Arial" w:cs="Arial"/>
          <w:sz w:val="20"/>
          <w:szCs w:val="20"/>
          <w:lang w:val="en-US"/>
        </w:rPr>
        <w:t xml:space="preserve"> </w:t>
      </w:r>
      <w:r w:rsidR="008E301D" w:rsidRPr="00365CAC">
        <w:rPr>
          <w:rFonts w:ascii="Arial" w:hAnsi="Arial" w:cs="Arial"/>
          <w:sz w:val="20"/>
          <w:szCs w:val="20"/>
          <w:lang w:val="en-US"/>
        </w:rPr>
        <w:fldChar w:fldCharType="begin"/>
      </w:r>
      <w:r w:rsidR="008E301D" w:rsidRPr="00365CAC">
        <w:rPr>
          <w:rFonts w:ascii="Arial" w:hAnsi="Arial" w:cs="Arial"/>
          <w:sz w:val="20"/>
          <w:szCs w:val="20"/>
          <w:lang w:val="en-US"/>
        </w:rPr>
        <w:instrText xml:space="preserve"> ADDIN ZOTERO_ITEM CSL_CITATION {"citationID":"6QycNhHy","properties":{"unsorted":false,"formattedCitation":"(Ben Shimon et al., 2015)","plainCitation":"(Ben Shimon et al., 2015)","noteIndex":0},"citationItems":[{"id":359,"uris":["http://zotero.org/users/local/c6S0FUmy/items/M6QWIIQF"],"itemData":{"id":359,"type":"article-journal","abstract":"Thrombin, a serine protease involved in the blood coagulation cascade has been shown to affect neural function following blood-brain barrier breakdown. However, several lines of evidence exist that thrombin is also expressed in the brain under physiological conditions, suggesting an involvement of thrombin in the regulation of normal brain functions. Here, we review ours’ as well as others' recent work on the role of thrombin in synaptic transmission and plasticity through direct or indirect activation of Protease-Activated Receptor-1 (PAR1). These studies propose a novel role of thrombin in synaptic plasticity, both in physiology as well as in neurological diseases associated with increased brain thrombin/PAR1 levels.","container-title":"Frontiers in Cellular Neuroscience","DOI":"10.3389/fncel.2015.00151","ISSN":"1662-5102","journalAbbreviation":"Front. Cell. Neurosci.","language":"English","publisher":"Frontiers","source":"Frontiers","title":"Thrombin regulation of synaptic transmission and plasticity: implications for health and disease","title-short":"Thrombin regulation of synaptic transmission and plasticity","URL":"https://www.frontiersin.org/journals/cellular-neuroscience/articles/10.3389/fncel.2015.00151/full","volume":"9","author":[{"family":"Ben Shimon","given":"Marina"},{"family":"Lenz","given":"Maximilian"},{"family":"Ikenberg","given":"Benno"},{"family":"Becker","given":"Denise"},{"family":"Shavit Stein","given":"Efrat"},{"family":"Chapman","given":"Joab"},{"family":"Tanne","given":"David"},{"family":"Pick","given":"Chaim G."},{"family":"Blatt","given":"Ilan"},{"family":"Neufeld","given":"Miri"},{"family":"Vlachos","given":"Andreas"},{"family":"Maggio","given":"Nicola"}],"accessed":{"date-parts":[["2026",5,18]]},"issued":{"date-parts":[["2015",4,21]]}}}],"schema":"https://github.com/citation-style-language/schema/raw/master/csl-citation.json"} </w:instrText>
      </w:r>
      <w:r w:rsidR="008E301D" w:rsidRPr="00365CAC">
        <w:rPr>
          <w:rFonts w:ascii="Arial" w:hAnsi="Arial" w:cs="Arial"/>
          <w:sz w:val="20"/>
          <w:szCs w:val="20"/>
          <w:lang w:val="en-US"/>
        </w:rPr>
        <w:fldChar w:fldCharType="separate"/>
      </w:r>
      <w:r w:rsidR="008E301D" w:rsidRPr="00365CAC">
        <w:rPr>
          <w:rFonts w:ascii="Arial" w:hAnsi="Arial" w:cs="Arial"/>
          <w:sz w:val="20"/>
          <w:szCs w:val="20"/>
          <w:lang w:val="en-US"/>
        </w:rPr>
        <w:t>(Ben Shimon et al., 2015)</w:t>
      </w:r>
      <w:r w:rsidR="008E301D" w:rsidRPr="00365CAC">
        <w:rPr>
          <w:rFonts w:ascii="Arial" w:hAnsi="Arial" w:cs="Arial"/>
          <w:sz w:val="20"/>
          <w:szCs w:val="20"/>
          <w:lang w:val="en-US"/>
        </w:rPr>
        <w:fldChar w:fldCharType="end"/>
      </w:r>
      <w:r w:rsidR="007825DE" w:rsidRPr="00365CAC">
        <w:rPr>
          <w:rFonts w:ascii="Arial" w:hAnsi="Arial" w:cs="Arial"/>
          <w:sz w:val="20"/>
          <w:szCs w:val="20"/>
          <w:lang w:val="en-US"/>
        </w:rPr>
        <w:t xml:space="preserve">. Potassium plays a role in controlling skeletal muscle contraction and the transmission of nerve impulses. Patients with bone problems are generally prescribed plant-based meals rich in potassium </w:t>
      </w:r>
      <w:r w:rsidR="008E301D" w:rsidRPr="00365CAC">
        <w:rPr>
          <w:rFonts w:ascii="Arial" w:hAnsi="Arial" w:cs="Arial"/>
          <w:sz w:val="20"/>
          <w:szCs w:val="20"/>
          <w:lang w:val="en-US"/>
        </w:rPr>
        <w:fldChar w:fldCharType="begin"/>
      </w:r>
      <w:r w:rsidR="00B77967" w:rsidRPr="00365CAC">
        <w:rPr>
          <w:rFonts w:ascii="Arial" w:hAnsi="Arial" w:cs="Arial"/>
          <w:sz w:val="20"/>
          <w:szCs w:val="20"/>
          <w:lang w:val="en-US"/>
        </w:rPr>
        <w:instrText xml:space="preserve"> ADDIN ZOTERO_ITEM CSL_CITATION {"citationID":"D6uofruh","properties":{"unsorted":false,"formattedCitation":"(Morris &amp; Lambert, 2025)","plainCitation":"(Morris &amp; Lambert, 2025)","dontUpdate":true,"noteIndex":0},"citationItems":[{"id":362,"uris":["http://zotero.org/users/local/c6S0FUmy/items/MP7TBZC9"],"itemData":{"id":362,"type":"article-journal","abstract":"AbstraitCet article aborde les idées reçues concernant les régimes à base de plantes chez les personnes atteintes d'insuffisance rénale chronique et le risque potentiel d'hyperkaliémie lié à leur teneur élevée en potassium. Il examine également les facteurs non alimentaires contribuant à l'hyperkaliémie et propose une liste de contrôle pour envisager d'autres interventions avant de limiter la consommation d'aliments végétaux riches en potassium.","container-title":"Journal of Kidney Care","DOI":"10.12968/jokc.2025.10.4.174","issue":"4","page":"174-180","publisher":"Mark Allen Group","source":"magonlinelibrary.com (Atypon)","title":"Dietary potassium and plant-based diets: a practical guide for kidney healthcare professionals","title-short":"Dietary potassium and plant-based diets","volume":"10","author":[{"family":"Morris","given":"Andrew"},{"family":"Lambert,","given":"Kelly"}],"issued":{"date-parts":[["2025",7,2]]}}}],"schema":"https://github.com/citation-style-language/schema/raw/master/csl-citation.json"} </w:instrText>
      </w:r>
      <w:r w:rsidR="008E301D" w:rsidRPr="00365CAC">
        <w:rPr>
          <w:rFonts w:ascii="Arial" w:hAnsi="Arial" w:cs="Arial"/>
          <w:sz w:val="20"/>
          <w:szCs w:val="20"/>
          <w:lang w:val="en-US"/>
        </w:rPr>
        <w:fldChar w:fldCharType="separate"/>
      </w:r>
      <w:r w:rsidR="008E301D" w:rsidRPr="00365CAC">
        <w:rPr>
          <w:rFonts w:ascii="Arial" w:hAnsi="Arial" w:cs="Arial"/>
          <w:sz w:val="20"/>
          <w:szCs w:val="20"/>
          <w:lang w:val="en-US"/>
        </w:rPr>
        <w:t>(Morris et al., 2025)</w:t>
      </w:r>
      <w:r w:rsidR="008E301D" w:rsidRPr="00365CAC">
        <w:rPr>
          <w:rFonts w:ascii="Arial" w:hAnsi="Arial" w:cs="Arial"/>
          <w:sz w:val="20"/>
          <w:szCs w:val="20"/>
          <w:lang w:val="en-US"/>
        </w:rPr>
        <w:fldChar w:fldCharType="end"/>
      </w:r>
      <w:r w:rsidR="007825DE" w:rsidRPr="00365CAC">
        <w:rPr>
          <w:rFonts w:ascii="Arial" w:hAnsi="Arial" w:cs="Arial"/>
          <w:sz w:val="20"/>
          <w:szCs w:val="20"/>
          <w:lang w:val="en-US"/>
        </w:rPr>
        <w:t xml:space="preserve">. A diet high in sodium is a risk factor for the development of hypertension </w:t>
      </w:r>
      <w:r w:rsidR="008E301D" w:rsidRPr="00365CAC">
        <w:rPr>
          <w:rFonts w:ascii="Arial" w:hAnsi="Arial" w:cs="Arial"/>
          <w:sz w:val="20"/>
          <w:szCs w:val="20"/>
          <w:lang w:val="en-US"/>
        </w:rPr>
        <w:fldChar w:fldCharType="begin"/>
      </w:r>
      <w:r w:rsidR="008E301D" w:rsidRPr="00365CAC">
        <w:rPr>
          <w:rFonts w:ascii="Arial" w:hAnsi="Arial" w:cs="Arial"/>
          <w:sz w:val="20"/>
          <w:szCs w:val="20"/>
          <w:lang w:val="en-US"/>
        </w:rPr>
        <w:instrText xml:space="preserve"> ADDIN ZOTERO_ITEM CSL_CITATION {"citationID":"ykhwFmAj","properties":{"unsorted":false,"formattedCitation":"(Grillo et al., 2019)","plainCitation":"(Grillo et al., 2019)","noteIndex":0},"citationItems":[{"id":363,"uris":["http://zotero.org/users/local/c6S0FUmy/items/WGRCD85T"],"itemData":{"id":363,"type":"article-journal","abstract":"The close relationship between hypertension and dietary sodium intake is widely recognized and supported by several studies. A reduction in dietary sodium not only decreases the blood pressure and the incidence of hypertension, but is also associated with a reduction in morbidity and mortality from cardiovascular diseases. Prolonged modest reduction in salt intake induces a relevant fall in blood pressure in both hypertensive and normotensive individuals, irrespective of sex and ethnic group, with larger falls in systolic blood pressure for larger reductions in dietary salt. The high sodium intake and the increase in blood pressure levels are related to water retention, increase in systemic peripheral resistance, alterations in the endothelial function, changes in the structure and function of large elastic arteries, modification in sympathetic activity, and in the autonomic neuronal modulation of the cardiovascular system. In this review, we have focused on the effects of sodium intake on vascular hemodynamics and their implication in the pathogenesis of hypertension.","container-title":"Nutrients","DOI":"10.3390/nu11091970","ISSN":"2072-6643","issue":"9","language":"en","license":"http://creativecommons.org/licenses/by/3.0/","page":"1970","publisher":"Multidisciplinary Digital Publishing Institute","source":"www.mdpi.com","title":"Sodium Intake and Hypertension","volume":"11","author":[{"family":"Grillo","given":"Andrea"},{"family":"Salvi","given":"Lucia"},{"family":"Coruzzi","given":"Paolo"},{"family":"Salvi","given":"Paolo"},{"family":"Parati","given":"Gianfranco"}],"issued":{"date-parts":[["2019",9]]}}}],"schema":"https://github.com/citation-style-language/schema/raw/master/csl-citation.json"} </w:instrText>
      </w:r>
      <w:r w:rsidR="008E301D" w:rsidRPr="00365CAC">
        <w:rPr>
          <w:rFonts w:ascii="Arial" w:hAnsi="Arial" w:cs="Arial"/>
          <w:sz w:val="20"/>
          <w:szCs w:val="20"/>
          <w:lang w:val="en-US"/>
        </w:rPr>
        <w:fldChar w:fldCharType="separate"/>
      </w:r>
      <w:r w:rsidR="008E301D" w:rsidRPr="00365CAC">
        <w:rPr>
          <w:rFonts w:ascii="Arial" w:hAnsi="Arial" w:cs="Arial"/>
          <w:sz w:val="20"/>
          <w:szCs w:val="20"/>
          <w:lang w:val="en-US"/>
        </w:rPr>
        <w:t>(Grillo et al., 2019)</w:t>
      </w:r>
      <w:r w:rsidR="008E301D" w:rsidRPr="00365CAC">
        <w:rPr>
          <w:rFonts w:ascii="Arial" w:hAnsi="Arial" w:cs="Arial"/>
          <w:sz w:val="20"/>
          <w:szCs w:val="20"/>
          <w:lang w:val="en-US"/>
        </w:rPr>
        <w:fldChar w:fldCharType="end"/>
      </w:r>
      <w:r w:rsidR="00E85464" w:rsidRPr="00365CAC">
        <w:rPr>
          <w:rFonts w:ascii="Arial" w:hAnsi="Arial" w:cs="Arial"/>
          <w:sz w:val="20"/>
          <w:szCs w:val="20"/>
          <w:lang w:val="en-US"/>
        </w:rPr>
        <w:t>.</w:t>
      </w:r>
      <w:r w:rsidR="001503A8" w:rsidRPr="00365CAC">
        <w:rPr>
          <w:rFonts w:ascii="Arial" w:hAnsi="Arial" w:cs="Arial"/>
          <w:sz w:val="20"/>
          <w:szCs w:val="20"/>
          <w:lang w:val="en-US"/>
        </w:rPr>
        <w:t xml:space="preserve"> </w:t>
      </w:r>
      <w:r w:rsidR="007825DE" w:rsidRPr="00365CAC">
        <w:rPr>
          <w:rFonts w:ascii="Arial" w:hAnsi="Arial" w:cs="Arial"/>
          <w:sz w:val="20"/>
          <w:szCs w:val="20"/>
          <w:lang w:val="en-US"/>
        </w:rPr>
        <w:t xml:space="preserve">The ash content values, ranging from 14 ± 0.03% to 4 ± 0.03% in the majority of Hibiscus cannabinus L. seed accessions, were significantly higher than those of </w:t>
      </w:r>
      <w:r w:rsidR="007825DE" w:rsidRPr="00365CAC">
        <w:rPr>
          <w:rFonts w:ascii="Arial" w:hAnsi="Arial" w:cs="Arial"/>
          <w:i/>
          <w:iCs/>
          <w:sz w:val="20"/>
          <w:szCs w:val="20"/>
          <w:lang w:val="en-US"/>
        </w:rPr>
        <w:t>N</w:t>
      </w:r>
      <w:r w:rsidR="00AE66DF" w:rsidRPr="00365CAC">
        <w:rPr>
          <w:rFonts w:ascii="Arial" w:hAnsi="Arial" w:cs="Arial"/>
          <w:i/>
          <w:iCs/>
          <w:sz w:val="20"/>
          <w:szCs w:val="20"/>
          <w:lang w:val="en-US"/>
        </w:rPr>
        <w:t>e</w:t>
      </w:r>
      <w:r w:rsidR="007825DE" w:rsidRPr="00365CAC">
        <w:rPr>
          <w:rFonts w:ascii="Arial" w:hAnsi="Arial" w:cs="Arial"/>
          <w:i/>
          <w:iCs/>
          <w:sz w:val="20"/>
          <w:szCs w:val="20"/>
          <w:lang w:val="en-US"/>
        </w:rPr>
        <w:t>r</w:t>
      </w:r>
      <w:r w:rsidR="00AE66DF" w:rsidRPr="00365CAC">
        <w:rPr>
          <w:rFonts w:ascii="Arial" w:hAnsi="Arial" w:cs="Arial"/>
          <w:i/>
          <w:iCs/>
          <w:sz w:val="20"/>
          <w:szCs w:val="20"/>
          <w:lang w:val="en-US"/>
        </w:rPr>
        <w:t>e</w:t>
      </w:r>
      <w:r w:rsidR="007825DE" w:rsidRPr="00365CAC">
        <w:rPr>
          <w:rFonts w:ascii="Arial" w:hAnsi="Arial" w:cs="Arial"/>
          <w:sz w:val="20"/>
          <w:szCs w:val="20"/>
          <w:lang w:val="en-US"/>
        </w:rPr>
        <w:t xml:space="preserve"> soumbala reported by Compaoré et al. </w:t>
      </w:r>
      <w:r w:rsidR="006979B7" w:rsidRPr="00365CAC">
        <w:rPr>
          <w:rFonts w:ascii="Arial" w:hAnsi="Arial" w:cs="Arial"/>
          <w:sz w:val="20"/>
          <w:szCs w:val="20"/>
          <w:lang w:val="en-US"/>
        </w:rPr>
        <w:fldChar w:fldCharType="begin"/>
      </w:r>
      <w:r w:rsidR="006979B7" w:rsidRPr="00365CAC">
        <w:rPr>
          <w:rFonts w:ascii="Arial" w:hAnsi="Arial" w:cs="Arial"/>
          <w:sz w:val="20"/>
          <w:szCs w:val="20"/>
          <w:lang w:val="en-US"/>
        </w:rPr>
        <w:instrText xml:space="preserve"> ADDIN ZOTERO_ITEM CSL_CITATION {"citationID":"cnbRax5e","properties":{"unsorted":false,"formattedCitation":"(2020)","plainCitation":"(2020)","noteIndex":0},"citationItems":[{"id":365,"uris":["http://zotero.org/users/local/c6S0FUmy/items/TU65QDFB"],"itemData":{"id":365,"type":"article-journal","abstract":"In this study, three Bacillus subtilis (B7, B9 and B3) and one Bacillus amyloliquefaciens (I8) strains previously selected as potential starter cultures were cultivated on boiled dehulled African locust bean seeds to produce ready to use ferments. These ferments were then used to produce soumbala. The microbial load changes during ferments production were evaluated. Biochemical and microbiological characteristics of the obtained soumbala were also determined using standard methods. Variable growth ability on the carrier material was observed for the tested starters with Bacillus loads ranging between 8.21 and 10.37 Log CFU/g in the ferments. The highest microbial counts were observed for ferments prepared with the starters B9 and B7. These ferments also demonstrated the strongest fermentation capacity of soumbala. The ferment-based dried soumbala had a pH and moisture ranging from 7.17 to 7.37 and 5.67 to 8.46%, respectively. On dry matter (DM) basis, it contained 1.77 to 2.11% of ashes, 41 to 43% of proteins, 37 to 40% of fat and 13 to 15% of carbohydrates. Soumbala prepared with the starter B7 showed the highest content in valine, isoleucine, leucine, phenylalanine, tyrosine and proline.&amp;nbsp;\n\n\t&amp;nbsp;\n\n\tKey words: African locust bean, starter culture, Bacillus, fermentation, soumbala, carrier.","container-title":"African Journal of Biotechnology","DOI":"10.5897/AJB2020.17244","ISSN":"1684-5315","issue":"11","journalAbbreviation":"AJB","language":"english","page":"820-828","publisher":"Academic Journals","source":"academicjournals.org","title":"Development of starter cultures carrier for the production of high quality soumbala, a food condiment based on Parkia biglobosa seeds","volume":"19","author":[{"family":"CompaorÃ©","given":"Clarisse S."},{"family":"Tapsoba","given":"FidÃ¨le W."},{"family":"Parkouda","given":"Charles"},{"family":"Tamboura","given":"DjÃ©nÃ©ba"},{"family":"TraorÃ©","given":"Esther M. A."},{"family":"Diawara","given":"BrÃ©hima"},{"family":"Savadogo","given":"Aly"},{"family":"Jespersen","given":"Lene"},{"family":"Sawadogo-Lingani","given":"HagrÃ©tou"}],"issued":{"date-parts":[["2020",11,30]]}},"suppress-author":true}],"schema":"https://github.com/citation-style-language/schema/raw/master/csl-citation.json"} </w:instrText>
      </w:r>
      <w:r w:rsidR="006979B7" w:rsidRPr="00365CAC">
        <w:rPr>
          <w:rFonts w:ascii="Arial" w:hAnsi="Arial" w:cs="Arial"/>
          <w:sz w:val="20"/>
          <w:szCs w:val="20"/>
          <w:lang w:val="en-US"/>
        </w:rPr>
        <w:fldChar w:fldCharType="separate"/>
      </w:r>
      <w:r w:rsidR="006979B7" w:rsidRPr="00365CAC">
        <w:rPr>
          <w:rFonts w:ascii="Arial" w:hAnsi="Arial" w:cs="Arial"/>
          <w:sz w:val="20"/>
          <w:szCs w:val="20"/>
          <w:lang w:val="en-US"/>
        </w:rPr>
        <w:t>(2020)</w:t>
      </w:r>
      <w:r w:rsidR="006979B7" w:rsidRPr="00365CAC">
        <w:rPr>
          <w:rFonts w:ascii="Arial" w:hAnsi="Arial" w:cs="Arial"/>
          <w:sz w:val="20"/>
          <w:szCs w:val="20"/>
          <w:lang w:val="en-US"/>
        </w:rPr>
        <w:fldChar w:fldCharType="end"/>
      </w:r>
      <w:r w:rsidR="007825DE" w:rsidRPr="00365CAC">
        <w:rPr>
          <w:rFonts w:ascii="Arial" w:hAnsi="Arial" w:cs="Arial"/>
          <w:sz w:val="20"/>
          <w:szCs w:val="20"/>
          <w:lang w:val="en-US"/>
        </w:rPr>
        <w:t xml:space="preserve">, which ranged from 1.77–2.11%, and were also higher than the ash content of </w:t>
      </w:r>
      <w:proofErr w:type="spellStart"/>
      <w:r w:rsidR="007825DE" w:rsidRPr="00365CAC">
        <w:rPr>
          <w:rFonts w:ascii="Arial" w:hAnsi="Arial" w:cs="Arial"/>
          <w:i/>
          <w:iCs/>
          <w:sz w:val="20"/>
          <w:szCs w:val="20"/>
          <w:lang w:val="en-US"/>
        </w:rPr>
        <w:t>n</w:t>
      </w:r>
      <w:r w:rsidR="00AE66DF" w:rsidRPr="00365CAC">
        <w:rPr>
          <w:rFonts w:ascii="Arial" w:hAnsi="Arial" w:cs="Arial"/>
          <w:i/>
          <w:iCs/>
          <w:sz w:val="20"/>
          <w:szCs w:val="20"/>
          <w:lang w:val="en-US"/>
        </w:rPr>
        <w:t>e</w:t>
      </w:r>
      <w:r w:rsidR="007825DE" w:rsidRPr="00365CAC">
        <w:rPr>
          <w:rFonts w:ascii="Arial" w:hAnsi="Arial" w:cs="Arial"/>
          <w:i/>
          <w:iCs/>
          <w:sz w:val="20"/>
          <w:szCs w:val="20"/>
          <w:lang w:val="en-US"/>
        </w:rPr>
        <w:t>r</w:t>
      </w:r>
      <w:r w:rsidR="00AE66DF" w:rsidRPr="00365CAC">
        <w:rPr>
          <w:rFonts w:ascii="Arial" w:hAnsi="Arial" w:cs="Arial"/>
          <w:i/>
          <w:iCs/>
          <w:sz w:val="20"/>
          <w:szCs w:val="20"/>
          <w:lang w:val="en-US"/>
        </w:rPr>
        <w:t>e</w:t>
      </w:r>
      <w:proofErr w:type="spellEnd"/>
      <w:r w:rsidR="007825DE" w:rsidRPr="00365CAC">
        <w:rPr>
          <w:rFonts w:ascii="Arial" w:hAnsi="Arial" w:cs="Arial"/>
          <w:sz w:val="20"/>
          <w:szCs w:val="20"/>
          <w:lang w:val="en-US"/>
        </w:rPr>
        <w:t xml:space="preserve"> soumbala reported by</w:t>
      </w:r>
      <w:r w:rsidR="00D83833" w:rsidRPr="00365CAC">
        <w:rPr>
          <w:rFonts w:ascii="Arial" w:hAnsi="Arial" w:cs="Arial"/>
          <w:sz w:val="20"/>
          <w:szCs w:val="20"/>
          <w:lang w:val="en-US"/>
        </w:rPr>
        <w:t xml:space="preserve"> </w:t>
      </w:r>
      <w:r w:rsidR="00D83833" w:rsidRPr="00365CAC">
        <w:rPr>
          <w:rFonts w:ascii="Arial" w:hAnsi="Arial" w:cs="Arial"/>
          <w:sz w:val="20"/>
          <w:szCs w:val="20"/>
          <w:lang w:val="en-US"/>
        </w:rPr>
        <w:fldChar w:fldCharType="begin"/>
      </w:r>
      <w:r w:rsidR="00D83833" w:rsidRPr="00365CAC">
        <w:rPr>
          <w:rFonts w:ascii="Arial" w:hAnsi="Arial" w:cs="Arial"/>
          <w:sz w:val="20"/>
          <w:szCs w:val="20"/>
          <w:lang w:val="en-US"/>
        </w:rPr>
        <w:instrText xml:space="preserve"> ADDIN ZOTERO_ITEM CSL_CITATION {"citationID":"7VVvBKsN","properties":{"unsorted":false,"formattedCitation":"(Souley et al., 2020)","plainCitation":"(Souley et al., 2020)","noteIndex":0},"citationItems":[{"id":368,"uris":["http://zotero.org/users/local/c6S0FUmy/items/77AHYQIT"],"itemData":{"id":368,"type":"article-journal","container-title":"European Scientific Journal ESJ","DOI":"10.19044/esj.2020.v16n3p224","ISSN":"18577881, 18577431","issue":"3","journalAbbreviation":"ESJ","language":"fr","source":"DOI.org (Crossref)","title":"Caractérisation Biochimique et Microbiologique de Soumbala de néré (Parkia biglobosa) et d’oseille de Guinée (Hibiscus sabdariffa) Produits au Niger","URL":"http://eujournal.org/index.php/esj/article/view/12684","volume":"16","author":[{"family":"Souley","given":"Roukaya Abdou"},{"family":"Diadié","given":"Halima Oumarou"},{"family":"Abdelkader","given":"Alio Sanda"},{"family":"Yacoubou","given":"Bakasso"},{"family":"Balla","given":"Abdourahamane"}],"accessed":{"date-parts":[["2026",5,18]]},"issued":{"date-parts":[["2020",1,31]]}}}],"schema":"https://github.com/citation-style-language/schema/raw/master/csl-citation.json"} </w:instrText>
      </w:r>
      <w:r w:rsidR="00D83833" w:rsidRPr="00365CAC">
        <w:rPr>
          <w:rFonts w:ascii="Arial" w:hAnsi="Arial" w:cs="Arial"/>
          <w:sz w:val="20"/>
          <w:szCs w:val="20"/>
          <w:lang w:val="en-US"/>
        </w:rPr>
        <w:fldChar w:fldCharType="separate"/>
      </w:r>
      <w:r w:rsidR="00D83833" w:rsidRPr="00365CAC">
        <w:rPr>
          <w:rFonts w:ascii="Arial" w:hAnsi="Arial" w:cs="Arial"/>
          <w:sz w:val="20"/>
          <w:szCs w:val="20"/>
          <w:lang w:val="en-US"/>
        </w:rPr>
        <w:t>(Souley et al., 2020)</w:t>
      </w:r>
      <w:r w:rsidR="00D83833" w:rsidRPr="00365CAC">
        <w:rPr>
          <w:rFonts w:ascii="Arial" w:hAnsi="Arial" w:cs="Arial"/>
          <w:sz w:val="20"/>
          <w:szCs w:val="20"/>
          <w:lang w:val="en-US"/>
        </w:rPr>
        <w:fldChar w:fldCharType="end"/>
      </w:r>
      <w:r w:rsidR="007825DE" w:rsidRPr="00365CAC">
        <w:rPr>
          <w:rFonts w:ascii="Arial" w:hAnsi="Arial" w:cs="Arial"/>
          <w:sz w:val="20"/>
          <w:szCs w:val="20"/>
          <w:lang w:val="en-US"/>
        </w:rPr>
        <w:t xml:space="preserve"> , which was 2.55 ± 0.07%. </w:t>
      </w:r>
      <w:r w:rsidR="00A64CC6" w:rsidRPr="00365CAC">
        <w:rPr>
          <w:rFonts w:ascii="Arial" w:hAnsi="Arial" w:cs="Arial"/>
          <w:sz w:val="20"/>
          <w:szCs w:val="20"/>
          <w:lang w:val="en-US"/>
        </w:rPr>
        <w:t xml:space="preserve">These relatively high levels indicate that the ash content reflects the totality of the inorganic matter present in a food sample. These high ash levels could point to a high mineral content in the food product derived from this natural source </w:t>
      </w:r>
      <w:r w:rsidR="00D83833" w:rsidRPr="00365CAC">
        <w:rPr>
          <w:rFonts w:ascii="Arial" w:hAnsi="Arial" w:cs="Arial"/>
          <w:sz w:val="20"/>
          <w:szCs w:val="20"/>
          <w:lang w:val="en-US"/>
        </w:rPr>
        <w:fldChar w:fldCharType="begin"/>
      </w:r>
      <w:r w:rsidR="00D83833" w:rsidRPr="00365CAC">
        <w:rPr>
          <w:rFonts w:ascii="Arial" w:hAnsi="Arial" w:cs="Arial"/>
          <w:sz w:val="20"/>
          <w:szCs w:val="20"/>
          <w:lang w:val="en-US"/>
        </w:rPr>
        <w:instrText xml:space="preserve"> ADDIN ZOTERO_ITEM CSL_CITATION {"citationID":"VwTOMJyi","properties":{"unsorted":false,"formattedCitation":"(Elegbede et al., 2023)","plainCitation":"(Elegbede et al., 2023)","noteIndex":0},"citationItems":[{"id":447,"uris":["http://zotero.org/users/local/c6S0FUmy/items/LT27D5VB"],"itemData":{"id":447,"type":"webpage","title":"Chemical compositions of bivalves shells: Anadara senilis, Crassostrea gasar, and Mytilus edulis and their potential for a sustainable circular economy | Discover Applied Sciences | Springer Nature Link","URL":"https://link.springer.com/article/10.1007/s42452-022-05267-7","author":[{"family":"Elegbede","given":"Isa"},{"family":"Lawal-Are","given":"Aderonke"},{"family":"ogunlana","given":"Faveur","non-dropping-particle":"d'"}],"accessed":{"date-parts":[["2026",5,22]]},"issued":{"date-parts":[["2023"]]}}}],"schema":"https://github.com/citation-style-language/schema/raw/master/csl-citation.json"} </w:instrText>
      </w:r>
      <w:r w:rsidR="00D83833" w:rsidRPr="00365CAC">
        <w:rPr>
          <w:rFonts w:ascii="Arial" w:hAnsi="Arial" w:cs="Arial"/>
          <w:sz w:val="20"/>
          <w:szCs w:val="20"/>
          <w:lang w:val="en-US"/>
        </w:rPr>
        <w:fldChar w:fldCharType="separate"/>
      </w:r>
      <w:r w:rsidR="00D83833" w:rsidRPr="00365CAC">
        <w:rPr>
          <w:rFonts w:ascii="Arial" w:hAnsi="Arial" w:cs="Arial"/>
          <w:sz w:val="20"/>
          <w:szCs w:val="20"/>
          <w:lang w:val="en-US"/>
        </w:rPr>
        <w:t>(Elegbede et al., 2023)</w:t>
      </w:r>
      <w:r w:rsidR="00D83833" w:rsidRPr="00365CAC">
        <w:rPr>
          <w:rFonts w:ascii="Arial" w:hAnsi="Arial" w:cs="Arial"/>
          <w:sz w:val="20"/>
          <w:szCs w:val="20"/>
          <w:lang w:val="en-US"/>
        </w:rPr>
        <w:fldChar w:fldCharType="end"/>
      </w:r>
      <w:r w:rsidR="00A64CC6" w:rsidRPr="00365CAC">
        <w:rPr>
          <w:rFonts w:ascii="Arial" w:hAnsi="Arial" w:cs="Arial"/>
          <w:sz w:val="20"/>
          <w:szCs w:val="20"/>
          <w:lang w:val="en-US"/>
        </w:rPr>
        <w:t>.</w:t>
      </w:r>
      <w:r w:rsidR="007825DE" w:rsidRPr="00365CAC">
        <w:rPr>
          <w:rFonts w:ascii="Arial" w:hAnsi="Arial" w:cs="Arial"/>
          <w:sz w:val="20"/>
          <w:szCs w:val="20"/>
          <w:lang w:val="en-US"/>
        </w:rPr>
        <w:t xml:space="preserve"> Furthermore, the determination of the moisture content of the </w:t>
      </w:r>
      <w:r w:rsidR="007825DE" w:rsidRPr="00365CAC">
        <w:rPr>
          <w:rFonts w:ascii="Arial" w:hAnsi="Arial" w:cs="Arial"/>
          <w:i/>
          <w:iCs/>
          <w:sz w:val="20"/>
          <w:szCs w:val="20"/>
          <w:lang w:val="en-US"/>
        </w:rPr>
        <w:t>Hibiscus cannabinus</w:t>
      </w:r>
      <w:r w:rsidR="007825DE" w:rsidRPr="00365CAC">
        <w:rPr>
          <w:rFonts w:ascii="Arial" w:hAnsi="Arial" w:cs="Arial"/>
          <w:sz w:val="20"/>
          <w:szCs w:val="20"/>
          <w:lang w:val="en-US"/>
        </w:rPr>
        <w:t xml:space="preserve"> L. seed powder reveals a range of relatively high values for all the accessions studied, </w:t>
      </w:r>
      <w:r w:rsidR="007825DE" w:rsidRPr="00365CAC">
        <w:rPr>
          <w:rFonts w:ascii="Arial" w:hAnsi="Arial" w:cs="Arial"/>
          <w:sz w:val="20"/>
          <w:szCs w:val="20"/>
          <w:lang w:val="en-US"/>
        </w:rPr>
        <w:lastRenderedPageBreak/>
        <w:t xml:space="preserve">ranging from 93.99 ± 0.07% to 88.59 ± 0.05%. These results are higher than those reported by Abd </w:t>
      </w:r>
      <w:r w:rsidR="00BC4841" w:rsidRPr="00365CAC">
        <w:rPr>
          <w:rFonts w:ascii="Arial" w:hAnsi="Arial" w:cs="Arial"/>
          <w:sz w:val="20"/>
          <w:szCs w:val="20"/>
          <w:lang w:val="en-US"/>
        </w:rPr>
        <w:fldChar w:fldCharType="begin"/>
      </w:r>
      <w:r w:rsidR="00B77967" w:rsidRPr="00365CAC">
        <w:rPr>
          <w:rFonts w:ascii="Arial" w:hAnsi="Arial" w:cs="Arial"/>
          <w:sz w:val="20"/>
          <w:szCs w:val="20"/>
          <w:lang w:val="en-US"/>
        </w:rPr>
        <w:instrText xml:space="preserve"> ADDIN ZOTERO_ITEM CSL_CITATION {"citationID":"mabknnDA","properties":{"unsorted":false,"formattedCitation":"(Shikha et al., 2023b)","plainCitation":"(Shikha et al., 2023b)","dontUpdate":true,"noteIndex":0},"citationItems":[{"id":393,"uris":["http://zotero.org/users/local/c6S0FUmy/items/MDJMHDFL"],"itemData":{"id":393,"type":"chapter","abstract":"Hibiscus cannabinus (kenaf) is part of the family Malcaveae, a tall yearly herbaceous woody plant with high fiber, energy, and feedstock. Traditionally used as an herbal medicine, as flavouring agent in food industries and in various herbal drinks. Consumers generally show keen interest in natural plant-based food products having health properties. Kenaf and its parts particularly seeds are the rich source of vital nutrients and outstanding source for value added plant-based foods. Along with this, it is also good source of phytocompounds, antioxidant vitamins and amino acids, which are accountable for its antioxidant properties and pharmacological merits. The plant exhibits anti-oxidant, anti-microbial, anti-diabetic, hepatoprotective, antihypertensive, anti-cholesterol, and other therapeutic properties. Possessing high nutritional content and an important source of natural antioxidants, Hibiscus cannabinus can be utilized as a nutraceutical source and also as functional foods. The fibers of kenaf are not only used for pulping and cordage of paper but also are a promising bio-energy lingo-cellulosic feedstock. Oil from its seeds might be utilized for cooking and various industrial uses. The current chapter delves into history, present production trends, botany and nutritional profile Hibiscus cannabinus . The bioactive profile and health benefits interests of Hibiscus cannabinus will also be highlighted on the conditions with the researches in support with the systematic scientific approaches. The chapter concludes with a discussion of kenaf 's potential industrial applications. The industries and scientists can utilize this natural plant source as value added food source which might be of great significance for industries as well as human kind.","container-title":"Harvesting Food from Weeds","DOI":"10.1002/9781119793007.ch8","ISBN":"978-1-119-79300-7","language":"en","license":"© 2023 Scrivener Publishing LLC","note":"section: 8\n_eprint: https://onlinelibrary.wiley.com/doi/pdf/10.1002/9781119793007.ch8\nDOI: 10.1002/9781119793007.ch8","page":"267-326","publisher":"John Wiley &amp; Sons, Ltd","source":"Wiley Online Library","title":"Hibiscus cannabinus","URL":"https://onlinelibrary.wiley.com/doi/abs/10.1002/9781119793007.ch8","author":[{"family":"Shikha","given":"Deep"},{"family":"Kashyap","given":"Piyush"},{"family":"Thakur","given":"Abhimanyu"},{"family":"Sharma","given":"Madhusudan"}],"accessed":{"date-parts":[["2026",5,18]]},"issued":{"date-parts":[["2023"]]}}}],"schema":"https://github.com/citation-style-language/schema/raw/master/csl-citation.json"} </w:instrText>
      </w:r>
      <w:r w:rsidR="00BC4841" w:rsidRPr="00365CAC">
        <w:rPr>
          <w:rFonts w:ascii="Arial" w:hAnsi="Arial" w:cs="Arial"/>
          <w:sz w:val="20"/>
          <w:szCs w:val="20"/>
          <w:lang w:val="en-US"/>
        </w:rPr>
        <w:fldChar w:fldCharType="separate"/>
      </w:r>
      <w:r w:rsidR="00BC4841" w:rsidRPr="00365CAC">
        <w:rPr>
          <w:rFonts w:ascii="Arial" w:hAnsi="Arial" w:cs="Arial"/>
          <w:sz w:val="20"/>
          <w:szCs w:val="20"/>
          <w:lang w:val="en-US"/>
        </w:rPr>
        <w:t>(Shikha et al., 2023)</w:t>
      </w:r>
      <w:r w:rsidR="00BC4841" w:rsidRPr="00365CAC">
        <w:rPr>
          <w:rFonts w:ascii="Arial" w:hAnsi="Arial" w:cs="Arial"/>
          <w:sz w:val="20"/>
          <w:szCs w:val="20"/>
          <w:lang w:val="en-US"/>
        </w:rPr>
        <w:fldChar w:fldCharType="end"/>
      </w:r>
      <w:r w:rsidR="007825DE" w:rsidRPr="00365CAC">
        <w:rPr>
          <w:rFonts w:ascii="Arial" w:hAnsi="Arial" w:cs="Arial"/>
          <w:sz w:val="20"/>
          <w:szCs w:val="20"/>
          <w:lang w:val="en-US"/>
        </w:rPr>
        <w:t xml:space="preserve">, which ranged from 73% to 90% for </w:t>
      </w:r>
      <w:r w:rsidR="007825DE" w:rsidRPr="00365CAC">
        <w:rPr>
          <w:rFonts w:ascii="Arial" w:hAnsi="Arial" w:cs="Arial"/>
          <w:i/>
          <w:iCs/>
          <w:sz w:val="20"/>
          <w:szCs w:val="20"/>
          <w:lang w:val="en-US"/>
        </w:rPr>
        <w:t>Hibiscus cannabinus</w:t>
      </w:r>
      <w:r w:rsidR="007825DE" w:rsidRPr="00365CAC">
        <w:rPr>
          <w:rFonts w:ascii="Arial" w:hAnsi="Arial" w:cs="Arial"/>
          <w:sz w:val="20"/>
          <w:szCs w:val="20"/>
          <w:lang w:val="en-US"/>
        </w:rPr>
        <w:t xml:space="preserve"> L. seeds as well. </w:t>
      </w:r>
    </w:p>
    <w:p w14:paraId="7FC44395" w14:textId="5CCA3600" w:rsidR="00557B95" w:rsidRPr="00365CAC" w:rsidRDefault="007825DE" w:rsidP="002334EB">
      <w:pPr>
        <w:spacing w:line="360" w:lineRule="auto"/>
        <w:jc w:val="both"/>
        <w:rPr>
          <w:rFonts w:ascii="Arial" w:hAnsi="Arial" w:cs="Arial"/>
          <w:sz w:val="20"/>
          <w:szCs w:val="20"/>
          <w:lang w:val="en-US"/>
        </w:rPr>
      </w:pPr>
      <w:r w:rsidRPr="00365CAC">
        <w:rPr>
          <w:rFonts w:ascii="Arial" w:hAnsi="Arial" w:cs="Arial"/>
          <w:sz w:val="20"/>
          <w:szCs w:val="20"/>
          <w:lang w:val="en-US"/>
        </w:rPr>
        <w:t>The differences observed between these various values could be explained by various environmental factors</w:t>
      </w:r>
      <w:r w:rsidR="00306C54" w:rsidRPr="00365CAC">
        <w:rPr>
          <w:rFonts w:ascii="Arial" w:hAnsi="Arial" w:cs="Arial"/>
          <w:sz w:val="20"/>
          <w:szCs w:val="20"/>
          <w:lang w:val="en-US"/>
        </w:rPr>
        <w:t xml:space="preserve"> </w:t>
      </w:r>
      <w:r w:rsidR="00306C54" w:rsidRPr="00365CAC">
        <w:rPr>
          <w:rFonts w:ascii="Arial" w:hAnsi="Arial" w:cs="Arial"/>
          <w:sz w:val="20"/>
          <w:szCs w:val="20"/>
          <w:lang w:val="en-US"/>
        </w:rPr>
        <w:fldChar w:fldCharType="begin"/>
      </w:r>
      <w:r w:rsidR="00306C54" w:rsidRPr="00365CAC">
        <w:rPr>
          <w:rFonts w:ascii="Arial" w:hAnsi="Arial" w:cs="Arial"/>
          <w:sz w:val="20"/>
          <w:szCs w:val="20"/>
          <w:lang w:val="en-US"/>
        </w:rPr>
        <w:instrText xml:space="preserve"> ADDIN ZOTERO_ITEM CSL_CITATION {"citationID":"NRdnITZL","properties":{"unsorted":false,"formattedCitation":"(N\\uc0\\u8217{}Do et al., 2024)","plainCitation":"(N’Do et al., 2024)","noteIndex":0},"citationItems":[{"id":443,"uris":["http://zotero.org/users/local/c6S0FUmy/items/VFJ7D6MA"],"itemData":{"id":443,"type":"article-journal","abstract":"Background: In Burkina Faso, plant-based products are widely used by city dwellers to treat and/or prevent various diseases and ailments. Due to rapid population growth, the demand for plant products is increasing with high harvesting pressure on medicinal plants. This pressure combined with the erosion of indigenous knowledge related to medicinal use of plants, compromise the conservation and sustainable use of these plants. To this end, this study aimed to develop a checklist of medicinal plants used for human health in cities, as well as their applications.\nMethods: Ethnobotanical surveys were conducted from March 3, 2020, to December 15, 2020 in the city of Ouagadougou to account for plant availability based on their phenological occurrences. A total of 155 participants involved in traditional medicine (herbalists and healers) were interviewed using semi-structured approach.\nResults: A total of 42 plant species, comprising herbaceous and wood species were identified as medicinal plants and used for the treatment of seven disease categories. Results also indicated that liver diseases were the main category for which medicinal plants are highly demanded. Leaves and trunk bark were the most commonly used parts.  The most frequently cited method of preparation (58%) was decoction.\nConclusions: This study revealed that medicinal plant species supports the treatment of diseases for which conventional medicine failed to provide curative solutions such as liver diseases. Our findings are useful for guiding future investigations on quality control of plant-based products in the treatment of diseases by demonstrating their ethnopharmacological relevance.\nKeywords: Ethnobotany, Traditional medicine, Human health","container-title":"Ethnobotany Research and Applications","ISSN":"1547-3465","language":"en","license":"Copyright (c) 2024 Jotham Yhi-pênê N'Do, Dramane Paré, Loyapin Bondé, Samson Guenne, Adama Hilou, Martin Kiendrebeogo","page":"1-15","source":"ethnobotanyjournal.org","title":"Indigenous knowledge and uses of medicinal plants in Ouagadougou, Burkina Faso","volume":"29","author":[{"family":"N'Do","given":"Jotham Yhi-pênê"},{"family":"Paré","given":"Dramane"},{"family":"Bondé","given":"Loyapin"},{"family":"Guenne","given":"Samson"},{"family":"Hilou","given":"Adama"},{"family":"Kiendrebeogo","given":"Martin"}],"issued":{"date-parts":[["2024",6,25]]}}}],"schema":"https://github.com/citation-style-language/schema/raw/master/csl-citation.json"} </w:instrText>
      </w:r>
      <w:r w:rsidR="00306C54" w:rsidRPr="00365CAC">
        <w:rPr>
          <w:rFonts w:ascii="Arial" w:hAnsi="Arial" w:cs="Arial"/>
          <w:sz w:val="20"/>
          <w:szCs w:val="20"/>
          <w:lang w:val="en-US"/>
        </w:rPr>
        <w:fldChar w:fldCharType="separate"/>
      </w:r>
      <w:r w:rsidR="00306C54" w:rsidRPr="00365CAC">
        <w:rPr>
          <w:rFonts w:ascii="Arial" w:hAnsi="Arial" w:cs="Arial"/>
          <w:kern w:val="0"/>
          <w:sz w:val="20"/>
          <w:szCs w:val="20"/>
          <w:lang w:val="en-US"/>
        </w:rPr>
        <w:t>(N’Do et al., 2024)</w:t>
      </w:r>
      <w:r w:rsidR="00306C54" w:rsidRPr="00365CAC">
        <w:rPr>
          <w:rFonts w:ascii="Arial" w:hAnsi="Arial" w:cs="Arial"/>
          <w:sz w:val="20"/>
          <w:szCs w:val="20"/>
          <w:lang w:val="en-US"/>
        </w:rPr>
        <w:fldChar w:fldCharType="end"/>
      </w:r>
      <w:r w:rsidRPr="00365CAC">
        <w:rPr>
          <w:rFonts w:ascii="Arial" w:hAnsi="Arial" w:cs="Arial"/>
          <w:sz w:val="20"/>
          <w:szCs w:val="20"/>
          <w:lang w:val="en-US"/>
        </w:rPr>
        <w:t>: ambient humidity, soil characteristics, irrigation methods and frequency, as well as the time of year when the crop is harvested, all of which can have a significant influence on the water content of the seeds and may compromise their quality</w:t>
      </w:r>
      <w:r w:rsidR="00B86391" w:rsidRPr="00365CAC">
        <w:rPr>
          <w:rFonts w:ascii="Arial" w:hAnsi="Arial" w:cs="Arial"/>
          <w:sz w:val="20"/>
          <w:szCs w:val="20"/>
          <w:lang w:val="en-US"/>
        </w:rPr>
        <w:t xml:space="preserve"> </w:t>
      </w:r>
      <w:r w:rsidR="00306C54" w:rsidRPr="00365CAC">
        <w:rPr>
          <w:rFonts w:ascii="Arial" w:hAnsi="Arial" w:cs="Arial"/>
          <w:sz w:val="20"/>
          <w:szCs w:val="20"/>
          <w:lang w:val="en-US"/>
        </w:rPr>
        <w:fldChar w:fldCharType="begin"/>
      </w:r>
      <w:r w:rsidR="00306C54" w:rsidRPr="00365CAC">
        <w:rPr>
          <w:rFonts w:ascii="Arial" w:hAnsi="Arial" w:cs="Arial"/>
          <w:sz w:val="20"/>
          <w:szCs w:val="20"/>
          <w:lang w:val="en-US"/>
        </w:rPr>
        <w:instrText xml:space="preserve"> ADDIN ZOTERO_ITEM CSL_CITATION {"citationID":"x0bWrFbZ","properties":{"unsorted":false,"formattedCitation":"(N\\uc0\\u8217{}Do et al., 2025)","plainCitation":"(N’Do et al., 2025)","noteIndex":0},"citationItems":[{"id":449,"uris":["http://zotero.org/users/local/c6S0FUmy/items/T66BJIIW"],"itemData":{"id":449,"type":"article-journal","abstract":"Aims: The objective of this study was to evaluate the phytochemical composition and antimicrobial activities of Terminalia avicennoides, Terminalia macroptera, and Argemone mexicana, three plants used in traditional medicine in Burkina Faso. Study Design: This work is experimental research aiming to produce scientific information on the effectiveness of these plants in the treatment of malaria, bacterial and fungal diseases. Place and Duration of Study: The Pharmacognosy Laboratory at the National Center for Training and Research on Malaria (CNRFP) in Ouagadougou (Burkina Faso) served as the framework for carrying out research activities from July 25, 2022 to April 24, 2023. Methodology: Ethanolic and hydroethanolic extracts were prepared from the leaves of T. avicennoides, the roots of T. macroptera, and the aerial parts of A. mexicana. After qualitative screening, the total phenolic, flavonoid, and flavonol contents were determined. Antiplasmodial activity was tested in vitro on the 3D7 strain of Plasmodium falciparum. Antimicrobial activity was evaluated against six bacteria and a strain of Candida albicans. The cytotoxicity of the extracts was measured by a hemolysis test. Results: The presence of alkaloids, flavonoids, tannins, and quinones has been confirmed in the extracts except the saponins were not found in the ethanolic extract of three plants. The ethanolic extract of A. mexicana showed excellent antiplasmodial activity (IC</w:instrText>
      </w:r>
      <w:r w:rsidR="00306C54" w:rsidRPr="00365CAC">
        <w:rPr>
          <w:rFonts w:ascii="Cambria Math" w:hAnsi="Cambria Math" w:cs="Cambria Math"/>
          <w:sz w:val="20"/>
          <w:szCs w:val="20"/>
          <w:lang w:val="en-US"/>
        </w:rPr>
        <w:instrText>₅₀</w:instrText>
      </w:r>
      <w:r w:rsidR="00306C54" w:rsidRPr="00365CAC">
        <w:rPr>
          <w:rFonts w:ascii="Arial" w:hAnsi="Arial" w:cs="Arial"/>
          <w:sz w:val="20"/>
          <w:szCs w:val="20"/>
          <w:lang w:val="en-US"/>
        </w:rPr>
        <w:instrText xml:space="preserve"> = 2.797 ± 0.54 µg/mL), followed by that of T. avicennoides (IC</w:instrText>
      </w:r>
      <w:r w:rsidR="00306C54" w:rsidRPr="00365CAC">
        <w:rPr>
          <w:rFonts w:ascii="Cambria Math" w:hAnsi="Cambria Math" w:cs="Cambria Math"/>
          <w:sz w:val="20"/>
          <w:szCs w:val="20"/>
          <w:lang w:val="en-US"/>
        </w:rPr>
        <w:instrText>₅₀</w:instrText>
      </w:r>
      <w:r w:rsidR="00306C54" w:rsidRPr="00365CAC">
        <w:rPr>
          <w:rFonts w:ascii="Arial" w:hAnsi="Arial" w:cs="Arial"/>
          <w:sz w:val="20"/>
          <w:szCs w:val="20"/>
          <w:lang w:val="en-US"/>
        </w:rPr>
        <w:instrText xml:space="preserve"> = 3.013 ± 0.22 µg/mL). However, extracts of A. mexicana were inactive against all microbial strains tested. Extracts of T. avicennoides showed the best antibacterial activity, particularly against Staphylococcus epidermidis (17 ± 1.77 mm). All extracts showed very low hemolytic toxicity. Conclusion: These results validate the traditional use of these plants. Argemone mexicana is a promising source for new antimalarial drugs, while Terminalia avicennoides shows great potential for the development of antibacterial therapies.","container-title":"Journal of Advances in Microbiology","DOI":"10.9734/jamb/2025/v25i111012","journalAbbreviation":"Journal of Advances in Microbiology","page":"21-36","source":"ResearchGate","title":"Evaluation of Phytochemical Composition and Antimicrobial Activities of Terminalia avicennoides, Terminalia macroptera, and Argemone mexicana Used as Traditional Medicine in Burkina Faso","volume":"25","author":[{"family":"N’Do","given":"Jotham"},{"family":"SORE","given":"Harouna"},{"family":"SANOU","given":"Safiatou"},{"family":"SAVADOGO","given":"Paulin"},{"family":"DIARRA","given":"Lidwine"},{"family":"SAWADOGO","given":"Assetou"},{"family":"KABORE","given":"Farida"},{"family":"Sanou","given":"Guillaume"},{"family":"Mindiédiba Jean","given":"Bangou"}],"issued":{"date-parts":[["2025",11,3]]}}}],"schema":"https://github.com/citation-style-language/schema/raw/master/csl-citation.json"} </w:instrText>
      </w:r>
      <w:r w:rsidR="00306C54" w:rsidRPr="00365CAC">
        <w:rPr>
          <w:rFonts w:ascii="Arial" w:hAnsi="Arial" w:cs="Arial"/>
          <w:sz w:val="20"/>
          <w:szCs w:val="20"/>
          <w:lang w:val="en-US"/>
        </w:rPr>
        <w:fldChar w:fldCharType="separate"/>
      </w:r>
      <w:r w:rsidR="00306C54" w:rsidRPr="00365CAC">
        <w:rPr>
          <w:rFonts w:ascii="Arial" w:hAnsi="Arial" w:cs="Arial"/>
          <w:kern w:val="0"/>
          <w:sz w:val="20"/>
          <w:szCs w:val="20"/>
          <w:lang w:val="en-US"/>
        </w:rPr>
        <w:t>(N’Do et al., 2025)</w:t>
      </w:r>
      <w:r w:rsidR="00306C54" w:rsidRPr="00365CAC">
        <w:rPr>
          <w:rFonts w:ascii="Arial" w:hAnsi="Arial" w:cs="Arial"/>
          <w:sz w:val="20"/>
          <w:szCs w:val="20"/>
          <w:lang w:val="en-US"/>
        </w:rPr>
        <w:fldChar w:fldCharType="end"/>
      </w:r>
      <w:r w:rsidRPr="00365CAC">
        <w:rPr>
          <w:rFonts w:ascii="Arial" w:hAnsi="Arial" w:cs="Arial"/>
          <w:sz w:val="20"/>
          <w:szCs w:val="20"/>
          <w:lang w:val="en-US"/>
        </w:rPr>
        <w:t>. Indeed, high moisture content promotes microbial growth and negatively affects the organoleptic, commercial, and hygienic qualities of foodstuffs</w:t>
      </w:r>
      <w:r w:rsidR="003B14FA" w:rsidRPr="00365CAC">
        <w:rPr>
          <w:rFonts w:ascii="Arial" w:hAnsi="Arial" w:cs="Arial"/>
          <w:sz w:val="20"/>
          <w:szCs w:val="20"/>
          <w:lang w:val="en-US"/>
        </w:rPr>
        <w:t xml:space="preserve"> </w:t>
      </w:r>
      <w:r w:rsidR="003B14FA" w:rsidRPr="00365CAC">
        <w:rPr>
          <w:rFonts w:ascii="Arial" w:hAnsi="Arial" w:cs="Arial"/>
          <w:sz w:val="20"/>
          <w:szCs w:val="20"/>
          <w:lang w:val="en-US"/>
        </w:rPr>
        <w:fldChar w:fldCharType="begin"/>
      </w:r>
      <w:r w:rsidR="003B14FA" w:rsidRPr="00365CAC">
        <w:rPr>
          <w:rFonts w:ascii="Arial" w:hAnsi="Arial" w:cs="Arial"/>
          <w:sz w:val="20"/>
          <w:szCs w:val="20"/>
          <w:lang w:val="en-US"/>
        </w:rPr>
        <w:instrText xml:space="preserve"> ADDIN ZOTERO_ITEM CSL_CITATION {"citationID":"xD0GeK9N","properties":{"unsorted":false,"formattedCitation":"(N\\uc0\\u8217{}do et al., 2025)","plainCitation":"(N’do et al., 2025)","noteIndex":0},"citationItems":[{"id":441,"uris":["http://zotero.org/users/local/c6S0FUmy/items/3YT6DLN2"],"itemData":{"id":441,"type":"article-journal","abstract":"Ethnobotanical aspects\nBurkina Faso has great potential in terms of medicinal plants. These plants have been used to treat many illnesses since time immemorial, both in rural and urban areas.\nAim of study\nMedicinal plants sold in urban areas are generally adulterated. Suspicions of ineffectiveness and toxicity by some users call into question the benefits of using these highly prized medicinal plants. In the light of an ethnobotanical survey on the use of medicinal plants in the city of Ouagadougou, thirteen medicinal plant parts were identified as the most widely used and of greatest economic interest to the sellers of these herbal products. Given the storage conditions of these medicinal plant parts in market stalls, it was important to carry out a quality control.\nMaterials and methods\nThe medicinal plant parts were collected and their equivalents were purchased from the stalls of three selected markets after the ethnobotanical survey. Samples of various origins had undergone comparative analysis for the microbiological quality of the plant extracts according to International Organization for Standardization 4832. The impact of storage conditions on the phytochemical composition and antioxidant properties through the Reduction of 2,2′-azinobis-(3-ethylbenzothiazoline-6-sulfonic acid), the Free radical scavenging power 1,1-diphenyl-2-picrylhydrazyl and the ferric reducing antioxidant power methods were also taken into account.\nResults\nThe microbial enumeration test revealed an excellent quality of the medicinal plant parts harvested and preserved under laboratory conditions (AdT: 0.02± 0.0001 × 106 CFU/g) compared with those acquired from the various markets (Ad1: 73.07 ± 1.42 × 106 CFU/g). Adansonia digitata extracts from markets 1 and 3 revealed the absence of total polyphenols and tannins compared to samples harvested and processed under laboratory conditions. The best anti-radical capacity was recorded for the decoction extract of Piliostigma reticulatum stored under laboratory conditions with a value of 59.91 ± 0.25 µgAAE/100 mg.\nConclusion\nThe storage conditions of medicinal plants had an impact on the content of secondary metabolites and, at the same time, on the antioxidant properties of plant extracts. A significant difference between the values of different parameters of samples from different environmental conditions allowed defining recommendations for better product quality. These results will help to improve the quality of medicinal plants sold in Ouagadougou.","container-title":"Results in Engineering","DOI":"10.1016/j.rineng.2025.106300","ISSN":"2590-1230","journalAbbreviation":"Results in Engineering","page":"106300","source":"ScienceDirect","title":"Ethnobotany and quality control of bioproducts: Sustainable management of natural resources in urban environments","title-short":"Ethnobotany and quality control of bioproducts","volume":"27","author":[{"family":"N’do","given":"Jotham Yhi-pênê"},{"family":"Paré","given":"Dramane"},{"family":"Soré","given":"Harouna"},{"family":"Sombié","given":"Ernest Nogma"},{"family":"Bangou","given":"Mindiédiba Jean"},{"family":"Hilou","given":"Adama"},{"family":"Kiendrébéogo","given":"Martin"}],"issued":{"date-parts":[["2025",9,1]]}}}],"schema":"https://github.com/citation-style-language/schema/raw/master/csl-citation.json"} </w:instrText>
      </w:r>
      <w:r w:rsidR="003B14FA" w:rsidRPr="00365CAC">
        <w:rPr>
          <w:rFonts w:ascii="Arial" w:hAnsi="Arial" w:cs="Arial"/>
          <w:sz w:val="20"/>
          <w:szCs w:val="20"/>
          <w:lang w:val="en-US"/>
        </w:rPr>
        <w:fldChar w:fldCharType="separate"/>
      </w:r>
      <w:r w:rsidR="003B14FA" w:rsidRPr="00365CAC">
        <w:rPr>
          <w:rFonts w:ascii="Arial" w:hAnsi="Arial" w:cs="Arial"/>
          <w:kern w:val="0"/>
          <w:sz w:val="20"/>
          <w:szCs w:val="20"/>
          <w:lang w:val="en-US"/>
        </w:rPr>
        <w:t>(N’do et al., 2025)</w:t>
      </w:r>
      <w:r w:rsidR="003B14FA" w:rsidRPr="00365CAC">
        <w:rPr>
          <w:rFonts w:ascii="Arial" w:hAnsi="Arial" w:cs="Arial"/>
          <w:sz w:val="20"/>
          <w:szCs w:val="20"/>
          <w:lang w:val="en-US"/>
        </w:rPr>
        <w:fldChar w:fldCharType="end"/>
      </w:r>
      <w:r w:rsidRPr="00365CAC">
        <w:rPr>
          <w:rFonts w:ascii="Arial" w:hAnsi="Arial" w:cs="Arial"/>
          <w:sz w:val="20"/>
          <w:szCs w:val="20"/>
          <w:lang w:val="en-US"/>
        </w:rPr>
        <w:t xml:space="preserve">. Carbohydrate analysis reveals levels strictly above 40% for the majority of accessions (55 ± 2.81%). Our results are higher than those reported by Souley et al. </w:t>
      </w:r>
      <w:r w:rsidR="0047130D" w:rsidRPr="00365CAC">
        <w:rPr>
          <w:rFonts w:ascii="Arial" w:hAnsi="Arial" w:cs="Arial"/>
          <w:sz w:val="20"/>
          <w:szCs w:val="20"/>
          <w:lang w:val="en-US"/>
        </w:rPr>
        <w:fldChar w:fldCharType="begin"/>
      </w:r>
      <w:r w:rsidR="0047130D" w:rsidRPr="00365CAC">
        <w:rPr>
          <w:rFonts w:ascii="Arial" w:hAnsi="Arial" w:cs="Arial"/>
          <w:sz w:val="20"/>
          <w:szCs w:val="20"/>
          <w:lang w:val="en-US"/>
        </w:rPr>
        <w:instrText xml:space="preserve"> ADDIN ZOTERO_ITEM CSL_CITATION {"citationID":"67DesKXd","properties":{"unsorted":false,"formattedCitation":"(2020)","plainCitation":"(2020)","noteIndex":0},"citationItems":[{"id":368,"uris":["http://zotero.org/users/local/c6S0FUmy/items/77AHYQIT"],"itemData":{"id":368,"type":"article-journal","container-title":"European Scientific Journal ESJ","DOI":"10.19044/esj.2020.v16n3p224","ISSN":"18577881, 18577431","issue":"3","journalAbbreviation":"ESJ","language":"fr","source":"DOI.org (Crossref)","title":"Caractérisation Biochimique et Microbiologique de Soumbala de néré (Parkia biglobosa) et d’oseille de Guinée (Hibiscus sabdariffa) Produits au Niger","URL":"http://eujournal.org/index.php/esj/article/view/12684","volume":"16","author":[{"family":"Souley","given":"Roukaya Abdou"},{"family":"Diadié","given":"Halima Oumarou"},{"family":"Abdelkader","given":"Alio Sanda"},{"family":"Yacoubou","given":"Bakasso"},{"family":"Balla","given":"Abdourahamane"}],"accessed":{"date-parts":[["2026",5,18]]},"issued":{"date-parts":[["2020",1,31]]}},"suppress-author":true}],"schema":"https://github.com/citation-style-language/schema/raw/master/csl-citation.json"} </w:instrText>
      </w:r>
      <w:r w:rsidR="0047130D" w:rsidRPr="00365CAC">
        <w:rPr>
          <w:rFonts w:ascii="Arial" w:hAnsi="Arial" w:cs="Arial"/>
          <w:sz w:val="20"/>
          <w:szCs w:val="20"/>
          <w:lang w:val="en-US"/>
        </w:rPr>
        <w:fldChar w:fldCharType="separate"/>
      </w:r>
      <w:r w:rsidR="0047130D" w:rsidRPr="00365CAC">
        <w:rPr>
          <w:rFonts w:ascii="Arial" w:hAnsi="Arial" w:cs="Arial"/>
          <w:sz w:val="20"/>
          <w:szCs w:val="20"/>
          <w:lang w:val="en-US"/>
        </w:rPr>
        <w:t>(2020)</w:t>
      </w:r>
      <w:r w:rsidR="0047130D" w:rsidRPr="00365CAC">
        <w:rPr>
          <w:rFonts w:ascii="Arial" w:hAnsi="Arial" w:cs="Arial"/>
          <w:sz w:val="20"/>
          <w:szCs w:val="20"/>
          <w:lang w:val="en-US"/>
        </w:rPr>
        <w:fldChar w:fldCharType="end"/>
      </w:r>
      <w:r w:rsidRPr="00365CAC">
        <w:rPr>
          <w:rFonts w:ascii="Arial" w:hAnsi="Arial" w:cs="Arial"/>
          <w:sz w:val="20"/>
          <w:szCs w:val="20"/>
          <w:lang w:val="en-US"/>
        </w:rPr>
        <w:t xml:space="preserve"> for soumbala made from </w:t>
      </w:r>
      <w:proofErr w:type="spellStart"/>
      <w:r w:rsidR="00B86391" w:rsidRPr="00365CAC">
        <w:rPr>
          <w:rFonts w:ascii="Arial" w:hAnsi="Arial" w:cs="Arial"/>
          <w:i/>
          <w:iCs/>
          <w:sz w:val="20"/>
          <w:szCs w:val="20"/>
          <w:lang w:val="en-US"/>
        </w:rPr>
        <w:t>nere</w:t>
      </w:r>
      <w:proofErr w:type="spellEnd"/>
      <w:r w:rsidR="00B86391" w:rsidRPr="00365CAC">
        <w:rPr>
          <w:rFonts w:ascii="Arial" w:hAnsi="Arial" w:cs="Arial"/>
          <w:sz w:val="20"/>
          <w:szCs w:val="20"/>
          <w:lang w:val="en-US"/>
        </w:rPr>
        <w:t xml:space="preserve"> </w:t>
      </w:r>
      <w:r w:rsidRPr="00365CAC">
        <w:rPr>
          <w:rFonts w:ascii="Arial" w:hAnsi="Arial" w:cs="Arial"/>
          <w:sz w:val="20"/>
          <w:szCs w:val="20"/>
          <w:lang w:val="en-US"/>
        </w:rPr>
        <w:t xml:space="preserve">seeds, which were 33.91 ± 1.51%. Furthermore, </w:t>
      </w:r>
      <w:r w:rsidR="00CF6F20" w:rsidRPr="00365CAC">
        <w:rPr>
          <w:rFonts w:ascii="Arial" w:hAnsi="Arial" w:cs="Arial"/>
          <w:sz w:val="20"/>
          <w:szCs w:val="20"/>
          <w:lang w:val="en-US"/>
        </w:rPr>
        <w:fldChar w:fldCharType="begin"/>
      </w:r>
      <w:r w:rsidR="00CF6F20" w:rsidRPr="00365CAC">
        <w:rPr>
          <w:rFonts w:ascii="Arial" w:hAnsi="Arial" w:cs="Arial"/>
          <w:sz w:val="20"/>
          <w:szCs w:val="20"/>
          <w:lang w:val="en-US"/>
        </w:rPr>
        <w:instrText xml:space="preserve"> ADDIN ZOTERO_ITEM CSL_CITATION {"citationID":"D8DDWzCT","properties":{"unsorted":false,"formattedCitation":"(Abd El-Hack et al., 2022)","plainCitation":"(Abd El-Hack et al., 2022)","noteIndex":0},"citationItems":[{"id":451,"uris":["http://zotero.org/users/local/c6S0FUmy/items/9UA2M767"],"itemData":{"id":451,"type":"article-journal","abstract":"Consumers demand clean-label food products, necessitating the search for new, natural antimicrobials to meet this demand while ensuring food safety. This review aimed at investigating the antimicrobial properties of black pepper (Piper guineense) against foodborne microorganisms. The existence of foodborne illness, food spoilage, food waste, the resulting negative economic impact of these issues, and consumer interests have all pushed the food industry to find alternative, safe, and natural antimicrobials to be used in foods and beverages. Consumers have also influenced the demand for novel antimicrobials due to the perceived association of current synthetic preservatives with diseases and adverse effects on children. They also have a desire for clean-label products. These combined concerns have prompted researchers at investigating plant extracts as potential sources for antimicrobials. Plants possess many antimicrobial properties; therefore, evaluating these plant extracts as a natural source of antimicrobials can lead to a preventative control method in reducing foodborne illness and food spoilage, inclusively meeting consumer needs. In most regions, P. guineense is commonly utilized due to its potent and effective medicinal properties against foodborne microorganisms.","container-title":"Environmental Science and Pollution Research","DOI":"10.1007/s11356-021-17806-7","ISSN":"1614-7499","issue":"8","journalAbbreviation":"Environ Sci Pollut Res","language":"en","page":"10894-10907","source":"Springer Link","title":"The use of black pepper (Piper guineense) as an ecofriendly antimicrobial agent to fight foodborne microorganisms","volume":"29","author":[{"family":"Abd El-Hack","given":"Mohamed E."},{"family":"El-Shall","given":"Nahed A."},{"family":"El-Kasrawy","given":"Nagwa I."},{"family":"El-Saadony","given":"Mohamed T."},{"family":"Shafi","given":"Manal E."},{"family":"Zabermawi","given":"Nidal M."},{"family":"Alshilawi","given":"Mashaeal S."},{"family":"Alagawany","given":"Mahmoud"},{"family":"Khafaga","given":"Asmaa F."},{"family":"Bilal","given":"Rana M."},{"family":"Elnesr","given":"Shaaban S."},{"family":"Aleya","given":"Lotfi"},{"family":"AbuQamar","given":"Synan F."},{"family":"El-Tarabily","given":"Khaled A."}],"issued":{"date-parts":[["2022",2,1]]}}}],"schema":"https://github.com/citation-style-language/schema/raw/master/csl-citation.json"} </w:instrText>
      </w:r>
      <w:r w:rsidR="00CF6F20" w:rsidRPr="00365CAC">
        <w:rPr>
          <w:rFonts w:ascii="Arial" w:hAnsi="Arial" w:cs="Arial"/>
          <w:sz w:val="20"/>
          <w:szCs w:val="20"/>
          <w:lang w:val="en-US"/>
        </w:rPr>
        <w:fldChar w:fldCharType="separate"/>
      </w:r>
      <w:r w:rsidR="00CF6F20" w:rsidRPr="00365CAC">
        <w:rPr>
          <w:rFonts w:ascii="Arial" w:hAnsi="Arial" w:cs="Arial"/>
          <w:sz w:val="20"/>
          <w:szCs w:val="20"/>
          <w:lang w:val="en-US"/>
        </w:rPr>
        <w:t>(Abd El-Hack et al., 2022)</w:t>
      </w:r>
      <w:r w:rsidR="00CF6F20" w:rsidRPr="00365CAC">
        <w:rPr>
          <w:rFonts w:ascii="Arial" w:hAnsi="Arial" w:cs="Arial"/>
          <w:sz w:val="20"/>
          <w:szCs w:val="20"/>
          <w:lang w:val="en-US"/>
        </w:rPr>
        <w:fldChar w:fldCharType="end"/>
      </w:r>
      <w:r w:rsidRPr="00365CAC">
        <w:rPr>
          <w:rFonts w:ascii="Arial" w:hAnsi="Arial" w:cs="Arial"/>
          <w:sz w:val="20"/>
          <w:szCs w:val="20"/>
          <w:lang w:val="en-US"/>
        </w:rPr>
        <w:t xml:space="preserve">et al. (2022) also obtained lower results for traditional broths made from </w:t>
      </w:r>
      <w:r w:rsidRPr="00365CAC">
        <w:rPr>
          <w:rFonts w:ascii="Arial" w:hAnsi="Arial" w:cs="Arial"/>
          <w:i/>
          <w:iCs/>
          <w:sz w:val="20"/>
          <w:szCs w:val="20"/>
          <w:lang w:val="en-US"/>
        </w:rPr>
        <w:t xml:space="preserve">Piper </w:t>
      </w:r>
      <w:proofErr w:type="spellStart"/>
      <w:r w:rsidRPr="00365CAC">
        <w:rPr>
          <w:rFonts w:ascii="Arial" w:hAnsi="Arial" w:cs="Arial"/>
          <w:i/>
          <w:iCs/>
          <w:sz w:val="20"/>
          <w:szCs w:val="20"/>
          <w:lang w:val="en-US"/>
        </w:rPr>
        <w:t>guineense</w:t>
      </w:r>
      <w:proofErr w:type="spellEnd"/>
      <w:r w:rsidRPr="00365CAC">
        <w:rPr>
          <w:rFonts w:ascii="Arial" w:hAnsi="Arial" w:cs="Arial"/>
          <w:sz w:val="20"/>
          <w:szCs w:val="20"/>
          <w:lang w:val="en-US"/>
        </w:rPr>
        <w:t xml:space="preserve"> (black pepper), which were 25.70 ± 3.50%.</w:t>
      </w:r>
      <w:r w:rsidR="008443A7" w:rsidRPr="00365CAC">
        <w:rPr>
          <w:rFonts w:ascii="Arial" w:eastAsia="Times New Roman" w:hAnsi="Arial" w:cs="Arial"/>
          <w:kern w:val="0"/>
          <w:sz w:val="20"/>
          <w:szCs w:val="20"/>
          <w:lang w:val="en-US" w:eastAsia="fr-FR"/>
          <w14:ligatures w14:val="none"/>
        </w:rPr>
        <w:t xml:space="preserve"> </w:t>
      </w:r>
      <w:r w:rsidR="008443A7" w:rsidRPr="00365CAC">
        <w:rPr>
          <w:rFonts w:ascii="Arial" w:hAnsi="Arial" w:cs="Arial"/>
          <w:sz w:val="20"/>
          <w:szCs w:val="20"/>
          <w:lang w:val="en-US"/>
        </w:rPr>
        <w:t>The determination of lipid content yielded values consistently above 15% for the majority of the accessions studied (16.80 ± 0.08% to 40 ± 0.68%). These high values represent a nutritional advantage, as lipids contribute significantly to the product’s energy value and enhance the bioavailability of fat</w:t>
      </w:r>
      <w:r w:rsidR="00B86391" w:rsidRPr="00365CAC">
        <w:rPr>
          <w:rFonts w:ascii="Arial" w:hAnsi="Arial" w:cs="Arial"/>
          <w:sz w:val="20"/>
          <w:szCs w:val="20"/>
          <w:lang w:val="en-US"/>
        </w:rPr>
        <w:t xml:space="preserve"> </w:t>
      </w:r>
      <w:r w:rsidR="008443A7" w:rsidRPr="00365CAC">
        <w:rPr>
          <w:rFonts w:ascii="Arial" w:hAnsi="Arial" w:cs="Arial"/>
          <w:sz w:val="20"/>
          <w:szCs w:val="20"/>
          <w:lang w:val="en-US"/>
        </w:rPr>
        <w:t xml:space="preserve">soluble vitamins </w:t>
      </w:r>
      <w:r w:rsidR="00CF6F20" w:rsidRPr="00365CAC">
        <w:rPr>
          <w:rFonts w:ascii="Arial" w:hAnsi="Arial" w:cs="Arial"/>
          <w:sz w:val="20"/>
          <w:szCs w:val="20"/>
          <w:lang w:val="en-US"/>
        </w:rPr>
        <w:fldChar w:fldCharType="begin"/>
      </w:r>
      <w:r w:rsidR="00CF6F20" w:rsidRPr="00365CAC">
        <w:rPr>
          <w:rFonts w:ascii="Arial" w:hAnsi="Arial" w:cs="Arial"/>
          <w:sz w:val="20"/>
          <w:szCs w:val="20"/>
          <w:lang w:val="en-US"/>
        </w:rPr>
        <w:instrText xml:space="preserve"> ADDIN ZOTERO_ITEM CSL_CITATION {"citationID":"wQzuINPZ","properties":{"unsorted":false,"formattedCitation":"(Zhang et al., 2021)","plainCitation":"(Zhang et al., 2021)","noteIndex":0},"citationItems":[{"id":455,"uris":["http://zotero.org/users/local/c6S0FUmy/items/6KIQEE97"],"itemData":{"id":455,"type":"article-journal","abstract":"Dietary lipids are an indispensable source of energy and nutrition in human life. Numerous studies have shown that dietary bioactive lipids have many health benefits, including prevention or treatment of chronic diseases. The different chemical compositions and structural characteristics of bioactive lipids not only affect their digestion, absorption, and metabolism but also affect their health properties. In this review, the major dietary bioactive lipids (fatty acids, carotenoids, phytosterols, phenolic lipids, fat-soluble vitamins, and sphingomyelins) in foods are systematically summarized, from the aspects of composition, digestion, absorption, metabolism, source, structural characteristics, and their health properties. In particular, the relationship between the compositional and structural changes of bioactive lipids and their absorption and metabolism is discussed as well as their effect on health properties. This review provides a comprehensive summary toward health properties of dietary bioactive lipids.","container-title":"Journal of Agricultural and Food Chemistry","DOI":"10.1021/acs.jafc.1c01369","ISSN":"0021-8561","issue":"32","journalAbbreviation":"J. Agric. Food Chem.","page":"8929-8943","publisher":"American Chemical Society","source":"ACS Publications","title":"Dietary Bioactive Lipids: A Review on Absorption, Metabolism, and Health Properties","title-short":"Dietary Bioactive Lipids","volume":"69","author":[{"family":"Zhang","given":"Yan"},{"family":"Zhang","given":"Tianyi"},{"family":"Liang","given":"Yan"},{"family":"Jiang","given":"Lianzhou"},{"family":"Sui","given":"Xiaonan"}],"issued":{"date-parts":[["2021",8,18]]}}}],"schema":"https://github.com/citation-style-language/schema/raw/master/csl-citation.json"} </w:instrText>
      </w:r>
      <w:r w:rsidR="00CF6F20" w:rsidRPr="00365CAC">
        <w:rPr>
          <w:rFonts w:ascii="Arial" w:hAnsi="Arial" w:cs="Arial"/>
          <w:sz w:val="20"/>
          <w:szCs w:val="20"/>
          <w:lang w:val="en-US"/>
        </w:rPr>
        <w:fldChar w:fldCharType="separate"/>
      </w:r>
      <w:r w:rsidR="00CF6F20" w:rsidRPr="00365CAC">
        <w:rPr>
          <w:rFonts w:ascii="Arial" w:hAnsi="Arial" w:cs="Arial"/>
          <w:sz w:val="20"/>
          <w:szCs w:val="20"/>
          <w:lang w:val="en-US"/>
        </w:rPr>
        <w:t>(Zhang et al., 2021)</w:t>
      </w:r>
      <w:r w:rsidR="00CF6F20" w:rsidRPr="00365CAC">
        <w:rPr>
          <w:rFonts w:ascii="Arial" w:hAnsi="Arial" w:cs="Arial"/>
          <w:sz w:val="20"/>
          <w:szCs w:val="20"/>
          <w:lang w:val="en-US"/>
        </w:rPr>
        <w:fldChar w:fldCharType="end"/>
      </w:r>
      <w:r w:rsidR="00C117B5" w:rsidRPr="00365CAC">
        <w:rPr>
          <w:rFonts w:ascii="Arial" w:hAnsi="Arial" w:cs="Arial"/>
          <w:sz w:val="20"/>
          <w:szCs w:val="20"/>
          <w:lang w:val="en-US"/>
        </w:rPr>
        <w:t xml:space="preserve"> </w:t>
      </w:r>
      <w:proofErr w:type="spellStart"/>
      <w:r w:rsidR="008443A7" w:rsidRPr="00365CAC">
        <w:rPr>
          <w:rFonts w:ascii="Arial" w:hAnsi="Arial" w:cs="Arial"/>
          <w:sz w:val="20"/>
          <w:szCs w:val="20"/>
          <w:lang w:val="en-US"/>
        </w:rPr>
        <w:t>Margier</w:t>
      </w:r>
      <w:proofErr w:type="spellEnd"/>
      <w:r w:rsidR="008443A7" w:rsidRPr="00365CAC">
        <w:rPr>
          <w:rFonts w:ascii="Arial" w:hAnsi="Arial" w:cs="Arial"/>
          <w:sz w:val="20"/>
          <w:szCs w:val="20"/>
          <w:lang w:val="en-US"/>
        </w:rPr>
        <w:t xml:space="preserve"> et al., 2017). All samples used contain a protein content strictly above 25% (42 ± 1.77% to 37.5 ± 0.13%). These high protein contents are an asset for all consumers of </w:t>
      </w:r>
      <w:r w:rsidR="008443A7" w:rsidRPr="00365CAC">
        <w:rPr>
          <w:rFonts w:ascii="Arial" w:hAnsi="Arial" w:cs="Arial"/>
          <w:i/>
          <w:iCs/>
          <w:sz w:val="20"/>
          <w:szCs w:val="20"/>
          <w:lang w:val="en-US"/>
        </w:rPr>
        <w:t>soumbala</w:t>
      </w:r>
      <w:r w:rsidR="008443A7" w:rsidRPr="00365CAC">
        <w:rPr>
          <w:rFonts w:ascii="Arial" w:hAnsi="Arial" w:cs="Arial"/>
          <w:sz w:val="20"/>
          <w:szCs w:val="20"/>
          <w:lang w:val="en-US"/>
        </w:rPr>
        <w:t xml:space="preserve"> made from </w:t>
      </w:r>
      <w:r w:rsidR="008443A7" w:rsidRPr="00365CAC">
        <w:rPr>
          <w:rFonts w:ascii="Arial" w:hAnsi="Arial" w:cs="Arial"/>
          <w:i/>
          <w:iCs/>
          <w:sz w:val="20"/>
          <w:szCs w:val="20"/>
          <w:lang w:val="en-US"/>
        </w:rPr>
        <w:t>Hibiscus cannabinus</w:t>
      </w:r>
      <w:r w:rsidR="008443A7" w:rsidRPr="00365CAC">
        <w:rPr>
          <w:rFonts w:ascii="Arial" w:hAnsi="Arial" w:cs="Arial"/>
          <w:sz w:val="20"/>
          <w:szCs w:val="20"/>
          <w:lang w:val="en-US"/>
        </w:rPr>
        <w:t xml:space="preserve"> L. seed cakes in meeting their nutritional protein needs, especially those in developing countries </w:t>
      </w:r>
      <w:r w:rsidR="00681096" w:rsidRPr="00365CAC">
        <w:rPr>
          <w:rFonts w:ascii="Arial" w:hAnsi="Arial" w:cs="Arial"/>
          <w:sz w:val="20"/>
          <w:szCs w:val="20"/>
          <w:lang w:val="en-US"/>
        </w:rPr>
        <w:fldChar w:fldCharType="begin"/>
      </w:r>
      <w:r w:rsidR="00B77967" w:rsidRPr="00365CAC">
        <w:rPr>
          <w:rFonts w:ascii="Arial" w:hAnsi="Arial" w:cs="Arial"/>
          <w:sz w:val="20"/>
          <w:szCs w:val="20"/>
          <w:lang w:val="en-US"/>
        </w:rPr>
        <w:instrText xml:space="preserve"> ADDIN ZOTERO_ITEM CSL_CITATION {"citationID":"D4Q804f5","properties":{"unsorted":false,"formattedCitation":"(Compaor\\uc0\\u195{}\\uc0\\u169{} et al., 2020)","plainCitation":"(CompaorÃ© et al., 2020)","dontUpdate":true,"noteIndex":0},"citationItems":[{"id":365,"uris":["http://zotero.org/users/local/c6S0FUmy/items/TU65QDFB"],"itemData":{"id":365,"type":"article-journal","abstract":"In this study, three Bacillus subtilis (B7, B9 and B3) and one Bacillus amyloliquefaciens (I8) strains previously selected as potential starter cultures were cultivated on boiled dehulled African locust bean seeds to produce ready to use ferments. These ferments were then used to produce soumbala. The microbial load changes during ferments production were evaluated. Biochemical and microbiological characteristics of the obtained soumbala were also determined using standard methods. Variable growth ability on the carrier material was observed for the tested starters with Bacillus loads ranging between 8.21 and 10.37 Log CFU/g in the ferments. The highest microbial counts were observed for ferments prepared with the starters B9 and B7. These ferments also demonstrated the strongest fermentation capacity of soumbala. The ferment-based dried soumbala had a pH and moisture ranging from 7.17 to 7.37 and 5.67 to 8.46%, respectively. On dry matter (DM) basis, it contained 1.77 to 2.11% of ashes, 41 to 43% of proteins, 37 to 40% of fat and 13 to 15% of carbohydrates. Soumbala prepared with the starter B7 showed the highest content in valine, isoleucine, leucine, phenylalanine, tyrosine and proline.&amp;nbsp;\n\n\t&amp;nbsp;\n\n\tKey words: African locust bean, starter culture, Bacillus, fermentation, soumbala, carrier.","container-title":"African Journal of Biotechnology","DOI":"10.5897/AJB2020.17244","ISSN":"1684-5315","issue":"11","journalAbbreviation":"AJB","language":"english","page":"820-828","publisher":"Academic Journals","source":"academicjournals.org","title":"Development of starter cultures carrier for the production of high quality soumbala, a food condiment based on Parkia biglobosa seeds","volume":"19","author":[{"family":"CompaorÃ©","given":"Clarisse S."},{"family":"Tapsoba","given":"FidÃ¨le W."},{"family":"Parkouda","given":"Charles"},{"family":"Tamboura","given":"DjÃ©nÃ©ba"},{"family":"TraorÃ©","given":"Esther M. A."},{"family":"Diawara","given":"BrÃ©hima"},{"family":"Savadogo","given":"Aly"},{"family":"Jespersen","given":"Lene"},{"family":"Sawadogo-Lingani","given":"HagrÃ©tou"}],"issued":{"date-parts":[["2020",11,30]]}}}],"schema":"https://github.com/citation-style-language/schema/raw/master/csl-citation.json"} </w:instrText>
      </w:r>
      <w:r w:rsidR="00681096" w:rsidRPr="00365CAC">
        <w:rPr>
          <w:rFonts w:ascii="Arial" w:hAnsi="Arial" w:cs="Arial"/>
          <w:sz w:val="20"/>
          <w:szCs w:val="20"/>
          <w:lang w:val="en-US"/>
        </w:rPr>
        <w:fldChar w:fldCharType="separate"/>
      </w:r>
      <w:r w:rsidR="00681096" w:rsidRPr="00365CAC">
        <w:rPr>
          <w:rFonts w:ascii="Arial" w:hAnsi="Arial" w:cs="Arial"/>
          <w:kern w:val="0"/>
          <w:sz w:val="20"/>
          <w:szCs w:val="20"/>
          <w:lang w:val="en-US"/>
        </w:rPr>
        <w:t>(Compaoré et al., 2020)</w:t>
      </w:r>
      <w:r w:rsidR="00681096" w:rsidRPr="00365CAC">
        <w:rPr>
          <w:rFonts w:ascii="Arial" w:hAnsi="Arial" w:cs="Arial"/>
          <w:sz w:val="20"/>
          <w:szCs w:val="20"/>
          <w:lang w:val="en-US"/>
        </w:rPr>
        <w:fldChar w:fldCharType="end"/>
      </w:r>
      <w:r w:rsidR="008443A7" w:rsidRPr="00365CAC">
        <w:rPr>
          <w:rFonts w:ascii="Arial" w:hAnsi="Arial" w:cs="Arial"/>
          <w:sz w:val="20"/>
          <w:szCs w:val="20"/>
          <w:lang w:val="en-US"/>
        </w:rPr>
        <w:t>. Furthermore, consuming protein-rich foods helps meet the daily requirement of 23.6 g for adults, as recommended by the National Research Council of Canada</w:t>
      </w:r>
      <w:r w:rsidR="00B86391" w:rsidRPr="00365CAC">
        <w:rPr>
          <w:rFonts w:ascii="Arial" w:hAnsi="Arial" w:cs="Arial"/>
          <w:sz w:val="20"/>
          <w:szCs w:val="20"/>
          <w:lang w:val="en-US"/>
        </w:rPr>
        <w:t xml:space="preserve"> </w:t>
      </w:r>
      <w:r w:rsidR="007C6745" w:rsidRPr="00365CAC">
        <w:rPr>
          <w:rFonts w:ascii="Arial" w:hAnsi="Arial" w:cs="Arial"/>
          <w:sz w:val="20"/>
          <w:szCs w:val="20"/>
          <w:lang w:val="en-US"/>
        </w:rPr>
        <w:fldChar w:fldCharType="begin"/>
      </w:r>
      <w:r w:rsidR="007C6745" w:rsidRPr="00365CAC">
        <w:rPr>
          <w:rFonts w:ascii="Arial" w:hAnsi="Arial" w:cs="Arial"/>
          <w:sz w:val="20"/>
          <w:szCs w:val="20"/>
          <w:lang w:val="en-US"/>
        </w:rPr>
        <w:instrText xml:space="preserve"> ADDIN ZOTERO_ITEM CSL_CITATION {"citationID":"TVhM6ykp","properties":{"unsorted":false,"formattedCitation":"(O. Aremu et al., 2021)","plainCitation":"(O. Aremu et al., 2021)","noteIndex":0},"citationItems":[{"id":376,"uris":["http://zotero.org/users/local/c6S0FUmy/items/PSY2WVG4"],"itemData":{"id":376,"type":"article-journal","abstract":"This study focuses on the nutrient, antinutrient and sugar contents of (desert date) Balanites aegyptiaca seed and pulp collected from north–east Nigeria. Proximate, mineral, amino acid, antinutrient and sugar compositions were determined using standard analytical techniques. The calculated parameters were metabolized energy, mineral safety index (MSI), mineral ratios of some minerals, isoelectric point (pI), predicted protein efficiency ratio (P–PER) and leucine to isoleucine ratio. The results showed that seed was very rich in crude protein and crude fat with values of 30.80 and 45.53 g/100 g dry weight basis, respectively whereas, the pulp had values of 8.36 and 5.10 g/100 g dw for the same parameters. The following were observed as the most concentrated minerals: P (312.72 and 138.62 mg/100 g dw), Na (58.49 and 47.65 mg/100 g dw) and Ca (48.57 and 40.26 mg/100 g dw) for seed and pulp, respectively. Other minerals analyzed in the samples had values less than 15.0 mg/100 g. No mineral had deleterious value in the MSI. Amino acid analysis of seed and pulp showed concentrations of TAA (63.21 and 42.62 g/100 g cude protein), TEAA (26.19 and 21.88 g/100 g cp) and TNEAA ((26.19 and 21.88 g/100 g cp). Leucine (7.30 g/100 g cp) and Arg (3.69 g/100 g cp) were the most concentrated essential amino acids in seed and pulp. The phytate, tannin and oxalate concentrations were higher in seed compared with that of the pulp. All the sugars were of low levels. Generally, Balanites aegyptiaca seed and pulp contained nutritive minerals and sufficient proportions of EAAs however, dietary formula based on samples of the seed and pulp will require EAAs supplementation except in Leu, TSAA and Phe + Tyr of the seed. Likewise, the high contents of some of the antinutrients may pose a nutritional problem in their consumption.","container-title":"International Journal of Sciences","DOI":"10.18483/ijSci.2484","ISSN":"2305-3925, 2410-4477","issue":"07","journalAbbreviation":"ijSciences","language":"en","page":"12-21","source":"DOI.org (Crossref)","title":"Nutrient, Antinutrient and Sugar Contents in Desert Date (Balanites aegyptiaca (L.) Del) Seed and Pulp","volume":"10","author":[{"family":"O. Aremu","given":"M."},{"family":"Andrew","given":"Crysanthus"},{"family":"John Oko","given":"Odiba"},{"family":"Odoh","given":"Raphael"},{"family":"Amos Ambo","given":"Idzi"},{"family":"Nwuniji Hikon","given":"Baba"}],"issued":{"date-parts":[["2021"]]}}}],"schema":"https://github.com/citation-style-language/schema/raw/master/csl-citation.json"} </w:instrText>
      </w:r>
      <w:r w:rsidR="007C6745" w:rsidRPr="00365CAC">
        <w:rPr>
          <w:rFonts w:ascii="Arial" w:hAnsi="Arial" w:cs="Arial"/>
          <w:sz w:val="20"/>
          <w:szCs w:val="20"/>
          <w:lang w:val="en-US"/>
        </w:rPr>
        <w:fldChar w:fldCharType="separate"/>
      </w:r>
      <w:r w:rsidR="007C6745" w:rsidRPr="00365CAC">
        <w:rPr>
          <w:rFonts w:ascii="Arial" w:hAnsi="Arial" w:cs="Arial"/>
          <w:sz w:val="20"/>
          <w:szCs w:val="20"/>
          <w:lang w:val="en-US"/>
        </w:rPr>
        <w:t>(O. Aremu et al., 2021)</w:t>
      </w:r>
      <w:r w:rsidR="007C6745" w:rsidRPr="00365CAC">
        <w:rPr>
          <w:rFonts w:ascii="Arial" w:hAnsi="Arial" w:cs="Arial"/>
          <w:sz w:val="20"/>
          <w:szCs w:val="20"/>
          <w:lang w:val="en-US"/>
        </w:rPr>
        <w:fldChar w:fldCharType="end"/>
      </w:r>
      <w:r w:rsidR="008443A7" w:rsidRPr="00365CAC">
        <w:rPr>
          <w:rFonts w:ascii="Arial" w:hAnsi="Arial" w:cs="Arial"/>
          <w:sz w:val="20"/>
          <w:szCs w:val="20"/>
          <w:lang w:val="en-US"/>
        </w:rPr>
        <w:t>. Furthermore, regular consumption of plant-based proteins reduces the long-term risk of high blood pressure</w:t>
      </w:r>
      <w:r w:rsidR="007C6745" w:rsidRPr="00365CAC">
        <w:rPr>
          <w:rFonts w:ascii="Arial" w:hAnsi="Arial" w:cs="Arial"/>
          <w:sz w:val="20"/>
          <w:szCs w:val="20"/>
          <w:lang w:val="en-US"/>
        </w:rPr>
        <w:fldChar w:fldCharType="begin"/>
      </w:r>
      <w:r w:rsidR="007C6745" w:rsidRPr="00365CAC">
        <w:rPr>
          <w:rFonts w:ascii="Arial" w:hAnsi="Arial" w:cs="Arial"/>
          <w:sz w:val="20"/>
          <w:szCs w:val="20"/>
          <w:lang w:val="en-US"/>
        </w:rPr>
        <w:instrText xml:space="preserve"> ADDIN ZOTERO_ITEM CSL_CITATION {"citationID":"L3YJSyLZ","properties":{"unsorted":false,"formattedCitation":"(Buendia et al., 2015)","plainCitation":"(Buendia et al., 2015)","noteIndex":0},"citationItems":[{"id":377,"uris":["http://zotero.org/users/local/c6S0FUmy/items/9YHGKE2X"],"itemData":{"id":377,"type":"article-journal","abstract":"Short-term clinical trials suggest that dietary protein lowers blood pressure (BP); however, long-term effects of total, animal, and plant proteins are less clear. Our goal was to evaluate effects of these dietary proteins on mean systolic BP (SBP) and diastolic BP (DBP) and incident high BP (HBP) risk among middle-aged adults in the Framingham Offspring Study.Men and women (aged 30–54 years) without prevalent HBP, cardiovascular disease, or diabetes with 3-day dietary records from exams 3 or 5 (n = 1,361) were included and followed for a mean of 11.3 years for development of HBP. Protein intakes adjusted for body size were derived using the residual method. Analysis of covariance and Cox proportional hazard’s models were used to adjust for age, sex, education, height, activity, smoking, fat calories, diet quality, and body mass index.Higher protein intakes were associated with lower mean SBP and DBP. Both animal and plant proteins lowered BP and led to statistically significant reductions in HBP risk (hazard ratios of 0.68 and 0.51, respectively). Participants in the highest tertile of total protein intake had 40% less risk (95% confidence interval [CI], 0.45–0.78) of developing HBP. Beneficial effects of protein were apparent for men and women and for normal–weight and overweight individuals. Higher protein diets also characterized by higher fiber intakes led to a 59% reduction (95% CI, 0.37–0.66) in HBP risk.Adults consuming more dietary protein from either plant or animal sources had lower long-term risks of HBP.","container-title":"American Journal of Hypertension","DOI":"10.1093/ajh/hpu157","ISSN":"0895-7061","issue":"3","journalAbbreviation":"Am J Hypertens","page":"372-379","source":"Silverchair","title":"Diets Higher in Protein Predict Lower High Blood Pressure Risk in Framingham Offspring Study Adults","volume":"28","author":[{"family":"Buendia","given":"Justin R."},{"family":"Bradlee","given":"M. Loring"},{"family":"Singer","given":"Martha R."},{"family":"Moore","given":"Lynn L."}],"issued":{"date-parts":[["2015",3,1]]}}}],"schema":"https://github.com/citation-style-language/schema/raw/master/csl-citation.json"} </w:instrText>
      </w:r>
      <w:r w:rsidR="007C6745" w:rsidRPr="00365CAC">
        <w:rPr>
          <w:rFonts w:ascii="Arial" w:hAnsi="Arial" w:cs="Arial"/>
          <w:sz w:val="20"/>
          <w:szCs w:val="20"/>
          <w:lang w:val="en-US"/>
        </w:rPr>
        <w:fldChar w:fldCharType="separate"/>
      </w:r>
      <w:r w:rsidR="007C6745" w:rsidRPr="00365CAC">
        <w:rPr>
          <w:rFonts w:ascii="Arial" w:hAnsi="Arial" w:cs="Arial"/>
          <w:sz w:val="20"/>
          <w:szCs w:val="20"/>
          <w:lang w:val="en-US"/>
        </w:rPr>
        <w:t>(Buendia et al., 2015)</w:t>
      </w:r>
      <w:r w:rsidR="007C6745" w:rsidRPr="00365CAC">
        <w:rPr>
          <w:rFonts w:ascii="Arial" w:hAnsi="Arial" w:cs="Arial"/>
          <w:sz w:val="20"/>
          <w:szCs w:val="20"/>
          <w:lang w:val="en-US"/>
        </w:rPr>
        <w:fldChar w:fldCharType="end"/>
      </w:r>
      <w:r w:rsidR="008443A7" w:rsidRPr="00365CAC">
        <w:rPr>
          <w:rFonts w:ascii="Arial" w:hAnsi="Arial" w:cs="Arial"/>
          <w:sz w:val="20"/>
          <w:szCs w:val="20"/>
          <w:lang w:val="en-US"/>
        </w:rPr>
        <w:t xml:space="preserve"> .</w:t>
      </w:r>
    </w:p>
    <w:p w14:paraId="02781D50" w14:textId="77777777" w:rsidR="00557B95" w:rsidRPr="00365CAC" w:rsidRDefault="00557B95" w:rsidP="002334EB">
      <w:pPr>
        <w:spacing w:line="360" w:lineRule="auto"/>
        <w:jc w:val="both"/>
        <w:rPr>
          <w:rFonts w:ascii="Times New Roman" w:hAnsi="Times New Roman" w:cs="Times New Roman"/>
          <w:lang w:val="en-US"/>
        </w:rPr>
      </w:pPr>
    </w:p>
    <w:p w14:paraId="56DE45CB" w14:textId="175DBF14" w:rsidR="008443A7" w:rsidRPr="00365CAC" w:rsidRDefault="008443A7" w:rsidP="002334EB">
      <w:pPr>
        <w:spacing w:line="360" w:lineRule="auto"/>
        <w:jc w:val="both"/>
        <w:rPr>
          <w:rFonts w:ascii="Arial" w:hAnsi="Arial" w:cs="Arial"/>
          <w:b/>
          <w:bCs/>
          <w:caps/>
          <w:sz w:val="22"/>
          <w:szCs w:val="22"/>
          <w:lang w:val="en-US"/>
        </w:rPr>
      </w:pPr>
      <w:r w:rsidRPr="00365CAC">
        <w:rPr>
          <w:rFonts w:ascii="Arial" w:hAnsi="Arial" w:cs="Arial"/>
          <w:b/>
          <w:bCs/>
          <w:caps/>
          <w:sz w:val="22"/>
          <w:szCs w:val="22"/>
          <w:lang w:val="en-US"/>
        </w:rPr>
        <w:t>Conclusion</w:t>
      </w:r>
    </w:p>
    <w:p w14:paraId="5109ECDF" w14:textId="602769F0" w:rsidR="008443A7" w:rsidRPr="00365CAC" w:rsidRDefault="008443A7" w:rsidP="002334EB">
      <w:pPr>
        <w:spacing w:line="360" w:lineRule="auto"/>
        <w:jc w:val="both"/>
        <w:rPr>
          <w:rFonts w:ascii="Arial" w:hAnsi="Arial" w:cs="Arial"/>
          <w:sz w:val="20"/>
          <w:szCs w:val="20"/>
          <w:lang w:val="en-US"/>
        </w:rPr>
      </w:pPr>
      <w:r w:rsidRPr="00365CAC">
        <w:rPr>
          <w:rFonts w:ascii="Arial" w:hAnsi="Arial" w:cs="Arial"/>
          <w:i/>
          <w:iCs/>
          <w:sz w:val="20"/>
          <w:szCs w:val="20"/>
          <w:lang w:val="en-US"/>
        </w:rPr>
        <w:t>Hibiscus cannabinus</w:t>
      </w:r>
      <w:r w:rsidRPr="00365CAC">
        <w:rPr>
          <w:rFonts w:ascii="Arial" w:hAnsi="Arial" w:cs="Arial"/>
          <w:sz w:val="20"/>
          <w:szCs w:val="20"/>
          <w:lang w:val="en-US"/>
        </w:rPr>
        <w:t xml:space="preserve"> L. is a multifunctional and valuable resource with high nutritional value. The results show that it is a good source of copper, magnesium, potassium, zinc, fat, protein, and carbohydrates. Calcium and iron are rare minerals in the seeds of </w:t>
      </w:r>
      <w:r w:rsidRPr="00365CAC">
        <w:rPr>
          <w:rFonts w:ascii="Arial" w:hAnsi="Arial" w:cs="Arial"/>
          <w:i/>
          <w:iCs/>
          <w:sz w:val="20"/>
          <w:szCs w:val="20"/>
          <w:lang w:val="en-US"/>
        </w:rPr>
        <w:t>Hibiscus cannabinus</w:t>
      </w:r>
      <w:r w:rsidRPr="00365CAC">
        <w:rPr>
          <w:rFonts w:ascii="Arial" w:hAnsi="Arial" w:cs="Arial"/>
          <w:sz w:val="20"/>
          <w:szCs w:val="20"/>
          <w:lang w:val="en-US"/>
        </w:rPr>
        <w:t xml:space="preserve"> L. In fact, only the accessions NAG1 and OUT1 are the richest in calcium and iron, respectively, compared to the others. However, most individuals (90%) are rich in potassium, magnesium, sodium, and zinc. High ash contents were found in the accessions KOG4, OUO2, and NAG2, while KOT1 and OUT1 had the highest water contents. Analysis of biochemical components reveals that the highest carbohydrate contents were found in accessions KOW3, NAL2, and KOT1, while accession NAG2 stood out from the others with the highest lipid content. Accessions KON3, OUT1, and NAG2 were notable for their relatively high protein contents.</w:t>
      </w:r>
      <w:r w:rsidR="00B86391" w:rsidRPr="00365CAC">
        <w:rPr>
          <w:rFonts w:ascii="Arial" w:hAnsi="Arial" w:cs="Arial"/>
          <w:sz w:val="20"/>
          <w:szCs w:val="20"/>
          <w:lang w:val="en-US"/>
        </w:rPr>
        <w:t xml:space="preserve"> </w:t>
      </w:r>
      <w:r w:rsidRPr="00365CAC">
        <w:rPr>
          <w:rFonts w:ascii="Arial" w:hAnsi="Arial" w:cs="Arial"/>
          <w:sz w:val="20"/>
          <w:szCs w:val="20"/>
          <w:lang w:val="en-US"/>
        </w:rPr>
        <w:t xml:space="preserve">In general, accessions OUT1 and NAG2 exhibited the highest levels of most of the physicochemical and biochemical parameters characterized. All these findings demonstrate that the seeds of Hibiscus cannabinus L. constitute a potential source of essential nutrients, which could help combat nutritional deficiencies among populations. Consequently, the cultivation of </w:t>
      </w:r>
      <w:r w:rsidRPr="00365CAC">
        <w:rPr>
          <w:rFonts w:ascii="Arial" w:hAnsi="Arial" w:cs="Arial"/>
          <w:i/>
          <w:iCs/>
          <w:sz w:val="20"/>
          <w:szCs w:val="20"/>
          <w:lang w:val="en-US"/>
        </w:rPr>
        <w:t>Hibiscus cannabinus</w:t>
      </w:r>
      <w:r w:rsidRPr="00365CAC">
        <w:rPr>
          <w:rFonts w:ascii="Arial" w:hAnsi="Arial" w:cs="Arial"/>
          <w:sz w:val="20"/>
          <w:szCs w:val="20"/>
          <w:lang w:val="en-US"/>
        </w:rPr>
        <w:t xml:space="preserve"> L. for its seeds appears to be a viable approach to enhancing food security.</w:t>
      </w:r>
    </w:p>
    <w:p w14:paraId="61935E15" w14:textId="12FFAFD4" w:rsidR="008443A7" w:rsidRPr="00365CAC" w:rsidRDefault="008443A7" w:rsidP="002334EB">
      <w:pPr>
        <w:spacing w:line="360" w:lineRule="auto"/>
        <w:jc w:val="both"/>
        <w:rPr>
          <w:rFonts w:ascii="Times New Roman" w:hAnsi="Times New Roman" w:cs="Times New Roman"/>
          <w:lang w:val="en-US"/>
        </w:rPr>
      </w:pPr>
      <w:r w:rsidRPr="00365CAC">
        <w:rPr>
          <w:rFonts w:ascii="Times New Roman" w:hAnsi="Times New Roman" w:cs="Times New Roman"/>
          <w:lang w:val="en-US"/>
        </w:rPr>
        <w:lastRenderedPageBreak/>
        <w:t xml:space="preserve"> </w:t>
      </w:r>
    </w:p>
    <w:p w14:paraId="0D976181" w14:textId="6D8D2BFC" w:rsidR="007825DE" w:rsidRPr="00365CAC" w:rsidRDefault="007825DE" w:rsidP="002334EB">
      <w:pPr>
        <w:spacing w:line="360" w:lineRule="auto"/>
        <w:jc w:val="both"/>
        <w:rPr>
          <w:rFonts w:ascii="Times New Roman" w:hAnsi="Times New Roman" w:cs="Times New Roman"/>
        </w:rPr>
      </w:pPr>
    </w:p>
    <w:p w14:paraId="6117DFE0" w14:textId="19C6DA48" w:rsidR="007825DE" w:rsidRPr="00365CAC" w:rsidRDefault="007825DE" w:rsidP="002334EB">
      <w:pPr>
        <w:spacing w:line="360" w:lineRule="auto"/>
        <w:jc w:val="both"/>
        <w:rPr>
          <w:rFonts w:ascii="Times New Roman" w:hAnsi="Times New Roman" w:cs="Times New Roman"/>
          <w:lang w:val="en-US"/>
        </w:rPr>
      </w:pPr>
    </w:p>
    <w:p w14:paraId="2726D18B" w14:textId="6BF48DE8" w:rsidR="000200F0" w:rsidRPr="00365CAC" w:rsidRDefault="000200F0" w:rsidP="002334EB">
      <w:pPr>
        <w:spacing w:line="360" w:lineRule="auto"/>
        <w:jc w:val="both"/>
        <w:rPr>
          <w:rFonts w:ascii="Times New Roman" w:hAnsi="Times New Roman" w:cs="Times New Roman"/>
          <w:lang w:val="en-US"/>
        </w:rPr>
      </w:pPr>
    </w:p>
    <w:p w14:paraId="7F8C7B85" w14:textId="77777777" w:rsidR="00BC4841" w:rsidRPr="00365CAC" w:rsidRDefault="00BC4841" w:rsidP="00BC4841">
      <w:pPr>
        <w:pStyle w:val="Bibliography"/>
        <w:jc w:val="both"/>
        <w:rPr>
          <w:lang w:val="en-US"/>
        </w:rPr>
      </w:pPr>
    </w:p>
    <w:p w14:paraId="06175DD8" w14:textId="260B0F17" w:rsidR="00BC4841" w:rsidRPr="00365CAC" w:rsidRDefault="00365CAC" w:rsidP="00BC4841">
      <w:pPr>
        <w:pStyle w:val="Bibliography"/>
        <w:jc w:val="both"/>
        <w:rPr>
          <w:sz w:val="28"/>
          <w:szCs w:val="28"/>
          <w:lang w:val="en-US"/>
        </w:rPr>
      </w:pPr>
      <w:r>
        <w:rPr>
          <w:sz w:val="28"/>
          <w:szCs w:val="28"/>
          <w:lang w:val="en-US"/>
        </w:rPr>
        <w:t>R</w:t>
      </w:r>
      <w:r w:rsidR="00BC4841" w:rsidRPr="00365CAC">
        <w:rPr>
          <w:sz w:val="28"/>
          <w:szCs w:val="28"/>
          <w:lang w:val="en-US"/>
        </w:rPr>
        <w:t>eference</w:t>
      </w:r>
    </w:p>
    <w:p w14:paraId="787CC7F9" w14:textId="77777777" w:rsidR="00810315" w:rsidRPr="00365CAC" w:rsidRDefault="00FD2029" w:rsidP="00810315">
      <w:pPr>
        <w:pStyle w:val="Bibliography"/>
        <w:rPr>
          <w:rFonts w:ascii="Arial" w:hAnsi="Arial" w:cs="Arial"/>
          <w:sz w:val="20"/>
          <w:szCs w:val="20"/>
        </w:rPr>
      </w:pPr>
      <w:r w:rsidRPr="00365CAC">
        <w:rPr>
          <w:rFonts w:ascii="Arial" w:hAnsi="Arial" w:cs="Arial"/>
          <w:sz w:val="20"/>
          <w:szCs w:val="20"/>
          <w:lang w:val="en-US"/>
        </w:rPr>
        <w:fldChar w:fldCharType="begin"/>
      </w:r>
      <w:r w:rsidRPr="00365CAC">
        <w:rPr>
          <w:rFonts w:ascii="Arial" w:hAnsi="Arial" w:cs="Arial"/>
          <w:sz w:val="20"/>
          <w:szCs w:val="20"/>
          <w:lang w:val="en-US"/>
        </w:rPr>
        <w:instrText xml:space="preserve"> ADDIN ZOTERO_BIBL {"uncited":[],"omitted":[],"custom":[]} CSL_BIBLIOGRAPHY </w:instrText>
      </w:r>
      <w:r w:rsidRPr="00365CAC">
        <w:rPr>
          <w:rFonts w:ascii="Arial" w:hAnsi="Arial" w:cs="Arial"/>
          <w:sz w:val="20"/>
          <w:szCs w:val="20"/>
          <w:lang w:val="en-US"/>
        </w:rPr>
        <w:fldChar w:fldCharType="separate"/>
      </w:r>
      <w:r w:rsidR="00810315" w:rsidRPr="00365CAC">
        <w:rPr>
          <w:rFonts w:ascii="Arial" w:hAnsi="Arial" w:cs="Arial"/>
          <w:sz w:val="20"/>
          <w:szCs w:val="20"/>
          <w:lang w:val="en-US"/>
        </w:rPr>
        <w:fldChar w:fldCharType="begin"/>
      </w:r>
      <w:r w:rsidR="00810315" w:rsidRPr="00365CAC">
        <w:rPr>
          <w:rFonts w:ascii="Arial" w:hAnsi="Arial" w:cs="Arial"/>
          <w:sz w:val="20"/>
          <w:szCs w:val="20"/>
          <w:lang w:val="en-US"/>
        </w:rPr>
        <w:instrText xml:space="preserve"> ADDIN ZOTERO_BIBL {"uncited":[],"omitted":[],"custom":[]} CSL_BIBLIOGRAPHY </w:instrText>
      </w:r>
      <w:r w:rsidR="00810315" w:rsidRPr="00365CAC">
        <w:rPr>
          <w:rFonts w:ascii="Arial" w:hAnsi="Arial" w:cs="Arial"/>
          <w:sz w:val="20"/>
          <w:szCs w:val="20"/>
          <w:lang w:val="en-US"/>
        </w:rPr>
        <w:fldChar w:fldCharType="separate"/>
      </w:r>
      <w:r w:rsidR="00810315" w:rsidRPr="00365CAC">
        <w:rPr>
          <w:rFonts w:ascii="Arial" w:hAnsi="Arial" w:cs="Arial"/>
          <w:sz w:val="20"/>
          <w:szCs w:val="20"/>
          <w:lang w:val="en-US"/>
        </w:rPr>
        <w:t>1.</w:t>
      </w:r>
      <w:r w:rsidR="00810315" w:rsidRPr="00365CAC">
        <w:rPr>
          <w:rFonts w:ascii="Arial" w:hAnsi="Arial" w:cs="Arial"/>
          <w:sz w:val="20"/>
          <w:szCs w:val="20"/>
          <w:lang w:val="en-US"/>
        </w:rPr>
        <w:tab/>
        <w:t xml:space="preserve">Onyeukwu, O., Ezeokafor, D. &amp; Njideaka, O. Hibiscus sabdariffa -uses, nutritional and therapeutic benefits -A review. </w:t>
      </w:r>
      <w:r w:rsidR="00810315" w:rsidRPr="00365CAC">
        <w:rPr>
          <w:rFonts w:ascii="Arial" w:hAnsi="Arial" w:cs="Arial"/>
          <w:i/>
          <w:iCs/>
          <w:sz w:val="20"/>
          <w:szCs w:val="20"/>
        </w:rPr>
        <w:t>Journal of Bioscience and Biotechnology Discovery</w:t>
      </w:r>
      <w:r w:rsidR="00810315" w:rsidRPr="00365CAC">
        <w:rPr>
          <w:rFonts w:ascii="Arial" w:hAnsi="Arial" w:cs="Arial"/>
          <w:sz w:val="20"/>
          <w:szCs w:val="20"/>
        </w:rPr>
        <w:t xml:space="preserve"> </w:t>
      </w:r>
      <w:r w:rsidR="00810315" w:rsidRPr="00365CAC">
        <w:rPr>
          <w:rFonts w:ascii="Arial" w:hAnsi="Arial" w:cs="Arial"/>
          <w:b/>
          <w:bCs/>
          <w:sz w:val="20"/>
          <w:szCs w:val="20"/>
        </w:rPr>
        <w:t>8</w:t>
      </w:r>
      <w:r w:rsidR="00810315" w:rsidRPr="00365CAC">
        <w:rPr>
          <w:rFonts w:ascii="Arial" w:hAnsi="Arial" w:cs="Arial"/>
          <w:sz w:val="20"/>
          <w:szCs w:val="20"/>
        </w:rPr>
        <w:t>, 18–23 (2023).</w:t>
      </w:r>
    </w:p>
    <w:p w14:paraId="6610887A" w14:textId="77777777" w:rsidR="00810315" w:rsidRPr="00365CAC" w:rsidRDefault="00810315" w:rsidP="00810315">
      <w:pPr>
        <w:pStyle w:val="Bibliography"/>
        <w:rPr>
          <w:rFonts w:ascii="Arial" w:hAnsi="Arial" w:cs="Arial"/>
          <w:sz w:val="20"/>
          <w:szCs w:val="20"/>
        </w:rPr>
      </w:pPr>
      <w:r w:rsidRPr="00365CAC">
        <w:rPr>
          <w:rFonts w:ascii="Arial" w:hAnsi="Arial" w:cs="Arial"/>
          <w:sz w:val="20"/>
          <w:szCs w:val="20"/>
        </w:rPr>
        <w:t>2.</w:t>
      </w:r>
      <w:r w:rsidRPr="00365CAC">
        <w:rPr>
          <w:rFonts w:ascii="Arial" w:hAnsi="Arial" w:cs="Arial"/>
          <w:sz w:val="20"/>
          <w:szCs w:val="20"/>
        </w:rPr>
        <w:tab/>
        <w:t>Szymański, M., Długaszewska, J., Mikoła, P. &amp; Dobrucka, R. Développement de solutions innovantes pour la sécurité environnementale : films de pectine rouge à base d’extrait de fleurs d’Hibiscus sabdariffa, composés bioactifs contre les bactéries pathogènes, pour une économie circulaire. https://www.mdpi.com/2079-6412/14/12/1500 (2024).</w:t>
      </w:r>
    </w:p>
    <w:p w14:paraId="2350A0CA" w14:textId="77777777" w:rsidR="00810315" w:rsidRPr="00365CAC" w:rsidRDefault="00810315" w:rsidP="00810315">
      <w:pPr>
        <w:pStyle w:val="Bibliography"/>
        <w:rPr>
          <w:rFonts w:ascii="Arial" w:hAnsi="Arial" w:cs="Arial"/>
          <w:sz w:val="20"/>
          <w:szCs w:val="20"/>
        </w:rPr>
      </w:pPr>
      <w:r w:rsidRPr="00365CAC">
        <w:rPr>
          <w:rFonts w:ascii="Arial" w:hAnsi="Arial" w:cs="Arial"/>
          <w:sz w:val="20"/>
          <w:szCs w:val="20"/>
          <w:lang w:val="en-US"/>
        </w:rPr>
        <w:t>3.</w:t>
      </w:r>
      <w:r w:rsidRPr="00365CAC">
        <w:rPr>
          <w:rFonts w:ascii="Arial" w:hAnsi="Arial" w:cs="Arial"/>
          <w:sz w:val="20"/>
          <w:szCs w:val="20"/>
          <w:lang w:val="en-US"/>
        </w:rPr>
        <w:tab/>
        <w:t xml:space="preserve">Borelli, T. </w:t>
      </w:r>
      <w:r w:rsidRPr="00365CAC">
        <w:rPr>
          <w:rFonts w:ascii="Arial" w:hAnsi="Arial" w:cs="Arial"/>
          <w:i/>
          <w:iCs/>
          <w:sz w:val="20"/>
          <w:szCs w:val="20"/>
          <w:lang w:val="en-US"/>
        </w:rPr>
        <w:t>et al.</w:t>
      </w:r>
      <w:r w:rsidRPr="00365CAC">
        <w:rPr>
          <w:rFonts w:ascii="Arial" w:hAnsi="Arial" w:cs="Arial"/>
          <w:sz w:val="20"/>
          <w:szCs w:val="20"/>
          <w:lang w:val="en-US"/>
        </w:rPr>
        <w:t xml:space="preserve"> Born to Eat Wild: An Integrated Conservation Approach to Secure Wild Food Plants for Food Security and Nutrition. </w:t>
      </w:r>
      <w:r w:rsidRPr="00365CAC">
        <w:rPr>
          <w:rFonts w:ascii="Arial" w:hAnsi="Arial" w:cs="Arial"/>
          <w:i/>
          <w:iCs/>
          <w:sz w:val="20"/>
          <w:szCs w:val="20"/>
        </w:rPr>
        <w:t>Plants</w:t>
      </w:r>
      <w:r w:rsidRPr="00365CAC">
        <w:rPr>
          <w:rFonts w:ascii="Arial" w:hAnsi="Arial" w:cs="Arial"/>
          <w:sz w:val="20"/>
          <w:szCs w:val="20"/>
        </w:rPr>
        <w:t xml:space="preserve"> </w:t>
      </w:r>
      <w:r w:rsidRPr="00365CAC">
        <w:rPr>
          <w:rFonts w:ascii="Arial" w:hAnsi="Arial" w:cs="Arial"/>
          <w:b/>
          <w:bCs/>
          <w:sz w:val="20"/>
          <w:szCs w:val="20"/>
        </w:rPr>
        <w:t>9</w:t>
      </w:r>
      <w:r w:rsidRPr="00365CAC">
        <w:rPr>
          <w:rFonts w:ascii="Arial" w:hAnsi="Arial" w:cs="Arial"/>
          <w:sz w:val="20"/>
          <w:szCs w:val="20"/>
        </w:rPr>
        <w:t>, 1299 (2020).</w:t>
      </w:r>
    </w:p>
    <w:p w14:paraId="67353182" w14:textId="77777777" w:rsidR="00810315" w:rsidRPr="00365CAC" w:rsidRDefault="00810315" w:rsidP="00810315">
      <w:pPr>
        <w:pStyle w:val="Bibliography"/>
        <w:rPr>
          <w:rFonts w:ascii="Arial" w:hAnsi="Arial" w:cs="Arial"/>
          <w:sz w:val="20"/>
          <w:szCs w:val="20"/>
        </w:rPr>
      </w:pPr>
      <w:r w:rsidRPr="00365CAC">
        <w:rPr>
          <w:rFonts w:ascii="Arial" w:hAnsi="Arial" w:cs="Arial"/>
          <w:sz w:val="20"/>
          <w:szCs w:val="20"/>
        </w:rPr>
        <w:t>4.</w:t>
      </w:r>
      <w:r w:rsidRPr="00365CAC">
        <w:rPr>
          <w:rFonts w:ascii="Arial" w:hAnsi="Arial" w:cs="Arial"/>
          <w:sz w:val="20"/>
          <w:szCs w:val="20"/>
        </w:rPr>
        <w:tab/>
        <w:t>Chaachouay, N. &amp; Zidane, L. Produits naturels d’origine végétale : une source pour la découverte et le développement de médicaments. https://www.mdpi.com/2813-2998/3/1/11 (2024).</w:t>
      </w:r>
    </w:p>
    <w:p w14:paraId="7EB9370B" w14:textId="77777777" w:rsidR="00810315" w:rsidRPr="00365CAC" w:rsidRDefault="00810315" w:rsidP="00810315">
      <w:pPr>
        <w:pStyle w:val="Bibliography"/>
        <w:rPr>
          <w:rFonts w:ascii="Arial" w:hAnsi="Arial" w:cs="Arial"/>
          <w:sz w:val="20"/>
          <w:szCs w:val="20"/>
          <w:lang w:val="en-US"/>
        </w:rPr>
      </w:pPr>
      <w:r w:rsidRPr="00365CAC">
        <w:rPr>
          <w:rFonts w:ascii="Arial" w:hAnsi="Arial" w:cs="Arial"/>
          <w:sz w:val="20"/>
          <w:szCs w:val="20"/>
          <w:lang w:val="en-US"/>
        </w:rPr>
        <w:t>5.</w:t>
      </w:r>
      <w:r w:rsidRPr="00365CAC">
        <w:rPr>
          <w:rFonts w:ascii="Arial" w:hAnsi="Arial" w:cs="Arial"/>
          <w:sz w:val="20"/>
          <w:szCs w:val="20"/>
          <w:lang w:val="en-US"/>
        </w:rPr>
        <w:tab/>
        <w:t xml:space="preserve">Francini, A., Romano, D., Toscano, S. &amp; Ferrante, A. The Contribution of Ornamental Plants to Urban Ecosystem Services. </w:t>
      </w:r>
      <w:r w:rsidRPr="00365CAC">
        <w:rPr>
          <w:rFonts w:ascii="Arial" w:hAnsi="Arial" w:cs="Arial"/>
          <w:i/>
          <w:iCs/>
          <w:sz w:val="20"/>
          <w:szCs w:val="20"/>
          <w:lang w:val="en-US"/>
        </w:rPr>
        <w:t>Earth</w:t>
      </w:r>
      <w:r w:rsidRPr="00365CAC">
        <w:rPr>
          <w:rFonts w:ascii="Arial" w:hAnsi="Arial" w:cs="Arial"/>
          <w:sz w:val="20"/>
          <w:szCs w:val="20"/>
          <w:lang w:val="en-US"/>
        </w:rPr>
        <w:t xml:space="preserve"> </w:t>
      </w:r>
      <w:r w:rsidRPr="00365CAC">
        <w:rPr>
          <w:rFonts w:ascii="Arial" w:hAnsi="Arial" w:cs="Arial"/>
          <w:b/>
          <w:bCs/>
          <w:sz w:val="20"/>
          <w:szCs w:val="20"/>
          <w:lang w:val="en-US"/>
        </w:rPr>
        <w:t>3</w:t>
      </w:r>
      <w:r w:rsidRPr="00365CAC">
        <w:rPr>
          <w:rFonts w:ascii="Arial" w:hAnsi="Arial" w:cs="Arial"/>
          <w:sz w:val="20"/>
          <w:szCs w:val="20"/>
          <w:lang w:val="en-US"/>
        </w:rPr>
        <w:t>, 1258–1274 (2022).</w:t>
      </w:r>
    </w:p>
    <w:p w14:paraId="228193A3" w14:textId="77777777" w:rsidR="00810315" w:rsidRPr="00365CAC" w:rsidRDefault="00810315" w:rsidP="00810315">
      <w:pPr>
        <w:pStyle w:val="Bibliography"/>
        <w:rPr>
          <w:rFonts w:ascii="Arial" w:hAnsi="Arial" w:cs="Arial"/>
          <w:sz w:val="20"/>
          <w:szCs w:val="20"/>
          <w:lang w:val="en-US"/>
        </w:rPr>
      </w:pPr>
      <w:r w:rsidRPr="00365CAC">
        <w:rPr>
          <w:rFonts w:ascii="Arial" w:hAnsi="Arial" w:cs="Arial"/>
          <w:sz w:val="20"/>
          <w:szCs w:val="20"/>
          <w:lang w:val="en-US"/>
        </w:rPr>
        <w:t>6.</w:t>
      </w:r>
      <w:r w:rsidRPr="00365CAC">
        <w:rPr>
          <w:rFonts w:ascii="Arial" w:hAnsi="Arial" w:cs="Arial"/>
          <w:sz w:val="20"/>
          <w:szCs w:val="20"/>
          <w:lang w:val="en-US"/>
        </w:rPr>
        <w:tab/>
        <w:t xml:space="preserve">Shikha, D., Kashyap, P., Thakur, A. &amp; Sharma, M. Hibiscus cannabinus. in </w:t>
      </w:r>
      <w:r w:rsidRPr="00365CAC">
        <w:rPr>
          <w:rFonts w:ascii="Arial" w:hAnsi="Arial" w:cs="Arial"/>
          <w:i/>
          <w:iCs/>
          <w:sz w:val="20"/>
          <w:szCs w:val="20"/>
          <w:lang w:val="en-US"/>
        </w:rPr>
        <w:t>Harvesting Food from Weeds</w:t>
      </w:r>
      <w:r w:rsidRPr="00365CAC">
        <w:rPr>
          <w:rFonts w:ascii="Arial" w:hAnsi="Arial" w:cs="Arial"/>
          <w:sz w:val="20"/>
          <w:szCs w:val="20"/>
          <w:lang w:val="en-US"/>
        </w:rPr>
        <w:t xml:space="preserve"> 267–326 (John Wiley &amp; Sons, Ltd, 2023). doi:10.1002/9781119793007.ch8.</w:t>
      </w:r>
    </w:p>
    <w:p w14:paraId="6009AAC1" w14:textId="77777777" w:rsidR="00810315" w:rsidRPr="00365CAC" w:rsidRDefault="00810315" w:rsidP="00810315">
      <w:pPr>
        <w:pStyle w:val="Bibliography"/>
        <w:rPr>
          <w:rFonts w:ascii="Arial" w:hAnsi="Arial" w:cs="Arial"/>
          <w:sz w:val="20"/>
          <w:szCs w:val="20"/>
          <w:lang w:val="en-US"/>
        </w:rPr>
      </w:pPr>
      <w:r w:rsidRPr="00365CAC">
        <w:rPr>
          <w:rFonts w:ascii="Arial" w:hAnsi="Arial" w:cs="Arial"/>
          <w:sz w:val="20"/>
          <w:szCs w:val="20"/>
          <w:lang w:val="en-US"/>
        </w:rPr>
        <w:t>7.</w:t>
      </w:r>
      <w:r w:rsidRPr="00365CAC">
        <w:rPr>
          <w:rFonts w:ascii="Arial" w:hAnsi="Arial" w:cs="Arial"/>
          <w:sz w:val="20"/>
          <w:szCs w:val="20"/>
          <w:lang w:val="en-US"/>
        </w:rPr>
        <w:tab/>
        <w:t xml:space="preserve">Shen, Y. </w:t>
      </w:r>
      <w:r w:rsidRPr="00365CAC">
        <w:rPr>
          <w:rFonts w:ascii="Arial" w:hAnsi="Arial" w:cs="Arial"/>
          <w:i/>
          <w:iCs/>
          <w:sz w:val="20"/>
          <w:szCs w:val="20"/>
          <w:lang w:val="en-US"/>
        </w:rPr>
        <w:t>et al.</w:t>
      </w:r>
      <w:r w:rsidRPr="00365CAC">
        <w:rPr>
          <w:rFonts w:ascii="Arial" w:hAnsi="Arial" w:cs="Arial"/>
          <w:sz w:val="20"/>
          <w:szCs w:val="20"/>
          <w:lang w:val="en-US"/>
        </w:rPr>
        <w:t xml:space="preserve"> Physicochemical, Antioxidant and Anticancer Characteristics of Seed Oil from Three Chenopodium quinoa Genotypes. </w:t>
      </w:r>
      <w:r w:rsidRPr="00365CAC">
        <w:rPr>
          <w:rFonts w:ascii="Arial" w:hAnsi="Arial" w:cs="Arial"/>
          <w:i/>
          <w:iCs/>
          <w:sz w:val="20"/>
          <w:szCs w:val="20"/>
          <w:lang w:val="en-US"/>
        </w:rPr>
        <w:t>Molecules</w:t>
      </w:r>
      <w:r w:rsidRPr="00365CAC">
        <w:rPr>
          <w:rFonts w:ascii="Arial" w:hAnsi="Arial" w:cs="Arial"/>
          <w:sz w:val="20"/>
          <w:szCs w:val="20"/>
          <w:lang w:val="en-US"/>
        </w:rPr>
        <w:t xml:space="preserve"> </w:t>
      </w:r>
      <w:r w:rsidRPr="00365CAC">
        <w:rPr>
          <w:rFonts w:ascii="Arial" w:hAnsi="Arial" w:cs="Arial"/>
          <w:b/>
          <w:bCs/>
          <w:sz w:val="20"/>
          <w:szCs w:val="20"/>
          <w:lang w:val="en-US"/>
        </w:rPr>
        <w:t>27</w:t>
      </w:r>
      <w:r w:rsidRPr="00365CAC">
        <w:rPr>
          <w:rFonts w:ascii="Arial" w:hAnsi="Arial" w:cs="Arial"/>
          <w:sz w:val="20"/>
          <w:szCs w:val="20"/>
          <w:lang w:val="en-US"/>
        </w:rPr>
        <w:t>, 2453 (2022).</w:t>
      </w:r>
    </w:p>
    <w:p w14:paraId="6DE8A672" w14:textId="77777777" w:rsidR="00810315" w:rsidRPr="00365CAC" w:rsidRDefault="00810315" w:rsidP="00810315">
      <w:pPr>
        <w:pStyle w:val="Bibliography"/>
        <w:rPr>
          <w:rFonts w:ascii="Arial" w:hAnsi="Arial" w:cs="Arial"/>
          <w:sz w:val="20"/>
          <w:szCs w:val="20"/>
          <w:lang w:val="en-US"/>
        </w:rPr>
      </w:pPr>
      <w:r w:rsidRPr="00365CAC">
        <w:rPr>
          <w:rFonts w:ascii="Arial" w:hAnsi="Arial" w:cs="Arial"/>
          <w:sz w:val="20"/>
          <w:szCs w:val="20"/>
          <w:lang w:val="en-US"/>
        </w:rPr>
        <w:t>8.</w:t>
      </w:r>
      <w:r w:rsidRPr="00365CAC">
        <w:rPr>
          <w:rFonts w:ascii="Arial" w:hAnsi="Arial" w:cs="Arial"/>
          <w:sz w:val="20"/>
          <w:szCs w:val="20"/>
          <w:lang w:val="en-US"/>
        </w:rPr>
        <w:tab/>
        <w:t>(PDF) Effect of kenaf seed oil from different ways of extraction towards ovarian cancer cells. https://www.researchgate.net/publication/228058186_Effect_of_kenaf_seed_oil_from_different_ways_of_extraction_towards_ovarian_cancer_cells.</w:t>
      </w:r>
    </w:p>
    <w:p w14:paraId="114658AE" w14:textId="77777777" w:rsidR="00810315" w:rsidRPr="00365CAC" w:rsidRDefault="00810315" w:rsidP="00810315">
      <w:pPr>
        <w:pStyle w:val="Bibliography"/>
        <w:rPr>
          <w:rFonts w:ascii="Arial" w:hAnsi="Arial" w:cs="Arial"/>
          <w:sz w:val="20"/>
          <w:szCs w:val="20"/>
          <w:lang w:val="en-US"/>
        </w:rPr>
      </w:pPr>
      <w:r w:rsidRPr="00365CAC">
        <w:rPr>
          <w:rFonts w:ascii="Arial" w:hAnsi="Arial" w:cs="Arial"/>
          <w:sz w:val="20"/>
          <w:szCs w:val="20"/>
          <w:lang w:val="en-US"/>
        </w:rPr>
        <w:t>9.</w:t>
      </w:r>
      <w:r w:rsidRPr="00365CAC">
        <w:rPr>
          <w:rFonts w:ascii="Arial" w:hAnsi="Arial" w:cs="Arial"/>
          <w:sz w:val="20"/>
          <w:szCs w:val="20"/>
          <w:lang w:val="en-US"/>
        </w:rPr>
        <w:tab/>
        <w:t xml:space="preserve">Rudzińska, A. </w:t>
      </w:r>
      <w:r w:rsidRPr="00365CAC">
        <w:rPr>
          <w:rFonts w:ascii="Arial" w:hAnsi="Arial" w:cs="Arial"/>
          <w:i/>
          <w:iCs/>
          <w:sz w:val="20"/>
          <w:szCs w:val="20"/>
          <w:lang w:val="en-US"/>
        </w:rPr>
        <w:t>et al.</w:t>
      </w:r>
      <w:r w:rsidRPr="00365CAC">
        <w:rPr>
          <w:rFonts w:ascii="Arial" w:hAnsi="Arial" w:cs="Arial"/>
          <w:sz w:val="20"/>
          <w:szCs w:val="20"/>
          <w:lang w:val="en-US"/>
        </w:rPr>
        <w:t xml:space="preserve"> Phytochemicals in Cancer Treatment and Cancer Prevention—Review on Epidemiological Data and Clinical Trials. </w:t>
      </w:r>
      <w:r w:rsidRPr="00365CAC">
        <w:rPr>
          <w:rFonts w:ascii="Arial" w:hAnsi="Arial" w:cs="Arial"/>
          <w:i/>
          <w:iCs/>
          <w:sz w:val="20"/>
          <w:szCs w:val="20"/>
          <w:lang w:val="en-US"/>
        </w:rPr>
        <w:t>Nutrients</w:t>
      </w:r>
      <w:r w:rsidRPr="00365CAC">
        <w:rPr>
          <w:rFonts w:ascii="Arial" w:hAnsi="Arial" w:cs="Arial"/>
          <w:sz w:val="20"/>
          <w:szCs w:val="20"/>
          <w:lang w:val="en-US"/>
        </w:rPr>
        <w:t xml:space="preserve"> </w:t>
      </w:r>
      <w:r w:rsidRPr="00365CAC">
        <w:rPr>
          <w:rFonts w:ascii="Arial" w:hAnsi="Arial" w:cs="Arial"/>
          <w:b/>
          <w:bCs/>
          <w:sz w:val="20"/>
          <w:szCs w:val="20"/>
          <w:lang w:val="en-US"/>
        </w:rPr>
        <w:t>15</w:t>
      </w:r>
      <w:r w:rsidRPr="00365CAC">
        <w:rPr>
          <w:rFonts w:ascii="Arial" w:hAnsi="Arial" w:cs="Arial"/>
          <w:sz w:val="20"/>
          <w:szCs w:val="20"/>
          <w:lang w:val="en-US"/>
        </w:rPr>
        <w:t>, 1896 (2023).</w:t>
      </w:r>
    </w:p>
    <w:p w14:paraId="52C4C907" w14:textId="77777777" w:rsidR="00810315" w:rsidRPr="00365CAC" w:rsidRDefault="00810315" w:rsidP="00810315">
      <w:pPr>
        <w:pStyle w:val="Bibliography"/>
        <w:rPr>
          <w:rFonts w:ascii="Arial" w:hAnsi="Arial" w:cs="Arial"/>
          <w:sz w:val="20"/>
          <w:szCs w:val="20"/>
          <w:lang w:val="en-US"/>
        </w:rPr>
      </w:pPr>
      <w:r w:rsidRPr="00365CAC">
        <w:rPr>
          <w:rFonts w:ascii="Arial" w:hAnsi="Arial" w:cs="Arial"/>
          <w:sz w:val="20"/>
          <w:szCs w:val="20"/>
          <w:lang w:val="en-US"/>
        </w:rPr>
        <w:lastRenderedPageBreak/>
        <w:t>10.</w:t>
      </w:r>
      <w:r w:rsidRPr="00365CAC">
        <w:rPr>
          <w:rFonts w:ascii="Arial" w:hAnsi="Arial" w:cs="Arial"/>
          <w:sz w:val="20"/>
          <w:szCs w:val="20"/>
          <w:lang w:val="en-US"/>
        </w:rPr>
        <w:tab/>
        <w:t xml:space="preserve">Wakeel, A., Farooq, M., Bashir, K. &amp; Ozturk, L. Micronutrient Malnutrition and Biofortification: Recent Advances and Future Perspectives. in </w:t>
      </w:r>
      <w:r w:rsidRPr="00365CAC">
        <w:rPr>
          <w:rFonts w:ascii="Arial" w:hAnsi="Arial" w:cs="Arial"/>
          <w:i/>
          <w:iCs/>
          <w:sz w:val="20"/>
          <w:szCs w:val="20"/>
          <w:lang w:val="en-US"/>
        </w:rPr>
        <w:t>Plant Micronutrient Use Efficiency</w:t>
      </w:r>
      <w:r w:rsidRPr="00365CAC">
        <w:rPr>
          <w:rFonts w:ascii="Arial" w:hAnsi="Arial" w:cs="Arial"/>
          <w:sz w:val="20"/>
          <w:szCs w:val="20"/>
          <w:lang w:val="en-US"/>
        </w:rPr>
        <w:t xml:space="preserve"> 225–243 (Academic Press, 2018). doi:10.1016/B978-0-12-812104-7.00017-4.</w:t>
      </w:r>
    </w:p>
    <w:p w14:paraId="6260E5C3" w14:textId="77777777" w:rsidR="00810315" w:rsidRPr="00365CAC" w:rsidRDefault="00810315" w:rsidP="00810315">
      <w:pPr>
        <w:pStyle w:val="Bibliography"/>
        <w:rPr>
          <w:rFonts w:ascii="Arial" w:hAnsi="Arial" w:cs="Arial"/>
          <w:sz w:val="20"/>
          <w:szCs w:val="20"/>
        </w:rPr>
      </w:pPr>
      <w:r w:rsidRPr="00365CAC">
        <w:rPr>
          <w:rFonts w:ascii="Arial" w:hAnsi="Arial" w:cs="Arial"/>
          <w:sz w:val="20"/>
          <w:szCs w:val="20"/>
          <w:lang w:val="en-US"/>
        </w:rPr>
        <w:t>11.</w:t>
      </w:r>
      <w:r w:rsidRPr="00365CAC">
        <w:rPr>
          <w:rFonts w:ascii="Arial" w:hAnsi="Arial" w:cs="Arial"/>
          <w:sz w:val="20"/>
          <w:szCs w:val="20"/>
          <w:lang w:val="en-US"/>
        </w:rPr>
        <w:tab/>
        <w:t xml:space="preserve">Ojelere, O. </w:t>
      </w:r>
      <w:r w:rsidRPr="00365CAC">
        <w:rPr>
          <w:rFonts w:ascii="Arial" w:hAnsi="Arial" w:cs="Arial"/>
          <w:i/>
          <w:iCs/>
          <w:sz w:val="20"/>
          <w:szCs w:val="20"/>
          <w:lang w:val="en-US"/>
        </w:rPr>
        <w:t>PHYTOCHEMICALS, PROXIMATE, MINERAL ELEMENT COMPOSITION AND ANTIMICROBIAL ACTIVITY OF SOME SELECTED MEDICINAL PLANT SEEDS</w:t>
      </w:r>
      <w:r w:rsidRPr="00365CAC">
        <w:rPr>
          <w:rFonts w:ascii="Arial" w:hAnsi="Arial" w:cs="Arial"/>
          <w:sz w:val="20"/>
          <w:szCs w:val="20"/>
          <w:lang w:val="en-US"/>
        </w:rPr>
        <w:t xml:space="preserve">. </w:t>
      </w:r>
      <w:r w:rsidRPr="00365CAC">
        <w:rPr>
          <w:rFonts w:ascii="Arial" w:hAnsi="Arial" w:cs="Arial"/>
          <w:sz w:val="20"/>
          <w:szCs w:val="20"/>
        </w:rPr>
        <w:t>(2016). doi:10.13140/RG.2.1.2160.2808.</w:t>
      </w:r>
    </w:p>
    <w:p w14:paraId="3A5B49F9" w14:textId="77777777" w:rsidR="00810315" w:rsidRPr="00365CAC" w:rsidRDefault="00810315" w:rsidP="00810315">
      <w:pPr>
        <w:pStyle w:val="Bibliography"/>
        <w:rPr>
          <w:rFonts w:ascii="Arial" w:hAnsi="Arial" w:cs="Arial"/>
          <w:sz w:val="20"/>
          <w:szCs w:val="20"/>
          <w:lang w:val="en-US"/>
        </w:rPr>
      </w:pPr>
      <w:r w:rsidRPr="00365CAC">
        <w:rPr>
          <w:rFonts w:ascii="Arial" w:hAnsi="Arial" w:cs="Arial"/>
          <w:sz w:val="20"/>
          <w:szCs w:val="20"/>
        </w:rPr>
        <w:t>12.</w:t>
      </w:r>
      <w:r w:rsidRPr="00365CAC">
        <w:rPr>
          <w:rFonts w:ascii="Arial" w:hAnsi="Arial" w:cs="Arial"/>
          <w:sz w:val="20"/>
          <w:szCs w:val="20"/>
        </w:rPr>
        <w:tab/>
        <w:t xml:space="preserve">Ojha, P. K. </w:t>
      </w:r>
      <w:r w:rsidRPr="00365CAC">
        <w:rPr>
          <w:rFonts w:ascii="Arial" w:hAnsi="Arial" w:cs="Arial"/>
          <w:i/>
          <w:iCs/>
          <w:sz w:val="20"/>
          <w:szCs w:val="20"/>
        </w:rPr>
        <w:t>et al.</w:t>
      </w:r>
      <w:r w:rsidRPr="00365CAC">
        <w:rPr>
          <w:rFonts w:ascii="Arial" w:hAnsi="Arial" w:cs="Arial"/>
          <w:sz w:val="20"/>
          <w:szCs w:val="20"/>
        </w:rPr>
        <w:t xml:space="preserve"> </w:t>
      </w:r>
      <w:r w:rsidRPr="00365CAC">
        <w:rPr>
          <w:rFonts w:ascii="Arial" w:hAnsi="Arial" w:cs="Arial"/>
          <w:sz w:val="20"/>
          <w:szCs w:val="20"/>
          <w:lang w:val="en-US"/>
        </w:rPr>
        <w:t xml:space="preserve">Chemical Compositions and Essential Fatty Acid Analysis of Selected Vegetable Oils and Fats. </w:t>
      </w:r>
      <w:r w:rsidRPr="00365CAC">
        <w:rPr>
          <w:rFonts w:ascii="Arial" w:hAnsi="Arial" w:cs="Arial"/>
          <w:i/>
          <w:iCs/>
          <w:sz w:val="20"/>
          <w:szCs w:val="20"/>
          <w:lang w:val="en-US"/>
        </w:rPr>
        <w:t>Compounds</w:t>
      </w:r>
      <w:r w:rsidRPr="00365CAC">
        <w:rPr>
          <w:rFonts w:ascii="Arial" w:hAnsi="Arial" w:cs="Arial"/>
          <w:sz w:val="20"/>
          <w:szCs w:val="20"/>
          <w:lang w:val="en-US"/>
        </w:rPr>
        <w:t xml:space="preserve"> </w:t>
      </w:r>
      <w:r w:rsidRPr="00365CAC">
        <w:rPr>
          <w:rFonts w:ascii="Arial" w:hAnsi="Arial" w:cs="Arial"/>
          <w:b/>
          <w:bCs/>
          <w:sz w:val="20"/>
          <w:szCs w:val="20"/>
          <w:lang w:val="en-US"/>
        </w:rPr>
        <w:t>4</w:t>
      </w:r>
      <w:r w:rsidRPr="00365CAC">
        <w:rPr>
          <w:rFonts w:ascii="Arial" w:hAnsi="Arial" w:cs="Arial"/>
          <w:sz w:val="20"/>
          <w:szCs w:val="20"/>
          <w:lang w:val="en-US"/>
        </w:rPr>
        <w:t>, 37–70 (2024).</w:t>
      </w:r>
    </w:p>
    <w:p w14:paraId="5B31B105" w14:textId="77777777" w:rsidR="00810315" w:rsidRPr="00365CAC" w:rsidRDefault="00810315" w:rsidP="00810315">
      <w:pPr>
        <w:pStyle w:val="Bibliography"/>
        <w:rPr>
          <w:rFonts w:ascii="Arial" w:hAnsi="Arial" w:cs="Arial"/>
          <w:sz w:val="20"/>
          <w:szCs w:val="20"/>
          <w:lang w:val="en-US"/>
        </w:rPr>
      </w:pPr>
      <w:r w:rsidRPr="00365CAC">
        <w:rPr>
          <w:rFonts w:ascii="Arial" w:hAnsi="Arial" w:cs="Arial"/>
          <w:sz w:val="20"/>
          <w:szCs w:val="20"/>
          <w:lang w:val="en-US"/>
        </w:rPr>
        <w:t>13.</w:t>
      </w:r>
      <w:r w:rsidRPr="00365CAC">
        <w:rPr>
          <w:rFonts w:ascii="Arial" w:hAnsi="Arial" w:cs="Arial"/>
          <w:sz w:val="20"/>
          <w:szCs w:val="20"/>
          <w:lang w:val="en-US"/>
        </w:rPr>
        <w:tab/>
        <w:t xml:space="preserve">Sharma, N., Yeasmen, N., Dube, L. &amp; Orsat, V. Rise of Plant-Based Beverages: A Consumer-Driven Perspective. </w:t>
      </w:r>
      <w:r w:rsidRPr="00365CAC">
        <w:rPr>
          <w:rFonts w:ascii="Arial" w:hAnsi="Arial" w:cs="Arial"/>
          <w:i/>
          <w:iCs/>
          <w:sz w:val="20"/>
          <w:szCs w:val="20"/>
          <w:lang w:val="en-US"/>
        </w:rPr>
        <w:t>Food Reviews International</w:t>
      </w:r>
      <w:r w:rsidRPr="00365CAC">
        <w:rPr>
          <w:rFonts w:ascii="Arial" w:hAnsi="Arial" w:cs="Arial"/>
          <w:sz w:val="20"/>
          <w:szCs w:val="20"/>
          <w:lang w:val="en-US"/>
        </w:rPr>
        <w:t xml:space="preserve"> </w:t>
      </w:r>
      <w:r w:rsidRPr="00365CAC">
        <w:rPr>
          <w:rFonts w:ascii="Arial" w:hAnsi="Arial" w:cs="Arial"/>
          <w:b/>
          <w:bCs/>
          <w:sz w:val="20"/>
          <w:szCs w:val="20"/>
          <w:lang w:val="en-US"/>
        </w:rPr>
        <w:t>40</w:t>
      </w:r>
      <w:r w:rsidRPr="00365CAC">
        <w:rPr>
          <w:rFonts w:ascii="Arial" w:hAnsi="Arial" w:cs="Arial"/>
          <w:sz w:val="20"/>
          <w:szCs w:val="20"/>
          <w:lang w:val="en-US"/>
        </w:rPr>
        <w:t>, 3315–3341 (2024).</w:t>
      </w:r>
    </w:p>
    <w:p w14:paraId="1C60E54F" w14:textId="77777777" w:rsidR="00810315" w:rsidRPr="00365CAC" w:rsidRDefault="00810315" w:rsidP="00810315">
      <w:pPr>
        <w:pStyle w:val="Bibliography"/>
        <w:rPr>
          <w:rFonts w:ascii="Arial" w:hAnsi="Arial" w:cs="Arial"/>
          <w:sz w:val="20"/>
          <w:szCs w:val="20"/>
          <w:lang w:val="en-US"/>
        </w:rPr>
      </w:pPr>
      <w:r w:rsidRPr="00365CAC">
        <w:rPr>
          <w:rFonts w:ascii="Arial" w:hAnsi="Arial" w:cs="Arial"/>
          <w:sz w:val="20"/>
          <w:szCs w:val="20"/>
          <w:lang w:val="en-US"/>
        </w:rPr>
        <w:t>14.</w:t>
      </w:r>
      <w:r w:rsidRPr="00365CAC">
        <w:rPr>
          <w:rFonts w:ascii="Arial" w:hAnsi="Arial" w:cs="Arial"/>
          <w:sz w:val="20"/>
          <w:szCs w:val="20"/>
          <w:lang w:val="en-US"/>
        </w:rPr>
        <w:tab/>
        <w:t xml:space="preserve">Patel, V. Ethics of Food Production and Consumption. in </w:t>
      </w:r>
      <w:r w:rsidRPr="00365CAC">
        <w:rPr>
          <w:rFonts w:ascii="Arial" w:hAnsi="Arial" w:cs="Arial"/>
          <w:i/>
          <w:iCs/>
          <w:sz w:val="20"/>
          <w:szCs w:val="20"/>
          <w:lang w:val="en-US"/>
        </w:rPr>
        <w:t>Zero Hunger</w:t>
      </w:r>
      <w:r w:rsidRPr="00365CAC">
        <w:rPr>
          <w:rFonts w:ascii="Arial" w:hAnsi="Arial" w:cs="Arial"/>
          <w:sz w:val="20"/>
          <w:szCs w:val="20"/>
          <w:lang w:val="en-US"/>
        </w:rPr>
        <w:t xml:space="preserve"> 282–292 (Springer, Cham, 2020). doi:10.1007/978-3-319-95675-6_16.</w:t>
      </w:r>
    </w:p>
    <w:p w14:paraId="4C49CF08" w14:textId="77777777" w:rsidR="00810315" w:rsidRPr="00365CAC" w:rsidRDefault="00810315" w:rsidP="00810315">
      <w:pPr>
        <w:pStyle w:val="Bibliography"/>
        <w:rPr>
          <w:rFonts w:ascii="Arial" w:hAnsi="Arial" w:cs="Arial"/>
          <w:sz w:val="20"/>
          <w:szCs w:val="20"/>
          <w:lang w:val="en-US"/>
        </w:rPr>
      </w:pPr>
      <w:r w:rsidRPr="00365CAC">
        <w:rPr>
          <w:rFonts w:ascii="Arial" w:hAnsi="Arial" w:cs="Arial"/>
          <w:sz w:val="20"/>
          <w:szCs w:val="20"/>
          <w:lang w:val="en-US"/>
        </w:rPr>
        <w:t>15.</w:t>
      </w:r>
      <w:r w:rsidRPr="00365CAC">
        <w:rPr>
          <w:rFonts w:ascii="Arial" w:hAnsi="Arial" w:cs="Arial"/>
          <w:sz w:val="20"/>
          <w:szCs w:val="20"/>
          <w:lang w:val="en-US"/>
        </w:rPr>
        <w:tab/>
        <w:t xml:space="preserve">Shikha, D., Kashyap, P., Thakur, A. &amp; Sharma, M. Hibiscus cannabinus. in </w:t>
      </w:r>
      <w:r w:rsidRPr="00365CAC">
        <w:rPr>
          <w:rFonts w:ascii="Arial" w:hAnsi="Arial" w:cs="Arial"/>
          <w:i/>
          <w:iCs/>
          <w:sz w:val="20"/>
          <w:szCs w:val="20"/>
          <w:lang w:val="en-US"/>
        </w:rPr>
        <w:t>Harvesting Food from Weeds</w:t>
      </w:r>
      <w:r w:rsidRPr="00365CAC">
        <w:rPr>
          <w:rFonts w:ascii="Arial" w:hAnsi="Arial" w:cs="Arial"/>
          <w:sz w:val="20"/>
          <w:szCs w:val="20"/>
          <w:lang w:val="en-US"/>
        </w:rPr>
        <w:t xml:space="preserve"> 267–326 (John Wiley &amp; Sons, Ltd, 2023). doi:10.1002/9781119793007.ch8.</w:t>
      </w:r>
    </w:p>
    <w:p w14:paraId="46983CC0" w14:textId="77777777" w:rsidR="00810315" w:rsidRPr="00365CAC" w:rsidRDefault="00810315" w:rsidP="00810315">
      <w:pPr>
        <w:pStyle w:val="Bibliography"/>
        <w:rPr>
          <w:rFonts w:ascii="Arial" w:hAnsi="Arial" w:cs="Arial"/>
          <w:sz w:val="20"/>
          <w:szCs w:val="20"/>
          <w:lang w:val="en-US"/>
        </w:rPr>
      </w:pPr>
      <w:r w:rsidRPr="00365CAC">
        <w:rPr>
          <w:rFonts w:ascii="Arial" w:hAnsi="Arial" w:cs="Arial"/>
          <w:sz w:val="20"/>
          <w:szCs w:val="20"/>
        </w:rPr>
        <w:t>16.</w:t>
      </w:r>
      <w:r w:rsidRPr="00365CAC">
        <w:rPr>
          <w:rFonts w:ascii="Arial" w:hAnsi="Arial" w:cs="Arial"/>
          <w:sz w:val="20"/>
          <w:szCs w:val="20"/>
        </w:rPr>
        <w:tab/>
        <w:t xml:space="preserve">Nikodème, K. V. </w:t>
      </w:r>
      <w:r w:rsidRPr="00365CAC">
        <w:rPr>
          <w:rFonts w:ascii="Arial" w:hAnsi="Arial" w:cs="Arial"/>
          <w:i/>
          <w:iCs/>
          <w:sz w:val="20"/>
          <w:szCs w:val="20"/>
        </w:rPr>
        <w:t>et al.</w:t>
      </w:r>
      <w:r w:rsidRPr="00365CAC">
        <w:rPr>
          <w:rFonts w:ascii="Arial" w:hAnsi="Arial" w:cs="Arial"/>
          <w:sz w:val="20"/>
          <w:szCs w:val="20"/>
        </w:rPr>
        <w:t xml:space="preserve"> </w:t>
      </w:r>
      <w:r w:rsidRPr="00365CAC">
        <w:rPr>
          <w:rFonts w:ascii="Arial" w:hAnsi="Arial" w:cs="Arial"/>
          <w:sz w:val="20"/>
          <w:szCs w:val="20"/>
          <w:lang w:val="en-US"/>
        </w:rPr>
        <w:t>Genetic diversity of Hibiscus cannabinus L. of Burkina Faso using SSRs markers. (2019).</w:t>
      </w:r>
    </w:p>
    <w:p w14:paraId="595F593B" w14:textId="77777777" w:rsidR="00810315" w:rsidRPr="00365CAC" w:rsidRDefault="00810315" w:rsidP="00810315">
      <w:pPr>
        <w:pStyle w:val="Bibliography"/>
        <w:rPr>
          <w:rFonts w:ascii="Arial" w:hAnsi="Arial" w:cs="Arial"/>
          <w:sz w:val="20"/>
          <w:szCs w:val="20"/>
          <w:lang w:val="en-US"/>
        </w:rPr>
      </w:pPr>
      <w:r w:rsidRPr="00365CAC">
        <w:rPr>
          <w:rFonts w:ascii="Arial" w:hAnsi="Arial" w:cs="Arial"/>
          <w:sz w:val="20"/>
          <w:szCs w:val="20"/>
          <w:lang w:val="en-US"/>
        </w:rPr>
        <w:t>17.</w:t>
      </w:r>
      <w:r w:rsidRPr="00365CAC">
        <w:rPr>
          <w:rFonts w:ascii="Arial" w:hAnsi="Arial" w:cs="Arial"/>
          <w:sz w:val="20"/>
          <w:szCs w:val="20"/>
          <w:lang w:val="en-US"/>
        </w:rPr>
        <w:tab/>
        <w:t>FAO. La situation mondiale de l’alimentation et de l’agriculture 2013. (2013).</w:t>
      </w:r>
    </w:p>
    <w:p w14:paraId="39EF1136" w14:textId="77777777" w:rsidR="00810315" w:rsidRPr="00365CAC" w:rsidRDefault="00810315" w:rsidP="00810315">
      <w:pPr>
        <w:pStyle w:val="Bibliography"/>
        <w:rPr>
          <w:rFonts w:ascii="Arial" w:hAnsi="Arial" w:cs="Arial"/>
          <w:sz w:val="20"/>
          <w:szCs w:val="20"/>
          <w:lang w:val="en-US"/>
        </w:rPr>
      </w:pPr>
      <w:r w:rsidRPr="00365CAC">
        <w:rPr>
          <w:rFonts w:ascii="Arial" w:hAnsi="Arial" w:cs="Arial"/>
          <w:sz w:val="20"/>
          <w:szCs w:val="20"/>
          <w:lang w:val="en-US"/>
        </w:rPr>
        <w:t>18.</w:t>
      </w:r>
      <w:r w:rsidRPr="00365CAC">
        <w:rPr>
          <w:rFonts w:ascii="Arial" w:hAnsi="Arial" w:cs="Arial"/>
          <w:sz w:val="20"/>
          <w:szCs w:val="20"/>
          <w:lang w:val="en-US"/>
        </w:rPr>
        <w:tab/>
        <w:t xml:space="preserve">Yaméogo, J. Changes in the seasonal cycles of extreme temperatures in the Sudano-Sahelian domain in West Africa: a case study from Burkina Faso. </w:t>
      </w:r>
      <w:r w:rsidRPr="00365CAC">
        <w:rPr>
          <w:rFonts w:ascii="Arial" w:hAnsi="Arial" w:cs="Arial"/>
          <w:i/>
          <w:iCs/>
          <w:sz w:val="20"/>
          <w:szCs w:val="20"/>
          <w:lang w:val="en-US"/>
        </w:rPr>
        <w:t>Meteorology Hydrology and Water Management. Research and Operational Applications</w:t>
      </w:r>
      <w:r w:rsidRPr="00365CAC">
        <w:rPr>
          <w:rFonts w:ascii="Arial" w:hAnsi="Arial" w:cs="Arial"/>
          <w:sz w:val="20"/>
          <w:szCs w:val="20"/>
          <w:lang w:val="en-US"/>
        </w:rPr>
        <w:t xml:space="preserve"> </w:t>
      </w:r>
      <w:r w:rsidRPr="00365CAC">
        <w:rPr>
          <w:rFonts w:ascii="Arial" w:hAnsi="Arial" w:cs="Arial"/>
          <w:b/>
          <w:bCs/>
          <w:sz w:val="20"/>
          <w:szCs w:val="20"/>
          <w:lang w:val="en-US"/>
        </w:rPr>
        <w:t>12</w:t>
      </w:r>
      <w:r w:rsidRPr="00365CAC">
        <w:rPr>
          <w:rFonts w:ascii="Arial" w:hAnsi="Arial" w:cs="Arial"/>
          <w:sz w:val="20"/>
          <w:szCs w:val="20"/>
          <w:lang w:val="en-US"/>
        </w:rPr>
        <w:t>, 1–25 (2024).</w:t>
      </w:r>
    </w:p>
    <w:p w14:paraId="23742A39" w14:textId="77777777" w:rsidR="00810315" w:rsidRPr="00365CAC" w:rsidRDefault="00810315" w:rsidP="00810315">
      <w:pPr>
        <w:pStyle w:val="Bibliography"/>
        <w:rPr>
          <w:rFonts w:ascii="Arial" w:hAnsi="Arial" w:cs="Arial"/>
          <w:sz w:val="20"/>
          <w:szCs w:val="20"/>
          <w:lang w:val="en-US"/>
        </w:rPr>
      </w:pPr>
      <w:r w:rsidRPr="00365CAC">
        <w:rPr>
          <w:rFonts w:ascii="Arial" w:hAnsi="Arial" w:cs="Arial"/>
          <w:sz w:val="20"/>
          <w:szCs w:val="20"/>
          <w:lang w:val="en-US"/>
        </w:rPr>
        <w:t>19.</w:t>
      </w:r>
      <w:r w:rsidRPr="00365CAC">
        <w:rPr>
          <w:rFonts w:ascii="Arial" w:hAnsi="Arial" w:cs="Arial"/>
          <w:sz w:val="20"/>
          <w:szCs w:val="20"/>
          <w:lang w:val="en-US"/>
        </w:rPr>
        <w:tab/>
        <w:t xml:space="preserve">Kone, S. </w:t>
      </w:r>
      <w:r w:rsidRPr="00365CAC">
        <w:rPr>
          <w:rFonts w:ascii="Arial" w:hAnsi="Arial" w:cs="Arial"/>
          <w:i/>
          <w:iCs/>
          <w:sz w:val="20"/>
          <w:szCs w:val="20"/>
          <w:lang w:val="en-US"/>
        </w:rPr>
        <w:t>et al.</w:t>
      </w:r>
      <w:r w:rsidRPr="00365CAC">
        <w:rPr>
          <w:rFonts w:ascii="Arial" w:hAnsi="Arial" w:cs="Arial"/>
          <w:sz w:val="20"/>
          <w:szCs w:val="20"/>
          <w:lang w:val="en-US"/>
        </w:rPr>
        <w:t xml:space="preserve"> Nutraceutical potentiality of Moringa oleifera and Senna occidentalis grown under organic conditions from Burkina Faso. </w:t>
      </w:r>
      <w:r w:rsidRPr="00365CAC">
        <w:rPr>
          <w:rFonts w:ascii="Arial" w:hAnsi="Arial" w:cs="Arial"/>
          <w:i/>
          <w:iCs/>
          <w:sz w:val="20"/>
          <w:szCs w:val="20"/>
          <w:lang w:val="en-US"/>
        </w:rPr>
        <w:t>Food Science and Applied Biotechnology</w:t>
      </w:r>
      <w:r w:rsidRPr="00365CAC">
        <w:rPr>
          <w:rFonts w:ascii="Arial" w:hAnsi="Arial" w:cs="Arial"/>
          <w:sz w:val="20"/>
          <w:szCs w:val="20"/>
          <w:lang w:val="en-US"/>
        </w:rPr>
        <w:t xml:space="preserve"> </w:t>
      </w:r>
      <w:r w:rsidRPr="00365CAC">
        <w:rPr>
          <w:rFonts w:ascii="Arial" w:hAnsi="Arial" w:cs="Arial"/>
          <w:b/>
          <w:bCs/>
          <w:sz w:val="20"/>
          <w:szCs w:val="20"/>
          <w:lang w:val="en-US"/>
        </w:rPr>
        <w:t>8</w:t>
      </w:r>
      <w:r w:rsidRPr="00365CAC">
        <w:rPr>
          <w:rFonts w:ascii="Arial" w:hAnsi="Arial" w:cs="Arial"/>
          <w:sz w:val="20"/>
          <w:szCs w:val="20"/>
          <w:lang w:val="en-US"/>
        </w:rPr>
        <w:t>, 264–276 (2025).</w:t>
      </w:r>
    </w:p>
    <w:p w14:paraId="3A848BDF" w14:textId="77777777" w:rsidR="00810315" w:rsidRPr="00365CAC" w:rsidRDefault="00810315" w:rsidP="00810315">
      <w:pPr>
        <w:pStyle w:val="Bibliography"/>
        <w:rPr>
          <w:rFonts w:ascii="Arial" w:hAnsi="Arial" w:cs="Arial"/>
          <w:sz w:val="20"/>
          <w:szCs w:val="20"/>
          <w:lang w:val="en-US"/>
        </w:rPr>
      </w:pPr>
      <w:r w:rsidRPr="00365CAC">
        <w:rPr>
          <w:rFonts w:ascii="Arial" w:hAnsi="Arial" w:cs="Arial"/>
          <w:sz w:val="20"/>
          <w:szCs w:val="20"/>
          <w:lang w:val="en-US"/>
        </w:rPr>
        <w:t>20.</w:t>
      </w:r>
      <w:r w:rsidRPr="00365CAC">
        <w:rPr>
          <w:rFonts w:ascii="Arial" w:hAnsi="Arial" w:cs="Arial"/>
          <w:sz w:val="20"/>
          <w:szCs w:val="20"/>
          <w:lang w:val="en-US"/>
        </w:rPr>
        <w:tab/>
        <w:t xml:space="preserve">Cortés-Herrera, C. </w:t>
      </w:r>
      <w:r w:rsidRPr="00365CAC">
        <w:rPr>
          <w:rFonts w:ascii="Arial" w:hAnsi="Arial" w:cs="Arial"/>
          <w:i/>
          <w:iCs/>
          <w:sz w:val="20"/>
          <w:szCs w:val="20"/>
          <w:lang w:val="en-US"/>
        </w:rPr>
        <w:t>et al.</w:t>
      </w:r>
      <w:r w:rsidRPr="00365CAC">
        <w:rPr>
          <w:rFonts w:ascii="Arial" w:hAnsi="Arial" w:cs="Arial"/>
          <w:sz w:val="20"/>
          <w:szCs w:val="20"/>
          <w:lang w:val="en-US"/>
        </w:rPr>
        <w:t xml:space="preserve"> Nitrogen/protein and one-step moisture and ash examination in foodstuffs: Validation case analysis using automated combustion and thermogravimetry determination under ISO/IEC 17025 guidelines. </w:t>
      </w:r>
      <w:r w:rsidRPr="00365CAC">
        <w:rPr>
          <w:rFonts w:ascii="Arial" w:hAnsi="Arial" w:cs="Arial"/>
          <w:i/>
          <w:iCs/>
          <w:sz w:val="20"/>
          <w:szCs w:val="20"/>
          <w:lang w:val="en-US"/>
        </w:rPr>
        <w:t>Current Research in Food Science</w:t>
      </w:r>
      <w:r w:rsidRPr="00365CAC">
        <w:rPr>
          <w:rFonts w:ascii="Arial" w:hAnsi="Arial" w:cs="Arial"/>
          <w:sz w:val="20"/>
          <w:szCs w:val="20"/>
          <w:lang w:val="en-US"/>
        </w:rPr>
        <w:t xml:space="preserve"> </w:t>
      </w:r>
      <w:r w:rsidRPr="00365CAC">
        <w:rPr>
          <w:rFonts w:ascii="Arial" w:hAnsi="Arial" w:cs="Arial"/>
          <w:b/>
          <w:bCs/>
          <w:sz w:val="20"/>
          <w:szCs w:val="20"/>
          <w:lang w:val="en-US"/>
        </w:rPr>
        <w:t>4</w:t>
      </w:r>
      <w:r w:rsidRPr="00365CAC">
        <w:rPr>
          <w:rFonts w:ascii="Arial" w:hAnsi="Arial" w:cs="Arial"/>
          <w:sz w:val="20"/>
          <w:szCs w:val="20"/>
          <w:lang w:val="en-US"/>
        </w:rPr>
        <w:t>, 900–909 (2021).</w:t>
      </w:r>
    </w:p>
    <w:p w14:paraId="09F6C893" w14:textId="77777777" w:rsidR="00810315" w:rsidRPr="00365CAC" w:rsidRDefault="00810315" w:rsidP="00810315">
      <w:pPr>
        <w:pStyle w:val="Bibliography"/>
        <w:rPr>
          <w:rFonts w:ascii="Arial" w:hAnsi="Arial" w:cs="Arial"/>
          <w:sz w:val="20"/>
          <w:szCs w:val="20"/>
          <w:lang w:val="en-US"/>
        </w:rPr>
      </w:pPr>
      <w:r w:rsidRPr="00365CAC">
        <w:rPr>
          <w:rFonts w:ascii="Arial" w:hAnsi="Arial" w:cs="Arial"/>
          <w:sz w:val="20"/>
          <w:szCs w:val="20"/>
          <w:lang w:val="en-US"/>
        </w:rPr>
        <w:t>21.</w:t>
      </w:r>
      <w:r w:rsidRPr="00365CAC">
        <w:rPr>
          <w:rFonts w:ascii="Arial" w:hAnsi="Arial" w:cs="Arial"/>
          <w:sz w:val="20"/>
          <w:szCs w:val="20"/>
          <w:lang w:val="en-US"/>
        </w:rPr>
        <w:tab/>
        <w:t xml:space="preserve">Cortés-Herrera, C. </w:t>
      </w:r>
      <w:r w:rsidRPr="00365CAC">
        <w:rPr>
          <w:rFonts w:ascii="Arial" w:hAnsi="Arial" w:cs="Arial"/>
          <w:i/>
          <w:iCs/>
          <w:sz w:val="20"/>
          <w:szCs w:val="20"/>
          <w:lang w:val="en-US"/>
        </w:rPr>
        <w:t>et al.</w:t>
      </w:r>
      <w:r w:rsidRPr="00365CAC">
        <w:rPr>
          <w:rFonts w:ascii="Arial" w:hAnsi="Arial" w:cs="Arial"/>
          <w:sz w:val="20"/>
          <w:szCs w:val="20"/>
          <w:lang w:val="en-US"/>
        </w:rPr>
        <w:t xml:space="preserve"> Nitrogen/protein and one-step moisture and ash examination in foodstuffs: Validation case analysis using automated combustion and thermogravimetry </w:t>
      </w:r>
      <w:r w:rsidRPr="00365CAC">
        <w:rPr>
          <w:rFonts w:ascii="Arial" w:hAnsi="Arial" w:cs="Arial"/>
          <w:sz w:val="20"/>
          <w:szCs w:val="20"/>
          <w:lang w:val="en-US"/>
        </w:rPr>
        <w:lastRenderedPageBreak/>
        <w:t xml:space="preserve">determination under ISO/IEC 17025 guidelines. </w:t>
      </w:r>
      <w:r w:rsidRPr="00365CAC">
        <w:rPr>
          <w:rFonts w:ascii="Arial" w:hAnsi="Arial" w:cs="Arial"/>
          <w:i/>
          <w:iCs/>
          <w:sz w:val="20"/>
          <w:szCs w:val="20"/>
          <w:lang w:val="en-US"/>
        </w:rPr>
        <w:t>Current Research in Food Science</w:t>
      </w:r>
      <w:r w:rsidRPr="00365CAC">
        <w:rPr>
          <w:rFonts w:ascii="Arial" w:hAnsi="Arial" w:cs="Arial"/>
          <w:sz w:val="20"/>
          <w:szCs w:val="20"/>
          <w:lang w:val="en-US"/>
        </w:rPr>
        <w:t xml:space="preserve"> </w:t>
      </w:r>
      <w:r w:rsidRPr="00365CAC">
        <w:rPr>
          <w:rFonts w:ascii="Arial" w:hAnsi="Arial" w:cs="Arial"/>
          <w:b/>
          <w:bCs/>
          <w:sz w:val="20"/>
          <w:szCs w:val="20"/>
          <w:lang w:val="en-US"/>
        </w:rPr>
        <w:t>4</w:t>
      </w:r>
      <w:r w:rsidRPr="00365CAC">
        <w:rPr>
          <w:rFonts w:ascii="Arial" w:hAnsi="Arial" w:cs="Arial"/>
          <w:sz w:val="20"/>
          <w:szCs w:val="20"/>
          <w:lang w:val="en-US"/>
        </w:rPr>
        <w:t>, 900–909 (2021).</w:t>
      </w:r>
    </w:p>
    <w:p w14:paraId="5B796BB8" w14:textId="77777777" w:rsidR="00810315" w:rsidRPr="00365CAC" w:rsidRDefault="00810315" w:rsidP="00810315">
      <w:pPr>
        <w:pStyle w:val="Bibliography"/>
        <w:rPr>
          <w:rFonts w:ascii="Arial" w:hAnsi="Arial" w:cs="Arial"/>
          <w:sz w:val="20"/>
          <w:szCs w:val="20"/>
          <w:lang w:val="en-US"/>
        </w:rPr>
      </w:pPr>
      <w:r w:rsidRPr="00365CAC">
        <w:rPr>
          <w:rFonts w:ascii="Arial" w:hAnsi="Arial" w:cs="Arial"/>
          <w:sz w:val="20"/>
          <w:szCs w:val="20"/>
          <w:lang w:val="en-US"/>
        </w:rPr>
        <w:t>22.</w:t>
      </w:r>
      <w:r w:rsidRPr="00365CAC">
        <w:rPr>
          <w:rFonts w:ascii="Arial" w:hAnsi="Arial" w:cs="Arial"/>
          <w:sz w:val="20"/>
          <w:szCs w:val="20"/>
          <w:lang w:val="en-US"/>
        </w:rPr>
        <w:tab/>
        <w:t>AOAC. AOAC (1984) Méthodes officielles d’analyse. Association des chimistes analystes officiels. 14e édition, AOAC, Arlington. - Références - Scientific Research Publishing. https://www.scirp.org/reference/ReferencesPapers?ReferenceID=1300500.</w:t>
      </w:r>
    </w:p>
    <w:p w14:paraId="5C265426" w14:textId="77777777" w:rsidR="00810315" w:rsidRPr="00365CAC" w:rsidRDefault="00810315" w:rsidP="00810315">
      <w:pPr>
        <w:pStyle w:val="Bibliography"/>
        <w:rPr>
          <w:rFonts w:ascii="Arial" w:hAnsi="Arial" w:cs="Arial"/>
          <w:sz w:val="20"/>
          <w:szCs w:val="20"/>
          <w:lang w:val="en-US"/>
        </w:rPr>
      </w:pPr>
      <w:r w:rsidRPr="00365CAC">
        <w:rPr>
          <w:rFonts w:ascii="Arial" w:hAnsi="Arial" w:cs="Arial"/>
          <w:sz w:val="20"/>
          <w:szCs w:val="20"/>
          <w:lang w:val="en-US"/>
        </w:rPr>
        <w:t>23.</w:t>
      </w:r>
      <w:r w:rsidRPr="00365CAC">
        <w:rPr>
          <w:rFonts w:ascii="Arial" w:hAnsi="Arial" w:cs="Arial"/>
          <w:sz w:val="20"/>
          <w:szCs w:val="20"/>
          <w:lang w:val="en-US"/>
        </w:rPr>
        <w:tab/>
        <w:t xml:space="preserve">Kane, A. </w:t>
      </w:r>
      <w:r w:rsidRPr="00365CAC">
        <w:rPr>
          <w:rFonts w:ascii="Arial" w:hAnsi="Arial" w:cs="Arial"/>
          <w:i/>
          <w:iCs/>
          <w:sz w:val="20"/>
          <w:szCs w:val="20"/>
          <w:lang w:val="en-US"/>
        </w:rPr>
        <w:t>et al.</w:t>
      </w:r>
      <w:r w:rsidRPr="00365CAC">
        <w:rPr>
          <w:rFonts w:ascii="Arial" w:hAnsi="Arial" w:cs="Arial"/>
          <w:sz w:val="20"/>
          <w:szCs w:val="20"/>
          <w:lang w:val="en-US"/>
        </w:rPr>
        <w:t xml:space="preserve"> Identification of roselle varieties through simple discriminating physicochemical characteristics using multivariate analysis. </w:t>
      </w:r>
      <w:r w:rsidRPr="00365CAC">
        <w:rPr>
          <w:rFonts w:ascii="Arial" w:hAnsi="Arial" w:cs="Arial"/>
          <w:i/>
          <w:iCs/>
          <w:sz w:val="20"/>
          <w:szCs w:val="20"/>
          <w:lang w:val="en-US"/>
        </w:rPr>
        <w:t>Food Sci. Technol</w:t>
      </w:r>
      <w:r w:rsidRPr="00365CAC">
        <w:rPr>
          <w:rFonts w:ascii="Arial" w:hAnsi="Arial" w:cs="Arial"/>
          <w:sz w:val="20"/>
          <w:szCs w:val="20"/>
          <w:lang w:val="en-US"/>
        </w:rPr>
        <w:t xml:space="preserve"> </w:t>
      </w:r>
      <w:r w:rsidRPr="00365CAC">
        <w:rPr>
          <w:rFonts w:ascii="Arial" w:hAnsi="Arial" w:cs="Arial"/>
          <w:b/>
          <w:bCs/>
          <w:sz w:val="20"/>
          <w:szCs w:val="20"/>
          <w:lang w:val="en-US"/>
        </w:rPr>
        <w:t>39</w:t>
      </w:r>
      <w:r w:rsidRPr="00365CAC">
        <w:rPr>
          <w:rFonts w:ascii="Arial" w:hAnsi="Arial" w:cs="Arial"/>
          <w:sz w:val="20"/>
          <w:szCs w:val="20"/>
          <w:lang w:val="en-US"/>
        </w:rPr>
        <w:t>, 321–327 (2019).</w:t>
      </w:r>
    </w:p>
    <w:p w14:paraId="45771BA2" w14:textId="77777777" w:rsidR="00810315" w:rsidRPr="00365CAC" w:rsidRDefault="00810315" w:rsidP="00810315">
      <w:pPr>
        <w:pStyle w:val="Bibliography"/>
        <w:rPr>
          <w:rFonts w:ascii="Arial" w:hAnsi="Arial" w:cs="Arial"/>
          <w:sz w:val="20"/>
          <w:szCs w:val="20"/>
          <w:lang w:val="en-US"/>
        </w:rPr>
      </w:pPr>
      <w:r w:rsidRPr="00365CAC">
        <w:rPr>
          <w:rFonts w:ascii="Arial" w:hAnsi="Arial" w:cs="Arial"/>
          <w:sz w:val="20"/>
          <w:szCs w:val="20"/>
          <w:lang w:val="en-US"/>
        </w:rPr>
        <w:t>24.</w:t>
      </w:r>
      <w:r w:rsidRPr="00365CAC">
        <w:rPr>
          <w:rFonts w:ascii="Arial" w:hAnsi="Arial" w:cs="Arial"/>
          <w:sz w:val="20"/>
          <w:szCs w:val="20"/>
          <w:lang w:val="en-US"/>
        </w:rPr>
        <w:tab/>
        <w:t xml:space="preserve">Nielsen, S. S. Total Carbohydrate by Phenol-Sulfuric Acid Method. in </w:t>
      </w:r>
      <w:r w:rsidRPr="00365CAC">
        <w:rPr>
          <w:rFonts w:ascii="Arial" w:hAnsi="Arial" w:cs="Arial"/>
          <w:i/>
          <w:iCs/>
          <w:sz w:val="20"/>
          <w:szCs w:val="20"/>
          <w:lang w:val="en-US"/>
        </w:rPr>
        <w:t>Nielsen’s Food Analysis Laboratory Manual</w:t>
      </w:r>
      <w:r w:rsidRPr="00365CAC">
        <w:rPr>
          <w:rFonts w:ascii="Arial" w:hAnsi="Arial" w:cs="Arial"/>
          <w:sz w:val="20"/>
          <w:szCs w:val="20"/>
          <w:lang w:val="en-US"/>
        </w:rPr>
        <w:t xml:space="preserve"> (eds Ismail, B. P. &amp; Nielsen, S. S.) 147–151 (Springer International Publishing, Cham, 2024). doi:10.1007/978-3-031-44970-3_17.</w:t>
      </w:r>
    </w:p>
    <w:p w14:paraId="056BE9ED" w14:textId="77777777" w:rsidR="00810315" w:rsidRPr="00365CAC" w:rsidRDefault="00810315" w:rsidP="00810315">
      <w:pPr>
        <w:pStyle w:val="Bibliography"/>
        <w:rPr>
          <w:rFonts w:ascii="Arial" w:hAnsi="Arial" w:cs="Arial"/>
          <w:sz w:val="20"/>
          <w:szCs w:val="20"/>
          <w:lang w:val="en-US"/>
        </w:rPr>
      </w:pPr>
      <w:r w:rsidRPr="00365CAC">
        <w:rPr>
          <w:rFonts w:ascii="Arial" w:hAnsi="Arial" w:cs="Arial"/>
          <w:sz w:val="20"/>
          <w:szCs w:val="20"/>
        </w:rPr>
        <w:t>25.</w:t>
      </w:r>
      <w:r w:rsidRPr="00365CAC">
        <w:rPr>
          <w:rFonts w:ascii="Arial" w:hAnsi="Arial" w:cs="Arial"/>
          <w:sz w:val="20"/>
          <w:szCs w:val="20"/>
        </w:rPr>
        <w:tab/>
        <w:t xml:space="preserve">Uddin, A. H. </w:t>
      </w:r>
      <w:r w:rsidRPr="00365CAC">
        <w:rPr>
          <w:rFonts w:ascii="Arial" w:hAnsi="Arial" w:cs="Arial"/>
          <w:i/>
          <w:iCs/>
          <w:sz w:val="20"/>
          <w:szCs w:val="20"/>
        </w:rPr>
        <w:t>et al.</w:t>
      </w:r>
      <w:r w:rsidRPr="00365CAC">
        <w:rPr>
          <w:rFonts w:ascii="Arial" w:hAnsi="Arial" w:cs="Arial"/>
          <w:sz w:val="20"/>
          <w:szCs w:val="20"/>
        </w:rPr>
        <w:t xml:space="preserve"> </w:t>
      </w:r>
      <w:r w:rsidRPr="00365CAC">
        <w:rPr>
          <w:rFonts w:ascii="Arial" w:hAnsi="Arial" w:cs="Arial"/>
          <w:sz w:val="20"/>
          <w:szCs w:val="20"/>
          <w:lang w:val="en-US"/>
        </w:rPr>
        <w:t xml:space="preserve">Comparative study of three digestion methods for elemental analysis in traditional medicine products using atomic absorption spectrometry. </w:t>
      </w:r>
      <w:r w:rsidRPr="00365CAC">
        <w:rPr>
          <w:rFonts w:ascii="Arial" w:hAnsi="Arial" w:cs="Arial"/>
          <w:i/>
          <w:iCs/>
          <w:sz w:val="20"/>
          <w:szCs w:val="20"/>
          <w:lang w:val="en-US"/>
        </w:rPr>
        <w:t>J Anal Sci Technol</w:t>
      </w:r>
      <w:r w:rsidRPr="00365CAC">
        <w:rPr>
          <w:rFonts w:ascii="Arial" w:hAnsi="Arial" w:cs="Arial"/>
          <w:sz w:val="20"/>
          <w:szCs w:val="20"/>
          <w:lang w:val="en-US"/>
        </w:rPr>
        <w:t xml:space="preserve"> </w:t>
      </w:r>
      <w:r w:rsidRPr="00365CAC">
        <w:rPr>
          <w:rFonts w:ascii="Arial" w:hAnsi="Arial" w:cs="Arial"/>
          <w:b/>
          <w:bCs/>
          <w:sz w:val="20"/>
          <w:szCs w:val="20"/>
          <w:lang w:val="en-US"/>
        </w:rPr>
        <w:t>7</w:t>
      </w:r>
      <w:r w:rsidRPr="00365CAC">
        <w:rPr>
          <w:rFonts w:ascii="Arial" w:hAnsi="Arial" w:cs="Arial"/>
          <w:sz w:val="20"/>
          <w:szCs w:val="20"/>
          <w:lang w:val="en-US"/>
        </w:rPr>
        <w:t>, 6 (2016).</w:t>
      </w:r>
    </w:p>
    <w:p w14:paraId="17F9D4EF" w14:textId="77777777" w:rsidR="00810315" w:rsidRPr="00365CAC" w:rsidRDefault="00810315" w:rsidP="00810315">
      <w:pPr>
        <w:pStyle w:val="Bibliography"/>
        <w:rPr>
          <w:rFonts w:ascii="Arial" w:hAnsi="Arial" w:cs="Arial"/>
          <w:sz w:val="20"/>
          <w:szCs w:val="20"/>
          <w:lang w:val="en-US"/>
        </w:rPr>
      </w:pPr>
      <w:r w:rsidRPr="00365CAC">
        <w:rPr>
          <w:rFonts w:ascii="Arial" w:hAnsi="Arial" w:cs="Arial"/>
          <w:sz w:val="20"/>
          <w:szCs w:val="20"/>
          <w:lang w:val="en-US"/>
        </w:rPr>
        <w:t>26.</w:t>
      </w:r>
      <w:r w:rsidRPr="00365CAC">
        <w:rPr>
          <w:rFonts w:ascii="Arial" w:hAnsi="Arial" w:cs="Arial"/>
          <w:sz w:val="20"/>
          <w:szCs w:val="20"/>
          <w:lang w:val="en-US"/>
        </w:rPr>
        <w:tab/>
        <w:t xml:space="preserve">Wang, Y. </w:t>
      </w:r>
      <w:r w:rsidRPr="00365CAC">
        <w:rPr>
          <w:rFonts w:ascii="Arial" w:hAnsi="Arial" w:cs="Arial"/>
          <w:i/>
          <w:iCs/>
          <w:sz w:val="20"/>
          <w:szCs w:val="20"/>
          <w:lang w:val="en-US"/>
        </w:rPr>
        <w:t>et al.</w:t>
      </w:r>
      <w:r w:rsidRPr="00365CAC">
        <w:rPr>
          <w:rFonts w:ascii="Arial" w:hAnsi="Arial" w:cs="Arial"/>
          <w:sz w:val="20"/>
          <w:szCs w:val="20"/>
          <w:lang w:val="en-US"/>
        </w:rPr>
        <w:t xml:space="preserve"> Spatial heterogeneity of soil factors enhances intraspecific variation in plant functional traits in a desert ecosystem. </w:t>
      </w:r>
      <w:r w:rsidRPr="00365CAC">
        <w:rPr>
          <w:rFonts w:ascii="Arial" w:hAnsi="Arial" w:cs="Arial"/>
          <w:i/>
          <w:iCs/>
          <w:sz w:val="20"/>
          <w:szCs w:val="20"/>
          <w:lang w:val="en-US"/>
        </w:rPr>
        <w:t>Front. Plant Sci.</w:t>
      </w:r>
      <w:r w:rsidRPr="00365CAC">
        <w:rPr>
          <w:rFonts w:ascii="Arial" w:hAnsi="Arial" w:cs="Arial"/>
          <w:sz w:val="20"/>
          <w:szCs w:val="20"/>
          <w:lang w:val="en-US"/>
        </w:rPr>
        <w:t xml:space="preserve"> </w:t>
      </w:r>
      <w:r w:rsidRPr="00365CAC">
        <w:rPr>
          <w:rFonts w:ascii="Arial" w:hAnsi="Arial" w:cs="Arial"/>
          <w:b/>
          <w:bCs/>
          <w:sz w:val="20"/>
          <w:szCs w:val="20"/>
          <w:lang w:val="en-US"/>
        </w:rPr>
        <w:t>15</w:t>
      </w:r>
      <w:r w:rsidRPr="00365CAC">
        <w:rPr>
          <w:rFonts w:ascii="Arial" w:hAnsi="Arial" w:cs="Arial"/>
          <w:sz w:val="20"/>
          <w:szCs w:val="20"/>
          <w:lang w:val="en-US"/>
        </w:rPr>
        <w:t>, (2024).</w:t>
      </w:r>
    </w:p>
    <w:p w14:paraId="666A9243" w14:textId="77777777" w:rsidR="00810315" w:rsidRPr="00365CAC" w:rsidRDefault="00810315" w:rsidP="00810315">
      <w:pPr>
        <w:pStyle w:val="Bibliography"/>
        <w:rPr>
          <w:rFonts w:ascii="Arial" w:hAnsi="Arial" w:cs="Arial"/>
          <w:sz w:val="20"/>
          <w:szCs w:val="20"/>
          <w:lang w:val="en-US"/>
        </w:rPr>
      </w:pPr>
      <w:r w:rsidRPr="00365CAC">
        <w:rPr>
          <w:rFonts w:ascii="Arial" w:hAnsi="Arial" w:cs="Arial"/>
          <w:sz w:val="20"/>
          <w:szCs w:val="20"/>
          <w:lang w:val="en-US"/>
        </w:rPr>
        <w:t>27.</w:t>
      </w:r>
      <w:r w:rsidRPr="00365CAC">
        <w:rPr>
          <w:rFonts w:ascii="Arial" w:hAnsi="Arial" w:cs="Arial"/>
          <w:sz w:val="20"/>
          <w:szCs w:val="20"/>
          <w:lang w:val="en-US"/>
        </w:rPr>
        <w:tab/>
        <w:t>Maduna, M. K. Growth and productivity assessment of four cowpea genotypes under variable phosphorus levels and soil-moisture conditions. (2025).</w:t>
      </w:r>
    </w:p>
    <w:p w14:paraId="217A1272" w14:textId="77777777" w:rsidR="00810315" w:rsidRPr="00365CAC" w:rsidRDefault="00810315" w:rsidP="00810315">
      <w:pPr>
        <w:pStyle w:val="Bibliography"/>
        <w:rPr>
          <w:rFonts w:ascii="Arial" w:hAnsi="Arial" w:cs="Arial"/>
          <w:sz w:val="20"/>
          <w:szCs w:val="20"/>
          <w:lang w:val="en-US"/>
        </w:rPr>
      </w:pPr>
      <w:r w:rsidRPr="00365CAC">
        <w:rPr>
          <w:rFonts w:ascii="Arial" w:hAnsi="Arial" w:cs="Arial"/>
          <w:sz w:val="20"/>
          <w:szCs w:val="20"/>
          <w:lang w:val="en-US"/>
        </w:rPr>
        <w:t>28.</w:t>
      </w:r>
      <w:r w:rsidRPr="00365CAC">
        <w:rPr>
          <w:rFonts w:ascii="Arial" w:hAnsi="Arial" w:cs="Arial"/>
          <w:sz w:val="20"/>
          <w:szCs w:val="20"/>
          <w:lang w:val="en-US"/>
        </w:rPr>
        <w:tab/>
        <w:t xml:space="preserve">Alghamdi, M., Gutierrez, J. &amp; Komarnytsky, S. Essential Minerals and Metabolic Adaptation of Immune Cells. </w:t>
      </w:r>
      <w:r w:rsidRPr="00365CAC">
        <w:rPr>
          <w:rFonts w:ascii="Arial" w:hAnsi="Arial" w:cs="Arial"/>
          <w:i/>
          <w:iCs/>
          <w:sz w:val="20"/>
          <w:szCs w:val="20"/>
          <w:lang w:val="en-US"/>
        </w:rPr>
        <w:t>Nutrients</w:t>
      </w:r>
      <w:r w:rsidRPr="00365CAC">
        <w:rPr>
          <w:rFonts w:ascii="Arial" w:hAnsi="Arial" w:cs="Arial"/>
          <w:sz w:val="20"/>
          <w:szCs w:val="20"/>
          <w:lang w:val="en-US"/>
        </w:rPr>
        <w:t xml:space="preserve"> </w:t>
      </w:r>
      <w:r w:rsidRPr="00365CAC">
        <w:rPr>
          <w:rFonts w:ascii="Arial" w:hAnsi="Arial" w:cs="Arial"/>
          <w:b/>
          <w:bCs/>
          <w:sz w:val="20"/>
          <w:szCs w:val="20"/>
          <w:lang w:val="en-US"/>
        </w:rPr>
        <w:t>15</w:t>
      </w:r>
      <w:r w:rsidRPr="00365CAC">
        <w:rPr>
          <w:rFonts w:ascii="Arial" w:hAnsi="Arial" w:cs="Arial"/>
          <w:sz w:val="20"/>
          <w:szCs w:val="20"/>
          <w:lang w:val="en-US"/>
        </w:rPr>
        <w:t>, 123 (2023).</w:t>
      </w:r>
    </w:p>
    <w:p w14:paraId="63226DCA" w14:textId="77777777" w:rsidR="00810315" w:rsidRPr="00365CAC" w:rsidRDefault="00810315" w:rsidP="00810315">
      <w:pPr>
        <w:pStyle w:val="Bibliography"/>
        <w:rPr>
          <w:rFonts w:ascii="Arial" w:hAnsi="Arial" w:cs="Arial"/>
          <w:sz w:val="20"/>
          <w:szCs w:val="20"/>
          <w:lang w:val="en-US"/>
        </w:rPr>
      </w:pPr>
      <w:r w:rsidRPr="00365CAC">
        <w:rPr>
          <w:rFonts w:ascii="Arial" w:hAnsi="Arial" w:cs="Arial"/>
          <w:sz w:val="20"/>
          <w:szCs w:val="20"/>
          <w:lang w:val="en-US"/>
        </w:rPr>
        <w:t>29.</w:t>
      </w:r>
      <w:r w:rsidRPr="00365CAC">
        <w:rPr>
          <w:rFonts w:ascii="Arial" w:hAnsi="Arial" w:cs="Arial"/>
          <w:sz w:val="20"/>
          <w:szCs w:val="20"/>
          <w:lang w:val="en-US"/>
        </w:rPr>
        <w:tab/>
        <w:t xml:space="preserve">N’do, J. Y. </w:t>
      </w:r>
      <w:r w:rsidRPr="00365CAC">
        <w:rPr>
          <w:rFonts w:ascii="Arial" w:hAnsi="Arial" w:cs="Arial"/>
          <w:i/>
          <w:iCs/>
          <w:sz w:val="20"/>
          <w:szCs w:val="20"/>
          <w:lang w:val="en-US"/>
        </w:rPr>
        <w:t>et al.</w:t>
      </w:r>
      <w:r w:rsidRPr="00365CAC">
        <w:rPr>
          <w:rFonts w:ascii="Arial" w:hAnsi="Arial" w:cs="Arial"/>
          <w:sz w:val="20"/>
          <w:szCs w:val="20"/>
          <w:lang w:val="en-US"/>
        </w:rPr>
        <w:t xml:space="preserve"> Ethnobotany and quality control of bioproducts: Sustainable management of natural resources in urban environments. </w:t>
      </w:r>
      <w:r w:rsidRPr="00365CAC">
        <w:rPr>
          <w:rFonts w:ascii="Arial" w:hAnsi="Arial" w:cs="Arial"/>
          <w:i/>
          <w:iCs/>
          <w:sz w:val="20"/>
          <w:szCs w:val="20"/>
          <w:lang w:val="en-US"/>
        </w:rPr>
        <w:t>Results in Engineering</w:t>
      </w:r>
      <w:r w:rsidRPr="00365CAC">
        <w:rPr>
          <w:rFonts w:ascii="Arial" w:hAnsi="Arial" w:cs="Arial"/>
          <w:sz w:val="20"/>
          <w:szCs w:val="20"/>
          <w:lang w:val="en-US"/>
        </w:rPr>
        <w:t xml:space="preserve"> </w:t>
      </w:r>
      <w:r w:rsidRPr="00365CAC">
        <w:rPr>
          <w:rFonts w:ascii="Arial" w:hAnsi="Arial" w:cs="Arial"/>
          <w:b/>
          <w:bCs/>
          <w:sz w:val="20"/>
          <w:szCs w:val="20"/>
          <w:lang w:val="en-US"/>
        </w:rPr>
        <w:t>27</w:t>
      </w:r>
      <w:r w:rsidRPr="00365CAC">
        <w:rPr>
          <w:rFonts w:ascii="Arial" w:hAnsi="Arial" w:cs="Arial"/>
          <w:sz w:val="20"/>
          <w:szCs w:val="20"/>
          <w:lang w:val="en-US"/>
        </w:rPr>
        <w:t>, 106300 (2025).</w:t>
      </w:r>
    </w:p>
    <w:p w14:paraId="3ADAB813" w14:textId="77777777" w:rsidR="00810315" w:rsidRPr="00365CAC" w:rsidRDefault="00810315" w:rsidP="00810315">
      <w:pPr>
        <w:pStyle w:val="Bibliography"/>
        <w:rPr>
          <w:rFonts w:ascii="Arial" w:hAnsi="Arial" w:cs="Arial"/>
          <w:sz w:val="20"/>
          <w:szCs w:val="20"/>
          <w:lang w:val="en-US"/>
        </w:rPr>
      </w:pPr>
      <w:r w:rsidRPr="00365CAC">
        <w:rPr>
          <w:rFonts w:ascii="Arial" w:hAnsi="Arial" w:cs="Arial"/>
          <w:sz w:val="20"/>
          <w:szCs w:val="20"/>
          <w:lang w:val="en-US"/>
        </w:rPr>
        <w:t>30.</w:t>
      </w:r>
      <w:r w:rsidRPr="00365CAC">
        <w:rPr>
          <w:rFonts w:ascii="Arial" w:hAnsi="Arial" w:cs="Arial"/>
          <w:sz w:val="20"/>
          <w:szCs w:val="20"/>
          <w:lang w:val="en-US"/>
        </w:rPr>
        <w:tab/>
        <w:t xml:space="preserve">N’Do, J. Y. </w:t>
      </w:r>
      <w:r w:rsidRPr="00365CAC">
        <w:rPr>
          <w:rFonts w:ascii="Arial" w:hAnsi="Arial" w:cs="Arial"/>
          <w:i/>
          <w:iCs/>
          <w:sz w:val="20"/>
          <w:szCs w:val="20"/>
          <w:lang w:val="en-US"/>
        </w:rPr>
        <w:t>et al.</w:t>
      </w:r>
      <w:r w:rsidRPr="00365CAC">
        <w:rPr>
          <w:rFonts w:ascii="Arial" w:hAnsi="Arial" w:cs="Arial"/>
          <w:sz w:val="20"/>
          <w:szCs w:val="20"/>
          <w:lang w:val="en-US"/>
        </w:rPr>
        <w:t xml:space="preserve"> Indigenous knowledge and uses of medicinal plants in Ouagadougou, Burkina Faso. </w:t>
      </w:r>
      <w:r w:rsidRPr="00365CAC">
        <w:rPr>
          <w:rFonts w:ascii="Arial" w:hAnsi="Arial" w:cs="Arial"/>
          <w:i/>
          <w:iCs/>
          <w:sz w:val="20"/>
          <w:szCs w:val="20"/>
          <w:lang w:val="en-US"/>
        </w:rPr>
        <w:t>Ethnobotany Research and Applications</w:t>
      </w:r>
      <w:r w:rsidRPr="00365CAC">
        <w:rPr>
          <w:rFonts w:ascii="Arial" w:hAnsi="Arial" w:cs="Arial"/>
          <w:sz w:val="20"/>
          <w:szCs w:val="20"/>
          <w:lang w:val="en-US"/>
        </w:rPr>
        <w:t xml:space="preserve"> </w:t>
      </w:r>
      <w:r w:rsidRPr="00365CAC">
        <w:rPr>
          <w:rFonts w:ascii="Arial" w:hAnsi="Arial" w:cs="Arial"/>
          <w:b/>
          <w:bCs/>
          <w:sz w:val="20"/>
          <w:szCs w:val="20"/>
          <w:lang w:val="en-US"/>
        </w:rPr>
        <w:t>29</w:t>
      </w:r>
      <w:r w:rsidRPr="00365CAC">
        <w:rPr>
          <w:rFonts w:ascii="Arial" w:hAnsi="Arial" w:cs="Arial"/>
          <w:sz w:val="20"/>
          <w:szCs w:val="20"/>
          <w:lang w:val="en-US"/>
        </w:rPr>
        <w:t>, 1–15 (2024).</w:t>
      </w:r>
    </w:p>
    <w:p w14:paraId="73D474A2" w14:textId="77777777" w:rsidR="00810315" w:rsidRPr="00365CAC" w:rsidRDefault="00810315" w:rsidP="00810315">
      <w:pPr>
        <w:pStyle w:val="Bibliography"/>
        <w:rPr>
          <w:rFonts w:ascii="Arial" w:hAnsi="Arial" w:cs="Arial"/>
          <w:sz w:val="20"/>
          <w:szCs w:val="20"/>
        </w:rPr>
      </w:pPr>
      <w:r w:rsidRPr="00365CAC">
        <w:rPr>
          <w:rFonts w:ascii="Arial" w:hAnsi="Arial" w:cs="Arial"/>
          <w:sz w:val="20"/>
          <w:szCs w:val="20"/>
          <w:lang w:val="en-US"/>
        </w:rPr>
        <w:t>31.</w:t>
      </w:r>
      <w:r w:rsidRPr="00365CAC">
        <w:rPr>
          <w:rFonts w:ascii="Arial" w:hAnsi="Arial" w:cs="Arial"/>
          <w:sz w:val="20"/>
          <w:szCs w:val="20"/>
          <w:lang w:val="en-US"/>
        </w:rPr>
        <w:tab/>
        <w:t xml:space="preserve">Ahmed, S. F., Ahmed, J. U., Hasan, M. &amp; Mohi-Ud-Din, M. Assessment of genetic variation among wheat genotypes for drought tolerance utilizing microsatellite markers and morpho-physiological characteristics. </w:t>
      </w:r>
      <w:r w:rsidRPr="00365CAC">
        <w:rPr>
          <w:rFonts w:ascii="Arial" w:hAnsi="Arial" w:cs="Arial"/>
          <w:i/>
          <w:iCs/>
          <w:sz w:val="20"/>
          <w:szCs w:val="20"/>
        </w:rPr>
        <w:t>Heliyon</w:t>
      </w:r>
      <w:r w:rsidRPr="00365CAC">
        <w:rPr>
          <w:rFonts w:ascii="Arial" w:hAnsi="Arial" w:cs="Arial"/>
          <w:sz w:val="20"/>
          <w:szCs w:val="20"/>
        </w:rPr>
        <w:t xml:space="preserve"> </w:t>
      </w:r>
      <w:r w:rsidRPr="00365CAC">
        <w:rPr>
          <w:rFonts w:ascii="Arial" w:hAnsi="Arial" w:cs="Arial"/>
          <w:b/>
          <w:bCs/>
          <w:sz w:val="20"/>
          <w:szCs w:val="20"/>
        </w:rPr>
        <w:t>9</w:t>
      </w:r>
      <w:r w:rsidRPr="00365CAC">
        <w:rPr>
          <w:rFonts w:ascii="Arial" w:hAnsi="Arial" w:cs="Arial"/>
          <w:sz w:val="20"/>
          <w:szCs w:val="20"/>
        </w:rPr>
        <w:t>, (2023).</w:t>
      </w:r>
    </w:p>
    <w:p w14:paraId="388B72D9" w14:textId="77777777" w:rsidR="00810315" w:rsidRPr="00365CAC" w:rsidRDefault="00810315" w:rsidP="00810315">
      <w:pPr>
        <w:pStyle w:val="Bibliography"/>
        <w:rPr>
          <w:rFonts w:ascii="Arial" w:hAnsi="Arial" w:cs="Arial"/>
          <w:sz w:val="20"/>
          <w:szCs w:val="20"/>
        </w:rPr>
      </w:pPr>
      <w:r w:rsidRPr="00365CAC">
        <w:rPr>
          <w:rFonts w:ascii="Arial" w:hAnsi="Arial" w:cs="Arial"/>
          <w:sz w:val="20"/>
          <w:szCs w:val="20"/>
        </w:rPr>
        <w:t>32.</w:t>
      </w:r>
      <w:r w:rsidRPr="00365CAC">
        <w:rPr>
          <w:rFonts w:ascii="Arial" w:hAnsi="Arial" w:cs="Arial"/>
          <w:sz w:val="20"/>
          <w:szCs w:val="20"/>
        </w:rPr>
        <w:tab/>
        <w:t>Benjamin Ya.n., Édith Kkn, Lacina Gk, &amp; Kablan T. Caractérisation De Quelques Légumes-Feuilles Les Plus Consommés Dans La Ville De Daloa (Centre-Ouest, Côte d’Ivoire). https://doi.org/10.19044/esj.2020.v16n36p257 (2026) doi:10.19044/esj.2020.v16n36p257.</w:t>
      </w:r>
    </w:p>
    <w:p w14:paraId="58C1BC62" w14:textId="77777777" w:rsidR="00810315" w:rsidRPr="00365CAC" w:rsidRDefault="00810315" w:rsidP="00810315">
      <w:pPr>
        <w:pStyle w:val="Bibliography"/>
        <w:rPr>
          <w:rFonts w:ascii="Arial" w:hAnsi="Arial" w:cs="Arial"/>
          <w:sz w:val="20"/>
          <w:szCs w:val="20"/>
          <w:lang w:val="en-US"/>
        </w:rPr>
      </w:pPr>
      <w:r w:rsidRPr="00365CAC">
        <w:rPr>
          <w:rFonts w:ascii="Arial" w:hAnsi="Arial" w:cs="Arial"/>
          <w:sz w:val="20"/>
          <w:szCs w:val="20"/>
          <w:lang w:val="en-US"/>
        </w:rPr>
        <w:lastRenderedPageBreak/>
        <w:t>33.</w:t>
      </w:r>
      <w:r w:rsidRPr="00365CAC">
        <w:rPr>
          <w:rFonts w:ascii="Arial" w:hAnsi="Arial" w:cs="Arial"/>
          <w:sz w:val="20"/>
          <w:szCs w:val="20"/>
          <w:lang w:val="en-US"/>
        </w:rPr>
        <w:tab/>
        <w:t xml:space="preserve">Vieira, B. M., de Mello e Silva, G. N. &amp; Silva, M. I. Nutritional Elements II: Vitamins and Minerals. in </w:t>
      </w:r>
      <w:r w:rsidRPr="00365CAC">
        <w:rPr>
          <w:rFonts w:ascii="Arial" w:hAnsi="Arial" w:cs="Arial"/>
          <w:i/>
          <w:iCs/>
          <w:sz w:val="20"/>
          <w:szCs w:val="20"/>
          <w:lang w:val="en-US"/>
        </w:rPr>
        <w:t>Fundamentals of Drug and Non-Drug Interactions: Physiopathological Perspectives and Clinical Approaches</w:t>
      </w:r>
      <w:r w:rsidRPr="00365CAC">
        <w:rPr>
          <w:rFonts w:ascii="Arial" w:hAnsi="Arial" w:cs="Arial"/>
          <w:sz w:val="20"/>
          <w:szCs w:val="20"/>
          <w:lang w:val="en-US"/>
        </w:rPr>
        <w:t xml:space="preserve"> (ed. Fajemiroye, J. O.) 57–86 (Springer Nature Switzerland, Cham, 2025). doi:10.1007/978-3-031-80107-5_3.</w:t>
      </w:r>
    </w:p>
    <w:p w14:paraId="1B64D55E" w14:textId="77777777" w:rsidR="00810315" w:rsidRPr="00365CAC" w:rsidRDefault="00810315" w:rsidP="00810315">
      <w:pPr>
        <w:pStyle w:val="Bibliography"/>
        <w:rPr>
          <w:rFonts w:ascii="Arial" w:hAnsi="Arial" w:cs="Arial"/>
          <w:sz w:val="20"/>
          <w:szCs w:val="20"/>
          <w:lang w:val="en-US"/>
        </w:rPr>
      </w:pPr>
      <w:r w:rsidRPr="00365CAC">
        <w:rPr>
          <w:rFonts w:ascii="Arial" w:hAnsi="Arial" w:cs="Arial"/>
          <w:sz w:val="20"/>
          <w:szCs w:val="20"/>
          <w:lang w:val="en-US"/>
        </w:rPr>
        <w:t>34.</w:t>
      </w:r>
      <w:r w:rsidRPr="00365CAC">
        <w:rPr>
          <w:rFonts w:ascii="Arial" w:hAnsi="Arial" w:cs="Arial"/>
          <w:sz w:val="20"/>
          <w:szCs w:val="20"/>
          <w:lang w:val="en-US"/>
        </w:rPr>
        <w:tab/>
        <w:t xml:space="preserve">Ben Shimon, M. </w:t>
      </w:r>
      <w:r w:rsidRPr="00365CAC">
        <w:rPr>
          <w:rFonts w:ascii="Arial" w:hAnsi="Arial" w:cs="Arial"/>
          <w:i/>
          <w:iCs/>
          <w:sz w:val="20"/>
          <w:szCs w:val="20"/>
          <w:lang w:val="en-US"/>
        </w:rPr>
        <w:t>et al.</w:t>
      </w:r>
      <w:r w:rsidRPr="00365CAC">
        <w:rPr>
          <w:rFonts w:ascii="Arial" w:hAnsi="Arial" w:cs="Arial"/>
          <w:sz w:val="20"/>
          <w:szCs w:val="20"/>
          <w:lang w:val="en-US"/>
        </w:rPr>
        <w:t xml:space="preserve"> Thrombin regulation of synaptic transmission and plasticity: implications for health and disease. </w:t>
      </w:r>
      <w:r w:rsidRPr="00365CAC">
        <w:rPr>
          <w:rFonts w:ascii="Arial" w:hAnsi="Arial" w:cs="Arial"/>
          <w:i/>
          <w:iCs/>
          <w:sz w:val="20"/>
          <w:szCs w:val="20"/>
          <w:lang w:val="en-US"/>
        </w:rPr>
        <w:t>Front. Cell. Neurosci.</w:t>
      </w:r>
      <w:r w:rsidRPr="00365CAC">
        <w:rPr>
          <w:rFonts w:ascii="Arial" w:hAnsi="Arial" w:cs="Arial"/>
          <w:sz w:val="20"/>
          <w:szCs w:val="20"/>
          <w:lang w:val="en-US"/>
        </w:rPr>
        <w:t xml:space="preserve"> </w:t>
      </w:r>
      <w:r w:rsidRPr="00365CAC">
        <w:rPr>
          <w:rFonts w:ascii="Arial" w:hAnsi="Arial" w:cs="Arial"/>
          <w:b/>
          <w:bCs/>
          <w:sz w:val="20"/>
          <w:szCs w:val="20"/>
          <w:lang w:val="en-US"/>
        </w:rPr>
        <w:t>9</w:t>
      </w:r>
      <w:r w:rsidRPr="00365CAC">
        <w:rPr>
          <w:rFonts w:ascii="Arial" w:hAnsi="Arial" w:cs="Arial"/>
          <w:sz w:val="20"/>
          <w:szCs w:val="20"/>
          <w:lang w:val="en-US"/>
        </w:rPr>
        <w:t>, (2015).</w:t>
      </w:r>
    </w:p>
    <w:p w14:paraId="065A41DB" w14:textId="77777777" w:rsidR="00810315" w:rsidRPr="00365CAC" w:rsidRDefault="00810315" w:rsidP="00810315">
      <w:pPr>
        <w:pStyle w:val="Bibliography"/>
        <w:rPr>
          <w:rFonts w:ascii="Arial" w:hAnsi="Arial" w:cs="Arial"/>
          <w:sz w:val="20"/>
          <w:szCs w:val="20"/>
          <w:lang w:val="en-US"/>
        </w:rPr>
      </w:pPr>
      <w:r w:rsidRPr="00365CAC">
        <w:rPr>
          <w:rFonts w:ascii="Arial" w:hAnsi="Arial" w:cs="Arial"/>
          <w:sz w:val="20"/>
          <w:szCs w:val="20"/>
          <w:lang w:val="en-US"/>
        </w:rPr>
        <w:t>35.</w:t>
      </w:r>
      <w:r w:rsidRPr="00365CAC">
        <w:rPr>
          <w:rFonts w:ascii="Arial" w:hAnsi="Arial" w:cs="Arial"/>
          <w:sz w:val="20"/>
          <w:szCs w:val="20"/>
          <w:lang w:val="en-US"/>
        </w:rPr>
        <w:tab/>
        <w:t xml:space="preserve">Morris, A. &amp; Lambert, K. Dietary potassium and plant-based diets: a practical guide for kidney healthcare professionals. </w:t>
      </w:r>
      <w:r w:rsidRPr="00365CAC">
        <w:rPr>
          <w:rFonts w:ascii="Arial" w:hAnsi="Arial" w:cs="Arial"/>
          <w:i/>
          <w:iCs/>
          <w:sz w:val="20"/>
          <w:szCs w:val="20"/>
          <w:lang w:val="en-US"/>
        </w:rPr>
        <w:t>Journal of Kidney Care</w:t>
      </w:r>
      <w:r w:rsidRPr="00365CAC">
        <w:rPr>
          <w:rFonts w:ascii="Arial" w:hAnsi="Arial" w:cs="Arial"/>
          <w:sz w:val="20"/>
          <w:szCs w:val="20"/>
          <w:lang w:val="en-US"/>
        </w:rPr>
        <w:t xml:space="preserve"> </w:t>
      </w:r>
      <w:r w:rsidRPr="00365CAC">
        <w:rPr>
          <w:rFonts w:ascii="Arial" w:hAnsi="Arial" w:cs="Arial"/>
          <w:b/>
          <w:bCs/>
          <w:sz w:val="20"/>
          <w:szCs w:val="20"/>
          <w:lang w:val="en-US"/>
        </w:rPr>
        <w:t>10</w:t>
      </w:r>
      <w:r w:rsidRPr="00365CAC">
        <w:rPr>
          <w:rFonts w:ascii="Arial" w:hAnsi="Arial" w:cs="Arial"/>
          <w:sz w:val="20"/>
          <w:szCs w:val="20"/>
          <w:lang w:val="en-US"/>
        </w:rPr>
        <w:t>, 174–180 (2025).</w:t>
      </w:r>
    </w:p>
    <w:p w14:paraId="4F9D25B5" w14:textId="77777777" w:rsidR="00810315" w:rsidRPr="00365CAC" w:rsidRDefault="00810315" w:rsidP="00810315">
      <w:pPr>
        <w:pStyle w:val="Bibliography"/>
        <w:rPr>
          <w:rFonts w:ascii="Arial" w:hAnsi="Arial" w:cs="Arial"/>
          <w:sz w:val="20"/>
          <w:szCs w:val="20"/>
          <w:lang w:val="en-US"/>
        </w:rPr>
      </w:pPr>
      <w:r w:rsidRPr="00365CAC">
        <w:rPr>
          <w:rFonts w:ascii="Arial" w:hAnsi="Arial" w:cs="Arial"/>
          <w:sz w:val="20"/>
          <w:szCs w:val="20"/>
          <w:lang w:val="en-US"/>
        </w:rPr>
        <w:t>36.</w:t>
      </w:r>
      <w:r w:rsidRPr="00365CAC">
        <w:rPr>
          <w:rFonts w:ascii="Arial" w:hAnsi="Arial" w:cs="Arial"/>
          <w:sz w:val="20"/>
          <w:szCs w:val="20"/>
          <w:lang w:val="en-US"/>
        </w:rPr>
        <w:tab/>
        <w:t xml:space="preserve">Grillo, A., Salvi, L., Coruzzi, P., Salvi, P. &amp; Parati, G. Sodium Intake and Hypertension. </w:t>
      </w:r>
      <w:r w:rsidRPr="00365CAC">
        <w:rPr>
          <w:rFonts w:ascii="Arial" w:hAnsi="Arial" w:cs="Arial"/>
          <w:i/>
          <w:iCs/>
          <w:sz w:val="20"/>
          <w:szCs w:val="20"/>
          <w:lang w:val="en-US"/>
        </w:rPr>
        <w:t>Nutrients</w:t>
      </w:r>
      <w:r w:rsidRPr="00365CAC">
        <w:rPr>
          <w:rFonts w:ascii="Arial" w:hAnsi="Arial" w:cs="Arial"/>
          <w:sz w:val="20"/>
          <w:szCs w:val="20"/>
          <w:lang w:val="en-US"/>
        </w:rPr>
        <w:t xml:space="preserve"> </w:t>
      </w:r>
      <w:r w:rsidRPr="00365CAC">
        <w:rPr>
          <w:rFonts w:ascii="Arial" w:hAnsi="Arial" w:cs="Arial"/>
          <w:b/>
          <w:bCs/>
          <w:sz w:val="20"/>
          <w:szCs w:val="20"/>
          <w:lang w:val="en-US"/>
        </w:rPr>
        <w:t>11</w:t>
      </w:r>
      <w:r w:rsidRPr="00365CAC">
        <w:rPr>
          <w:rFonts w:ascii="Arial" w:hAnsi="Arial" w:cs="Arial"/>
          <w:sz w:val="20"/>
          <w:szCs w:val="20"/>
          <w:lang w:val="en-US"/>
        </w:rPr>
        <w:t>, 1970 (2019).</w:t>
      </w:r>
    </w:p>
    <w:p w14:paraId="5ABC5E9A" w14:textId="77777777" w:rsidR="00810315" w:rsidRPr="00365CAC" w:rsidRDefault="00810315" w:rsidP="00810315">
      <w:pPr>
        <w:pStyle w:val="Bibliography"/>
        <w:rPr>
          <w:rFonts w:ascii="Arial" w:hAnsi="Arial" w:cs="Arial"/>
          <w:sz w:val="20"/>
          <w:szCs w:val="20"/>
        </w:rPr>
      </w:pPr>
      <w:r w:rsidRPr="00365CAC">
        <w:rPr>
          <w:rFonts w:ascii="Arial" w:hAnsi="Arial" w:cs="Arial"/>
          <w:sz w:val="20"/>
          <w:szCs w:val="20"/>
          <w:lang w:val="en-US"/>
        </w:rPr>
        <w:t>37.</w:t>
      </w:r>
      <w:r w:rsidRPr="00365CAC">
        <w:rPr>
          <w:rFonts w:ascii="Arial" w:hAnsi="Arial" w:cs="Arial"/>
          <w:sz w:val="20"/>
          <w:szCs w:val="20"/>
          <w:lang w:val="en-US"/>
        </w:rPr>
        <w:tab/>
        <w:t xml:space="preserve">CompaorÃ©, C. S. </w:t>
      </w:r>
      <w:r w:rsidRPr="00365CAC">
        <w:rPr>
          <w:rFonts w:ascii="Arial" w:hAnsi="Arial" w:cs="Arial"/>
          <w:i/>
          <w:iCs/>
          <w:sz w:val="20"/>
          <w:szCs w:val="20"/>
          <w:lang w:val="en-US"/>
        </w:rPr>
        <w:t>et al.</w:t>
      </w:r>
      <w:r w:rsidRPr="00365CAC">
        <w:rPr>
          <w:rFonts w:ascii="Arial" w:hAnsi="Arial" w:cs="Arial"/>
          <w:sz w:val="20"/>
          <w:szCs w:val="20"/>
          <w:lang w:val="en-US"/>
        </w:rPr>
        <w:t xml:space="preserve"> Development of starter cultures carrier for the production of high quality soumbala, a food condiment based on Parkia biglobosa seeds. </w:t>
      </w:r>
      <w:r w:rsidRPr="00365CAC">
        <w:rPr>
          <w:rFonts w:ascii="Arial" w:hAnsi="Arial" w:cs="Arial"/>
          <w:i/>
          <w:iCs/>
          <w:sz w:val="20"/>
          <w:szCs w:val="20"/>
        </w:rPr>
        <w:t>AJB</w:t>
      </w:r>
      <w:r w:rsidRPr="00365CAC">
        <w:rPr>
          <w:rFonts w:ascii="Arial" w:hAnsi="Arial" w:cs="Arial"/>
          <w:sz w:val="20"/>
          <w:szCs w:val="20"/>
        </w:rPr>
        <w:t xml:space="preserve"> </w:t>
      </w:r>
      <w:r w:rsidRPr="00365CAC">
        <w:rPr>
          <w:rFonts w:ascii="Arial" w:hAnsi="Arial" w:cs="Arial"/>
          <w:b/>
          <w:bCs/>
          <w:sz w:val="20"/>
          <w:szCs w:val="20"/>
        </w:rPr>
        <w:t>19</w:t>
      </w:r>
      <w:r w:rsidRPr="00365CAC">
        <w:rPr>
          <w:rFonts w:ascii="Arial" w:hAnsi="Arial" w:cs="Arial"/>
          <w:sz w:val="20"/>
          <w:szCs w:val="20"/>
        </w:rPr>
        <w:t>, 820–828 (2020).</w:t>
      </w:r>
    </w:p>
    <w:p w14:paraId="07862F96" w14:textId="77777777" w:rsidR="00810315" w:rsidRPr="00365CAC" w:rsidRDefault="00810315" w:rsidP="00810315">
      <w:pPr>
        <w:pStyle w:val="Bibliography"/>
        <w:rPr>
          <w:rFonts w:ascii="Arial" w:hAnsi="Arial" w:cs="Arial"/>
          <w:sz w:val="20"/>
          <w:szCs w:val="20"/>
          <w:lang w:val="en-US"/>
        </w:rPr>
      </w:pPr>
      <w:r w:rsidRPr="00365CAC">
        <w:rPr>
          <w:rFonts w:ascii="Arial" w:hAnsi="Arial" w:cs="Arial"/>
          <w:sz w:val="20"/>
          <w:szCs w:val="20"/>
        </w:rPr>
        <w:t>38.</w:t>
      </w:r>
      <w:r w:rsidRPr="00365CAC">
        <w:rPr>
          <w:rFonts w:ascii="Arial" w:hAnsi="Arial" w:cs="Arial"/>
          <w:sz w:val="20"/>
          <w:szCs w:val="20"/>
        </w:rPr>
        <w:tab/>
        <w:t xml:space="preserve">Souley, R. A., Diadié, H. O., Abdelkader, A. S., Yacoubou, B. &amp; Balla, A. Caractérisation Biochimique et Microbiologique de Soumbala de néré (Parkia biglobosa) et d’oseille de Guinée (Hibiscus sabdariffa) Produits au Niger. </w:t>
      </w:r>
      <w:r w:rsidRPr="00365CAC">
        <w:rPr>
          <w:rFonts w:ascii="Arial" w:hAnsi="Arial" w:cs="Arial"/>
          <w:i/>
          <w:iCs/>
          <w:sz w:val="20"/>
          <w:szCs w:val="20"/>
          <w:lang w:val="en-US"/>
        </w:rPr>
        <w:t>ESJ</w:t>
      </w:r>
      <w:r w:rsidRPr="00365CAC">
        <w:rPr>
          <w:rFonts w:ascii="Arial" w:hAnsi="Arial" w:cs="Arial"/>
          <w:sz w:val="20"/>
          <w:szCs w:val="20"/>
          <w:lang w:val="en-US"/>
        </w:rPr>
        <w:t xml:space="preserve"> </w:t>
      </w:r>
      <w:r w:rsidRPr="00365CAC">
        <w:rPr>
          <w:rFonts w:ascii="Arial" w:hAnsi="Arial" w:cs="Arial"/>
          <w:b/>
          <w:bCs/>
          <w:sz w:val="20"/>
          <w:szCs w:val="20"/>
          <w:lang w:val="en-US"/>
        </w:rPr>
        <w:t>16</w:t>
      </w:r>
      <w:r w:rsidRPr="00365CAC">
        <w:rPr>
          <w:rFonts w:ascii="Arial" w:hAnsi="Arial" w:cs="Arial"/>
          <w:sz w:val="20"/>
          <w:szCs w:val="20"/>
          <w:lang w:val="en-US"/>
        </w:rPr>
        <w:t>, (2020).</w:t>
      </w:r>
    </w:p>
    <w:p w14:paraId="41DC47B6" w14:textId="77777777" w:rsidR="00810315" w:rsidRPr="00365CAC" w:rsidRDefault="00810315" w:rsidP="00810315">
      <w:pPr>
        <w:pStyle w:val="Bibliography"/>
        <w:rPr>
          <w:rFonts w:ascii="Arial" w:hAnsi="Arial" w:cs="Arial"/>
          <w:sz w:val="20"/>
          <w:szCs w:val="20"/>
          <w:lang w:val="en-US"/>
        </w:rPr>
      </w:pPr>
      <w:r w:rsidRPr="00365CAC">
        <w:rPr>
          <w:rFonts w:ascii="Arial" w:hAnsi="Arial" w:cs="Arial"/>
          <w:sz w:val="20"/>
          <w:szCs w:val="20"/>
          <w:lang w:val="en-US"/>
        </w:rPr>
        <w:t>39.</w:t>
      </w:r>
      <w:r w:rsidRPr="00365CAC">
        <w:rPr>
          <w:rFonts w:ascii="Arial" w:hAnsi="Arial" w:cs="Arial"/>
          <w:sz w:val="20"/>
          <w:szCs w:val="20"/>
          <w:lang w:val="en-US"/>
        </w:rPr>
        <w:tab/>
        <w:t>Elegbede, I., Lawal-Are, A. &amp; d’ogunlana, F. Chemical compositions of bivalves shells: Anadara senilis, Crassostrea gasar, and Mytilus edulis and their potential for a sustainable circular economy | Discover Applied Sciences | Springer Nature Link. https://link.springer.com/article/10.1007/s42452-022-05267-7 (2023).</w:t>
      </w:r>
    </w:p>
    <w:p w14:paraId="3AB7F020" w14:textId="77777777" w:rsidR="00810315" w:rsidRPr="00365CAC" w:rsidRDefault="00810315" w:rsidP="00810315">
      <w:pPr>
        <w:pStyle w:val="Bibliography"/>
        <w:rPr>
          <w:rFonts w:ascii="Arial" w:hAnsi="Arial" w:cs="Arial"/>
          <w:sz w:val="20"/>
          <w:szCs w:val="20"/>
          <w:lang w:val="en-US"/>
        </w:rPr>
      </w:pPr>
      <w:r w:rsidRPr="00365CAC">
        <w:rPr>
          <w:rFonts w:ascii="Arial" w:hAnsi="Arial" w:cs="Arial"/>
          <w:sz w:val="20"/>
          <w:szCs w:val="20"/>
          <w:lang w:val="en-US"/>
        </w:rPr>
        <w:t>40.</w:t>
      </w:r>
      <w:r w:rsidRPr="00365CAC">
        <w:rPr>
          <w:rFonts w:ascii="Arial" w:hAnsi="Arial" w:cs="Arial"/>
          <w:sz w:val="20"/>
          <w:szCs w:val="20"/>
          <w:lang w:val="en-US"/>
        </w:rPr>
        <w:tab/>
        <w:t xml:space="preserve">Shikha, D., Kashyap, P., Thakur, A. &amp; Sharma, M. Hibiscus cannabinus. in </w:t>
      </w:r>
      <w:r w:rsidRPr="00365CAC">
        <w:rPr>
          <w:rFonts w:ascii="Arial" w:hAnsi="Arial" w:cs="Arial"/>
          <w:i/>
          <w:iCs/>
          <w:sz w:val="20"/>
          <w:szCs w:val="20"/>
          <w:lang w:val="en-US"/>
        </w:rPr>
        <w:t>Harvesting Food from Weeds</w:t>
      </w:r>
      <w:r w:rsidRPr="00365CAC">
        <w:rPr>
          <w:rFonts w:ascii="Arial" w:hAnsi="Arial" w:cs="Arial"/>
          <w:sz w:val="20"/>
          <w:szCs w:val="20"/>
          <w:lang w:val="en-US"/>
        </w:rPr>
        <w:t xml:space="preserve"> 267–326 (John Wiley &amp; Sons, Ltd, 2023). doi:10.1002/9781119793007.ch8.</w:t>
      </w:r>
    </w:p>
    <w:p w14:paraId="3D83E1C1" w14:textId="77777777" w:rsidR="00810315" w:rsidRPr="00365CAC" w:rsidRDefault="00810315" w:rsidP="00810315">
      <w:pPr>
        <w:pStyle w:val="Bibliography"/>
        <w:rPr>
          <w:rFonts w:ascii="Arial" w:hAnsi="Arial" w:cs="Arial"/>
          <w:sz w:val="20"/>
          <w:szCs w:val="20"/>
          <w:lang w:val="en-US"/>
        </w:rPr>
      </w:pPr>
      <w:r w:rsidRPr="00365CAC">
        <w:rPr>
          <w:rFonts w:ascii="Arial" w:hAnsi="Arial" w:cs="Arial"/>
          <w:sz w:val="20"/>
          <w:szCs w:val="20"/>
          <w:lang w:val="en-US"/>
        </w:rPr>
        <w:t>41.</w:t>
      </w:r>
      <w:r w:rsidRPr="00365CAC">
        <w:rPr>
          <w:rFonts w:ascii="Arial" w:hAnsi="Arial" w:cs="Arial"/>
          <w:sz w:val="20"/>
          <w:szCs w:val="20"/>
          <w:lang w:val="en-US"/>
        </w:rPr>
        <w:tab/>
        <w:t xml:space="preserve">N’Do, J. </w:t>
      </w:r>
      <w:r w:rsidRPr="00365CAC">
        <w:rPr>
          <w:rFonts w:ascii="Arial" w:hAnsi="Arial" w:cs="Arial"/>
          <w:i/>
          <w:iCs/>
          <w:sz w:val="20"/>
          <w:szCs w:val="20"/>
          <w:lang w:val="en-US"/>
        </w:rPr>
        <w:t>et al.</w:t>
      </w:r>
      <w:r w:rsidRPr="00365CAC">
        <w:rPr>
          <w:rFonts w:ascii="Arial" w:hAnsi="Arial" w:cs="Arial"/>
          <w:sz w:val="20"/>
          <w:szCs w:val="20"/>
          <w:lang w:val="en-US"/>
        </w:rPr>
        <w:t xml:space="preserve"> Evaluation of Phytochemical Composition and Antimicrobial Activities of Terminalia avicennoides, Terminalia macroptera, and Argemone mexicana Used as Traditional Medicine in Burkina Faso. </w:t>
      </w:r>
      <w:r w:rsidRPr="00365CAC">
        <w:rPr>
          <w:rFonts w:ascii="Arial" w:hAnsi="Arial" w:cs="Arial"/>
          <w:i/>
          <w:iCs/>
          <w:sz w:val="20"/>
          <w:szCs w:val="20"/>
          <w:lang w:val="en-US"/>
        </w:rPr>
        <w:t>Journal of Advances in Microbiology</w:t>
      </w:r>
      <w:r w:rsidRPr="00365CAC">
        <w:rPr>
          <w:rFonts w:ascii="Arial" w:hAnsi="Arial" w:cs="Arial"/>
          <w:sz w:val="20"/>
          <w:szCs w:val="20"/>
          <w:lang w:val="en-US"/>
        </w:rPr>
        <w:t xml:space="preserve"> </w:t>
      </w:r>
      <w:r w:rsidRPr="00365CAC">
        <w:rPr>
          <w:rFonts w:ascii="Arial" w:hAnsi="Arial" w:cs="Arial"/>
          <w:b/>
          <w:bCs/>
          <w:sz w:val="20"/>
          <w:szCs w:val="20"/>
          <w:lang w:val="en-US"/>
        </w:rPr>
        <w:t>25</w:t>
      </w:r>
      <w:r w:rsidRPr="00365CAC">
        <w:rPr>
          <w:rFonts w:ascii="Arial" w:hAnsi="Arial" w:cs="Arial"/>
          <w:sz w:val="20"/>
          <w:szCs w:val="20"/>
          <w:lang w:val="en-US"/>
        </w:rPr>
        <w:t>, 21–36 (2025).</w:t>
      </w:r>
    </w:p>
    <w:p w14:paraId="077872B2" w14:textId="77777777" w:rsidR="00810315" w:rsidRPr="00365CAC" w:rsidRDefault="00810315" w:rsidP="00810315">
      <w:pPr>
        <w:pStyle w:val="Bibliography"/>
        <w:rPr>
          <w:rFonts w:ascii="Arial" w:hAnsi="Arial" w:cs="Arial"/>
          <w:sz w:val="20"/>
          <w:szCs w:val="20"/>
          <w:lang w:val="en-US"/>
        </w:rPr>
      </w:pPr>
      <w:r w:rsidRPr="00365CAC">
        <w:rPr>
          <w:rFonts w:ascii="Arial" w:hAnsi="Arial" w:cs="Arial"/>
          <w:sz w:val="20"/>
          <w:szCs w:val="20"/>
          <w:lang w:val="en-US"/>
        </w:rPr>
        <w:t>42.</w:t>
      </w:r>
      <w:r w:rsidRPr="00365CAC">
        <w:rPr>
          <w:rFonts w:ascii="Arial" w:hAnsi="Arial" w:cs="Arial"/>
          <w:sz w:val="20"/>
          <w:szCs w:val="20"/>
          <w:lang w:val="en-US"/>
        </w:rPr>
        <w:tab/>
        <w:t xml:space="preserve">Abd El-Hack, M. E. </w:t>
      </w:r>
      <w:r w:rsidRPr="00365CAC">
        <w:rPr>
          <w:rFonts w:ascii="Arial" w:hAnsi="Arial" w:cs="Arial"/>
          <w:i/>
          <w:iCs/>
          <w:sz w:val="20"/>
          <w:szCs w:val="20"/>
          <w:lang w:val="en-US"/>
        </w:rPr>
        <w:t>et al.</w:t>
      </w:r>
      <w:r w:rsidRPr="00365CAC">
        <w:rPr>
          <w:rFonts w:ascii="Arial" w:hAnsi="Arial" w:cs="Arial"/>
          <w:sz w:val="20"/>
          <w:szCs w:val="20"/>
          <w:lang w:val="en-US"/>
        </w:rPr>
        <w:t xml:space="preserve"> The use of black pepper (Piper guineense) as an ecofriendly antimicrobial agent to fight foodborne microorganisms. </w:t>
      </w:r>
      <w:r w:rsidRPr="00365CAC">
        <w:rPr>
          <w:rFonts w:ascii="Arial" w:hAnsi="Arial" w:cs="Arial"/>
          <w:i/>
          <w:iCs/>
          <w:sz w:val="20"/>
          <w:szCs w:val="20"/>
          <w:lang w:val="en-US"/>
        </w:rPr>
        <w:t>Environ Sci Pollut Res</w:t>
      </w:r>
      <w:r w:rsidRPr="00365CAC">
        <w:rPr>
          <w:rFonts w:ascii="Arial" w:hAnsi="Arial" w:cs="Arial"/>
          <w:sz w:val="20"/>
          <w:szCs w:val="20"/>
          <w:lang w:val="en-US"/>
        </w:rPr>
        <w:t xml:space="preserve"> </w:t>
      </w:r>
      <w:r w:rsidRPr="00365CAC">
        <w:rPr>
          <w:rFonts w:ascii="Arial" w:hAnsi="Arial" w:cs="Arial"/>
          <w:b/>
          <w:bCs/>
          <w:sz w:val="20"/>
          <w:szCs w:val="20"/>
          <w:lang w:val="en-US"/>
        </w:rPr>
        <w:t>29</w:t>
      </w:r>
      <w:r w:rsidRPr="00365CAC">
        <w:rPr>
          <w:rFonts w:ascii="Arial" w:hAnsi="Arial" w:cs="Arial"/>
          <w:sz w:val="20"/>
          <w:szCs w:val="20"/>
          <w:lang w:val="en-US"/>
        </w:rPr>
        <w:t>, 10894–10907 (2022).</w:t>
      </w:r>
    </w:p>
    <w:p w14:paraId="32D4D861" w14:textId="77777777" w:rsidR="00810315" w:rsidRPr="00365CAC" w:rsidRDefault="00810315" w:rsidP="00810315">
      <w:pPr>
        <w:pStyle w:val="Bibliography"/>
        <w:rPr>
          <w:rFonts w:ascii="Arial" w:hAnsi="Arial" w:cs="Arial"/>
          <w:sz w:val="20"/>
          <w:szCs w:val="20"/>
          <w:lang w:val="en-US"/>
        </w:rPr>
      </w:pPr>
      <w:r w:rsidRPr="00365CAC">
        <w:rPr>
          <w:rFonts w:ascii="Arial" w:hAnsi="Arial" w:cs="Arial"/>
          <w:sz w:val="20"/>
          <w:szCs w:val="20"/>
          <w:lang w:val="en-US"/>
        </w:rPr>
        <w:t>43.</w:t>
      </w:r>
      <w:r w:rsidRPr="00365CAC">
        <w:rPr>
          <w:rFonts w:ascii="Arial" w:hAnsi="Arial" w:cs="Arial"/>
          <w:sz w:val="20"/>
          <w:szCs w:val="20"/>
          <w:lang w:val="en-US"/>
        </w:rPr>
        <w:tab/>
        <w:t xml:space="preserve">Zhang, Y., Zhang, T., Liang, Y., Jiang, L. &amp; Sui, X. Dietary Bioactive Lipids: A Review on Absorption, Metabolism, and Health Properties. </w:t>
      </w:r>
      <w:r w:rsidRPr="00365CAC">
        <w:rPr>
          <w:rFonts w:ascii="Arial" w:hAnsi="Arial" w:cs="Arial"/>
          <w:i/>
          <w:iCs/>
          <w:sz w:val="20"/>
          <w:szCs w:val="20"/>
          <w:lang w:val="en-US"/>
        </w:rPr>
        <w:t>J. Agric. Food Chem.</w:t>
      </w:r>
      <w:r w:rsidRPr="00365CAC">
        <w:rPr>
          <w:rFonts w:ascii="Arial" w:hAnsi="Arial" w:cs="Arial"/>
          <w:sz w:val="20"/>
          <w:szCs w:val="20"/>
          <w:lang w:val="en-US"/>
        </w:rPr>
        <w:t xml:space="preserve"> </w:t>
      </w:r>
      <w:r w:rsidRPr="00365CAC">
        <w:rPr>
          <w:rFonts w:ascii="Arial" w:hAnsi="Arial" w:cs="Arial"/>
          <w:b/>
          <w:bCs/>
          <w:sz w:val="20"/>
          <w:szCs w:val="20"/>
          <w:lang w:val="en-US"/>
        </w:rPr>
        <w:t>69</w:t>
      </w:r>
      <w:r w:rsidRPr="00365CAC">
        <w:rPr>
          <w:rFonts w:ascii="Arial" w:hAnsi="Arial" w:cs="Arial"/>
          <w:sz w:val="20"/>
          <w:szCs w:val="20"/>
          <w:lang w:val="en-US"/>
        </w:rPr>
        <w:t>, 8929–8943 (2021).</w:t>
      </w:r>
    </w:p>
    <w:p w14:paraId="2A7DC02E" w14:textId="77777777" w:rsidR="00810315" w:rsidRPr="00365CAC" w:rsidRDefault="00810315" w:rsidP="00810315">
      <w:pPr>
        <w:pStyle w:val="Bibliography"/>
        <w:rPr>
          <w:rFonts w:ascii="Arial" w:hAnsi="Arial" w:cs="Arial"/>
          <w:sz w:val="20"/>
          <w:szCs w:val="20"/>
          <w:lang w:val="en-US"/>
        </w:rPr>
      </w:pPr>
      <w:r w:rsidRPr="00365CAC">
        <w:rPr>
          <w:rFonts w:ascii="Arial" w:hAnsi="Arial" w:cs="Arial"/>
          <w:sz w:val="20"/>
          <w:szCs w:val="20"/>
          <w:lang w:val="en-US"/>
        </w:rPr>
        <w:lastRenderedPageBreak/>
        <w:t>44.</w:t>
      </w:r>
      <w:r w:rsidRPr="00365CAC">
        <w:rPr>
          <w:rFonts w:ascii="Arial" w:hAnsi="Arial" w:cs="Arial"/>
          <w:sz w:val="20"/>
          <w:szCs w:val="20"/>
          <w:lang w:val="en-US"/>
        </w:rPr>
        <w:tab/>
        <w:t xml:space="preserve">O. Aremu, M. </w:t>
      </w:r>
      <w:r w:rsidRPr="00365CAC">
        <w:rPr>
          <w:rFonts w:ascii="Arial" w:hAnsi="Arial" w:cs="Arial"/>
          <w:i/>
          <w:iCs/>
          <w:sz w:val="20"/>
          <w:szCs w:val="20"/>
          <w:lang w:val="en-US"/>
        </w:rPr>
        <w:t>et al.</w:t>
      </w:r>
      <w:r w:rsidRPr="00365CAC">
        <w:rPr>
          <w:rFonts w:ascii="Arial" w:hAnsi="Arial" w:cs="Arial"/>
          <w:sz w:val="20"/>
          <w:szCs w:val="20"/>
          <w:lang w:val="en-US"/>
        </w:rPr>
        <w:t xml:space="preserve"> Nutrient, Antinutrient and Sugar Contents in Desert Date (Balanites aegyptiaca (L.) Del) Seed and Pulp. </w:t>
      </w:r>
      <w:r w:rsidRPr="00365CAC">
        <w:rPr>
          <w:rFonts w:ascii="Arial" w:hAnsi="Arial" w:cs="Arial"/>
          <w:i/>
          <w:iCs/>
          <w:sz w:val="20"/>
          <w:szCs w:val="20"/>
          <w:lang w:val="en-US"/>
        </w:rPr>
        <w:t>ijSciences</w:t>
      </w:r>
      <w:r w:rsidRPr="00365CAC">
        <w:rPr>
          <w:rFonts w:ascii="Arial" w:hAnsi="Arial" w:cs="Arial"/>
          <w:sz w:val="20"/>
          <w:szCs w:val="20"/>
          <w:lang w:val="en-US"/>
        </w:rPr>
        <w:t xml:space="preserve"> </w:t>
      </w:r>
      <w:r w:rsidRPr="00365CAC">
        <w:rPr>
          <w:rFonts w:ascii="Arial" w:hAnsi="Arial" w:cs="Arial"/>
          <w:b/>
          <w:bCs/>
          <w:sz w:val="20"/>
          <w:szCs w:val="20"/>
          <w:lang w:val="en-US"/>
        </w:rPr>
        <w:t>10</w:t>
      </w:r>
      <w:r w:rsidRPr="00365CAC">
        <w:rPr>
          <w:rFonts w:ascii="Arial" w:hAnsi="Arial" w:cs="Arial"/>
          <w:sz w:val="20"/>
          <w:szCs w:val="20"/>
          <w:lang w:val="en-US"/>
        </w:rPr>
        <w:t>, 12–21 (2021).</w:t>
      </w:r>
    </w:p>
    <w:p w14:paraId="35426E5E" w14:textId="77777777" w:rsidR="00810315" w:rsidRPr="00365CAC" w:rsidRDefault="00810315" w:rsidP="00810315">
      <w:pPr>
        <w:pStyle w:val="Bibliography"/>
        <w:rPr>
          <w:rFonts w:ascii="Arial" w:hAnsi="Arial" w:cs="Arial"/>
          <w:sz w:val="20"/>
          <w:szCs w:val="20"/>
        </w:rPr>
      </w:pPr>
      <w:r w:rsidRPr="00365CAC">
        <w:rPr>
          <w:rFonts w:ascii="Arial" w:hAnsi="Arial" w:cs="Arial"/>
          <w:sz w:val="20"/>
          <w:szCs w:val="20"/>
          <w:lang w:val="en-US"/>
        </w:rPr>
        <w:t>45.</w:t>
      </w:r>
      <w:r w:rsidRPr="00365CAC">
        <w:rPr>
          <w:rFonts w:ascii="Arial" w:hAnsi="Arial" w:cs="Arial"/>
          <w:sz w:val="20"/>
          <w:szCs w:val="20"/>
          <w:lang w:val="en-US"/>
        </w:rPr>
        <w:tab/>
        <w:t xml:space="preserve">Buendia, J. R., Bradlee, M. L., Singer, M. R. &amp; Moore, L. L. Diets Higher in Protein Predict Lower High Blood Pressure Risk in Framingham Offspring Study Adults. </w:t>
      </w:r>
      <w:r w:rsidRPr="00365CAC">
        <w:rPr>
          <w:rFonts w:ascii="Arial" w:hAnsi="Arial" w:cs="Arial"/>
          <w:i/>
          <w:iCs/>
          <w:sz w:val="20"/>
          <w:szCs w:val="20"/>
        </w:rPr>
        <w:t>Am J Hypertens</w:t>
      </w:r>
      <w:r w:rsidRPr="00365CAC">
        <w:rPr>
          <w:rFonts w:ascii="Arial" w:hAnsi="Arial" w:cs="Arial"/>
          <w:sz w:val="20"/>
          <w:szCs w:val="20"/>
        </w:rPr>
        <w:t xml:space="preserve"> </w:t>
      </w:r>
      <w:r w:rsidRPr="00365CAC">
        <w:rPr>
          <w:rFonts w:ascii="Arial" w:hAnsi="Arial" w:cs="Arial"/>
          <w:b/>
          <w:bCs/>
          <w:sz w:val="20"/>
          <w:szCs w:val="20"/>
        </w:rPr>
        <w:t>28</w:t>
      </w:r>
      <w:r w:rsidRPr="00365CAC">
        <w:rPr>
          <w:rFonts w:ascii="Arial" w:hAnsi="Arial" w:cs="Arial"/>
          <w:sz w:val="20"/>
          <w:szCs w:val="20"/>
        </w:rPr>
        <w:t>, 372–379 (2015).</w:t>
      </w:r>
    </w:p>
    <w:p w14:paraId="5CA2DA5E" w14:textId="5090D4D4" w:rsidR="00685058" w:rsidRPr="00810315" w:rsidRDefault="00810315" w:rsidP="00810315">
      <w:pPr>
        <w:pStyle w:val="Bibliography"/>
        <w:rPr>
          <w:rFonts w:ascii="Arial" w:hAnsi="Arial" w:cs="Arial"/>
          <w:sz w:val="20"/>
          <w:szCs w:val="20"/>
          <w:lang w:val="en-US"/>
        </w:rPr>
      </w:pPr>
      <w:r w:rsidRPr="00365CAC">
        <w:rPr>
          <w:rFonts w:ascii="Arial" w:hAnsi="Arial" w:cs="Arial"/>
          <w:sz w:val="20"/>
          <w:szCs w:val="20"/>
          <w:lang w:val="en-US"/>
        </w:rPr>
        <w:fldChar w:fldCharType="end"/>
      </w:r>
      <w:r w:rsidR="00FD2029" w:rsidRPr="00365CAC">
        <w:rPr>
          <w:rFonts w:ascii="Arial" w:hAnsi="Arial" w:cs="Arial"/>
          <w:sz w:val="20"/>
          <w:szCs w:val="20"/>
          <w:lang w:val="en-US"/>
        </w:rPr>
        <w:fldChar w:fldCharType="end"/>
      </w:r>
    </w:p>
    <w:sectPr w:rsidR="00685058" w:rsidRPr="00810315" w:rsidSect="007C38BB">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59F5D" w14:textId="77777777" w:rsidR="005D1881" w:rsidRDefault="005D1881" w:rsidP="007C38BB">
      <w:pPr>
        <w:spacing w:after="0" w:line="240" w:lineRule="auto"/>
      </w:pPr>
      <w:r>
        <w:separator/>
      </w:r>
    </w:p>
  </w:endnote>
  <w:endnote w:type="continuationSeparator" w:id="0">
    <w:p w14:paraId="4F8CB665" w14:textId="77777777" w:rsidR="005D1881" w:rsidRDefault="005D1881" w:rsidP="007C38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7E4B7" w14:textId="77777777" w:rsidR="00555C14" w:rsidRDefault="00555C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F0E0A" w14:textId="77777777" w:rsidR="00555C14" w:rsidRDefault="00555C1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C0D30" w14:textId="77777777" w:rsidR="00555C14" w:rsidRDefault="00555C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366F4" w14:textId="77777777" w:rsidR="005D1881" w:rsidRDefault="005D1881" w:rsidP="007C38BB">
      <w:pPr>
        <w:spacing w:after="0" w:line="240" w:lineRule="auto"/>
      </w:pPr>
      <w:r>
        <w:separator/>
      </w:r>
    </w:p>
  </w:footnote>
  <w:footnote w:type="continuationSeparator" w:id="0">
    <w:p w14:paraId="0882B61B" w14:textId="77777777" w:rsidR="005D1881" w:rsidRDefault="005D1881" w:rsidP="007C38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BC0A2" w14:textId="1B165B77" w:rsidR="00555C14" w:rsidRDefault="00555C14">
    <w:pPr>
      <w:pStyle w:val="Header"/>
    </w:pPr>
    <w:r>
      <w:rPr>
        <w:noProof/>
      </w:rPr>
      <w:pict w14:anchorId="4DCBB6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78157" o:spid="_x0000_s1026" type="#_x0000_t136" style="position:absolute;margin-left:0;margin-top:0;width:538.05pt;height:101.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AA672" w14:textId="31F32596" w:rsidR="00555C14" w:rsidRDefault="00555C14">
    <w:pPr>
      <w:pStyle w:val="Header"/>
    </w:pPr>
    <w:r>
      <w:rPr>
        <w:noProof/>
      </w:rPr>
      <w:pict w14:anchorId="399205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78158" o:spid="_x0000_s1027" type="#_x0000_t136" style="position:absolute;margin-left:0;margin-top:0;width:538.05pt;height:101.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9F079" w14:textId="3C110666" w:rsidR="00555C14" w:rsidRDefault="00555C14">
    <w:pPr>
      <w:pStyle w:val="Header"/>
    </w:pPr>
    <w:r>
      <w:rPr>
        <w:noProof/>
      </w:rPr>
      <w:pict w14:anchorId="19DFDC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78156" o:spid="_x0000_s1025" type="#_x0000_t136" style="position:absolute;margin-left:0;margin-top:0;width:538.05pt;height:101.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E4D29"/>
    <w:multiLevelType w:val="multilevel"/>
    <w:tmpl w:val="DE6EC6C0"/>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589470F5"/>
    <w:multiLevelType w:val="hybridMultilevel"/>
    <w:tmpl w:val="729C673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591743360">
    <w:abstractNumId w:val="1"/>
  </w:num>
  <w:num w:numId="2" w16cid:durableId="10997615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6E6"/>
    <w:rsid w:val="00001705"/>
    <w:rsid w:val="00010B90"/>
    <w:rsid w:val="000143DF"/>
    <w:rsid w:val="000200F0"/>
    <w:rsid w:val="000872DC"/>
    <w:rsid w:val="000B78EE"/>
    <w:rsid w:val="000C7D70"/>
    <w:rsid w:val="00122DFF"/>
    <w:rsid w:val="00124AAC"/>
    <w:rsid w:val="00132C62"/>
    <w:rsid w:val="0013379F"/>
    <w:rsid w:val="001503A8"/>
    <w:rsid w:val="00160EBA"/>
    <w:rsid w:val="00161AC7"/>
    <w:rsid w:val="00163439"/>
    <w:rsid w:val="00173CFF"/>
    <w:rsid w:val="001807BE"/>
    <w:rsid w:val="001A145B"/>
    <w:rsid w:val="001A57FC"/>
    <w:rsid w:val="001E06AB"/>
    <w:rsid w:val="001E6345"/>
    <w:rsid w:val="001F0658"/>
    <w:rsid w:val="002334EB"/>
    <w:rsid w:val="002374DE"/>
    <w:rsid w:val="00245330"/>
    <w:rsid w:val="00245462"/>
    <w:rsid w:val="002459F3"/>
    <w:rsid w:val="002730AC"/>
    <w:rsid w:val="00290E42"/>
    <w:rsid w:val="002B0E01"/>
    <w:rsid w:val="002C11A3"/>
    <w:rsid w:val="002C185A"/>
    <w:rsid w:val="00306C54"/>
    <w:rsid w:val="0031315E"/>
    <w:rsid w:val="00334307"/>
    <w:rsid w:val="00336C34"/>
    <w:rsid w:val="00344A8F"/>
    <w:rsid w:val="00355E58"/>
    <w:rsid w:val="00365CAC"/>
    <w:rsid w:val="00385C79"/>
    <w:rsid w:val="003B14FA"/>
    <w:rsid w:val="003E0B0F"/>
    <w:rsid w:val="00423719"/>
    <w:rsid w:val="00432B90"/>
    <w:rsid w:val="0046076C"/>
    <w:rsid w:val="0047130D"/>
    <w:rsid w:val="004774B1"/>
    <w:rsid w:val="00494B44"/>
    <w:rsid w:val="004A328B"/>
    <w:rsid w:val="004B3627"/>
    <w:rsid w:val="004C2369"/>
    <w:rsid w:val="004C3D20"/>
    <w:rsid w:val="004F7F08"/>
    <w:rsid w:val="0051477C"/>
    <w:rsid w:val="00527C8D"/>
    <w:rsid w:val="00544C2C"/>
    <w:rsid w:val="00555C14"/>
    <w:rsid w:val="00555F48"/>
    <w:rsid w:val="00557B95"/>
    <w:rsid w:val="00573F31"/>
    <w:rsid w:val="00577112"/>
    <w:rsid w:val="00583B11"/>
    <w:rsid w:val="0058521E"/>
    <w:rsid w:val="005A6F49"/>
    <w:rsid w:val="005C13CE"/>
    <w:rsid w:val="005C1F51"/>
    <w:rsid w:val="005D1881"/>
    <w:rsid w:val="005F3770"/>
    <w:rsid w:val="0060281C"/>
    <w:rsid w:val="00632524"/>
    <w:rsid w:val="0065340D"/>
    <w:rsid w:val="006733D1"/>
    <w:rsid w:val="00674597"/>
    <w:rsid w:val="00681096"/>
    <w:rsid w:val="00685058"/>
    <w:rsid w:val="0069071E"/>
    <w:rsid w:val="006979B7"/>
    <w:rsid w:val="006E132B"/>
    <w:rsid w:val="006E781B"/>
    <w:rsid w:val="006F6CFC"/>
    <w:rsid w:val="0073403C"/>
    <w:rsid w:val="00743CC8"/>
    <w:rsid w:val="0076402A"/>
    <w:rsid w:val="007642C8"/>
    <w:rsid w:val="00766ECE"/>
    <w:rsid w:val="007825DE"/>
    <w:rsid w:val="00787DA6"/>
    <w:rsid w:val="00795285"/>
    <w:rsid w:val="007C38BB"/>
    <w:rsid w:val="007C6745"/>
    <w:rsid w:val="007D5A2D"/>
    <w:rsid w:val="00810315"/>
    <w:rsid w:val="008107BD"/>
    <w:rsid w:val="0084212C"/>
    <w:rsid w:val="008443A7"/>
    <w:rsid w:val="00845488"/>
    <w:rsid w:val="00845CAA"/>
    <w:rsid w:val="008925CE"/>
    <w:rsid w:val="0089299C"/>
    <w:rsid w:val="00893AF2"/>
    <w:rsid w:val="008B630F"/>
    <w:rsid w:val="008E301D"/>
    <w:rsid w:val="008F23F2"/>
    <w:rsid w:val="009039BE"/>
    <w:rsid w:val="009303DF"/>
    <w:rsid w:val="009338A1"/>
    <w:rsid w:val="00950C21"/>
    <w:rsid w:val="009852C4"/>
    <w:rsid w:val="009926E6"/>
    <w:rsid w:val="009C26DE"/>
    <w:rsid w:val="00A33DDB"/>
    <w:rsid w:val="00A345AC"/>
    <w:rsid w:val="00A54BE7"/>
    <w:rsid w:val="00A64CC6"/>
    <w:rsid w:val="00A86D7C"/>
    <w:rsid w:val="00AC6F31"/>
    <w:rsid w:val="00AD73D1"/>
    <w:rsid w:val="00AE66DF"/>
    <w:rsid w:val="00B1563B"/>
    <w:rsid w:val="00B572AE"/>
    <w:rsid w:val="00B63C41"/>
    <w:rsid w:val="00B77967"/>
    <w:rsid w:val="00B86391"/>
    <w:rsid w:val="00BA443E"/>
    <w:rsid w:val="00BC4841"/>
    <w:rsid w:val="00BD1CCE"/>
    <w:rsid w:val="00C117B5"/>
    <w:rsid w:val="00C37FD0"/>
    <w:rsid w:val="00C50884"/>
    <w:rsid w:val="00C7466E"/>
    <w:rsid w:val="00CD6591"/>
    <w:rsid w:val="00CE2074"/>
    <w:rsid w:val="00CE24AC"/>
    <w:rsid w:val="00CF6F20"/>
    <w:rsid w:val="00D056FC"/>
    <w:rsid w:val="00D23CAE"/>
    <w:rsid w:val="00D53FE6"/>
    <w:rsid w:val="00D57BE8"/>
    <w:rsid w:val="00D57D02"/>
    <w:rsid w:val="00D67095"/>
    <w:rsid w:val="00D83833"/>
    <w:rsid w:val="00DB565D"/>
    <w:rsid w:val="00E85464"/>
    <w:rsid w:val="00E93256"/>
    <w:rsid w:val="00EB15AC"/>
    <w:rsid w:val="00EB46EF"/>
    <w:rsid w:val="00ED1FC1"/>
    <w:rsid w:val="00EE18A2"/>
    <w:rsid w:val="00EF7195"/>
    <w:rsid w:val="00F206EB"/>
    <w:rsid w:val="00F2410F"/>
    <w:rsid w:val="00F73FA0"/>
    <w:rsid w:val="00F9444D"/>
    <w:rsid w:val="00F9703D"/>
    <w:rsid w:val="00FB150D"/>
    <w:rsid w:val="00FC4C2C"/>
    <w:rsid w:val="00FD2029"/>
    <w:rsid w:val="00FE0A2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BD38D3"/>
  <w15:chartTrackingRefBased/>
  <w15:docId w15:val="{3FB137E4-E965-44B3-891D-77B264B79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26E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926E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926E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926E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926E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926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26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26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26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26E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926E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926E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926E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926E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926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26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26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26E6"/>
    <w:rPr>
      <w:rFonts w:eastAsiaTheme="majorEastAsia" w:cstheme="majorBidi"/>
      <w:color w:val="272727" w:themeColor="text1" w:themeTint="D8"/>
    </w:rPr>
  </w:style>
  <w:style w:type="paragraph" w:styleId="Title">
    <w:name w:val="Title"/>
    <w:basedOn w:val="Normal"/>
    <w:next w:val="Normal"/>
    <w:link w:val="TitleChar"/>
    <w:uiPriority w:val="10"/>
    <w:qFormat/>
    <w:rsid w:val="009926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26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26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26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26E6"/>
    <w:pPr>
      <w:spacing w:before="160"/>
      <w:jc w:val="center"/>
    </w:pPr>
    <w:rPr>
      <w:i/>
      <w:iCs/>
      <w:color w:val="404040" w:themeColor="text1" w:themeTint="BF"/>
    </w:rPr>
  </w:style>
  <w:style w:type="character" w:customStyle="1" w:styleId="QuoteChar">
    <w:name w:val="Quote Char"/>
    <w:basedOn w:val="DefaultParagraphFont"/>
    <w:link w:val="Quote"/>
    <w:uiPriority w:val="29"/>
    <w:rsid w:val="009926E6"/>
    <w:rPr>
      <w:i/>
      <w:iCs/>
      <w:color w:val="404040" w:themeColor="text1" w:themeTint="BF"/>
    </w:rPr>
  </w:style>
  <w:style w:type="paragraph" w:styleId="ListParagraph">
    <w:name w:val="List Paragraph"/>
    <w:basedOn w:val="Normal"/>
    <w:uiPriority w:val="34"/>
    <w:qFormat/>
    <w:rsid w:val="009926E6"/>
    <w:pPr>
      <w:ind w:left="720"/>
      <w:contextualSpacing/>
    </w:pPr>
  </w:style>
  <w:style w:type="character" w:styleId="IntenseEmphasis">
    <w:name w:val="Intense Emphasis"/>
    <w:basedOn w:val="DefaultParagraphFont"/>
    <w:uiPriority w:val="21"/>
    <w:qFormat/>
    <w:rsid w:val="009926E6"/>
    <w:rPr>
      <w:i/>
      <w:iCs/>
      <w:color w:val="2F5496" w:themeColor="accent1" w:themeShade="BF"/>
    </w:rPr>
  </w:style>
  <w:style w:type="paragraph" w:styleId="IntenseQuote">
    <w:name w:val="Intense Quote"/>
    <w:basedOn w:val="Normal"/>
    <w:next w:val="Normal"/>
    <w:link w:val="IntenseQuoteChar"/>
    <w:uiPriority w:val="30"/>
    <w:qFormat/>
    <w:rsid w:val="009926E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926E6"/>
    <w:rPr>
      <w:i/>
      <w:iCs/>
      <w:color w:val="2F5496" w:themeColor="accent1" w:themeShade="BF"/>
    </w:rPr>
  </w:style>
  <w:style w:type="character" w:styleId="IntenseReference">
    <w:name w:val="Intense Reference"/>
    <w:basedOn w:val="DefaultParagraphFont"/>
    <w:uiPriority w:val="32"/>
    <w:qFormat/>
    <w:rsid w:val="009926E6"/>
    <w:rPr>
      <w:b/>
      <w:bCs/>
      <w:smallCaps/>
      <w:color w:val="2F5496" w:themeColor="accent1" w:themeShade="BF"/>
      <w:spacing w:val="5"/>
    </w:rPr>
  </w:style>
  <w:style w:type="character" w:styleId="Hyperlink">
    <w:name w:val="Hyperlink"/>
    <w:basedOn w:val="DefaultParagraphFont"/>
    <w:uiPriority w:val="99"/>
    <w:unhideWhenUsed/>
    <w:rsid w:val="009926E6"/>
    <w:rPr>
      <w:color w:val="0563C1" w:themeColor="hyperlink"/>
      <w:u w:val="single"/>
    </w:rPr>
  </w:style>
  <w:style w:type="character" w:styleId="UnresolvedMention">
    <w:name w:val="Unresolved Mention"/>
    <w:basedOn w:val="DefaultParagraphFont"/>
    <w:uiPriority w:val="99"/>
    <w:semiHidden/>
    <w:unhideWhenUsed/>
    <w:rsid w:val="009926E6"/>
    <w:rPr>
      <w:color w:val="605E5C"/>
      <w:shd w:val="clear" w:color="auto" w:fill="E1DFDD"/>
    </w:rPr>
  </w:style>
  <w:style w:type="paragraph" w:styleId="NormalWeb">
    <w:name w:val="Normal (Web)"/>
    <w:basedOn w:val="Normal"/>
    <w:uiPriority w:val="99"/>
    <w:semiHidden/>
    <w:unhideWhenUsed/>
    <w:rsid w:val="009926E6"/>
    <w:rPr>
      <w:rFonts w:ascii="Times New Roman" w:hAnsi="Times New Roman" w:cs="Times New Roman"/>
    </w:rPr>
  </w:style>
  <w:style w:type="table" w:styleId="TableGrid">
    <w:name w:val="Table Grid"/>
    <w:basedOn w:val="TableNormal"/>
    <w:uiPriority w:val="39"/>
    <w:rsid w:val="00743CC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74597"/>
    <w:pPr>
      <w:autoSpaceDE w:val="0"/>
      <w:autoSpaceDN w:val="0"/>
      <w:adjustRightInd w:val="0"/>
      <w:spacing w:after="0" w:line="240" w:lineRule="auto"/>
    </w:pPr>
    <w:rPr>
      <w:rFonts w:ascii="Times New Roman" w:hAnsi="Times New Roman" w:cs="Times New Roman"/>
      <w:color w:val="000000"/>
      <w:kern w:val="0"/>
      <w:lang w:val="en-US"/>
    </w:rPr>
  </w:style>
  <w:style w:type="paragraph" w:styleId="Bibliography">
    <w:name w:val="Bibliography"/>
    <w:basedOn w:val="Normal"/>
    <w:next w:val="Normal"/>
    <w:uiPriority w:val="37"/>
    <w:unhideWhenUsed/>
    <w:rsid w:val="00BC4841"/>
    <w:pPr>
      <w:spacing w:after="0" w:line="480" w:lineRule="auto"/>
      <w:ind w:left="720" w:hanging="720"/>
    </w:pPr>
  </w:style>
  <w:style w:type="character" w:styleId="CommentReference">
    <w:name w:val="annotation reference"/>
    <w:basedOn w:val="DefaultParagraphFont"/>
    <w:uiPriority w:val="99"/>
    <w:semiHidden/>
    <w:unhideWhenUsed/>
    <w:rsid w:val="002C185A"/>
    <w:rPr>
      <w:sz w:val="16"/>
      <w:szCs w:val="16"/>
    </w:rPr>
  </w:style>
  <w:style w:type="paragraph" w:styleId="CommentText">
    <w:name w:val="annotation text"/>
    <w:basedOn w:val="Normal"/>
    <w:link w:val="CommentTextChar"/>
    <w:uiPriority w:val="99"/>
    <w:semiHidden/>
    <w:unhideWhenUsed/>
    <w:rsid w:val="002C185A"/>
    <w:pPr>
      <w:spacing w:line="240" w:lineRule="auto"/>
    </w:pPr>
    <w:rPr>
      <w:sz w:val="20"/>
      <w:szCs w:val="20"/>
    </w:rPr>
  </w:style>
  <w:style w:type="character" w:customStyle="1" w:styleId="CommentTextChar">
    <w:name w:val="Comment Text Char"/>
    <w:basedOn w:val="DefaultParagraphFont"/>
    <w:link w:val="CommentText"/>
    <w:uiPriority w:val="99"/>
    <w:semiHidden/>
    <w:rsid w:val="002C185A"/>
    <w:rPr>
      <w:sz w:val="20"/>
      <w:szCs w:val="20"/>
    </w:rPr>
  </w:style>
  <w:style w:type="paragraph" w:styleId="CommentSubject">
    <w:name w:val="annotation subject"/>
    <w:basedOn w:val="CommentText"/>
    <w:next w:val="CommentText"/>
    <w:link w:val="CommentSubjectChar"/>
    <w:uiPriority w:val="99"/>
    <w:semiHidden/>
    <w:unhideWhenUsed/>
    <w:rsid w:val="002C185A"/>
    <w:rPr>
      <w:b/>
      <w:bCs/>
    </w:rPr>
  </w:style>
  <w:style w:type="character" w:customStyle="1" w:styleId="CommentSubjectChar">
    <w:name w:val="Comment Subject Char"/>
    <w:basedOn w:val="CommentTextChar"/>
    <w:link w:val="CommentSubject"/>
    <w:uiPriority w:val="99"/>
    <w:semiHidden/>
    <w:rsid w:val="002C185A"/>
    <w:rPr>
      <w:b/>
      <w:bCs/>
      <w:sz w:val="20"/>
      <w:szCs w:val="20"/>
    </w:rPr>
  </w:style>
  <w:style w:type="paragraph" w:styleId="Revision">
    <w:name w:val="Revision"/>
    <w:hidden/>
    <w:uiPriority w:val="99"/>
    <w:semiHidden/>
    <w:rsid w:val="0031315E"/>
    <w:pPr>
      <w:spacing w:after="0" w:line="240" w:lineRule="auto"/>
    </w:pPr>
  </w:style>
  <w:style w:type="paragraph" w:styleId="Header">
    <w:name w:val="header"/>
    <w:basedOn w:val="Normal"/>
    <w:link w:val="HeaderChar"/>
    <w:uiPriority w:val="99"/>
    <w:unhideWhenUsed/>
    <w:rsid w:val="007C38BB"/>
    <w:pPr>
      <w:tabs>
        <w:tab w:val="center" w:pos="4536"/>
        <w:tab w:val="right" w:pos="9072"/>
      </w:tabs>
      <w:spacing w:after="0" w:line="240" w:lineRule="auto"/>
    </w:pPr>
  </w:style>
  <w:style w:type="character" w:customStyle="1" w:styleId="HeaderChar">
    <w:name w:val="Header Char"/>
    <w:basedOn w:val="DefaultParagraphFont"/>
    <w:link w:val="Header"/>
    <w:uiPriority w:val="99"/>
    <w:rsid w:val="007C38BB"/>
  </w:style>
  <w:style w:type="paragraph" w:styleId="Footer">
    <w:name w:val="footer"/>
    <w:basedOn w:val="Normal"/>
    <w:link w:val="FooterChar"/>
    <w:uiPriority w:val="99"/>
    <w:unhideWhenUsed/>
    <w:rsid w:val="007C38BB"/>
    <w:pPr>
      <w:tabs>
        <w:tab w:val="center" w:pos="4536"/>
        <w:tab w:val="right" w:pos="9072"/>
      </w:tabs>
      <w:spacing w:after="0" w:line="240" w:lineRule="auto"/>
    </w:pPr>
  </w:style>
  <w:style w:type="character" w:customStyle="1" w:styleId="FooterChar">
    <w:name w:val="Footer Char"/>
    <w:basedOn w:val="DefaultParagraphFont"/>
    <w:link w:val="Footer"/>
    <w:uiPriority w:val="99"/>
    <w:rsid w:val="007C38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613547">
      <w:bodyDiv w:val="1"/>
      <w:marLeft w:val="0"/>
      <w:marRight w:val="0"/>
      <w:marTop w:val="0"/>
      <w:marBottom w:val="0"/>
      <w:divBdr>
        <w:top w:val="none" w:sz="0" w:space="0" w:color="auto"/>
        <w:left w:val="none" w:sz="0" w:space="0" w:color="auto"/>
        <w:bottom w:val="none" w:sz="0" w:space="0" w:color="auto"/>
        <w:right w:val="none" w:sz="0" w:space="0" w:color="auto"/>
      </w:divBdr>
    </w:div>
    <w:div w:id="309292400">
      <w:bodyDiv w:val="1"/>
      <w:marLeft w:val="0"/>
      <w:marRight w:val="0"/>
      <w:marTop w:val="0"/>
      <w:marBottom w:val="0"/>
      <w:divBdr>
        <w:top w:val="none" w:sz="0" w:space="0" w:color="auto"/>
        <w:left w:val="none" w:sz="0" w:space="0" w:color="auto"/>
        <w:bottom w:val="none" w:sz="0" w:space="0" w:color="auto"/>
        <w:right w:val="none" w:sz="0" w:space="0" w:color="auto"/>
      </w:divBdr>
    </w:div>
    <w:div w:id="400443865">
      <w:bodyDiv w:val="1"/>
      <w:marLeft w:val="0"/>
      <w:marRight w:val="0"/>
      <w:marTop w:val="0"/>
      <w:marBottom w:val="0"/>
      <w:divBdr>
        <w:top w:val="none" w:sz="0" w:space="0" w:color="auto"/>
        <w:left w:val="none" w:sz="0" w:space="0" w:color="auto"/>
        <w:bottom w:val="none" w:sz="0" w:space="0" w:color="auto"/>
        <w:right w:val="none" w:sz="0" w:space="0" w:color="auto"/>
      </w:divBdr>
    </w:div>
    <w:div w:id="562182517">
      <w:bodyDiv w:val="1"/>
      <w:marLeft w:val="0"/>
      <w:marRight w:val="0"/>
      <w:marTop w:val="0"/>
      <w:marBottom w:val="0"/>
      <w:divBdr>
        <w:top w:val="none" w:sz="0" w:space="0" w:color="auto"/>
        <w:left w:val="none" w:sz="0" w:space="0" w:color="auto"/>
        <w:bottom w:val="none" w:sz="0" w:space="0" w:color="auto"/>
        <w:right w:val="none" w:sz="0" w:space="0" w:color="auto"/>
      </w:divBdr>
    </w:div>
    <w:div w:id="641078140">
      <w:bodyDiv w:val="1"/>
      <w:marLeft w:val="0"/>
      <w:marRight w:val="0"/>
      <w:marTop w:val="0"/>
      <w:marBottom w:val="0"/>
      <w:divBdr>
        <w:top w:val="none" w:sz="0" w:space="0" w:color="auto"/>
        <w:left w:val="none" w:sz="0" w:space="0" w:color="auto"/>
        <w:bottom w:val="none" w:sz="0" w:space="0" w:color="auto"/>
        <w:right w:val="none" w:sz="0" w:space="0" w:color="auto"/>
      </w:divBdr>
    </w:div>
    <w:div w:id="665746732">
      <w:bodyDiv w:val="1"/>
      <w:marLeft w:val="0"/>
      <w:marRight w:val="0"/>
      <w:marTop w:val="0"/>
      <w:marBottom w:val="0"/>
      <w:divBdr>
        <w:top w:val="none" w:sz="0" w:space="0" w:color="auto"/>
        <w:left w:val="none" w:sz="0" w:space="0" w:color="auto"/>
        <w:bottom w:val="none" w:sz="0" w:space="0" w:color="auto"/>
        <w:right w:val="none" w:sz="0" w:space="0" w:color="auto"/>
      </w:divBdr>
    </w:div>
    <w:div w:id="840243093">
      <w:bodyDiv w:val="1"/>
      <w:marLeft w:val="0"/>
      <w:marRight w:val="0"/>
      <w:marTop w:val="0"/>
      <w:marBottom w:val="0"/>
      <w:divBdr>
        <w:top w:val="none" w:sz="0" w:space="0" w:color="auto"/>
        <w:left w:val="none" w:sz="0" w:space="0" w:color="auto"/>
        <w:bottom w:val="none" w:sz="0" w:space="0" w:color="auto"/>
        <w:right w:val="none" w:sz="0" w:space="0" w:color="auto"/>
      </w:divBdr>
    </w:div>
    <w:div w:id="939802766">
      <w:bodyDiv w:val="1"/>
      <w:marLeft w:val="0"/>
      <w:marRight w:val="0"/>
      <w:marTop w:val="0"/>
      <w:marBottom w:val="0"/>
      <w:divBdr>
        <w:top w:val="none" w:sz="0" w:space="0" w:color="auto"/>
        <w:left w:val="none" w:sz="0" w:space="0" w:color="auto"/>
        <w:bottom w:val="none" w:sz="0" w:space="0" w:color="auto"/>
        <w:right w:val="none" w:sz="0" w:space="0" w:color="auto"/>
      </w:divBdr>
    </w:div>
    <w:div w:id="983853878">
      <w:bodyDiv w:val="1"/>
      <w:marLeft w:val="0"/>
      <w:marRight w:val="0"/>
      <w:marTop w:val="0"/>
      <w:marBottom w:val="0"/>
      <w:divBdr>
        <w:top w:val="none" w:sz="0" w:space="0" w:color="auto"/>
        <w:left w:val="none" w:sz="0" w:space="0" w:color="auto"/>
        <w:bottom w:val="none" w:sz="0" w:space="0" w:color="auto"/>
        <w:right w:val="none" w:sz="0" w:space="0" w:color="auto"/>
      </w:divBdr>
    </w:div>
    <w:div w:id="1337267596">
      <w:bodyDiv w:val="1"/>
      <w:marLeft w:val="0"/>
      <w:marRight w:val="0"/>
      <w:marTop w:val="0"/>
      <w:marBottom w:val="0"/>
      <w:divBdr>
        <w:top w:val="none" w:sz="0" w:space="0" w:color="auto"/>
        <w:left w:val="none" w:sz="0" w:space="0" w:color="auto"/>
        <w:bottom w:val="none" w:sz="0" w:space="0" w:color="auto"/>
        <w:right w:val="none" w:sz="0" w:space="0" w:color="auto"/>
      </w:divBdr>
    </w:div>
    <w:div w:id="1407845664">
      <w:bodyDiv w:val="1"/>
      <w:marLeft w:val="0"/>
      <w:marRight w:val="0"/>
      <w:marTop w:val="0"/>
      <w:marBottom w:val="0"/>
      <w:divBdr>
        <w:top w:val="none" w:sz="0" w:space="0" w:color="auto"/>
        <w:left w:val="none" w:sz="0" w:space="0" w:color="auto"/>
        <w:bottom w:val="none" w:sz="0" w:space="0" w:color="auto"/>
        <w:right w:val="none" w:sz="0" w:space="0" w:color="auto"/>
      </w:divBdr>
    </w:div>
    <w:div w:id="1455515444">
      <w:bodyDiv w:val="1"/>
      <w:marLeft w:val="0"/>
      <w:marRight w:val="0"/>
      <w:marTop w:val="0"/>
      <w:marBottom w:val="0"/>
      <w:divBdr>
        <w:top w:val="none" w:sz="0" w:space="0" w:color="auto"/>
        <w:left w:val="none" w:sz="0" w:space="0" w:color="auto"/>
        <w:bottom w:val="none" w:sz="0" w:space="0" w:color="auto"/>
        <w:right w:val="none" w:sz="0" w:space="0" w:color="auto"/>
      </w:divBdr>
    </w:div>
    <w:div w:id="1708409621">
      <w:bodyDiv w:val="1"/>
      <w:marLeft w:val="0"/>
      <w:marRight w:val="0"/>
      <w:marTop w:val="0"/>
      <w:marBottom w:val="0"/>
      <w:divBdr>
        <w:top w:val="none" w:sz="0" w:space="0" w:color="auto"/>
        <w:left w:val="none" w:sz="0" w:space="0" w:color="auto"/>
        <w:bottom w:val="none" w:sz="0" w:space="0" w:color="auto"/>
        <w:right w:val="none" w:sz="0" w:space="0" w:color="auto"/>
      </w:divBdr>
    </w:div>
    <w:div w:id="1721906403">
      <w:bodyDiv w:val="1"/>
      <w:marLeft w:val="0"/>
      <w:marRight w:val="0"/>
      <w:marTop w:val="0"/>
      <w:marBottom w:val="0"/>
      <w:divBdr>
        <w:top w:val="none" w:sz="0" w:space="0" w:color="auto"/>
        <w:left w:val="none" w:sz="0" w:space="0" w:color="auto"/>
        <w:bottom w:val="none" w:sz="0" w:space="0" w:color="auto"/>
        <w:right w:val="none" w:sz="0" w:space="0" w:color="auto"/>
      </w:divBdr>
    </w:div>
    <w:div w:id="1928030138">
      <w:bodyDiv w:val="1"/>
      <w:marLeft w:val="0"/>
      <w:marRight w:val="0"/>
      <w:marTop w:val="0"/>
      <w:marBottom w:val="0"/>
      <w:divBdr>
        <w:top w:val="none" w:sz="0" w:space="0" w:color="auto"/>
        <w:left w:val="none" w:sz="0" w:space="0" w:color="auto"/>
        <w:bottom w:val="none" w:sz="0" w:space="0" w:color="auto"/>
        <w:right w:val="none" w:sz="0" w:space="0" w:color="auto"/>
      </w:divBdr>
    </w:div>
    <w:div w:id="1985038410">
      <w:bodyDiv w:val="1"/>
      <w:marLeft w:val="0"/>
      <w:marRight w:val="0"/>
      <w:marTop w:val="0"/>
      <w:marBottom w:val="0"/>
      <w:divBdr>
        <w:top w:val="none" w:sz="0" w:space="0" w:color="auto"/>
        <w:left w:val="none" w:sz="0" w:space="0" w:color="auto"/>
        <w:bottom w:val="none" w:sz="0" w:space="0" w:color="auto"/>
        <w:right w:val="none" w:sz="0" w:space="0" w:color="auto"/>
      </w:divBdr>
    </w:div>
    <w:div w:id="2022508903">
      <w:bodyDiv w:val="1"/>
      <w:marLeft w:val="0"/>
      <w:marRight w:val="0"/>
      <w:marTop w:val="0"/>
      <w:marBottom w:val="0"/>
      <w:divBdr>
        <w:top w:val="none" w:sz="0" w:space="0" w:color="auto"/>
        <w:left w:val="none" w:sz="0" w:space="0" w:color="auto"/>
        <w:bottom w:val="none" w:sz="0" w:space="0" w:color="auto"/>
        <w:right w:val="none" w:sz="0" w:space="0" w:color="auto"/>
      </w:divBdr>
    </w:div>
    <w:div w:id="210024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BE4570-1CF0-4FB1-AA27-8C29CB62C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20</Pages>
  <Words>22087</Words>
  <Characters>125897</Characters>
  <Application>Microsoft Office Word</Application>
  <DocSecurity>0</DocSecurity>
  <Lines>1049</Lines>
  <Paragraphs>295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147689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diarralidwine@gmail.com</dc:creator>
  <cp:keywords/>
  <dc:description/>
  <cp:lastModifiedBy>SDI 1084</cp:lastModifiedBy>
  <cp:revision>15</cp:revision>
  <dcterms:created xsi:type="dcterms:W3CDTF">2026-05-29T23:04:00Z</dcterms:created>
  <dcterms:modified xsi:type="dcterms:W3CDTF">2026-06-03T13:49:00Z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zotero-version="9.0.3"&gt;&lt;session id="EIagmK7s"/&gt;&lt;style id="http://www.zotero.org/styles/apa" locale="fr-FR" hasBibliography="1" bibliographyStyleHasBeenSet="1"/&gt;&lt;prefs&gt;&lt;pref name="fieldType" value="Field"/&gt;&lt;/prefs&gt;&lt;/data&gt;</vt:lpwstr>
  </property>
</Properties>
</file>