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EF38C" w14:textId="77777777" w:rsidR="00D30A60" w:rsidRPr="00D30A60" w:rsidRDefault="00D30A60" w:rsidP="00D30A60">
      <w:pPr>
        <w:spacing w:before="100" w:beforeAutospacing="1" w:after="100" w:afterAutospacing="1" w:line="240" w:lineRule="auto"/>
        <w:outlineLvl w:val="0"/>
        <w:rPr>
          <w:rFonts w:ascii="Times New Roman" w:eastAsia="Times New Roman" w:hAnsi="Times New Roman" w:cs="Times New Roman"/>
          <w:b/>
          <w:bCs/>
          <w:i/>
          <w:iCs/>
          <w:kern w:val="36"/>
          <w:sz w:val="48"/>
          <w:szCs w:val="48"/>
          <w:u w:val="single"/>
          <w:lang w:val="en-US" w:eastAsia="en-GB"/>
        </w:rPr>
      </w:pPr>
      <w:r w:rsidRPr="00D30A60">
        <w:rPr>
          <w:rFonts w:ascii="Times New Roman" w:eastAsia="Times New Roman" w:hAnsi="Times New Roman" w:cs="Times New Roman"/>
          <w:b/>
          <w:bCs/>
          <w:i/>
          <w:iCs/>
          <w:kern w:val="36"/>
          <w:sz w:val="48"/>
          <w:szCs w:val="48"/>
          <w:u w:val="single"/>
          <w:lang w:val="en-US" w:eastAsia="en-GB"/>
        </w:rPr>
        <w:t>Review Article</w:t>
      </w:r>
    </w:p>
    <w:p w14:paraId="35AD03AC" w14:textId="77777777" w:rsidR="00562A7E" w:rsidRPr="00562A7E" w:rsidRDefault="00562A7E" w:rsidP="00562A7E">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562A7E">
        <w:rPr>
          <w:rFonts w:ascii="Times New Roman" w:eastAsia="Times New Roman" w:hAnsi="Times New Roman" w:cs="Times New Roman"/>
          <w:b/>
          <w:bCs/>
          <w:kern w:val="36"/>
          <w:sz w:val="48"/>
          <w:szCs w:val="48"/>
          <w:lang w:eastAsia="en-GB"/>
        </w:rPr>
        <w:t>Bluetongue Virus in Sheep: From Vector-Borne Transmission Dynamics to Genomic Surveillance, Vaccination and One Health Control Strategies</w:t>
      </w:r>
    </w:p>
    <w:p w14:paraId="49729F0C" w14:textId="77777777" w:rsidR="00562A7E" w:rsidRPr="00562A7E" w:rsidRDefault="00562A7E" w:rsidP="00562A7E">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562A7E">
        <w:rPr>
          <w:rFonts w:ascii="Times New Roman" w:eastAsia="Times New Roman" w:hAnsi="Times New Roman" w:cs="Times New Roman"/>
          <w:b/>
          <w:bCs/>
          <w:sz w:val="36"/>
          <w:szCs w:val="36"/>
          <w:lang w:eastAsia="en-GB"/>
        </w:rPr>
        <w:t>Abstract</w:t>
      </w:r>
    </w:p>
    <w:p w14:paraId="4D4C66BA"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Bluetongue remains one of the most consequential vector-borne viral diseases of sheep. Its importance has grown as outbreaks have repeatedly breached older assumptions about climatic and geographical limits, while genomic surveillance has revealed complex patterns of serotype emergence, reassortment and transboundary spread. The emergence of bluetongue virus serotype 8 in north-western Europe in 2006, the re-emergence of serotype 8 in France, the severe serotype 3 epidemic that began in the Netherlands in 2023, and the subsequent detection of serotype 12 in Europe have together reshaped the scientific and policy understanding of bluetongue risk. This critical narrative review synthesises contemporary evidence on bluetongue virus biology, ovine disease expression, </w:t>
      </w:r>
      <w:r w:rsidRPr="00562A7E">
        <w:rPr>
          <w:rFonts w:ascii="Times New Roman" w:eastAsia="Times New Roman" w:hAnsi="Times New Roman" w:cs="Times New Roman"/>
          <w:i/>
          <w:iCs/>
          <w:sz w:val="24"/>
          <w:szCs w:val="24"/>
          <w:lang w:eastAsia="en-GB"/>
        </w:rPr>
        <w:t>Culicoides</w:t>
      </w:r>
      <w:r w:rsidRPr="00562A7E">
        <w:rPr>
          <w:rFonts w:ascii="Times New Roman" w:eastAsia="Times New Roman" w:hAnsi="Times New Roman" w:cs="Times New Roman"/>
          <w:sz w:val="24"/>
          <w:szCs w:val="24"/>
          <w:lang w:eastAsia="en-GB"/>
        </w:rPr>
        <w:t>-borne transmission, between-farm spread, diagnostic and genomic surveillance, vaccination and One Health control. The review argues that disease impact in sheep is not determined by virus presence alone. It emerges from the interaction of serotype, strain phenotype, sheep susceptibility, flock management, vector competence, climatic suitability, landscape structure, animal movements, surveillance sensitivity and the timing of vaccine deployment. Whole-genome sequencing now plays a central role in distinguishing new incursions from local persistence, detecting reassortment and interpreting unusual serotype emergence. Yet sequencing has greatest value when coupled with field epidemiology, mortality monitoring, midge surveillance and rapid vaccine decision-making. Inactivated vaccines remain the most practical emergency-control tool where matched products are available, but their protective value is constrained by serotype specificity, incomplete coverage, delayed rollout and uneven field-effectiveness data. Newer vaccine platforms offer credible opportunities for broader protection and differentiation of infected from vaccinated animals, although stronger field validation is needed. A One Health perspective is warranted despite the absence of zoonotic infection because bluetongue links climate change, livestock welfare, rural economies, wildlife interfaces, trade and ecosystem management. Future control will depend on earlier warning systems, better vector competence evidence, adaptive vaccine strategies, harmonised genomic standards and decision frameworks that translate surveillance signals into timely action for flocks and regions.</w:t>
      </w:r>
    </w:p>
    <w:p w14:paraId="070DBF79"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b/>
          <w:bCs/>
          <w:sz w:val="24"/>
          <w:szCs w:val="24"/>
          <w:lang w:eastAsia="en-GB"/>
        </w:rPr>
        <w:t>Keywords:</w:t>
      </w:r>
      <w:r w:rsidRPr="00562A7E">
        <w:rPr>
          <w:rFonts w:ascii="Times New Roman" w:eastAsia="Times New Roman" w:hAnsi="Times New Roman" w:cs="Times New Roman"/>
          <w:sz w:val="24"/>
          <w:szCs w:val="24"/>
          <w:lang w:eastAsia="en-GB"/>
        </w:rPr>
        <w:t xml:space="preserve"> bluetongue virus; sheep; </w:t>
      </w:r>
      <w:r w:rsidRPr="00562A7E">
        <w:rPr>
          <w:rFonts w:ascii="Times New Roman" w:eastAsia="Times New Roman" w:hAnsi="Times New Roman" w:cs="Times New Roman"/>
          <w:i/>
          <w:iCs/>
          <w:sz w:val="24"/>
          <w:szCs w:val="24"/>
          <w:lang w:eastAsia="en-GB"/>
        </w:rPr>
        <w:t>Culicoides</w:t>
      </w:r>
      <w:r w:rsidRPr="00562A7E">
        <w:rPr>
          <w:rFonts w:ascii="Times New Roman" w:eastAsia="Times New Roman" w:hAnsi="Times New Roman" w:cs="Times New Roman"/>
          <w:sz w:val="24"/>
          <w:szCs w:val="24"/>
          <w:lang w:eastAsia="en-GB"/>
        </w:rPr>
        <w:t>; vector-borne disease; genomic surveillance; vaccination; One Health; BTV-3; BTV-8; BTV-12; arbovirus</w:t>
      </w:r>
    </w:p>
    <w:p w14:paraId="35772687" w14:textId="77777777" w:rsidR="00562A7E" w:rsidRPr="00562A7E" w:rsidRDefault="00562A7E" w:rsidP="00562A7E">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562A7E">
        <w:rPr>
          <w:rFonts w:ascii="Times New Roman" w:eastAsia="Times New Roman" w:hAnsi="Times New Roman" w:cs="Times New Roman"/>
          <w:b/>
          <w:bCs/>
          <w:sz w:val="36"/>
          <w:szCs w:val="36"/>
          <w:lang w:eastAsia="en-GB"/>
        </w:rPr>
        <w:t>1. Introduction</w:t>
      </w:r>
    </w:p>
    <w:p w14:paraId="370DCAE8" w14:textId="77777777" w:rsidR="00562A7E" w:rsidRPr="00562A7E" w:rsidRDefault="00562A7E" w:rsidP="00562A7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1.1 Bluetongue in sheep as a re-emerging arboviral problem</w:t>
      </w:r>
    </w:p>
    <w:p w14:paraId="272DF329"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lastRenderedPageBreak/>
        <w:t xml:space="preserve">Bluetongue is an arthropod-borne disease of domestic and wild ruminants caused by bluetongue virus (BTV), an </w:t>
      </w:r>
      <w:proofErr w:type="spellStart"/>
      <w:r w:rsidRPr="00562A7E">
        <w:rPr>
          <w:rFonts w:ascii="Times New Roman" w:eastAsia="Times New Roman" w:hAnsi="Times New Roman" w:cs="Times New Roman"/>
          <w:sz w:val="24"/>
          <w:szCs w:val="24"/>
          <w:lang w:eastAsia="en-GB"/>
        </w:rPr>
        <w:t>orbivirus</w:t>
      </w:r>
      <w:proofErr w:type="spellEnd"/>
      <w:r w:rsidRPr="00562A7E">
        <w:rPr>
          <w:rFonts w:ascii="Times New Roman" w:eastAsia="Times New Roman" w:hAnsi="Times New Roman" w:cs="Times New Roman"/>
          <w:sz w:val="24"/>
          <w:szCs w:val="24"/>
          <w:lang w:eastAsia="en-GB"/>
        </w:rPr>
        <w:t xml:space="preserve"> with a ten-segment double-stranded RNA genome and substantial antigenic diversity (MacLachlan et al., 2015; Patel &amp; Roy, 2014). In sheep (</w:t>
      </w:r>
      <w:r w:rsidRPr="00562A7E">
        <w:rPr>
          <w:rFonts w:ascii="Times New Roman" w:eastAsia="Times New Roman" w:hAnsi="Times New Roman" w:cs="Times New Roman"/>
          <w:i/>
          <w:iCs/>
          <w:sz w:val="24"/>
          <w:szCs w:val="24"/>
          <w:lang w:eastAsia="en-GB"/>
        </w:rPr>
        <w:t xml:space="preserve">Ovis </w:t>
      </w:r>
      <w:proofErr w:type="spellStart"/>
      <w:r w:rsidRPr="00562A7E">
        <w:rPr>
          <w:rFonts w:ascii="Times New Roman" w:eastAsia="Times New Roman" w:hAnsi="Times New Roman" w:cs="Times New Roman"/>
          <w:i/>
          <w:iCs/>
          <w:sz w:val="24"/>
          <w:szCs w:val="24"/>
          <w:lang w:eastAsia="en-GB"/>
        </w:rPr>
        <w:t>aries</w:t>
      </w:r>
      <w:proofErr w:type="spellEnd"/>
      <w:r w:rsidRPr="00562A7E">
        <w:rPr>
          <w:rFonts w:ascii="Times New Roman" w:eastAsia="Times New Roman" w:hAnsi="Times New Roman" w:cs="Times New Roman"/>
          <w:sz w:val="24"/>
          <w:szCs w:val="24"/>
          <w:lang w:eastAsia="en-GB"/>
        </w:rPr>
        <w:t>), infection can produce severe disease characterised by fever, depression, facial and lingual oedema, oral erosions, nasal discharge, respiratory distress, coronitis, lameness, wasting and death. The precise clinical picture differs between viral strains, sheep breeds, age groups, immune backgrounds and environmental settings, which is why outbreak severity cannot be inferred from serotype alone (Caporale et al., 2014; MacLachlan et al., 2009). The burden of bluetongue in sheep therefore extends well beyond mortality. It includes pain, prolonged convalescence, reduced productivity, reproductive losses, movement restrictions, vaccination expenditure and disruption of regional livestock markets (Elbers et al., 2008b; Velthuis et al., 2010).</w:t>
      </w:r>
    </w:p>
    <w:p w14:paraId="28D62D4F"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For much of the twentieth century, European bluetongue risk was often associated with warmer southern regions where </w:t>
      </w:r>
      <w:r w:rsidRPr="00562A7E">
        <w:rPr>
          <w:rFonts w:ascii="Times New Roman" w:eastAsia="Times New Roman" w:hAnsi="Times New Roman" w:cs="Times New Roman"/>
          <w:i/>
          <w:iCs/>
          <w:sz w:val="24"/>
          <w:szCs w:val="24"/>
          <w:lang w:eastAsia="en-GB"/>
        </w:rPr>
        <w:t xml:space="preserve">Culicoides </w:t>
      </w:r>
      <w:proofErr w:type="spellStart"/>
      <w:r w:rsidRPr="00562A7E">
        <w:rPr>
          <w:rFonts w:ascii="Times New Roman" w:eastAsia="Times New Roman" w:hAnsi="Times New Roman" w:cs="Times New Roman"/>
          <w:i/>
          <w:iCs/>
          <w:sz w:val="24"/>
          <w:szCs w:val="24"/>
          <w:lang w:eastAsia="en-GB"/>
        </w:rPr>
        <w:t>imicola</w:t>
      </w:r>
      <w:proofErr w:type="spellEnd"/>
      <w:r w:rsidRPr="00562A7E">
        <w:rPr>
          <w:rFonts w:ascii="Times New Roman" w:eastAsia="Times New Roman" w:hAnsi="Times New Roman" w:cs="Times New Roman"/>
          <w:sz w:val="24"/>
          <w:szCs w:val="24"/>
          <w:lang w:eastAsia="en-GB"/>
        </w:rPr>
        <w:t xml:space="preserve"> was established. That view became progressively less defensible during Mediterranean incursions involving several serotypes and collapsed as a practical assumption after BTV serotype 8 (BTV-8) emerged in north-western Europe in 2006 (Mellor et al., 2008; </w:t>
      </w:r>
      <w:proofErr w:type="spellStart"/>
      <w:r w:rsidRPr="00562A7E">
        <w:rPr>
          <w:rFonts w:ascii="Times New Roman" w:eastAsia="Times New Roman" w:hAnsi="Times New Roman" w:cs="Times New Roman"/>
          <w:sz w:val="24"/>
          <w:szCs w:val="24"/>
          <w:lang w:eastAsia="en-GB"/>
        </w:rPr>
        <w:t>Mintiens</w:t>
      </w:r>
      <w:proofErr w:type="spellEnd"/>
      <w:r w:rsidRPr="00562A7E">
        <w:rPr>
          <w:rFonts w:ascii="Times New Roman" w:eastAsia="Times New Roman" w:hAnsi="Times New Roman" w:cs="Times New Roman"/>
          <w:sz w:val="24"/>
          <w:szCs w:val="24"/>
          <w:lang w:eastAsia="en-GB"/>
        </w:rPr>
        <w:t xml:space="preserve"> et al., 2008). The BTV-8 epidemic showed that temperate indigenous </w:t>
      </w:r>
      <w:r w:rsidRPr="00562A7E">
        <w:rPr>
          <w:rFonts w:ascii="Times New Roman" w:eastAsia="Times New Roman" w:hAnsi="Times New Roman" w:cs="Times New Roman"/>
          <w:i/>
          <w:iCs/>
          <w:sz w:val="24"/>
          <w:szCs w:val="24"/>
          <w:lang w:eastAsia="en-GB"/>
        </w:rPr>
        <w:t>Culicoides</w:t>
      </w:r>
      <w:r w:rsidRPr="00562A7E">
        <w:rPr>
          <w:rFonts w:ascii="Times New Roman" w:eastAsia="Times New Roman" w:hAnsi="Times New Roman" w:cs="Times New Roman"/>
          <w:sz w:val="24"/>
          <w:szCs w:val="24"/>
          <w:lang w:eastAsia="en-GB"/>
        </w:rPr>
        <w:t xml:space="preserve"> populations could sustain transmission and that dense, connected livestock landscapes could support rapid viral expansion (Elbers et al., 2008a; Wilson &amp; Mellor, 2008). Subsequent climate, vector and phylogeographic studies have reinforced the same conclusion: bluetongue risk is dynamic, context-dependent and sensitive to ecological change (</w:t>
      </w:r>
      <w:proofErr w:type="spellStart"/>
      <w:r w:rsidRPr="00562A7E">
        <w:rPr>
          <w:rFonts w:ascii="Times New Roman" w:eastAsia="Times New Roman" w:hAnsi="Times New Roman" w:cs="Times New Roman"/>
          <w:sz w:val="24"/>
          <w:szCs w:val="24"/>
          <w:lang w:eastAsia="en-GB"/>
        </w:rPr>
        <w:t>Guis</w:t>
      </w:r>
      <w:proofErr w:type="spellEnd"/>
      <w:r w:rsidRPr="00562A7E">
        <w:rPr>
          <w:rFonts w:ascii="Times New Roman" w:eastAsia="Times New Roman" w:hAnsi="Times New Roman" w:cs="Times New Roman"/>
          <w:sz w:val="24"/>
          <w:szCs w:val="24"/>
          <w:lang w:eastAsia="en-GB"/>
        </w:rPr>
        <w:t xml:space="preserve"> et al., 2012; Jacquot et al., 2017; Jones et al., 2019).</w:t>
      </w:r>
    </w:p>
    <w:p w14:paraId="3B94F921"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Sheep remain central to the bluetongue problem because they often show more severe clinical disease than cattle and goats, even though cattle can be epidemiologically important hosts by sustaining viraemia with limited or absent clinical recognition (MacLachlan et al., 2015; </w:t>
      </w:r>
      <w:proofErr w:type="spellStart"/>
      <w:r w:rsidRPr="00562A7E">
        <w:rPr>
          <w:rFonts w:ascii="Times New Roman" w:eastAsia="Times New Roman" w:hAnsi="Times New Roman" w:cs="Times New Roman"/>
          <w:sz w:val="24"/>
          <w:szCs w:val="24"/>
          <w:lang w:eastAsia="en-GB"/>
        </w:rPr>
        <w:t>Saminathan</w:t>
      </w:r>
      <w:proofErr w:type="spellEnd"/>
      <w:r w:rsidRPr="00562A7E">
        <w:rPr>
          <w:rFonts w:ascii="Times New Roman" w:eastAsia="Times New Roman" w:hAnsi="Times New Roman" w:cs="Times New Roman"/>
          <w:sz w:val="24"/>
          <w:szCs w:val="24"/>
          <w:lang w:eastAsia="en-GB"/>
        </w:rPr>
        <w:t xml:space="preserve"> et al., 2020). This separation between visible disease burden and transmission contribution complicates surveillance. A system that relies mainly on clinical sheep disease may detect outbreaks only after transmission is established, while a system that focuses too heavily on cattle infection may underestimate immediate animal-welfare consequences. The BTV-3 epidemic in the Netherlands made this tension visible: sheep experienced striking excess mortality, while infection was also detected across other ruminant groups (Santman-Berends et al., 2024; van den Brink et al., 2024).</w:t>
      </w:r>
    </w:p>
    <w:p w14:paraId="5D264120" w14:textId="77777777" w:rsidR="00562A7E" w:rsidRPr="00562A7E" w:rsidRDefault="00562A7E" w:rsidP="00562A7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1.2 From the BTV-8 lesson to the BTV-3 and BTV-12 era</w:t>
      </w:r>
    </w:p>
    <w:p w14:paraId="1F9D562C"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The emergence of BTV-8 in Belgium, France, Germany and the Netherlands in 2006 remains a defining event in European veterinary epidemiology. Field observations documented clinical disease in both sheep and cattle, with sheep suffering substantial morbidity and case fatality in affected flocks, while later economic analyses showed that the epidemics generated large direct and indirect financial losses (Elbers et al., 2008a, 2008b; Velthuis et al., 2010). Investigations into possible introduction routes could not identify a clear source, illustrating the difficulty of resolving entry pathways for vector-borne viruses in highly connected trade and transport systems (</w:t>
      </w:r>
      <w:proofErr w:type="spellStart"/>
      <w:r w:rsidRPr="00562A7E">
        <w:rPr>
          <w:rFonts w:ascii="Times New Roman" w:eastAsia="Times New Roman" w:hAnsi="Times New Roman" w:cs="Times New Roman"/>
          <w:sz w:val="24"/>
          <w:szCs w:val="24"/>
          <w:lang w:eastAsia="en-GB"/>
        </w:rPr>
        <w:t>Mintiens</w:t>
      </w:r>
      <w:proofErr w:type="spellEnd"/>
      <w:r w:rsidRPr="00562A7E">
        <w:rPr>
          <w:rFonts w:ascii="Times New Roman" w:eastAsia="Times New Roman" w:hAnsi="Times New Roman" w:cs="Times New Roman"/>
          <w:sz w:val="24"/>
          <w:szCs w:val="24"/>
          <w:lang w:eastAsia="en-GB"/>
        </w:rPr>
        <w:t xml:space="preserve"> et al., 2008). The later re-emergence of BTV-8 in France added another layer of complexity, because experimental evidence suggested reduced viraemia, pathogenicity and vector competence compared with the earlier epidemic strain (Flannery et al., 2019). The same serotype may therefore not behave identically across time, place and strain background.</w:t>
      </w:r>
    </w:p>
    <w:p w14:paraId="71FF9EE3"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lastRenderedPageBreak/>
        <w:t>The BTV-3 epidemic that began in the Netherlands in September 2023 again altered the risk landscape. Whole-genome sequencing confirmed BTV-3, and retrospective testing did not indicate extensive circulation before the first recognised outbreak, supporting a recent emergence rather than long-standing undetected spread (Holwerda et al., 2024). Spatial analysis showed rapid between-location spread and suggested that both midge dispersal and livestock movement plausibly contributed to the observed epidemic pattern (Boender et al., 2024). Clinical and pathological investigations documented severe disease in sheep, and mortality analysis estimated more than 55,000 excess sheep deaths between September and December 2023 (Santman-Berends et al., 2024; van den Brink et al., 2024). The outbreak demonstrated that severe bluetongue incursions remain possible even in regions with advanced veterinary infrastructure.</w:t>
      </w:r>
    </w:p>
    <w:p w14:paraId="767F608D"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The detection of BTV serotype 12 (BTV-12) in the Netherlands in 2024 added a further warning. BTV-12 had not previously been reported in Europe, and genomic comparison indicated close relatedness to viruses from the Middle East, although the route of introduction remained unresolved (van den Brom et al., 2025). This event underlines the growing value of whole-genome surveillance. Serotype determination is essential, but it is no longer enough. Contemporary bluetongue preparedness must be able to recognise unexpected serotypes, interpret genome constellations, assess possible reassortment and connect viral identity quickly to vaccine and movement decisions.</w:t>
      </w:r>
    </w:p>
    <w:p w14:paraId="0FA7E541"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Table 1 summarises selected epidemiological turning points that have shaped current bluetongue control in sheep. These events are not simply historical markers. Each exposed a different weakness in preparedness: geographical complacency before BTV-8, underestimation of indigenous vector capacity during BTV-8, uncertainty about changing viral phenotype during re-emergence, delayed protection during BTV-3, and the challenge of novel-serotype recognition during BTV-12 detection.</w:t>
      </w:r>
    </w:p>
    <w:p w14:paraId="3712B4F9"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b/>
          <w:bCs/>
          <w:sz w:val="24"/>
          <w:szCs w:val="24"/>
          <w:lang w:eastAsia="en-GB"/>
        </w:rPr>
        <w:t>Table 1. Selected epidemiological turning points shaping current bluetongue control in sheep</w:t>
      </w:r>
    </w:p>
    <w:tbl>
      <w:tblPr>
        <w:tblStyle w:val="TableGrid"/>
        <w:tblW w:w="0" w:type="auto"/>
        <w:tblLook w:val="04A0" w:firstRow="1" w:lastRow="0" w:firstColumn="1" w:lastColumn="0" w:noHBand="0" w:noVBand="1"/>
      </w:tblPr>
      <w:tblGrid>
        <w:gridCol w:w="2301"/>
        <w:gridCol w:w="3585"/>
        <w:gridCol w:w="3356"/>
      </w:tblGrid>
      <w:tr w:rsidR="00562A7E" w:rsidRPr="00562A7E" w14:paraId="1275E577" w14:textId="77777777" w:rsidTr="00562A7E">
        <w:tc>
          <w:tcPr>
            <w:tcW w:w="0" w:type="auto"/>
            <w:hideMark/>
          </w:tcPr>
          <w:p w14:paraId="63B57D6F" w14:textId="77777777" w:rsidR="00562A7E" w:rsidRPr="00562A7E" w:rsidRDefault="00562A7E" w:rsidP="00562A7E">
            <w:pPr>
              <w:jc w:val="center"/>
              <w:rPr>
                <w:rFonts w:ascii="Times New Roman" w:eastAsia="Times New Roman" w:hAnsi="Times New Roman" w:cs="Times New Roman"/>
                <w:b/>
                <w:bCs/>
                <w:sz w:val="24"/>
                <w:szCs w:val="24"/>
                <w:lang w:eastAsia="en-GB"/>
              </w:rPr>
            </w:pPr>
            <w:r w:rsidRPr="00562A7E">
              <w:rPr>
                <w:rFonts w:ascii="Times New Roman" w:eastAsia="Times New Roman" w:hAnsi="Times New Roman" w:cs="Times New Roman"/>
                <w:b/>
                <w:bCs/>
                <w:sz w:val="24"/>
                <w:szCs w:val="24"/>
                <w:lang w:eastAsia="en-GB"/>
              </w:rPr>
              <w:t>Period or event</w:t>
            </w:r>
          </w:p>
        </w:tc>
        <w:tc>
          <w:tcPr>
            <w:tcW w:w="0" w:type="auto"/>
            <w:hideMark/>
          </w:tcPr>
          <w:p w14:paraId="449A0861" w14:textId="77777777" w:rsidR="00562A7E" w:rsidRPr="00562A7E" w:rsidRDefault="00562A7E" w:rsidP="00562A7E">
            <w:pPr>
              <w:jc w:val="center"/>
              <w:rPr>
                <w:rFonts w:ascii="Times New Roman" w:eastAsia="Times New Roman" w:hAnsi="Times New Roman" w:cs="Times New Roman"/>
                <w:b/>
                <w:bCs/>
                <w:sz w:val="24"/>
                <w:szCs w:val="24"/>
                <w:lang w:eastAsia="en-GB"/>
              </w:rPr>
            </w:pPr>
            <w:r w:rsidRPr="00562A7E">
              <w:rPr>
                <w:rFonts w:ascii="Times New Roman" w:eastAsia="Times New Roman" w:hAnsi="Times New Roman" w:cs="Times New Roman"/>
                <w:b/>
                <w:bCs/>
                <w:sz w:val="24"/>
                <w:szCs w:val="24"/>
                <w:lang w:eastAsia="en-GB"/>
              </w:rPr>
              <w:t>Main lesson for sheep health and control</w:t>
            </w:r>
          </w:p>
        </w:tc>
        <w:tc>
          <w:tcPr>
            <w:tcW w:w="0" w:type="auto"/>
            <w:hideMark/>
          </w:tcPr>
          <w:p w14:paraId="64405125" w14:textId="77777777" w:rsidR="00562A7E" w:rsidRPr="00562A7E" w:rsidRDefault="00562A7E" w:rsidP="00562A7E">
            <w:pPr>
              <w:jc w:val="center"/>
              <w:rPr>
                <w:rFonts w:ascii="Times New Roman" w:eastAsia="Times New Roman" w:hAnsi="Times New Roman" w:cs="Times New Roman"/>
                <w:b/>
                <w:bCs/>
                <w:sz w:val="24"/>
                <w:szCs w:val="24"/>
                <w:lang w:eastAsia="en-GB"/>
              </w:rPr>
            </w:pPr>
            <w:r w:rsidRPr="00562A7E">
              <w:rPr>
                <w:rFonts w:ascii="Times New Roman" w:eastAsia="Times New Roman" w:hAnsi="Times New Roman" w:cs="Times New Roman"/>
                <w:b/>
                <w:bCs/>
                <w:sz w:val="24"/>
                <w:szCs w:val="24"/>
                <w:lang w:eastAsia="en-GB"/>
              </w:rPr>
              <w:t>Continuing implication</w:t>
            </w:r>
          </w:p>
        </w:tc>
      </w:tr>
      <w:tr w:rsidR="00562A7E" w:rsidRPr="00562A7E" w14:paraId="67F751F1" w14:textId="77777777" w:rsidTr="00562A7E">
        <w:tc>
          <w:tcPr>
            <w:tcW w:w="0" w:type="auto"/>
            <w:hideMark/>
          </w:tcPr>
          <w:p w14:paraId="4FF0C4B8"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Mediterranean and European incursions before 2006</w:t>
            </w:r>
          </w:p>
        </w:tc>
        <w:tc>
          <w:tcPr>
            <w:tcW w:w="0" w:type="auto"/>
            <w:hideMark/>
          </w:tcPr>
          <w:p w14:paraId="62B7B36A"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Bluetongue in Europe involved multiple serotypes and routes of entry, weakening static geographical assumptions about risk.</w:t>
            </w:r>
          </w:p>
        </w:tc>
        <w:tc>
          <w:tcPr>
            <w:tcW w:w="0" w:type="auto"/>
            <w:hideMark/>
          </w:tcPr>
          <w:p w14:paraId="3C6ACAEA"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Surveillance must remain sensitive to new incursions rather than monitor only historically endemic zones.</w:t>
            </w:r>
          </w:p>
        </w:tc>
      </w:tr>
      <w:tr w:rsidR="00562A7E" w:rsidRPr="00562A7E" w14:paraId="237E8FF4" w14:textId="77777777" w:rsidTr="00562A7E">
        <w:tc>
          <w:tcPr>
            <w:tcW w:w="0" w:type="auto"/>
            <w:hideMark/>
          </w:tcPr>
          <w:p w14:paraId="160F69B6"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BTV-8 emergence in north-western Europe from 2006</w:t>
            </w:r>
          </w:p>
        </w:tc>
        <w:tc>
          <w:tcPr>
            <w:tcW w:w="0" w:type="auto"/>
            <w:hideMark/>
          </w:tcPr>
          <w:p w14:paraId="685738D1"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Temperate indigenous </w:t>
            </w:r>
            <w:r w:rsidRPr="00562A7E">
              <w:rPr>
                <w:rFonts w:ascii="Times New Roman" w:eastAsia="Times New Roman" w:hAnsi="Times New Roman" w:cs="Times New Roman"/>
                <w:i/>
                <w:iCs/>
                <w:sz w:val="24"/>
                <w:szCs w:val="24"/>
                <w:lang w:eastAsia="en-GB"/>
              </w:rPr>
              <w:t>Culicoides</w:t>
            </w:r>
            <w:r w:rsidRPr="00562A7E">
              <w:rPr>
                <w:rFonts w:ascii="Times New Roman" w:eastAsia="Times New Roman" w:hAnsi="Times New Roman" w:cs="Times New Roman"/>
                <w:sz w:val="24"/>
                <w:szCs w:val="24"/>
                <w:lang w:eastAsia="en-GB"/>
              </w:rPr>
              <w:t xml:space="preserve"> populations can sustain transmission, and sheep can experience substantial morbidity and mortality.</w:t>
            </w:r>
          </w:p>
        </w:tc>
        <w:tc>
          <w:tcPr>
            <w:tcW w:w="0" w:type="auto"/>
            <w:hideMark/>
          </w:tcPr>
          <w:p w14:paraId="752B91A0"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Vector competence and seasonal suitability must be assessed locally, including outside traditional risk zones.</w:t>
            </w:r>
          </w:p>
        </w:tc>
      </w:tr>
      <w:tr w:rsidR="00562A7E" w:rsidRPr="00562A7E" w14:paraId="73D38B59" w14:textId="77777777" w:rsidTr="00562A7E">
        <w:tc>
          <w:tcPr>
            <w:tcW w:w="0" w:type="auto"/>
            <w:hideMark/>
          </w:tcPr>
          <w:p w14:paraId="49653B9D"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Economic and trade consequences of BTV-8</w:t>
            </w:r>
          </w:p>
        </w:tc>
        <w:tc>
          <w:tcPr>
            <w:tcW w:w="0" w:type="auto"/>
            <w:hideMark/>
          </w:tcPr>
          <w:p w14:paraId="4BACC3CF"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Direct flock losses were compounded by movement restrictions, vaccination costs and market disruption.</w:t>
            </w:r>
          </w:p>
        </w:tc>
        <w:tc>
          <w:tcPr>
            <w:tcW w:w="0" w:type="auto"/>
            <w:hideMark/>
          </w:tcPr>
          <w:p w14:paraId="3DE0CADE"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Control policy must account for farm economics as well as clinical disease.</w:t>
            </w:r>
          </w:p>
        </w:tc>
      </w:tr>
      <w:tr w:rsidR="00562A7E" w:rsidRPr="00562A7E" w14:paraId="7E32E624" w14:textId="77777777" w:rsidTr="00562A7E">
        <w:tc>
          <w:tcPr>
            <w:tcW w:w="0" w:type="auto"/>
            <w:hideMark/>
          </w:tcPr>
          <w:p w14:paraId="1595DA55"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Re-emergent BTV-8 in France</w:t>
            </w:r>
          </w:p>
        </w:tc>
        <w:tc>
          <w:tcPr>
            <w:tcW w:w="0" w:type="auto"/>
            <w:hideMark/>
          </w:tcPr>
          <w:p w14:paraId="30E5B23E"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Viral phenotype may change, with altered viraemia, pathogenicity and vector competence.</w:t>
            </w:r>
          </w:p>
        </w:tc>
        <w:tc>
          <w:tcPr>
            <w:tcW w:w="0" w:type="auto"/>
            <w:hideMark/>
          </w:tcPr>
          <w:p w14:paraId="76F3B34F"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Historical serotype behaviour should not be assumed to predict future field impact.</w:t>
            </w:r>
          </w:p>
        </w:tc>
      </w:tr>
      <w:tr w:rsidR="00562A7E" w:rsidRPr="00562A7E" w14:paraId="4232C50C" w14:textId="77777777" w:rsidTr="00562A7E">
        <w:tc>
          <w:tcPr>
            <w:tcW w:w="0" w:type="auto"/>
            <w:hideMark/>
          </w:tcPr>
          <w:p w14:paraId="01B3EA71"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lastRenderedPageBreak/>
              <w:t>BTV-3 emergence in the Netherlands from 2023</w:t>
            </w:r>
          </w:p>
        </w:tc>
        <w:tc>
          <w:tcPr>
            <w:tcW w:w="0" w:type="auto"/>
            <w:hideMark/>
          </w:tcPr>
          <w:p w14:paraId="6E35B229"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Severe sheep mortality can develop rapidly in highly connected temperate livestock systems.</w:t>
            </w:r>
          </w:p>
        </w:tc>
        <w:tc>
          <w:tcPr>
            <w:tcW w:w="0" w:type="auto"/>
            <w:hideMark/>
          </w:tcPr>
          <w:p w14:paraId="1D00C92F"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Emergency vaccination, mortality monitoring and genomic confirmation need to be linked earlier in the epidemic curve.</w:t>
            </w:r>
          </w:p>
        </w:tc>
      </w:tr>
      <w:tr w:rsidR="00562A7E" w:rsidRPr="00562A7E" w14:paraId="0D248332" w14:textId="77777777" w:rsidTr="00562A7E">
        <w:tc>
          <w:tcPr>
            <w:tcW w:w="0" w:type="auto"/>
            <w:hideMark/>
          </w:tcPr>
          <w:p w14:paraId="30BE474F"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BTV-12 detection in the Netherlands in 2024</w:t>
            </w:r>
          </w:p>
        </w:tc>
        <w:tc>
          <w:tcPr>
            <w:tcW w:w="0" w:type="auto"/>
            <w:hideMark/>
          </w:tcPr>
          <w:p w14:paraId="0EC27566"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Novel serotypes can appear in Europe, and genomic comparison may suggest distant relatedness while leaving routes unresolved.</w:t>
            </w:r>
          </w:p>
        </w:tc>
        <w:tc>
          <w:tcPr>
            <w:tcW w:w="0" w:type="auto"/>
            <w:hideMark/>
          </w:tcPr>
          <w:p w14:paraId="551E7969"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Whole-genome surveillance is essential for serotype recognition, source inference and vaccine preparedness.</w:t>
            </w:r>
          </w:p>
        </w:tc>
      </w:tr>
    </w:tbl>
    <w:p w14:paraId="4CC9C4AB"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Sources: Boender et al. (2024); Elbers et al. (2008a, 2008b); Flannery et al. (2019); Holwerda et al. (2024); Mellor et al. (2008); </w:t>
      </w:r>
      <w:proofErr w:type="spellStart"/>
      <w:r w:rsidRPr="00562A7E">
        <w:rPr>
          <w:rFonts w:ascii="Times New Roman" w:eastAsia="Times New Roman" w:hAnsi="Times New Roman" w:cs="Times New Roman"/>
          <w:sz w:val="24"/>
          <w:szCs w:val="24"/>
          <w:lang w:eastAsia="en-GB"/>
        </w:rPr>
        <w:t>Mintiens</w:t>
      </w:r>
      <w:proofErr w:type="spellEnd"/>
      <w:r w:rsidRPr="00562A7E">
        <w:rPr>
          <w:rFonts w:ascii="Times New Roman" w:eastAsia="Times New Roman" w:hAnsi="Times New Roman" w:cs="Times New Roman"/>
          <w:sz w:val="24"/>
          <w:szCs w:val="24"/>
          <w:lang w:eastAsia="en-GB"/>
        </w:rPr>
        <w:t xml:space="preserve"> et al. (2008); Santman-Berends et al. (2024); van den Brink et al. (2024); van den Brom et al. (2025); Velthuis et al. (2010).</w:t>
      </w:r>
    </w:p>
    <w:p w14:paraId="738AB41A" w14:textId="77777777" w:rsidR="00562A7E" w:rsidRPr="00562A7E" w:rsidRDefault="00562A7E" w:rsidP="00562A7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1.3 The need for integrated vector, genomic, vaccine and One Health control</w:t>
      </w:r>
    </w:p>
    <w:p w14:paraId="2B2C3D70"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Bluetongue control in sheep has often been divided into separate technical domains: clinical diagnosis, vector surveillance, animal movement regulation, vaccination and outbreak reporting. The evidence now indicates that those domains are too interdependent to be managed as separate tracks. Vector competence studies show that </w:t>
      </w:r>
      <w:r w:rsidRPr="00562A7E">
        <w:rPr>
          <w:rFonts w:ascii="Times New Roman" w:eastAsia="Times New Roman" w:hAnsi="Times New Roman" w:cs="Times New Roman"/>
          <w:i/>
          <w:iCs/>
          <w:sz w:val="24"/>
          <w:szCs w:val="24"/>
          <w:lang w:eastAsia="en-GB"/>
        </w:rPr>
        <w:t>Culicoides</w:t>
      </w:r>
      <w:r w:rsidRPr="00562A7E">
        <w:rPr>
          <w:rFonts w:ascii="Times New Roman" w:eastAsia="Times New Roman" w:hAnsi="Times New Roman" w:cs="Times New Roman"/>
          <w:sz w:val="24"/>
          <w:szCs w:val="24"/>
          <w:lang w:eastAsia="en-GB"/>
        </w:rPr>
        <w:t xml:space="preserve"> species vary in susceptibility to infection and transmission, while ecological studies show that midge abundance and seasonal activity are shaped by temperature, moisture, host distribution, breeding substrates and land use (Carpenter et al., 2015; </w:t>
      </w:r>
      <w:proofErr w:type="spellStart"/>
      <w:r w:rsidRPr="00562A7E">
        <w:rPr>
          <w:rFonts w:ascii="Times New Roman" w:eastAsia="Times New Roman" w:hAnsi="Times New Roman" w:cs="Times New Roman"/>
          <w:sz w:val="24"/>
          <w:szCs w:val="24"/>
          <w:lang w:eastAsia="en-GB"/>
        </w:rPr>
        <w:t>Kluiters</w:t>
      </w:r>
      <w:proofErr w:type="spellEnd"/>
      <w:r w:rsidRPr="00562A7E">
        <w:rPr>
          <w:rFonts w:ascii="Times New Roman" w:eastAsia="Times New Roman" w:hAnsi="Times New Roman" w:cs="Times New Roman"/>
          <w:sz w:val="24"/>
          <w:szCs w:val="24"/>
          <w:lang w:eastAsia="en-GB"/>
        </w:rPr>
        <w:t xml:space="preserve"> et al., 2013; Purse et al., 2015). Genomic analyses can reveal virus movement, reassortment and incursion history, but their interpretation depends on epidemiological metadata and representative sampling that are often incomplete (</w:t>
      </w:r>
      <w:proofErr w:type="spellStart"/>
      <w:r w:rsidRPr="00562A7E">
        <w:rPr>
          <w:rFonts w:ascii="Times New Roman" w:eastAsia="Times New Roman" w:hAnsi="Times New Roman" w:cs="Times New Roman"/>
          <w:sz w:val="24"/>
          <w:szCs w:val="24"/>
          <w:lang w:eastAsia="en-GB"/>
        </w:rPr>
        <w:t>Alkhamis</w:t>
      </w:r>
      <w:proofErr w:type="spellEnd"/>
      <w:r w:rsidRPr="00562A7E">
        <w:rPr>
          <w:rFonts w:ascii="Times New Roman" w:eastAsia="Times New Roman" w:hAnsi="Times New Roman" w:cs="Times New Roman"/>
          <w:sz w:val="24"/>
          <w:szCs w:val="24"/>
          <w:lang w:eastAsia="en-GB"/>
        </w:rPr>
        <w:t xml:space="preserve"> et al., 2020; Sanders et al., 2022). Vaccination can greatly reduce disease impact when matched products are available, yet its effectiveness depends on serotype match, timing, coverage, farmer uptake and the ability to interpret post-vaccination surveillance (Dijkstra et al., 2025; Feenstra &amp; van Rijn, 2017).</w:t>
      </w:r>
    </w:p>
    <w:p w14:paraId="5B3DAC0E"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A One Health framing is appropriate even though bluetongue is not zoonotic. The justification does not rest on direct human infection. It rests on the connections among climate change, vector ecology, livestock welfare, rural livelihoods, food systems, wildlife interfaces and transboundary governance (MacLachlan &amp; Mayo, 2013; Ruder et al., 2015; Samy &amp; Peterson, 2016). Bluetongue control decisions influence animal movement, trade, farmer income, vaccine logistics, carcass disposal, public trust and veterinary workload. At the same time, climatic shifts, land-use change, water management and livestock distribution influence future transmission risk. For sheep systems, where welfare consequences can be acute and visible, control must combine biological precision with feasible farm-level implementation.</w:t>
      </w:r>
    </w:p>
    <w:p w14:paraId="67FE8208" w14:textId="77777777" w:rsidR="00562A7E" w:rsidRPr="00562A7E" w:rsidRDefault="00562A7E" w:rsidP="00562A7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1.4 Scope and objectives</w:t>
      </w:r>
    </w:p>
    <w:p w14:paraId="29CF4ACB"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This review critically evaluates bluetongue virus in sheep from the linked perspectives of vector-borne transmission dynamics, clinical disease, genomic surveillance, vaccination and One Health control. Its objectives are to synthesise recent evidence on BTV emergence and spread, identify strengths and weaknesses in current surveillance and vaccine strategies, clarify how sheep-specific disease burdens should inform policy, and propose research and practice priorities for more anticipatory and integrated bluetongue management.</w:t>
      </w:r>
    </w:p>
    <w:p w14:paraId="10751814" w14:textId="77777777" w:rsidR="00562A7E" w:rsidRPr="00562A7E" w:rsidRDefault="00562A7E" w:rsidP="00562A7E">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562A7E">
        <w:rPr>
          <w:rFonts w:ascii="Times New Roman" w:eastAsia="Times New Roman" w:hAnsi="Times New Roman" w:cs="Times New Roman"/>
          <w:b/>
          <w:bCs/>
          <w:sz w:val="36"/>
          <w:szCs w:val="36"/>
          <w:lang w:eastAsia="en-GB"/>
        </w:rPr>
        <w:lastRenderedPageBreak/>
        <w:t>2. Methods for Literature Selection</w:t>
      </w:r>
    </w:p>
    <w:p w14:paraId="772971EE"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The literature search covered publications from 1 January 2006 to 25 April 2026, with selected older classic studies included only where they provided essential context for climate-related emergence or foundational concepts in BTV epidemiology. The start year was selected because the 2006 BTV-8 emergence in north-western Europe marks the beginning of the modern temperate-zone bluetongue surveillance and control era. Searches were conducted in Web of Science, Scopus, Google Scholar and PubMed, supplemented by field-specific indexing databases appropriate to veterinary virology, livestock health, entomology, agriculture and global health: CAB Abstracts, </w:t>
      </w:r>
      <w:proofErr w:type="spellStart"/>
      <w:r w:rsidRPr="00562A7E">
        <w:rPr>
          <w:rFonts w:ascii="Times New Roman" w:eastAsia="Times New Roman" w:hAnsi="Times New Roman" w:cs="Times New Roman"/>
          <w:sz w:val="24"/>
          <w:szCs w:val="24"/>
          <w:lang w:eastAsia="en-GB"/>
        </w:rPr>
        <w:t>VetMed</w:t>
      </w:r>
      <w:proofErr w:type="spellEnd"/>
      <w:r w:rsidRPr="00562A7E">
        <w:rPr>
          <w:rFonts w:ascii="Times New Roman" w:eastAsia="Times New Roman" w:hAnsi="Times New Roman" w:cs="Times New Roman"/>
          <w:sz w:val="24"/>
          <w:szCs w:val="24"/>
          <w:lang w:eastAsia="en-GB"/>
        </w:rPr>
        <w:t xml:space="preserve"> Resource, AGRICOLA, Zoological Record, Global Health and Biological Abstracts.</w:t>
      </w:r>
    </w:p>
    <w:p w14:paraId="0C04C049"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Search terms were adapted to the syntax of each database and combined controlled vocabulary, where available, with free-text terms. Core search strings included “bluetongue virus” OR BTV OR bluetongue combined with sheep OR ovine OR “</w:t>
      </w:r>
      <w:r w:rsidRPr="00562A7E">
        <w:rPr>
          <w:rFonts w:ascii="Times New Roman" w:eastAsia="Times New Roman" w:hAnsi="Times New Roman" w:cs="Times New Roman"/>
          <w:i/>
          <w:iCs/>
          <w:sz w:val="24"/>
          <w:szCs w:val="24"/>
          <w:lang w:eastAsia="en-GB"/>
        </w:rPr>
        <w:t xml:space="preserve">Ovis </w:t>
      </w:r>
      <w:proofErr w:type="spellStart"/>
      <w:r w:rsidRPr="00562A7E">
        <w:rPr>
          <w:rFonts w:ascii="Times New Roman" w:eastAsia="Times New Roman" w:hAnsi="Times New Roman" w:cs="Times New Roman"/>
          <w:i/>
          <w:iCs/>
          <w:sz w:val="24"/>
          <w:szCs w:val="24"/>
          <w:lang w:eastAsia="en-GB"/>
        </w:rPr>
        <w:t>aries</w:t>
      </w:r>
      <w:proofErr w:type="spellEnd"/>
      <w:r w:rsidRPr="00562A7E">
        <w:rPr>
          <w:rFonts w:ascii="Times New Roman" w:eastAsia="Times New Roman" w:hAnsi="Times New Roman" w:cs="Times New Roman"/>
          <w:sz w:val="24"/>
          <w:szCs w:val="24"/>
          <w:lang w:eastAsia="en-GB"/>
        </w:rPr>
        <w:t xml:space="preserve">” OR “small ruminant”; “bluetongue virus” OR BTV combined with </w:t>
      </w:r>
      <w:r w:rsidRPr="00562A7E">
        <w:rPr>
          <w:rFonts w:ascii="Times New Roman" w:eastAsia="Times New Roman" w:hAnsi="Times New Roman" w:cs="Times New Roman"/>
          <w:i/>
          <w:iCs/>
          <w:sz w:val="24"/>
          <w:szCs w:val="24"/>
          <w:lang w:eastAsia="en-GB"/>
        </w:rPr>
        <w:t>Culicoides</w:t>
      </w:r>
      <w:r w:rsidRPr="00562A7E">
        <w:rPr>
          <w:rFonts w:ascii="Times New Roman" w:eastAsia="Times New Roman" w:hAnsi="Times New Roman" w:cs="Times New Roman"/>
          <w:sz w:val="24"/>
          <w:szCs w:val="24"/>
          <w:lang w:eastAsia="en-GB"/>
        </w:rPr>
        <w:t xml:space="preserve"> OR midge OR “vector competence” OR “vectorial capacity” OR “extrinsic incubation”; BTV-3 OR “serotype 3” OR BTV-8 OR BTV-12 combined with Europe OR Netherlands OR outbreak OR mortality OR “excess mortality”; “bluetongue virus” combined with “whole genome sequencing” OR “genomic surveillance” OR </w:t>
      </w:r>
      <w:proofErr w:type="spellStart"/>
      <w:r w:rsidRPr="00562A7E">
        <w:rPr>
          <w:rFonts w:ascii="Times New Roman" w:eastAsia="Times New Roman" w:hAnsi="Times New Roman" w:cs="Times New Roman"/>
          <w:sz w:val="24"/>
          <w:szCs w:val="24"/>
          <w:lang w:eastAsia="en-GB"/>
        </w:rPr>
        <w:t>phylogeograph</w:t>
      </w:r>
      <w:proofErr w:type="spellEnd"/>
      <w:r w:rsidRPr="00562A7E">
        <w:rPr>
          <w:rFonts w:ascii="Times New Roman" w:eastAsia="Times New Roman" w:hAnsi="Times New Roman" w:cs="Times New Roman"/>
          <w:sz w:val="24"/>
          <w:szCs w:val="24"/>
          <w:lang w:eastAsia="en-GB"/>
        </w:rPr>
        <w:t>* OR reassort* OR segment*; “bluetongue virus” combined with vaccine* OR inactivated OR “live attenuated” OR recombinant OR DIVA OR “viral vector”; and bluetongue combined with “One Health” OR climate OR movement OR trade OR welfare OR surveillance. Reference lists of influential articles were screened by backward citation tracking, and forward citation searches were used to identify more recent studies that had expanded or challenged earlier findings.</w:t>
      </w:r>
    </w:p>
    <w:p w14:paraId="2D5157B5"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A narrative rather than systematic review design was adopted because the topic crosses mechanistic virology, clinical pathology, vector biology, spatial epidemiology, genomic surveillance, vaccine science and policy. These fields use heterogeneous methods and outcome measures, so a single pooled effect estimate would have limited interpretive value. Narrative reviews are appropriate where the aim is critical synthesis across diverse evidence streams, provided the search boundaries, inclusion criteria and interpretive logic are explicit (Green et al., 2006; Sukhera, 2022). The approach used here therefore prioritised conceptual integration, methodological comparison and policy relevance rather than formal meta-analysis.</w:t>
      </w:r>
    </w:p>
    <w:p w14:paraId="249E9485"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Inclusion criteria were peer-reviewed journal articles with verifiable DOI metadata that addressed BTV epidemiology, sheep disease, vector ecology, diagnostics, genomic surveillance, vaccination, transmission modelling or control policy. Original research, critical reviews and authoritative scientific risk assessments with DOI registration were eligible. Studies were prioritised when they reported outbreak field data, experimentally evaluated pathogenesis, vector competence or vaccine performance, provided whole-genome or phylogeographic analysis, developed spatial or climatic transmission models, or directly informed sheep health and control decisions. Influential studies were selected on the basis of methodological rigour, relevance to sheep or small-ruminant systems, geographical importance, contribution to outbreak interpretation, and continued use in contemporary scientific or policy discussions.</w:t>
      </w:r>
    </w:p>
    <w:p w14:paraId="72B47D04"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Exclusion criteria were books, book chapters, conference papers, trade publications, patents, preprints, non-peer-reviewed material, studies without verifiable DOI metadata, articles </w:t>
      </w:r>
      <w:r w:rsidRPr="00562A7E">
        <w:rPr>
          <w:rFonts w:ascii="Times New Roman" w:eastAsia="Times New Roman" w:hAnsi="Times New Roman" w:cs="Times New Roman"/>
          <w:sz w:val="24"/>
          <w:szCs w:val="24"/>
          <w:lang w:eastAsia="en-GB"/>
        </w:rPr>
        <w:lastRenderedPageBreak/>
        <w:t xml:space="preserve">focused solely on unrelated </w:t>
      </w:r>
      <w:proofErr w:type="spellStart"/>
      <w:r w:rsidRPr="00562A7E">
        <w:rPr>
          <w:rFonts w:ascii="Times New Roman" w:eastAsia="Times New Roman" w:hAnsi="Times New Roman" w:cs="Times New Roman"/>
          <w:sz w:val="24"/>
          <w:szCs w:val="24"/>
          <w:lang w:eastAsia="en-GB"/>
        </w:rPr>
        <w:t>orbiviruses</w:t>
      </w:r>
      <w:proofErr w:type="spellEnd"/>
      <w:r w:rsidRPr="00562A7E">
        <w:rPr>
          <w:rFonts w:ascii="Times New Roman" w:eastAsia="Times New Roman" w:hAnsi="Times New Roman" w:cs="Times New Roman"/>
          <w:sz w:val="24"/>
          <w:szCs w:val="24"/>
          <w:lang w:eastAsia="en-GB"/>
        </w:rPr>
        <w:t xml:space="preserve"> unless directly relevant to BTV comparison, and reports in which implications for sheep could not be inferred. Institutional material was considered only where it had clear scientific relevance and DOI traceability. English-language publications were used as the primary evidence base; non-English publications were considered only if an English abstract and complete DOI-verifiable metadata were available and the article contributed unique epidemiological or control information. Records were exported to a reference manager, where duplicates were removed using DOI, title, author and year matching, followed by manual verification of near-duplicate records and corrected online-first metadata. Screening proceeded from title and abstract assessment to full-text evaluation, with particular attention to whether claims about serotype, vector species, vaccine effect or outbreak severity were supported by primary data rather than secondary repetition.</w:t>
      </w:r>
    </w:p>
    <w:p w14:paraId="112D0655" w14:textId="77777777" w:rsidR="00562A7E" w:rsidRPr="00562A7E" w:rsidRDefault="00562A7E" w:rsidP="00562A7E">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562A7E">
        <w:rPr>
          <w:rFonts w:ascii="Times New Roman" w:eastAsia="Times New Roman" w:hAnsi="Times New Roman" w:cs="Times New Roman"/>
          <w:b/>
          <w:bCs/>
          <w:sz w:val="36"/>
          <w:szCs w:val="36"/>
          <w:lang w:eastAsia="en-GB"/>
        </w:rPr>
        <w:t>3. Virus Biology and Disease Expression in Sheep</w:t>
      </w:r>
    </w:p>
    <w:p w14:paraId="0758925F" w14:textId="77777777" w:rsidR="00562A7E" w:rsidRPr="00562A7E" w:rsidRDefault="00562A7E" w:rsidP="00562A7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3.1 Taxonomy, genome segmentation and antigenic diversity</w:t>
      </w:r>
    </w:p>
    <w:p w14:paraId="6BF3EF6C"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Bluetongue virus is an </w:t>
      </w:r>
      <w:proofErr w:type="spellStart"/>
      <w:r w:rsidRPr="00562A7E">
        <w:rPr>
          <w:rFonts w:ascii="Times New Roman" w:eastAsia="Times New Roman" w:hAnsi="Times New Roman" w:cs="Times New Roman"/>
          <w:sz w:val="24"/>
          <w:szCs w:val="24"/>
          <w:lang w:eastAsia="en-GB"/>
        </w:rPr>
        <w:t>orbivirus</w:t>
      </w:r>
      <w:proofErr w:type="spellEnd"/>
      <w:r w:rsidRPr="00562A7E">
        <w:rPr>
          <w:rFonts w:ascii="Times New Roman" w:eastAsia="Times New Roman" w:hAnsi="Times New Roman" w:cs="Times New Roman"/>
          <w:sz w:val="24"/>
          <w:szCs w:val="24"/>
          <w:lang w:eastAsia="en-GB"/>
        </w:rPr>
        <w:t xml:space="preserve"> with ten segments of double-stranded RNA encoding structural and non-structural proteins that support replication, host interaction, immune recognition and vector transmission (Patel &amp; Roy, 2014). Outer-capsid proteins, especially VP2 and VP5, are central to serotype specificity and neutralising antibody responses, while more conserved internal proteins are useful for group-specific diagnosis (Feenstra &amp; van Rijn, 2017; MacLachlan et al., 2015). This genome architecture has direct epidemiological significance. Segmented viruses can reassort when different strains infect the same host or vector, producing new genome constellations with possible changes in replication, virulence or transmissibility (Sanders et al., 2022).</w:t>
      </w:r>
    </w:p>
    <w:p w14:paraId="0834E2D2"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The antigenic diversity of BTV has expanded over time, with many serotypes reported across Africa, Asia, Europe, the Middle East, Australia and the Americas (</w:t>
      </w:r>
      <w:proofErr w:type="spellStart"/>
      <w:r w:rsidRPr="00562A7E">
        <w:rPr>
          <w:rFonts w:ascii="Times New Roman" w:eastAsia="Times New Roman" w:hAnsi="Times New Roman" w:cs="Times New Roman"/>
          <w:sz w:val="24"/>
          <w:szCs w:val="24"/>
          <w:lang w:eastAsia="en-GB"/>
        </w:rPr>
        <w:t>Alkhamis</w:t>
      </w:r>
      <w:proofErr w:type="spellEnd"/>
      <w:r w:rsidRPr="00562A7E">
        <w:rPr>
          <w:rFonts w:ascii="Times New Roman" w:eastAsia="Times New Roman" w:hAnsi="Times New Roman" w:cs="Times New Roman"/>
          <w:sz w:val="24"/>
          <w:szCs w:val="24"/>
          <w:lang w:eastAsia="en-GB"/>
        </w:rPr>
        <w:t xml:space="preserve"> et al., 2020; </w:t>
      </w:r>
      <w:proofErr w:type="spellStart"/>
      <w:r w:rsidRPr="00562A7E">
        <w:rPr>
          <w:rFonts w:ascii="Times New Roman" w:eastAsia="Times New Roman" w:hAnsi="Times New Roman" w:cs="Times New Roman"/>
          <w:sz w:val="24"/>
          <w:szCs w:val="24"/>
          <w:lang w:eastAsia="en-GB"/>
        </w:rPr>
        <w:t>Saminathan</w:t>
      </w:r>
      <w:proofErr w:type="spellEnd"/>
      <w:r w:rsidRPr="00562A7E">
        <w:rPr>
          <w:rFonts w:ascii="Times New Roman" w:eastAsia="Times New Roman" w:hAnsi="Times New Roman" w:cs="Times New Roman"/>
          <w:sz w:val="24"/>
          <w:szCs w:val="24"/>
          <w:lang w:eastAsia="en-GB"/>
        </w:rPr>
        <w:t xml:space="preserve"> et al., 2020). This diversity is not a taxonomic detail of interest only to virologists. It directly shapes vaccination, because protection is generally strongest against homologous serotypes and may be incomplete or inconsistent across heterologous serotypes (Feenstra &amp; van Rijn, 2017; McVey &amp; MacLachlan, 2015). For sheep producers and veterinary authorities, the detection of a new serotype immediately affects vaccine availability, movement policy, diagnostic strategy and outbreak forecasting. The detection of BTV-12 in the Netherlands in 2024, soon after the BTV-3 epidemic, illustrates how serotype diversity can complicate control planning in regions already responding to one major outbreak (van den Brom et al., 2025).</w:t>
      </w:r>
    </w:p>
    <w:p w14:paraId="6FEE4B02"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Genome segmentation also means that whole-genome sequencing has become more than a confirmatory tool. Serotype identification, usually linked to genome segment 2, is necessary but cannot alone reveal reassortment in other segments that may influence virus fitness or transmission (</w:t>
      </w:r>
      <w:proofErr w:type="spellStart"/>
      <w:r w:rsidRPr="00562A7E">
        <w:rPr>
          <w:rFonts w:ascii="Times New Roman" w:eastAsia="Times New Roman" w:hAnsi="Times New Roman" w:cs="Times New Roman"/>
          <w:sz w:val="24"/>
          <w:szCs w:val="24"/>
          <w:lang w:eastAsia="en-GB"/>
        </w:rPr>
        <w:t>Alkhamis</w:t>
      </w:r>
      <w:proofErr w:type="spellEnd"/>
      <w:r w:rsidRPr="00562A7E">
        <w:rPr>
          <w:rFonts w:ascii="Times New Roman" w:eastAsia="Times New Roman" w:hAnsi="Times New Roman" w:cs="Times New Roman"/>
          <w:sz w:val="24"/>
          <w:szCs w:val="24"/>
          <w:lang w:eastAsia="en-GB"/>
        </w:rPr>
        <w:t xml:space="preserve"> et al., 2020; Sanders et al., 2022). Experimental work has shown that reassortment can alter phenotypic traits in both mammalian hosts and arthropod vectors (Sanders et al., 2022). For sheep health, this matters because clinical severity may differ among strains within the same serotype, and because vaccine planning based only on serotype may miss other genomic features that influence field behaviour.</w:t>
      </w:r>
    </w:p>
    <w:p w14:paraId="23C078D3" w14:textId="77777777" w:rsidR="00562A7E" w:rsidRPr="00562A7E" w:rsidRDefault="00562A7E" w:rsidP="00562A7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 xml:space="preserve">3.2 Pathogenesis in </w:t>
      </w:r>
      <w:r w:rsidRPr="00562A7E">
        <w:rPr>
          <w:rFonts w:ascii="Times New Roman" w:eastAsia="Times New Roman" w:hAnsi="Times New Roman" w:cs="Times New Roman"/>
          <w:b/>
          <w:bCs/>
          <w:i/>
          <w:iCs/>
          <w:sz w:val="27"/>
          <w:szCs w:val="27"/>
          <w:lang w:eastAsia="en-GB"/>
        </w:rPr>
        <w:t xml:space="preserve">Ovis </w:t>
      </w:r>
      <w:proofErr w:type="spellStart"/>
      <w:r w:rsidRPr="00562A7E">
        <w:rPr>
          <w:rFonts w:ascii="Times New Roman" w:eastAsia="Times New Roman" w:hAnsi="Times New Roman" w:cs="Times New Roman"/>
          <w:b/>
          <w:bCs/>
          <w:i/>
          <w:iCs/>
          <w:sz w:val="27"/>
          <w:szCs w:val="27"/>
          <w:lang w:eastAsia="en-GB"/>
        </w:rPr>
        <w:t>aries</w:t>
      </w:r>
      <w:proofErr w:type="spellEnd"/>
      <w:r w:rsidRPr="00562A7E">
        <w:rPr>
          <w:rFonts w:ascii="Times New Roman" w:eastAsia="Times New Roman" w:hAnsi="Times New Roman" w:cs="Times New Roman"/>
          <w:b/>
          <w:bCs/>
          <w:sz w:val="27"/>
          <w:szCs w:val="27"/>
          <w:lang w:eastAsia="en-GB"/>
        </w:rPr>
        <w:t xml:space="preserve"> and determinants of disease severity</w:t>
      </w:r>
    </w:p>
    <w:p w14:paraId="29E7FC1D"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lastRenderedPageBreak/>
        <w:t>The pathogenesis of bluetongue in sheep is strongly associated with infection of endothelial and mononuclear phagocytic cells, resulting in vascular injury, increased permeability, oedema, haemorrhage, thrombosis and tissue damage (MacLachlan et al., 2009). The clinical syndrome reflects this vascular pathology. Fever, depression, salivation, facial swelling, oral ulceration, cyanosis of the tongue in severe cases, respiratory signs, coronitis, lameness and reproductive losses have all been described, although not every outbreak produces the same presentation (MacLachlan et al., 2009; van den Brink et al., 2024). The name “bluetongue” can therefore be misleading if taken literally, because a visibly cyanotic tongue is neither necessary nor consistently observed in affected sheep (MacLachlan et al., 2015).</w:t>
      </w:r>
    </w:p>
    <w:p w14:paraId="43BFA69F"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Disease severity depends on both viral and host factors. Experimental and field evidence indicates that strain differences can influence clinical outcome, while breed, age, physiological status, immune history and concurrent stressors shape susceptibility and recovery (Caporale et al., 2014; </w:t>
      </w:r>
      <w:proofErr w:type="spellStart"/>
      <w:r w:rsidRPr="00562A7E">
        <w:rPr>
          <w:rFonts w:ascii="Times New Roman" w:eastAsia="Times New Roman" w:hAnsi="Times New Roman" w:cs="Times New Roman"/>
          <w:sz w:val="24"/>
          <w:szCs w:val="24"/>
          <w:lang w:eastAsia="en-GB"/>
        </w:rPr>
        <w:t>Saminathan</w:t>
      </w:r>
      <w:proofErr w:type="spellEnd"/>
      <w:r w:rsidRPr="00562A7E">
        <w:rPr>
          <w:rFonts w:ascii="Times New Roman" w:eastAsia="Times New Roman" w:hAnsi="Times New Roman" w:cs="Times New Roman"/>
          <w:sz w:val="24"/>
          <w:szCs w:val="24"/>
          <w:lang w:eastAsia="en-GB"/>
        </w:rPr>
        <w:t xml:space="preserve"> et al., 2020). European meat and wool breeds may suffer severe disease in particular epidemic settings, whereas some indigenous breeds in historically endemic areas may show lower apparent severity, although comparisons are complicated by prior immunity, husbandry and reporting differences (MacLachlan et al., 2015; </w:t>
      </w:r>
      <w:proofErr w:type="spellStart"/>
      <w:r w:rsidRPr="00562A7E">
        <w:rPr>
          <w:rFonts w:ascii="Times New Roman" w:eastAsia="Times New Roman" w:hAnsi="Times New Roman" w:cs="Times New Roman"/>
          <w:sz w:val="24"/>
          <w:szCs w:val="24"/>
          <w:lang w:eastAsia="en-GB"/>
        </w:rPr>
        <w:t>Saminathan</w:t>
      </w:r>
      <w:proofErr w:type="spellEnd"/>
      <w:r w:rsidRPr="00562A7E">
        <w:rPr>
          <w:rFonts w:ascii="Times New Roman" w:eastAsia="Times New Roman" w:hAnsi="Times New Roman" w:cs="Times New Roman"/>
          <w:sz w:val="24"/>
          <w:szCs w:val="24"/>
          <w:lang w:eastAsia="en-GB"/>
        </w:rPr>
        <w:t xml:space="preserve"> et al., 2020). The Dutch BTV-3 epidemic confirmed that severe ovine disease can occur in contemporary European sheep systems, with clinical and pathological findings including fever, mucosal lesions, oedema, lameness and death (van den Brink et al., 2024).</w:t>
      </w:r>
    </w:p>
    <w:p w14:paraId="2A68038B"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Population-level mortality data are essential because clinical descriptions alone cannot quantify outbreak burden. During the Dutch BTV-3 outbreak, mortality analysis estimated more than 55,000 excess sheep deaths between September and December 2023, with marked increases in infected areas and especially in notified sheep flocks (Santman-Berends et al., 2024). In 2024, despite the availability of inactivated BTV-3 vaccines, more than 65,000 excess sheep deaths were recorded during the epidemic period, although vaccination was associated with a significant reduction in mortality and the impact per farm was lower than in 2023 (Dijkstra et al., 2025). These findings make an important practical point: vaccine value should not be judged only by sterilising immunity or PCR negativity. Reductions in death, clinical severity and welfare compromise are meaningful outcomes in sheep populations.</w:t>
      </w:r>
    </w:p>
    <w:p w14:paraId="735CC6E8" w14:textId="77777777" w:rsidR="00562A7E" w:rsidRPr="00562A7E" w:rsidRDefault="00562A7E" w:rsidP="00562A7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3.3 Reservoirs, amplifiers and multispecies interfaces</w:t>
      </w:r>
    </w:p>
    <w:p w14:paraId="4947A333"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Bluetongue epidemiology in sheep cannot be understood by studying sheep alone. Cattle often develop subclinical or mild infection but can sustain viraemia sufficient to infect biting midges, making them important maintenance or amplifier hosts in mixed livestock landscapes (MacLachlan et al., 2015; Ruder et al., 2015). Goats, camelids and wild ruminants may also become infected, although their roles vary by species, region and husbandry system (</w:t>
      </w:r>
      <w:proofErr w:type="spellStart"/>
      <w:r w:rsidRPr="00562A7E">
        <w:rPr>
          <w:rFonts w:ascii="Times New Roman" w:eastAsia="Times New Roman" w:hAnsi="Times New Roman" w:cs="Times New Roman"/>
          <w:sz w:val="24"/>
          <w:szCs w:val="24"/>
          <w:lang w:eastAsia="en-GB"/>
        </w:rPr>
        <w:t>Saminathan</w:t>
      </w:r>
      <w:proofErr w:type="spellEnd"/>
      <w:r w:rsidRPr="00562A7E">
        <w:rPr>
          <w:rFonts w:ascii="Times New Roman" w:eastAsia="Times New Roman" w:hAnsi="Times New Roman" w:cs="Times New Roman"/>
          <w:sz w:val="24"/>
          <w:szCs w:val="24"/>
          <w:lang w:eastAsia="en-GB"/>
        </w:rPr>
        <w:t xml:space="preserve"> et al., 2020; van den Brink et al., 2024). In the Dutch BTV-3 epidemic, infection was confirmed in sheep, cattle, goats, alpaca and/or llama holdings, and one dog was also reported, illustrating the breadth of susceptible or exposed host interfaces while keeping sheep at the centre of severe clinical impact (van den Brink et al., 2024).</w:t>
      </w:r>
    </w:p>
    <w:p w14:paraId="5C4CAB2D"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The reservoir question has immediate consequences for surveillance. If sheep are monitored mainly because they show disease, while cattle are monitored through serology or movement testing, the resulting picture of transmission may be uneven. Silent or weakly clinical infection in cattle can allow virus circulation before sheep outbreaks become obvious (EFSA AHAW Panel, 2017; MacLachlan et al., 2015). Conversely, sheep mortality can provide an </w:t>
      </w:r>
      <w:r w:rsidRPr="00562A7E">
        <w:rPr>
          <w:rFonts w:ascii="Times New Roman" w:eastAsia="Times New Roman" w:hAnsi="Times New Roman" w:cs="Times New Roman"/>
          <w:sz w:val="24"/>
          <w:szCs w:val="24"/>
          <w:lang w:eastAsia="en-GB"/>
        </w:rPr>
        <w:lastRenderedPageBreak/>
        <w:t>early signal of severe clinical impact even when the transmission network involves multiple host species (Santman-Berends et al., 2024). A balanced surveillance design should therefore include host groups according to their epidemiological contribution and clinical vulnerability rather than assign responsibility to one “sentinel” species.</w:t>
      </w:r>
    </w:p>
    <w:p w14:paraId="044FBA6A"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Wildlife adds further uncertainty. In North America, BTV and epizootic haemorrhagic disease viruses circulate across domestic and wild ruminant interfaces, and the ecological lessons are relevant even where species assemblages differ (Ruder et al., 2015). Wildlife may not always drive sheep outbreaks, but it can complicate freedom claims, provide additional feeding sources for vectors and create surveillance blind spots. The multispecies nature of bluetongue is one reason why control should be planned at landscape scale rather than only at individual flock level.</w:t>
      </w:r>
    </w:p>
    <w:p w14:paraId="01AF188D" w14:textId="77777777" w:rsidR="00562A7E" w:rsidRPr="00562A7E" w:rsidRDefault="00562A7E" w:rsidP="00562A7E">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562A7E">
        <w:rPr>
          <w:rFonts w:ascii="Times New Roman" w:eastAsia="Times New Roman" w:hAnsi="Times New Roman" w:cs="Times New Roman"/>
          <w:b/>
          <w:bCs/>
          <w:sz w:val="36"/>
          <w:szCs w:val="36"/>
          <w:lang w:eastAsia="en-GB"/>
        </w:rPr>
        <w:t>4. Vector-Borne Transmission Dynamics</w:t>
      </w:r>
    </w:p>
    <w:p w14:paraId="354D9ADC" w14:textId="77777777" w:rsidR="00562A7E" w:rsidRPr="00562A7E" w:rsidRDefault="00562A7E" w:rsidP="00562A7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 xml:space="preserve">4.1 </w:t>
      </w:r>
      <w:r w:rsidRPr="00562A7E">
        <w:rPr>
          <w:rFonts w:ascii="Times New Roman" w:eastAsia="Times New Roman" w:hAnsi="Times New Roman" w:cs="Times New Roman"/>
          <w:b/>
          <w:bCs/>
          <w:i/>
          <w:iCs/>
          <w:sz w:val="27"/>
          <w:szCs w:val="27"/>
          <w:lang w:eastAsia="en-GB"/>
        </w:rPr>
        <w:t>Culicoides</w:t>
      </w:r>
      <w:r w:rsidRPr="00562A7E">
        <w:rPr>
          <w:rFonts w:ascii="Times New Roman" w:eastAsia="Times New Roman" w:hAnsi="Times New Roman" w:cs="Times New Roman"/>
          <w:b/>
          <w:bCs/>
          <w:sz w:val="27"/>
          <w:szCs w:val="27"/>
          <w:lang w:eastAsia="en-GB"/>
        </w:rPr>
        <w:t xml:space="preserve"> bionomics and vector competence</w:t>
      </w:r>
    </w:p>
    <w:p w14:paraId="7D3AC841"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Bluetongue virus is transmitted primarily by </w:t>
      </w:r>
      <w:proofErr w:type="spellStart"/>
      <w:r w:rsidRPr="00562A7E">
        <w:rPr>
          <w:rFonts w:ascii="Times New Roman" w:eastAsia="Times New Roman" w:hAnsi="Times New Roman" w:cs="Times New Roman"/>
          <w:sz w:val="24"/>
          <w:szCs w:val="24"/>
          <w:lang w:eastAsia="en-GB"/>
        </w:rPr>
        <w:t>haematophagous</w:t>
      </w:r>
      <w:proofErr w:type="spellEnd"/>
      <w:r w:rsidRPr="00562A7E">
        <w:rPr>
          <w:rFonts w:ascii="Times New Roman" w:eastAsia="Times New Roman" w:hAnsi="Times New Roman" w:cs="Times New Roman"/>
          <w:sz w:val="24"/>
          <w:szCs w:val="24"/>
          <w:lang w:eastAsia="en-GB"/>
        </w:rPr>
        <w:t xml:space="preserve"> female </w:t>
      </w:r>
      <w:r w:rsidRPr="00562A7E">
        <w:rPr>
          <w:rFonts w:ascii="Times New Roman" w:eastAsia="Times New Roman" w:hAnsi="Times New Roman" w:cs="Times New Roman"/>
          <w:i/>
          <w:iCs/>
          <w:sz w:val="24"/>
          <w:szCs w:val="24"/>
          <w:lang w:eastAsia="en-GB"/>
        </w:rPr>
        <w:t>Culicoides</w:t>
      </w:r>
      <w:r w:rsidRPr="00562A7E">
        <w:rPr>
          <w:rFonts w:ascii="Times New Roman" w:eastAsia="Times New Roman" w:hAnsi="Times New Roman" w:cs="Times New Roman"/>
          <w:sz w:val="24"/>
          <w:szCs w:val="24"/>
          <w:lang w:eastAsia="en-GB"/>
        </w:rPr>
        <w:t xml:space="preserve"> biting midges. Vector competence refers to the ability of a midge species to acquire virus during blood feeding, support viral replication and dissemination, and transmit infectious virus during later feeding (Carpenter et al., 2015). This definition matters. Detection of viral RNA in field-collected midges does not by itself prove transmission competence, because it may reflect a recent infectious blood meal rather than disseminated infection. Strong inference requires the combined interpretation of field detection, parity status, host-feeding behaviour, virus isolation or dissemination evidence, and laboratory transmission studies (Carpenter et al., 2015; Purse et al., 2015).</w:t>
      </w:r>
    </w:p>
    <w:p w14:paraId="532170C1"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Historically, </w:t>
      </w:r>
      <w:r w:rsidRPr="00562A7E">
        <w:rPr>
          <w:rFonts w:ascii="Times New Roman" w:eastAsia="Times New Roman" w:hAnsi="Times New Roman" w:cs="Times New Roman"/>
          <w:i/>
          <w:iCs/>
          <w:sz w:val="24"/>
          <w:szCs w:val="24"/>
          <w:lang w:eastAsia="en-GB"/>
        </w:rPr>
        <w:t xml:space="preserve">Culicoides </w:t>
      </w:r>
      <w:proofErr w:type="spellStart"/>
      <w:r w:rsidRPr="00562A7E">
        <w:rPr>
          <w:rFonts w:ascii="Times New Roman" w:eastAsia="Times New Roman" w:hAnsi="Times New Roman" w:cs="Times New Roman"/>
          <w:i/>
          <w:iCs/>
          <w:sz w:val="24"/>
          <w:szCs w:val="24"/>
          <w:lang w:eastAsia="en-GB"/>
        </w:rPr>
        <w:t>imicola</w:t>
      </w:r>
      <w:proofErr w:type="spellEnd"/>
      <w:r w:rsidRPr="00562A7E">
        <w:rPr>
          <w:rFonts w:ascii="Times New Roman" w:eastAsia="Times New Roman" w:hAnsi="Times New Roman" w:cs="Times New Roman"/>
          <w:sz w:val="24"/>
          <w:szCs w:val="24"/>
          <w:lang w:eastAsia="en-GB"/>
        </w:rPr>
        <w:t xml:space="preserve"> has been a major vector in Africa, the Mediterranean Basin and parts of Asia. The BTV-8 epidemic in northern Europe showed, however, that indigenous temperate species could sustain transmission beyond the range of </w:t>
      </w:r>
      <w:r w:rsidRPr="00562A7E">
        <w:rPr>
          <w:rFonts w:ascii="Times New Roman" w:eastAsia="Times New Roman" w:hAnsi="Times New Roman" w:cs="Times New Roman"/>
          <w:i/>
          <w:iCs/>
          <w:sz w:val="24"/>
          <w:szCs w:val="24"/>
          <w:lang w:eastAsia="en-GB"/>
        </w:rPr>
        <w:t xml:space="preserve">C. </w:t>
      </w:r>
      <w:proofErr w:type="spellStart"/>
      <w:r w:rsidRPr="00562A7E">
        <w:rPr>
          <w:rFonts w:ascii="Times New Roman" w:eastAsia="Times New Roman" w:hAnsi="Times New Roman" w:cs="Times New Roman"/>
          <w:i/>
          <w:iCs/>
          <w:sz w:val="24"/>
          <w:szCs w:val="24"/>
          <w:lang w:eastAsia="en-GB"/>
        </w:rPr>
        <w:t>imicola</w:t>
      </w:r>
      <w:proofErr w:type="spellEnd"/>
      <w:r w:rsidRPr="00562A7E">
        <w:rPr>
          <w:rFonts w:ascii="Times New Roman" w:eastAsia="Times New Roman" w:hAnsi="Times New Roman" w:cs="Times New Roman"/>
          <w:sz w:val="24"/>
          <w:szCs w:val="24"/>
          <w:lang w:eastAsia="en-GB"/>
        </w:rPr>
        <w:t xml:space="preserve"> (Mellor et al., 2008; Wilson &amp; Mellor, 2008). Species in the </w:t>
      </w:r>
      <w:r w:rsidRPr="00562A7E">
        <w:rPr>
          <w:rFonts w:ascii="Times New Roman" w:eastAsia="Times New Roman" w:hAnsi="Times New Roman" w:cs="Times New Roman"/>
          <w:i/>
          <w:iCs/>
          <w:sz w:val="24"/>
          <w:szCs w:val="24"/>
          <w:lang w:eastAsia="en-GB"/>
        </w:rPr>
        <w:t>Culicoides obsoletus</w:t>
      </w:r>
      <w:r w:rsidRPr="00562A7E">
        <w:rPr>
          <w:rFonts w:ascii="Times New Roman" w:eastAsia="Times New Roman" w:hAnsi="Times New Roman" w:cs="Times New Roman"/>
          <w:sz w:val="24"/>
          <w:szCs w:val="24"/>
          <w:lang w:eastAsia="en-GB"/>
        </w:rPr>
        <w:t xml:space="preserve"> complex and related groups have received particular attention because of their abundance, host associations and field implication in European outbreaks (Carpenter et al., 2013; Purse et al., 2015). Laboratory studies with pre-alpine </w:t>
      </w:r>
      <w:r w:rsidRPr="00562A7E">
        <w:rPr>
          <w:rFonts w:ascii="Times New Roman" w:eastAsia="Times New Roman" w:hAnsi="Times New Roman" w:cs="Times New Roman"/>
          <w:i/>
          <w:iCs/>
          <w:sz w:val="24"/>
          <w:szCs w:val="24"/>
          <w:lang w:eastAsia="en-GB"/>
        </w:rPr>
        <w:t>Culicoides</w:t>
      </w:r>
      <w:r w:rsidRPr="00562A7E">
        <w:rPr>
          <w:rFonts w:ascii="Times New Roman" w:eastAsia="Times New Roman" w:hAnsi="Times New Roman" w:cs="Times New Roman"/>
          <w:sz w:val="24"/>
          <w:szCs w:val="24"/>
          <w:lang w:eastAsia="en-GB"/>
        </w:rPr>
        <w:t xml:space="preserve"> populations have demonstrated competence for BTV serotypes 1, 4 and 8, reinforcing the view that local vector populations may be epidemiologically important even in regions once considered marginal (</w:t>
      </w:r>
      <w:proofErr w:type="spellStart"/>
      <w:r w:rsidRPr="00562A7E">
        <w:rPr>
          <w:rFonts w:ascii="Times New Roman" w:eastAsia="Times New Roman" w:hAnsi="Times New Roman" w:cs="Times New Roman"/>
          <w:sz w:val="24"/>
          <w:szCs w:val="24"/>
          <w:lang w:eastAsia="en-GB"/>
        </w:rPr>
        <w:t>Paslaru</w:t>
      </w:r>
      <w:proofErr w:type="spellEnd"/>
      <w:r w:rsidRPr="00562A7E">
        <w:rPr>
          <w:rFonts w:ascii="Times New Roman" w:eastAsia="Times New Roman" w:hAnsi="Times New Roman" w:cs="Times New Roman"/>
          <w:sz w:val="24"/>
          <w:szCs w:val="24"/>
          <w:lang w:eastAsia="en-GB"/>
        </w:rPr>
        <w:t xml:space="preserve"> et al., 2018).</w:t>
      </w:r>
    </w:p>
    <w:p w14:paraId="44EF81CA"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Recent Dutch data from the BTV-3 epidemic support a broad view of vector involvement. Investigation of midges collected during 2023–2024 detected BTV genomic material in pools assigned to </w:t>
      </w:r>
      <w:r w:rsidRPr="00562A7E">
        <w:rPr>
          <w:rFonts w:ascii="Times New Roman" w:eastAsia="Times New Roman" w:hAnsi="Times New Roman" w:cs="Times New Roman"/>
          <w:i/>
          <w:iCs/>
          <w:sz w:val="24"/>
          <w:szCs w:val="24"/>
          <w:lang w:eastAsia="en-GB"/>
        </w:rPr>
        <w:t>C. obsoletus/</w:t>
      </w:r>
      <w:proofErr w:type="spellStart"/>
      <w:r w:rsidRPr="00562A7E">
        <w:rPr>
          <w:rFonts w:ascii="Times New Roman" w:eastAsia="Times New Roman" w:hAnsi="Times New Roman" w:cs="Times New Roman"/>
          <w:i/>
          <w:iCs/>
          <w:sz w:val="24"/>
          <w:szCs w:val="24"/>
          <w:lang w:eastAsia="en-GB"/>
        </w:rPr>
        <w:t>scoticus</w:t>
      </w:r>
      <w:proofErr w:type="spellEnd"/>
      <w:r w:rsidRPr="00562A7E">
        <w:rPr>
          <w:rFonts w:ascii="Times New Roman" w:eastAsia="Times New Roman" w:hAnsi="Times New Roman" w:cs="Times New Roman"/>
          <w:sz w:val="24"/>
          <w:szCs w:val="24"/>
          <w:lang w:eastAsia="en-GB"/>
        </w:rPr>
        <w:t xml:space="preserve">, </w:t>
      </w:r>
      <w:r w:rsidRPr="00562A7E">
        <w:rPr>
          <w:rFonts w:ascii="Times New Roman" w:eastAsia="Times New Roman" w:hAnsi="Times New Roman" w:cs="Times New Roman"/>
          <w:i/>
          <w:iCs/>
          <w:sz w:val="24"/>
          <w:szCs w:val="24"/>
          <w:lang w:eastAsia="en-GB"/>
        </w:rPr>
        <w:t xml:space="preserve">C. </w:t>
      </w:r>
      <w:proofErr w:type="spellStart"/>
      <w:r w:rsidRPr="00562A7E">
        <w:rPr>
          <w:rFonts w:ascii="Times New Roman" w:eastAsia="Times New Roman" w:hAnsi="Times New Roman" w:cs="Times New Roman"/>
          <w:i/>
          <w:iCs/>
          <w:sz w:val="24"/>
          <w:szCs w:val="24"/>
          <w:lang w:eastAsia="en-GB"/>
        </w:rPr>
        <w:t>chiopterus</w:t>
      </w:r>
      <w:proofErr w:type="spellEnd"/>
      <w:r w:rsidRPr="00562A7E">
        <w:rPr>
          <w:rFonts w:ascii="Times New Roman" w:eastAsia="Times New Roman" w:hAnsi="Times New Roman" w:cs="Times New Roman"/>
          <w:sz w:val="24"/>
          <w:szCs w:val="24"/>
          <w:lang w:eastAsia="en-GB"/>
        </w:rPr>
        <w:t xml:space="preserve">, </w:t>
      </w:r>
      <w:r w:rsidRPr="00562A7E">
        <w:rPr>
          <w:rFonts w:ascii="Times New Roman" w:eastAsia="Times New Roman" w:hAnsi="Times New Roman" w:cs="Times New Roman"/>
          <w:i/>
          <w:iCs/>
          <w:sz w:val="24"/>
          <w:szCs w:val="24"/>
          <w:lang w:eastAsia="en-GB"/>
        </w:rPr>
        <w:t xml:space="preserve">C. </w:t>
      </w:r>
      <w:proofErr w:type="spellStart"/>
      <w:r w:rsidRPr="00562A7E">
        <w:rPr>
          <w:rFonts w:ascii="Times New Roman" w:eastAsia="Times New Roman" w:hAnsi="Times New Roman" w:cs="Times New Roman"/>
          <w:i/>
          <w:iCs/>
          <w:sz w:val="24"/>
          <w:szCs w:val="24"/>
          <w:lang w:eastAsia="en-GB"/>
        </w:rPr>
        <w:t>dewulfi</w:t>
      </w:r>
      <w:proofErr w:type="spellEnd"/>
      <w:r w:rsidRPr="00562A7E">
        <w:rPr>
          <w:rFonts w:ascii="Times New Roman" w:eastAsia="Times New Roman" w:hAnsi="Times New Roman" w:cs="Times New Roman"/>
          <w:sz w:val="24"/>
          <w:szCs w:val="24"/>
          <w:lang w:eastAsia="en-GB"/>
        </w:rPr>
        <w:t xml:space="preserve"> and </w:t>
      </w:r>
      <w:r w:rsidRPr="00562A7E">
        <w:rPr>
          <w:rFonts w:ascii="Times New Roman" w:eastAsia="Times New Roman" w:hAnsi="Times New Roman" w:cs="Times New Roman"/>
          <w:i/>
          <w:iCs/>
          <w:sz w:val="24"/>
          <w:szCs w:val="24"/>
          <w:lang w:eastAsia="en-GB"/>
        </w:rPr>
        <w:t>C. punctatus</w:t>
      </w:r>
      <w:r w:rsidRPr="00562A7E">
        <w:rPr>
          <w:rFonts w:ascii="Times New Roman" w:eastAsia="Times New Roman" w:hAnsi="Times New Roman" w:cs="Times New Roman"/>
          <w:sz w:val="24"/>
          <w:szCs w:val="24"/>
          <w:lang w:eastAsia="en-GB"/>
        </w:rPr>
        <w:t>, and the authors interpreted these ruminant-associated species as likely involved in BTV-3 transmission (</w:t>
      </w:r>
      <w:proofErr w:type="spellStart"/>
      <w:r w:rsidRPr="00562A7E">
        <w:rPr>
          <w:rFonts w:ascii="Times New Roman" w:eastAsia="Times New Roman" w:hAnsi="Times New Roman" w:cs="Times New Roman"/>
          <w:sz w:val="24"/>
          <w:szCs w:val="24"/>
          <w:lang w:eastAsia="en-GB"/>
        </w:rPr>
        <w:t>Uiterwijk</w:t>
      </w:r>
      <w:proofErr w:type="spellEnd"/>
      <w:r w:rsidRPr="00562A7E">
        <w:rPr>
          <w:rFonts w:ascii="Times New Roman" w:eastAsia="Times New Roman" w:hAnsi="Times New Roman" w:cs="Times New Roman"/>
          <w:sz w:val="24"/>
          <w:szCs w:val="24"/>
          <w:lang w:eastAsia="en-GB"/>
        </w:rPr>
        <w:t xml:space="preserve"> et al., 2026). This evidence does not eliminate the need for experimental transmission studies, but it does show that multiple common temperate species were exposed during the epidemic and may have contributed to spread. Operationally, this argues against surveillance focused too narrowly on a single vector species.</w:t>
      </w:r>
    </w:p>
    <w:p w14:paraId="33530EE1" w14:textId="77777777" w:rsidR="00562A7E" w:rsidRPr="00562A7E" w:rsidRDefault="00562A7E" w:rsidP="00562A7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4.2 Climatic, landscape and farm-level determinants</w:t>
      </w:r>
    </w:p>
    <w:p w14:paraId="146EA82E"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lastRenderedPageBreak/>
        <w:t>Temperature influences BTV transmission by affecting midge survival, biting frequency, development rate and the extrinsic incubation period of the virus (Brand &amp; Keeling, 2017; Purse et al., 2005). Warmer conditions can increase transmission potential when they accelerate viral replication and midge activity, although extreme heat or drought may reduce vector survival or larval habitat suitability (</w:t>
      </w:r>
      <w:proofErr w:type="spellStart"/>
      <w:r w:rsidRPr="00562A7E">
        <w:rPr>
          <w:rFonts w:ascii="Times New Roman" w:eastAsia="Times New Roman" w:hAnsi="Times New Roman" w:cs="Times New Roman"/>
          <w:sz w:val="24"/>
          <w:szCs w:val="24"/>
          <w:lang w:eastAsia="en-GB"/>
        </w:rPr>
        <w:t>Guis</w:t>
      </w:r>
      <w:proofErr w:type="spellEnd"/>
      <w:r w:rsidRPr="00562A7E">
        <w:rPr>
          <w:rFonts w:ascii="Times New Roman" w:eastAsia="Times New Roman" w:hAnsi="Times New Roman" w:cs="Times New Roman"/>
          <w:sz w:val="24"/>
          <w:szCs w:val="24"/>
          <w:lang w:eastAsia="en-GB"/>
        </w:rPr>
        <w:t xml:space="preserve"> et al., 2012; Purse et al., 2015). This non-linear relationship explains why risk cannot be inferred from average temperature alone. Seasonal windows of suitability, humidity, soil moisture, organic substrates and host availability all influence whether transmission becomes sustained.</w:t>
      </w:r>
    </w:p>
    <w:p w14:paraId="7436A966"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Climate change has increased concern that bluetongue risk will extend into higher latitudes and longer seasonal windows. Modelling studies have projected changes in global and European suitability, including northward shifts and lengthening transmission periods under future climate scenarios (Jones et al., 2019; Samy &amp; Peterson, 2016). These projections should not be read as deterministic outbreak maps. Viral introduction, livestock density, vector communities and control measures remain decisive. They do, however, support earlier seasonal preparedness, especially where winter no longer reliably interrupts vector activity or where spring vector emergence overlaps with unvaccinated susceptible sheep populations.</w:t>
      </w:r>
    </w:p>
    <w:p w14:paraId="700DB333"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Landscape structure shapes vector breeding sites, adult midge dispersal, host-vector contact and farm connectivity. Local-scale modelling has shown that </w:t>
      </w:r>
      <w:r w:rsidRPr="00562A7E">
        <w:rPr>
          <w:rFonts w:ascii="Times New Roman" w:eastAsia="Times New Roman" w:hAnsi="Times New Roman" w:cs="Times New Roman"/>
          <w:i/>
          <w:iCs/>
          <w:sz w:val="24"/>
          <w:szCs w:val="24"/>
          <w:lang w:eastAsia="en-GB"/>
        </w:rPr>
        <w:t>Culicoides</w:t>
      </w:r>
      <w:r w:rsidRPr="00562A7E">
        <w:rPr>
          <w:rFonts w:ascii="Times New Roman" w:eastAsia="Times New Roman" w:hAnsi="Times New Roman" w:cs="Times New Roman"/>
          <w:sz w:val="24"/>
          <w:szCs w:val="24"/>
          <w:lang w:eastAsia="en-GB"/>
        </w:rPr>
        <w:t xml:space="preserve"> distribution can vary substantially with environmental features such as livestock density, vegetation, hydrology and land cover (</w:t>
      </w:r>
      <w:proofErr w:type="spellStart"/>
      <w:r w:rsidRPr="00562A7E">
        <w:rPr>
          <w:rFonts w:ascii="Times New Roman" w:eastAsia="Times New Roman" w:hAnsi="Times New Roman" w:cs="Times New Roman"/>
          <w:sz w:val="24"/>
          <w:szCs w:val="24"/>
          <w:lang w:eastAsia="en-GB"/>
        </w:rPr>
        <w:t>Kluiters</w:t>
      </w:r>
      <w:proofErr w:type="spellEnd"/>
      <w:r w:rsidRPr="00562A7E">
        <w:rPr>
          <w:rFonts w:ascii="Times New Roman" w:eastAsia="Times New Roman" w:hAnsi="Times New Roman" w:cs="Times New Roman"/>
          <w:sz w:val="24"/>
          <w:szCs w:val="24"/>
          <w:lang w:eastAsia="en-GB"/>
        </w:rPr>
        <w:t xml:space="preserve"> et al., 2013). Phylogeographic and spatial analyses indicate that bluetongue spread in Europe is influenced by climatic, landscape and vertebrate host factors, with environmental heterogeneity contributing to variation in epidemic velocity (Jacquot et al., 2017; Nicolas et al., 2018). Farm practices such as housing, manure management, shearing, grazing location and proximity to cattle or wet habitats may therefore alter risk, although the direction and size of these effects vary by region and vector species.</w:t>
      </w:r>
    </w:p>
    <w:p w14:paraId="58A0A330"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Recent BTV-3 serological evidence suggests that management factors can influence infection risk in sheep flocks. In Dutch sheep after the first epidemic year, indoor housing was associated with lower seroprevalence, while summer shearing was associated with higher within-farm prevalence among positive farms (Santman-Berends et al., 2026). These associations should be interpreted cautiously because observational data cannot fully separate behaviour, farm type, vector exposure and reporting patterns. Still, they are biologically plausible and useful for risk communication, particularly where vaccination cannot be completed before peak vector activity.</w:t>
      </w:r>
    </w:p>
    <w:p w14:paraId="25A1456D" w14:textId="77777777" w:rsidR="00562A7E" w:rsidRPr="00562A7E" w:rsidRDefault="00562A7E" w:rsidP="00562A7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4.3 Between-farm spread, animal movement and overwintering</w:t>
      </w:r>
    </w:p>
    <w:p w14:paraId="36F12A09"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Between-farm spread reflects the combined effects of vector dispersal, host movement and local amplification. Modelling studies show that both animal movements and vector movements can contribute to livestock vector-borne disease transmission, with their relative importance shaped by movement restrictions, farm density, vector abundance and landscape configuration (Sumner et al., 2017; Turner et al., 2012). Animal transport can move viraemic hosts beyond the usual flight range of midges, while wind-assisted dispersal or cumulative short-range vector movement can connect farms across wider areas (</w:t>
      </w:r>
      <w:proofErr w:type="spellStart"/>
      <w:r w:rsidRPr="00562A7E">
        <w:rPr>
          <w:rFonts w:ascii="Times New Roman" w:eastAsia="Times New Roman" w:hAnsi="Times New Roman" w:cs="Times New Roman"/>
          <w:sz w:val="24"/>
          <w:szCs w:val="24"/>
          <w:lang w:eastAsia="en-GB"/>
        </w:rPr>
        <w:t>Mignotte</w:t>
      </w:r>
      <w:proofErr w:type="spellEnd"/>
      <w:r w:rsidRPr="00562A7E">
        <w:rPr>
          <w:rFonts w:ascii="Times New Roman" w:eastAsia="Times New Roman" w:hAnsi="Times New Roman" w:cs="Times New Roman"/>
          <w:sz w:val="24"/>
          <w:szCs w:val="24"/>
          <w:lang w:eastAsia="en-GB"/>
        </w:rPr>
        <w:t xml:space="preserve"> et al., 2021; Turner et al., 2012).</w:t>
      </w:r>
    </w:p>
    <w:p w14:paraId="5CE66107"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The 2023 BTV-3 epidemic in the Netherlands provides a clear contemporary example. Spatial analysis suggested transmission over distances of several tens of kilometres and </w:t>
      </w:r>
      <w:r w:rsidRPr="00562A7E">
        <w:rPr>
          <w:rFonts w:ascii="Times New Roman" w:eastAsia="Times New Roman" w:hAnsi="Times New Roman" w:cs="Times New Roman"/>
          <w:sz w:val="24"/>
          <w:szCs w:val="24"/>
          <w:lang w:eastAsia="en-GB"/>
        </w:rPr>
        <w:lastRenderedPageBreak/>
        <w:t>indicated that both midge dispersal and animal movement were plausible contributors to the epidemic pattern (Boender et al., 2024). This matters for policy. Movement restrictions alone may be insufficient once vector-borne spread is widespread, but vector-focused measures alone may also be insufficient if viraemic animals move during the early phase of an epidemic. Effective control requires movement regulation, diagnostic testing, vaccination and communication to be synchronised with the seasonal vector window.</w:t>
      </w:r>
    </w:p>
    <w:p w14:paraId="0D252782"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Overwintering remains one of the more difficult questions in temperate bluetongue epidemiology. BTV may persist between vector seasons through mechanisms that include prolonged host viraemia, low-level vector activity during mild periods, infection of long-lived adult midges, or reintroduction in the following season (EFSA AHAW Panel, 2017; MacLachlan &amp; Guthrie, 2010). Distinguishing overwintering from reintroduction requires genomic comparison, temporal sampling and surveillance continuity across winter. For sheep health, winter should therefore be treated as a preparedness period rather than a pause in epidemiological relevance.</w:t>
      </w:r>
    </w:p>
    <w:p w14:paraId="65695129"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Table 2 links major transmission drivers to practical control points. Its central message is that no single intervention addresses all drivers. Vaccination protects animals from disease, movement controls reduce long-distance host-mediated spread, housing may reduce exposure under some conditions, and vector surveillance improves timing. Each measure is partial unless connected to the others.</w:t>
      </w:r>
    </w:p>
    <w:p w14:paraId="145B6ECF"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b/>
          <w:bCs/>
          <w:sz w:val="24"/>
          <w:szCs w:val="24"/>
          <w:lang w:eastAsia="en-GB"/>
        </w:rPr>
        <w:t>Table 2. Transmission drivers and control leverage points in bluetongue virus epidemics affecting sheep</w:t>
      </w:r>
    </w:p>
    <w:tbl>
      <w:tblPr>
        <w:tblStyle w:val="TableGrid"/>
        <w:tblW w:w="0" w:type="auto"/>
        <w:tblLook w:val="04A0" w:firstRow="1" w:lastRow="0" w:firstColumn="1" w:lastColumn="0" w:noHBand="0" w:noVBand="1"/>
      </w:tblPr>
      <w:tblGrid>
        <w:gridCol w:w="1982"/>
        <w:gridCol w:w="3725"/>
        <w:gridCol w:w="3535"/>
      </w:tblGrid>
      <w:tr w:rsidR="00562A7E" w:rsidRPr="00562A7E" w14:paraId="0C926551" w14:textId="77777777" w:rsidTr="00B622C8">
        <w:tc>
          <w:tcPr>
            <w:tcW w:w="0" w:type="auto"/>
            <w:hideMark/>
          </w:tcPr>
          <w:p w14:paraId="12B6B7AB" w14:textId="77777777" w:rsidR="00562A7E" w:rsidRPr="00562A7E" w:rsidRDefault="00562A7E" w:rsidP="00562A7E">
            <w:pPr>
              <w:jc w:val="center"/>
              <w:rPr>
                <w:rFonts w:ascii="Times New Roman" w:eastAsia="Times New Roman" w:hAnsi="Times New Roman" w:cs="Times New Roman"/>
                <w:b/>
                <w:bCs/>
                <w:sz w:val="24"/>
                <w:szCs w:val="24"/>
                <w:lang w:eastAsia="en-GB"/>
              </w:rPr>
            </w:pPr>
            <w:r w:rsidRPr="00562A7E">
              <w:rPr>
                <w:rFonts w:ascii="Times New Roman" w:eastAsia="Times New Roman" w:hAnsi="Times New Roman" w:cs="Times New Roman"/>
                <w:b/>
                <w:bCs/>
                <w:sz w:val="24"/>
                <w:szCs w:val="24"/>
                <w:lang w:eastAsia="en-GB"/>
              </w:rPr>
              <w:t>Transmission driver</w:t>
            </w:r>
          </w:p>
        </w:tc>
        <w:tc>
          <w:tcPr>
            <w:tcW w:w="0" w:type="auto"/>
            <w:hideMark/>
          </w:tcPr>
          <w:p w14:paraId="06B0E501" w14:textId="77777777" w:rsidR="00562A7E" w:rsidRPr="00562A7E" w:rsidRDefault="00562A7E" w:rsidP="00562A7E">
            <w:pPr>
              <w:jc w:val="center"/>
              <w:rPr>
                <w:rFonts w:ascii="Times New Roman" w:eastAsia="Times New Roman" w:hAnsi="Times New Roman" w:cs="Times New Roman"/>
                <w:b/>
                <w:bCs/>
                <w:sz w:val="24"/>
                <w:szCs w:val="24"/>
                <w:lang w:eastAsia="en-GB"/>
              </w:rPr>
            </w:pPr>
            <w:r w:rsidRPr="00562A7E">
              <w:rPr>
                <w:rFonts w:ascii="Times New Roman" w:eastAsia="Times New Roman" w:hAnsi="Times New Roman" w:cs="Times New Roman"/>
                <w:b/>
                <w:bCs/>
                <w:sz w:val="24"/>
                <w:szCs w:val="24"/>
                <w:lang w:eastAsia="en-GB"/>
              </w:rPr>
              <w:t>Technical interpretation</w:t>
            </w:r>
          </w:p>
        </w:tc>
        <w:tc>
          <w:tcPr>
            <w:tcW w:w="0" w:type="auto"/>
            <w:hideMark/>
          </w:tcPr>
          <w:p w14:paraId="4B4E0E96" w14:textId="77777777" w:rsidR="00562A7E" w:rsidRPr="00562A7E" w:rsidRDefault="00562A7E" w:rsidP="00562A7E">
            <w:pPr>
              <w:jc w:val="center"/>
              <w:rPr>
                <w:rFonts w:ascii="Times New Roman" w:eastAsia="Times New Roman" w:hAnsi="Times New Roman" w:cs="Times New Roman"/>
                <w:b/>
                <w:bCs/>
                <w:sz w:val="24"/>
                <w:szCs w:val="24"/>
                <w:lang w:eastAsia="en-GB"/>
              </w:rPr>
            </w:pPr>
            <w:r w:rsidRPr="00562A7E">
              <w:rPr>
                <w:rFonts w:ascii="Times New Roman" w:eastAsia="Times New Roman" w:hAnsi="Times New Roman" w:cs="Times New Roman"/>
                <w:b/>
                <w:bCs/>
                <w:sz w:val="24"/>
                <w:szCs w:val="24"/>
                <w:lang w:eastAsia="en-GB"/>
              </w:rPr>
              <w:t>Control leverage point</w:t>
            </w:r>
          </w:p>
        </w:tc>
      </w:tr>
      <w:tr w:rsidR="00562A7E" w:rsidRPr="00562A7E" w14:paraId="7DACF371" w14:textId="77777777" w:rsidTr="00B622C8">
        <w:tc>
          <w:tcPr>
            <w:tcW w:w="0" w:type="auto"/>
            <w:hideMark/>
          </w:tcPr>
          <w:p w14:paraId="67457937"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Vector competence</w:t>
            </w:r>
          </w:p>
        </w:tc>
        <w:tc>
          <w:tcPr>
            <w:tcW w:w="0" w:type="auto"/>
            <w:hideMark/>
          </w:tcPr>
          <w:p w14:paraId="6F4813EF"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Local </w:t>
            </w:r>
            <w:r w:rsidRPr="00562A7E">
              <w:rPr>
                <w:rFonts w:ascii="Times New Roman" w:eastAsia="Times New Roman" w:hAnsi="Times New Roman" w:cs="Times New Roman"/>
                <w:i/>
                <w:iCs/>
                <w:sz w:val="24"/>
                <w:szCs w:val="24"/>
                <w:lang w:eastAsia="en-GB"/>
              </w:rPr>
              <w:t>Culicoides</w:t>
            </w:r>
            <w:r w:rsidRPr="00562A7E">
              <w:rPr>
                <w:rFonts w:ascii="Times New Roman" w:eastAsia="Times New Roman" w:hAnsi="Times New Roman" w:cs="Times New Roman"/>
                <w:sz w:val="24"/>
                <w:szCs w:val="24"/>
                <w:lang w:eastAsia="en-GB"/>
              </w:rPr>
              <w:t xml:space="preserve"> species differ in their capacity to acquire, replicate and transmit BTV; RNA detection alone is not equivalent to proven competence.</w:t>
            </w:r>
          </w:p>
        </w:tc>
        <w:tc>
          <w:tcPr>
            <w:tcW w:w="0" w:type="auto"/>
            <w:hideMark/>
          </w:tcPr>
          <w:p w14:paraId="3B31B9AD"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Combine field trapping, parity assessment, molecular testing and laboratory competence studies for locally relevant risk assessment.</w:t>
            </w:r>
          </w:p>
        </w:tc>
      </w:tr>
      <w:tr w:rsidR="00562A7E" w:rsidRPr="00562A7E" w14:paraId="48B7EEAB" w14:textId="77777777" w:rsidTr="00B622C8">
        <w:tc>
          <w:tcPr>
            <w:tcW w:w="0" w:type="auto"/>
            <w:hideMark/>
          </w:tcPr>
          <w:p w14:paraId="6F042ED5"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Temperature and seasonality</w:t>
            </w:r>
          </w:p>
        </w:tc>
        <w:tc>
          <w:tcPr>
            <w:tcW w:w="0" w:type="auto"/>
            <w:hideMark/>
          </w:tcPr>
          <w:p w14:paraId="0E859A17"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Temperature influences midge activity, survival and viral incubation, creating seasonal transmission windows that may lengthen under climate change.</w:t>
            </w:r>
          </w:p>
        </w:tc>
        <w:tc>
          <w:tcPr>
            <w:tcW w:w="0" w:type="auto"/>
            <w:hideMark/>
          </w:tcPr>
          <w:p w14:paraId="36752FCF"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Time vaccination, movement regulation and enhanced surveillance before seasonal vector amplification.</w:t>
            </w:r>
          </w:p>
        </w:tc>
      </w:tr>
      <w:tr w:rsidR="00562A7E" w:rsidRPr="00562A7E" w14:paraId="0CDD1343" w14:textId="77777777" w:rsidTr="00B622C8">
        <w:tc>
          <w:tcPr>
            <w:tcW w:w="0" w:type="auto"/>
            <w:hideMark/>
          </w:tcPr>
          <w:p w14:paraId="534BE120"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Landscape and host density</w:t>
            </w:r>
          </w:p>
        </w:tc>
        <w:tc>
          <w:tcPr>
            <w:tcW w:w="0" w:type="auto"/>
            <w:hideMark/>
          </w:tcPr>
          <w:p w14:paraId="21085BA6"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Land cover, hydrology, livestock density and farm proximity shape vector abundance and host-vector contact.</w:t>
            </w:r>
          </w:p>
        </w:tc>
        <w:tc>
          <w:tcPr>
            <w:tcW w:w="0" w:type="auto"/>
            <w:hideMark/>
          </w:tcPr>
          <w:p w14:paraId="58B0ACAB"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Use spatial risk mapping to prioritise vaccination, sentinel surveillance and farmer communication.</w:t>
            </w:r>
          </w:p>
        </w:tc>
      </w:tr>
      <w:tr w:rsidR="00562A7E" w:rsidRPr="00562A7E" w14:paraId="711807CF" w14:textId="77777777" w:rsidTr="00B622C8">
        <w:tc>
          <w:tcPr>
            <w:tcW w:w="0" w:type="auto"/>
            <w:hideMark/>
          </w:tcPr>
          <w:p w14:paraId="18389D7A"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Animal movement and vector dispersal</w:t>
            </w:r>
          </w:p>
        </w:tc>
        <w:tc>
          <w:tcPr>
            <w:tcW w:w="0" w:type="auto"/>
            <w:hideMark/>
          </w:tcPr>
          <w:p w14:paraId="4EFE0445"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Viraemic livestock can move virus over long distances, while midges support local and regional spread.</w:t>
            </w:r>
          </w:p>
        </w:tc>
        <w:tc>
          <w:tcPr>
            <w:tcW w:w="0" w:type="auto"/>
            <w:hideMark/>
          </w:tcPr>
          <w:p w14:paraId="01F6B8B1"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Coordinate movement controls with diagnostic testing, vector surveillance and rapid genomic confirmation.</w:t>
            </w:r>
          </w:p>
        </w:tc>
      </w:tr>
      <w:tr w:rsidR="00562A7E" w:rsidRPr="00562A7E" w14:paraId="3562FB85" w14:textId="77777777" w:rsidTr="00B622C8">
        <w:tc>
          <w:tcPr>
            <w:tcW w:w="0" w:type="auto"/>
            <w:hideMark/>
          </w:tcPr>
          <w:p w14:paraId="41F0822B"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Farm microhabitats and management</w:t>
            </w:r>
          </w:p>
        </w:tc>
        <w:tc>
          <w:tcPr>
            <w:tcW w:w="0" w:type="auto"/>
            <w:hideMark/>
          </w:tcPr>
          <w:p w14:paraId="42BE80AA"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Housing, manure, grazing location, shearing and mixed-species contact may alter exposure.</w:t>
            </w:r>
          </w:p>
        </w:tc>
        <w:tc>
          <w:tcPr>
            <w:tcW w:w="0" w:type="auto"/>
            <w:hideMark/>
          </w:tcPr>
          <w:p w14:paraId="215AD9D1"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Develop flock-specific mitigation plans that complement vaccination without overstating insecticide or housing effects.</w:t>
            </w:r>
          </w:p>
        </w:tc>
      </w:tr>
    </w:tbl>
    <w:p w14:paraId="3157F9EE"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lastRenderedPageBreak/>
        <w:t xml:space="preserve">Sources: Boender et al. (2024); Brand and Keeling (2017); Carpenter et al. (2015); Jones et al. (2019); </w:t>
      </w:r>
      <w:proofErr w:type="spellStart"/>
      <w:r w:rsidRPr="00562A7E">
        <w:rPr>
          <w:rFonts w:ascii="Times New Roman" w:eastAsia="Times New Roman" w:hAnsi="Times New Roman" w:cs="Times New Roman"/>
          <w:sz w:val="24"/>
          <w:szCs w:val="24"/>
          <w:lang w:eastAsia="en-GB"/>
        </w:rPr>
        <w:t>Kluiters</w:t>
      </w:r>
      <w:proofErr w:type="spellEnd"/>
      <w:r w:rsidRPr="00562A7E">
        <w:rPr>
          <w:rFonts w:ascii="Times New Roman" w:eastAsia="Times New Roman" w:hAnsi="Times New Roman" w:cs="Times New Roman"/>
          <w:sz w:val="24"/>
          <w:szCs w:val="24"/>
          <w:lang w:eastAsia="en-GB"/>
        </w:rPr>
        <w:t xml:space="preserve"> et al. (2013); </w:t>
      </w:r>
      <w:proofErr w:type="spellStart"/>
      <w:r w:rsidRPr="00562A7E">
        <w:rPr>
          <w:rFonts w:ascii="Times New Roman" w:eastAsia="Times New Roman" w:hAnsi="Times New Roman" w:cs="Times New Roman"/>
          <w:sz w:val="24"/>
          <w:szCs w:val="24"/>
          <w:lang w:eastAsia="en-GB"/>
        </w:rPr>
        <w:t>Mignotte</w:t>
      </w:r>
      <w:proofErr w:type="spellEnd"/>
      <w:r w:rsidRPr="00562A7E">
        <w:rPr>
          <w:rFonts w:ascii="Times New Roman" w:eastAsia="Times New Roman" w:hAnsi="Times New Roman" w:cs="Times New Roman"/>
          <w:sz w:val="24"/>
          <w:szCs w:val="24"/>
          <w:lang w:eastAsia="en-GB"/>
        </w:rPr>
        <w:t xml:space="preserve"> et al. (2021); </w:t>
      </w:r>
      <w:proofErr w:type="spellStart"/>
      <w:r w:rsidRPr="00562A7E">
        <w:rPr>
          <w:rFonts w:ascii="Times New Roman" w:eastAsia="Times New Roman" w:hAnsi="Times New Roman" w:cs="Times New Roman"/>
          <w:sz w:val="24"/>
          <w:szCs w:val="24"/>
          <w:lang w:eastAsia="en-GB"/>
        </w:rPr>
        <w:t>Paslaru</w:t>
      </w:r>
      <w:proofErr w:type="spellEnd"/>
      <w:r w:rsidRPr="00562A7E">
        <w:rPr>
          <w:rFonts w:ascii="Times New Roman" w:eastAsia="Times New Roman" w:hAnsi="Times New Roman" w:cs="Times New Roman"/>
          <w:sz w:val="24"/>
          <w:szCs w:val="24"/>
          <w:lang w:eastAsia="en-GB"/>
        </w:rPr>
        <w:t xml:space="preserve"> et al. (2018); Purse et al. (2015); Santman-Berends et al. (2026); Sumner et al. (2017); Turner et al. (2012); </w:t>
      </w:r>
      <w:proofErr w:type="spellStart"/>
      <w:r w:rsidRPr="00562A7E">
        <w:rPr>
          <w:rFonts w:ascii="Times New Roman" w:eastAsia="Times New Roman" w:hAnsi="Times New Roman" w:cs="Times New Roman"/>
          <w:sz w:val="24"/>
          <w:szCs w:val="24"/>
          <w:lang w:eastAsia="en-GB"/>
        </w:rPr>
        <w:t>Uiterwijk</w:t>
      </w:r>
      <w:proofErr w:type="spellEnd"/>
      <w:r w:rsidRPr="00562A7E">
        <w:rPr>
          <w:rFonts w:ascii="Times New Roman" w:eastAsia="Times New Roman" w:hAnsi="Times New Roman" w:cs="Times New Roman"/>
          <w:sz w:val="24"/>
          <w:szCs w:val="24"/>
          <w:lang w:eastAsia="en-GB"/>
        </w:rPr>
        <w:t xml:space="preserve"> et al. (2026).</w:t>
      </w:r>
    </w:p>
    <w:p w14:paraId="171BE66C" w14:textId="77777777" w:rsidR="00562A7E" w:rsidRPr="00562A7E" w:rsidRDefault="00562A7E" w:rsidP="00562A7E">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562A7E">
        <w:rPr>
          <w:rFonts w:ascii="Times New Roman" w:eastAsia="Times New Roman" w:hAnsi="Times New Roman" w:cs="Times New Roman"/>
          <w:b/>
          <w:bCs/>
          <w:sz w:val="36"/>
          <w:szCs w:val="36"/>
          <w:lang w:eastAsia="en-GB"/>
        </w:rPr>
        <w:t>5. Genomic and Diagnostic Surveillance</w:t>
      </w:r>
    </w:p>
    <w:p w14:paraId="2463713D" w14:textId="77777777" w:rsidR="00562A7E" w:rsidRPr="00562A7E" w:rsidRDefault="00562A7E" w:rsidP="00562A7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5.1 Clinical recognition, serology and molecular detection</w:t>
      </w:r>
    </w:p>
    <w:p w14:paraId="15FBE6E3"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Clinical surveillance in sheep is indispensable, but it is not sufficient. Bluetongue signs overlap with several infectious, toxic, traumatic and nutritional conditions, and early cases may be missed when signs are mild, atypical or attributed to foot disease, respiratory disease or heat stress (MacLachlan et al., 2009; van den Brink et al., 2024). A severe outbreak in sheep may also be a late signal in a transmission process that already involves cattle, goats or vectors. Clinical suspicion should therefore trigger laboratory confirmation, but absence of reported clinical disease should not be equated with absence of transmission.</w:t>
      </w:r>
    </w:p>
    <w:p w14:paraId="7BD54F01"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Reverse transcription PCR is central to early confirmation because it can detect viral RNA in blood or tissue before seroconversion or in animals with non-specific signs. Serotype-specific real-time RT-PCR assays have been developed for several serotypes, and broader group-specific molecular assays are widely used in diagnostic pathways (Hoffmann et al., 2009; </w:t>
      </w:r>
      <w:proofErr w:type="spellStart"/>
      <w:r w:rsidRPr="00562A7E">
        <w:rPr>
          <w:rFonts w:ascii="Times New Roman" w:eastAsia="Times New Roman" w:hAnsi="Times New Roman" w:cs="Times New Roman"/>
          <w:sz w:val="24"/>
          <w:szCs w:val="24"/>
          <w:lang w:eastAsia="en-GB"/>
        </w:rPr>
        <w:t>Saminathan</w:t>
      </w:r>
      <w:proofErr w:type="spellEnd"/>
      <w:r w:rsidRPr="00562A7E">
        <w:rPr>
          <w:rFonts w:ascii="Times New Roman" w:eastAsia="Times New Roman" w:hAnsi="Times New Roman" w:cs="Times New Roman"/>
          <w:sz w:val="24"/>
          <w:szCs w:val="24"/>
          <w:lang w:eastAsia="en-GB"/>
        </w:rPr>
        <w:t xml:space="preserve"> et al., 2020). Serology, including competitive enzyme-linked immunosorbent assays directed at conserved BTV antigens, is valuable for demonstrating exposure and estimating population-level seroprevalence, although it cannot by itself identify the infecting serotype without additional neutralisation or molecular data (EFSA AHAW Panel, 2017; </w:t>
      </w:r>
      <w:proofErr w:type="spellStart"/>
      <w:r w:rsidRPr="00562A7E">
        <w:rPr>
          <w:rFonts w:ascii="Times New Roman" w:eastAsia="Times New Roman" w:hAnsi="Times New Roman" w:cs="Times New Roman"/>
          <w:sz w:val="24"/>
          <w:szCs w:val="24"/>
          <w:lang w:eastAsia="en-GB"/>
        </w:rPr>
        <w:t>Saminathan</w:t>
      </w:r>
      <w:proofErr w:type="spellEnd"/>
      <w:r w:rsidRPr="00562A7E">
        <w:rPr>
          <w:rFonts w:ascii="Times New Roman" w:eastAsia="Times New Roman" w:hAnsi="Times New Roman" w:cs="Times New Roman"/>
          <w:sz w:val="24"/>
          <w:szCs w:val="24"/>
          <w:lang w:eastAsia="en-GB"/>
        </w:rPr>
        <w:t xml:space="preserve"> et al., 2020).</w:t>
      </w:r>
    </w:p>
    <w:p w14:paraId="4144D093"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The Dutch BTV-3 response illustrates how diagnostic layers work together. Initial clinical suspicion in sheep was followed by laboratory confirmation and whole-genome sequencing, while subsequent serological surveys quantified between-farm and within-farm exposure after the first epidemic year (Holwerda et al., 2024; Santman-Berends et al., 2026). Such combined use of clinical reporting, PCR, sequencing and serology is more informative than any single method. PCR identifies active or recent infection, serology reveals cumulative exposure, sequencing clarifies viral identity and relatedness, and mortality monitoring measures real-world impact.</w:t>
      </w:r>
    </w:p>
    <w:p w14:paraId="080270F2" w14:textId="77777777" w:rsidR="00562A7E" w:rsidRPr="00562A7E" w:rsidRDefault="00562A7E" w:rsidP="00562A7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5.2 Whole-genome sequencing, reassortment and phylogeography</w:t>
      </w:r>
    </w:p>
    <w:p w14:paraId="60B3A9B6"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Whole-genome sequencing has become a defining tool of modern bluetongue surveillance. Because BTV has ten genome segments, sequencing all segments can identify reassortment, distinguish closely related strains and support inference about incursion routes (</w:t>
      </w:r>
      <w:proofErr w:type="spellStart"/>
      <w:r w:rsidRPr="00562A7E">
        <w:rPr>
          <w:rFonts w:ascii="Times New Roman" w:eastAsia="Times New Roman" w:hAnsi="Times New Roman" w:cs="Times New Roman"/>
          <w:sz w:val="24"/>
          <w:szCs w:val="24"/>
          <w:lang w:eastAsia="en-GB"/>
        </w:rPr>
        <w:t>Alkhamis</w:t>
      </w:r>
      <w:proofErr w:type="spellEnd"/>
      <w:r w:rsidRPr="00562A7E">
        <w:rPr>
          <w:rFonts w:ascii="Times New Roman" w:eastAsia="Times New Roman" w:hAnsi="Times New Roman" w:cs="Times New Roman"/>
          <w:sz w:val="24"/>
          <w:szCs w:val="24"/>
          <w:lang w:eastAsia="en-GB"/>
        </w:rPr>
        <w:t xml:space="preserve"> et al., 2020; Sanders et al., 2022). In the BTV-3 emergence in the Netherlands, whole-genome sequencing confirmed the serotype and supported assessment of relatedness to other BTV-3 strains, while retrospective testing did not reveal earlier circulation (Holwerda et al., 2024). In the later BTV-12 detection, genome comparison suggested high similarity to Middle Eastern viruses, even though the introduction route remained unknown (van den Brom et al., 2025).</w:t>
      </w:r>
    </w:p>
    <w:p w14:paraId="678294FD"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lastRenderedPageBreak/>
        <w:t>Phylogeographic approaches connect viral genetic data with spatial and environmental information. Analyses of BTV spread in Europe have shown that climatic, landscape and host factors can leave signatures in viral movement patterns (Jacquot et al., 2017). Global evolutionary analyses likewise indicate that BTV emergence reflects complex interactions among viral diversity, host distribution and transboundary movement rather than simple linear spread from a single source region (</w:t>
      </w:r>
      <w:proofErr w:type="spellStart"/>
      <w:r w:rsidRPr="00562A7E">
        <w:rPr>
          <w:rFonts w:ascii="Times New Roman" w:eastAsia="Times New Roman" w:hAnsi="Times New Roman" w:cs="Times New Roman"/>
          <w:sz w:val="24"/>
          <w:szCs w:val="24"/>
          <w:lang w:eastAsia="en-GB"/>
        </w:rPr>
        <w:t>Alkhamis</w:t>
      </w:r>
      <w:proofErr w:type="spellEnd"/>
      <w:r w:rsidRPr="00562A7E">
        <w:rPr>
          <w:rFonts w:ascii="Times New Roman" w:eastAsia="Times New Roman" w:hAnsi="Times New Roman" w:cs="Times New Roman"/>
          <w:sz w:val="24"/>
          <w:szCs w:val="24"/>
          <w:lang w:eastAsia="en-GB"/>
        </w:rPr>
        <w:t xml:space="preserve"> et al., 2020). For sheep control, the value of these methods lies in their ability to distinguish local persistence from repeated introduction, evaluate whether outbreaks in separate regions are linked, and assess whether vaccine policy should anticipate a single dominant strain or multiple co-circulating lineages.</w:t>
      </w:r>
    </w:p>
    <w:p w14:paraId="179AA101"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The limitations are equally important. Genomic surveillance is only as reliable as its sampling frame. Sequencing biased towards severe sheep cases may overrepresent clinically dramatic lineages, while sequencing biased towards cattle surveillance may miss strains that cause disproportionate sheep morbidity. Sparse vector sampling limits inference about vector-associated selection or reassortment. Delayed sequence sharing, incomplete metadata and inconsistent segment coverage reduce comparability across countries. A robust genomic system for bluetongue should therefore include representative host species, vectors, temporal sampling across seasons, metadata on vaccination and animal movements, and standardised reporting of genome segments.</w:t>
      </w:r>
    </w:p>
    <w:p w14:paraId="221F56D7" w14:textId="77777777" w:rsidR="00562A7E" w:rsidRPr="00562A7E" w:rsidRDefault="00562A7E" w:rsidP="00562A7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5.3 Integrated surveillance architecture for sheep systems</w:t>
      </w:r>
    </w:p>
    <w:p w14:paraId="275347C7"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An effective surveillance architecture for bluetongue in sheep should combine passive clinical reporting, targeted active surveillance, sentinel animals, mortality monitoring, vector trapping, serology and sequencing. Routine livestock data can reveal abnormal mortality or production patterns, as demonstrated by the use of routinely collected cattle census information for health surveillance in the Netherlands (Santman-Berends et al., 2016). Similar approaches are valuable for sheep, particularly when clinical notifications undercount affected flocks or diagnostic access varies regionally. During the BTV-3 epidemic, excess mortality analysis provided a population-level measure of impact that could not be captured by confirmed case counts alone (Santman-Berends et al., 2024).</w:t>
      </w:r>
    </w:p>
    <w:p w14:paraId="40F576AF"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Vector surveillance adds a different type of information. Midge trapping can identify seasonal activity, species composition, parity status and viral RNA detection in field populations (</w:t>
      </w:r>
      <w:proofErr w:type="spellStart"/>
      <w:r w:rsidRPr="00562A7E">
        <w:rPr>
          <w:rFonts w:ascii="Times New Roman" w:eastAsia="Times New Roman" w:hAnsi="Times New Roman" w:cs="Times New Roman"/>
          <w:sz w:val="24"/>
          <w:szCs w:val="24"/>
          <w:lang w:eastAsia="en-GB"/>
        </w:rPr>
        <w:t>Uiterwijk</w:t>
      </w:r>
      <w:proofErr w:type="spellEnd"/>
      <w:r w:rsidRPr="00562A7E">
        <w:rPr>
          <w:rFonts w:ascii="Times New Roman" w:eastAsia="Times New Roman" w:hAnsi="Times New Roman" w:cs="Times New Roman"/>
          <w:sz w:val="24"/>
          <w:szCs w:val="24"/>
          <w:lang w:eastAsia="en-GB"/>
        </w:rPr>
        <w:t xml:space="preserve"> et al., 2026). Interpretation must be cautious because trap catches vary with method, location, weather and host proximity, and because PCR positivity in pools does not necessarily establish transmission competence. Still, when vector data are interpreted alongside host infection, climate and clinical signals, they can improve the timing of warnings and control measures.</w:t>
      </w:r>
    </w:p>
    <w:p w14:paraId="23D6E5CD"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Surveillance should also be tied to action thresholds. A PCR-positive sheep in a previously free area, detection of viral RNA in parous midge pools, a sharp increase in sheep mortality, or genomic identification of a novel serotype may each justify a different response. Scientific risk assessments have emphasised surveillance, safe movement and control in bluetongue management, but implementation depends on how quickly data streams are converted into decisions (EFSA AHAW Panel, 2017). For sheep farmers, a delayed interpretation can mean the difference between vaccinating before exposure and vaccinating after the epidemic peak.</w:t>
      </w:r>
    </w:p>
    <w:p w14:paraId="063AB53B"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lastRenderedPageBreak/>
        <w:t>Table 3 summarises major surveillance components and their interpretive value. The practical weakness it highlights is familiar: surveillance outputs are often used to confirm what has already happened, when their greatest value lies in triggering earlier preventive action.</w:t>
      </w:r>
    </w:p>
    <w:p w14:paraId="15473E0D"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b/>
          <w:bCs/>
          <w:sz w:val="24"/>
          <w:szCs w:val="24"/>
          <w:lang w:eastAsia="en-GB"/>
        </w:rPr>
        <w:t>Table 3. Surveillance components and interpretive value in bluetongue control for sheep systems</w:t>
      </w:r>
    </w:p>
    <w:tbl>
      <w:tblPr>
        <w:tblStyle w:val="TableGrid"/>
        <w:tblW w:w="0" w:type="auto"/>
        <w:tblLook w:val="04A0" w:firstRow="1" w:lastRow="0" w:firstColumn="1" w:lastColumn="0" w:noHBand="0" w:noVBand="1"/>
      </w:tblPr>
      <w:tblGrid>
        <w:gridCol w:w="1793"/>
        <w:gridCol w:w="2361"/>
        <w:gridCol w:w="2604"/>
        <w:gridCol w:w="2484"/>
      </w:tblGrid>
      <w:tr w:rsidR="00562A7E" w:rsidRPr="00562A7E" w14:paraId="5B93FE05" w14:textId="77777777" w:rsidTr="00B622C8">
        <w:tc>
          <w:tcPr>
            <w:tcW w:w="0" w:type="auto"/>
            <w:hideMark/>
          </w:tcPr>
          <w:p w14:paraId="6924333D" w14:textId="77777777" w:rsidR="00562A7E" w:rsidRPr="00562A7E" w:rsidRDefault="00562A7E" w:rsidP="00562A7E">
            <w:pPr>
              <w:jc w:val="center"/>
              <w:rPr>
                <w:rFonts w:ascii="Times New Roman" w:eastAsia="Times New Roman" w:hAnsi="Times New Roman" w:cs="Times New Roman"/>
                <w:b/>
                <w:bCs/>
                <w:sz w:val="24"/>
                <w:szCs w:val="24"/>
                <w:lang w:eastAsia="en-GB"/>
              </w:rPr>
            </w:pPr>
            <w:r w:rsidRPr="00562A7E">
              <w:rPr>
                <w:rFonts w:ascii="Times New Roman" w:eastAsia="Times New Roman" w:hAnsi="Times New Roman" w:cs="Times New Roman"/>
                <w:b/>
                <w:bCs/>
                <w:sz w:val="24"/>
                <w:szCs w:val="24"/>
                <w:lang w:eastAsia="en-GB"/>
              </w:rPr>
              <w:t>Surveillance component</w:t>
            </w:r>
          </w:p>
        </w:tc>
        <w:tc>
          <w:tcPr>
            <w:tcW w:w="0" w:type="auto"/>
            <w:hideMark/>
          </w:tcPr>
          <w:p w14:paraId="2CCEA60B" w14:textId="77777777" w:rsidR="00562A7E" w:rsidRPr="00562A7E" w:rsidRDefault="00562A7E" w:rsidP="00562A7E">
            <w:pPr>
              <w:jc w:val="center"/>
              <w:rPr>
                <w:rFonts w:ascii="Times New Roman" w:eastAsia="Times New Roman" w:hAnsi="Times New Roman" w:cs="Times New Roman"/>
                <w:b/>
                <w:bCs/>
                <w:sz w:val="24"/>
                <w:szCs w:val="24"/>
                <w:lang w:eastAsia="en-GB"/>
              </w:rPr>
            </w:pPr>
            <w:r w:rsidRPr="00562A7E">
              <w:rPr>
                <w:rFonts w:ascii="Times New Roman" w:eastAsia="Times New Roman" w:hAnsi="Times New Roman" w:cs="Times New Roman"/>
                <w:b/>
                <w:bCs/>
                <w:sz w:val="24"/>
                <w:szCs w:val="24"/>
                <w:lang w:eastAsia="en-GB"/>
              </w:rPr>
              <w:t>Information generated</w:t>
            </w:r>
          </w:p>
        </w:tc>
        <w:tc>
          <w:tcPr>
            <w:tcW w:w="0" w:type="auto"/>
            <w:hideMark/>
          </w:tcPr>
          <w:p w14:paraId="0EC4C9A4" w14:textId="77777777" w:rsidR="00562A7E" w:rsidRPr="00562A7E" w:rsidRDefault="00562A7E" w:rsidP="00562A7E">
            <w:pPr>
              <w:jc w:val="center"/>
              <w:rPr>
                <w:rFonts w:ascii="Times New Roman" w:eastAsia="Times New Roman" w:hAnsi="Times New Roman" w:cs="Times New Roman"/>
                <w:b/>
                <w:bCs/>
                <w:sz w:val="24"/>
                <w:szCs w:val="24"/>
                <w:lang w:eastAsia="en-GB"/>
              </w:rPr>
            </w:pPr>
            <w:r w:rsidRPr="00562A7E">
              <w:rPr>
                <w:rFonts w:ascii="Times New Roman" w:eastAsia="Times New Roman" w:hAnsi="Times New Roman" w:cs="Times New Roman"/>
                <w:b/>
                <w:bCs/>
                <w:sz w:val="24"/>
                <w:szCs w:val="24"/>
                <w:lang w:eastAsia="en-GB"/>
              </w:rPr>
              <w:t>Key limitation</w:t>
            </w:r>
          </w:p>
        </w:tc>
        <w:tc>
          <w:tcPr>
            <w:tcW w:w="0" w:type="auto"/>
            <w:hideMark/>
          </w:tcPr>
          <w:p w14:paraId="2E7863A8" w14:textId="77777777" w:rsidR="00562A7E" w:rsidRPr="00562A7E" w:rsidRDefault="00562A7E" w:rsidP="00562A7E">
            <w:pPr>
              <w:jc w:val="center"/>
              <w:rPr>
                <w:rFonts w:ascii="Times New Roman" w:eastAsia="Times New Roman" w:hAnsi="Times New Roman" w:cs="Times New Roman"/>
                <w:b/>
                <w:bCs/>
                <w:sz w:val="24"/>
                <w:szCs w:val="24"/>
                <w:lang w:eastAsia="en-GB"/>
              </w:rPr>
            </w:pPr>
            <w:r w:rsidRPr="00562A7E">
              <w:rPr>
                <w:rFonts w:ascii="Times New Roman" w:eastAsia="Times New Roman" w:hAnsi="Times New Roman" w:cs="Times New Roman"/>
                <w:b/>
                <w:bCs/>
                <w:sz w:val="24"/>
                <w:szCs w:val="24"/>
                <w:lang w:eastAsia="en-GB"/>
              </w:rPr>
              <w:t>Decision value</w:t>
            </w:r>
          </w:p>
        </w:tc>
      </w:tr>
      <w:tr w:rsidR="00562A7E" w:rsidRPr="00562A7E" w14:paraId="112C4658" w14:textId="77777777" w:rsidTr="00B622C8">
        <w:tc>
          <w:tcPr>
            <w:tcW w:w="0" w:type="auto"/>
            <w:hideMark/>
          </w:tcPr>
          <w:p w14:paraId="5784E56C"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Clinical reporting in sheep</w:t>
            </w:r>
          </w:p>
        </w:tc>
        <w:tc>
          <w:tcPr>
            <w:tcW w:w="0" w:type="auto"/>
            <w:hideMark/>
          </w:tcPr>
          <w:p w14:paraId="206257BF"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Detects visible disease, welfare impact and severe flock-level events.</w:t>
            </w:r>
          </w:p>
        </w:tc>
        <w:tc>
          <w:tcPr>
            <w:tcW w:w="0" w:type="auto"/>
            <w:hideMark/>
          </w:tcPr>
          <w:p w14:paraId="77CD095C"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Under-detects mild disease and may occur after transmission is established.</w:t>
            </w:r>
          </w:p>
        </w:tc>
        <w:tc>
          <w:tcPr>
            <w:tcW w:w="0" w:type="auto"/>
            <w:hideMark/>
          </w:tcPr>
          <w:p w14:paraId="0FECF97F"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Triggers urgent diagnostic confirmation and flock-level intervention.</w:t>
            </w:r>
          </w:p>
        </w:tc>
      </w:tr>
      <w:tr w:rsidR="00562A7E" w:rsidRPr="00562A7E" w14:paraId="22860D39" w14:textId="77777777" w:rsidTr="00B622C8">
        <w:tc>
          <w:tcPr>
            <w:tcW w:w="0" w:type="auto"/>
            <w:hideMark/>
          </w:tcPr>
          <w:p w14:paraId="6A936333"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RT-PCR testing</w:t>
            </w:r>
          </w:p>
        </w:tc>
        <w:tc>
          <w:tcPr>
            <w:tcW w:w="0" w:type="auto"/>
            <w:hideMark/>
          </w:tcPr>
          <w:p w14:paraId="33519570"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Confirms viral RNA in clinically affected or sampled animals.</w:t>
            </w:r>
          </w:p>
        </w:tc>
        <w:tc>
          <w:tcPr>
            <w:tcW w:w="0" w:type="auto"/>
            <w:hideMark/>
          </w:tcPr>
          <w:p w14:paraId="5BDEB178"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PCR positivity does not alone define infectiousness or population exposure.</w:t>
            </w:r>
          </w:p>
        </w:tc>
        <w:tc>
          <w:tcPr>
            <w:tcW w:w="0" w:type="auto"/>
            <w:hideMark/>
          </w:tcPr>
          <w:p w14:paraId="094B22E3"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Supports case confirmation, movement decisions and sample selection for sequencing.</w:t>
            </w:r>
          </w:p>
        </w:tc>
      </w:tr>
      <w:tr w:rsidR="00562A7E" w:rsidRPr="00562A7E" w14:paraId="5A4B1603" w14:textId="77777777" w:rsidTr="00B622C8">
        <w:tc>
          <w:tcPr>
            <w:tcW w:w="0" w:type="auto"/>
            <w:hideMark/>
          </w:tcPr>
          <w:p w14:paraId="0BB60460"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Serology</w:t>
            </w:r>
          </w:p>
        </w:tc>
        <w:tc>
          <w:tcPr>
            <w:tcW w:w="0" w:type="auto"/>
            <w:hideMark/>
          </w:tcPr>
          <w:p w14:paraId="60D280FC"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Estimates cumulative exposure and population susceptibility.</w:t>
            </w:r>
          </w:p>
        </w:tc>
        <w:tc>
          <w:tcPr>
            <w:tcW w:w="0" w:type="auto"/>
            <w:hideMark/>
          </w:tcPr>
          <w:p w14:paraId="06AB2089"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Serotype inference may require additional testing; vaccination can complicate interpretation.</w:t>
            </w:r>
          </w:p>
        </w:tc>
        <w:tc>
          <w:tcPr>
            <w:tcW w:w="0" w:type="auto"/>
            <w:hideMark/>
          </w:tcPr>
          <w:p w14:paraId="6E0BEB34"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Guides risk mapping, vaccine targeting and post-epidemic evaluation.</w:t>
            </w:r>
          </w:p>
        </w:tc>
      </w:tr>
      <w:tr w:rsidR="00562A7E" w:rsidRPr="00562A7E" w14:paraId="17BE59AB" w14:textId="77777777" w:rsidTr="00B622C8">
        <w:tc>
          <w:tcPr>
            <w:tcW w:w="0" w:type="auto"/>
            <w:hideMark/>
          </w:tcPr>
          <w:p w14:paraId="0D984F21"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Whole-genome sequencing</w:t>
            </w:r>
          </w:p>
        </w:tc>
        <w:tc>
          <w:tcPr>
            <w:tcW w:w="0" w:type="auto"/>
            <w:hideMark/>
          </w:tcPr>
          <w:p w14:paraId="272056E4"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Identifies serotype, lineage, reassortment and relatedness among outbreaks.</w:t>
            </w:r>
          </w:p>
        </w:tc>
        <w:tc>
          <w:tcPr>
            <w:tcW w:w="0" w:type="auto"/>
            <w:hideMark/>
          </w:tcPr>
          <w:p w14:paraId="1EB2419F"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Requires representative sampling and complete metadata.</w:t>
            </w:r>
          </w:p>
        </w:tc>
        <w:tc>
          <w:tcPr>
            <w:tcW w:w="0" w:type="auto"/>
            <w:hideMark/>
          </w:tcPr>
          <w:p w14:paraId="378C2D9B"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Distinguishes incursion, persistence and linked spread; informs vaccine matching.</w:t>
            </w:r>
          </w:p>
        </w:tc>
      </w:tr>
      <w:tr w:rsidR="00562A7E" w:rsidRPr="00562A7E" w14:paraId="6D0D5F66" w14:textId="77777777" w:rsidTr="00B622C8">
        <w:tc>
          <w:tcPr>
            <w:tcW w:w="0" w:type="auto"/>
            <w:hideMark/>
          </w:tcPr>
          <w:p w14:paraId="7C82BE19"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Vector trapping and testing</w:t>
            </w:r>
          </w:p>
        </w:tc>
        <w:tc>
          <w:tcPr>
            <w:tcW w:w="0" w:type="auto"/>
            <w:hideMark/>
          </w:tcPr>
          <w:p w14:paraId="3EC3C223"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Characterises midge species, seasonal activity and viral RNA in vectors.</w:t>
            </w:r>
          </w:p>
        </w:tc>
        <w:tc>
          <w:tcPr>
            <w:tcW w:w="0" w:type="auto"/>
            <w:hideMark/>
          </w:tcPr>
          <w:p w14:paraId="76FB98B2"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Trap bias and RNA detection complicate inference about transmission competence.</w:t>
            </w:r>
          </w:p>
        </w:tc>
        <w:tc>
          <w:tcPr>
            <w:tcW w:w="0" w:type="auto"/>
            <w:hideMark/>
          </w:tcPr>
          <w:p w14:paraId="2D1DD8A8"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Improves seasonal warning, local risk assessment and vector research prioritisation.</w:t>
            </w:r>
          </w:p>
        </w:tc>
      </w:tr>
      <w:tr w:rsidR="00562A7E" w:rsidRPr="00562A7E" w14:paraId="556B0927" w14:textId="77777777" w:rsidTr="00B622C8">
        <w:tc>
          <w:tcPr>
            <w:tcW w:w="0" w:type="auto"/>
            <w:hideMark/>
          </w:tcPr>
          <w:p w14:paraId="3511B900"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Mortality and production monitoring</w:t>
            </w:r>
          </w:p>
        </w:tc>
        <w:tc>
          <w:tcPr>
            <w:tcW w:w="0" w:type="auto"/>
            <w:hideMark/>
          </w:tcPr>
          <w:p w14:paraId="03F3130A"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Quantifies real-world impact beyond confirmed cases.</w:t>
            </w:r>
          </w:p>
        </w:tc>
        <w:tc>
          <w:tcPr>
            <w:tcW w:w="0" w:type="auto"/>
            <w:hideMark/>
          </w:tcPr>
          <w:p w14:paraId="1F2E188A"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Attribution requires careful temporal and spatial comparison.</w:t>
            </w:r>
          </w:p>
        </w:tc>
        <w:tc>
          <w:tcPr>
            <w:tcW w:w="0" w:type="auto"/>
            <w:hideMark/>
          </w:tcPr>
          <w:p w14:paraId="4670188F"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Measures outbreak burden and vaccine field effectiveness.</w:t>
            </w:r>
          </w:p>
        </w:tc>
      </w:tr>
    </w:tbl>
    <w:p w14:paraId="064B09E5"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Sources: Dijkstra et al. (2025); EFSA AHAW Panel (2017); Hoffmann et al. (2009); Holwerda et al. (2024); Santman-Berends et al. (2016, 2024, 2026); </w:t>
      </w:r>
      <w:proofErr w:type="spellStart"/>
      <w:r w:rsidRPr="00562A7E">
        <w:rPr>
          <w:rFonts w:ascii="Times New Roman" w:eastAsia="Times New Roman" w:hAnsi="Times New Roman" w:cs="Times New Roman"/>
          <w:sz w:val="24"/>
          <w:szCs w:val="24"/>
          <w:lang w:eastAsia="en-GB"/>
        </w:rPr>
        <w:t>Uiterwijk</w:t>
      </w:r>
      <w:proofErr w:type="spellEnd"/>
      <w:r w:rsidRPr="00562A7E">
        <w:rPr>
          <w:rFonts w:ascii="Times New Roman" w:eastAsia="Times New Roman" w:hAnsi="Times New Roman" w:cs="Times New Roman"/>
          <w:sz w:val="24"/>
          <w:szCs w:val="24"/>
          <w:lang w:eastAsia="en-GB"/>
        </w:rPr>
        <w:t xml:space="preserve"> et al. (2026); van den Brom et al. (2025).</w:t>
      </w:r>
    </w:p>
    <w:p w14:paraId="07C738D0" w14:textId="77777777" w:rsidR="00562A7E" w:rsidRPr="00562A7E" w:rsidRDefault="00562A7E" w:rsidP="00562A7E">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562A7E">
        <w:rPr>
          <w:rFonts w:ascii="Times New Roman" w:eastAsia="Times New Roman" w:hAnsi="Times New Roman" w:cs="Times New Roman"/>
          <w:b/>
          <w:bCs/>
          <w:sz w:val="36"/>
          <w:szCs w:val="36"/>
          <w:lang w:eastAsia="en-GB"/>
        </w:rPr>
        <w:t>6. Vaccination and Immune Control</w:t>
      </w:r>
    </w:p>
    <w:p w14:paraId="00DB33E5" w14:textId="77777777" w:rsidR="00562A7E" w:rsidRPr="00562A7E" w:rsidRDefault="00562A7E" w:rsidP="00562A7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6.1 Conventional vaccine platforms and safety trade-offs</w:t>
      </w:r>
    </w:p>
    <w:p w14:paraId="746291BC"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Vaccination is the most powerful direct tool for reducing bluetongue disease in sheep when a vaccine matches the circulating serotype and is administered before substantial exposure. Modified live vaccines have historically been used in some endemic regions because they can </w:t>
      </w:r>
      <w:r w:rsidRPr="00562A7E">
        <w:rPr>
          <w:rFonts w:ascii="Times New Roman" w:eastAsia="Times New Roman" w:hAnsi="Times New Roman" w:cs="Times New Roman"/>
          <w:sz w:val="24"/>
          <w:szCs w:val="24"/>
          <w:lang w:eastAsia="en-GB"/>
        </w:rPr>
        <w:lastRenderedPageBreak/>
        <w:t>induce strong immunity and may be practical where multiple serotypes circulate. They also carry recognised risks, including residual virulence, reassortment, vaccine-virus spread through vectors and complications for surveillance (Feenstra &amp; van Rijn, 2017; McVey &amp; MacLachlan, 2015). These risks are especially important in regions attempting to maintain or regain freedom from particular serotypes.</w:t>
      </w:r>
    </w:p>
    <w:p w14:paraId="047DC653"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Inactivated vaccines have been central to European emergency responses because they do not replicate and have a more favourable safety profile for non-endemic or recently invaded regions (Feenstra &amp; van Rijn, 2017). Studies of inactivated vaccines against BTV-8 demonstrated protective efficacy in sheep and cattle, including reduction or prevention of viraemia and clinical disease after homologous challenge (</w:t>
      </w:r>
      <w:proofErr w:type="spellStart"/>
      <w:r w:rsidRPr="00562A7E">
        <w:rPr>
          <w:rFonts w:ascii="Times New Roman" w:eastAsia="Times New Roman" w:hAnsi="Times New Roman" w:cs="Times New Roman"/>
          <w:sz w:val="24"/>
          <w:szCs w:val="24"/>
          <w:lang w:eastAsia="en-GB"/>
        </w:rPr>
        <w:t>Eschbaumer</w:t>
      </w:r>
      <w:proofErr w:type="spellEnd"/>
      <w:r w:rsidRPr="00562A7E">
        <w:rPr>
          <w:rFonts w:ascii="Times New Roman" w:eastAsia="Times New Roman" w:hAnsi="Times New Roman" w:cs="Times New Roman"/>
          <w:sz w:val="24"/>
          <w:szCs w:val="24"/>
          <w:lang w:eastAsia="en-GB"/>
        </w:rPr>
        <w:t xml:space="preserve"> et al., 2009; </w:t>
      </w:r>
      <w:proofErr w:type="spellStart"/>
      <w:r w:rsidRPr="00562A7E">
        <w:rPr>
          <w:rFonts w:ascii="Times New Roman" w:eastAsia="Times New Roman" w:hAnsi="Times New Roman" w:cs="Times New Roman"/>
          <w:sz w:val="24"/>
          <w:szCs w:val="24"/>
          <w:lang w:eastAsia="en-GB"/>
        </w:rPr>
        <w:t>Wäckerlin</w:t>
      </w:r>
      <w:proofErr w:type="spellEnd"/>
      <w:r w:rsidRPr="00562A7E">
        <w:rPr>
          <w:rFonts w:ascii="Times New Roman" w:eastAsia="Times New Roman" w:hAnsi="Times New Roman" w:cs="Times New Roman"/>
          <w:sz w:val="24"/>
          <w:szCs w:val="24"/>
          <w:lang w:eastAsia="en-GB"/>
        </w:rPr>
        <w:t xml:space="preserve"> et al., 2010). Bivalent inactivated vaccines against BTV-2 and BTV-4 have also been evaluated in cattle, showing the feasibility of multivalent formulations under defined conditions (Savini et al., 2009). However, inactivated vaccines still require correct serotype matching, sufficient antigen content, booster schedules and enough time for immunity to develop before vector exposure.</w:t>
      </w:r>
    </w:p>
    <w:p w14:paraId="682E01E4"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Vaccine safety is not merely theoretical. Detection and isolation of BTV from commercial vaccine batches in some contexts has underlined the importance of manufacturing quality, batch testing and regulatory oversight (</w:t>
      </w:r>
      <w:proofErr w:type="spellStart"/>
      <w:r w:rsidRPr="00562A7E">
        <w:rPr>
          <w:rFonts w:ascii="Times New Roman" w:eastAsia="Times New Roman" w:hAnsi="Times New Roman" w:cs="Times New Roman"/>
          <w:sz w:val="24"/>
          <w:szCs w:val="24"/>
          <w:lang w:eastAsia="en-GB"/>
        </w:rPr>
        <w:t>Bumbarov</w:t>
      </w:r>
      <w:proofErr w:type="spellEnd"/>
      <w:r w:rsidRPr="00562A7E">
        <w:rPr>
          <w:rFonts w:ascii="Times New Roman" w:eastAsia="Times New Roman" w:hAnsi="Times New Roman" w:cs="Times New Roman"/>
          <w:sz w:val="24"/>
          <w:szCs w:val="24"/>
          <w:lang w:eastAsia="en-GB"/>
        </w:rPr>
        <w:t xml:space="preserve"> et al., 2016). During emergencies, authorities may need to accelerate access to vaccines while maintaining confidence in product safety and effectiveness. For sheep farmers, the immediate question is whether vaccination will reduce disease and death during the current vector season; for regulators, the additional concern is whether emergency deployment will complicate surveillance, trade or long-term control.</w:t>
      </w:r>
    </w:p>
    <w:p w14:paraId="480B7A52" w14:textId="77777777" w:rsidR="00562A7E" w:rsidRPr="00562A7E" w:rsidRDefault="00562A7E" w:rsidP="00562A7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6.2 Serotype specificity, BTV-3 field effectiveness and deployment</w:t>
      </w:r>
    </w:p>
    <w:p w14:paraId="7B60643E"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The main limitation of bluetongue vaccination is serotype specificity. Neutralising antibodies directed against outer-capsid proteins generally provide strongest protection against homologous serotypes, while cross-protection is often incomplete or unreliable (Feenstra &amp; van Rijn, 2017; MacLachlan et al., 2015). Vaccine banks and procurement strategies must therefore anticipate likely serotypes, but bluetongue emergence repeatedly produces surprises. The BTV-3 epidemic in the Netherlands exposed this vulnerability because matched vaccines were not already embedded in routine flock health programmes when the outbreak began (Dijkstra et al., 2025; Holwerda et al., 2024).</w:t>
      </w:r>
    </w:p>
    <w:p w14:paraId="3BF2912A"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Field evaluation of BTV-3 vaccination in Dutch sheep flocks in 2024 found that vaccination with inactivated vaccines reduced excess mortality but did not fully prevent disease or halt transmission (Dijkstra et al., 2025). This is an important, realistic finding. Emergency vaccination may still be valuable even when it does not produce sterilising immunity, because reducing mortality, clinical severity and welfare burden is a meaningful outcome in sheep populations. At the same time, partial protection complicates interpretation of post-vaccination surveillance. Infection in vaccinated animals may reflect exposure before immunity developed, incomplete individual response, vaccine handling problems, uneven flock coverage or intense vector challenge.</w:t>
      </w:r>
    </w:p>
    <w:p w14:paraId="63B7CECC"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Timing is critical. Sheep must be vaccinated sufficiently before vector season or epidemic acceleration to develop protective immunity. Delays caused by vaccine supply, regulatory authorisation, distribution logistics, farmer uncertainty or incomplete flock records can </w:t>
      </w:r>
      <w:r w:rsidRPr="00562A7E">
        <w:rPr>
          <w:rFonts w:ascii="Times New Roman" w:eastAsia="Times New Roman" w:hAnsi="Times New Roman" w:cs="Times New Roman"/>
          <w:sz w:val="24"/>
          <w:szCs w:val="24"/>
          <w:lang w:eastAsia="en-GB"/>
        </w:rPr>
        <w:lastRenderedPageBreak/>
        <w:t>sharply reduce population-level effect. Post-epidemic serological evidence from Dutch sheep showed substantial remaining susceptibility after the first epidemic year, with marked variation between and within farms (Santman-Berends et al., 2026). This heterogeneity argues for risk-based vaccination planning rather than assuming that natural exposure after an outbreak has created uniform regional immunity.</w:t>
      </w:r>
    </w:p>
    <w:p w14:paraId="1D856072" w14:textId="77777777" w:rsidR="00562A7E" w:rsidRPr="00562A7E" w:rsidRDefault="00562A7E" w:rsidP="00562A7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6.3 Next-generation vaccines and DIVA-compatible strategies</w:t>
      </w:r>
    </w:p>
    <w:p w14:paraId="20D1C451"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Next-generation vaccine platforms aim to address limitations of conventional live attenuated and inactivated vaccines. Viral-vectored vaccines, subunit vaccines, virus-like particles and strategies incorporating conserved antigens may improve safety, support differentiation of infected from vaccinated animals, or broaden protection beyond a single serotype (Feenstra &amp; van Rijn, 2017; Jiménez-Cabello et al., 2021). A differentiating infected from vaccinated animals, or DIVA-compatible, strategy is particularly attractive where vaccination must coexist with trade-sensitive surveillance and freedom claims.</w:t>
      </w:r>
    </w:p>
    <w:p w14:paraId="2A65152B"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Experimental work with viral vector platforms is encouraging. Modified vaccinia Ankara (MVA)-based approaches expressing BTV proteins have produced protective responses, and co-expression of VP2, NS1 and the N-terminal region of NS2 by an MVA vector provided complete protection in sheep against virulent BTV-4M challenge in an experimental study (Jiménez-Cabello et al., 2024). Such findings support continued investment in platforms that combine serotype-specific neutralising antigens with additional immune targets. However, experimental protection does not automatically translate into field readiness. Candidate vaccines must still be evaluated for duration of immunity, safety in pregnant ewes and diverse breeds, compatibility with maternal antibodies, scalability, cost, thermostability, regulatory acceptability and performance under high vector challenge.</w:t>
      </w:r>
    </w:p>
    <w:p w14:paraId="02E9DFE0"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The strategic goal should not be to replace inactivated vaccines immediately. Inactivated vaccines remain the most practical emergency instrument when a matched product is available. Newer platforms may be most valuable where multiple serotypes co-circulate, where DIVA surveillance is essential, or where antigenic updating needs to be rapid. For sheep, the ideal future vaccine would reduce clinical disease and viraemia, protect before the seasonal vector peak, be safe in breeding animals, allow surveillance discrimination and remain affordable for farms with different economic margins.</w:t>
      </w:r>
    </w:p>
    <w:p w14:paraId="613E5244"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Table 4 compares vaccine platforms and their likely operational roles. Its practical implication is that vaccine strategy should be matched to epidemiological setting. Endemic </w:t>
      </w:r>
      <w:proofErr w:type="spellStart"/>
      <w:r w:rsidRPr="00562A7E">
        <w:rPr>
          <w:rFonts w:ascii="Times New Roman" w:eastAsia="Times New Roman" w:hAnsi="Times New Roman" w:cs="Times New Roman"/>
          <w:sz w:val="24"/>
          <w:szCs w:val="24"/>
          <w:lang w:eastAsia="en-GB"/>
        </w:rPr>
        <w:t>multiserotype</w:t>
      </w:r>
      <w:proofErr w:type="spellEnd"/>
      <w:r w:rsidRPr="00562A7E">
        <w:rPr>
          <w:rFonts w:ascii="Times New Roman" w:eastAsia="Times New Roman" w:hAnsi="Times New Roman" w:cs="Times New Roman"/>
          <w:sz w:val="24"/>
          <w:szCs w:val="24"/>
          <w:lang w:eastAsia="en-GB"/>
        </w:rPr>
        <w:t xml:space="preserve"> regions, newly invaded regions and emergency outbreak zones have different risk-benefit profiles.</w:t>
      </w:r>
    </w:p>
    <w:p w14:paraId="2EE6D5E5"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b/>
          <w:bCs/>
          <w:sz w:val="24"/>
          <w:szCs w:val="24"/>
          <w:lang w:eastAsia="en-GB"/>
        </w:rPr>
        <w:t>Table 4. Vaccine platforms and operational roles in bluetongue control</w:t>
      </w:r>
    </w:p>
    <w:tbl>
      <w:tblPr>
        <w:tblStyle w:val="TableGrid"/>
        <w:tblW w:w="0" w:type="auto"/>
        <w:tblLook w:val="04A0" w:firstRow="1" w:lastRow="0" w:firstColumn="1" w:lastColumn="0" w:noHBand="0" w:noVBand="1"/>
      </w:tblPr>
      <w:tblGrid>
        <w:gridCol w:w="1850"/>
        <w:gridCol w:w="2652"/>
        <w:gridCol w:w="2475"/>
        <w:gridCol w:w="2265"/>
      </w:tblGrid>
      <w:tr w:rsidR="00562A7E" w:rsidRPr="00562A7E" w14:paraId="18B1C84A" w14:textId="77777777" w:rsidTr="00B622C8">
        <w:tc>
          <w:tcPr>
            <w:tcW w:w="0" w:type="auto"/>
            <w:hideMark/>
          </w:tcPr>
          <w:p w14:paraId="68A87ED7" w14:textId="77777777" w:rsidR="00562A7E" w:rsidRPr="00562A7E" w:rsidRDefault="00562A7E" w:rsidP="00562A7E">
            <w:pPr>
              <w:jc w:val="center"/>
              <w:rPr>
                <w:rFonts w:ascii="Times New Roman" w:eastAsia="Times New Roman" w:hAnsi="Times New Roman" w:cs="Times New Roman"/>
                <w:b/>
                <w:bCs/>
                <w:sz w:val="24"/>
                <w:szCs w:val="24"/>
                <w:lang w:eastAsia="en-GB"/>
              </w:rPr>
            </w:pPr>
            <w:r w:rsidRPr="00562A7E">
              <w:rPr>
                <w:rFonts w:ascii="Times New Roman" w:eastAsia="Times New Roman" w:hAnsi="Times New Roman" w:cs="Times New Roman"/>
                <w:b/>
                <w:bCs/>
                <w:sz w:val="24"/>
                <w:szCs w:val="24"/>
                <w:lang w:eastAsia="en-GB"/>
              </w:rPr>
              <w:t>Vaccine platform</w:t>
            </w:r>
          </w:p>
        </w:tc>
        <w:tc>
          <w:tcPr>
            <w:tcW w:w="0" w:type="auto"/>
            <w:hideMark/>
          </w:tcPr>
          <w:p w14:paraId="2316F757" w14:textId="77777777" w:rsidR="00562A7E" w:rsidRPr="00562A7E" w:rsidRDefault="00562A7E" w:rsidP="00562A7E">
            <w:pPr>
              <w:jc w:val="center"/>
              <w:rPr>
                <w:rFonts w:ascii="Times New Roman" w:eastAsia="Times New Roman" w:hAnsi="Times New Roman" w:cs="Times New Roman"/>
                <w:b/>
                <w:bCs/>
                <w:sz w:val="24"/>
                <w:szCs w:val="24"/>
                <w:lang w:eastAsia="en-GB"/>
              </w:rPr>
            </w:pPr>
            <w:r w:rsidRPr="00562A7E">
              <w:rPr>
                <w:rFonts w:ascii="Times New Roman" w:eastAsia="Times New Roman" w:hAnsi="Times New Roman" w:cs="Times New Roman"/>
                <w:b/>
                <w:bCs/>
                <w:sz w:val="24"/>
                <w:szCs w:val="24"/>
                <w:lang w:eastAsia="en-GB"/>
              </w:rPr>
              <w:t>Main strengths</w:t>
            </w:r>
          </w:p>
        </w:tc>
        <w:tc>
          <w:tcPr>
            <w:tcW w:w="0" w:type="auto"/>
            <w:hideMark/>
          </w:tcPr>
          <w:p w14:paraId="431B9A66" w14:textId="77777777" w:rsidR="00562A7E" w:rsidRPr="00562A7E" w:rsidRDefault="00562A7E" w:rsidP="00562A7E">
            <w:pPr>
              <w:jc w:val="center"/>
              <w:rPr>
                <w:rFonts w:ascii="Times New Roman" w:eastAsia="Times New Roman" w:hAnsi="Times New Roman" w:cs="Times New Roman"/>
                <w:b/>
                <w:bCs/>
                <w:sz w:val="24"/>
                <w:szCs w:val="24"/>
                <w:lang w:eastAsia="en-GB"/>
              </w:rPr>
            </w:pPr>
            <w:r w:rsidRPr="00562A7E">
              <w:rPr>
                <w:rFonts w:ascii="Times New Roman" w:eastAsia="Times New Roman" w:hAnsi="Times New Roman" w:cs="Times New Roman"/>
                <w:b/>
                <w:bCs/>
                <w:sz w:val="24"/>
                <w:szCs w:val="24"/>
                <w:lang w:eastAsia="en-GB"/>
              </w:rPr>
              <w:t>Principal constraints</w:t>
            </w:r>
          </w:p>
        </w:tc>
        <w:tc>
          <w:tcPr>
            <w:tcW w:w="0" w:type="auto"/>
            <w:hideMark/>
          </w:tcPr>
          <w:p w14:paraId="14FF1413" w14:textId="77777777" w:rsidR="00562A7E" w:rsidRPr="00562A7E" w:rsidRDefault="00562A7E" w:rsidP="00562A7E">
            <w:pPr>
              <w:jc w:val="center"/>
              <w:rPr>
                <w:rFonts w:ascii="Times New Roman" w:eastAsia="Times New Roman" w:hAnsi="Times New Roman" w:cs="Times New Roman"/>
                <w:b/>
                <w:bCs/>
                <w:sz w:val="24"/>
                <w:szCs w:val="24"/>
                <w:lang w:eastAsia="en-GB"/>
              </w:rPr>
            </w:pPr>
            <w:r w:rsidRPr="00562A7E">
              <w:rPr>
                <w:rFonts w:ascii="Times New Roman" w:eastAsia="Times New Roman" w:hAnsi="Times New Roman" w:cs="Times New Roman"/>
                <w:b/>
                <w:bCs/>
                <w:sz w:val="24"/>
                <w:szCs w:val="24"/>
                <w:lang w:eastAsia="en-GB"/>
              </w:rPr>
              <w:t>Likely operational role</w:t>
            </w:r>
          </w:p>
        </w:tc>
      </w:tr>
      <w:tr w:rsidR="00562A7E" w:rsidRPr="00562A7E" w14:paraId="75114ACC" w14:textId="77777777" w:rsidTr="00B622C8">
        <w:tc>
          <w:tcPr>
            <w:tcW w:w="0" w:type="auto"/>
            <w:hideMark/>
          </w:tcPr>
          <w:p w14:paraId="775D78E0"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Modified live vaccines</w:t>
            </w:r>
          </w:p>
        </w:tc>
        <w:tc>
          <w:tcPr>
            <w:tcW w:w="0" w:type="auto"/>
            <w:hideMark/>
          </w:tcPr>
          <w:p w14:paraId="57F319D7"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Strong immunogenicity and practical use in some endemic </w:t>
            </w:r>
            <w:proofErr w:type="spellStart"/>
            <w:r w:rsidRPr="00562A7E">
              <w:rPr>
                <w:rFonts w:ascii="Times New Roman" w:eastAsia="Times New Roman" w:hAnsi="Times New Roman" w:cs="Times New Roman"/>
                <w:sz w:val="24"/>
                <w:szCs w:val="24"/>
                <w:lang w:eastAsia="en-GB"/>
              </w:rPr>
              <w:t>multiserotype</w:t>
            </w:r>
            <w:proofErr w:type="spellEnd"/>
            <w:r w:rsidRPr="00562A7E">
              <w:rPr>
                <w:rFonts w:ascii="Times New Roman" w:eastAsia="Times New Roman" w:hAnsi="Times New Roman" w:cs="Times New Roman"/>
                <w:sz w:val="24"/>
                <w:szCs w:val="24"/>
                <w:lang w:eastAsia="en-GB"/>
              </w:rPr>
              <w:t xml:space="preserve"> settings.</w:t>
            </w:r>
          </w:p>
        </w:tc>
        <w:tc>
          <w:tcPr>
            <w:tcW w:w="0" w:type="auto"/>
            <w:hideMark/>
          </w:tcPr>
          <w:p w14:paraId="24333FAC"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Risks include residual virulence, reassortment, vector transmission and surveillance complications.</w:t>
            </w:r>
          </w:p>
        </w:tc>
        <w:tc>
          <w:tcPr>
            <w:tcW w:w="0" w:type="auto"/>
            <w:hideMark/>
          </w:tcPr>
          <w:p w14:paraId="5D1E78E8"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Selective use where benefits outweigh risks and regulatory systems can manage safety concerns.</w:t>
            </w:r>
          </w:p>
        </w:tc>
      </w:tr>
      <w:tr w:rsidR="00562A7E" w:rsidRPr="00562A7E" w14:paraId="1EF4964A" w14:textId="77777777" w:rsidTr="00B622C8">
        <w:tc>
          <w:tcPr>
            <w:tcW w:w="0" w:type="auto"/>
            <w:hideMark/>
          </w:tcPr>
          <w:p w14:paraId="336F713E"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lastRenderedPageBreak/>
              <w:t>Inactivated homologous vaccines</w:t>
            </w:r>
          </w:p>
        </w:tc>
        <w:tc>
          <w:tcPr>
            <w:tcW w:w="0" w:type="auto"/>
            <w:hideMark/>
          </w:tcPr>
          <w:p w14:paraId="55581830"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Favourable safety profile and strong role in emergency control when serotype-matched.</w:t>
            </w:r>
          </w:p>
        </w:tc>
        <w:tc>
          <w:tcPr>
            <w:tcW w:w="0" w:type="auto"/>
            <w:hideMark/>
          </w:tcPr>
          <w:p w14:paraId="2FA4B9E9"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Require serotype matching, boosters, timely deployment and adequate coverage.</w:t>
            </w:r>
          </w:p>
        </w:tc>
        <w:tc>
          <w:tcPr>
            <w:tcW w:w="0" w:type="auto"/>
            <w:hideMark/>
          </w:tcPr>
          <w:p w14:paraId="5D7CFCA1"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First-line emergency and preventive tool in non-endemic or recently invaded regions.</w:t>
            </w:r>
          </w:p>
        </w:tc>
      </w:tr>
      <w:tr w:rsidR="00562A7E" w:rsidRPr="00562A7E" w14:paraId="768FABD7" w14:textId="77777777" w:rsidTr="00B622C8">
        <w:tc>
          <w:tcPr>
            <w:tcW w:w="0" w:type="auto"/>
            <w:hideMark/>
          </w:tcPr>
          <w:p w14:paraId="28365AA5"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Multivalent inactivated vaccines</w:t>
            </w:r>
          </w:p>
        </w:tc>
        <w:tc>
          <w:tcPr>
            <w:tcW w:w="0" w:type="auto"/>
            <w:hideMark/>
          </w:tcPr>
          <w:p w14:paraId="4840238A"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Can target more than one serotype where epidemiologically justified.</w:t>
            </w:r>
          </w:p>
        </w:tc>
        <w:tc>
          <w:tcPr>
            <w:tcW w:w="0" w:type="auto"/>
            <w:hideMark/>
          </w:tcPr>
          <w:p w14:paraId="5FA0366E"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Antigenic competition, production complexity and updating needs may arise.</w:t>
            </w:r>
          </w:p>
        </w:tc>
        <w:tc>
          <w:tcPr>
            <w:tcW w:w="0" w:type="auto"/>
            <w:hideMark/>
          </w:tcPr>
          <w:p w14:paraId="2054F6E0"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Regional programmes where a predictable set of serotypes circulates.</w:t>
            </w:r>
          </w:p>
        </w:tc>
      </w:tr>
      <w:tr w:rsidR="00562A7E" w:rsidRPr="00562A7E" w14:paraId="1E5C7A17" w14:textId="77777777" w:rsidTr="00B622C8">
        <w:tc>
          <w:tcPr>
            <w:tcW w:w="0" w:type="auto"/>
            <w:hideMark/>
          </w:tcPr>
          <w:p w14:paraId="00C0475A"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Viral-vectored and recombinant vaccines</w:t>
            </w:r>
          </w:p>
        </w:tc>
        <w:tc>
          <w:tcPr>
            <w:tcW w:w="0" w:type="auto"/>
            <w:hideMark/>
          </w:tcPr>
          <w:p w14:paraId="6B7DFF11"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Potential for DIVA compatibility, improved safety and flexible antigen design.</w:t>
            </w:r>
          </w:p>
        </w:tc>
        <w:tc>
          <w:tcPr>
            <w:tcW w:w="0" w:type="auto"/>
            <w:hideMark/>
          </w:tcPr>
          <w:p w14:paraId="5BAF11EE"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Field effectiveness, licensing, cost and duration of immunity require further validation.</w:t>
            </w:r>
          </w:p>
        </w:tc>
        <w:tc>
          <w:tcPr>
            <w:tcW w:w="0" w:type="auto"/>
            <w:hideMark/>
          </w:tcPr>
          <w:p w14:paraId="664FCC46"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Future strategic vaccines for trade-sensitive regions and complex serotype landscapes.</w:t>
            </w:r>
          </w:p>
        </w:tc>
      </w:tr>
      <w:tr w:rsidR="00562A7E" w:rsidRPr="00562A7E" w14:paraId="77DC003D" w14:textId="77777777" w:rsidTr="00B622C8">
        <w:tc>
          <w:tcPr>
            <w:tcW w:w="0" w:type="auto"/>
            <w:hideMark/>
          </w:tcPr>
          <w:p w14:paraId="5CC483F8"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Conserved-antigen or broadened-protection approaches</w:t>
            </w:r>
          </w:p>
        </w:tc>
        <w:tc>
          <w:tcPr>
            <w:tcW w:w="0" w:type="auto"/>
            <w:hideMark/>
          </w:tcPr>
          <w:p w14:paraId="7A07A319"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May reduce dependence on exact serotype matching.</w:t>
            </w:r>
          </w:p>
        </w:tc>
        <w:tc>
          <w:tcPr>
            <w:tcW w:w="0" w:type="auto"/>
            <w:hideMark/>
          </w:tcPr>
          <w:p w14:paraId="1208E667"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Correlates of protection and breadth of efficacy remain uncertain.</w:t>
            </w:r>
          </w:p>
        </w:tc>
        <w:tc>
          <w:tcPr>
            <w:tcW w:w="0" w:type="auto"/>
            <w:hideMark/>
          </w:tcPr>
          <w:p w14:paraId="7A7BBBAE" w14:textId="77777777" w:rsidR="00562A7E" w:rsidRPr="00562A7E" w:rsidRDefault="00562A7E" w:rsidP="00562A7E">
            <w:pPr>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Research priority rather than immediate replacement for matched vaccines.</w:t>
            </w:r>
          </w:p>
        </w:tc>
      </w:tr>
    </w:tbl>
    <w:p w14:paraId="4E021214"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Sources: </w:t>
      </w:r>
      <w:proofErr w:type="spellStart"/>
      <w:r w:rsidRPr="00562A7E">
        <w:rPr>
          <w:rFonts w:ascii="Times New Roman" w:eastAsia="Times New Roman" w:hAnsi="Times New Roman" w:cs="Times New Roman"/>
          <w:sz w:val="24"/>
          <w:szCs w:val="24"/>
          <w:lang w:eastAsia="en-GB"/>
        </w:rPr>
        <w:t>Bumbarov</w:t>
      </w:r>
      <w:proofErr w:type="spellEnd"/>
      <w:r w:rsidRPr="00562A7E">
        <w:rPr>
          <w:rFonts w:ascii="Times New Roman" w:eastAsia="Times New Roman" w:hAnsi="Times New Roman" w:cs="Times New Roman"/>
          <w:sz w:val="24"/>
          <w:szCs w:val="24"/>
          <w:lang w:eastAsia="en-GB"/>
        </w:rPr>
        <w:t xml:space="preserve"> et al. (2016); Dijkstra et al. (2025); </w:t>
      </w:r>
      <w:proofErr w:type="spellStart"/>
      <w:r w:rsidRPr="00562A7E">
        <w:rPr>
          <w:rFonts w:ascii="Times New Roman" w:eastAsia="Times New Roman" w:hAnsi="Times New Roman" w:cs="Times New Roman"/>
          <w:sz w:val="24"/>
          <w:szCs w:val="24"/>
          <w:lang w:eastAsia="en-GB"/>
        </w:rPr>
        <w:t>Eschbaumer</w:t>
      </w:r>
      <w:proofErr w:type="spellEnd"/>
      <w:r w:rsidRPr="00562A7E">
        <w:rPr>
          <w:rFonts w:ascii="Times New Roman" w:eastAsia="Times New Roman" w:hAnsi="Times New Roman" w:cs="Times New Roman"/>
          <w:sz w:val="24"/>
          <w:szCs w:val="24"/>
          <w:lang w:eastAsia="en-GB"/>
        </w:rPr>
        <w:t xml:space="preserve"> et al. (2009); Feenstra and van Rijn (2017); Jiménez-Cabello et al. (2021, 2024); McVey and MacLachlan (2015); Savini et al. (2009); </w:t>
      </w:r>
      <w:proofErr w:type="spellStart"/>
      <w:r w:rsidRPr="00562A7E">
        <w:rPr>
          <w:rFonts w:ascii="Times New Roman" w:eastAsia="Times New Roman" w:hAnsi="Times New Roman" w:cs="Times New Roman"/>
          <w:sz w:val="24"/>
          <w:szCs w:val="24"/>
          <w:lang w:eastAsia="en-GB"/>
        </w:rPr>
        <w:t>Wäckerlin</w:t>
      </w:r>
      <w:proofErr w:type="spellEnd"/>
      <w:r w:rsidRPr="00562A7E">
        <w:rPr>
          <w:rFonts w:ascii="Times New Roman" w:eastAsia="Times New Roman" w:hAnsi="Times New Roman" w:cs="Times New Roman"/>
          <w:sz w:val="24"/>
          <w:szCs w:val="24"/>
          <w:lang w:eastAsia="en-GB"/>
        </w:rPr>
        <w:t xml:space="preserve"> et al. (2010).</w:t>
      </w:r>
    </w:p>
    <w:p w14:paraId="407C7516" w14:textId="77777777" w:rsidR="00562A7E" w:rsidRPr="00562A7E" w:rsidRDefault="00562A7E" w:rsidP="00562A7E">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562A7E">
        <w:rPr>
          <w:rFonts w:ascii="Times New Roman" w:eastAsia="Times New Roman" w:hAnsi="Times New Roman" w:cs="Times New Roman"/>
          <w:b/>
          <w:bCs/>
          <w:sz w:val="36"/>
          <w:szCs w:val="36"/>
          <w:lang w:eastAsia="en-GB"/>
        </w:rPr>
        <w:t>7. One Health Control Strategies for a Non-Zoonotic Arbovirus</w:t>
      </w:r>
    </w:p>
    <w:p w14:paraId="01A4B572" w14:textId="77777777" w:rsidR="00562A7E" w:rsidRPr="00562A7E" w:rsidRDefault="00562A7E" w:rsidP="00562A7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7.1 Why a One Health framing is appropriate despite absent zoonotic transmission</w:t>
      </w:r>
    </w:p>
    <w:p w14:paraId="26D191D6"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Bluetongue does not infect humans, but a One Health framework remains scientifically useful because the disease is produced by interactions among animals, vectors, climate, ecosystems and human-managed livestock systems (MacLachlan &amp; Mayo, 2013; Samy &amp; Peterson, 2016). The absence of zoonotic transmission should not exclude a disease from One Health analysis when its emergence is climate-sensitive, its control depends on landscape and vector ecology, and its consequences affect food systems, trade and rural livelihoods. Bluetongue is a strong example of an animal disease whose drivers and impacts cross disciplinary boundaries.</w:t>
      </w:r>
    </w:p>
    <w:p w14:paraId="50D473CB"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Climate change is central to this framing. Studies have linked changing climatic suitability to altered bluetongue risk, including longer transmission seasons and potential shifts into areas where sheep populations may be immunologically naïve (</w:t>
      </w:r>
      <w:proofErr w:type="spellStart"/>
      <w:r w:rsidRPr="00562A7E">
        <w:rPr>
          <w:rFonts w:ascii="Times New Roman" w:eastAsia="Times New Roman" w:hAnsi="Times New Roman" w:cs="Times New Roman"/>
          <w:sz w:val="24"/>
          <w:szCs w:val="24"/>
          <w:lang w:eastAsia="en-GB"/>
        </w:rPr>
        <w:t>Guis</w:t>
      </w:r>
      <w:proofErr w:type="spellEnd"/>
      <w:r w:rsidRPr="00562A7E">
        <w:rPr>
          <w:rFonts w:ascii="Times New Roman" w:eastAsia="Times New Roman" w:hAnsi="Times New Roman" w:cs="Times New Roman"/>
          <w:sz w:val="24"/>
          <w:szCs w:val="24"/>
          <w:lang w:eastAsia="en-GB"/>
        </w:rPr>
        <w:t xml:space="preserve"> et al., 2012; Jones et al., 2019; Purse et al., 2005). Land use, water management, livestock density and wildlife interfaces further shape where vectors breed and feed (</w:t>
      </w:r>
      <w:proofErr w:type="spellStart"/>
      <w:r w:rsidRPr="00562A7E">
        <w:rPr>
          <w:rFonts w:ascii="Times New Roman" w:eastAsia="Times New Roman" w:hAnsi="Times New Roman" w:cs="Times New Roman"/>
          <w:sz w:val="24"/>
          <w:szCs w:val="24"/>
          <w:lang w:eastAsia="en-GB"/>
        </w:rPr>
        <w:t>Kluiters</w:t>
      </w:r>
      <w:proofErr w:type="spellEnd"/>
      <w:r w:rsidRPr="00562A7E">
        <w:rPr>
          <w:rFonts w:ascii="Times New Roman" w:eastAsia="Times New Roman" w:hAnsi="Times New Roman" w:cs="Times New Roman"/>
          <w:sz w:val="24"/>
          <w:szCs w:val="24"/>
          <w:lang w:eastAsia="en-GB"/>
        </w:rPr>
        <w:t xml:space="preserve"> et al., 2013; Ruder et al., 2015). Control decisions also have human consequences. Movement restrictions affect markets, vaccination costs are borne by producers or governments, and sheep mortality has both economic and welfare significance (van den Brink et al., 2024; Velthuis et al., 2010).</w:t>
      </w:r>
    </w:p>
    <w:p w14:paraId="016B08CE"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lastRenderedPageBreak/>
        <w:t>A One Health approach should therefore be used as an organising principle rather than a slogan. Veterinary virologists, entomologists, epidemiologists, climatologists, wildlife ecologists, social scientists, regulators and farmers each hold part of the control problem. Without coordination, the system becomes reactive: clinical disease triggers diagnostics, diagnostics trigger sequencing, sequencing identifies serotype, and only then do vaccination and movement decisions accelerate. A better system moves those steps earlier and connects them before severe sheep losses accumulate.</w:t>
      </w:r>
    </w:p>
    <w:p w14:paraId="023D7EBD" w14:textId="77777777" w:rsidR="00562A7E" w:rsidRPr="00562A7E" w:rsidRDefault="00562A7E" w:rsidP="00562A7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7.2 Integrated risk management in sheep farms and landscapes</w:t>
      </w:r>
    </w:p>
    <w:p w14:paraId="0C33B91C"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At flock level, bluetongue risk management should be built around vaccination where available, surveillance awareness, reduction of peak vector exposure and early veterinary investigation of compatible signs. Housing sheep during periods of peak midge activity may reduce exposure in some settings, but it is not a universal solution because </w:t>
      </w:r>
      <w:r w:rsidRPr="00562A7E">
        <w:rPr>
          <w:rFonts w:ascii="Times New Roman" w:eastAsia="Times New Roman" w:hAnsi="Times New Roman" w:cs="Times New Roman"/>
          <w:i/>
          <w:iCs/>
          <w:sz w:val="24"/>
          <w:szCs w:val="24"/>
          <w:lang w:eastAsia="en-GB"/>
        </w:rPr>
        <w:t>Culicoides</w:t>
      </w:r>
      <w:r w:rsidRPr="00562A7E">
        <w:rPr>
          <w:rFonts w:ascii="Times New Roman" w:eastAsia="Times New Roman" w:hAnsi="Times New Roman" w:cs="Times New Roman"/>
          <w:sz w:val="24"/>
          <w:szCs w:val="24"/>
          <w:lang w:eastAsia="en-GB"/>
        </w:rPr>
        <w:t xml:space="preserve"> behaviour varies by species, housing structure and microclimate (Purse et al., 2015; Santman-Berends et al., 2026). Insecticide use may reduce biting pressure under particular conditions, but it rarely provides reliable stand-alone protection at population scale and may raise cost, environmental and resistance concerns (EFSA AHAW Panel, 2017). Farm hygiene, manure and slurry management, drainage around high-risk areas, and avoidance of unnecessary animal movement during transmission periods can complement vaccination and surveillance, but they should not be presented as substitutes.</w:t>
      </w:r>
    </w:p>
    <w:p w14:paraId="375118BC"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Risk management should also account for the flock calendar. Breeding, lambing, shearing, grazing movements and sales can alter susceptibility and exposure. Observational evidence associating indoor housing with lower BTV-3 seroprevalence and summer shearing with higher within-farm prevalence suggests that husbandry timing may influence transmission risk, although causal pathways require further study (Santman-Berends et al., 2026). Flock-level advice should therefore be practical and probabilistic rather than overconfident. Farmers need clear explanations of what measures can reasonably reduce risk, which measures have uncertain effect, and why vaccination remains necessary even when management changes are adopted.</w:t>
      </w:r>
    </w:p>
    <w:p w14:paraId="3D2EC048"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At landscape scale, control requires identifying where susceptible sheep, competent vectors and likely viral introduction pathways overlap. Spatial models can help prioritise surveillance and vaccination, but they should be updated with current vector, climate, host and genomic data (Jacquot et al., 2017; Nicolas et al., 2018). During fast-moving epidemics, regional risk maps should support decisions rather than merely describe past spread. A map that identifies areas likely to enter the transmission zone before vaccine immunity develops is more useful than a retrospective map of confirmed cases.</w:t>
      </w:r>
    </w:p>
    <w:p w14:paraId="45935EAD" w14:textId="77777777" w:rsidR="00562A7E" w:rsidRPr="00562A7E" w:rsidRDefault="00562A7E" w:rsidP="00562A7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7.3 Regional equity and implementation under endemic and incursion settings</w:t>
      </w:r>
    </w:p>
    <w:p w14:paraId="41A3E87E"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Bluetongue control differs sharply between endemic </w:t>
      </w:r>
      <w:proofErr w:type="spellStart"/>
      <w:r w:rsidRPr="00562A7E">
        <w:rPr>
          <w:rFonts w:ascii="Times New Roman" w:eastAsia="Times New Roman" w:hAnsi="Times New Roman" w:cs="Times New Roman"/>
          <w:sz w:val="24"/>
          <w:szCs w:val="24"/>
          <w:lang w:eastAsia="en-GB"/>
        </w:rPr>
        <w:t>multiserotype</w:t>
      </w:r>
      <w:proofErr w:type="spellEnd"/>
      <w:r w:rsidRPr="00562A7E">
        <w:rPr>
          <w:rFonts w:ascii="Times New Roman" w:eastAsia="Times New Roman" w:hAnsi="Times New Roman" w:cs="Times New Roman"/>
          <w:sz w:val="24"/>
          <w:szCs w:val="24"/>
          <w:lang w:eastAsia="en-GB"/>
        </w:rPr>
        <w:t xml:space="preserve"> regions and newly invaded temperate regions. In India and other endemic settings, many serotypes have been reported and sheep disease occurs against a background of complex host, vector and management conditions (</w:t>
      </w:r>
      <w:proofErr w:type="spellStart"/>
      <w:r w:rsidRPr="00562A7E">
        <w:rPr>
          <w:rFonts w:ascii="Times New Roman" w:eastAsia="Times New Roman" w:hAnsi="Times New Roman" w:cs="Times New Roman"/>
          <w:sz w:val="24"/>
          <w:szCs w:val="24"/>
          <w:lang w:eastAsia="en-GB"/>
        </w:rPr>
        <w:t>Saminathan</w:t>
      </w:r>
      <w:proofErr w:type="spellEnd"/>
      <w:r w:rsidRPr="00562A7E">
        <w:rPr>
          <w:rFonts w:ascii="Times New Roman" w:eastAsia="Times New Roman" w:hAnsi="Times New Roman" w:cs="Times New Roman"/>
          <w:sz w:val="24"/>
          <w:szCs w:val="24"/>
          <w:lang w:eastAsia="en-GB"/>
        </w:rPr>
        <w:t xml:space="preserve"> et al., 2020). In such regions, vaccine matching, surveillance coverage and laboratory capacity remain persistent challenges. In newly invaded regions, the immediate challenge is often rapid recognition, emergency authorisation of matched vaccines, farmer communication and protection of susceptible flocks before seasonal amplification (Dijkstra et al., 2025; Holwerda et al., 2024).</w:t>
      </w:r>
    </w:p>
    <w:p w14:paraId="481AF4DA"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lastRenderedPageBreak/>
        <w:t xml:space="preserve">Equity matters because control capacity is uneven. Smallholders and extensive sheep systems may have less access to rapid diagnostics, cold chains, veterinary advice and compensation, while intensive systems may face high absolute losses because of animal density and market integration. Vaccine strategies developed for well-resourced European systems may not transfer directly to regions with multiple co-circulating serotypes, different </w:t>
      </w:r>
      <w:r w:rsidRPr="00562A7E">
        <w:rPr>
          <w:rFonts w:ascii="Times New Roman" w:eastAsia="Times New Roman" w:hAnsi="Times New Roman" w:cs="Times New Roman"/>
          <w:i/>
          <w:iCs/>
          <w:sz w:val="24"/>
          <w:szCs w:val="24"/>
          <w:lang w:eastAsia="en-GB"/>
        </w:rPr>
        <w:t>Culicoides</w:t>
      </w:r>
      <w:r w:rsidRPr="00562A7E">
        <w:rPr>
          <w:rFonts w:ascii="Times New Roman" w:eastAsia="Times New Roman" w:hAnsi="Times New Roman" w:cs="Times New Roman"/>
          <w:sz w:val="24"/>
          <w:szCs w:val="24"/>
          <w:lang w:eastAsia="en-GB"/>
        </w:rPr>
        <w:t xml:space="preserve"> fauna or limited laboratory infrastructure. Conversely, endemic-region experience with </w:t>
      </w:r>
      <w:proofErr w:type="spellStart"/>
      <w:r w:rsidRPr="00562A7E">
        <w:rPr>
          <w:rFonts w:ascii="Times New Roman" w:eastAsia="Times New Roman" w:hAnsi="Times New Roman" w:cs="Times New Roman"/>
          <w:sz w:val="24"/>
          <w:szCs w:val="24"/>
          <w:lang w:eastAsia="en-GB"/>
        </w:rPr>
        <w:t>multiserotype</w:t>
      </w:r>
      <w:proofErr w:type="spellEnd"/>
      <w:r w:rsidRPr="00562A7E">
        <w:rPr>
          <w:rFonts w:ascii="Times New Roman" w:eastAsia="Times New Roman" w:hAnsi="Times New Roman" w:cs="Times New Roman"/>
          <w:sz w:val="24"/>
          <w:szCs w:val="24"/>
          <w:lang w:eastAsia="en-GB"/>
        </w:rPr>
        <w:t xml:space="preserve"> risk can inform preparedness in Europe as novel serotypes emerge (</w:t>
      </w:r>
      <w:proofErr w:type="spellStart"/>
      <w:r w:rsidRPr="00562A7E">
        <w:rPr>
          <w:rFonts w:ascii="Times New Roman" w:eastAsia="Times New Roman" w:hAnsi="Times New Roman" w:cs="Times New Roman"/>
          <w:sz w:val="24"/>
          <w:szCs w:val="24"/>
          <w:lang w:eastAsia="en-GB"/>
        </w:rPr>
        <w:t>Alkhamis</w:t>
      </w:r>
      <w:proofErr w:type="spellEnd"/>
      <w:r w:rsidRPr="00562A7E">
        <w:rPr>
          <w:rFonts w:ascii="Times New Roman" w:eastAsia="Times New Roman" w:hAnsi="Times New Roman" w:cs="Times New Roman"/>
          <w:sz w:val="24"/>
          <w:szCs w:val="24"/>
          <w:lang w:eastAsia="en-GB"/>
        </w:rPr>
        <w:t xml:space="preserve"> et al., 2020; </w:t>
      </w:r>
      <w:proofErr w:type="spellStart"/>
      <w:r w:rsidRPr="00562A7E">
        <w:rPr>
          <w:rFonts w:ascii="Times New Roman" w:eastAsia="Times New Roman" w:hAnsi="Times New Roman" w:cs="Times New Roman"/>
          <w:sz w:val="24"/>
          <w:szCs w:val="24"/>
          <w:lang w:eastAsia="en-GB"/>
        </w:rPr>
        <w:t>Saminathan</w:t>
      </w:r>
      <w:proofErr w:type="spellEnd"/>
      <w:r w:rsidRPr="00562A7E">
        <w:rPr>
          <w:rFonts w:ascii="Times New Roman" w:eastAsia="Times New Roman" w:hAnsi="Times New Roman" w:cs="Times New Roman"/>
          <w:sz w:val="24"/>
          <w:szCs w:val="24"/>
          <w:lang w:eastAsia="en-GB"/>
        </w:rPr>
        <w:t xml:space="preserve"> et al., 2020).</w:t>
      </w:r>
    </w:p>
    <w:p w14:paraId="4D30292F"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Transboundary coordination is essential. BTV does not respect administrative borders, and vector-borne spread may continue despite local control if neighbouring regions have delayed detection or different vaccination policies. International data sharing should include genomic sequences, serotype reports, vector findings, vaccine availability, field-effectiveness evidence and animal movement risk. Such coordination is particularly important when novel serotypes such as BTV-12 appear in regions where vaccine stocks and diagnostic assays may not be immediately aligned (van den Brom et al., 2025).</w:t>
      </w:r>
    </w:p>
    <w:p w14:paraId="4BA8CFAF" w14:textId="77777777" w:rsidR="00562A7E" w:rsidRPr="00562A7E" w:rsidRDefault="00562A7E" w:rsidP="00562A7E">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562A7E">
        <w:rPr>
          <w:rFonts w:ascii="Times New Roman" w:eastAsia="Times New Roman" w:hAnsi="Times New Roman" w:cs="Times New Roman"/>
          <w:b/>
          <w:bCs/>
          <w:sz w:val="36"/>
          <w:szCs w:val="36"/>
          <w:lang w:eastAsia="en-GB"/>
        </w:rPr>
        <w:t>8. Research Priorities</w:t>
      </w:r>
    </w:p>
    <w:p w14:paraId="26343DB9" w14:textId="77777777" w:rsidR="00562A7E" w:rsidRPr="00562A7E" w:rsidRDefault="00562A7E" w:rsidP="00562A7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8.1 Vector competence under field-realistic conditions</w:t>
      </w:r>
    </w:p>
    <w:p w14:paraId="3D30B12F"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A major research priority is to improve understanding of vector competence under field-realistic conditions. Laboratory competence studies are essential, but they often use controlled temperatures, virus doses and colony or locally collected midges that may not capture ecological variability (Carpenter et al., 2015; </w:t>
      </w:r>
      <w:proofErr w:type="spellStart"/>
      <w:r w:rsidRPr="00562A7E">
        <w:rPr>
          <w:rFonts w:ascii="Times New Roman" w:eastAsia="Times New Roman" w:hAnsi="Times New Roman" w:cs="Times New Roman"/>
          <w:sz w:val="24"/>
          <w:szCs w:val="24"/>
          <w:lang w:eastAsia="en-GB"/>
        </w:rPr>
        <w:t>Paslaru</w:t>
      </w:r>
      <w:proofErr w:type="spellEnd"/>
      <w:r w:rsidRPr="00562A7E">
        <w:rPr>
          <w:rFonts w:ascii="Times New Roman" w:eastAsia="Times New Roman" w:hAnsi="Times New Roman" w:cs="Times New Roman"/>
          <w:sz w:val="24"/>
          <w:szCs w:val="24"/>
          <w:lang w:eastAsia="en-GB"/>
        </w:rPr>
        <w:t xml:space="preserve"> et al., 2018). Field studies detect viral RNA in midges, but interpretation is limited unless data include parity, blood-meal status, species-level identification and, ideally, evidence of disseminated infection or infectious virus (</w:t>
      </w:r>
      <w:proofErr w:type="spellStart"/>
      <w:r w:rsidRPr="00562A7E">
        <w:rPr>
          <w:rFonts w:ascii="Times New Roman" w:eastAsia="Times New Roman" w:hAnsi="Times New Roman" w:cs="Times New Roman"/>
          <w:sz w:val="24"/>
          <w:szCs w:val="24"/>
          <w:lang w:eastAsia="en-GB"/>
        </w:rPr>
        <w:t>Uiterwijk</w:t>
      </w:r>
      <w:proofErr w:type="spellEnd"/>
      <w:r w:rsidRPr="00562A7E">
        <w:rPr>
          <w:rFonts w:ascii="Times New Roman" w:eastAsia="Times New Roman" w:hAnsi="Times New Roman" w:cs="Times New Roman"/>
          <w:sz w:val="24"/>
          <w:szCs w:val="24"/>
          <w:lang w:eastAsia="en-GB"/>
        </w:rPr>
        <w:t xml:space="preserve"> et al., 2026). Bridging this gap requires coordinated designs that pair field trapping with experimental infection and environmental measurement.</w:t>
      </w:r>
    </w:p>
    <w:p w14:paraId="100A1CC9"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Particular attention should be given to species complexes that are difficult to identify morphologically but may differ in behaviour and competence. The </w:t>
      </w:r>
      <w:r w:rsidRPr="00562A7E">
        <w:rPr>
          <w:rFonts w:ascii="Times New Roman" w:eastAsia="Times New Roman" w:hAnsi="Times New Roman" w:cs="Times New Roman"/>
          <w:i/>
          <w:iCs/>
          <w:sz w:val="24"/>
          <w:szCs w:val="24"/>
          <w:lang w:eastAsia="en-GB"/>
        </w:rPr>
        <w:t>C. obsoletus</w:t>
      </w:r>
      <w:r w:rsidRPr="00562A7E">
        <w:rPr>
          <w:rFonts w:ascii="Times New Roman" w:eastAsia="Times New Roman" w:hAnsi="Times New Roman" w:cs="Times New Roman"/>
          <w:sz w:val="24"/>
          <w:szCs w:val="24"/>
          <w:lang w:eastAsia="en-GB"/>
        </w:rPr>
        <w:t xml:space="preserve"> complex is epidemiologically important in Europe, and landscape genetic evidence indicates high dispersal capacity in </w:t>
      </w:r>
      <w:r w:rsidRPr="00562A7E">
        <w:rPr>
          <w:rFonts w:ascii="Times New Roman" w:eastAsia="Times New Roman" w:hAnsi="Times New Roman" w:cs="Times New Roman"/>
          <w:i/>
          <w:iCs/>
          <w:sz w:val="24"/>
          <w:szCs w:val="24"/>
          <w:lang w:eastAsia="en-GB"/>
        </w:rPr>
        <w:t>C. obsoletus</w:t>
      </w:r>
      <w:r w:rsidRPr="00562A7E">
        <w:rPr>
          <w:rFonts w:ascii="Times New Roman" w:eastAsia="Times New Roman" w:hAnsi="Times New Roman" w:cs="Times New Roman"/>
          <w:sz w:val="24"/>
          <w:szCs w:val="24"/>
          <w:lang w:eastAsia="en-GB"/>
        </w:rPr>
        <w:t>, supporting its possible contribution to regional spread (</w:t>
      </w:r>
      <w:proofErr w:type="spellStart"/>
      <w:r w:rsidRPr="00562A7E">
        <w:rPr>
          <w:rFonts w:ascii="Times New Roman" w:eastAsia="Times New Roman" w:hAnsi="Times New Roman" w:cs="Times New Roman"/>
          <w:sz w:val="24"/>
          <w:szCs w:val="24"/>
          <w:lang w:eastAsia="en-GB"/>
        </w:rPr>
        <w:t>Mignotte</w:t>
      </w:r>
      <w:proofErr w:type="spellEnd"/>
      <w:r w:rsidRPr="00562A7E">
        <w:rPr>
          <w:rFonts w:ascii="Times New Roman" w:eastAsia="Times New Roman" w:hAnsi="Times New Roman" w:cs="Times New Roman"/>
          <w:sz w:val="24"/>
          <w:szCs w:val="24"/>
          <w:lang w:eastAsia="en-GB"/>
        </w:rPr>
        <w:t xml:space="preserve"> et al., 2021). However, local vector communities vary, and competence for one BTV serotype should not be assumed for another. Future work should examine BTV-3 and other emerging serotypes across multiple </w:t>
      </w:r>
      <w:r w:rsidRPr="00562A7E">
        <w:rPr>
          <w:rFonts w:ascii="Times New Roman" w:eastAsia="Times New Roman" w:hAnsi="Times New Roman" w:cs="Times New Roman"/>
          <w:i/>
          <w:iCs/>
          <w:sz w:val="24"/>
          <w:szCs w:val="24"/>
          <w:lang w:eastAsia="en-GB"/>
        </w:rPr>
        <w:t>Culicoides</w:t>
      </w:r>
      <w:r w:rsidRPr="00562A7E">
        <w:rPr>
          <w:rFonts w:ascii="Times New Roman" w:eastAsia="Times New Roman" w:hAnsi="Times New Roman" w:cs="Times New Roman"/>
          <w:sz w:val="24"/>
          <w:szCs w:val="24"/>
          <w:lang w:eastAsia="en-GB"/>
        </w:rPr>
        <w:t xml:space="preserve"> species, temperatures and geographic populations.</w:t>
      </w:r>
    </w:p>
    <w:p w14:paraId="6EFF1426"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Vector research should also include overwintering mechanisms, larval habitat ecology and host-feeding patterns. These processes determine whether surveillance can identify risk before clinical cases occur. For sheep systems, the most useful vector studies will be those that translate entomological findings into operational guidance, including when to vaccinate, when to intensify surveillance and which farm environments require targeted mitigation.</w:t>
      </w:r>
    </w:p>
    <w:p w14:paraId="4AB4DA6F" w14:textId="77777777" w:rsidR="00562A7E" w:rsidRPr="00562A7E" w:rsidRDefault="00562A7E" w:rsidP="00562A7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8.2 Genomic surveillance standards and data integration</w:t>
      </w:r>
    </w:p>
    <w:p w14:paraId="172CAC11"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Genomic surveillance should move from opportunistic sequencing towards standardised, representative sampling. The value of whole-genome sequencing in the BTV-3 and BTV-12 </w:t>
      </w:r>
      <w:r w:rsidRPr="00562A7E">
        <w:rPr>
          <w:rFonts w:ascii="Times New Roman" w:eastAsia="Times New Roman" w:hAnsi="Times New Roman" w:cs="Times New Roman"/>
          <w:sz w:val="24"/>
          <w:szCs w:val="24"/>
          <w:lang w:eastAsia="en-GB"/>
        </w:rPr>
        <w:lastRenderedPageBreak/>
        <w:t>events is clear, but interpretation of source, persistence and reassortment depends on sampling density and metadata quality (Holwerda et al., 2024; van den Brom et al., 2025). Minimum metadata should include host species, date, location, clinical status, vaccination status, sample type, diagnostic cycle threshold where appropriate, and epidemiological links. Vector-derived sequences should include midge species, trapping method, pool size, parity or physiological status and environmental context.</w:t>
      </w:r>
    </w:p>
    <w:p w14:paraId="27D1D68D"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Reassortment surveillance requires complete or near-complete genome data. Segment 2 typing is necessary for serotype identification, but it is insufficient for understanding genome constellations and their possible phenotypic implications (Sanders et al., 2022). Global analyses of BTV emergence show the value of combining evolutionary and epidemiological data, but they also reveal uneven geographical representation (</w:t>
      </w:r>
      <w:proofErr w:type="spellStart"/>
      <w:r w:rsidRPr="00562A7E">
        <w:rPr>
          <w:rFonts w:ascii="Times New Roman" w:eastAsia="Times New Roman" w:hAnsi="Times New Roman" w:cs="Times New Roman"/>
          <w:sz w:val="24"/>
          <w:szCs w:val="24"/>
          <w:lang w:eastAsia="en-GB"/>
        </w:rPr>
        <w:t>Alkhamis</w:t>
      </w:r>
      <w:proofErr w:type="spellEnd"/>
      <w:r w:rsidRPr="00562A7E">
        <w:rPr>
          <w:rFonts w:ascii="Times New Roman" w:eastAsia="Times New Roman" w:hAnsi="Times New Roman" w:cs="Times New Roman"/>
          <w:sz w:val="24"/>
          <w:szCs w:val="24"/>
          <w:lang w:eastAsia="en-GB"/>
        </w:rPr>
        <w:t xml:space="preserve"> et al., 2020). Future systems should encourage rapid deposition of curated sequences and metadata while protecting legitimate privacy and trade concerns.</w:t>
      </w:r>
    </w:p>
    <w:p w14:paraId="3820B8EA"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The research frontier is not simply faster sequencing. It is better integration of sequencing with decisions. Genomic findings should be linked to vaccine strain selection, movement tracing, vector studies and outbreak communication. A sequence that identifies a novel serotype has immediate practical value only if laboratories can update assays, regulators can evaluate vaccine options, and farmers receive timely advice.</w:t>
      </w:r>
    </w:p>
    <w:p w14:paraId="5A62ACBE" w14:textId="77777777" w:rsidR="00562A7E" w:rsidRPr="00562A7E" w:rsidRDefault="00562A7E" w:rsidP="00562A7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8.3 Vaccine effectiveness, immune correlates and next-generation platforms</w:t>
      </w:r>
    </w:p>
    <w:p w14:paraId="1689D6A8"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Vaccine research should prioritise field effectiveness as well as experimental efficacy. Challenge studies provide critical evidence of protection, but field performance depends on coverage, timing, flock demographics, maternal antibodies, concurrent disease, vector pressure and farmer adherence (</w:t>
      </w:r>
      <w:proofErr w:type="spellStart"/>
      <w:r w:rsidRPr="00562A7E">
        <w:rPr>
          <w:rFonts w:ascii="Times New Roman" w:eastAsia="Times New Roman" w:hAnsi="Times New Roman" w:cs="Times New Roman"/>
          <w:sz w:val="24"/>
          <w:szCs w:val="24"/>
          <w:lang w:eastAsia="en-GB"/>
        </w:rPr>
        <w:t>Eschbaumer</w:t>
      </w:r>
      <w:proofErr w:type="spellEnd"/>
      <w:r w:rsidRPr="00562A7E">
        <w:rPr>
          <w:rFonts w:ascii="Times New Roman" w:eastAsia="Times New Roman" w:hAnsi="Times New Roman" w:cs="Times New Roman"/>
          <w:sz w:val="24"/>
          <w:szCs w:val="24"/>
          <w:lang w:eastAsia="en-GB"/>
        </w:rPr>
        <w:t xml:space="preserve"> et al., 2009; </w:t>
      </w:r>
      <w:proofErr w:type="spellStart"/>
      <w:r w:rsidRPr="00562A7E">
        <w:rPr>
          <w:rFonts w:ascii="Times New Roman" w:eastAsia="Times New Roman" w:hAnsi="Times New Roman" w:cs="Times New Roman"/>
          <w:sz w:val="24"/>
          <w:szCs w:val="24"/>
          <w:lang w:eastAsia="en-GB"/>
        </w:rPr>
        <w:t>Wäckerlin</w:t>
      </w:r>
      <w:proofErr w:type="spellEnd"/>
      <w:r w:rsidRPr="00562A7E">
        <w:rPr>
          <w:rFonts w:ascii="Times New Roman" w:eastAsia="Times New Roman" w:hAnsi="Times New Roman" w:cs="Times New Roman"/>
          <w:sz w:val="24"/>
          <w:szCs w:val="24"/>
          <w:lang w:eastAsia="en-GB"/>
        </w:rPr>
        <w:t xml:space="preserve"> et al., 2010). The Dutch BTV-3 vaccine evaluation is especially valuable because it assessed mortality reduction under real epidemic conditions (Dijkstra et al., 2025). Similar studies should be embedded prospectively in future vaccination campaigns, with standardised recording of vaccine product, batch, schedule, flock size, prior exposure and outcomes.</w:t>
      </w:r>
    </w:p>
    <w:p w14:paraId="40FCB882"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Immune correlates of protection also require refinement. Neutralising antibodies are important, but cellular immunity and responses to conserved proteins may contribute to protection or reduction in disease severity (Feenstra &amp; van Rijn, 2017; Jiménez-Cabello et al., 2021). Newer platforms expressing combinations of outer-capsid and non-structural proteins are promising, including MVA-based approaches that have shown strong experimental protection (Jiménez-Cabello et al., 2024). These platforms should be tested against diverse strains, in sheep breeds representative of field populations, and under conditions relevant to emergency deployment.</w:t>
      </w:r>
    </w:p>
    <w:p w14:paraId="3A3F2606"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Vaccine policy research is equally important. Questions of who pays, how vaccine banks are maintained, how emergency authorisations are triggered, and how DIVA-compatible strategies affect trade determine whether scientifically effective vaccines become epidemiologically effective interventions. In sheep systems with narrow margins, even a good vaccine may fail at population level if procurement and communication are delayed.</w:t>
      </w:r>
    </w:p>
    <w:p w14:paraId="23A28302" w14:textId="77777777" w:rsidR="00562A7E" w:rsidRPr="00562A7E" w:rsidRDefault="00562A7E" w:rsidP="00562A7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8.4 Socio-ecological modelling and decision support</w:t>
      </w:r>
    </w:p>
    <w:p w14:paraId="2C889A80"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lastRenderedPageBreak/>
        <w:t>Models have substantially improved understanding of bluetongue transmission, but decision support remains underdeveloped. Transmission models incorporating vector and animal movement can estimate the relative contribution of different pathways and evaluate control scenarios (Sumner et al., 2017; Turner et al., 2012). Climate and landscape models can anticipate shifts in suitability and epidemic velocity (Jacquot et al., 2017; Jones et al., 2019; Nicolas et al., 2018). Yet many model outputs remain difficult for field decision-makers to use because they are uncertain, spatially coarse or disconnected from vaccine logistics.</w:t>
      </w:r>
    </w:p>
    <w:p w14:paraId="0F9BF1E0"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Future modelling should be organised around operational questions. These include where vaccines should be prioritised when supply is limited, how early movement controls must be imposed to alter epidemic trajectory, which areas are likely to remain susceptible after a partial epidemic, and when vector surveillance indicates that seasonal risk has declined enough to adjust restrictions. Models should also include behavioural and economic factors, because farmer uptake of vaccination and reporting is shaped by trust, perceived risk, cost and previous outbreak experience.</w:t>
      </w:r>
    </w:p>
    <w:p w14:paraId="6C9ADBE4"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The most useful decision systems will combine real-time climate data, vector surveillance, animal movement records, diagnostic results, genomic sequences and flock demographics. Such integration is technically demanding, but the alternative is repeated reactive response. The BTV-3 experience shows that severe sheep losses can occur before conventional systems fully mobilise; decision support must therefore become more anticipatory.</w:t>
      </w:r>
    </w:p>
    <w:p w14:paraId="0BF2988A" w14:textId="77777777" w:rsidR="00562A7E" w:rsidRPr="00562A7E" w:rsidRDefault="00562A7E" w:rsidP="00562A7E">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562A7E">
        <w:rPr>
          <w:rFonts w:ascii="Times New Roman" w:eastAsia="Times New Roman" w:hAnsi="Times New Roman" w:cs="Times New Roman"/>
          <w:b/>
          <w:bCs/>
          <w:sz w:val="36"/>
          <w:szCs w:val="36"/>
          <w:lang w:eastAsia="en-GB"/>
        </w:rPr>
        <w:t>9. Policy and Practice Implications</w:t>
      </w:r>
    </w:p>
    <w:p w14:paraId="74D2B062" w14:textId="77777777" w:rsidR="00562A7E" w:rsidRPr="00562A7E" w:rsidRDefault="00562A7E" w:rsidP="00562A7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t>9.1 Flock health, welfare and contingency planning</w:t>
      </w:r>
    </w:p>
    <w:p w14:paraId="51C5A007"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For sheep producers and veterinary authorities, bluetongue contingency planning should begin before the vector season. Flocks in at-risk areas should have vaccination plans, diagnostic pathways, mortality recording systems and communication channels in place before clinical signs appear. The severity of BTV-3 disease in Dutch sheep, including substantial excess mortality, shows that waiting for local confirmation may be too late for optimal protection (Santman-Berends et al., 2024; van den Brink et al., 2024). Emergency plans should therefore define pre-agreed triggers for vaccine ordering, farmer alerts, movement advice and enhanced surveillance.</w:t>
      </w:r>
    </w:p>
    <w:p w14:paraId="25991346"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Welfare should be treated as a central outcome. Bluetongue can cause painful oral lesions, lameness, respiratory distress and prolonged recovery even when animals survive (MacLachlan et al., 2009; van den Brink et al., 2024). Control assessment should therefore include clinical severity, duration of illness, culling, reproductive losses and welfare interventions, not only mortality and confirmed infections. Veterinary guidance should also address supportive care, humane decision-making and differential diagnosis.</w:t>
      </w:r>
    </w:p>
    <w:p w14:paraId="7C851907"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Flock-level records are critical. Accurate data on vaccination dates, batch numbers, animal groups, deaths, clinical signs and movements allow better interpretation of vaccine effectiveness and outbreak impact. The BTV-3 vaccine evaluation in the Netherlands was limited in part by incomplete vaccine registration, showing how data gaps reduce the precision of field-effectiveness estimates (Dijkstra et al., 2025). Vaccination campaigns should therefore be designed as surveillance opportunities, with simple recording systems that farmers can realistically use.</w:t>
      </w:r>
    </w:p>
    <w:p w14:paraId="191E0F04" w14:textId="77777777" w:rsidR="00562A7E" w:rsidRPr="00562A7E" w:rsidRDefault="00562A7E" w:rsidP="00562A7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62A7E">
        <w:rPr>
          <w:rFonts w:ascii="Times New Roman" w:eastAsia="Times New Roman" w:hAnsi="Times New Roman" w:cs="Times New Roman"/>
          <w:b/>
          <w:bCs/>
          <w:sz w:val="27"/>
          <w:szCs w:val="27"/>
          <w:lang w:eastAsia="en-GB"/>
        </w:rPr>
        <w:lastRenderedPageBreak/>
        <w:t>9.2 Surveillance-to-action thresholds and communication</w:t>
      </w:r>
    </w:p>
    <w:p w14:paraId="3132CE77"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Surveillance is valuable only if it changes decisions. Authorities should therefore define how different signals will trigger action: a clinical suspect in sheep, a PCR-confirmed case, a positive vector pool, detection of a novel serotype, a mortality anomaly, or genomic evidence of a new lineage. Scientific guidance on surveillance, control and safe movement provides a foundation, but local thresholds must account for vector season, vaccine availability, host density and regional susceptibility (EFSA AHAW Panel, 2017). Without clear thresholds, data may accumulate while control remains delayed.</w:t>
      </w:r>
    </w:p>
    <w:p w14:paraId="0527860C"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Communication must be technically accurate and practically usable. Farmers should understand that vaccination may reduce mortality without completely preventing infection, that cattle may contribute to transmission despite mild disease, and that vector control measures are supportive rather than fully protective. The BTV-3 outbreak showed that rapid spatial spread can occur in dense livestock regions, making timely communication essential (Boender et al., 2024). Messages should avoid false reassurance when cases are geographically near but not yet confirmed locally, because vector-borne spread does not follow administrative borders neatly.</w:t>
      </w:r>
    </w:p>
    <w:p w14:paraId="584E3387"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Genomic communication deserves special care. Announcing a novel serotype or </w:t>
      </w:r>
      <w:proofErr w:type="spellStart"/>
      <w:r w:rsidRPr="00562A7E">
        <w:rPr>
          <w:rFonts w:ascii="Times New Roman" w:eastAsia="Times New Roman" w:hAnsi="Times New Roman" w:cs="Times New Roman"/>
          <w:sz w:val="24"/>
          <w:szCs w:val="24"/>
          <w:lang w:eastAsia="en-GB"/>
        </w:rPr>
        <w:t>reassortant</w:t>
      </w:r>
      <w:proofErr w:type="spellEnd"/>
      <w:r w:rsidRPr="00562A7E">
        <w:rPr>
          <w:rFonts w:ascii="Times New Roman" w:eastAsia="Times New Roman" w:hAnsi="Times New Roman" w:cs="Times New Roman"/>
          <w:sz w:val="24"/>
          <w:szCs w:val="24"/>
          <w:lang w:eastAsia="en-GB"/>
        </w:rPr>
        <w:t xml:space="preserve"> virus without explaining implications can create confusion, while delayed communication can undermine trust. Genomic findings should be translated into clear statements about diagnostic confidence, relatedness to known strains, vaccine relevance and remaining uncertainty. The BTV-12 detection in the Netherlands demonstrates both the power of sequencing and the limits of source inference when introduction routes remain unresolved (van den Brom et al., 2025).</w:t>
      </w:r>
    </w:p>
    <w:p w14:paraId="4B1BB296" w14:textId="77777777" w:rsidR="00562A7E" w:rsidRPr="00562A7E" w:rsidRDefault="00562A7E" w:rsidP="00562A7E">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562A7E">
        <w:rPr>
          <w:rFonts w:ascii="Times New Roman" w:eastAsia="Times New Roman" w:hAnsi="Times New Roman" w:cs="Times New Roman"/>
          <w:b/>
          <w:bCs/>
          <w:sz w:val="36"/>
          <w:szCs w:val="36"/>
          <w:lang w:eastAsia="en-GB"/>
        </w:rPr>
        <w:t>10. Conclusions</w:t>
      </w:r>
    </w:p>
    <w:p w14:paraId="009EF798"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Bluetongue virus in sheep is best understood as a climate-sensitive, vector-borne and genomically dynamic disease system rather than a fixed set of serotypes in predefined risk zones. The recent history of BTV-8, BTV-3 and BTV-12 shows that temperate livestock regions can experience sudden incursions, severe sheep mortality and unexpected serotype emergence despite advanced veterinary infrastructure. Sheep are central to this challenge because they often carry the greatest clinical and welfare burden, while cattle, goats, wildlife and vectors shape the wider transmission network.</w:t>
      </w:r>
    </w:p>
    <w:p w14:paraId="6D8D2030"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Several conclusions follow from the evidence reviewed here. First, transmission depends on local </w:t>
      </w:r>
      <w:r w:rsidRPr="00562A7E">
        <w:rPr>
          <w:rFonts w:ascii="Times New Roman" w:eastAsia="Times New Roman" w:hAnsi="Times New Roman" w:cs="Times New Roman"/>
          <w:i/>
          <w:iCs/>
          <w:sz w:val="24"/>
          <w:szCs w:val="24"/>
          <w:lang w:eastAsia="en-GB"/>
        </w:rPr>
        <w:t>Culicoides</w:t>
      </w:r>
      <w:r w:rsidRPr="00562A7E">
        <w:rPr>
          <w:rFonts w:ascii="Times New Roman" w:eastAsia="Times New Roman" w:hAnsi="Times New Roman" w:cs="Times New Roman"/>
          <w:sz w:val="24"/>
          <w:szCs w:val="24"/>
          <w:lang w:eastAsia="en-GB"/>
        </w:rPr>
        <w:t xml:space="preserve"> ecology, climate, landscape and host management, which makes regional surveillance indispensable. Second, whole-genome sequencing is now essential for recognising novel incursions, reassortment and viral relatedness, but sequencing must be integrated with epidemiological metadata and field surveillance. Third, vaccination remains the cornerstone of disease mitigation in sheep where matched vaccines are available, yet its effectiveness depends on timing, coverage, serotype match and accurate field recording. Fourth, One Health control is appropriate because bluetongue connects animal health, climate change, ecosystems, trade, rural livelihoods and welfare, even without zoonotic infection.</w:t>
      </w:r>
    </w:p>
    <w:p w14:paraId="5A18C474"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 xml:space="preserve">Future preparedness should move from reactive outbreak confirmation to anticipatory risk management. This requires earlier seasonal warning, vaccine strategies that can adapt to </w:t>
      </w:r>
      <w:r w:rsidRPr="00562A7E">
        <w:rPr>
          <w:rFonts w:ascii="Times New Roman" w:eastAsia="Times New Roman" w:hAnsi="Times New Roman" w:cs="Times New Roman"/>
          <w:sz w:val="24"/>
          <w:szCs w:val="24"/>
          <w:lang w:eastAsia="en-GB"/>
        </w:rPr>
        <w:lastRenderedPageBreak/>
        <w:t>emerging serotypes, stronger vector competence evidence, harmonised genomic standards, integrated mortality and movement data, and communication systems that help farmers act before severe losses occur. Bluetongue control in sheep will not be achieved by any single technology. It will depend on how effectively virology, entomology, epidemiology, vaccination, policy and farm practice are brought together.</w:t>
      </w:r>
    </w:p>
    <w:p w14:paraId="033574A1" w14:textId="77777777" w:rsidR="00562A7E" w:rsidRPr="00562A7E" w:rsidRDefault="00562A7E" w:rsidP="00562A7E">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562A7E">
        <w:rPr>
          <w:rFonts w:ascii="Times New Roman" w:eastAsia="Times New Roman" w:hAnsi="Times New Roman" w:cs="Times New Roman"/>
          <w:b/>
          <w:bCs/>
          <w:sz w:val="36"/>
          <w:szCs w:val="36"/>
          <w:lang w:eastAsia="en-GB"/>
        </w:rPr>
        <w:t>11. Limitations</w:t>
      </w:r>
    </w:p>
    <w:p w14:paraId="34C7F9D7"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This review used a critical narrative approach rather than formal meta-analysis. That design allowed synthesis across virology, vector ecology, genomic surveillance, vaccination and policy, but it did not produce pooled quantitative estimates of vaccine efficacy, vector competence, mortality risk or intervention effect. The heterogeneity of outbreak settings, serotypes, vector species, diagnostic methods and livestock systems would make such pooled estimates difficult to interpret without narrower eligibility criteria.</w:t>
      </w:r>
    </w:p>
    <w:p w14:paraId="76C86D2B" w14:textId="77777777" w:rsidR="00562A7E" w:rsidRP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The review was also constrained by uneven evidence across regions and serotypes. European BTV-8 and BTV-3 evidence is comparatively rich, while data from many endemic or resource-limited regions remain less accessible, less standardised or less frequently linked to complete genomic and vector metadata. Field-effectiveness evidence for newer vaccines, especially under high vector challenge and across diverse sheep production systems, remains limited. Similarly, detection of BTV RNA in field-collected midges is useful but does not always establish transmission competence, leaving uncertainty about the relative contribution of individual vector species during outbreaks.</w:t>
      </w:r>
    </w:p>
    <w:p w14:paraId="02110715" w14:textId="77777777" w:rsidR="00562A7E" w:rsidRDefault="00562A7E" w:rsidP="00562A7E">
      <w:pPr>
        <w:spacing w:before="100" w:beforeAutospacing="1" w:after="100" w:afterAutospacing="1" w:line="240" w:lineRule="auto"/>
        <w:rPr>
          <w:rFonts w:ascii="Times New Roman" w:eastAsia="Times New Roman" w:hAnsi="Times New Roman" w:cs="Times New Roman"/>
          <w:sz w:val="24"/>
          <w:szCs w:val="24"/>
          <w:lang w:eastAsia="en-GB"/>
        </w:rPr>
      </w:pPr>
      <w:r w:rsidRPr="00562A7E">
        <w:rPr>
          <w:rFonts w:ascii="Times New Roman" w:eastAsia="Times New Roman" w:hAnsi="Times New Roman" w:cs="Times New Roman"/>
          <w:sz w:val="24"/>
          <w:szCs w:val="24"/>
          <w:lang w:eastAsia="en-GB"/>
        </w:rPr>
        <w:t>Finally, the review emphasised peer-reviewed sources with verifiable DOI metadata. This improved traceability and reduced the risk of unsupported claims, but it may have excluded timely operational information from outbreak bulletins, field reports and national surveillance updates that had not yet entered the peer-reviewed literature. The conclusions should therefore be interpreted as a synthesis of the published scientific evidence base rather than a substitute for real-time veterinary risk assessment during active outbreaks.</w:t>
      </w:r>
    </w:p>
    <w:p w14:paraId="078FA22C" w14:textId="77777777" w:rsidR="009713B8" w:rsidRPr="000839CE" w:rsidRDefault="009713B8" w:rsidP="009713B8">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2C4D1F18" w14:textId="77777777" w:rsidR="009713B8" w:rsidRPr="000839CE" w:rsidRDefault="009713B8" w:rsidP="009713B8">
      <w:pPr>
        <w:spacing w:after="0" w:line="240" w:lineRule="auto"/>
        <w:rPr>
          <w:rFonts w:ascii="Times New Roman" w:hAnsi="Times New Roman" w:cs="Times New Roman"/>
        </w:rPr>
      </w:pPr>
    </w:p>
    <w:p w14:paraId="25AE9C89" w14:textId="77777777" w:rsidR="009713B8" w:rsidRPr="000839CE" w:rsidRDefault="009713B8" w:rsidP="009713B8">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9DCD2CB" w14:textId="77777777" w:rsidR="009713B8" w:rsidRPr="00562A7E" w:rsidRDefault="009713B8" w:rsidP="00562A7E">
      <w:pPr>
        <w:spacing w:before="100" w:beforeAutospacing="1" w:after="100" w:afterAutospacing="1" w:line="240" w:lineRule="auto"/>
        <w:rPr>
          <w:rFonts w:ascii="Times New Roman" w:eastAsia="Times New Roman" w:hAnsi="Times New Roman" w:cs="Times New Roman"/>
          <w:sz w:val="24"/>
          <w:szCs w:val="24"/>
          <w:lang w:eastAsia="en-GB"/>
        </w:rPr>
      </w:pPr>
    </w:p>
    <w:p w14:paraId="624958DD" w14:textId="77777777" w:rsidR="00562A7E" w:rsidRPr="00562A7E" w:rsidRDefault="00562A7E" w:rsidP="00562A7E">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562A7E">
        <w:rPr>
          <w:rFonts w:ascii="Times New Roman" w:eastAsia="Times New Roman" w:hAnsi="Times New Roman" w:cs="Times New Roman"/>
          <w:b/>
          <w:bCs/>
          <w:sz w:val="36"/>
          <w:szCs w:val="36"/>
          <w:lang w:eastAsia="en-GB"/>
        </w:rPr>
        <w:t>References</w:t>
      </w:r>
    </w:p>
    <w:p w14:paraId="32E304E2"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proofErr w:type="spellStart"/>
      <w:r w:rsidRPr="00562A7E">
        <w:rPr>
          <w:rFonts w:ascii="Times New Roman" w:hAnsi="Times New Roman" w:cs="Times New Roman"/>
          <w:sz w:val="24"/>
        </w:rPr>
        <w:t>Alkhamis</w:t>
      </w:r>
      <w:proofErr w:type="spellEnd"/>
      <w:r w:rsidRPr="00562A7E">
        <w:rPr>
          <w:rFonts w:ascii="Times New Roman" w:hAnsi="Times New Roman" w:cs="Times New Roman"/>
          <w:sz w:val="24"/>
        </w:rPr>
        <w:t>, M. A., Aguilar-Vega, C., Fountain-Jones, N. M., Lin, K., Perez, A. M., &amp; Sánchez-Vizcaíno, J. M. (2020). Global emergence and evolutionary dynamics of bluetongue virus. Scientific Reports, 10(1), 21677. https://doi.org/10.1038/s41598-020-78673-9</w:t>
      </w:r>
    </w:p>
    <w:p w14:paraId="4A3F207A"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lastRenderedPageBreak/>
        <w:t xml:space="preserve">Boender, G.-J., </w:t>
      </w:r>
      <w:proofErr w:type="spellStart"/>
      <w:r w:rsidRPr="00562A7E">
        <w:rPr>
          <w:rFonts w:ascii="Times New Roman" w:hAnsi="Times New Roman" w:cs="Times New Roman"/>
          <w:sz w:val="24"/>
        </w:rPr>
        <w:t>Hagenaars</w:t>
      </w:r>
      <w:proofErr w:type="spellEnd"/>
      <w:r w:rsidRPr="00562A7E">
        <w:rPr>
          <w:rFonts w:ascii="Times New Roman" w:hAnsi="Times New Roman" w:cs="Times New Roman"/>
          <w:sz w:val="24"/>
        </w:rPr>
        <w:t xml:space="preserve">, T. J., Holwerda, M., </w:t>
      </w:r>
      <w:proofErr w:type="spellStart"/>
      <w:r w:rsidRPr="00562A7E">
        <w:rPr>
          <w:rFonts w:ascii="Times New Roman" w:hAnsi="Times New Roman" w:cs="Times New Roman"/>
          <w:sz w:val="24"/>
        </w:rPr>
        <w:t>Spierenburg</w:t>
      </w:r>
      <w:proofErr w:type="spellEnd"/>
      <w:r w:rsidRPr="00562A7E">
        <w:rPr>
          <w:rFonts w:ascii="Times New Roman" w:hAnsi="Times New Roman" w:cs="Times New Roman"/>
          <w:sz w:val="24"/>
        </w:rPr>
        <w:t>, M. A. H., van Rijn, P. A., van der Spek, A. N., &amp; Elbers, A. R. W. (2024). Spatial transmission characteristics of the bluetongue virus serotype 3 epidemic in The Netherlands, 2023. Viruses, 16(4), 625. https://doi.org/10.3390/v16040625</w:t>
      </w:r>
    </w:p>
    <w:p w14:paraId="72CDC202"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Brand, S. P. C., &amp; Keeling, M. J. (2017). The impact of temperature changes on vector-borne disease transmission: Culicoides midges and bluetongue virus. Journal of the Royal Society Interface, 14(128), 20160481. https://doi.org/10.1098/rsif.2016.0481</w:t>
      </w:r>
    </w:p>
    <w:p w14:paraId="5A98B0D3"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 xml:space="preserve">Bumbarov, V., Golender, N., </w:t>
      </w:r>
      <w:proofErr w:type="spellStart"/>
      <w:r w:rsidRPr="00562A7E">
        <w:rPr>
          <w:rFonts w:ascii="Times New Roman" w:hAnsi="Times New Roman" w:cs="Times New Roman"/>
          <w:sz w:val="24"/>
        </w:rPr>
        <w:t>Erster</w:t>
      </w:r>
      <w:proofErr w:type="spellEnd"/>
      <w:r w:rsidRPr="00562A7E">
        <w:rPr>
          <w:rFonts w:ascii="Times New Roman" w:hAnsi="Times New Roman" w:cs="Times New Roman"/>
          <w:sz w:val="24"/>
        </w:rPr>
        <w:t xml:space="preserve">, O., &amp; </w:t>
      </w:r>
      <w:proofErr w:type="spellStart"/>
      <w:r w:rsidRPr="00562A7E">
        <w:rPr>
          <w:rFonts w:ascii="Times New Roman" w:hAnsi="Times New Roman" w:cs="Times New Roman"/>
          <w:sz w:val="24"/>
        </w:rPr>
        <w:t>Khinich</w:t>
      </w:r>
      <w:proofErr w:type="spellEnd"/>
      <w:r w:rsidRPr="00562A7E">
        <w:rPr>
          <w:rFonts w:ascii="Times New Roman" w:hAnsi="Times New Roman" w:cs="Times New Roman"/>
          <w:sz w:val="24"/>
        </w:rPr>
        <w:t>, Y. (2016). Detection and isolation of bluetongue virus from commercial vaccine batches. Vaccine, 34(28), 3317–3323. https://doi.org/10.1016/j.vaccine.2016.03.097</w:t>
      </w:r>
    </w:p>
    <w:p w14:paraId="2EC47049"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 xml:space="preserve">Caporale, M., Di Gialleonardo, L., Janowicz, A., Wilkie, G., Shaw, A., Savini, G., van Rijn, P. A., Mertens, P., Di Ventura, M., &amp; </w:t>
      </w:r>
      <w:proofErr w:type="spellStart"/>
      <w:r w:rsidRPr="00562A7E">
        <w:rPr>
          <w:rFonts w:ascii="Times New Roman" w:hAnsi="Times New Roman" w:cs="Times New Roman"/>
          <w:sz w:val="24"/>
        </w:rPr>
        <w:t>Palmarini</w:t>
      </w:r>
      <w:proofErr w:type="spellEnd"/>
      <w:r w:rsidRPr="00562A7E">
        <w:rPr>
          <w:rFonts w:ascii="Times New Roman" w:hAnsi="Times New Roman" w:cs="Times New Roman"/>
          <w:sz w:val="24"/>
        </w:rPr>
        <w:t>, M. (2014). Virus and host factors affecting the clinical outcome of bluetongue virus infection. Journal of Virology, 88(18), 10399–10411. https://doi.org/10.1128/JVI.01641-14</w:t>
      </w:r>
    </w:p>
    <w:p w14:paraId="41146DFF"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 xml:space="preserve">Carpenter, S., </w:t>
      </w:r>
      <w:proofErr w:type="spellStart"/>
      <w:r w:rsidRPr="00562A7E">
        <w:rPr>
          <w:rFonts w:ascii="Times New Roman" w:hAnsi="Times New Roman" w:cs="Times New Roman"/>
          <w:sz w:val="24"/>
        </w:rPr>
        <w:t>Groschup</w:t>
      </w:r>
      <w:proofErr w:type="spellEnd"/>
      <w:r w:rsidRPr="00562A7E">
        <w:rPr>
          <w:rFonts w:ascii="Times New Roman" w:hAnsi="Times New Roman" w:cs="Times New Roman"/>
          <w:sz w:val="24"/>
        </w:rPr>
        <w:t>, M. H., Garros, C., Felippe-Bauer, M. L., &amp; Purse, B. V. (2013). Culicoides biting midges, arboviruses and public health in Europe. Antiviral Research, 100(1), 102–113. https://doi.org/10.1016/j.antiviral.2013.07.020</w:t>
      </w:r>
    </w:p>
    <w:p w14:paraId="47CCA26F"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 xml:space="preserve">Carpenter, S., Veronesi, E., Mullens, B., &amp; Venter, G. (2015). Vector competence of Culicoides for arboviruses: Three major periods of research, their influence on current studies and future directions. Revue Scientifique et Technique de </w:t>
      </w:r>
      <w:proofErr w:type="spellStart"/>
      <w:r w:rsidRPr="00562A7E">
        <w:rPr>
          <w:rFonts w:ascii="Times New Roman" w:hAnsi="Times New Roman" w:cs="Times New Roman"/>
          <w:sz w:val="24"/>
        </w:rPr>
        <w:t>l’OIE</w:t>
      </w:r>
      <w:proofErr w:type="spellEnd"/>
      <w:r w:rsidRPr="00562A7E">
        <w:rPr>
          <w:rFonts w:ascii="Times New Roman" w:hAnsi="Times New Roman" w:cs="Times New Roman"/>
          <w:sz w:val="24"/>
        </w:rPr>
        <w:t>, 34(1), 97–112. https://doi.org/10.20506/rst.34.1.2347</w:t>
      </w:r>
    </w:p>
    <w:p w14:paraId="10804B27"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Dijkstra, E., Santman-Berends, I. M. G. A., Stegeman, A., van den Brink, K. M. J. A., van Schaik, G., &amp; van den Brom, R. (2025). Evaluating the effect of vaccination on the impact of BTV-3 in Dutch sheep flocks in 2024. Veterinary Microbiology, 309, 110652. https://doi.org/10.1016/j.vetmic.2025.110652</w:t>
      </w:r>
    </w:p>
    <w:p w14:paraId="24CFCDF1"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EFSA Panel on Animal Health and Welfare. (2017). Bluetongue: Control, surveillance and safe movement of animals. EFSA Journal, 15(3), e04698. https://doi.org/10.2903/j.efsa.2017.4698</w:t>
      </w:r>
    </w:p>
    <w:p w14:paraId="531C67EC"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 xml:space="preserve">Elbers, A. R. W., Backx, A., </w:t>
      </w:r>
      <w:proofErr w:type="spellStart"/>
      <w:r w:rsidRPr="00562A7E">
        <w:rPr>
          <w:rFonts w:ascii="Times New Roman" w:hAnsi="Times New Roman" w:cs="Times New Roman"/>
          <w:sz w:val="24"/>
        </w:rPr>
        <w:t>Méroc</w:t>
      </w:r>
      <w:proofErr w:type="spellEnd"/>
      <w:r w:rsidRPr="00562A7E">
        <w:rPr>
          <w:rFonts w:ascii="Times New Roman" w:hAnsi="Times New Roman" w:cs="Times New Roman"/>
          <w:sz w:val="24"/>
        </w:rPr>
        <w:t xml:space="preserve">, E., Gerbier, G., Staubach, C., Hendrickx, G., van der Spek, A. N., &amp; </w:t>
      </w:r>
      <w:proofErr w:type="spellStart"/>
      <w:r w:rsidRPr="00562A7E">
        <w:rPr>
          <w:rFonts w:ascii="Times New Roman" w:hAnsi="Times New Roman" w:cs="Times New Roman"/>
          <w:sz w:val="24"/>
        </w:rPr>
        <w:t>Mintiens</w:t>
      </w:r>
      <w:proofErr w:type="spellEnd"/>
      <w:r w:rsidRPr="00562A7E">
        <w:rPr>
          <w:rFonts w:ascii="Times New Roman" w:hAnsi="Times New Roman" w:cs="Times New Roman"/>
          <w:sz w:val="24"/>
        </w:rPr>
        <w:t>, K. (2008a). Field observations during the bluetongue serotype 8 epidemic in 2006. I. Detection of first outbreaks and clinical signs in sheep and cattle in Belgium, France and the Netherlands. Preventive Veterinary Medicine, 87(1–2), 21–30. https://doi.org/10.1016/j.prevetmed.2008.06.004</w:t>
      </w:r>
    </w:p>
    <w:p w14:paraId="03CBAC9E"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 xml:space="preserve">Elbers, A. R. W., Backx, A., </w:t>
      </w:r>
      <w:proofErr w:type="spellStart"/>
      <w:r w:rsidRPr="00562A7E">
        <w:rPr>
          <w:rFonts w:ascii="Times New Roman" w:hAnsi="Times New Roman" w:cs="Times New Roman"/>
          <w:sz w:val="24"/>
        </w:rPr>
        <w:t>Mintiens</w:t>
      </w:r>
      <w:proofErr w:type="spellEnd"/>
      <w:r w:rsidRPr="00562A7E">
        <w:rPr>
          <w:rFonts w:ascii="Times New Roman" w:hAnsi="Times New Roman" w:cs="Times New Roman"/>
          <w:sz w:val="24"/>
        </w:rPr>
        <w:t>, K., Gerbier, G., Staubach, C., Hendrickx, G., &amp; van der Spek, A. N. (2008b). Field observations during the bluetongue serotype 8 epidemic in 2006. II. Morbidity and mortality rate, case fatality and clinical recovery in sheep and cattle in the Netherlands. Preventive Veterinary Medicine, 87(1–2), 31–40. https://doi.org/10.1016/j.prevetmed.2008.06.003</w:t>
      </w:r>
    </w:p>
    <w:p w14:paraId="37A9E1BF"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proofErr w:type="spellStart"/>
      <w:r w:rsidRPr="00562A7E">
        <w:rPr>
          <w:rFonts w:ascii="Times New Roman" w:hAnsi="Times New Roman" w:cs="Times New Roman"/>
          <w:sz w:val="24"/>
        </w:rPr>
        <w:lastRenderedPageBreak/>
        <w:t>Eschbaumer</w:t>
      </w:r>
      <w:proofErr w:type="spellEnd"/>
      <w:r w:rsidRPr="00562A7E">
        <w:rPr>
          <w:rFonts w:ascii="Times New Roman" w:hAnsi="Times New Roman" w:cs="Times New Roman"/>
          <w:sz w:val="24"/>
        </w:rPr>
        <w:t xml:space="preserve">, M., Hoffmann, B., König, P., Teifke, J. P., Gethmann, J. M., &amp; </w:t>
      </w:r>
      <w:proofErr w:type="spellStart"/>
      <w:r w:rsidRPr="00562A7E">
        <w:rPr>
          <w:rFonts w:ascii="Times New Roman" w:hAnsi="Times New Roman" w:cs="Times New Roman"/>
          <w:sz w:val="24"/>
        </w:rPr>
        <w:t>Conraths</w:t>
      </w:r>
      <w:proofErr w:type="spellEnd"/>
      <w:r w:rsidRPr="00562A7E">
        <w:rPr>
          <w:rFonts w:ascii="Times New Roman" w:hAnsi="Times New Roman" w:cs="Times New Roman"/>
          <w:sz w:val="24"/>
        </w:rPr>
        <w:t>, F. J. (2009). Efficacy of three inactivated vaccines against bluetongue virus serotype 8 in sheep. Vaccine, 27(31), 4169–4175. https://doi.org/10.1016/j.vaccine.2009.04.056</w:t>
      </w:r>
    </w:p>
    <w:p w14:paraId="0B4626A5"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Feenstra, F., &amp; van Rijn, P. A. (2017). Current and next-generation bluetongue vaccines: Requirements, strategies, and prospects for different field situations. Critical Reviews in Microbiology, 43(2), 142–155. https://doi.org/10.1080/1040841X.2016.1186005</w:t>
      </w:r>
    </w:p>
    <w:p w14:paraId="1D453BA5"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 xml:space="preserve">Flannery, J., Sanz-Bernardo, B., Ashby, M., Brown, H., Carpenter, S., Cooke, L., Corla, A., Frost, L., Gubbins, S., Hicks, H., Qureshi, M., Rajko-Nenow, P., Sanders, C., Tully, M., </w:t>
      </w:r>
      <w:proofErr w:type="spellStart"/>
      <w:r w:rsidRPr="00562A7E">
        <w:rPr>
          <w:rFonts w:ascii="Times New Roman" w:hAnsi="Times New Roman" w:cs="Times New Roman"/>
          <w:sz w:val="24"/>
        </w:rPr>
        <w:t>Bréard</w:t>
      </w:r>
      <w:proofErr w:type="spellEnd"/>
      <w:r w:rsidRPr="00562A7E">
        <w:rPr>
          <w:rFonts w:ascii="Times New Roman" w:hAnsi="Times New Roman" w:cs="Times New Roman"/>
          <w:sz w:val="24"/>
        </w:rPr>
        <w:t xml:space="preserve">, E., </w:t>
      </w:r>
      <w:proofErr w:type="spellStart"/>
      <w:r w:rsidRPr="00562A7E">
        <w:rPr>
          <w:rFonts w:ascii="Times New Roman" w:hAnsi="Times New Roman" w:cs="Times New Roman"/>
          <w:sz w:val="24"/>
        </w:rPr>
        <w:t>Sailleau</w:t>
      </w:r>
      <w:proofErr w:type="spellEnd"/>
      <w:r w:rsidRPr="00562A7E">
        <w:rPr>
          <w:rFonts w:ascii="Times New Roman" w:hAnsi="Times New Roman" w:cs="Times New Roman"/>
          <w:sz w:val="24"/>
        </w:rPr>
        <w:t>, C., Zientara, S., Darpel, K., &amp; Batten, C. (2019). Evidence of reduced viremia, pathogenicity and vector competence in a re-emerging European strain of bluetongue virus serotype 8 in sheep. Transboundary and Emerging Diseases, 66(3), 1177–1185. https://doi.org/10.1111/tbed.13131</w:t>
      </w:r>
    </w:p>
    <w:p w14:paraId="040DE929"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Green, B. N., Johnson, C. D., &amp; Adams, A. (2006). Writing narrative literature reviews for peer-reviewed journals: Secrets of the trade. Journal of Chiropractic Medicine, 5(3), 101–117. https://doi.org/10.1016/S0899-3467(07)60142-6</w:t>
      </w:r>
    </w:p>
    <w:p w14:paraId="24B6708F"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proofErr w:type="spellStart"/>
      <w:r w:rsidRPr="00562A7E">
        <w:rPr>
          <w:rFonts w:ascii="Times New Roman" w:hAnsi="Times New Roman" w:cs="Times New Roman"/>
          <w:sz w:val="24"/>
        </w:rPr>
        <w:t>Guis</w:t>
      </w:r>
      <w:proofErr w:type="spellEnd"/>
      <w:r w:rsidRPr="00562A7E">
        <w:rPr>
          <w:rFonts w:ascii="Times New Roman" w:hAnsi="Times New Roman" w:cs="Times New Roman"/>
          <w:sz w:val="24"/>
        </w:rPr>
        <w:t xml:space="preserve">, H., </w:t>
      </w:r>
      <w:proofErr w:type="spellStart"/>
      <w:r w:rsidRPr="00562A7E">
        <w:rPr>
          <w:rFonts w:ascii="Times New Roman" w:hAnsi="Times New Roman" w:cs="Times New Roman"/>
          <w:sz w:val="24"/>
        </w:rPr>
        <w:t>Caminade</w:t>
      </w:r>
      <w:proofErr w:type="spellEnd"/>
      <w:r w:rsidRPr="00562A7E">
        <w:rPr>
          <w:rFonts w:ascii="Times New Roman" w:hAnsi="Times New Roman" w:cs="Times New Roman"/>
          <w:sz w:val="24"/>
        </w:rPr>
        <w:t>, C., Calvete, C., Morse, A. P., Tran, A., &amp; Baylis, M. (2012). Modelling the effects of past and future climate on the risk of bluetongue emergence in Europe. Journal of the Royal Society Interface, 9(67), 339–350. https://doi.org/10.1098/rsif.2011.0255</w:t>
      </w:r>
    </w:p>
    <w:p w14:paraId="0608ED4D"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 xml:space="preserve">Hoffmann, B., </w:t>
      </w:r>
      <w:proofErr w:type="spellStart"/>
      <w:r w:rsidRPr="00562A7E">
        <w:rPr>
          <w:rFonts w:ascii="Times New Roman" w:hAnsi="Times New Roman" w:cs="Times New Roman"/>
          <w:sz w:val="24"/>
        </w:rPr>
        <w:t>Eschbaumer</w:t>
      </w:r>
      <w:proofErr w:type="spellEnd"/>
      <w:r w:rsidRPr="00562A7E">
        <w:rPr>
          <w:rFonts w:ascii="Times New Roman" w:hAnsi="Times New Roman" w:cs="Times New Roman"/>
          <w:sz w:val="24"/>
        </w:rPr>
        <w:t>, M., &amp; Beer, M. (2009). Real-time quantitative reverse transcription-PCR assays specifically detecting bluetongue virus serotypes 1, 6, and 8. Journal of Clinical Microbiology, 47(9), 2992–2994. https://doi.org/10.1128/JCM.00599-09</w:t>
      </w:r>
    </w:p>
    <w:p w14:paraId="1F84642A"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 xml:space="preserve">Holwerda, M., Santman-Berends, I. M. G. A., </w:t>
      </w:r>
      <w:proofErr w:type="spellStart"/>
      <w:r w:rsidRPr="00562A7E">
        <w:rPr>
          <w:rFonts w:ascii="Times New Roman" w:hAnsi="Times New Roman" w:cs="Times New Roman"/>
          <w:sz w:val="24"/>
        </w:rPr>
        <w:t>Harders</w:t>
      </w:r>
      <w:proofErr w:type="spellEnd"/>
      <w:r w:rsidRPr="00562A7E">
        <w:rPr>
          <w:rFonts w:ascii="Times New Roman" w:hAnsi="Times New Roman" w:cs="Times New Roman"/>
          <w:sz w:val="24"/>
        </w:rPr>
        <w:t xml:space="preserve">, F., Engelsma, M., </w:t>
      </w:r>
      <w:proofErr w:type="spellStart"/>
      <w:r w:rsidRPr="00562A7E">
        <w:rPr>
          <w:rFonts w:ascii="Times New Roman" w:hAnsi="Times New Roman" w:cs="Times New Roman"/>
          <w:sz w:val="24"/>
        </w:rPr>
        <w:t>Vloet</w:t>
      </w:r>
      <w:proofErr w:type="spellEnd"/>
      <w:r w:rsidRPr="00562A7E">
        <w:rPr>
          <w:rFonts w:ascii="Times New Roman" w:hAnsi="Times New Roman" w:cs="Times New Roman"/>
          <w:sz w:val="24"/>
        </w:rPr>
        <w:t xml:space="preserve">, R. P. M., Dijkstra, E., van Gennip, R. G. P., Mars, M. H., </w:t>
      </w:r>
      <w:proofErr w:type="spellStart"/>
      <w:r w:rsidRPr="00562A7E">
        <w:rPr>
          <w:rFonts w:ascii="Times New Roman" w:hAnsi="Times New Roman" w:cs="Times New Roman"/>
          <w:sz w:val="24"/>
        </w:rPr>
        <w:t>Spierenburg</w:t>
      </w:r>
      <w:proofErr w:type="spellEnd"/>
      <w:r w:rsidRPr="00562A7E">
        <w:rPr>
          <w:rFonts w:ascii="Times New Roman" w:hAnsi="Times New Roman" w:cs="Times New Roman"/>
          <w:sz w:val="24"/>
        </w:rPr>
        <w:t xml:space="preserve">, M., </w:t>
      </w:r>
      <w:proofErr w:type="spellStart"/>
      <w:r w:rsidRPr="00562A7E">
        <w:rPr>
          <w:rFonts w:ascii="Times New Roman" w:hAnsi="Times New Roman" w:cs="Times New Roman"/>
          <w:sz w:val="24"/>
        </w:rPr>
        <w:t>Roos</w:t>
      </w:r>
      <w:proofErr w:type="spellEnd"/>
      <w:r w:rsidRPr="00562A7E">
        <w:rPr>
          <w:rFonts w:ascii="Times New Roman" w:hAnsi="Times New Roman" w:cs="Times New Roman"/>
          <w:sz w:val="24"/>
        </w:rPr>
        <w:t>, L., van den Brom, R., &amp; van Rijn, P. A. (2024). Emergence of bluetongue virus serotype 3, the Netherlands, September 2023. Emerging Infectious Diseases, 30(8), 1552–1561. https://doi.org/10.3201/eid3008.231331</w:t>
      </w:r>
    </w:p>
    <w:p w14:paraId="350353C9"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 xml:space="preserve">Jacquot, M., Nomikou, K., </w:t>
      </w:r>
      <w:proofErr w:type="spellStart"/>
      <w:r w:rsidRPr="00562A7E">
        <w:rPr>
          <w:rFonts w:ascii="Times New Roman" w:hAnsi="Times New Roman" w:cs="Times New Roman"/>
          <w:sz w:val="24"/>
        </w:rPr>
        <w:t>Palmarini</w:t>
      </w:r>
      <w:proofErr w:type="spellEnd"/>
      <w:r w:rsidRPr="00562A7E">
        <w:rPr>
          <w:rFonts w:ascii="Times New Roman" w:hAnsi="Times New Roman" w:cs="Times New Roman"/>
          <w:sz w:val="24"/>
        </w:rPr>
        <w:t>, M., Mertens, P., &amp; Biek, R. (2017). Bluetongue virus spread in Europe is a consequence of climatic, landscape and vertebrate host factors as revealed by phylogeographic inference. Proceedings of the Royal Society B: Biological Sciences, 284(1864), 20170919. https://doi.org/10.1098/rspb.2017.0919</w:t>
      </w:r>
    </w:p>
    <w:p w14:paraId="5BB20628"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Jiménez-Cabello, L., Utrilla-Trigo, S., Calvo-Pinilla, E., Lorenzo, G., Illescas-Amo, M., Benavides, J., Moreno, S., Marín-López, A., Nogales, A., &amp; Ortego, J. (2024). Co-expression of VP2, NS1 and NS2-Nt proteins by an MVA viral vector induces complete protection against bluetongue virus. Frontiers in Immunology, 15, 1440407. https://doi.org/10.3389/fimmu.2024.1440407</w:t>
      </w:r>
    </w:p>
    <w:p w14:paraId="57A318F4"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Jiménez-Cabello, L., Utrilla-Trigo, S., Calvo-Pinilla, E., Moreno, S., Nogales, A., Ortego, J., &amp; Marín-López, A. (2021). Viral vector vaccines against bluetongue virus. Microorganisms, 9(1), 42. https://doi.org/10.3390/microorganisms9010042</w:t>
      </w:r>
    </w:p>
    <w:p w14:paraId="27011C1D"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lastRenderedPageBreak/>
        <w:t xml:space="preserve">Jones, A. E., Turner, J., </w:t>
      </w:r>
      <w:proofErr w:type="spellStart"/>
      <w:r w:rsidRPr="00562A7E">
        <w:rPr>
          <w:rFonts w:ascii="Times New Roman" w:hAnsi="Times New Roman" w:cs="Times New Roman"/>
          <w:sz w:val="24"/>
        </w:rPr>
        <w:t>Caminade</w:t>
      </w:r>
      <w:proofErr w:type="spellEnd"/>
      <w:r w:rsidRPr="00562A7E">
        <w:rPr>
          <w:rFonts w:ascii="Times New Roman" w:hAnsi="Times New Roman" w:cs="Times New Roman"/>
          <w:sz w:val="24"/>
        </w:rPr>
        <w:t xml:space="preserve">, C., Heath, A. E., </w:t>
      </w:r>
      <w:proofErr w:type="spellStart"/>
      <w:r w:rsidRPr="00562A7E">
        <w:rPr>
          <w:rFonts w:ascii="Times New Roman" w:hAnsi="Times New Roman" w:cs="Times New Roman"/>
          <w:sz w:val="24"/>
        </w:rPr>
        <w:t>Wardeh</w:t>
      </w:r>
      <w:proofErr w:type="spellEnd"/>
      <w:r w:rsidRPr="00562A7E">
        <w:rPr>
          <w:rFonts w:ascii="Times New Roman" w:hAnsi="Times New Roman" w:cs="Times New Roman"/>
          <w:sz w:val="24"/>
        </w:rPr>
        <w:t xml:space="preserve">, M., </w:t>
      </w:r>
      <w:proofErr w:type="spellStart"/>
      <w:r w:rsidRPr="00562A7E">
        <w:rPr>
          <w:rFonts w:ascii="Times New Roman" w:hAnsi="Times New Roman" w:cs="Times New Roman"/>
          <w:sz w:val="24"/>
        </w:rPr>
        <w:t>Kluiters</w:t>
      </w:r>
      <w:proofErr w:type="spellEnd"/>
      <w:r w:rsidRPr="00562A7E">
        <w:rPr>
          <w:rFonts w:ascii="Times New Roman" w:hAnsi="Times New Roman" w:cs="Times New Roman"/>
          <w:sz w:val="24"/>
        </w:rPr>
        <w:t>, G., Diggle, P., Morse, A. P., &amp; Baylis, M. (2019). Bluetongue risk under future climates. Nature Climate Change, 9(2), 153–157. https://doi.org/10.1038/s41558-018-0376-6</w:t>
      </w:r>
    </w:p>
    <w:p w14:paraId="70A04558"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proofErr w:type="spellStart"/>
      <w:r w:rsidRPr="00562A7E">
        <w:rPr>
          <w:rFonts w:ascii="Times New Roman" w:hAnsi="Times New Roman" w:cs="Times New Roman"/>
          <w:sz w:val="24"/>
        </w:rPr>
        <w:t>Kluiters</w:t>
      </w:r>
      <w:proofErr w:type="spellEnd"/>
      <w:r w:rsidRPr="00562A7E">
        <w:rPr>
          <w:rFonts w:ascii="Times New Roman" w:hAnsi="Times New Roman" w:cs="Times New Roman"/>
          <w:sz w:val="24"/>
        </w:rPr>
        <w:t xml:space="preserve">, G., Sugden, D., </w:t>
      </w:r>
      <w:proofErr w:type="spellStart"/>
      <w:r w:rsidRPr="00562A7E">
        <w:rPr>
          <w:rFonts w:ascii="Times New Roman" w:hAnsi="Times New Roman" w:cs="Times New Roman"/>
          <w:sz w:val="24"/>
        </w:rPr>
        <w:t>Guis</w:t>
      </w:r>
      <w:proofErr w:type="spellEnd"/>
      <w:r w:rsidRPr="00562A7E">
        <w:rPr>
          <w:rFonts w:ascii="Times New Roman" w:hAnsi="Times New Roman" w:cs="Times New Roman"/>
          <w:sz w:val="24"/>
        </w:rPr>
        <w:t>, H., McIntyre, K. M., Labuschagne, K., Vilar, M. J., &amp; Baylis, M. (2013). Modelling the spatial distribution of Culicoides biting midges at the local scale. Journal of Applied Ecology, 50(1), 232–242. https://doi.org/10.1111/1365-2664.12030</w:t>
      </w:r>
    </w:p>
    <w:p w14:paraId="4F9145BE"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MacLachlan, N. J., Drew, C. P., Darpel, K. E., &amp; Worwa, G. (2009). The pathology and pathogenesis of bluetongue. Journal of Comparative Pathology, 141(1), 1–16. https://doi.org/10.1016/j.jcpa.2009.04.003</w:t>
      </w:r>
    </w:p>
    <w:p w14:paraId="132D5EC5"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 xml:space="preserve">MacLachlan, N. J., &amp; Guthrie, A. J. (2010). Re-emergence of bluetongue, African horse sickness, and other </w:t>
      </w:r>
      <w:proofErr w:type="spellStart"/>
      <w:r w:rsidRPr="00562A7E">
        <w:rPr>
          <w:rFonts w:ascii="Times New Roman" w:hAnsi="Times New Roman" w:cs="Times New Roman"/>
          <w:sz w:val="24"/>
        </w:rPr>
        <w:t>orbivirus</w:t>
      </w:r>
      <w:proofErr w:type="spellEnd"/>
      <w:r w:rsidRPr="00562A7E">
        <w:rPr>
          <w:rFonts w:ascii="Times New Roman" w:hAnsi="Times New Roman" w:cs="Times New Roman"/>
          <w:sz w:val="24"/>
        </w:rPr>
        <w:t xml:space="preserve"> diseases. Veterinary Research, 41, 35. https://doi.org/10.1051/vetres/2010007</w:t>
      </w:r>
    </w:p>
    <w:p w14:paraId="4E996FC0"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MacLachlan, N. J., &amp; Mayo, C. E. (2013). Potential strategies for control of bluetongue, a globally emerging, Culicoides-transmitted viral disease of ruminant livestock and wildlife. Antiviral Research, 99(2), 79–90. https://doi.org/10.1016/j.antiviral.2013.04.021</w:t>
      </w:r>
    </w:p>
    <w:p w14:paraId="6F60FDD3"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 xml:space="preserve">MacLachlan, N. J., Mayo, C. E., Daniels, P. W., Savini, G., Zientara, S., &amp; Gibbs, E. P. J. (2015). Bluetongue. Revue Scientifique et Technique de </w:t>
      </w:r>
      <w:proofErr w:type="spellStart"/>
      <w:r w:rsidRPr="00562A7E">
        <w:rPr>
          <w:rFonts w:ascii="Times New Roman" w:hAnsi="Times New Roman" w:cs="Times New Roman"/>
          <w:sz w:val="24"/>
        </w:rPr>
        <w:t>l’OIE</w:t>
      </w:r>
      <w:proofErr w:type="spellEnd"/>
      <w:r w:rsidRPr="00562A7E">
        <w:rPr>
          <w:rFonts w:ascii="Times New Roman" w:hAnsi="Times New Roman" w:cs="Times New Roman"/>
          <w:sz w:val="24"/>
        </w:rPr>
        <w:t>, 34(2), 329–340. https://doi.org/10.20506/rst.34.2.2360</w:t>
      </w:r>
    </w:p>
    <w:p w14:paraId="76F68920"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McVey, D. S., &amp; MacLachlan, N. J. (2015). Vaccines for prevention of bluetongue and epizootic hemorrhagic disease in livestock: A North American perspective. Vector-Borne and Zoonotic Diseases, 15(6), 385–396. https://doi.org/10.1089/vbz.2014.1698</w:t>
      </w:r>
    </w:p>
    <w:p w14:paraId="6AF78C08"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Mellor, P. S., Carpenter, S., Harrup, L., Baylis, M., &amp; Mertens, P. P. C. (2008). Bluetongue in Europe and the Mediterranean Basin: History of occurrence prior to 2006. Preventive Veterinary Medicine, 87(1–2), 4–20. https://doi.org/10.1016/j.prevetmed.2008.06.002</w:t>
      </w:r>
    </w:p>
    <w:p w14:paraId="35C3EF0A"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proofErr w:type="spellStart"/>
      <w:r w:rsidRPr="00562A7E">
        <w:rPr>
          <w:rFonts w:ascii="Times New Roman" w:hAnsi="Times New Roman" w:cs="Times New Roman"/>
          <w:sz w:val="24"/>
        </w:rPr>
        <w:t>Mignotte</w:t>
      </w:r>
      <w:proofErr w:type="spellEnd"/>
      <w:r w:rsidRPr="00562A7E">
        <w:rPr>
          <w:rFonts w:ascii="Times New Roman" w:hAnsi="Times New Roman" w:cs="Times New Roman"/>
          <w:sz w:val="24"/>
        </w:rPr>
        <w:t xml:space="preserve">, A., Garros, C., </w:t>
      </w:r>
      <w:proofErr w:type="spellStart"/>
      <w:r w:rsidRPr="00562A7E">
        <w:rPr>
          <w:rFonts w:ascii="Times New Roman" w:hAnsi="Times New Roman" w:cs="Times New Roman"/>
          <w:sz w:val="24"/>
        </w:rPr>
        <w:t>Dellicour</w:t>
      </w:r>
      <w:proofErr w:type="spellEnd"/>
      <w:r w:rsidRPr="00562A7E">
        <w:rPr>
          <w:rFonts w:ascii="Times New Roman" w:hAnsi="Times New Roman" w:cs="Times New Roman"/>
          <w:sz w:val="24"/>
        </w:rPr>
        <w:t xml:space="preserve">, S., Jacquot, M., Gilbert, M., </w:t>
      </w:r>
      <w:proofErr w:type="spellStart"/>
      <w:r w:rsidRPr="00562A7E">
        <w:rPr>
          <w:rFonts w:ascii="Times New Roman" w:hAnsi="Times New Roman" w:cs="Times New Roman"/>
          <w:sz w:val="24"/>
        </w:rPr>
        <w:t>Gardès</w:t>
      </w:r>
      <w:proofErr w:type="spellEnd"/>
      <w:r w:rsidRPr="00562A7E">
        <w:rPr>
          <w:rFonts w:ascii="Times New Roman" w:hAnsi="Times New Roman" w:cs="Times New Roman"/>
          <w:sz w:val="24"/>
        </w:rPr>
        <w:t xml:space="preserve">, L., </w:t>
      </w:r>
      <w:proofErr w:type="spellStart"/>
      <w:r w:rsidRPr="00562A7E">
        <w:rPr>
          <w:rFonts w:ascii="Times New Roman" w:hAnsi="Times New Roman" w:cs="Times New Roman"/>
          <w:sz w:val="24"/>
        </w:rPr>
        <w:t>Balenghien</w:t>
      </w:r>
      <w:proofErr w:type="spellEnd"/>
      <w:r w:rsidRPr="00562A7E">
        <w:rPr>
          <w:rFonts w:ascii="Times New Roman" w:hAnsi="Times New Roman" w:cs="Times New Roman"/>
          <w:sz w:val="24"/>
        </w:rPr>
        <w:t xml:space="preserve">, T., </w:t>
      </w:r>
      <w:proofErr w:type="spellStart"/>
      <w:r w:rsidRPr="00562A7E">
        <w:rPr>
          <w:rFonts w:ascii="Times New Roman" w:hAnsi="Times New Roman" w:cs="Times New Roman"/>
          <w:sz w:val="24"/>
        </w:rPr>
        <w:t>Duhayon</w:t>
      </w:r>
      <w:proofErr w:type="spellEnd"/>
      <w:r w:rsidRPr="00562A7E">
        <w:rPr>
          <w:rFonts w:ascii="Times New Roman" w:hAnsi="Times New Roman" w:cs="Times New Roman"/>
          <w:sz w:val="24"/>
        </w:rPr>
        <w:t xml:space="preserve">, M., Rakotoarivony, I., de </w:t>
      </w:r>
      <w:proofErr w:type="spellStart"/>
      <w:r w:rsidRPr="00562A7E">
        <w:rPr>
          <w:rFonts w:ascii="Times New Roman" w:hAnsi="Times New Roman" w:cs="Times New Roman"/>
          <w:sz w:val="24"/>
        </w:rPr>
        <w:t>Wavrechin</w:t>
      </w:r>
      <w:proofErr w:type="spellEnd"/>
      <w:r w:rsidRPr="00562A7E">
        <w:rPr>
          <w:rFonts w:ascii="Times New Roman" w:hAnsi="Times New Roman" w:cs="Times New Roman"/>
          <w:sz w:val="24"/>
        </w:rPr>
        <w:t xml:space="preserve">, M., &amp; Huber, K. (2021). High dispersal capacity of Culicoides obsoletus (Diptera: Ceratopogonidae), vector of bluetongue and </w:t>
      </w:r>
      <w:proofErr w:type="spellStart"/>
      <w:r w:rsidRPr="00562A7E">
        <w:rPr>
          <w:rFonts w:ascii="Times New Roman" w:hAnsi="Times New Roman" w:cs="Times New Roman"/>
          <w:sz w:val="24"/>
        </w:rPr>
        <w:t>Schmallenberg</w:t>
      </w:r>
      <w:proofErr w:type="spellEnd"/>
      <w:r w:rsidRPr="00562A7E">
        <w:rPr>
          <w:rFonts w:ascii="Times New Roman" w:hAnsi="Times New Roman" w:cs="Times New Roman"/>
          <w:sz w:val="24"/>
        </w:rPr>
        <w:t xml:space="preserve"> viruses, revealed by landscape genetic analyses. Parasites &amp; Vectors, 14, 93. https://doi.org/10.1186/s13071-020-04522-3</w:t>
      </w:r>
    </w:p>
    <w:p w14:paraId="38B62E45"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proofErr w:type="spellStart"/>
      <w:r w:rsidRPr="00562A7E">
        <w:rPr>
          <w:rFonts w:ascii="Times New Roman" w:hAnsi="Times New Roman" w:cs="Times New Roman"/>
          <w:sz w:val="24"/>
        </w:rPr>
        <w:t>Mintiens</w:t>
      </w:r>
      <w:proofErr w:type="spellEnd"/>
      <w:r w:rsidRPr="00562A7E">
        <w:rPr>
          <w:rFonts w:ascii="Times New Roman" w:hAnsi="Times New Roman" w:cs="Times New Roman"/>
          <w:sz w:val="24"/>
        </w:rPr>
        <w:t xml:space="preserve">, K., </w:t>
      </w:r>
      <w:proofErr w:type="spellStart"/>
      <w:r w:rsidRPr="00562A7E">
        <w:rPr>
          <w:rFonts w:ascii="Times New Roman" w:hAnsi="Times New Roman" w:cs="Times New Roman"/>
          <w:sz w:val="24"/>
        </w:rPr>
        <w:t>Méroc</w:t>
      </w:r>
      <w:proofErr w:type="spellEnd"/>
      <w:r w:rsidRPr="00562A7E">
        <w:rPr>
          <w:rFonts w:ascii="Times New Roman" w:hAnsi="Times New Roman" w:cs="Times New Roman"/>
          <w:sz w:val="24"/>
        </w:rPr>
        <w:t>, E., Mellor, P. S., Staubach, C., Gerbier, G., Elbers, A. R. W., Hendrickx, G., &amp; De Clercq, K. (2008). Possible routes of introduction of bluetongue virus serotype 8 into the epicentre of the 2006 epidemic in north-western Europe. Preventive Veterinary Medicine, 87(1–2), 131–144. https://doi.org/10.1016/j.prevetmed.2008.06.011</w:t>
      </w:r>
    </w:p>
    <w:p w14:paraId="4019EC86"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 xml:space="preserve">Nicolas, G., Tisseuil, C., Conte, A., </w:t>
      </w:r>
      <w:proofErr w:type="spellStart"/>
      <w:r w:rsidRPr="00562A7E">
        <w:rPr>
          <w:rFonts w:ascii="Times New Roman" w:hAnsi="Times New Roman" w:cs="Times New Roman"/>
          <w:sz w:val="24"/>
        </w:rPr>
        <w:t>Allepuz</w:t>
      </w:r>
      <w:proofErr w:type="spellEnd"/>
      <w:r w:rsidRPr="00562A7E">
        <w:rPr>
          <w:rFonts w:ascii="Times New Roman" w:hAnsi="Times New Roman" w:cs="Times New Roman"/>
          <w:sz w:val="24"/>
        </w:rPr>
        <w:t xml:space="preserve">, A., </w:t>
      </w:r>
      <w:proofErr w:type="spellStart"/>
      <w:r w:rsidRPr="00562A7E">
        <w:rPr>
          <w:rFonts w:ascii="Times New Roman" w:hAnsi="Times New Roman" w:cs="Times New Roman"/>
          <w:sz w:val="24"/>
        </w:rPr>
        <w:t>Pioz</w:t>
      </w:r>
      <w:proofErr w:type="spellEnd"/>
      <w:r w:rsidRPr="00562A7E">
        <w:rPr>
          <w:rFonts w:ascii="Times New Roman" w:hAnsi="Times New Roman" w:cs="Times New Roman"/>
          <w:sz w:val="24"/>
        </w:rPr>
        <w:t>, M., Lancelot, R., &amp; Gilbert, M. (2018). Environmental heterogeneity and variations in the velocity of bluetongue virus spread in six European epidemics. Preventive Veterinary Medicine, 149, 1–9. https://doi.org/10.1016/j.prevetmed.2017.11.005</w:t>
      </w:r>
    </w:p>
    <w:p w14:paraId="3D93BA41"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proofErr w:type="spellStart"/>
      <w:r w:rsidRPr="00562A7E">
        <w:rPr>
          <w:rFonts w:ascii="Times New Roman" w:hAnsi="Times New Roman" w:cs="Times New Roman"/>
          <w:sz w:val="24"/>
        </w:rPr>
        <w:lastRenderedPageBreak/>
        <w:t>Paslaru</w:t>
      </w:r>
      <w:proofErr w:type="spellEnd"/>
      <w:r w:rsidRPr="00562A7E">
        <w:rPr>
          <w:rFonts w:ascii="Times New Roman" w:hAnsi="Times New Roman" w:cs="Times New Roman"/>
          <w:sz w:val="24"/>
        </w:rPr>
        <w:t>, A. I., Mathis, A., Torgerson, P., &amp; Veronesi, E. (2018). Vector competence of pre-alpine Culicoides (Diptera: Ceratopogonidae) for bluetongue virus serotypes 1, 4 and 8. Parasites &amp; Vectors, 11, 466. https://doi.org/10.1186/s13071-018-3050-y</w:t>
      </w:r>
    </w:p>
    <w:p w14:paraId="675D26D4"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Patel, A., &amp; Roy, P. (2014). The molecular biology of bluetongue virus replication. Virus Research, 182, 5–20. https://doi.org/10.1016/j.virusres.2013.12.017</w:t>
      </w:r>
    </w:p>
    <w:p w14:paraId="7BA77D56"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Purse, B. V., Carpenter, S., Venter, G. J., Bellis, G., &amp; Mullens, B. A. (2015). Bionomics of temperate and tropical Culicoides midges: Knowledge gaps and consequences for transmission of Culicoides-borne viruses. Annual Review of Entomology, 60, 373–392. https://doi.org/10.1146/annurev-ento-010814-020614</w:t>
      </w:r>
    </w:p>
    <w:p w14:paraId="638042C7"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Purse, B. V., Mellor, P. S., Rogers, D. J., Samuel, A. R., Mertens, P. P. C., &amp; Baylis, M. (2005). Climate change and the recent emergence of bluetongue in Europe. Nature Reviews Microbiology, 3(2), 171–181. https://doi.org/10.1038/nrmicro1090</w:t>
      </w:r>
    </w:p>
    <w:p w14:paraId="4A8EB3EB"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Ruder, M. G., Lysyk, T. J., Stallknecht, D. E., Foil, L. D., Johnson, D. J., Chase, C. C., Dargatz, D. A., &amp; Gibbs, E. P. J. (2015). Transmission and epidemiology of bluetongue and epizootic hemorrhagic disease in North America: Current perspectives, research gaps, and future directions. Vector-Borne and Zoonotic Diseases, 15(6), 348–363. https://doi.org/10.1089/vbz.2014.1703</w:t>
      </w:r>
    </w:p>
    <w:p w14:paraId="5F99203A"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proofErr w:type="spellStart"/>
      <w:r w:rsidRPr="00562A7E">
        <w:rPr>
          <w:rFonts w:ascii="Times New Roman" w:hAnsi="Times New Roman" w:cs="Times New Roman"/>
          <w:sz w:val="24"/>
        </w:rPr>
        <w:t>Saminathan</w:t>
      </w:r>
      <w:proofErr w:type="spellEnd"/>
      <w:r w:rsidRPr="00562A7E">
        <w:rPr>
          <w:rFonts w:ascii="Times New Roman" w:hAnsi="Times New Roman" w:cs="Times New Roman"/>
          <w:sz w:val="24"/>
        </w:rPr>
        <w:t xml:space="preserve">, M., Singh, K. P., </w:t>
      </w:r>
      <w:proofErr w:type="spellStart"/>
      <w:r w:rsidRPr="00562A7E">
        <w:rPr>
          <w:rFonts w:ascii="Times New Roman" w:hAnsi="Times New Roman" w:cs="Times New Roman"/>
          <w:sz w:val="24"/>
        </w:rPr>
        <w:t>Khorajiya</w:t>
      </w:r>
      <w:proofErr w:type="spellEnd"/>
      <w:r w:rsidRPr="00562A7E">
        <w:rPr>
          <w:rFonts w:ascii="Times New Roman" w:hAnsi="Times New Roman" w:cs="Times New Roman"/>
          <w:sz w:val="24"/>
        </w:rPr>
        <w:t xml:space="preserve">, J. H., Dinesh, M., Vineetha, S., Maity, M., Rahman, A. T. F., Misri, J., Malik, Y. S., Gupta, V. K., Singh, R. K., &amp; </w:t>
      </w:r>
      <w:proofErr w:type="spellStart"/>
      <w:r w:rsidRPr="00562A7E">
        <w:rPr>
          <w:rFonts w:ascii="Times New Roman" w:hAnsi="Times New Roman" w:cs="Times New Roman"/>
          <w:sz w:val="24"/>
        </w:rPr>
        <w:t>Dhama</w:t>
      </w:r>
      <w:proofErr w:type="spellEnd"/>
      <w:r w:rsidRPr="00562A7E">
        <w:rPr>
          <w:rFonts w:ascii="Times New Roman" w:hAnsi="Times New Roman" w:cs="Times New Roman"/>
          <w:sz w:val="24"/>
        </w:rPr>
        <w:t>, K. (2020). An updated review on bluetongue virus: Epidemiology, pathobiology, and advances in diagnosis and control with special reference to India. Veterinary Quarterly, 40(1), 258–321. https://doi.org/10.1080/01652176.2020.1831708</w:t>
      </w:r>
    </w:p>
    <w:p w14:paraId="10763374"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Samy, A. M., &amp; Peterson, A. T. (2016). Climate change influences on the global potential distribution of bluetongue virus. PLOS ONE, 11(3), e0150489. https://doi.org/10.1371/journal.pone.0150489</w:t>
      </w:r>
    </w:p>
    <w:p w14:paraId="21A0AF93"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Sanders, C., Veronesi, E., Rajko-Nenow, P., Mertens, P. P. C., Batten, C., Gubbins, S., Carpenter, S., &amp; Darpel, K. (2022). Field-reassortment of bluetongue virus illustrates plasticity of virus-associated phenotypic traits in the arthropod vector and mammalian host in vivo. Journal of Virology, 96(13), e00531-22. https://doi.org/10.1128/jvi.00531-22</w:t>
      </w:r>
    </w:p>
    <w:p w14:paraId="2C7C6A5A"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Santman-Berends, I. M. G. A., Brouwer-</w:t>
      </w:r>
      <w:proofErr w:type="spellStart"/>
      <w:r w:rsidRPr="00562A7E">
        <w:rPr>
          <w:rFonts w:ascii="Times New Roman" w:hAnsi="Times New Roman" w:cs="Times New Roman"/>
          <w:sz w:val="24"/>
        </w:rPr>
        <w:t>Middelesch</w:t>
      </w:r>
      <w:proofErr w:type="spellEnd"/>
      <w:r w:rsidRPr="00562A7E">
        <w:rPr>
          <w:rFonts w:ascii="Times New Roman" w:hAnsi="Times New Roman" w:cs="Times New Roman"/>
          <w:sz w:val="24"/>
        </w:rPr>
        <w:t xml:space="preserve">, H., Van </w:t>
      </w:r>
      <w:proofErr w:type="spellStart"/>
      <w:r w:rsidRPr="00562A7E">
        <w:rPr>
          <w:rFonts w:ascii="Times New Roman" w:hAnsi="Times New Roman" w:cs="Times New Roman"/>
          <w:sz w:val="24"/>
        </w:rPr>
        <w:t>Wuijckhuise</w:t>
      </w:r>
      <w:proofErr w:type="spellEnd"/>
      <w:r w:rsidRPr="00562A7E">
        <w:rPr>
          <w:rFonts w:ascii="Times New Roman" w:hAnsi="Times New Roman" w:cs="Times New Roman"/>
          <w:sz w:val="24"/>
        </w:rPr>
        <w:t>, L., de Bont-Smolenaars, A. J. G., &amp; Van Schaik, G. (2016). Surveillance of cattle health in the Netherlands: Monitoring trends and developments using routinely collected cattle census data. Preventive Veterinary Medicine, 134, 103–112. https://doi.org/10.1016/j.prevetmed.2016.10.002</w:t>
      </w:r>
    </w:p>
    <w:p w14:paraId="3C08D144"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 xml:space="preserve">Santman-Berends, I. M. G. A., </w:t>
      </w:r>
      <w:proofErr w:type="spellStart"/>
      <w:r w:rsidRPr="00562A7E">
        <w:rPr>
          <w:rFonts w:ascii="Times New Roman" w:hAnsi="Times New Roman" w:cs="Times New Roman"/>
          <w:sz w:val="24"/>
        </w:rPr>
        <w:t>Dijktra</w:t>
      </w:r>
      <w:proofErr w:type="spellEnd"/>
      <w:r w:rsidRPr="00562A7E">
        <w:rPr>
          <w:rFonts w:ascii="Times New Roman" w:hAnsi="Times New Roman" w:cs="Times New Roman"/>
          <w:sz w:val="24"/>
        </w:rPr>
        <w:t>, E., van den Brink, K. M. J. A., van den Brom, R., Fabri, N., Ter Bogt-Kappert, C., Mars, M. H., &amp; Veldhuis, A. M. B. (2026). Seroprevalence of bluetongue serotype 3 and associated risk factors in Dutch sheep: An analysis of the variation of between- and within-farm prevalences following the first epidemic year. Preventive Veterinary Medicine, 246, 106699. https://doi.org/10.1016/j.prevetmed.2025.106699</w:t>
      </w:r>
    </w:p>
    <w:p w14:paraId="3950FDFD"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lastRenderedPageBreak/>
        <w:t xml:space="preserve">Santman-Berends, I. M. G. A., van den Brink, K. M. J. A., Dijkstra, E., van Schaik, G., </w:t>
      </w:r>
      <w:proofErr w:type="spellStart"/>
      <w:r w:rsidRPr="00562A7E">
        <w:rPr>
          <w:rFonts w:ascii="Times New Roman" w:hAnsi="Times New Roman" w:cs="Times New Roman"/>
          <w:sz w:val="24"/>
        </w:rPr>
        <w:t>Spierenburg</w:t>
      </w:r>
      <w:proofErr w:type="spellEnd"/>
      <w:r w:rsidRPr="00562A7E">
        <w:rPr>
          <w:rFonts w:ascii="Times New Roman" w:hAnsi="Times New Roman" w:cs="Times New Roman"/>
          <w:sz w:val="24"/>
        </w:rPr>
        <w:t>, M. A. H., &amp; van den Brom, R. (2024). The impact of the bluetongue serotype 3 outbreak on sheep and goat mortality in the Netherlands in 2023. Preventive Veterinary Medicine, 231, 106289. https://doi.org/10.1016/j.prevetmed.2024.106289</w:t>
      </w:r>
    </w:p>
    <w:p w14:paraId="732C960B"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 xml:space="preserve">Savini, G., Hamers, C., Conte, A., Migliaccio, P., Bonfini, B., </w:t>
      </w:r>
      <w:proofErr w:type="spellStart"/>
      <w:r w:rsidRPr="00562A7E">
        <w:rPr>
          <w:rFonts w:ascii="Times New Roman" w:hAnsi="Times New Roman" w:cs="Times New Roman"/>
          <w:sz w:val="24"/>
        </w:rPr>
        <w:t>Teodori</w:t>
      </w:r>
      <w:proofErr w:type="spellEnd"/>
      <w:r w:rsidRPr="00562A7E">
        <w:rPr>
          <w:rFonts w:ascii="Times New Roman" w:hAnsi="Times New Roman" w:cs="Times New Roman"/>
          <w:sz w:val="24"/>
        </w:rPr>
        <w:t xml:space="preserve">, L., Di Ventura, M., </w:t>
      </w:r>
      <w:proofErr w:type="spellStart"/>
      <w:r w:rsidRPr="00562A7E">
        <w:rPr>
          <w:rFonts w:ascii="Times New Roman" w:hAnsi="Times New Roman" w:cs="Times New Roman"/>
          <w:sz w:val="24"/>
        </w:rPr>
        <w:t>Hudelet</w:t>
      </w:r>
      <w:proofErr w:type="spellEnd"/>
      <w:r w:rsidRPr="00562A7E">
        <w:rPr>
          <w:rFonts w:ascii="Times New Roman" w:hAnsi="Times New Roman" w:cs="Times New Roman"/>
          <w:sz w:val="24"/>
        </w:rPr>
        <w:t>, P., Schumacher, C., &amp; Caporale, V. (2009). Assessment of efficacy of a bivalent BTV-2 and BTV-4 inactivated vaccine by vaccination and challenge in cattle. Veterinary Microbiology, 133(1–2), 1–8. https://doi.org/10.1016/j.vetmic.2008.05.032</w:t>
      </w:r>
    </w:p>
    <w:p w14:paraId="10851A9C"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Sukhera, J. (2022). Narrative reviews: Flexible, rigorous, and practical. Journal of Graduate Medical Education, 14(4), 414–417. https://doi.org/10.4300/JGME-D-22-00480.1</w:t>
      </w:r>
    </w:p>
    <w:p w14:paraId="5D5A9AD4"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Sumner, T., Orton, R. J., Green, D. M., Kao, R. R., &amp; Gubbins, S. (2017). Quantifying the roles of host movement and vector dispersal in the transmission of vector-borne diseases of livestock. PLOS Computational Biology, 13(4), e1005470. https://doi.org/10.1371/journal.pcbi.1005470</w:t>
      </w:r>
    </w:p>
    <w:p w14:paraId="77F28DC8"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Turner, J., Bowers, R. G., &amp; Baylis, M. (2012). Modelling bluetongue virus transmission between farms using animal and vector movements. Scientific Reports, 2, 319. https://doi.org/10.1038/srep00319</w:t>
      </w:r>
    </w:p>
    <w:p w14:paraId="2F361889"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proofErr w:type="spellStart"/>
      <w:r w:rsidRPr="00562A7E">
        <w:rPr>
          <w:rFonts w:ascii="Times New Roman" w:hAnsi="Times New Roman" w:cs="Times New Roman"/>
          <w:sz w:val="24"/>
        </w:rPr>
        <w:t>Uiterwijk</w:t>
      </w:r>
      <w:proofErr w:type="spellEnd"/>
      <w:r w:rsidRPr="00562A7E">
        <w:rPr>
          <w:rFonts w:ascii="Times New Roman" w:hAnsi="Times New Roman" w:cs="Times New Roman"/>
          <w:sz w:val="24"/>
        </w:rPr>
        <w:t xml:space="preserve">, M., Jacobs, F., de Boer, K., Feddema, A.-J., </w:t>
      </w:r>
      <w:proofErr w:type="spellStart"/>
      <w:r w:rsidRPr="00562A7E">
        <w:rPr>
          <w:rFonts w:ascii="Times New Roman" w:hAnsi="Times New Roman" w:cs="Times New Roman"/>
          <w:sz w:val="24"/>
        </w:rPr>
        <w:t>Vloet</w:t>
      </w:r>
      <w:proofErr w:type="spellEnd"/>
      <w:r w:rsidRPr="00562A7E">
        <w:rPr>
          <w:rFonts w:ascii="Times New Roman" w:hAnsi="Times New Roman" w:cs="Times New Roman"/>
          <w:sz w:val="24"/>
        </w:rPr>
        <w:t>, R. P. M., Dik, M., Gonzales, J. L., van Rijn, P. A., Elbers, A. R. W., &amp; Holwerda, M. (2026). Culicoides species involved in the BTV-3 epidemic, the Netherlands, 2023–2024. Medical and Veterinary Entomology, 40(1), 111–122. https://doi.org/10.1111/mve.70007</w:t>
      </w:r>
    </w:p>
    <w:p w14:paraId="49580261"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 xml:space="preserve">van den Brink, K. M. J. A., Santman-Berends, I. M. G. A., Harkema, L., </w:t>
      </w:r>
      <w:proofErr w:type="spellStart"/>
      <w:r w:rsidRPr="00562A7E">
        <w:rPr>
          <w:rFonts w:ascii="Times New Roman" w:hAnsi="Times New Roman" w:cs="Times New Roman"/>
          <w:sz w:val="24"/>
        </w:rPr>
        <w:t>Scherpenzeel</w:t>
      </w:r>
      <w:proofErr w:type="spellEnd"/>
      <w:r w:rsidRPr="00562A7E">
        <w:rPr>
          <w:rFonts w:ascii="Times New Roman" w:hAnsi="Times New Roman" w:cs="Times New Roman"/>
          <w:sz w:val="24"/>
        </w:rPr>
        <w:t xml:space="preserve">, C. G. M., Dijkstra, E., Bisschop, P. I. H., Peterson, K., Snijders van de </w:t>
      </w:r>
      <w:proofErr w:type="spellStart"/>
      <w:r w:rsidRPr="00562A7E">
        <w:rPr>
          <w:rFonts w:ascii="Times New Roman" w:hAnsi="Times New Roman" w:cs="Times New Roman"/>
          <w:sz w:val="24"/>
        </w:rPr>
        <w:t>Burgwal</w:t>
      </w:r>
      <w:proofErr w:type="spellEnd"/>
      <w:r w:rsidRPr="00562A7E">
        <w:rPr>
          <w:rFonts w:ascii="Times New Roman" w:hAnsi="Times New Roman" w:cs="Times New Roman"/>
          <w:sz w:val="24"/>
        </w:rPr>
        <w:t xml:space="preserve">, N., Waldeck, H. W. F., Dijkstra, T., Holwerda, M., </w:t>
      </w:r>
      <w:proofErr w:type="spellStart"/>
      <w:r w:rsidRPr="00562A7E">
        <w:rPr>
          <w:rFonts w:ascii="Times New Roman" w:hAnsi="Times New Roman" w:cs="Times New Roman"/>
          <w:sz w:val="24"/>
        </w:rPr>
        <w:t>Spierenburg</w:t>
      </w:r>
      <w:proofErr w:type="spellEnd"/>
      <w:r w:rsidRPr="00562A7E">
        <w:rPr>
          <w:rFonts w:ascii="Times New Roman" w:hAnsi="Times New Roman" w:cs="Times New Roman"/>
          <w:sz w:val="24"/>
        </w:rPr>
        <w:t>, M. A. H., &amp; van den Brom, R. (2024). Bluetongue virus serotype 3 in ruminants in the Netherlands: Clinical signs, seroprevalence and pathological findings. Veterinary Record, 195(4), e4533. https://doi.org/10.1002/vetr.4533</w:t>
      </w:r>
    </w:p>
    <w:p w14:paraId="50602F6F"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 xml:space="preserve">van den Brom, R., Santman-Berends, I., van der Heijden, M. G., </w:t>
      </w:r>
      <w:proofErr w:type="spellStart"/>
      <w:r w:rsidRPr="00562A7E">
        <w:rPr>
          <w:rFonts w:ascii="Times New Roman" w:hAnsi="Times New Roman" w:cs="Times New Roman"/>
          <w:sz w:val="24"/>
        </w:rPr>
        <w:t>Harders</w:t>
      </w:r>
      <w:proofErr w:type="spellEnd"/>
      <w:r w:rsidRPr="00562A7E">
        <w:rPr>
          <w:rFonts w:ascii="Times New Roman" w:hAnsi="Times New Roman" w:cs="Times New Roman"/>
          <w:sz w:val="24"/>
        </w:rPr>
        <w:t xml:space="preserve">, F., Engelsma, M., van Gennip, R. G. P., Maris-Veldhuis, M. A., Feddema, A.-J., Peterson, K., </w:t>
      </w:r>
      <w:proofErr w:type="spellStart"/>
      <w:r w:rsidRPr="00562A7E">
        <w:rPr>
          <w:rFonts w:ascii="Times New Roman" w:hAnsi="Times New Roman" w:cs="Times New Roman"/>
          <w:sz w:val="24"/>
        </w:rPr>
        <w:t>Golender</w:t>
      </w:r>
      <w:proofErr w:type="spellEnd"/>
      <w:r w:rsidRPr="00562A7E">
        <w:rPr>
          <w:rFonts w:ascii="Times New Roman" w:hAnsi="Times New Roman" w:cs="Times New Roman"/>
          <w:sz w:val="24"/>
        </w:rPr>
        <w:t xml:space="preserve">, N., </w:t>
      </w:r>
      <w:proofErr w:type="spellStart"/>
      <w:r w:rsidRPr="00562A7E">
        <w:rPr>
          <w:rFonts w:ascii="Times New Roman" w:hAnsi="Times New Roman" w:cs="Times New Roman"/>
          <w:sz w:val="24"/>
        </w:rPr>
        <w:t>Spierenburg</w:t>
      </w:r>
      <w:proofErr w:type="spellEnd"/>
      <w:r w:rsidRPr="00562A7E">
        <w:rPr>
          <w:rFonts w:ascii="Times New Roman" w:hAnsi="Times New Roman" w:cs="Times New Roman"/>
          <w:sz w:val="24"/>
        </w:rPr>
        <w:t>, M. A. H., van Rijn, P. A., &amp; Holwerda, M. (2025). Bluetongue virus serotype 12 in sheep and cattle in the Netherlands in 2024: A BTV serotype reported in Europe for the first time. Veterinary Microbiology, 301, 110365. https://doi.org/10.1016/j.vetmic.2024.110365</w:t>
      </w:r>
    </w:p>
    <w:p w14:paraId="15089A41"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 xml:space="preserve">Velthuis, A. G. J., Saatkamp, H. W., Mourits, M. C. M., de </w:t>
      </w:r>
      <w:proofErr w:type="spellStart"/>
      <w:r w:rsidRPr="00562A7E">
        <w:rPr>
          <w:rFonts w:ascii="Times New Roman" w:hAnsi="Times New Roman" w:cs="Times New Roman"/>
          <w:sz w:val="24"/>
        </w:rPr>
        <w:t>Koeijer</w:t>
      </w:r>
      <w:proofErr w:type="spellEnd"/>
      <w:r w:rsidRPr="00562A7E">
        <w:rPr>
          <w:rFonts w:ascii="Times New Roman" w:hAnsi="Times New Roman" w:cs="Times New Roman"/>
          <w:sz w:val="24"/>
        </w:rPr>
        <w:t>, A. A., &amp; Elbers, A. R. W. (2010). Financial consequences of the Dutch bluetongue serotype 8 epidemics of 2006 and 2007. Preventive Veterinary Medicine, 93(4), 294–304. https://doi.org/10.1016/j.prevetmed.2009.11.007</w:t>
      </w:r>
    </w:p>
    <w:p w14:paraId="06127CCB" w14:textId="77777777" w:rsidR="00562A7E"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t xml:space="preserve">Wäckerlin, R., </w:t>
      </w:r>
      <w:proofErr w:type="spellStart"/>
      <w:r w:rsidRPr="00562A7E">
        <w:rPr>
          <w:rFonts w:ascii="Times New Roman" w:hAnsi="Times New Roman" w:cs="Times New Roman"/>
          <w:sz w:val="24"/>
        </w:rPr>
        <w:t>Eschbaumer</w:t>
      </w:r>
      <w:proofErr w:type="spellEnd"/>
      <w:r w:rsidRPr="00562A7E">
        <w:rPr>
          <w:rFonts w:ascii="Times New Roman" w:hAnsi="Times New Roman" w:cs="Times New Roman"/>
          <w:sz w:val="24"/>
        </w:rPr>
        <w:t>, M., König, P., Hoffmann, B., &amp; Beer, M. (2010). Evaluation of humoral response and protective efficacy of three inactivated vaccines against bluetongue virus serotype 8 one year after vaccination of sheep and cattle. Vaccine, 28(27), 4348–4355. https://doi.org/10.1016/j.vaccine.2010.04.055</w:t>
      </w:r>
    </w:p>
    <w:p w14:paraId="0E4A2EAC" w14:textId="77777777" w:rsidR="004841B3" w:rsidRPr="00562A7E" w:rsidRDefault="00562A7E" w:rsidP="00562A7E">
      <w:pPr>
        <w:spacing w:before="100" w:beforeAutospacing="1" w:after="100" w:afterAutospacing="1" w:line="240" w:lineRule="auto"/>
        <w:rPr>
          <w:rFonts w:ascii="Times New Roman" w:hAnsi="Times New Roman" w:cs="Times New Roman"/>
          <w:sz w:val="24"/>
        </w:rPr>
      </w:pPr>
      <w:r w:rsidRPr="00562A7E">
        <w:rPr>
          <w:rFonts w:ascii="Times New Roman" w:hAnsi="Times New Roman" w:cs="Times New Roman"/>
          <w:sz w:val="24"/>
        </w:rPr>
        <w:lastRenderedPageBreak/>
        <w:t>Wilson, A., &amp; Mellor, P. (2008). Bluetongue in Europe: Vectors, epidemiology and climate change. Parasitology Research, 103(Suppl. 1), S69–S77. https://doi.org/10.1007/s00436-008-1053-x</w:t>
      </w:r>
    </w:p>
    <w:sectPr w:rsidR="004841B3" w:rsidRPr="00562A7E" w:rsidSect="004841B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44AE3" w14:textId="77777777" w:rsidR="00440312" w:rsidRDefault="00440312" w:rsidP="00777245">
      <w:pPr>
        <w:spacing w:after="0" w:line="240" w:lineRule="auto"/>
      </w:pPr>
      <w:r>
        <w:separator/>
      </w:r>
    </w:p>
  </w:endnote>
  <w:endnote w:type="continuationSeparator" w:id="0">
    <w:p w14:paraId="343B1A86" w14:textId="77777777" w:rsidR="00440312" w:rsidRDefault="00440312" w:rsidP="00777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F5199" w14:textId="77777777" w:rsidR="00777245" w:rsidRDefault="007772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7E8FE" w14:textId="77777777" w:rsidR="00777245" w:rsidRDefault="007772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5C20A" w14:textId="77777777" w:rsidR="00777245" w:rsidRDefault="007772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4F3B4" w14:textId="77777777" w:rsidR="00440312" w:rsidRDefault="00440312" w:rsidP="00777245">
      <w:pPr>
        <w:spacing w:after="0" w:line="240" w:lineRule="auto"/>
      </w:pPr>
      <w:r>
        <w:separator/>
      </w:r>
    </w:p>
  </w:footnote>
  <w:footnote w:type="continuationSeparator" w:id="0">
    <w:p w14:paraId="1F6FBF2D" w14:textId="77777777" w:rsidR="00440312" w:rsidRDefault="00440312" w:rsidP="007772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709C6" w14:textId="323AEDF4" w:rsidR="00777245" w:rsidRDefault="00777245">
    <w:pPr>
      <w:pStyle w:val="Header"/>
    </w:pPr>
    <w:r>
      <w:rPr>
        <w:noProof/>
      </w:rPr>
      <w:pict w14:anchorId="3ED5FC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09095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9113C" w14:textId="54B67718" w:rsidR="00777245" w:rsidRDefault="00777245">
    <w:pPr>
      <w:pStyle w:val="Header"/>
    </w:pPr>
    <w:r>
      <w:rPr>
        <w:noProof/>
      </w:rPr>
      <w:pict w14:anchorId="192FAA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090955"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D3923" w14:textId="2802B5AD" w:rsidR="00777245" w:rsidRDefault="00777245">
    <w:pPr>
      <w:pStyle w:val="Header"/>
    </w:pPr>
    <w:r>
      <w:rPr>
        <w:noProof/>
      </w:rPr>
      <w:pict w14:anchorId="5CCFB9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09095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3D5D1D"/>
    <w:multiLevelType w:val="hybridMultilevel"/>
    <w:tmpl w:val="FDA42E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201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3C03"/>
    <w:rsid w:val="000973E1"/>
    <w:rsid w:val="00440312"/>
    <w:rsid w:val="004841B3"/>
    <w:rsid w:val="00503C03"/>
    <w:rsid w:val="00562A7E"/>
    <w:rsid w:val="00592867"/>
    <w:rsid w:val="00777245"/>
    <w:rsid w:val="007D58CD"/>
    <w:rsid w:val="009713B8"/>
    <w:rsid w:val="00B622C8"/>
    <w:rsid w:val="00D30A60"/>
    <w:rsid w:val="00F50B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C3A5C"/>
  <w15:docId w15:val="{5E2517DC-828F-4E74-B29B-C731A6026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1">
    <w:name w:val="heading 1"/>
    <w:basedOn w:val="Normal"/>
    <w:link w:val="Heading1Char"/>
    <w:uiPriority w:val="9"/>
    <w:qFormat/>
    <w:rsid w:val="00562A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562A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562A7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dq2pgselectionanchorcontainer">
    <w:name w:val="pdq2pg_selectionanchorcontainer"/>
    <w:basedOn w:val="Normal"/>
    <w:rsid w:val="00503C0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503C03"/>
    <w:rPr>
      <w:i/>
      <w:iCs/>
    </w:rPr>
  </w:style>
  <w:style w:type="paragraph" w:styleId="NormalWeb">
    <w:name w:val="Normal (Web)"/>
    <w:basedOn w:val="Normal"/>
    <w:uiPriority w:val="99"/>
    <w:semiHidden/>
    <w:unhideWhenUsed/>
    <w:rsid w:val="00503C0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03C03"/>
    <w:rPr>
      <w:color w:val="0000FF"/>
      <w:u w:val="single"/>
    </w:rPr>
  </w:style>
  <w:style w:type="character" w:customStyle="1" w:styleId="Heading1Char">
    <w:name w:val="Heading 1 Char"/>
    <w:basedOn w:val="DefaultParagraphFont"/>
    <w:link w:val="Heading1"/>
    <w:uiPriority w:val="9"/>
    <w:rsid w:val="00562A7E"/>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562A7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562A7E"/>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562A7E"/>
    <w:rPr>
      <w:b/>
      <w:bCs/>
    </w:rPr>
  </w:style>
  <w:style w:type="table" w:styleId="TableGrid">
    <w:name w:val="Table Grid"/>
    <w:basedOn w:val="TableNormal"/>
    <w:uiPriority w:val="59"/>
    <w:rsid w:val="00562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772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7245"/>
  </w:style>
  <w:style w:type="paragraph" w:styleId="Footer">
    <w:name w:val="footer"/>
    <w:basedOn w:val="Normal"/>
    <w:link w:val="FooterChar"/>
    <w:uiPriority w:val="99"/>
    <w:unhideWhenUsed/>
    <w:rsid w:val="007772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7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48016">
      <w:bodyDiv w:val="1"/>
      <w:marLeft w:val="0"/>
      <w:marRight w:val="0"/>
      <w:marTop w:val="0"/>
      <w:marBottom w:val="0"/>
      <w:divBdr>
        <w:top w:val="none" w:sz="0" w:space="0" w:color="auto"/>
        <w:left w:val="none" w:sz="0" w:space="0" w:color="auto"/>
        <w:bottom w:val="none" w:sz="0" w:space="0" w:color="auto"/>
        <w:right w:val="none" w:sz="0" w:space="0" w:color="auto"/>
      </w:divBdr>
      <w:divsChild>
        <w:div w:id="1688171466">
          <w:marLeft w:val="0"/>
          <w:marRight w:val="0"/>
          <w:marTop w:val="0"/>
          <w:marBottom w:val="0"/>
          <w:divBdr>
            <w:top w:val="none" w:sz="0" w:space="0" w:color="auto"/>
            <w:left w:val="none" w:sz="0" w:space="0" w:color="auto"/>
            <w:bottom w:val="none" w:sz="0" w:space="0" w:color="auto"/>
            <w:right w:val="none" w:sz="0" w:space="0" w:color="auto"/>
          </w:divBdr>
          <w:divsChild>
            <w:div w:id="1910378423">
              <w:marLeft w:val="0"/>
              <w:marRight w:val="0"/>
              <w:marTop w:val="0"/>
              <w:marBottom w:val="0"/>
              <w:divBdr>
                <w:top w:val="none" w:sz="0" w:space="0" w:color="auto"/>
                <w:left w:val="none" w:sz="0" w:space="0" w:color="auto"/>
                <w:bottom w:val="none" w:sz="0" w:space="0" w:color="auto"/>
                <w:right w:val="none" w:sz="0" w:space="0" w:color="auto"/>
              </w:divBdr>
            </w:div>
          </w:divsChild>
        </w:div>
        <w:div w:id="1545944761">
          <w:marLeft w:val="0"/>
          <w:marRight w:val="0"/>
          <w:marTop w:val="0"/>
          <w:marBottom w:val="0"/>
          <w:divBdr>
            <w:top w:val="none" w:sz="0" w:space="0" w:color="auto"/>
            <w:left w:val="none" w:sz="0" w:space="0" w:color="auto"/>
            <w:bottom w:val="none" w:sz="0" w:space="0" w:color="auto"/>
            <w:right w:val="none" w:sz="0" w:space="0" w:color="auto"/>
          </w:divBdr>
          <w:divsChild>
            <w:div w:id="994335249">
              <w:marLeft w:val="0"/>
              <w:marRight w:val="0"/>
              <w:marTop w:val="0"/>
              <w:marBottom w:val="0"/>
              <w:divBdr>
                <w:top w:val="none" w:sz="0" w:space="0" w:color="auto"/>
                <w:left w:val="none" w:sz="0" w:space="0" w:color="auto"/>
                <w:bottom w:val="none" w:sz="0" w:space="0" w:color="auto"/>
                <w:right w:val="none" w:sz="0" w:space="0" w:color="auto"/>
              </w:divBdr>
            </w:div>
          </w:divsChild>
        </w:div>
        <w:div w:id="655064569">
          <w:marLeft w:val="0"/>
          <w:marRight w:val="0"/>
          <w:marTop w:val="0"/>
          <w:marBottom w:val="0"/>
          <w:divBdr>
            <w:top w:val="none" w:sz="0" w:space="0" w:color="auto"/>
            <w:left w:val="none" w:sz="0" w:space="0" w:color="auto"/>
            <w:bottom w:val="none" w:sz="0" w:space="0" w:color="auto"/>
            <w:right w:val="none" w:sz="0" w:space="0" w:color="auto"/>
          </w:divBdr>
          <w:divsChild>
            <w:div w:id="1629697969">
              <w:marLeft w:val="0"/>
              <w:marRight w:val="0"/>
              <w:marTop w:val="0"/>
              <w:marBottom w:val="0"/>
              <w:divBdr>
                <w:top w:val="none" w:sz="0" w:space="0" w:color="auto"/>
                <w:left w:val="none" w:sz="0" w:space="0" w:color="auto"/>
                <w:bottom w:val="none" w:sz="0" w:space="0" w:color="auto"/>
                <w:right w:val="none" w:sz="0" w:space="0" w:color="auto"/>
              </w:divBdr>
            </w:div>
          </w:divsChild>
        </w:div>
        <w:div w:id="141890288">
          <w:marLeft w:val="0"/>
          <w:marRight w:val="0"/>
          <w:marTop w:val="0"/>
          <w:marBottom w:val="0"/>
          <w:divBdr>
            <w:top w:val="none" w:sz="0" w:space="0" w:color="auto"/>
            <w:left w:val="none" w:sz="0" w:space="0" w:color="auto"/>
            <w:bottom w:val="none" w:sz="0" w:space="0" w:color="auto"/>
            <w:right w:val="none" w:sz="0" w:space="0" w:color="auto"/>
          </w:divBdr>
          <w:divsChild>
            <w:div w:id="150281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221183">
      <w:bodyDiv w:val="1"/>
      <w:marLeft w:val="0"/>
      <w:marRight w:val="0"/>
      <w:marTop w:val="0"/>
      <w:marBottom w:val="0"/>
      <w:divBdr>
        <w:top w:val="none" w:sz="0" w:space="0" w:color="auto"/>
        <w:left w:val="none" w:sz="0" w:space="0" w:color="auto"/>
        <w:bottom w:val="none" w:sz="0" w:space="0" w:color="auto"/>
        <w:right w:val="none" w:sz="0" w:space="0" w:color="auto"/>
      </w:divBdr>
    </w:div>
    <w:div w:id="1911887168">
      <w:bodyDiv w:val="1"/>
      <w:marLeft w:val="0"/>
      <w:marRight w:val="0"/>
      <w:marTop w:val="0"/>
      <w:marBottom w:val="0"/>
      <w:divBdr>
        <w:top w:val="none" w:sz="0" w:space="0" w:color="auto"/>
        <w:left w:val="none" w:sz="0" w:space="0" w:color="auto"/>
        <w:bottom w:val="none" w:sz="0" w:space="0" w:color="auto"/>
        <w:right w:val="none" w:sz="0" w:space="0" w:color="auto"/>
      </w:divBdr>
      <w:divsChild>
        <w:div w:id="1577547480">
          <w:marLeft w:val="0"/>
          <w:marRight w:val="0"/>
          <w:marTop w:val="0"/>
          <w:marBottom w:val="0"/>
          <w:divBdr>
            <w:top w:val="none" w:sz="0" w:space="0" w:color="auto"/>
            <w:left w:val="none" w:sz="0" w:space="0" w:color="auto"/>
            <w:bottom w:val="none" w:sz="0" w:space="0" w:color="auto"/>
            <w:right w:val="none" w:sz="0" w:space="0" w:color="auto"/>
          </w:divBdr>
          <w:divsChild>
            <w:div w:id="21132982">
              <w:marLeft w:val="0"/>
              <w:marRight w:val="0"/>
              <w:marTop w:val="0"/>
              <w:marBottom w:val="0"/>
              <w:divBdr>
                <w:top w:val="none" w:sz="0" w:space="0" w:color="auto"/>
                <w:left w:val="none" w:sz="0" w:space="0" w:color="auto"/>
                <w:bottom w:val="none" w:sz="0" w:space="0" w:color="auto"/>
                <w:right w:val="none" w:sz="0" w:space="0" w:color="auto"/>
              </w:divBdr>
              <w:divsChild>
                <w:div w:id="895898456">
                  <w:marLeft w:val="0"/>
                  <w:marRight w:val="0"/>
                  <w:marTop w:val="0"/>
                  <w:marBottom w:val="0"/>
                  <w:divBdr>
                    <w:top w:val="none" w:sz="0" w:space="0" w:color="auto"/>
                    <w:left w:val="none" w:sz="0" w:space="0" w:color="auto"/>
                    <w:bottom w:val="none" w:sz="0" w:space="0" w:color="auto"/>
                    <w:right w:val="none" w:sz="0" w:space="0" w:color="auto"/>
                  </w:divBdr>
                  <w:divsChild>
                    <w:div w:id="1485587202">
                      <w:marLeft w:val="0"/>
                      <w:marRight w:val="0"/>
                      <w:marTop w:val="0"/>
                      <w:marBottom w:val="0"/>
                      <w:divBdr>
                        <w:top w:val="none" w:sz="0" w:space="0" w:color="auto"/>
                        <w:left w:val="none" w:sz="0" w:space="0" w:color="auto"/>
                        <w:bottom w:val="none" w:sz="0" w:space="0" w:color="auto"/>
                        <w:right w:val="none" w:sz="0" w:space="0" w:color="auto"/>
                      </w:divBdr>
                      <w:divsChild>
                        <w:div w:id="1990598951">
                          <w:marLeft w:val="0"/>
                          <w:marRight w:val="0"/>
                          <w:marTop w:val="0"/>
                          <w:marBottom w:val="0"/>
                          <w:divBdr>
                            <w:top w:val="none" w:sz="0" w:space="0" w:color="auto"/>
                            <w:left w:val="none" w:sz="0" w:space="0" w:color="auto"/>
                            <w:bottom w:val="none" w:sz="0" w:space="0" w:color="auto"/>
                            <w:right w:val="none" w:sz="0" w:space="0" w:color="auto"/>
                          </w:divBdr>
                          <w:divsChild>
                            <w:div w:id="881357385">
                              <w:marLeft w:val="0"/>
                              <w:marRight w:val="0"/>
                              <w:marTop w:val="0"/>
                              <w:marBottom w:val="0"/>
                              <w:divBdr>
                                <w:top w:val="none" w:sz="0" w:space="0" w:color="auto"/>
                                <w:left w:val="none" w:sz="0" w:space="0" w:color="auto"/>
                                <w:bottom w:val="none" w:sz="0" w:space="0" w:color="auto"/>
                                <w:right w:val="none" w:sz="0" w:space="0" w:color="auto"/>
                              </w:divBdr>
                              <w:divsChild>
                                <w:div w:id="1127696230">
                                  <w:marLeft w:val="0"/>
                                  <w:marRight w:val="0"/>
                                  <w:marTop w:val="0"/>
                                  <w:marBottom w:val="0"/>
                                  <w:divBdr>
                                    <w:top w:val="none" w:sz="0" w:space="0" w:color="auto"/>
                                    <w:left w:val="none" w:sz="0" w:space="0" w:color="auto"/>
                                    <w:bottom w:val="none" w:sz="0" w:space="0" w:color="auto"/>
                                    <w:right w:val="none" w:sz="0" w:space="0" w:color="auto"/>
                                  </w:divBdr>
                                  <w:divsChild>
                                    <w:div w:id="39231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8555420">
      <w:bodyDiv w:val="1"/>
      <w:marLeft w:val="0"/>
      <w:marRight w:val="0"/>
      <w:marTop w:val="0"/>
      <w:marBottom w:val="0"/>
      <w:divBdr>
        <w:top w:val="none" w:sz="0" w:space="0" w:color="auto"/>
        <w:left w:val="none" w:sz="0" w:space="0" w:color="auto"/>
        <w:bottom w:val="none" w:sz="0" w:space="0" w:color="auto"/>
        <w:right w:val="none" w:sz="0" w:space="0" w:color="auto"/>
      </w:divBdr>
      <w:divsChild>
        <w:div w:id="1190602921">
          <w:marLeft w:val="0"/>
          <w:marRight w:val="0"/>
          <w:marTop w:val="0"/>
          <w:marBottom w:val="0"/>
          <w:divBdr>
            <w:top w:val="none" w:sz="0" w:space="0" w:color="auto"/>
            <w:left w:val="none" w:sz="0" w:space="0" w:color="auto"/>
            <w:bottom w:val="none" w:sz="0" w:space="0" w:color="auto"/>
            <w:right w:val="none" w:sz="0" w:space="0" w:color="auto"/>
          </w:divBdr>
          <w:divsChild>
            <w:div w:id="287392848">
              <w:marLeft w:val="0"/>
              <w:marRight w:val="0"/>
              <w:marTop w:val="0"/>
              <w:marBottom w:val="0"/>
              <w:divBdr>
                <w:top w:val="none" w:sz="0" w:space="0" w:color="auto"/>
                <w:left w:val="none" w:sz="0" w:space="0" w:color="auto"/>
                <w:bottom w:val="none" w:sz="0" w:space="0" w:color="auto"/>
                <w:right w:val="none" w:sz="0" w:space="0" w:color="auto"/>
              </w:divBdr>
              <w:divsChild>
                <w:div w:id="1766807138">
                  <w:marLeft w:val="0"/>
                  <w:marRight w:val="0"/>
                  <w:marTop w:val="0"/>
                  <w:marBottom w:val="0"/>
                  <w:divBdr>
                    <w:top w:val="none" w:sz="0" w:space="0" w:color="auto"/>
                    <w:left w:val="none" w:sz="0" w:space="0" w:color="auto"/>
                    <w:bottom w:val="none" w:sz="0" w:space="0" w:color="auto"/>
                    <w:right w:val="none" w:sz="0" w:space="0" w:color="auto"/>
                  </w:divBdr>
                  <w:divsChild>
                    <w:div w:id="204875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28</Pages>
  <Words>13355</Words>
  <Characters>76127</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Managing Editor</dc:creator>
  <cp:lastModifiedBy>SDI 1166</cp:lastModifiedBy>
  <cp:revision>5</cp:revision>
  <dcterms:created xsi:type="dcterms:W3CDTF">2026-06-24T10:32:00Z</dcterms:created>
  <dcterms:modified xsi:type="dcterms:W3CDTF">2026-06-24T13:16:00Z</dcterms:modified>
</cp:coreProperties>
</file>