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D3E14" w14:textId="77777777" w:rsidR="00681F54" w:rsidRPr="00681F54" w:rsidRDefault="00681F54" w:rsidP="00681F54">
      <w:pPr>
        <w:spacing w:line="240" w:lineRule="auto"/>
        <w:ind w:firstLine="720"/>
        <w:jc w:val="center"/>
        <w:rPr>
          <w:rFonts w:ascii="Times New Roman" w:eastAsia="Times New Roman" w:hAnsi="Times New Roman" w:cs="Times New Roman"/>
          <w:b/>
          <w:bCs/>
          <w:i/>
          <w:iCs/>
          <w:sz w:val="32"/>
          <w:szCs w:val="32"/>
          <w:u w:val="single"/>
        </w:rPr>
      </w:pPr>
      <w:r w:rsidRPr="00681F54">
        <w:rPr>
          <w:rFonts w:ascii="Times New Roman" w:eastAsia="Times New Roman" w:hAnsi="Times New Roman" w:cs="Times New Roman"/>
          <w:b/>
          <w:bCs/>
          <w:i/>
          <w:iCs/>
          <w:sz w:val="32"/>
          <w:szCs w:val="32"/>
          <w:u w:val="single"/>
        </w:rPr>
        <w:t>Original Research Article</w:t>
      </w:r>
    </w:p>
    <w:p w14:paraId="343B2427" w14:textId="77777777" w:rsidR="007A04EC" w:rsidRPr="00D773E3" w:rsidRDefault="007311A2" w:rsidP="007A04EC">
      <w:pPr>
        <w:spacing w:line="240" w:lineRule="auto"/>
        <w:ind w:firstLine="720"/>
        <w:jc w:val="center"/>
        <w:rPr>
          <w:rFonts w:ascii="Times New Roman" w:eastAsia="Times New Roman" w:hAnsi="Times New Roman" w:cs="Times New Roman"/>
          <w:b/>
          <w:bCs/>
          <w:sz w:val="32"/>
          <w:szCs w:val="32"/>
        </w:rPr>
      </w:pPr>
      <w:r w:rsidRPr="00D773E3">
        <w:rPr>
          <w:rFonts w:ascii="Times New Roman" w:eastAsia="Times New Roman" w:hAnsi="Times New Roman" w:cs="Times New Roman"/>
          <w:b/>
          <w:bCs/>
          <w:sz w:val="32"/>
          <w:szCs w:val="32"/>
        </w:rPr>
        <w:t xml:space="preserve">Evaluation of Sex Hormone Binding Globulin, Estradiol, And Lipids in Infertile Women </w:t>
      </w:r>
      <w:r w:rsidRPr="00D773E3">
        <w:rPr>
          <w:rFonts w:ascii="Times New Roman" w:eastAsia="Times New Roman" w:hAnsi="Times New Roman" w:cs="Times New Roman"/>
          <w:b/>
          <w:sz w:val="32"/>
          <w:szCs w:val="32"/>
        </w:rPr>
        <w:t>in Owerri, Imo State Nigeria</w:t>
      </w:r>
    </w:p>
    <w:p w14:paraId="5C814669" w14:textId="77777777" w:rsidR="00DD1BCE" w:rsidRDefault="00DD1BCE" w:rsidP="007311A2">
      <w:pPr>
        <w:pStyle w:val="Default"/>
        <w:jc w:val="both"/>
      </w:pPr>
    </w:p>
    <w:p w14:paraId="02F13D68" w14:textId="77777777" w:rsidR="00DD1BCE" w:rsidRDefault="00DD1BCE" w:rsidP="007311A2">
      <w:pPr>
        <w:pStyle w:val="Default"/>
        <w:jc w:val="both"/>
      </w:pPr>
    </w:p>
    <w:p w14:paraId="1A23CF1D" w14:textId="66771F1B" w:rsidR="00533534" w:rsidRPr="00D773E3" w:rsidRDefault="00533534" w:rsidP="007311A2">
      <w:pPr>
        <w:pStyle w:val="Default"/>
        <w:jc w:val="both"/>
      </w:pPr>
      <w:r w:rsidRPr="00D773E3">
        <w:tab/>
      </w:r>
    </w:p>
    <w:p w14:paraId="6ACD4FCB" w14:textId="77777777" w:rsidR="007A04EC" w:rsidRPr="00D773E3" w:rsidRDefault="00000000" w:rsidP="007A04EC">
      <w:pPr>
        <w:spacing w:after="0" w:line="240" w:lineRule="auto"/>
        <w:jc w:val="center"/>
        <w:outlineLvl w:val="1"/>
        <w:rPr>
          <w:rFonts w:ascii="Times New Roman" w:eastAsia="Times New Roman" w:hAnsi="Times New Roman" w:cs="Times New Roman"/>
          <w:b/>
          <w:bCs/>
        </w:rPr>
      </w:pPr>
      <w:r>
        <w:rPr>
          <w:rFonts w:ascii="Times New Roman" w:hAnsi="Times New Roman"/>
          <w:sz w:val="24"/>
          <w:szCs w:val="24"/>
          <w:lang w:val="de-DE"/>
        </w:rPr>
        <w:pict w14:anchorId="4590D7AB">
          <v:rect id="Rectangles 1" o:spid="_x0000_i1025" style="width:498.6pt;height:1pt;mso-position-horizontal-relative:page;mso-position-vertical-relative:page" o:hralign="center" o:hrstd="t" o:hrnoshade="t" o:hr="t" fillcolor="black" stroked="f"/>
        </w:pict>
      </w:r>
    </w:p>
    <w:p w14:paraId="617B0ACA" w14:textId="77777777" w:rsidR="007A04EC" w:rsidRPr="00D773E3" w:rsidRDefault="007A04EC" w:rsidP="003871F9">
      <w:pPr>
        <w:spacing w:after="0" w:line="240" w:lineRule="auto"/>
        <w:outlineLvl w:val="1"/>
        <w:rPr>
          <w:rFonts w:ascii="Arial" w:eastAsia="Times New Roman" w:hAnsi="Arial" w:cs="Arial"/>
          <w:b/>
          <w:bCs/>
        </w:rPr>
      </w:pPr>
      <w:r w:rsidRPr="00D773E3">
        <w:rPr>
          <w:rFonts w:ascii="Arial" w:eastAsia="Times New Roman" w:hAnsi="Arial" w:cs="Arial"/>
          <w:b/>
          <w:bCs/>
        </w:rPr>
        <w:t>ABSTRACT</w:t>
      </w:r>
    </w:p>
    <w:p w14:paraId="4859E4E3" w14:textId="77777777" w:rsidR="00E516E0" w:rsidRPr="00D773E3" w:rsidRDefault="007A04EC" w:rsidP="00944BC0">
      <w:pPr>
        <w:spacing w:after="160" w:line="240" w:lineRule="auto"/>
        <w:jc w:val="both"/>
        <w:rPr>
          <w:rFonts w:ascii="Arial" w:hAnsi="Arial" w:cs="Arial"/>
        </w:rPr>
      </w:pPr>
      <w:r w:rsidRPr="00D773E3">
        <w:rPr>
          <w:rFonts w:ascii="Arial" w:hAnsi="Arial" w:cs="Arial"/>
          <w:b/>
          <w:color w:val="000000"/>
        </w:rPr>
        <w:t xml:space="preserve">Background: </w:t>
      </w:r>
      <w:r w:rsidR="00E516E0" w:rsidRPr="00D773E3">
        <w:rPr>
          <w:rFonts w:ascii="Arial" w:hAnsi="Arial" w:cs="Arial"/>
        </w:rPr>
        <w:t>Female infertility is broadly defined as the failure to achieve conception after twelve months of regular, unprotected sexual intercourse with a male partner of confirmed fertility. Despite its widespread impact across sub-Saharan Africa, including Nigeria, the condition has only recently gained the attention it deserves in research and policy discourse. The inability to conceive carries profound psychological, social, and economic consequences for affected women and their families. Against this backdrop, the present study sought to assess the concentrations of sex hormone binding globulin (SHBG), estradiol (E2), and lipid parameters in women with infertility attributable to hormonal dysfunction.</w:t>
      </w:r>
    </w:p>
    <w:p w14:paraId="3BAEBBD2" w14:textId="77777777" w:rsidR="00944BC0" w:rsidRPr="00D773E3" w:rsidRDefault="007A04EC" w:rsidP="00944BC0">
      <w:pPr>
        <w:spacing w:after="160" w:line="240" w:lineRule="auto"/>
        <w:jc w:val="both"/>
        <w:rPr>
          <w:rFonts w:ascii="Arial" w:hAnsi="Arial" w:cs="Arial"/>
        </w:rPr>
      </w:pPr>
      <w:r w:rsidRPr="00D773E3">
        <w:rPr>
          <w:rFonts w:ascii="Arial" w:hAnsi="Arial" w:cs="Arial"/>
          <w:b/>
        </w:rPr>
        <w:t>Methodology:</w:t>
      </w:r>
      <w:r w:rsidRPr="00D773E3">
        <w:rPr>
          <w:rFonts w:ascii="Arial" w:hAnsi="Arial" w:cs="Arial"/>
        </w:rPr>
        <w:t xml:space="preserve"> </w:t>
      </w:r>
      <w:r w:rsidR="00944BC0" w:rsidRPr="00D773E3">
        <w:rPr>
          <w:rFonts w:ascii="Arial" w:hAnsi="Arial" w:cs="Arial"/>
        </w:rPr>
        <w:t>This investigation adopted a cross-sectional design and enrolled 160 female participants between the ages of 20 and 45 years, all attending the Federal Teaching Hospital, Owerri (FTHO), Nigeria. The sample comprised two groups: 80 women with a confirmed diagnosis of hormonal infertility who were not currently receiving any pharmacological treatment (case group), and 80 apparently healthy, fertile women who served as controls. The following biochemical markers were quantified using standard laboratory procedures: SHBG, estradiol (E2), total cholesterol (TC), triglycerides (TG), high-density lipoprotein cholesterol (HDL-c), low-density lipoprotein cholesterol (LDL-c), and very low-density lipoprotein cholesterol (VLDL-c).</w:t>
      </w:r>
    </w:p>
    <w:p w14:paraId="39683B96" w14:textId="77777777" w:rsidR="00944BC0" w:rsidRPr="00D773E3" w:rsidRDefault="007A04EC" w:rsidP="00944BC0">
      <w:pPr>
        <w:spacing w:after="160" w:line="240" w:lineRule="auto"/>
        <w:jc w:val="both"/>
        <w:rPr>
          <w:rFonts w:ascii="Arial" w:hAnsi="Arial" w:cs="Arial"/>
        </w:rPr>
      </w:pPr>
      <w:r w:rsidRPr="00D773E3">
        <w:rPr>
          <w:rFonts w:ascii="Arial" w:eastAsia="Times New Roman" w:hAnsi="Arial" w:cs="Arial"/>
          <w:b/>
        </w:rPr>
        <w:t>Results:</w:t>
      </w:r>
      <w:r w:rsidRPr="00D773E3">
        <w:rPr>
          <w:rFonts w:ascii="Arial" w:eastAsia="Times New Roman" w:hAnsi="Arial" w:cs="Arial"/>
        </w:rPr>
        <w:t xml:space="preserve"> </w:t>
      </w:r>
      <w:r w:rsidR="00944BC0" w:rsidRPr="00D773E3">
        <w:rPr>
          <w:rFonts w:ascii="Arial" w:hAnsi="Arial" w:cs="Arial"/>
        </w:rPr>
        <w:t>Serum concentrations of SHBG, E2, TG, and VLDL-c were all significantly lower in the infertile group relative to the fertile controls (</w:t>
      </w:r>
      <w:r w:rsidR="00944BC0" w:rsidRPr="00D773E3">
        <w:rPr>
          <w:rFonts w:ascii="Arial" w:hAnsi="Arial" w:cs="Arial"/>
          <w:i/>
        </w:rPr>
        <w:t xml:space="preserve">P </w:t>
      </w:r>
      <w:r w:rsidR="00944BC0" w:rsidRPr="00D773E3">
        <w:rPr>
          <w:rFonts w:ascii="Arial" w:hAnsi="Arial" w:cs="Arial"/>
        </w:rPr>
        <w:t>&lt; 0.05). In contrast, TC, HDL-c, and LDL-c levels were significantly elevated in infertile women compared with fertile participants (</w:t>
      </w:r>
      <w:r w:rsidR="00944BC0" w:rsidRPr="00D773E3">
        <w:rPr>
          <w:rFonts w:ascii="Arial" w:hAnsi="Arial" w:cs="Arial"/>
          <w:i/>
        </w:rPr>
        <w:t xml:space="preserve">P </w:t>
      </w:r>
      <w:r w:rsidR="00944BC0" w:rsidRPr="00D773E3">
        <w:rPr>
          <w:rFonts w:ascii="Arial" w:hAnsi="Arial" w:cs="Arial"/>
        </w:rPr>
        <w:t>&lt; 0.05). Pearson correlation analysis revealed a strong positive association between TC and LDL-c in both groups, while TG showed a significant positive correlation with VLDL-c in both infertile and fertile women. A notable negative correlation between LDL-c and VLDL-c was observed exclusively in the fertile group (</w:t>
      </w:r>
      <w:r w:rsidR="00944BC0" w:rsidRPr="00D773E3">
        <w:rPr>
          <w:rFonts w:ascii="Arial" w:hAnsi="Arial" w:cs="Arial"/>
          <w:i/>
        </w:rPr>
        <w:t xml:space="preserve">P </w:t>
      </w:r>
      <w:r w:rsidR="00944BC0" w:rsidRPr="00D773E3">
        <w:rPr>
          <w:rFonts w:ascii="Arial" w:hAnsi="Arial" w:cs="Arial"/>
        </w:rPr>
        <w:t>&lt; 0.05).</w:t>
      </w:r>
    </w:p>
    <w:p w14:paraId="6EC2AA3A" w14:textId="77777777" w:rsidR="00944BC0" w:rsidRPr="00D773E3" w:rsidRDefault="007A04EC" w:rsidP="00944BC0">
      <w:pPr>
        <w:spacing w:after="160" w:line="240" w:lineRule="auto"/>
        <w:jc w:val="both"/>
        <w:rPr>
          <w:rFonts w:ascii="Arial" w:hAnsi="Arial" w:cs="Arial"/>
        </w:rPr>
      </w:pPr>
      <w:r w:rsidRPr="00D773E3">
        <w:rPr>
          <w:rFonts w:ascii="Arial" w:hAnsi="Arial" w:cs="Arial"/>
          <w:b/>
        </w:rPr>
        <w:t>Conclusion:</w:t>
      </w:r>
      <w:r w:rsidRPr="00D773E3">
        <w:rPr>
          <w:rFonts w:ascii="Arial" w:hAnsi="Arial" w:cs="Arial"/>
        </w:rPr>
        <w:t xml:space="preserve"> </w:t>
      </w:r>
      <w:r w:rsidR="00944BC0" w:rsidRPr="00D773E3">
        <w:rPr>
          <w:rFonts w:ascii="Arial" w:hAnsi="Arial" w:cs="Arial"/>
        </w:rPr>
        <w:t>The observed hormonal and lipid abnormalities suggest that steroidogenesis may be functioning inadequately in hormonally infertile women, which may in part explain their difficulty in achieving pregnancy.</w:t>
      </w:r>
    </w:p>
    <w:p w14:paraId="3D0970E0" w14:textId="77777777" w:rsidR="007A04EC" w:rsidRPr="00D773E3" w:rsidRDefault="007A04EC" w:rsidP="00944BC0">
      <w:pPr>
        <w:spacing w:after="0" w:line="240" w:lineRule="auto"/>
        <w:jc w:val="both"/>
        <w:rPr>
          <w:rFonts w:ascii="Arial" w:eastAsia="Times New Roman" w:hAnsi="Arial" w:cs="Arial"/>
        </w:rPr>
      </w:pPr>
      <w:r w:rsidRPr="00D773E3">
        <w:rPr>
          <w:rFonts w:ascii="Arial" w:eastAsia="Times New Roman" w:hAnsi="Arial" w:cs="Arial"/>
          <w:b/>
          <w:bCs/>
        </w:rPr>
        <w:t xml:space="preserve">Keywords: </w:t>
      </w:r>
      <w:r w:rsidRPr="00D773E3">
        <w:rPr>
          <w:rFonts w:ascii="Arial" w:eastAsia="Times New Roman" w:hAnsi="Arial" w:cs="Arial"/>
        </w:rPr>
        <w:t>Female infertility, Sex hormone binding globulin, Estradiol, Lipid profile.</w:t>
      </w:r>
    </w:p>
    <w:p w14:paraId="2E3C1A51" w14:textId="77777777" w:rsidR="00AD316B" w:rsidRPr="00D773E3" w:rsidRDefault="00000000" w:rsidP="00834DC1">
      <w:pPr>
        <w:spacing w:after="0" w:line="240" w:lineRule="auto"/>
        <w:jc w:val="both"/>
        <w:rPr>
          <w:rFonts w:ascii="Times New Roman" w:eastAsia="Times New Roman" w:hAnsi="Times New Roman" w:cs="Times New Roman"/>
          <w:b/>
        </w:rPr>
      </w:pPr>
      <w:bookmarkStart w:id="0" w:name="_Hlk230615332"/>
      <w:r>
        <w:rPr>
          <w:rFonts w:ascii="Times New Roman" w:hAnsi="Times New Roman"/>
          <w:sz w:val="24"/>
          <w:szCs w:val="24"/>
          <w:lang w:val="de-DE"/>
        </w:rPr>
        <w:pict w14:anchorId="60AEA7FD">
          <v:rect id="_x0000_i1026" style="width:498.6pt;height:1pt;mso-position-horizontal-relative:page;mso-position-vertical-relative:page" o:hralign="center" o:hrstd="t" o:hrnoshade="t" o:hr="t" fillcolor="black" stroked="f"/>
        </w:pict>
      </w:r>
      <w:bookmarkEnd w:id="0"/>
    </w:p>
    <w:p w14:paraId="52CA6034" w14:textId="77777777" w:rsidR="000C3336" w:rsidRPr="00D773E3" w:rsidRDefault="0060325F" w:rsidP="00043C1D">
      <w:pPr>
        <w:spacing w:after="0"/>
        <w:jc w:val="both"/>
        <w:rPr>
          <w:rFonts w:ascii="Arial" w:eastAsia="Times New Roman" w:hAnsi="Arial" w:cs="Arial"/>
          <w:b/>
        </w:rPr>
      </w:pPr>
      <w:r w:rsidRPr="00D773E3">
        <w:rPr>
          <w:rFonts w:ascii="Arial" w:eastAsia="Times New Roman" w:hAnsi="Arial" w:cs="Arial"/>
          <w:b/>
        </w:rPr>
        <w:t>1. INTRODUCTION</w:t>
      </w:r>
    </w:p>
    <w:p w14:paraId="38D98F5F" w14:textId="77777777" w:rsidR="00503F03" w:rsidRPr="00D773E3" w:rsidRDefault="00503F03" w:rsidP="00FE43E9">
      <w:pPr>
        <w:spacing w:after="160" w:line="360" w:lineRule="auto"/>
        <w:jc w:val="both"/>
        <w:rPr>
          <w:rFonts w:ascii="Arial" w:hAnsi="Arial" w:cs="Arial"/>
        </w:rPr>
      </w:pPr>
      <w:r w:rsidRPr="00D773E3">
        <w:rPr>
          <w:rFonts w:ascii="Arial" w:hAnsi="Arial" w:cs="Arial"/>
        </w:rPr>
        <w:t xml:space="preserve">Infertility in women is conventionally described as the failure to conceive following twelve months of regular, contraceptive-free intercourse with a fertile male partner (Cooper </w:t>
      </w:r>
      <w:r w:rsidRPr="00D773E3">
        <w:rPr>
          <w:rFonts w:ascii="Arial" w:hAnsi="Arial" w:cs="Arial"/>
          <w:i/>
        </w:rPr>
        <w:t>et al.,</w:t>
      </w:r>
      <w:r w:rsidRPr="00D773E3">
        <w:rPr>
          <w:rFonts w:ascii="Arial" w:hAnsi="Arial" w:cs="Arial"/>
        </w:rPr>
        <w:t xml:space="preserve"> 2010). However, definitions of this condition are not uniform across disciplines. Demographers typically characterize female infertility as childlessness within a population of women of reproductive age, whereas epidemiologists frame it in terms of the time required to achieve </w:t>
      </w:r>
      <w:r w:rsidRPr="00D773E3">
        <w:rPr>
          <w:rFonts w:ascii="Arial" w:hAnsi="Arial" w:cs="Arial"/>
        </w:rPr>
        <w:lastRenderedPageBreak/>
        <w:t xml:space="preserve">conception. The duration a couple must attempt conception before receiving an infertility diagnosis also varies by jurisdiction, making cross-country prevalence comparisons particularly challenging (Gurunath </w:t>
      </w:r>
      <w:r w:rsidRPr="00D773E3">
        <w:rPr>
          <w:rFonts w:ascii="Arial" w:hAnsi="Arial" w:cs="Arial"/>
          <w:i/>
        </w:rPr>
        <w:t>et al.,</w:t>
      </w:r>
      <w:r w:rsidRPr="00D773E3">
        <w:rPr>
          <w:rFonts w:ascii="Arial" w:hAnsi="Arial" w:cs="Arial"/>
        </w:rPr>
        <w:t xml:space="preserve"> 2011). Couples who experience difficulty conceiving without meeting the formal diagnostic criteria are sometimes classified as "subfertile," a term that often overlaps with infertility in clinical usage. The World Health Organization (WHO) sets its threshold at two years of regular unprotected intercourse without conception (WHO, 1991). Primary infertility refers to cases in which a woman has never carried a pregnancy, while secondary infertility describes failure to conceive following a prior successful pregnancy.</w:t>
      </w:r>
    </w:p>
    <w:p w14:paraId="0D5DF93F" w14:textId="77777777" w:rsidR="00503F03" w:rsidRPr="00D773E3" w:rsidRDefault="00503F03" w:rsidP="00FE43E9">
      <w:pPr>
        <w:spacing w:after="160" w:line="360" w:lineRule="auto"/>
        <w:jc w:val="both"/>
        <w:rPr>
          <w:rFonts w:ascii="Arial" w:hAnsi="Arial" w:cs="Arial"/>
        </w:rPr>
      </w:pPr>
      <w:r w:rsidRPr="00D773E3">
        <w:rPr>
          <w:rFonts w:ascii="Arial" w:hAnsi="Arial" w:cs="Arial"/>
        </w:rPr>
        <w:t>Although Nigeria has historically recorded high fertility rates — approximately six children per woman (Larsen, 1995) — concerns about infertility have grown in recent decades. As Hollos</w:t>
      </w:r>
      <w:r w:rsidR="00782C97" w:rsidRPr="00D773E3">
        <w:rPr>
          <w:rFonts w:ascii="Arial" w:hAnsi="Arial" w:cs="Arial"/>
        </w:rPr>
        <w:t>,</w:t>
      </w:r>
      <w:r w:rsidRPr="00D773E3">
        <w:rPr>
          <w:rFonts w:ascii="Arial" w:hAnsi="Arial" w:cs="Arial"/>
        </w:rPr>
        <w:t xml:space="preserve"> (2003) noted, the scale of infertility in sub-Saharan Africa was long obscured by the region's overall high fertility, which drew global attention toward population control rather than reproductive impairment.</w:t>
      </w:r>
    </w:p>
    <w:p w14:paraId="692F8F2C" w14:textId="77777777" w:rsidR="00503F03" w:rsidRPr="00D773E3" w:rsidRDefault="00503F03" w:rsidP="00FE43E9">
      <w:pPr>
        <w:spacing w:after="160" w:line="360" w:lineRule="auto"/>
        <w:jc w:val="both"/>
        <w:rPr>
          <w:rFonts w:ascii="Arial" w:hAnsi="Arial" w:cs="Arial"/>
        </w:rPr>
      </w:pPr>
      <w:r w:rsidRPr="00D773E3">
        <w:rPr>
          <w:rFonts w:ascii="Arial" w:hAnsi="Arial" w:cs="Arial"/>
        </w:rPr>
        <w:t xml:space="preserve">Disruptions to the hypothalamic-pituitary-ovarian (HPO) axis represent a central category of hormonal disorders linked to female infertility. These conditions frequently impair ovulation and require a comprehensive, multidisciplinary diagnostic approach, with clinical laboratory evaluation playing a pivotal role (Williams </w:t>
      </w:r>
      <w:r w:rsidRPr="00D773E3">
        <w:rPr>
          <w:rFonts w:ascii="Arial" w:hAnsi="Arial" w:cs="Arial"/>
          <w:i/>
        </w:rPr>
        <w:t>et al.,</w:t>
      </w:r>
      <w:r w:rsidRPr="00D773E3">
        <w:rPr>
          <w:rFonts w:ascii="Arial" w:hAnsi="Arial" w:cs="Arial"/>
        </w:rPr>
        <w:t xml:space="preserve"> 2003). Hormones function as a biochemical signaling network that governs reproduction, growth and metabolic regulation. When hormone production is dysregulated — whether due to polycystic ovarian syndrome (PCOS), thyroid dysfunction, or hyperprolactinemia — the reproductive process is disrupted (Legro, 2007). Stress-related alterations in the hypothalamic-pituitary-adrenal (HPA) axis may further compound hormonal imbalance and impair follicular development (Gohil </w:t>
      </w:r>
      <w:r w:rsidRPr="00D773E3">
        <w:rPr>
          <w:rFonts w:ascii="Arial" w:hAnsi="Arial" w:cs="Arial"/>
          <w:i/>
        </w:rPr>
        <w:t>et al.,</w:t>
      </w:r>
      <w:r w:rsidRPr="00D773E3">
        <w:rPr>
          <w:rFonts w:ascii="Arial" w:hAnsi="Arial" w:cs="Arial"/>
        </w:rPr>
        <w:t xml:space="preserve"> 2001).</w:t>
      </w:r>
    </w:p>
    <w:p w14:paraId="6094680B" w14:textId="77777777" w:rsidR="00503F03" w:rsidRPr="00D773E3" w:rsidRDefault="00503F03" w:rsidP="00FE43E9">
      <w:pPr>
        <w:spacing w:after="160" w:line="360" w:lineRule="auto"/>
        <w:jc w:val="both"/>
        <w:rPr>
          <w:rFonts w:ascii="Arial" w:hAnsi="Arial" w:cs="Arial"/>
        </w:rPr>
      </w:pPr>
      <w:r w:rsidRPr="00D773E3">
        <w:rPr>
          <w:rFonts w:ascii="Arial" w:hAnsi="Arial" w:cs="Arial"/>
        </w:rPr>
        <w:t xml:space="preserve">Estradiol (E2), the most biologically potent of the estrogens, is produced primarily by the ovarian follicles and the corpus luteum. It circulates in the bloodstream in two forms: a small free fraction (approximately 2.21%) that is biologically active, and a larger bound fraction, predominantly attached to sex hormone-binding globulin (SHBG) and, to a lesser degree, albumin (Wu </w:t>
      </w:r>
      <w:r w:rsidRPr="00D773E3">
        <w:rPr>
          <w:rFonts w:ascii="Arial" w:hAnsi="Arial" w:cs="Arial"/>
          <w:i/>
        </w:rPr>
        <w:t>et al.,</w:t>
      </w:r>
      <w:r w:rsidRPr="00D773E3">
        <w:rPr>
          <w:rFonts w:ascii="Arial" w:hAnsi="Arial" w:cs="Arial"/>
        </w:rPr>
        <w:t xml:space="preserve"> 1976). Because SHBG strongly influences the bioavailability of free estradiol, changes in SHBG levels can have significant downstream effects on reproductive function. Estradiol also plays a cardioprotective role by modulating the lipid profile — specifically by lowering TC and LDL-c while raising HDL-c (Zhao </w:t>
      </w:r>
      <w:r w:rsidRPr="00D773E3">
        <w:rPr>
          <w:rFonts w:ascii="Arial" w:hAnsi="Arial" w:cs="Arial"/>
          <w:i/>
        </w:rPr>
        <w:t>et al.,</w:t>
      </w:r>
      <w:r w:rsidRPr="00D773E3">
        <w:rPr>
          <w:rFonts w:ascii="Arial" w:hAnsi="Arial" w:cs="Arial"/>
        </w:rPr>
        <w:t xml:space="preserve"> 2010). Insufficient estradiol can prevent ovulation and inhibit adequate endometrial thickening, thereby reducing the likelihood of implantation.</w:t>
      </w:r>
    </w:p>
    <w:p w14:paraId="38685EC4" w14:textId="77777777" w:rsidR="00503F03" w:rsidRPr="00D773E3" w:rsidRDefault="00503F03" w:rsidP="00FE43E9">
      <w:pPr>
        <w:spacing w:after="160" w:line="360" w:lineRule="auto"/>
        <w:jc w:val="both"/>
        <w:rPr>
          <w:rFonts w:ascii="Arial" w:hAnsi="Arial" w:cs="Arial"/>
        </w:rPr>
      </w:pPr>
      <w:r w:rsidRPr="00D773E3">
        <w:rPr>
          <w:rFonts w:ascii="Arial" w:hAnsi="Arial" w:cs="Arial"/>
        </w:rPr>
        <w:lastRenderedPageBreak/>
        <w:t xml:space="preserve">Sex hormone-binding globulin (SHBG) is a glycoprotein that binds androgens and estrogens and facilitates their transport through the bloodstream. Its affinity is greatest for dihydrotestosterone (DHT) and testosterone, though it also binds estradiol. SHBG is essential in regulating the balance between estrogen and testosterone in women, and its serum level serves as a useful biomarker for assessing hormonal bioavailability (Goldman </w:t>
      </w:r>
      <w:r w:rsidRPr="00D773E3">
        <w:rPr>
          <w:rFonts w:ascii="Arial" w:hAnsi="Arial" w:cs="Arial"/>
          <w:i/>
        </w:rPr>
        <w:t>et al.,</w:t>
      </w:r>
      <w:r w:rsidRPr="00D773E3">
        <w:rPr>
          <w:rFonts w:ascii="Arial" w:hAnsi="Arial" w:cs="Arial"/>
        </w:rPr>
        <w:t xml:space="preserve"> 2017; Yuan </w:t>
      </w:r>
      <w:r w:rsidRPr="00D773E3">
        <w:rPr>
          <w:rFonts w:ascii="Arial" w:hAnsi="Arial" w:cs="Arial"/>
          <w:i/>
        </w:rPr>
        <w:t>et al.,</w:t>
      </w:r>
      <w:r w:rsidRPr="00D773E3">
        <w:rPr>
          <w:rFonts w:ascii="Arial" w:hAnsi="Arial" w:cs="Arial"/>
        </w:rPr>
        <w:t xml:space="preserve"> 2022). Low SHBG is associated with greater androgenic activity, while elevated SHBG — as seen with high estrogen states — may reduce the fraction of free, biologically active sex hormones (Lin &amp; Sun, 2005).</w:t>
      </w:r>
    </w:p>
    <w:p w14:paraId="170846D8" w14:textId="77777777" w:rsidR="00503F03" w:rsidRPr="00D773E3" w:rsidRDefault="00503F03" w:rsidP="00FE43E9">
      <w:pPr>
        <w:spacing w:after="160" w:line="360" w:lineRule="auto"/>
        <w:jc w:val="both"/>
        <w:rPr>
          <w:rFonts w:ascii="Arial" w:hAnsi="Arial" w:cs="Arial"/>
        </w:rPr>
      </w:pPr>
      <w:r w:rsidRPr="00D773E3">
        <w:rPr>
          <w:rFonts w:ascii="Arial" w:hAnsi="Arial" w:cs="Arial"/>
        </w:rPr>
        <w:t xml:space="preserve">The relationship between lipid metabolism and female fertility has not been thoroughly investigated, despite evidence suggesting that plasma lipoproteins may play a meaningful role (Helena </w:t>
      </w:r>
      <w:r w:rsidRPr="00D773E3">
        <w:rPr>
          <w:rFonts w:ascii="Arial" w:hAnsi="Arial" w:cs="Arial"/>
          <w:i/>
        </w:rPr>
        <w:t>et al.,</w:t>
      </w:r>
      <w:r w:rsidRPr="00D773E3">
        <w:rPr>
          <w:rFonts w:ascii="Arial" w:hAnsi="Arial" w:cs="Arial"/>
        </w:rPr>
        <w:t xml:space="preserve"> 2001). Cholesterol serves as a precursor for steroid hormone synthesis; however, in excess, it may interfere with reproductive function. Research indicates that elevated free cholesterol levels are associated with reduced conception rates and impaired fertility (CDC, 2014).</w:t>
      </w:r>
    </w:p>
    <w:p w14:paraId="33928471" w14:textId="77777777" w:rsidR="00102D2F" w:rsidRPr="00D773E3" w:rsidRDefault="00972A88" w:rsidP="00C705B8">
      <w:pPr>
        <w:spacing w:before="100" w:beforeAutospacing="1" w:after="0" w:line="360" w:lineRule="auto"/>
        <w:jc w:val="both"/>
        <w:rPr>
          <w:rFonts w:ascii="Arial" w:hAnsi="Arial" w:cs="Arial"/>
          <w:b/>
        </w:rPr>
      </w:pPr>
      <w:r w:rsidRPr="00D773E3">
        <w:rPr>
          <w:rFonts w:ascii="Arial" w:eastAsia="Times New Roman" w:hAnsi="Arial" w:cs="Arial"/>
          <w:b/>
        </w:rPr>
        <w:t>2</w:t>
      </w:r>
      <w:r w:rsidR="00D348D3" w:rsidRPr="00D773E3">
        <w:rPr>
          <w:rFonts w:ascii="Arial" w:hAnsi="Arial" w:cs="Arial"/>
          <w:b/>
        </w:rPr>
        <w:t>.  MATERIALS AND METHODS</w:t>
      </w:r>
    </w:p>
    <w:p w14:paraId="16EFB0D4" w14:textId="77777777" w:rsidR="00102D2F" w:rsidRPr="00D773E3" w:rsidRDefault="0060325F" w:rsidP="00FE43E9">
      <w:pPr>
        <w:spacing w:after="0" w:line="360" w:lineRule="auto"/>
        <w:jc w:val="both"/>
        <w:rPr>
          <w:rFonts w:ascii="Arial" w:hAnsi="Arial" w:cs="Arial"/>
          <w:b/>
        </w:rPr>
      </w:pPr>
      <w:r w:rsidRPr="00D773E3">
        <w:rPr>
          <w:rFonts w:ascii="Arial" w:hAnsi="Arial" w:cs="Arial"/>
          <w:b/>
        </w:rPr>
        <w:t>2.1</w:t>
      </w:r>
      <w:r w:rsidRPr="00D773E3">
        <w:rPr>
          <w:rFonts w:ascii="Arial" w:hAnsi="Arial" w:cs="Arial"/>
          <w:b/>
        </w:rPr>
        <w:tab/>
        <w:t>Study Design</w:t>
      </w:r>
    </w:p>
    <w:p w14:paraId="045F7D53" w14:textId="77777777" w:rsidR="00B75E31" w:rsidRPr="00D773E3" w:rsidRDefault="009E308B" w:rsidP="00FE43E9">
      <w:pPr>
        <w:spacing w:after="160" w:line="360" w:lineRule="auto"/>
        <w:jc w:val="both"/>
        <w:rPr>
          <w:rFonts w:ascii="Arial" w:hAnsi="Arial" w:cs="Arial"/>
        </w:rPr>
      </w:pPr>
      <w:r w:rsidRPr="00D773E3">
        <w:rPr>
          <w:rFonts w:ascii="Arial" w:hAnsi="Arial" w:cs="Arial"/>
        </w:rPr>
        <w:t>A cross-sectional study was conducted among 160 female participants aged 20 to 45 years attending the Federal Teaching Hospital, Owerri (FTHO), Nigeria, for medical management. Participants were selected using simple random sampling. Of these, 80 were women previously diagnosed with infertility due to hormonal imbalance who were not receiving any form of medication (case group), and the remaining 80 were apparently healthy fertile women who served as the control group.</w:t>
      </w:r>
    </w:p>
    <w:p w14:paraId="5E57977E" w14:textId="77777777" w:rsidR="00B75E31" w:rsidRPr="00D773E3" w:rsidRDefault="00B75E31" w:rsidP="00FE43E9">
      <w:pPr>
        <w:spacing w:after="0" w:line="360" w:lineRule="auto"/>
        <w:jc w:val="both"/>
        <w:rPr>
          <w:rFonts w:ascii="Arial" w:hAnsi="Arial" w:cs="Arial"/>
          <w:b/>
          <w:u w:val="single"/>
        </w:rPr>
      </w:pPr>
      <w:bookmarkStart w:id="1" w:name="_Hlk230616794"/>
      <w:r w:rsidRPr="00D773E3">
        <w:rPr>
          <w:rFonts w:ascii="Arial" w:hAnsi="Arial" w:cs="Arial"/>
          <w:b/>
          <w:u w:val="single"/>
        </w:rPr>
        <w:t>2.1.1. Inclusion Criteria</w:t>
      </w:r>
    </w:p>
    <w:p w14:paraId="615B9B68" w14:textId="77777777" w:rsidR="00B75E31" w:rsidRPr="00D773E3" w:rsidRDefault="009E308B" w:rsidP="00FE43E9">
      <w:pPr>
        <w:spacing w:after="160" w:line="360" w:lineRule="auto"/>
        <w:jc w:val="both"/>
        <w:rPr>
          <w:rFonts w:ascii="Arial" w:hAnsi="Arial" w:cs="Arial"/>
        </w:rPr>
      </w:pPr>
      <w:r w:rsidRPr="00D773E3">
        <w:rPr>
          <w:rFonts w:ascii="Arial" w:hAnsi="Arial" w:cs="Arial"/>
        </w:rPr>
        <w:t>Only women with primary infertility attributed to hormonal imbalance were recruited into the case group. Control participants were women who had been confirmed pregnant within the preceding year and were not currently breastfeeding.</w:t>
      </w:r>
    </w:p>
    <w:p w14:paraId="1265CE6F" w14:textId="77777777" w:rsidR="00043C1D" w:rsidRPr="00D773E3" w:rsidRDefault="00B75E31" w:rsidP="00FE43E9">
      <w:pPr>
        <w:spacing w:after="0" w:line="360" w:lineRule="auto"/>
        <w:jc w:val="both"/>
        <w:rPr>
          <w:rFonts w:ascii="Arial" w:hAnsi="Arial" w:cs="Arial"/>
        </w:rPr>
      </w:pPr>
      <w:r w:rsidRPr="00D773E3">
        <w:rPr>
          <w:rFonts w:ascii="Arial" w:hAnsi="Arial" w:cs="Arial"/>
          <w:b/>
          <w:u w:val="single"/>
        </w:rPr>
        <w:t>2.1.2. Exclusion Criteria</w:t>
      </w:r>
    </w:p>
    <w:p w14:paraId="66AD3025" w14:textId="77777777" w:rsidR="00043C1D" w:rsidRDefault="009E308B" w:rsidP="00C705B8">
      <w:pPr>
        <w:spacing w:after="160" w:line="360" w:lineRule="auto"/>
        <w:jc w:val="both"/>
        <w:rPr>
          <w:rFonts w:ascii="Arial" w:hAnsi="Arial" w:cs="Arial"/>
        </w:rPr>
      </w:pPr>
      <w:r w:rsidRPr="00D773E3">
        <w:rPr>
          <w:rFonts w:ascii="Arial" w:hAnsi="Arial" w:cs="Arial"/>
        </w:rPr>
        <w:t>From the control group, the following were excluded: pregnant women, breastfeeding or lactating mothers, women with diabetes, infertile women, and women using oral contraceptives. From the test group, women who were using oral contraceptives or had recently received steroids, ACTH, gonadotropins, or estradiol medications were excluded.</w:t>
      </w:r>
      <w:bookmarkEnd w:id="1"/>
    </w:p>
    <w:p w14:paraId="5225519E" w14:textId="77777777" w:rsidR="00C0113A" w:rsidRPr="00D773E3" w:rsidRDefault="00C0113A" w:rsidP="00C705B8">
      <w:pPr>
        <w:spacing w:after="160" w:line="360" w:lineRule="auto"/>
        <w:jc w:val="both"/>
        <w:rPr>
          <w:rFonts w:ascii="Arial" w:hAnsi="Arial" w:cs="Arial"/>
        </w:rPr>
      </w:pPr>
    </w:p>
    <w:p w14:paraId="1D1CE1A5" w14:textId="77777777" w:rsidR="00B75E31" w:rsidRPr="00D773E3" w:rsidRDefault="00102D2F" w:rsidP="00C705B8">
      <w:pPr>
        <w:pStyle w:val="NoSpacing"/>
        <w:spacing w:line="360" w:lineRule="auto"/>
        <w:jc w:val="both"/>
        <w:rPr>
          <w:rFonts w:ascii="Arial" w:hAnsi="Arial" w:cs="Arial"/>
          <w:b/>
          <w:color w:val="000000"/>
        </w:rPr>
      </w:pPr>
      <w:r w:rsidRPr="00D773E3">
        <w:rPr>
          <w:rFonts w:ascii="Arial" w:hAnsi="Arial" w:cs="Arial"/>
          <w:b/>
          <w:color w:val="000000"/>
        </w:rPr>
        <w:lastRenderedPageBreak/>
        <w:t>2.2 Blood Sample Collection</w:t>
      </w:r>
    </w:p>
    <w:p w14:paraId="7809477C" w14:textId="77777777" w:rsidR="00102D2F" w:rsidRPr="00D773E3" w:rsidRDefault="009A10ED" w:rsidP="00FE43E9">
      <w:pPr>
        <w:spacing w:after="160" w:line="360" w:lineRule="auto"/>
        <w:jc w:val="both"/>
        <w:rPr>
          <w:rFonts w:ascii="Arial" w:hAnsi="Arial" w:cs="Arial"/>
        </w:rPr>
      </w:pPr>
      <w:r w:rsidRPr="00D773E3">
        <w:rPr>
          <w:rFonts w:ascii="Arial" w:hAnsi="Arial" w:cs="Arial"/>
        </w:rPr>
        <w:t>All blood samples were obtained from women within their reproductive years at the mid-cycle peak of the menstrual cycle. A 5.0 mL fasting venous blood sample was collected by venipuncture from the antecubital vein under aseptic conditions into sterile plain tubes. Samples were allowed to clot and subsequently centrifuged at 4,000 rpm for 5 minutes. The resulting serum was stored frozen at -20°C and analyzed within one week of collection. Serum aliquots were used to measure SHBG, E2, TC, TG, and HDL-c.</w:t>
      </w:r>
    </w:p>
    <w:p w14:paraId="17086A5E" w14:textId="77777777" w:rsidR="00043C1D" w:rsidRPr="00D773E3" w:rsidRDefault="00102D2F" w:rsidP="004F5538">
      <w:pPr>
        <w:pStyle w:val="NoSpacing"/>
        <w:spacing w:line="360" w:lineRule="auto"/>
        <w:jc w:val="both"/>
        <w:rPr>
          <w:rFonts w:ascii="Arial" w:hAnsi="Arial" w:cs="Arial"/>
          <w:b/>
        </w:rPr>
      </w:pPr>
      <w:r w:rsidRPr="00D773E3">
        <w:rPr>
          <w:rFonts w:ascii="Arial" w:hAnsi="Arial" w:cs="Arial"/>
          <w:b/>
        </w:rPr>
        <w:t xml:space="preserve">2.3 Laboratory </w:t>
      </w:r>
    </w:p>
    <w:p w14:paraId="38E5579D" w14:textId="77777777" w:rsidR="004F5538" w:rsidRPr="00D773E3" w:rsidRDefault="009A10ED" w:rsidP="004F5538">
      <w:pPr>
        <w:autoSpaceDE w:val="0"/>
        <w:autoSpaceDN w:val="0"/>
        <w:adjustRightInd w:val="0"/>
        <w:spacing w:line="360" w:lineRule="auto"/>
        <w:jc w:val="both"/>
        <w:rPr>
          <w:rFonts w:ascii="Arial" w:hAnsi="Arial" w:cs="Arial"/>
        </w:rPr>
      </w:pPr>
      <w:r w:rsidRPr="00D773E3">
        <w:rPr>
          <w:rFonts w:ascii="Arial" w:hAnsi="Arial" w:cs="Arial"/>
        </w:rPr>
        <w:t xml:space="preserve">All analyses were conducted at the Federal Teaching Hospital, Owerri (FTHO), Imo State, Nigeria </w:t>
      </w:r>
    </w:p>
    <w:p w14:paraId="515EF61B" w14:textId="77777777" w:rsidR="00102D2F" w:rsidRPr="00D773E3" w:rsidRDefault="009E1F1F" w:rsidP="00FE43E9">
      <w:pPr>
        <w:spacing w:after="0" w:line="360" w:lineRule="auto"/>
        <w:jc w:val="both"/>
        <w:rPr>
          <w:rFonts w:ascii="Arial" w:hAnsi="Arial" w:cs="Arial"/>
          <w:b/>
        </w:rPr>
      </w:pPr>
      <w:r w:rsidRPr="00D773E3">
        <w:rPr>
          <w:rFonts w:ascii="Arial" w:hAnsi="Arial" w:cs="Arial"/>
          <w:b/>
        </w:rPr>
        <w:t xml:space="preserve">2.4 Assay Methodology </w:t>
      </w:r>
    </w:p>
    <w:p w14:paraId="43143C01" w14:textId="77777777" w:rsidR="009E1F1F" w:rsidRPr="00D773E3" w:rsidRDefault="00395587" w:rsidP="00FE43E9">
      <w:pPr>
        <w:spacing w:after="160" w:line="360" w:lineRule="auto"/>
        <w:jc w:val="both"/>
        <w:rPr>
          <w:rFonts w:ascii="Arial" w:hAnsi="Arial" w:cs="Arial"/>
        </w:rPr>
      </w:pPr>
      <w:r w:rsidRPr="00D773E3">
        <w:rPr>
          <w:rFonts w:ascii="Arial" w:hAnsi="Arial" w:cs="Arial"/>
          <w:b/>
          <w:u w:val="single"/>
        </w:rPr>
        <w:t xml:space="preserve">2.4.1. </w:t>
      </w:r>
      <w:r w:rsidR="008669FC" w:rsidRPr="00D773E3">
        <w:rPr>
          <w:rFonts w:ascii="Arial" w:hAnsi="Arial" w:cs="Arial"/>
          <w:b/>
          <w:u w:val="single"/>
        </w:rPr>
        <w:t>Human sex hormone- binding globulin</w:t>
      </w:r>
      <w:r w:rsidR="009A10ED" w:rsidRPr="00D773E3">
        <w:rPr>
          <w:rFonts w:ascii="Arial" w:hAnsi="Arial" w:cs="Arial"/>
        </w:rPr>
        <w:t xml:space="preserve"> was measured using an enzyme-linked immunosorbent assay (ELISA), following the procedure described by Rosner and Smith (1975). The assay uses a two-step sandwich format: one monoclonal antibody immobilized on a microwell plate captures SHBG from the sample, while a second antibody conjugated to horseradish peroxidase (HRP) binds to a different epitope. After incubation and washing, enzyme substrate is added and the resulting color intensity, read at 450 nm, is directly proportional to SHBG concentration.</w:t>
      </w:r>
    </w:p>
    <w:p w14:paraId="7A4ED62A" w14:textId="77777777" w:rsidR="009A10ED" w:rsidRPr="00D773E3" w:rsidRDefault="009A10ED" w:rsidP="00FE43E9">
      <w:pPr>
        <w:spacing w:before="160" w:after="80" w:line="360" w:lineRule="auto"/>
        <w:jc w:val="both"/>
        <w:rPr>
          <w:rFonts w:ascii="Arial" w:hAnsi="Arial" w:cs="Arial"/>
          <w:u w:val="single"/>
        </w:rPr>
      </w:pPr>
      <w:r w:rsidRPr="00D773E3">
        <w:rPr>
          <w:rFonts w:ascii="Arial" w:hAnsi="Arial" w:cs="Arial"/>
          <w:b/>
          <w:bCs/>
          <w:u w:val="single"/>
        </w:rPr>
        <w:t>2.4.2 Estradiol (E2)</w:t>
      </w:r>
      <w:r w:rsidRPr="00D773E3">
        <w:rPr>
          <w:rFonts w:ascii="Arial" w:hAnsi="Arial" w:cs="Arial"/>
          <w:u w:val="single"/>
        </w:rPr>
        <w:t xml:space="preserve"> </w:t>
      </w:r>
      <w:r w:rsidRPr="00D773E3">
        <w:rPr>
          <w:rFonts w:ascii="Arial" w:hAnsi="Arial" w:cs="Arial"/>
        </w:rPr>
        <w:t>was quantified by competitive ELISA (Abraham, 1981). A biotinylated antibody binds the antigen, and a labeled enzyme analog competes with free antigen in the sample for a limited number of antibody binding sites. After washing, substrate is added and the absorbance read at 450 nm following a 30-minute color development period.</w:t>
      </w:r>
    </w:p>
    <w:p w14:paraId="3D7B075D" w14:textId="77777777" w:rsidR="009A10ED" w:rsidRPr="00D773E3" w:rsidRDefault="009A10ED" w:rsidP="00FE43E9">
      <w:pPr>
        <w:spacing w:before="160" w:after="80" w:line="360" w:lineRule="auto"/>
        <w:jc w:val="both"/>
        <w:rPr>
          <w:rFonts w:ascii="Arial" w:hAnsi="Arial" w:cs="Arial"/>
          <w:u w:val="single"/>
        </w:rPr>
      </w:pPr>
      <w:r w:rsidRPr="00D773E3">
        <w:rPr>
          <w:rFonts w:ascii="Arial" w:hAnsi="Arial" w:cs="Arial"/>
          <w:b/>
          <w:bCs/>
          <w:u w:val="single"/>
        </w:rPr>
        <w:t xml:space="preserve">2.4.3 Total Cholesterol </w:t>
      </w:r>
      <w:r w:rsidRPr="00D773E3">
        <w:rPr>
          <w:rFonts w:ascii="Arial" w:hAnsi="Arial" w:cs="Arial"/>
        </w:rPr>
        <w:t xml:space="preserve">was determined using the enzymatic colorimetric method of Allain </w:t>
      </w:r>
      <w:r w:rsidRPr="00D773E3">
        <w:rPr>
          <w:rFonts w:ascii="Arial" w:hAnsi="Arial" w:cs="Arial"/>
          <w:i/>
        </w:rPr>
        <w:t>et al.,</w:t>
      </w:r>
      <w:r w:rsidRPr="00D773E3">
        <w:rPr>
          <w:rFonts w:ascii="Arial" w:hAnsi="Arial" w:cs="Arial"/>
        </w:rPr>
        <w:t xml:space="preserve"> (1974) with the Randox cholesterol kit. The assay employs cholesterol esterase, cholesterol oxidase, and peroxidase to produce a quinoneimine dye, the intensity of which is proportional to cholesterol concentration.</w:t>
      </w:r>
    </w:p>
    <w:p w14:paraId="33D6493C" w14:textId="77777777" w:rsidR="009A10ED" w:rsidRPr="00D773E3" w:rsidRDefault="009A10ED" w:rsidP="00FE43E9">
      <w:pPr>
        <w:spacing w:before="160" w:after="80" w:line="360" w:lineRule="auto"/>
        <w:jc w:val="both"/>
        <w:rPr>
          <w:rFonts w:ascii="Arial" w:hAnsi="Arial" w:cs="Arial"/>
          <w:u w:val="single"/>
        </w:rPr>
      </w:pPr>
      <w:r w:rsidRPr="00D773E3">
        <w:rPr>
          <w:rFonts w:ascii="Arial" w:hAnsi="Arial" w:cs="Arial"/>
          <w:b/>
          <w:bCs/>
          <w:u w:val="single"/>
        </w:rPr>
        <w:t>2.4.4 HDL Cholesterol</w:t>
      </w:r>
      <w:r w:rsidRPr="00D773E3">
        <w:rPr>
          <w:rFonts w:ascii="Arial" w:hAnsi="Arial" w:cs="Arial"/>
          <w:u w:val="single"/>
        </w:rPr>
        <w:t xml:space="preserve"> </w:t>
      </w:r>
      <w:r w:rsidRPr="00D773E3">
        <w:rPr>
          <w:rFonts w:ascii="Arial" w:hAnsi="Arial" w:cs="Arial"/>
        </w:rPr>
        <w:t xml:space="preserve">was estimated by selective precipitation (Burstein </w:t>
      </w:r>
      <w:r w:rsidRPr="00D773E3">
        <w:rPr>
          <w:rFonts w:ascii="Arial" w:hAnsi="Arial" w:cs="Arial"/>
          <w:i/>
        </w:rPr>
        <w:t>et al.,</w:t>
      </w:r>
      <w:r w:rsidRPr="00D773E3">
        <w:rPr>
          <w:rFonts w:ascii="Arial" w:hAnsi="Arial" w:cs="Arial"/>
        </w:rPr>
        <w:t xml:space="preserve"> 1980). LDL-c, VLDL-c, and chylomicrons were precipitated using phosphotungstic acid with magnesium ions, and the remaining supernatant cholesterol — representing HDL-c — was then measured.</w:t>
      </w:r>
    </w:p>
    <w:p w14:paraId="3EC46374" w14:textId="77777777" w:rsidR="009A10ED" w:rsidRPr="00D773E3" w:rsidRDefault="009A10ED" w:rsidP="00FE43E9">
      <w:pPr>
        <w:spacing w:before="160" w:after="80" w:line="360" w:lineRule="auto"/>
        <w:jc w:val="both"/>
        <w:rPr>
          <w:rFonts w:ascii="Arial" w:hAnsi="Arial" w:cs="Arial"/>
          <w:u w:val="single"/>
        </w:rPr>
      </w:pPr>
      <w:r w:rsidRPr="00D773E3">
        <w:rPr>
          <w:rFonts w:ascii="Arial" w:hAnsi="Arial" w:cs="Arial"/>
          <w:b/>
          <w:bCs/>
          <w:u w:val="single"/>
        </w:rPr>
        <w:t>2.4.5 Triglycerides</w:t>
      </w:r>
      <w:r w:rsidRPr="00D773E3">
        <w:rPr>
          <w:rFonts w:ascii="Arial" w:hAnsi="Arial" w:cs="Arial"/>
          <w:u w:val="single"/>
        </w:rPr>
        <w:t xml:space="preserve"> </w:t>
      </w:r>
      <w:r w:rsidRPr="00D773E3">
        <w:rPr>
          <w:rFonts w:ascii="Arial" w:hAnsi="Arial" w:cs="Arial"/>
        </w:rPr>
        <w:t xml:space="preserve">was measured enzymatically (Buccolo &amp; David, 1917). Triglycerides are hydrolyzed by lipoprotein lipase to glycerol and free fatty acids. Glycerol is then sequentially </w:t>
      </w:r>
      <w:r w:rsidRPr="00D773E3">
        <w:rPr>
          <w:rFonts w:ascii="Arial" w:hAnsi="Arial" w:cs="Arial"/>
        </w:rPr>
        <w:lastRenderedPageBreak/>
        <w:t>converted through glycerol-3-phosphate to hydrogen peroxide, which reacts with 4-aminophenazone and p-chlorophenol in the presence of peroxidase to produce a red dye proportional to TG concentration.</w:t>
      </w:r>
    </w:p>
    <w:p w14:paraId="0F283F1F" w14:textId="77777777" w:rsidR="009A10ED" w:rsidRPr="00D773E3" w:rsidRDefault="009A10ED" w:rsidP="00FE43E9">
      <w:pPr>
        <w:spacing w:before="160" w:after="80" w:line="360" w:lineRule="auto"/>
        <w:jc w:val="both"/>
        <w:rPr>
          <w:rFonts w:ascii="Arial" w:hAnsi="Arial" w:cs="Arial"/>
        </w:rPr>
      </w:pPr>
      <w:r w:rsidRPr="00D773E3">
        <w:rPr>
          <w:rFonts w:ascii="Arial" w:hAnsi="Arial" w:cs="Arial"/>
          <w:b/>
          <w:bCs/>
          <w:u w:val="single"/>
        </w:rPr>
        <w:t>2.4.6 LDL Cholesterol</w:t>
      </w:r>
      <w:r w:rsidRPr="00D773E3">
        <w:rPr>
          <w:rFonts w:ascii="Arial" w:hAnsi="Arial" w:cs="Arial"/>
        </w:rPr>
        <w:t xml:space="preserve"> was derived using the Friedewald formula (Friedewald </w:t>
      </w:r>
      <w:r w:rsidRPr="00D773E3">
        <w:rPr>
          <w:rFonts w:ascii="Arial" w:hAnsi="Arial" w:cs="Arial"/>
          <w:i/>
        </w:rPr>
        <w:t>et al.,</w:t>
      </w:r>
      <w:r w:rsidRPr="00D773E3">
        <w:rPr>
          <w:rFonts w:ascii="Arial" w:hAnsi="Arial" w:cs="Arial"/>
        </w:rPr>
        <w:t xml:space="preserve"> 1990). Participants with TG concentrations exceeding 399 mg/dL were excluded from this calculation, as the formula is not valid above that threshold.</w:t>
      </w:r>
    </w:p>
    <w:p w14:paraId="160A43E8" w14:textId="77777777" w:rsidR="000D0038" w:rsidRPr="00D773E3" w:rsidRDefault="009A10ED" w:rsidP="00FE43E9">
      <w:pPr>
        <w:spacing w:before="160" w:after="80" w:line="360" w:lineRule="auto"/>
        <w:jc w:val="both"/>
        <w:rPr>
          <w:rFonts w:ascii="Arial" w:hAnsi="Arial" w:cs="Arial"/>
        </w:rPr>
      </w:pPr>
      <w:r w:rsidRPr="00D773E3">
        <w:rPr>
          <w:rFonts w:ascii="Arial" w:hAnsi="Arial" w:cs="Arial"/>
          <w:b/>
          <w:bCs/>
          <w:u w:val="single"/>
        </w:rPr>
        <w:t>2.4.7 VLDL Cholesterol</w:t>
      </w:r>
      <w:r w:rsidRPr="00D773E3">
        <w:rPr>
          <w:rFonts w:ascii="Arial" w:hAnsi="Arial" w:cs="Arial"/>
        </w:rPr>
        <w:t xml:space="preserve"> was estimated using the formula: VLDL-c = TG / 5.5 (Friedewald </w:t>
      </w:r>
      <w:r w:rsidRPr="00D773E3">
        <w:rPr>
          <w:rFonts w:ascii="Arial" w:hAnsi="Arial" w:cs="Arial"/>
          <w:i/>
        </w:rPr>
        <w:t>et al.,</w:t>
      </w:r>
      <w:r w:rsidRPr="00D773E3">
        <w:rPr>
          <w:rFonts w:ascii="Arial" w:hAnsi="Arial" w:cs="Arial"/>
        </w:rPr>
        <w:t xml:space="preserve"> 1990).</w:t>
      </w:r>
    </w:p>
    <w:p w14:paraId="22DBE53D" w14:textId="77777777" w:rsidR="009A10ED" w:rsidRPr="00D773E3" w:rsidRDefault="009A10ED" w:rsidP="00FE43E9">
      <w:pPr>
        <w:spacing w:before="160" w:after="80" w:line="360" w:lineRule="auto"/>
        <w:jc w:val="both"/>
        <w:rPr>
          <w:rFonts w:ascii="Arial" w:hAnsi="Arial" w:cs="Arial"/>
        </w:rPr>
      </w:pPr>
      <w:r w:rsidRPr="00D773E3">
        <w:rPr>
          <w:rFonts w:ascii="Arial" w:hAnsi="Arial" w:cs="Arial"/>
          <w:b/>
          <w:bCs/>
        </w:rPr>
        <w:t>2.5 Limitations</w:t>
      </w:r>
    </w:p>
    <w:p w14:paraId="68F61359" w14:textId="77777777" w:rsidR="009A10ED" w:rsidRPr="00D773E3" w:rsidRDefault="009A10ED" w:rsidP="00FE43E9">
      <w:pPr>
        <w:spacing w:after="160" w:line="360" w:lineRule="auto"/>
        <w:jc w:val="both"/>
        <w:rPr>
          <w:rFonts w:ascii="Arial" w:hAnsi="Arial" w:cs="Arial"/>
        </w:rPr>
      </w:pPr>
      <w:r w:rsidRPr="00D773E3">
        <w:rPr>
          <w:rFonts w:ascii="Arial" w:hAnsi="Arial" w:cs="Arial"/>
        </w:rPr>
        <w:t>This study was limited to women with primary infertility caused by hormonal imbalance. Other etiologies of infertility were not examined.</w:t>
      </w:r>
    </w:p>
    <w:p w14:paraId="43513465" w14:textId="77777777" w:rsidR="009A10ED" w:rsidRPr="00D773E3" w:rsidRDefault="009A10ED" w:rsidP="00FE43E9">
      <w:pPr>
        <w:spacing w:before="160" w:after="80" w:line="360" w:lineRule="auto"/>
        <w:jc w:val="both"/>
        <w:rPr>
          <w:rFonts w:ascii="Arial" w:hAnsi="Arial" w:cs="Arial"/>
        </w:rPr>
      </w:pPr>
      <w:r w:rsidRPr="00D773E3">
        <w:rPr>
          <w:rFonts w:ascii="Arial" w:hAnsi="Arial" w:cs="Arial"/>
          <w:b/>
          <w:bCs/>
        </w:rPr>
        <w:t>2.6 Statistical Analysis</w:t>
      </w:r>
    </w:p>
    <w:p w14:paraId="1D53D239" w14:textId="77777777" w:rsidR="009A10ED" w:rsidRPr="00D773E3" w:rsidRDefault="009A10ED" w:rsidP="00FE43E9">
      <w:pPr>
        <w:spacing w:after="160" w:line="360" w:lineRule="auto"/>
        <w:jc w:val="both"/>
        <w:rPr>
          <w:rFonts w:ascii="Arial" w:hAnsi="Arial" w:cs="Arial"/>
        </w:rPr>
      </w:pPr>
      <w:r w:rsidRPr="00D773E3">
        <w:rPr>
          <w:rFonts w:ascii="Arial" w:hAnsi="Arial" w:cs="Arial"/>
        </w:rPr>
        <w:t>Data were analyzed using SPSS version 23 (Levesque, 2007). Between-group differences were evaluated using Student's t-test and expressed as mean ± standard deviation (Mean ± SD). Associations among variables were assessed using Pearson's correlation coefficient. Statistical significance was defined as</w:t>
      </w:r>
      <w:r w:rsidRPr="00D773E3">
        <w:rPr>
          <w:rFonts w:ascii="Arial" w:hAnsi="Arial" w:cs="Arial"/>
          <w:i/>
        </w:rPr>
        <w:t xml:space="preserve"> P</w:t>
      </w:r>
      <w:r w:rsidRPr="00D773E3">
        <w:rPr>
          <w:rFonts w:ascii="Arial" w:hAnsi="Arial" w:cs="Arial"/>
        </w:rPr>
        <w:t xml:space="preserve"> &lt; 0.05.</w:t>
      </w:r>
    </w:p>
    <w:p w14:paraId="33B48BC8" w14:textId="77777777" w:rsidR="00F536A5" w:rsidRPr="00D773E3" w:rsidRDefault="00395587" w:rsidP="00FE43E9">
      <w:pPr>
        <w:spacing w:after="0" w:line="360" w:lineRule="auto"/>
        <w:jc w:val="both"/>
        <w:rPr>
          <w:rFonts w:ascii="Arial" w:hAnsi="Arial" w:cs="Arial"/>
          <w:b/>
          <w:bCs/>
        </w:rPr>
      </w:pPr>
      <w:r w:rsidRPr="00D773E3">
        <w:rPr>
          <w:rStyle w:val="Strong"/>
          <w:rFonts w:ascii="Arial" w:hAnsi="Arial" w:cs="Arial"/>
        </w:rPr>
        <w:t>3. RESULTS AND DISCUSSION</w:t>
      </w:r>
    </w:p>
    <w:p w14:paraId="30633E8A" w14:textId="77777777" w:rsidR="000D0038" w:rsidRPr="00D773E3" w:rsidRDefault="000D0038" w:rsidP="00FE43E9">
      <w:pPr>
        <w:spacing w:after="160" w:line="360" w:lineRule="auto"/>
        <w:jc w:val="both"/>
        <w:rPr>
          <w:rFonts w:ascii="Arial" w:hAnsi="Arial" w:cs="Arial"/>
        </w:rPr>
      </w:pPr>
      <w:r w:rsidRPr="00D773E3">
        <w:rPr>
          <w:rFonts w:ascii="Arial" w:hAnsi="Arial" w:cs="Arial"/>
        </w:rPr>
        <w:t>The biochemical findings for SHBG, E2, and the lipid panel are summarized in the tables below.</w:t>
      </w:r>
    </w:p>
    <w:p w14:paraId="6A630787" w14:textId="77777777" w:rsidR="009525D0" w:rsidRPr="00D773E3" w:rsidRDefault="009525D0" w:rsidP="00FE43E9">
      <w:pPr>
        <w:spacing w:line="360" w:lineRule="auto"/>
        <w:jc w:val="both"/>
        <w:rPr>
          <w:rFonts w:ascii="Arial" w:hAnsi="Arial" w:cs="Arial"/>
        </w:rPr>
      </w:pPr>
      <w:r w:rsidRPr="00D773E3">
        <w:rPr>
          <w:rFonts w:ascii="Arial" w:hAnsi="Arial" w:cs="Arial"/>
        </w:rPr>
        <w:t>As shown in Table 1, mean serum SHBG and E2 concentrations were both significantly lower in infertile women compared with fertile controls (P &lt; 0.05). Similarly, TG and VLDL-c were significantly reduced in the infertile group. By contrast, TC, HDL-c, and LDL-c were all significantly elevated in infertile participants relative to controls (P &lt; 0.05). Correlation analysis showed no significant relationship between SHBG and E</w:t>
      </w:r>
      <w:r w:rsidRPr="00D773E3">
        <w:rPr>
          <w:rFonts w:ascii="Cambria Math" w:hAnsi="Cambria Math" w:cs="Cambria Math"/>
        </w:rPr>
        <w:t>₂</w:t>
      </w:r>
      <w:r w:rsidRPr="00D773E3">
        <w:rPr>
          <w:rFonts w:ascii="Arial" w:hAnsi="Arial" w:cs="Arial"/>
        </w:rPr>
        <w:t xml:space="preserve"> and between SHBG and lipids (P &gt; 0.05) in both infertile and apparently healthy fertile groups in Table 2.</w:t>
      </w:r>
    </w:p>
    <w:p w14:paraId="7424A63F" w14:textId="77777777" w:rsidR="004F5538" w:rsidRPr="00D773E3" w:rsidRDefault="004F5538" w:rsidP="00FE43E9">
      <w:pPr>
        <w:spacing w:after="120" w:line="360" w:lineRule="auto"/>
        <w:jc w:val="both"/>
        <w:rPr>
          <w:rFonts w:ascii="Arial" w:hAnsi="Arial" w:cs="Arial"/>
          <w:b/>
          <w:bCs/>
        </w:rPr>
      </w:pPr>
    </w:p>
    <w:p w14:paraId="3D0AC7C8" w14:textId="77777777" w:rsidR="004F5538" w:rsidRPr="00D773E3" w:rsidRDefault="004F5538" w:rsidP="00FE43E9">
      <w:pPr>
        <w:spacing w:after="120" w:line="360" w:lineRule="auto"/>
        <w:jc w:val="both"/>
      </w:pPr>
    </w:p>
    <w:p w14:paraId="619F1819" w14:textId="77777777" w:rsidR="004F5538" w:rsidRPr="00D773E3" w:rsidRDefault="004F5538" w:rsidP="00FE43E9">
      <w:pPr>
        <w:spacing w:after="120" w:line="360" w:lineRule="auto"/>
        <w:jc w:val="both"/>
      </w:pPr>
    </w:p>
    <w:p w14:paraId="2F6C6C1F" w14:textId="77777777" w:rsidR="000D0038" w:rsidRPr="00D773E3" w:rsidRDefault="000D0038" w:rsidP="00FE43E9">
      <w:pPr>
        <w:spacing w:after="120" w:line="360" w:lineRule="auto"/>
        <w:jc w:val="both"/>
        <w:rPr>
          <w:rFonts w:ascii="Arial" w:hAnsi="Arial" w:cs="Arial"/>
        </w:rPr>
      </w:pPr>
      <w:r w:rsidRPr="00D773E3">
        <w:rPr>
          <w:rFonts w:ascii="Arial" w:hAnsi="Arial" w:cs="Arial"/>
          <w:b/>
          <w:bCs/>
        </w:rPr>
        <w:t>Table 1: Comparison of Mean Serum Levels of SHBG, E</w:t>
      </w:r>
      <w:r w:rsidRPr="00D773E3">
        <w:rPr>
          <w:rFonts w:ascii="Cambria Math" w:hAnsi="Cambria Math" w:cs="Cambria Math"/>
          <w:b/>
          <w:bCs/>
        </w:rPr>
        <w:t>₂</w:t>
      </w:r>
      <w:r w:rsidRPr="00D773E3">
        <w:rPr>
          <w:rFonts w:ascii="Arial" w:hAnsi="Arial" w:cs="Arial"/>
          <w:b/>
          <w:bCs/>
        </w:rPr>
        <w:t>, and Lipids in Infertile (Case) and Fertile (Control) Women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0"/>
        <w:gridCol w:w="2340"/>
        <w:gridCol w:w="2340"/>
        <w:gridCol w:w="1560"/>
        <w:gridCol w:w="1560"/>
      </w:tblGrid>
      <w:tr w:rsidR="000D0038" w:rsidRPr="00D773E3" w14:paraId="702F275C" w14:textId="77777777" w:rsidTr="00AB2D3F">
        <w:trPr>
          <w:tblHeader/>
        </w:trPr>
        <w:tc>
          <w:tcPr>
            <w:tcW w:w="1560" w:type="dxa"/>
            <w:tcBorders>
              <w:top w:val="single" w:sz="0" w:space="0" w:color="AAAAAA"/>
              <w:left w:val="single" w:sz="0" w:space="0" w:color="AAAAAA"/>
              <w:bottom w:val="single" w:sz="0" w:space="0" w:color="AAAAAA"/>
              <w:right w:val="single" w:sz="0" w:space="0" w:color="AAAAAA"/>
            </w:tcBorders>
            <w:shd w:val="clear" w:color="auto" w:fill="D9E1F2"/>
            <w:tcMar>
              <w:top w:w="80" w:type="dxa"/>
              <w:left w:w="120" w:type="dxa"/>
              <w:bottom w:w="80" w:type="dxa"/>
              <w:right w:w="120" w:type="dxa"/>
            </w:tcMar>
          </w:tcPr>
          <w:p w14:paraId="6D7CB075"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b/>
                <w:bCs/>
                <w:sz w:val="20"/>
                <w:szCs w:val="20"/>
              </w:rPr>
              <w:lastRenderedPageBreak/>
              <w:t>Parameter</w:t>
            </w:r>
          </w:p>
        </w:tc>
        <w:tc>
          <w:tcPr>
            <w:tcW w:w="2340" w:type="dxa"/>
            <w:tcBorders>
              <w:top w:val="single" w:sz="0" w:space="0" w:color="AAAAAA"/>
              <w:left w:val="single" w:sz="0" w:space="0" w:color="AAAAAA"/>
              <w:bottom w:val="single" w:sz="0" w:space="0" w:color="AAAAAA"/>
              <w:right w:val="single" w:sz="0" w:space="0" w:color="AAAAAA"/>
            </w:tcBorders>
            <w:shd w:val="clear" w:color="auto" w:fill="D9E1F2"/>
            <w:tcMar>
              <w:top w:w="80" w:type="dxa"/>
              <w:left w:w="120" w:type="dxa"/>
              <w:bottom w:w="80" w:type="dxa"/>
              <w:right w:w="120" w:type="dxa"/>
            </w:tcMar>
          </w:tcPr>
          <w:p w14:paraId="638A787B"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b/>
                <w:bCs/>
                <w:sz w:val="20"/>
                <w:szCs w:val="20"/>
              </w:rPr>
              <w:t>Infertile (n=80) Mean ± SD (pg/mL)</w:t>
            </w:r>
          </w:p>
        </w:tc>
        <w:tc>
          <w:tcPr>
            <w:tcW w:w="2340" w:type="dxa"/>
            <w:tcBorders>
              <w:top w:val="single" w:sz="0" w:space="0" w:color="AAAAAA"/>
              <w:left w:val="single" w:sz="0" w:space="0" w:color="AAAAAA"/>
              <w:bottom w:val="single" w:sz="0" w:space="0" w:color="AAAAAA"/>
              <w:right w:val="single" w:sz="0" w:space="0" w:color="AAAAAA"/>
            </w:tcBorders>
            <w:shd w:val="clear" w:color="auto" w:fill="D9E1F2"/>
            <w:tcMar>
              <w:top w:w="80" w:type="dxa"/>
              <w:left w:w="120" w:type="dxa"/>
              <w:bottom w:w="80" w:type="dxa"/>
              <w:right w:w="120" w:type="dxa"/>
            </w:tcMar>
          </w:tcPr>
          <w:p w14:paraId="523CE9D0"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b/>
                <w:bCs/>
                <w:sz w:val="20"/>
                <w:szCs w:val="20"/>
              </w:rPr>
              <w:t>Fertile (n=80) Mean ± SD (pg/mL)</w:t>
            </w:r>
          </w:p>
        </w:tc>
        <w:tc>
          <w:tcPr>
            <w:tcW w:w="1560" w:type="dxa"/>
            <w:tcBorders>
              <w:top w:val="single" w:sz="0" w:space="0" w:color="AAAAAA"/>
              <w:left w:val="single" w:sz="0" w:space="0" w:color="AAAAAA"/>
              <w:bottom w:val="single" w:sz="0" w:space="0" w:color="AAAAAA"/>
              <w:right w:val="single" w:sz="0" w:space="0" w:color="AAAAAA"/>
            </w:tcBorders>
            <w:shd w:val="clear" w:color="auto" w:fill="D9E1F2"/>
            <w:tcMar>
              <w:top w:w="80" w:type="dxa"/>
              <w:left w:w="120" w:type="dxa"/>
              <w:bottom w:w="80" w:type="dxa"/>
              <w:right w:w="120" w:type="dxa"/>
            </w:tcMar>
          </w:tcPr>
          <w:p w14:paraId="05E2B652"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b/>
                <w:bCs/>
                <w:sz w:val="20"/>
                <w:szCs w:val="20"/>
              </w:rPr>
              <w:t>t-value</w:t>
            </w:r>
          </w:p>
        </w:tc>
        <w:tc>
          <w:tcPr>
            <w:tcW w:w="1560" w:type="dxa"/>
            <w:tcBorders>
              <w:top w:val="single" w:sz="0" w:space="0" w:color="AAAAAA"/>
              <w:left w:val="single" w:sz="0" w:space="0" w:color="AAAAAA"/>
              <w:bottom w:val="single" w:sz="0" w:space="0" w:color="AAAAAA"/>
              <w:right w:val="single" w:sz="0" w:space="0" w:color="AAAAAA"/>
            </w:tcBorders>
            <w:shd w:val="clear" w:color="auto" w:fill="D9E1F2"/>
            <w:tcMar>
              <w:top w:w="80" w:type="dxa"/>
              <w:left w:w="120" w:type="dxa"/>
              <w:bottom w:w="80" w:type="dxa"/>
              <w:right w:w="120" w:type="dxa"/>
            </w:tcMar>
          </w:tcPr>
          <w:p w14:paraId="65790E86"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b/>
                <w:bCs/>
                <w:sz w:val="20"/>
                <w:szCs w:val="20"/>
              </w:rPr>
              <w:t>P-value</w:t>
            </w:r>
          </w:p>
        </w:tc>
      </w:tr>
      <w:tr w:rsidR="000D0038" w:rsidRPr="00D773E3" w14:paraId="4081686D" w14:textId="77777777" w:rsidTr="00AB2D3F">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C05D7DA"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SHBG</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736A188"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184.58 ± 57.21</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5DFC85B"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207.94 ± 45.05</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5161EC0"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2.869</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CA6A7D5"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0.005*</w:t>
            </w:r>
          </w:p>
        </w:tc>
      </w:tr>
      <w:tr w:rsidR="000D0038" w:rsidRPr="00D773E3" w14:paraId="10514D86" w14:textId="77777777" w:rsidTr="00AB2D3F">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F8FF377"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E2</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07BFC38"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124.87 ± 83.86</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F87979A"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224.03 ± 69.48</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FCFF60B"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8.144</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81ECAA7"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0.000*</w:t>
            </w:r>
          </w:p>
        </w:tc>
      </w:tr>
      <w:tr w:rsidR="000D0038" w:rsidRPr="00D773E3" w14:paraId="1C463D64" w14:textId="77777777" w:rsidTr="00AB2D3F">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A17D3E4"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TC</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F288CE0"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221.93 ± 31.19</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1B125F1"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210.99 ± 25.39</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4099413"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2.443</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E826AC0"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0.016*</w:t>
            </w:r>
          </w:p>
        </w:tc>
      </w:tr>
      <w:tr w:rsidR="000D0038" w:rsidRPr="00D773E3" w14:paraId="2148FF1C" w14:textId="77777777" w:rsidTr="00AB2D3F">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DADDFB2"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TG</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26B9C9D"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127.74 ± 19.04</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563EA8F"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138.15 ± 23.74</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52A3A47"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3.060</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00A96D4"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0.003*</w:t>
            </w:r>
          </w:p>
        </w:tc>
      </w:tr>
      <w:tr w:rsidR="000D0038" w:rsidRPr="00D773E3" w14:paraId="7601CC50" w14:textId="77777777" w:rsidTr="00AB2D3F">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86FA294"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HDL-c</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DBCAD3B"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47.38 ± 7.02</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A4E8362"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44.86 ± 3.56</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112FD01"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2.855</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080BDE5"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0.005*</w:t>
            </w:r>
          </w:p>
        </w:tc>
      </w:tr>
      <w:tr w:rsidR="000D0038" w:rsidRPr="00D773E3" w14:paraId="7633E9CD" w14:textId="77777777" w:rsidTr="00AB2D3F">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E08015D"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LDL-c</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42920A1"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149.15 ± 30.64</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8D5A425"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138.30 ± 24.09</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706E93F"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2.490</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F2EEC80"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0.014*</w:t>
            </w:r>
          </w:p>
        </w:tc>
      </w:tr>
      <w:tr w:rsidR="000D0038" w:rsidRPr="00D773E3" w14:paraId="2BB62007" w14:textId="77777777" w:rsidTr="00AB2D3F">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09D4EB1"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VLDL-c</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DE0A175"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25.40 ± 3.90</w:t>
            </w:r>
          </w:p>
        </w:tc>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D9EF871"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28.09 ± 5.46</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6ADF978"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3.582</w:t>
            </w:r>
          </w:p>
        </w:tc>
        <w:tc>
          <w:tcPr>
            <w:tcW w:w="156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B483215" w14:textId="77777777" w:rsidR="000D0038" w:rsidRPr="00D773E3" w:rsidRDefault="000D0038" w:rsidP="009525D0">
            <w:pPr>
              <w:spacing w:after="0" w:line="240" w:lineRule="auto"/>
              <w:jc w:val="center"/>
              <w:rPr>
                <w:rFonts w:ascii="Arial" w:hAnsi="Arial" w:cs="Arial"/>
                <w:sz w:val="20"/>
                <w:szCs w:val="20"/>
              </w:rPr>
            </w:pPr>
            <w:r w:rsidRPr="00D773E3">
              <w:rPr>
                <w:rFonts w:ascii="Arial" w:hAnsi="Arial" w:cs="Arial"/>
                <w:sz w:val="20"/>
                <w:szCs w:val="20"/>
              </w:rPr>
              <w:t>0.000*</w:t>
            </w:r>
          </w:p>
        </w:tc>
      </w:tr>
    </w:tbl>
    <w:p w14:paraId="04F78291" w14:textId="77777777" w:rsidR="00E63B1C" w:rsidRPr="00D773E3" w:rsidRDefault="009525D0" w:rsidP="00FE43E9">
      <w:pPr>
        <w:spacing w:before="80" w:after="240"/>
        <w:jc w:val="both"/>
        <w:rPr>
          <w:rFonts w:ascii="Arial" w:hAnsi="Arial" w:cs="Arial"/>
          <w:sz w:val="20"/>
          <w:szCs w:val="20"/>
        </w:rPr>
      </w:pPr>
      <w:r w:rsidRPr="00D773E3">
        <w:rPr>
          <w:rFonts w:ascii="Arial" w:hAnsi="Arial" w:cs="Arial"/>
          <w:i/>
          <w:iCs/>
          <w:sz w:val="20"/>
          <w:szCs w:val="20"/>
        </w:rPr>
        <w:t>Significant at P &lt; 0.05. SHBG = Sex hormone binding globulin; E2 = Estradiol; TG = Triglyceride; TC = Total cholesterol; HDL-c = High density lipoprotein cholesterol; LDL-c = Low density lipoprotein cholesterol; VLDL-c = Very low-density lipoprotein cholesterol.</w:t>
      </w:r>
    </w:p>
    <w:p w14:paraId="265895DF" w14:textId="77777777" w:rsidR="009525D0" w:rsidRPr="00D773E3" w:rsidRDefault="009525D0" w:rsidP="00FE43E9">
      <w:pPr>
        <w:spacing w:after="120"/>
        <w:jc w:val="both"/>
        <w:rPr>
          <w:rFonts w:ascii="Arial" w:hAnsi="Arial" w:cs="Arial"/>
        </w:rPr>
      </w:pPr>
      <w:r w:rsidRPr="00D773E3">
        <w:rPr>
          <w:rFonts w:ascii="Arial" w:hAnsi="Arial" w:cs="Arial"/>
          <w:b/>
          <w:bCs/>
        </w:rPr>
        <w:t>Table 2: Pearson Correlation Values among SHBG, E</w:t>
      </w:r>
      <w:r w:rsidRPr="00D773E3">
        <w:rPr>
          <w:rFonts w:ascii="Cambria Math" w:hAnsi="Cambria Math" w:cs="Cambria Math"/>
          <w:b/>
          <w:bCs/>
        </w:rPr>
        <w:t>₂</w:t>
      </w:r>
      <w:r w:rsidRPr="00D773E3">
        <w:rPr>
          <w:rFonts w:ascii="Arial" w:hAnsi="Arial" w:cs="Arial"/>
          <w:b/>
          <w:bCs/>
        </w:rPr>
        <w:t>, and Lipid Parameters in Infertile and Fertile Women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1755"/>
        <w:gridCol w:w="1755"/>
        <w:gridCol w:w="1755"/>
        <w:gridCol w:w="1755"/>
      </w:tblGrid>
      <w:tr w:rsidR="009525D0" w:rsidRPr="00D773E3" w14:paraId="170976AB" w14:textId="77777777" w:rsidTr="00AB2D3F">
        <w:trPr>
          <w:tblHeader/>
        </w:trPr>
        <w:tc>
          <w:tcPr>
            <w:tcW w:w="2340" w:type="dxa"/>
            <w:tcBorders>
              <w:top w:val="single" w:sz="0" w:space="0" w:color="AAAAAA"/>
              <w:left w:val="single" w:sz="0" w:space="0" w:color="AAAAAA"/>
              <w:bottom w:val="single" w:sz="0" w:space="0" w:color="AAAAAA"/>
              <w:right w:val="single" w:sz="0" w:space="0" w:color="AAAAAA"/>
            </w:tcBorders>
            <w:shd w:val="clear" w:color="auto" w:fill="D9E1F2"/>
            <w:tcMar>
              <w:top w:w="80" w:type="dxa"/>
              <w:left w:w="120" w:type="dxa"/>
              <w:bottom w:w="80" w:type="dxa"/>
              <w:right w:w="120" w:type="dxa"/>
            </w:tcMar>
          </w:tcPr>
          <w:p w14:paraId="2F7A5166"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b/>
                <w:bCs/>
                <w:sz w:val="20"/>
                <w:szCs w:val="20"/>
              </w:rPr>
              <w:t>Parameter Pair</w:t>
            </w:r>
          </w:p>
        </w:tc>
        <w:tc>
          <w:tcPr>
            <w:tcW w:w="1755" w:type="dxa"/>
            <w:tcBorders>
              <w:top w:val="single" w:sz="0" w:space="0" w:color="AAAAAA"/>
              <w:left w:val="single" w:sz="0" w:space="0" w:color="AAAAAA"/>
              <w:bottom w:val="single" w:sz="0" w:space="0" w:color="AAAAAA"/>
              <w:right w:val="single" w:sz="0" w:space="0" w:color="AAAAAA"/>
            </w:tcBorders>
            <w:shd w:val="clear" w:color="auto" w:fill="D9E1F2"/>
            <w:tcMar>
              <w:top w:w="80" w:type="dxa"/>
              <w:left w:w="120" w:type="dxa"/>
              <w:bottom w:w="80" w:type="dxa"/>
              <w:right w:w="120" w:type="dxa"/>
            </w:tcMar>
          </w:tcPr>
          <w:p w14:paraId="0291712D"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b/>
                <w:bCs/>
                <w:sz w:val="20"/>
                <w:szCs w:val="20"/>
              </w:rPr>
              <w:t>Infertile γ-value</w:t>
            </w:r>
          </w:p>
        </w:tc>
        <w:tc>
          <w:tcPr>
            <w:tcW w:w="1755" w:type="dxa"/>
            <w:tcBorders>
              <w:top w:val="single" w:sz="0" w:space="0" w:color="AAAAAA"/>
              <w:left w:val="single" w:sz="0" w:space="0" w:color="AAAAAA"/>
              <w:bottom w:val="single" w:sz="0" w:space="0" w:color="AAAAAA"/>
              <w:right w:val="single" w:sz="0" w:space="0" w:color="AAAAAA"/>
            </w:tcBorders>
            <w:shd w:val="clear" w:color="auto" w:fill="D9E1F2"/>
            <w:tcMar>
              <w:top w:w="80" w:type="dxa"/>
              <w:left w:w="120" w:type="dxa"/>
              <w:bottom w:w="80" w:type="dxa"/>
              <w:right w:w="120" w:type="dxa"/>
            </w:tcMar>
          </w:tcPr>
          <w:p w14:paraId="20AF8AE4"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b/>
                <w:bCs/>
                <w:sz w:val="20"/>
                <w:szCs w:val="20"/>
              </w:rPr>
              <w:t>Infertile P-value</w:t>
            </w:r>
          </w:p>
        </w:tc>
        <w:tc>
          <w:tcPr>
            <w:tcW w:w="1755" w:type="dxa"/>
            <w:tcBorders>
              <w:top w:val="single" w:sz="0" w:space="0" w:color="AAAAAA"/>
              <w:left w:val="single" w:sz="0" w:space="0" w:color="AAAAAA"/>
              <w:bottom w:val="single" w:sz="0" w:space="0" w:color="AAAAAA"/>
              <w:right w:val="single" w:sz="0" w:space="0" w:color="AAAAAA"/>
            </w:tcBorders>
            <w:shd w:val="clear" w:color="auto" w:fill="D9E1F2"/>
            <w:tcMar>
              <w:top w:w="80" w:type="dxa"/>
              <w:left w:w="120" w:type="dxa"/>
              <w:bottom w:w="80" w:type="dxa"/>
              <w:right w:w="120" w:type="dxa"/>
            </w:tcMar>
          </w:tcPr>
          <w:p w14:paraId="09700182"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b/>
                <w:bCs/>
                <w:sz w:val="20"/>
                <w:szCs w:val="20"/>
              </w:rPr>
              <w:t>Fertile γ-value</w:t>
            </w:r>
          </w:p>
        </w:tc>
        <w:tc>
          <w:tcPr>
            <w:tcW w:w="1755" w:type="dxa"/>
            <w:tcBorders>
              <w:top w:val="single" w:sz="0" w:space="0" w:color="AAAAAA"/>
              <w:left w:val="single" w:sz="0" w:space="0" w:color="AAAAAA"/>
              <w:bottom w:val="single" w:sz="0" w:space="0" w:color="AAAAAA"/>
              <w:right w:val="single" w:sz="0" w:space="0" w:color="AAAAAA"/>
            </w:tcBorders>
            <w:shd w:val="clear" w:color="auto" w:fill="D9E1F2"/>
            <w:tcMar>
              <w:top w:w="80" w:type="dxa"/>
              <w:left w:w="120" w:type="dxa"/>
              <w:bottom w:w="80" w:type="dxa"/>
              <w:right w:w="120" w:type="dxa"/>
            </w:tcMar>
          </w:tcPr>
          <w:p w14:paraId="28F696F1"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b/>
                <w:bCs/>
                <w:sz w:val="20"/>
                <w:szCs w:val="20"/>
              </w:rPr>
              <w:t>Fertile P-value</w:t>
            </w:r>
          </w:p>
        </w:tc>
      </w:tr>
      <w:tr w:rsidR="009525D0" w:rsidRPr="00D773E3" w14:paraId="747581B6"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11A2CCD"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SHBG vs E2</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4359488"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-0.159</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68FFA00"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0.158</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C76AE9C"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0.176</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01583F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0.118</w:t>
            </w:r>
          </w:p>
        </w:tc>
      </w:tr>
      <w:tr w:rsidR="009525D0" w:rsidRPr="00D773E3" w14:paraId="1A2CE40E"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AFE062C"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SHBG vs TC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E3FA4EB"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0.164</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AA6AA88"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0.146</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6E8F11B"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0.045</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1768082"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0.689</w:t>
            </w:r>
          </w:p>
        </w:tc>
      </w:tr>
      <w:tr w:rsidR="009525D0" w:rsidRPr="00D773E3" w14:paraId="0D5CC5F3"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735A4FB"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SHBG vs TG</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0071E5A"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0.116</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C24557C"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0.305</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8F05A5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-0.012</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7C7F708"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0.918</w:t>
            </w:r>
          </w:p>
        </w:tc>
      </w:tr>
      <w:tr w:rsidR="009525D0" w:rsidRPr="00D773E3" w14:paraId="4C76B657"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B22BF2A"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SHBG vs HDL-c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F0C7777"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0.190</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C4FD576"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0.091</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DBD09C6"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-0.028</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82CDF13"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0.803</w:t>
            </w:r>
          </w:p>
        </w:tc>
      </w:tr>
      <w:tr w:rsidR="009525D0" w:rsidRPr="00D773E3" w14:paraId="2B867262"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13E0AAA"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SHBG vs LDL-c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42BD42E"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0.151</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077B9E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0.182</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C24E73B"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0.042</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EC7A15E"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0.709</w:t>
            </w:r>
          </w:p>
        </w:tc>
      </w:tr>
      <w:tr w:rsidR="009525D0" w:rsidRPr="00D773E3" w14:paraId="7DC84838"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FDEEE45"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SHBG vs VLDL-c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667B0A6"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-0.073</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2F09324"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0.520</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249A6D0"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0.033</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E91787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0.774</w:t>
            </w:r>
          </w:p>
        </w:tc>
      </w:tr>
      <w:tr w:rsidR="009525D0" w:rsidRPr="00D773E3" w14:paraId="1A602D9F"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787935E"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E2 vs TC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72D3CE9"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-0.124</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D86A697"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0.273</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1B1B0B7"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-0.124</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8D54FB9"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0.271</w:t>
            </w:r>
          </w:p>
        </w:tc>
      </w:tr>
      <w:tr w:rsidR="009525D0" w:rsidRPr="00D773E3" w14:paraId="333F3D45"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6C2F630"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E2 vs TG</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06B8FF1"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-0.099</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97DD7C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0.382</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BCCF012"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0.003</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022D481"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0.975</w:t>
            </w:r>
          </w:p>
        </w:tc>
      </w:tr>
      <w:tr w:rsidR="009525D0" w:rsidRPr="00D773E3" w14:paraId="1823119B"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C1E42D4"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E2 vs HDL-c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FF692C9"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-0.122</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16A05B5"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0.281</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B69BEA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-0.004</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2C4EF74"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0.969</w:t>
            </w:r>
          </w:p>
        </w:tc>
      </w:tr>
      <w:tr w:rsidR="009525D0" w:rsidRPr="00D773E3" w14:paraId="23A8B42A"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4672055"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E2 vs LDL-c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350191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-0.094</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2E09599"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0.407</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CD7F888"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-0.125</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4664D1A"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0.269</w:t>
            </w:r>
          </w:p>
        </w:tc>
      </w:tr>
      <w:tr w:rsidR="009525D0" w:rsidRPr="00D773E3" w14:paraId="35800EE1"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A14814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E2 vs VLDL-c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FB16335"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-0.156</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337A1D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0.167</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849DC00"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0.119</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489CCBD"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0.295</w:t>
            </w:r>
          </w:p>
        </w:tc>
      </w:tr>
      <w:tr w:rsidR="009525D0" w:rsidRPr="00D773E3" w14:paraId="1172A5B6"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CC7ABA0"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TC vs TG</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30FE374"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0.138</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395BA2C"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0.222</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2140C70"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0.341</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62E1899"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0.002*</w:t>
            </w:r>
          </w:p>
        </w:tc>
      </w:tr>
      <w:tr w:rsidR="009525D0" w:rsidRPr="00D773E3" w14:paraId="5910C8CB"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64C01D1"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TC vs HDL-c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CEEB2CC"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0.126</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C4E3053"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0.265</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EA0AF6D"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0.038</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576C92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0.736</w:t>
            </w:r>
          </w:p>
        </w:tc>
      </w:tr>
      <w:tr w:rsidR="009525D0" w:rsidRPr="00D773E3" w14:paraId="0AD8F5ED"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3F400D7"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TC vs LDL-c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2D123ED"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0.967</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C5C239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0.000*</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5CF7396"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0.965</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2921FC1"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0.000*</w:t>
            </w:r>
          </w:p>
        </w:tc>
      </w:tr>
      <w:tr w:rsidR="009525D0" w:rsidRPr="00D773E3" w14:paraId="0A7880D8"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05F2B29"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TC vs VLDL-c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E07A83A"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0.107</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6CD74DD"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0.346</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3091A2D"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-0.145</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F3E0CA8"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0.200</w:t>
            </w:r>
          </w:p>
        </w:tc>
      </w:tr>
      <w:tr w:rsidR="009525D0" w:rsidRPr="00D773E3" w14:paraId="2C9760B7"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BF3A307"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TG vs HDL-c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CC22519"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-0.178</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F161CF5"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0.114</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E61938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0.048</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066A366"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0.675</w:t>
            </w:r>
          </w:p>
        </w:tc>
      </w:tr>
      <w:tr w:rsidR="009525D0" w:rsidRPr="00D773E3" w14:paraId="00CAB38E"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6660C3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TG vs LDL-c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3F09677"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0.054</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FC93B4E"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0.635</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5F504A3"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0.156</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3BFD13B"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0.166</w:t>
            </w:r>
          </w:p>
        </w:tc>
      </w:tr>
      <w:tr w:rsidR="009525D0" w:rsidRPr="00D773E3" w14:paraId="6CCD1860"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7B57105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TG vs VLDL-c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61BF8C9"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0.909</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A24082C"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0.000*</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35A2899"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0.344</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4D43A4A"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0.002*</w:t>
            </w:r>
          </w:p>
        </w:tc>
      </w:tr>
      <w:tr w:rsidR="009525D0" w:rsidRPr="00D773E3" w14:paraId="2D396052"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132CFF82"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lastRenderedPageBreak/>
              <w:t>HDL-c vs LDL-c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052CF9B"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-0.073</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3F33BAF"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0.519</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65458243"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-0.110</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6A32E70"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0.333</w:t>
            </w:r>
          </w:p>
        </w:tc>
      </w:tr>
      <w:tr w:rsidR="009525D0" w:rsidRPr="00D773E3" w14:paraId="40EB6D7E"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0D30F745"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HDL-c vs VLDL-c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A8ABE80"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-0.127</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7BB0354"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0.260</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C7B644A"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0.184</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34C33C42"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0.101</w:t>
            </w:r>
          </w:p>
        </w:tc>
      </w:tr>
      <w:tr w:rsidR="009525D0" w:rsidRPr="00D773E3" w14:paraId="4BBE9345" w14:textId="77777777" w:rsidTr="00AB2D3F">
        <w:tc>
          <w:tcPr>
            <w:tcW w:w="2340"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2D4597C"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LDL-c vs VLDL-c</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779B44D"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0.108</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2306C80A"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0.875</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5634E7D8"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-0.238</w:t>
            </w:r>
          </w:p>
        </w:tc>
        <w:tc>
          <w:tcPr>
            <w:tcW w:w="1755" w:type="dxa"/>
            <w:tcBorders>
              <w:top w:val="single" w:sz="0" w:space="0" w:color="AAAAAA"/>
              <w:left w:val="single" w:sz="0" w:space="0" w:color="AAAAAA"/>
              <w:bottom w:val="single" w:sz="0" w:space="0" w:color="AAAAAA"/>
              <w:right w:val="single" w:sz="0" w:space="0" w:color="AAAAAA"/>
            </w:tcBorders>
            <w:shd w:val="clear" w:color="auto" w:fill="FFFFFF"/>
            <w:tcMar>
              <w:top w:w="80" w:type="dxa"/>
              <w:left w:w="120" w:type="dxa"/>
              <w:bottom w:w="80" w:type="dxa"/>
              <w:right w:w="120" w:type="dxa"/>
            </w:tcMar>
          </w:tcPr>
          <w:p w14:paraId="46AF3CDC" w14:textId="77777777" w:rsidR="009525D0" w:rsidRPr="00D773E3" w:rsidRDefault="009525D0" w:rsidP="009525D0">
            <w:pPr>
              <w:spacing w:after="0" w:line="240" w:lineRule="auto"/>
              <w:jc w:val="center"/>
              <w:rPr>
                <w:rFonts w:ascii="Arial" w:hAnsi="Arial" w:cs="Arial"/>
                <w:sz w:val="20"/>
                <w:szCs w:val="20"/>
              </w:rPr>
            </w:pPr>
            <w:r w:rsidRPr="00D773E3">
              <w:rPr>
                <w:rFonts w:ascii="Arial" w:hAnsi="Arial" w:cs="Arial"/>
                <w:sz w:val="20"/>
                <w:szCs w:val="20"/>
              </w:rPr>
              <w:t>0.034*</w:t>
            </w:r>
          </w:p>
        </w:tc>
      </w:tr>
    </w:tbl>
    <w:p w14:paraId="6924A59D" w14:textId="77777777" w:rsidR="00E63B1C" w:rsidRPr="00D773E3" w:rsidRDefault="00B61B51" w:rsidP="00834DC1">
      <w:pPr>
        <w:jc w:val="both"/>
        <w:rPr>
          <w:rFonts w:ascii="Arial" w:hAnsi="Arial" w:cs="Arial"/>
          <w:sz w:val="20"/>
          <w:szCs w:val="20"/>
        </w:rPr>
      </w:pPr>
      <w:r w:rsidRPr="00D773E3">
        <w:rPr>
          <w:rFonts w:ascii="Arial" w:hAnsi="Arial" w:cs="Arial"/>
          <w:i/>
          <w:iCs/>
          <w:sz w:val="20"/>
          <w:szCs w:val="20"/>
        </w:rPr>
        <w:t xml:space="preserve">Significant at P &lt; 0.05. SHBG = Sex hormone binding globulin; E2 = Estradiol; TG = Triglyceride; TC = Total cholesterol; HDL-c = High density lipoprotein cholesterol; LDL-c = Low density lipoprotein cholesterol; VLDL-c = Very low-density lipoprotein cholesterol; </w:t>
      </w:r>
      <w:r w:rsidRPr="00D773E3">
        <w:rPr>
          <w:rFonts w:ascii="Arial" w:hAnsi="Arial" w:cs="Arial"/>
          <w:i/>
          <w:sz w:val="20"/>
          <w:szCs w:val="20"/>
        </w:rPr>
        <w:t>VS means Verse</w:t>
      </w:r>
      <w:r w:rsidRPr="00D773E3">
        <w:rPr>
          <w:rFonts w:ascii="Arial" w:hAnsi="Arial" w:cs="Arial"/>
          <w:sz w:val="20"/>
          <w:szCs w:val="20"/>
        </w:rPr>
        <w:t>.</w:t>
      </w:r>
    </w:p>
    <w:p w14:paraId="3DF27949" w14:textId="77777777" w:rsidR="00E63B1C" w:rsidRPr="00D773E3" w:rsidRDefault="00E63B1C" w:rsidP="00834DC1">
      <w:pPr>
        <w:jc w:val="both"/>
        <w:rPr>
          <w:rFonts w:ascii="Times New Roman" w:hAnsi="Times New Roman" w:cs="Times New Roman"/>
          <w:sz w:val="20"/>
          <w:szCs w:val="20"/>
        </w:rPr>
      </w:pPr>
    </w:p>
    <w:p w14:paraId="1A23CC06" w14:textId="77777777" w:rsidR="008A6221" w:rsidRPr="00D773E3" w:rsidRDefault="008A6221" w:rsidP="00AC512B">
      <w:pPr>
        <w:pStyle w:val="Pa7"/>
        <w:spacing w:line="276" w:lineRule="auto"/>
        <w:jc w:val="both"/>
        <w:rPr>
          <w:rFonts w:ascii="Arial" w:hAnsi="Arial" w:cs="Arial"/>
          <w:color w:val="000000"/>
          <w:sz w:val="22"/>
          <w:szCs w:val="22"/>
        </w:rPr>
      </w:pPr>
      <w:r w:rsidRPr="00D773E3">
        <w:rPr>
          <w:rFonts w:ascii="Arial" w:hAnsi="Arial" w:cs="Arial"/>
          <w:b/>
          <w:color w:val="000000"/>
          <w:sz w:val="22"/>
          <w:szCs w:val="22"/>
        </w:rPr>
        <w:t>Discussions</w:t>
      </w:r>
    </w:p>
    <w:p w14:paraId="6A56C83C" w14:textId="77777777" w:rsidR="00B61B51" w:rsidRPr="00D773E3" w:rsidRDefault="00B61B51" w:rsidP="00B61B51">
      <w:pPr>
        <w:spacing w:after="160"/>
        <w:jc w:val="both"/>
        <w:rPr>
          <w:rFonts w:ascii="Arial" w:hAnsi="Arial" w:cs="Arial"/>
        </w:rPr>
      </w:pPr>
      <w:r w:rsidRPr="00D773E3">
        <w:rPr>
          <w:rFonts w:ascii="Arial" w:hAnsi="Arial" w:cs="Arial"/>
        </w:rPr>
        <w:t>Female infertility remains a significant global health challenge. This study was designed to examine the serum levels of SHBG, E2, and key lipid parameters in women experiencing infertility related to hormonal dysfunction.</w:t>
      </w:r>
    </w:p>
    <w:p w14:paraId="1E4C9FA2" w14:textId="77777777" w:rsidR="00B61B51" w:rsidRPr="00D773E3" w:rsidRDefault="00B61B51" w:rsidP="00B61B51">
      <w:pPr>
        <w:spacing w:after="160"/>
        <w:jc w:val="both"/>
        <w:rPr>
          <w:rFonts w:ascii="Arial" w:hAnsi="Arial" w:cs="Arial"/>
        </w:rPr>
      </w:pPr>
      <w:r w:rsidRPr="00D773E3">
        <w:rPr>
          <w:rFonts w:ascii="Arial" w:hAnsi="Arial" w:cs="Arial"/>
        </w:rPr>
        <w:t>The finding that both SHBG and E2 were significantly lower in infertile women compared with fertile controls (</w:t>
      </w:r>
      <w:r w:rsidRPr="00D773E3">
        <w:rPr>
          <w:rFonts w:ascii="Arial" w:hAnsi="Arial" w:cs="Arial"/>
          <w:i/>
        </w:rPr>
        <w:t xml:space="preserve">P </w:t>
      </w:r>
      <w:r w:rsidRPr="00D773E3">
        <w:rPr>
          <w:rFonts w:ascii="Arial" w:hAnsi="Arial" w:cs="Arial"/>
        </w:rPr>
        <w:t xml:space="preserve">&lt; 0.05) points to an underlying hormonal imbalance that may be directly implicated in reproductive failure. These results align with those reported by Abd Nusaif </w:t>
      </w:r>
      <w:r w:rsidRPr="00D773E3">
        <w:rPr>
          <w:rFonts w:ascii="Arial" w:hAnsi="Arial" w:cs="Arial"/>
          <w:i/>
        </w:rPr>
        <w:t>et al.,</w:t>
      </w:r>
      <w:r w:rsidRPr="00D773E3">
        <w:rPr>
          <w:rFonts w:ascii="Arial" w:hAnsi="Arial" w:cs="Arial"/>
        </w:rPr>
        <w:t xml:space="preserve"> (2024). Low serum SHBG has been identified as a marker of long-term infertility risk and is thought to play a mechanistic role in its pathogenesis (Szybiak-Skora </w:t>
      </w:r>
      <w:r w:rsidRPr="00D773E3">
        <w:rPr>
          <w:rFonts w:ascii="Arial" w:hAnsi="Arial" w:cs="Arial"/>
          <w:i/>
        </w:rPr>
        <w:t>et al.,</w:t>
      </w:r>
      <w:r w:rsidRPr="00D773E3">
        <w:rPr>
          <w:rFonts w:ascii="Arial" w:hAnsi="Arial" w:cs="Arial"/>
        </w:rPr>
        <w:t xml:space="preserve"> 2025). Women with hormonal imbalance often fail to develop sufficient follicles for ovulation, further compromising fertility.</w:t>
      </w:r>
    </w:p>
    <w:p w14:paraId="7C94CAA9" w14:textId="77777777" w:rsidR="00B61B51" w:rsidRPr="00D773E3" w:rsidRDefault="00B61B51" w:rsidP="00B61B51">
      <w:pPr>
        <w:spacing w:after="160"/>
        <w:jc w:val="both"/>
        <w:rPr>
          <w:rFonts w:ascii="Arial" w:hAnsi="Arial" w:cs="Arial"/>
        </w:rPr>
      </w:pPr>
      <w:r w:rsidRPr="00D773E3">
        <w:rPr>
          <w:rFonts w:ascii="Arial" w:hAnsi="Arial" w:cs="Arial"/>
        </w:rPr>
        <w:t xml:space="preserve">The findings differ somewhat from those of Lin and Sun (2005), who reported that high estrogen levels increase SHBG in women undergoing controlled ovarian hyperstimulation. This discrepancy may reflect differences in the hormonal milieu created by ovarian stimulation, or underlying genetic variability in the study populations. According to Ma and Chen (2024), the causal relationship between SHBG and infertility remains an area of active investigation. SHBG influences hormonal bioavailability not only in reproductive tissues, but also in the cardiovascular system. Elevated SHBG can lead to high total estradiol levels without a corresponding rise in free (bioactive) estradiol (Wu </w:t>
      </w:r>
      <w:r w:rsidRPr="00D773E3">
        <w:rPr>
          <w:rFonts w:ascii="Arial" w:hAnsi="Arial" w:cs="Arial"/>
          <w:i/>
        </w:rPr>
        <w:t>et al.,</w:t>
      </w:r>
      <w:r w:rsidRPr="00D773E3">
        <w:rPr>
          <w:rFonts w:ascii="Arial" w:hAnsi="Arial" w:cs="Arial"/>
        </w:rPr>
        <w:t xml:space="preserve"> 1976). Since estradiol is necessary for endometrial proliferation and fertile cervical mucus production, its relative deficiency can block both ovulation and implantation (Weschler, 2002).</w:t>
      </w:r>
    </w:p>
    <w:p w14:paraId="732FBA2A" w14:textId="77777777" w:rsidR="00B61B51" w:rsidRPr="00D773E3" w:rsidRDefault="00B61B51" w:rsidP="00B61B51">
      <w:pPr>
        <w:spacing w:after="160"/>
        <w:jc w:val="both"/>
        <w:rPr>
          <w:rFonts w:ascii="Arial" w:hAnsi="Arial" w:cs="Arial"/>
        </w:rPr>
      </w:pPr>
      <w:r w:rsidRPr="00D773E3">
        <w:rPr>
          <w:rFonts w:ascii="Arial" w:hAnsi="Arial" w:cs="Arial"/>
        </w:rPr>
        <w:t xml:space="preserve">The lipid findings — significantly reduced TG and VLDL-c, alongside elevated TC, HDL-c, and LDL-c in the infertile group — are consistent with a </w:t>
      </w:r>
      <w:r w:rsidR="00B141FF" w:rsidRPr="00D773E3">
        <w:rPr>
          <w:rFonts w:ascii="Arial" w:hAnsi="Arial" w:cs="Arial"/>
        </w:rPr>
        <w:t>dyslipidemia</w:t>
      </w:r>
      <w:r w:rsidRPr="00D773E3">
        <w:rPr>
          <w:rFonts w:ascii="Arial" w:hAnsi="Arial" w:cs="Arial"/>
        </w:rPr>
        <w:t xml:space="preserve"> pattern also noted by Chikezie </w:t>
      </w:r>
      <w:r w:rsidRPr="00D773E3">
        <w:rPr>
          <w:rFonts w:ascii="Arial" w:hAnsi="Arial" w:cs="Arial"/>
          <w:i/>
        </w:rPr>
        <w:t>et al.,</w:t>
      </w:r>
      <w:r w:rsidRPr="00D773E3">
        <w:rPr>
          <w:rFonts w:ascii="Arial" w:hAnsi="Arial" w:cs="Arial"/>
        </w:rPr>
        <w:t xml:space="preserve"> (2016). While an elevation in HDL-c might appear protective, the overall lipid profile in infertile women, particularly the elevated LDL-c and TC, may interfere with steroidogenesis and endothelial function, thereby contributing to fertility difficulties.</w:t>
      </w:r>
    </w:p>
    <w:p w14:paraId="0905D85E" w14:textId="77777777" w:rsidR="00B61B51" w:rsidRPr="00D773E3" w:rsidRDefault="00B61B51" w:rsidP="00B61B51">
      <w:pPr>
        <w:spacing w:after="160"/>
        <w:jc w:val="both"/>
        <w:rPr>
          <w:rFonts w:ascii="Arial" w:hAnsi="Arial" w:cs="Arial"/>
        </w:rPr>
      </w:pPr>
      <w:r w:rsidRPr="00D773E3">
        <w:rPr>
          <w:rFonts w:ascii="Arial" w:hAnsi="Arial" w:cs="Arial"/>
        </w:rPr>
        <w:t xml:space="preserve">Correlation analysis confirmed a strong positive association between TC and LDL-c in both groups, and between TG and VLDL-c in both groups (P &lt; 0.05). An inverse correlation between LDL-c and VLDL-c was observed only in the fertile group. No significant correlation was found between SHBG or E2 and any lipid parameter in either group, possibly reflecting the influence of anovulatory cycles on estradiol variability. The absence of these correlations may indicate that </w:t>
      </w:r>
      <w:r w:rsidRPr="00D773E3">
        <w:rPr>
          <w:rFonts w:ascii="Arial" w:hAnsi="Arial" w:cs="Arial"/>
        </w:rPr>
        <w:lastRenderedPageBreak/>
        <w:t>some of the infertile participants were not ovulating, thereby disrupting normal hormonal-lipid interactions.</w:t>
      </w:r>
    </w:p>
    <w:p w14:paraId="404A5269" w14:textId="56DFAC6E" w:rsidR="006659F9" w:rsidRPr="00D773E3" w:rsidRDefault="006659F9" w:rsidP="00AC512B">
      <w:pPr>
        <w:jc w:val="both"/>
        <w:rPr>
          <w:rFonts w:ascii="Arial" w:hAnsi="Arial" w:cs="Arial"/>
          <w:b/>
        </w:rPr>
      </w:pPr>
      <w:r w:rsidRPr="00D773E3">
        <w:rPr>
          <w:rFonts w:ascii="Arial" w:hAnsi="Arial" w:cs="Arial"/>
          <w:b/>
        </w:rPr>
        <w:t>4. CONCLUSION</w:t>
      </w:r>
    </w:p>
    <w:p w14:paraId="7E484BD3" w14:textId="77777777" w:rsidR="00FE43E9" w:rsidRPr="00D773E3" w:rsidRDefault="00FE43E9" w:rsidP="00FE43E9">
      <w:pPr>
        <w:spacing w:after="160"/>
        <w:jc w:val="both"/>
        <w:rPr>
          <w:rFonts w:ascii="Arial" w:hAnsi="Arial" w:cs="Arial"/>
        </w:rPr>
      </w:pPr>
      <w:r w:rsidRPr="00D773E3">
        <w:rPr>
          <w:rFonts w:ascii="Arial" w:hAnsi="Arial" w:cs="Arial"/>
        </w:rPr>
        <w:t xml:space="preserve">SHBG and lipids play integral roles in maintaining the hormonal balance necessary for female reproductive health. This study found that infertile women with hormonal imbalance exhibited significantly lower E2 and SHBG levels, alongside elevated TC and LDL-c concentrations, relative to fertile controls. These changes suggest that steroidogenesis may be compromised in this population, and point to a possible mechanistic link between </w:t>
      </w:r>
      <w:r w:rsidR="00B141FF" w:rsidRPr="00D773E3">
        <w:rPr>
          <w:rFonts w:ascii="Arial" w:hAnsi="Arial" w:cs="Arial"/>
        </w:rPr>
        <w:t>dyslipidemia</w:t>
      </w:r>
      <w:r w:rsidRPr="00D773E3">
        <w:rPr>
          <w:rFonts w:ascii="Arial" w:hAnsi="Arial" w:cs="Arial"/>
        </w:rPr>
        <w:t xml:space="preserve"> and reproductive failure. The authors recommend that SHBG, E2, TC, and LDL-c be routinely incorporated into the laboratory workup for women presenting with hormonal infertility, as these parameters may enhance diagnostic accuracy and guide therapeutic strategies. The reduction in free estradiol — modulated in part by SHBG dynamics — and the associated lipid abnormalities may together contribute to impaired endometrial receptivity and lower fertility rates in this group.</w:t>
      </w:r>
    </w:p>
    <w:p w14:paraId="5053601D" w14:textId="77777777" w:rsidR="00FB0626" w:rsidRDefault="00FB0626" w:rsidP="004B4207">
      <w:pPr>
        <w:spacing w:line="240" w:lineRule="auto"/>
        <w:rPr>
          <w:rFonts w:ascii="Arial" w:hAnsi="Arial" w:cs="Arial"/>
          <w:b/>
          <w:bCs/>
        </w:rPr>
      </w:pPr>
    </w:p>
    <w:p w14:paraId="2CF9442B" w14:textId="1AE4A324" w:rsidR="004B4207" w:rsidRPr="00D773E3" w:rsidRDefault="006659F9" w:rsidP="004B4207">
      <w:pPr>
        <w:spacing w:line="240" w:lineRule="auto"/>
        <w:rPr>
          <w:rFonts w:ascii="Arial" w:hAnsi="Arial" w:cs="Arial"/>
          <w:b/>
        </w:rPr>
      </w:pPr>
      <w:r w:rsidRPr="00D773E3">
        <w:rPr>
          <w:rFonts w:ascii="Arial" w:hAnsi="Arial" w:cs="Arial"/>
          <w:b/>
        </w:rPr>
        <w:t xml:space="preserve">REFERENCES </w:t>
      </w:r>
    </w:p>
    <w:p w14:paraId="71B8EB14" w14:textId="77777777" w:rsidR="00800B99" w:rsidRPr="00D773E3" w:rsidRDefault="00800B99" w:rsidP="00800B99">
      <w:pPr>
        <w:autoSpaceDE w:val="0"/>
        <w:autoSpaceDN w:val="0"/>
        <w:adjustRightInd w:val="0"/>
        <w:spacing w:after="0"/>
        <w:ind w:left="720" w:hanging="720"/>
        <w:jc w:val="both"/>
        <w:rPr>
          <w:rFonts w:ascii="Arial" w:hAnsi="Arial" w:cs="Arial"/>
        </w:rPr>
      </w:pPr>
      <w:hyperlink r:id="rId6" w:tooltip="Khawla I. Abd Nusaif" w:history="1">
        <w:r w:rsidRPr="00D773E3">
          <w:rPr>
            <w:rStyle w:val="Hyperlink"/>
            <w:rFonts w:ascii="Arial" w:hAnsi="Arial" w:cs="Arial"/>
            <w:color w:val="auto"/>
            <w:u w:val="none"/>
          </w:rPr>
          <w:t>Abd Nusaif</w:t>
        </w:r>
      </w:hyperlink>
      <w:r w:rsidRPr="00D773E3">
        <w:rPr>
          <w:rFonts w:ascii="Arial" w:hAnsi="Arial" w:cs="Arial"/>
        </w:rPr>
        <w:t xml:space="preserve">, K.I., </w:t>
      </w:r>
      <w:hyperlink r:id="rId7" w:tooltip="Kawther Mejbel Hussein" w:history="1">
        <w:r w:rsidRPr="00D773E3">
          <w:rPr>
            <w:rStyle w:val="Hyperlink"/>
            <w:rFonts w:ascii="Arial" w:hAnsi="Arial" w:cs="Arial"/>
            <w:color w:val="auto"/>
            <w:u w:val="none"/>
          </w:rPr>
          <w:t>Hussein</w:t>
        </w:r>
      </w:hyperlink>
      <w:r w:rsidRPr="00D773E3">
        <w:rPr>
          <w:rFonts w:ascii="Arial" w:hAnsi="Arial" w:cs="Arial"/>
        </w:rPr>
        <w:t xml:space="preserve">, K.M.,  </w:t>
      </w:r>
      <w:hyperlink r:id="rId8" w:tooltip="Sara Abdalkareem Moshref" w:history="1">
        <w:r w:rsidRPr="00D773E3">
          <w:rPr>
            <w:rStyle w:val="Hyperlink"/>
            <w:rFonts w:ascii="Arial" w:hAnsi="Arial" w:cs="Arial"/>
            <w:color w:val="auto"/>
            <w:u w:val="none"/>
          </w:rPr>
          <w:t>Moshref</w:t>
        </w:r>
      </w:hyperlink>
      <w:r w:rsidRPr="00D773E3">
        <w:rPr>
          <w:rFonts w:ascii="Arial" w:hAnsi="Arial" w:cs="Arial"/>
        </w:rPr>
        <w:t xml:space="preserve">, S.A &amp; </w:t>
      </w:r>
      <w:hyperlink r:id="rId9" w:tooltip="Inam Joudah Radhi" w:history="1">
        <w:r w:rsidRPr="00D773E3">
          <w:rPr>
            <w:rStyle w:val="Hyperlink"/>
            <w:rFonts w:ascii="Arial" w:hAnsi="Arial" w:cs="Arial"/>
            <w:color w:val="auto"/>
            <w:u w:val="none"/>
          </w:rPr>
          <w:t>Radhi</w:t>
        </w:r>
      </w:hyperlink>
      <w:r w:rsidRPr="00D773E3">
        <w:rPr>
          <w:rFonts w:ascii="Arial" w:hAnsi="Arial" w:cs="Arial"/>
        </w:rPr>
        <w:t xml:space="preserve">, I.J .(2024). Association between sex hormonal and metabolic changes in female with infertility, in Al-najaf city patienta. </w:t>
      </w:r>
      <w:r w:rsidRPr="00D773E3">
        <w:rPr>
          <w:rStyle w:val="HTMLCite"/>
          <w:rFonts w:ascii="Arial" w:hAnsi="Arial" w:cs="Arial"/>
        </w:rPr>
        <w:t>Gynecology and Obstetrics Medical Project,</w:t>
      </w:r>
      <w:r w:rsidRPr="00D773E3">
        <w:rPr>
          <w:rFonts w:ascii="Arial" w:hAnsi="Arial" w:cs="Arial"/>
        </w:rPr>
        <w:t xml:space="preserve"> </w:t>
      </w:r>
      <w:r w:rsidRPr="00D773E3">
        <w:rPr>
          <w:rFonts w:ascii="Arial" w:hAnsi="Arial" w:cs="Arial"/>
          <w:b/>
        </w:rPr>
        <w:t>19</w:t>
      </w:r>
      <w:r w:rsidRPr="00D773E3">
        <w:rPr>
          <w:rFonts w:ascii="Arial" w:hAnsi="Arial" w:cs="Arial"/>
        </w:rPr>
        <w:t>(4), 1-5.</w:t>
      </w:r>
    </w:p>
    <w:p w14:paraId="5E1F46B7" w14:textId="77777777" w:rsidR="00800B99" w:rsidRPr="00D773E3" w:rsidRDefault="00800B99" w:rsidP="004B4207">
      <w:pPr>
        <w:autoSpaceDE w:val="0"/>
        <w:autoSpaceDN w:val="0"/>
        <w:adjustRightInd w:val="0"/>
        <w:spacing w:after="0"/>
        <w:ind w:left="720" w:hanging="720"/>
        <w:jc w:val="both"/>
        <w:rPr>
          <w:rFonts w:ascii="Arial" w:hAnsi="Arial" w:cs="Arial"/>
          <w:color w:val="000000"/>
        </w:rPr>
      </w:pPr>
    </w:p>
    <w:p w14:paraId="70E8BC69"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hAnsi="Arial" w:cs="Arial"/>
          <w:color w:val="000000"/>
        </w:rPr>
        <w:t xml:space="preserve">Abraham, G.E (1981). The application of natural steroid radioimmunoassay to gynecologic endocrinology. In Abraham, G.E, (Ed), </w:t>
      </w:r>
      <w:r w:rsidR="004B0169" w:rsidRPr="00D773E3">
        <w:rPr>
          <w:rFonts w:ascii="Arial" w:hAnsi="Arial" w:cs="Arial"/>
          <w:color w:val="000000"/>
        </w:rPr>
        <w:t>Radioassay</w:t>
      </w:r>
      <w:r w:rsidRPr="00D773E3">
        <w:rPr>
          <w:rFonts w:ascii="Arial" w:hAnsi="Arial" w:cs="Arial"/>
          <w:color w:val="000000"/>
        </w:rPr>
        <w:t xml:space="preserve"> systems in clinical endocrinology. Basel: Marcel Dekker. Pp 475-529.</w:t>
      </w:r>
    </w:p>
    <w:p w14:paraId="2B90F17F" w14:textId="77777777" w:rsidR="004B4207" w:rsidRPr="00D773E3" w:rsidRDefault="004B4207" w:rsidP="004B4207">
      <w:pPr>
        <w:autoSpaceDE w:val="0"/>
        <w:autoSpaceDN w:val="0"/>
        <w:adjustRightInd w:val="0"/>
        <w:spacing w:after="0"/>
        <w:ind w:left="720" w:hanging="720"/>
        <w:jc w:val="both"/>
        <w:rPr>
          <w:rStyle w:val="element-citation"/>
          <w:rFonts w:ascii="Arial" w:hAnsi="Arial" w:cs="Arial"/>
        </w:rPr>
      </w:pPr>
    </w:p>
    <w:p w14:paraId="728D5798"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Style w:val="element-citation"/>
          <w:rFonts w:ascii="Arial" w:hAnsi="Arial" w:cs="Arial"/>
        </w:rPr>
        <w:t xml:space="preserve">Adekunle, L (2002). Infertility: A sociological analysis of problems of infertility among women in a rural community in Nigeria. </w:t>
      </w:r>
      <w:r w:rsidRPr="00D773E3">
        <w:rPr>
          <w:rStyle w:val="ref-journal"/>
          <w:rFonts w:ascii="Arial" w:hAnsi="Arial" w:cs="Arial"/>
          <w:i/>
        </w:rPr>
        <w:t>African Journal of Medical Sciences</w:t>
      </w:r>
      <w:r w:rsidRPr="00D773E3">
        <w:rPr>
          <w:rStyle w:val="element-citation"/>
          <w:rFonts w:ascii="Arial" w:hAnsi="Arial" w:cs="Arial"/>
        </w:rPr>
        <w:t xml:space="preserve">; </w:t>
      </w:r>
      <w:r w:rsidRPr="00D773E3">
        <w:rPr>
          <w:rStyle w:val="ref-vol"/>
          <w:rFonts w:ascii="Arial" w:hAnsi="Arial" w:cs="Arial"/>
          <w:b/>
        </w:rPr>
        <w:t>31</w:t>
      </w:r>
      <w:r w:rsidRPr="00D773E3">
        <w:rPr>
          <w:rStyle w:val="element-citation"/>
          <w:rFonts w:ascii="Arial" w:hAnsi="Arial" w:cs="Arial"/>
        </w:rPr>
        <w:t>(3):263–266.</w:t>
      </w:r>
    </w:p>
    <w:p w14:paraId="336666D8" w14:textId="77777777" w:rsidR="004B4207" w:rsidRPr="00D773E3" w:rsidRDefault="004B4207" w:rsidP="004B4207">
      <w:pPr>
        <w:autoSpaceDE w:val="0"/>
        <w:autoSpaceDN w:val="0"/>
        <w:adjustRightInd w:val="0"/>
        <w:spacing w:after="0"/>
        <w:ind w:left="720" w:hanging="720"/>
        <w:jc w:val="both"/>
        <w:rPr>
          <w:rFonts w:ascii="Arial" w:eastAsia="Times New Roman" w:hAnsi="Arial" w:cs="Arial"/>
        </w:rPr>
      </w:pPr>
    </w:p>
    <w:p w14:paraId="7A84336C"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eastAsia="Times New Roman" w:hAnsi="Arial" w:cs="Arial"/>
        </w:rPr>
        <w:t xml:space="preserve">Allain, C.C., Poon, L.S., Chan, C.S.G., Richmond, W and Fu, P.C. (1974) Enzymatic Determination of total serum </w:t>
      </w:r>
      <w:r w:rsidR="004B0169" w:rsidRPr="00D773E3">
        <w:rPr>
          <w:rFonts w:ascii="Arial" w:eastAsia="Times New Roman" w:hAnsi="Arial" w:cs="Arial"/>
        </w:rPr>
        <w:t>cholesterol</w:t>
      </w:r>
      <w:r w:rsidRPr="00D773E3">
        <w:rPr>
          <w:rFonts w:ascii="Arial" w:eastAsia="Times New Roman" w:hAnsi="Arial" w:cs="Arial"/>
        </w:rPr>
        <w:t xml:space="preserve">. </w:t>
      </w:r>
      <w:r w:rsidRPr="00D773E3">
        <w:rPr>
          <w:rFonts w:ascii="Arial" w:eastAsia="Times New Roman" w:hAnsi="Arial" w:cs="Arial"/>
          <w:i/>
        </w:rPr>
        <w:t>Clinical Chemistry</w:t>
      </w:r>
      <w:r w:rsidRPr="00D773E3">
        <w:rPr>
          <w:rFonts w:ascii="Arial" w:eastAsia="Times New Roman" w:hAnsi="Arial" w:cs="Arial"/>
        </w:rPr>
        <w:t xml:space="preserve">; </w:t>
      </w:r>
      <w:r w:rsidRPr="00D773E3">
        <w:rPr>
          <w:rFonts w:ascii="Arial" w:eastAsia="Times New Roman" w:hAnsi="Arial" w:cs="Arial"/>
          <w:b/>
        </w:rPr>
        <w:t>20</w:t>
      </w:r>
      <w:r w:rsidRPr="00D773E3">
        <w:rPr>
          <w:rFonts w:ascii="Arial" w:eastAsia="Times New Roman" w:hAnsi="Arial" w:cs="Arial"/>
        </w:rPr>
        <w:t>(4):470–475.</w:t>
      </w:r>
    </w:p>
    <w:p w14:paraId="3CB5B6F6" w14:textId="77777777" w:rsidR="004B4207" w:rsidRPr="00D773E3" w:rsidRDefault="004B4207" w:rsidP="004B4207">
      <w:pPr>
        <w:autoSpaceDE w:val="0"/>
        <w:autoSpaceDN w:val="0"/>
        <w:adjustRightInd w:val="0"/>
        <w:spacing w:after="0"/>
        <w:ind w:left="720" w:hanging="720"/>
        <w:jc w:val="both"/>
        <w:rPr>
          <w:rFonts w:ascii="Arial" w:eastAsia="Times New Roman" w:hAnsi="Arial" w:cs="Arial"/>
        </w:rPr>
      </w:pPr>
    </w:p>
    <w:p w14:paraId="2238D79B"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eastAsia="Times New Roman" w:hAnsi="Arial" w:cs="Arial"/>
        </w:rPr>
        <w:t xml:space="preserve">Buccolo, G and David, H. (1973) Quantitative determination of serum Triglycerides by use of enzymes. </w:t>
      </w:r>
      <w:r w:rsidRPr="00D773E3">
        <w:rPr>
          <w:rFonts w:ascii="Arial" w:eastAsia="Times New Roman" w:hAnsi="Arial" w:cs="Arial"/>
          <w:i/>
        </w:rPr>
        <w:t>Clinical Chemistry</w:t>
      </w:r>
      <w:r w:rsidRPr="00D773E3">
        <w:rPr>
          <w:rFonts w:ascii="Arial" w:eastAsia="Times New Roman" w:hAnsi="Arial" w:cs="Arial"/>
        </w:rPr>
        <w:t xml:space="preserve">; </w:t>
      </w:r>
      <w:r w:rsidRPr="00D773E3">
        <w:rPr>
          <w:rFonts w:ascii="Arial" w:eastAsia="Times New Roman" w:hAnsi="Arial" w:cs="Arial"/>
          <w:b/>
        </w:rPr>
        <w:t>19</w:t>
      </w:r>
      <w:r w:rsidRPr="00D773E3">
        <w:rPr>
          <w:rFonts w:ascii="Arial" w:eastAsia="Times New Roman" w:hAnsi="Arial" w:cs="Arial"/>
        </w:rPr>
        <w:t>(5):476–482.</w:t>
      </w:r>
    </w:p>
    <w:p w14:paraId="79B41FC9" w14:textId="77777777" w:rsidR="004B4207" w:rsidRPr="00D773E3" w:rsidRDefault="004B4207" w:rsidP="004B4207">
      <w:pPr>
        <w:autoSpaceDE w:val="0"/>
        <w:autoSpaceDN w:val="0"/>
        <w:adjustRightInd w:val="0"/>
        <w:spacing w:after="0"/>
        <w:ind w:left="720" w:hanging="720"/>
        <w:jc w:val="both"/>
        <w:rPr>
          <w:rFonts w:ascii="Arial" w:hAnsi="Arial" w:cs="Arial"/>
        </w:rPr>
      </w:pPr>
    </w:p>
    <w:p w14:paraId="0E3450FE"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hAnsi="Arial" w:cs="Arial"/>
        </w:rPr>
        <w:t xml:space="preserve">Burstein, M., Scholnick, H.R and Morfin, R. (1980) Rapid method for the isolation of lipoproteins from human serum by precipitation with polyanions. </w:t>
      </w:r>
      <w:r w:rsidRPr="00D773E3">
        <w:rPr>
          <w:rFonts w:ascii="Arial" w:hAnsi="Arial" w:cs="Arial"/>
          <w:i/>
        </w:rPr>
        <w:t>Scandinavian Journal of Clinical and Laboratory Investigation;</w:t>
      </w:r>
      <w:r w:rsidRPr="00D773E3">
        <w:rPr>
          <w:rFonts w:ascii="Arial" w:hAnsi="Arial" w:cs="Arial"/>
        </w:rPr>
        <w:t xml:space="preserve"> </w:t>
      </w:r>
      <w:r w:rsidRPr="00D773E3">
        <w:rPr>
          <w:rFonts w:ascii="Arial" w:hAnsi="Arial" w:cs="Arial"/>
          <w:b/>
        </w:rPr>
        <w:t>40</w:t>
      </w:r>
      <w:r w:rsidRPr="00D773E3">
        <w:rPr>
          <w:rFonts w:ascii="Arial" w:hAnsi="Arial" w:cs="Arial"/>
        </w:rPr>
        <w:t>: 583-595.</w:t>
      </w:r>
    </w:p>
    <w:p w14:paraId="0813D434" w14:textId="77777777" w:rsidR="004B4207" w:rsidRPr="00D773E3" w:rsidRDefault="004B4207" w:rsidP="004B4207">
      <w:pPr>
        <w:autoSpaceDE w:val="0"/>
        <w:autoSpaceDN w:val="0"/>
        <w:adjustRightInd w:val="0"/>
        <w:spacing w:after="0"/>
        <w:ind w:left="720" w:hanging="720"/>
        <w:jc w:val="both"/>
        <w:rPr>
          <w:rStyle w:val="Strong"/>
          <w:rFonts w:ascii="Arial" w:hAnsi="Arial" w:cs="Arial"/>
          <w:b w:val="0"/>
          <w:bdr w:val="none" w:sz="0" w:space="0" w:color="auto" w:frame="1"/>
        </w:rPr>
      </w:pPr>
      <w:r w:rsidRPr="00D773E3">
        <w:rPr>
          <w:rFonts w:ascii="Arial" w:hAnsi="Arial" w:cs="Arial"/>
        </w:rPr>
        <w:t>Centers for Disease Control (2014).</w:t>
      </w:r>
      <w:r w:rsidRPr="00D773E3">
        <w:rPr>
          <w:rStyle w:val="Strong"/>
          <w:rFonts w:ascii="Arial" w:hAnsi="Arial" w:cs="Arial"/>
          <w:bdr w:val="none" w:sz="0" w:space="0" w:color="auto" w:frame="1"/>
        </w:rPr>
        <w:t xml:space="preserve"> </w:t>
      </w:r>
      <w:r w:rsidRPr="00D773E3">
        <w:rPr>
          <w:rStyle w:val="Strong"/>
          <w:rFonts w:ascii="Arial" w:hAnsi="Arial" w:cs="Arial"/>
          <w:b w:val="0"/>
          <w:bdr w:val="none" w:sz="0" w:space="0" w:color="auto" w:frame="1"/>
        </w:rPr>
        <w:t>Prospective parents with high cholesterol levels could be in for a long wait to become pregnant.</w:t>
      </w:r>
      <w:r w:rsidRPr="00D773E3">
        <w:rPr>
          <w:rStyle w:val="Strong"/>
          <w:rFonts w:ascii="Arial" w:hAnsi="Arial" w:cs="Arial"/>
          <w:bdr w:val="none" w:sz="0" w:space="0" w:color="auto" w:frame="1"/>
        </w:rPr>
        <w:t xml:space="preserve"> </w:t>
      </w:r>
      <w:r w:rsidRPr="00D773E3">
        <w:rPr>
          <w:rStyle w:val="Emphasis"/>
          <w:rFonts w:ascii="Arial" w:hAnsi="Arial" w:cs="Arial"/>
          <w:bCs/>
          <w:bdr w:val="none" w:sz="0" w:space="0" w:color="auto" w:frame="1"/>
        </w:rPr>
        <w:t>Journal of Clinical Endocrinology and Metabolism</w:t>
      </w:r>
      <w:r w:rsidRPr="00D773E3">
        <w:rPr>
          <w:rStyle w:val="Strong"/>
          <w:rFonts w:ascii="Arial" w:hAnsi="Arial" w:cs="Arial"/>
          <w:bdr w:val="none" w:sz="0" w:space="0" w:color="auto" w:frame="1"/>
        </w:rPr>
        <w:t> </w:t>
      </w:r>
      <w:r w:rsidRPr="00D773E3">
        <w:rPr>
          <w:rStyle w:val="Strong"/>
          <w:rFonts w:ascii="Arial" w:hAnsi="Arial" w:cs="Arial"/>
          <w:b w:val="0"/>
          <w:bdr w:val="none" w:sz="0" w:space="0" w:color="auto" w:frame="1"/>
        </w:rPr>
        <w:t xml:space="preserve">States; </w:t>
      </w:r>
      <w:r w:rsidRPr="00D773E3">
        <w:rPr>
          <w:rStyle w:val="Strong"/>
          <w:rFonts w:ascii="Arial" w:hAnsi="Arial" w:cs="Arial"/>
          <w:bdr w:val="none" w:sz="0" w:space="0" w:color="auto" w:frame="1"/>
        </w:rPr>
        <w:t>1</w:t>
      </w:r>
      <w:r w:rsidRPr="00D773E3">
        <w:rPr>
          <w:rStyle w:val="Strong"/>
          <w:rFonts w:ascii="Arial" w:hAnsi="Arial" w:cs="Arial"/>
          <w:b w:val="0"/>
          <w:bdr w:val="none" w:sz="0" w:space="0" w:color="auto" w:frame="1"/>
        </w:rPr>
        <w:t>:1-2.</w:t>
      </w:r>
    </w:p>
    <w:p w14:paraId="7BC07DA4" w14:textId="77777777" w:rsidR="004B4207" w:rsidRPr="00D773E3" w:rsidRDefault="004B4207" w:rsidP="004B4207">
      <w:pPr>
        <w:autoSpaceDE w:val="0"/>
        <w:autoSpaceDN w:val="0"/>
        <w:adjustRightInd w:val="0"/>
        <w:spacing w:after="0"/>
        <w:ind w:left="720" w:hanging="720"/>
        <w:jc w:val="both"/>
        <w:rPr>
          <w:rFonts w:ascii="Arial" w:hAnsi="Arial" w:cs="Arial"/>
        </w:rPr>
      </w:pPr>
    </w:p>
    <w:p w14:paraId="22A109F8"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hAnsi="Arial" w:cs="Arial"/>
        </w:rPr>
        <w:lastRenderedPageBreak/>
        <w:t>Chikezie, O. D., Maduka, I. C., Ezugwu, U. M., Awalu, C. J and Ezuma, K.  E (2016). Assessment of lipids and its artherogenic index in female infertility in Owerri, South East Nigeria. </w:t>
      </w:r>
      <w:r w:rsidRPr="00D773E3">
        <w:rPr>
          <w:rStyle w:val="Emphasis"/>
          <w:rFonts w:ascii="Arial" w:hAnsi="Arial" w:cs="Arial"/>
        </w:rPr>
        <w:t xml:space="preserve">European Journal of Research in Medical Sciences, </w:t>
      </w:r>
      <w:r w:rsidRPr="00D773E3">
        <w:rPr>
          <w:rStyle w:val="Emphasis"/>
          <w:rFonts w:ascii="Arial" w:hAnsi="Arial" w:cs="Arial"/>
          <w:b/>
          <w:i w:val="0"/>
        </w:rPr>
        <w:t>4</w:t>
      </w:r>
      <w:r w:rsidRPr="00D773E3">
        <w:rPr>
          <w:rStyle w:val="Emphasis"/>
          <w:rFonts w:ascii="Arial" w:hAnsi="Arial" w:cs="Arial"/>
          <w:i w:val="0"/>
        </w:rPr>
        <w:t>(2):</w:t>
      </w:r>
      <w:r w:rsidRPr="00D773E3">
        <w:rPr>
          <w:rFonts w:ascii="Arial" w:hAnsi="Arial" w:cs="Arial"/>
          <w:i/>
        </w:rPr>
        <w:t xml:space="preserve"> </w:t>
      </w:r>
      <w:r w:rsidRPr="00D773E3">
        <w:rPr>
          <w:rFonts w:ascii="Arial" w:hAnsi="Arial" w:cs="Arial"/>
        </w:rPr>
        <w:t>13-22</w:t>
      </w:r>
      <w:r w:rsidRPr="00D773E3">
        <w:rPr>
          <w:rFonts w:ascii="Arial" w:hAnsi="Arial" w:cs="Arial"/>
          <w:i/>
        </w:rPr>
        <w:t>.</w:t>
      </w:r>
      <w:r w:rsidRPr="00D773E3">
        <w:rPr>
          <w:rFonts w:ascii="Arial" w:hAnsi="Arial" w:cs="Arial"/>
        </w:rPr>
        <w:tab/>
      </w:r>
      <w:r w:rsidRPr="00D773E3">
        <w:rPr>
          <w:rFonts w:ascii="Arial" w:hAnsi="Arial" w:cs="Arial"/>
        </w:rPr>
        <w:tab/>
      </w:r>
      <w:r w:rsidRPr="00D773E3">
        <w:rPr>
          <w:rFonts w:ascii="Arial" w:hAnsi="Arial" w:cs="Arial"/>
        </w:rPr>
        <w:tab/>
      </w:r>
    </w:p>
    <w:p w14:paraId="17083FA5" w14:textId="77777777" w:rsidR="004B4207" w:rsidRPr="00D773E3" w:rsidRDefault="004B4207" w:rsidP="004B4207">
      <w:pPr>
        <w:autoSpaceDE w:val="0"/>
        <w:autoSpaceDN w:val="0"/>
        <w:adjustRightInd w:val="0"/>
        <w:spacing w:after="0"/>
        <w:ind w:left="720" w:hanging="720"/>
        <w:jc w:val="both"/>
        <w:rPr>
          <w:rStyle w:val="citation"/>
          <w:rFonts w:ascii="Arial" w:hAnsi="Arial" w:cs="Arial"/>
        </w:rPr>
      </w:pPr>
    </w:p>
    <w:p w14:paraId="327E5A89" w14:textId="77777777" w:rsidR="004B4207" w:rsidRPr="00D773E3" w:rsidRDefault="004B4207" w:rsidP="004B4207">
      <w:pPr>
        <w:autoSpaceDE w:val="0"/>
        <w:autoSpaceDN w:val="0"/>
        <w:adjustRightInd w:val="0"/>
        <w:spacing w:after="0"/>
        <w:ind w:left="720" w:hanging="720"/>
        <w:jc w:val="both"/>
        <w:rPr>
          <w:rStyle w:val="citation"/>
          <w:rFonts w:ascii="Arial" w:hAnsi="Arial" w:cs="Arial"/>
          <w:color w:val="000000"/>
        </w:rPr>
      </w:pPr>
      <w:r w:rsidRPr="00D773E3">
        <w:rPr>
          <w:rStyle w:val="citation"/>
          <w:rFonts w:ascii="Arial" w:hAnsi="Arial" w:cs="Arial"/>
        </w:rPr>
        <w:t xml:space="preserve">Cooper, T.G., Noonan, E. and von Eckardstein, S (2010). World Health Organization Reference values for human semen characteristics. </w:t>
      </w:r>
      <w:r w:rsidRPr="00D773E3">
        <w:rPr>
          <w:rStyle w:val="citation"/>
          <w:rFonts w:ascii="Arial" w:hAnsi="Arial" w:cs="Arial"/>
          <w:i/>
          <w:iCs/>
        </w:rPr>
        <w:t>Human Reproduction</w:t>
      </w:r>
      <w:r w:rsidRPr="00D773E3">
        <w:rPr>
          <w:rStyle w:val="citation"/>
          <w:rFonts w:ascii="Arial" w:hAnsi="Arial" w:cs="Arial"/>
        </w:rPr>
        <w:t xml:space="preserve"> </w:t>
      </w:r>
      <w:r w:rsidRPr="00D773E3">
        <w:rPr>
          <w:rStyle w:val="citation"/>
          <w:rFonts w:ascii="Arial" w:hAnsi="Arial" w:cs="Arial"/>
          <w:i/>
          <w:iCs/>
        </w:rPr>
        <w:t>Update</w:t>
      </w:r>
      <w:r w:rsidRPr="00D773E3">
        <w:rPr>
          <w:rStyle w:val="citation"/>
          <w:rFonts w:ascii="Arial" w:hAnsi="Arial" w:cs="Arial"/>
        </w:rPr>
        <w:t xml:space="preserve">; </w:t>
      </w:r>
      <w:r w:rsidRPr="00D773E3">
        <w:rPr>
          <w:rStyle w:val="citation"/>
          <w:rFonts w:ascii="Arial" w:hAnsi="Arial" w:cs="Arial"/>
          <w:b/>
        </w:rPr>
        <w:t>16</w:t>
      </w:r>
      <w:r w:rsidRPr="00D773E3">
        <w:rPr>
          <w:rStyle w:val="citation"/>
          <w:rFonts w:ascii="Arial" w:hAnsi="Arial" w:cs="Arial"/>
        </w:rPr>
        <w:t>(3): 231–245.</w:t>
      </w:r>
    </w:p>
    <w:p w14:paraId="3463F916" w14:textId="77777777" w:rsidR="004B4207" w:rsidRPr="00D773E3" w:rsidRDefault="004B4207" w:rsidP="004B4207">
      <w:pPr>
        <w:autoSpaceDE w:val="0"/>
        <w:autoSpaceDN w:val="0"/>
        <w:adjustRightInd w:val="0"/>
        <w:spacing w:after="0"/>
        <w:ind w:left="720" w:hanging="720"/>
        <w:jc w:val="both"/>
        <w:rPr>
          <w:rFonts w:ascii="Arial" w:eastAsia="Times New Roman" w:hAnsi="Arial" w:cs="Arial"/>
          <w:lang w:eastAsia="en-GB"/>
        </w:rPr>
      </w:pPr>
    </w:p>
    <w:p w14:paraId="7A57871F"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eastAsia="Times New Roman" w:hAnsi="Arial" w:cs="Arial"/>
          <w:lang w:eastAsia="en-GB"/>
        </w:rPr>
        <w:t xml:space="preserve">Friedewald, W.T., Levy, R.I and Fredrickson, D.S. (1990) Estimation of the concentration of low-density lipoprotein cholesterol in plasma, without use of the preparative ultracentrifuge. </w:t>
      </w:r>
      <w:r w:rsidRPr="00D773E3">
        <w:rPr>
          <w:rFonts w:ascii="Arial" w:eastAsia="Times New Roman" w:hAnsi="Arial" w:cs="Arial"/>
          <w:i/>
          <w:lang w:eastAsia="en-GB"/>
        </w:rPr>
        <w:t>Clinical Chemistry;</w:t>
      </w:r>
      <w:r w:rsidRPr="00D773E3">
        <w:rPr>
          <w:rFonts w:ascii="Arial" w:eastAsia="Times New Roman" w:hAnsi="Arial" w:cs="Arial"/>
          <w:lang w:eastAsia="en-GB"/>
        </w:rPr>
        <w:t xml:space="preserve"> </w:t>
      </w:r>
      <w:r w:rsidRPr="00D773E3">
        <w:rPr>
          <w:rFonts w:ascii="Arial" w:eastAsia="Times New Roman" w:hAnsi="Arial" w:cs="Arial"/>
          <w:b/>
          <w:lang w:eastAsia="en-GB"/>
        </w:rPr>
        <w:t>18</w:t>
      </w:r>
      <w:r w:rsidRPr="00D773E3">
        <w:rPr>
          <w:rFonts w:ascii="Arial" w:eastAsia="Times New Roman" w:hAnsi="Arial" w:cs="Arial"/>
          <w:lang w:eastAsia="en-GB"/>
        </w:rPr>
        <w:t>: 499 -502.</w:t>
      </w:r>
    </w:p>
    <w:p w14:paraId="0AE7B111" w14:textId="77777777" w:rsidR="004B4207" w:rsidRPr="00D773E3" w:rsidRDefault="004B4207" w:rsidP="004B4207">
      <w:pPr>
        <w:autoSpaceDE w:val="0"/>
        <w:autoSpaceDN w:val="0"/>
        <w:adjustRightInd w:val="0"/>
        <w:spacing w:after="0"/>
        <w:ind w:left="720" w:hanging="720"/>
        <w:jc w:val="both"/>
        <w:rPr>
          <w:rStyle w:val="element-citation"/>
          <w:rFonts w:ascii="Arial" w:hAnsi="Arial" w:cs="Arial"/>
        </w:rPr>
      </w:pPr>
    </w:p>
    <w:p w14:paraId="758095F1" w14:textId="77777777" w:rsidR="004B4207" w:rsidRPr="00D773E3" w:rsidRDefault="004B4207" w:rsidP="004B4207">
      <w:pPr>
        <w:autoSpaceDE w:val="0"/>
        <w:autoSpaceDN w:val="0"/>
        <w:adjustRightInd w:val="0"/>
        <w:spacing w:after="0"/>
        <w:ind w:left="720" w:hanging="720"/>
        <w:jc w:val="both"/>
        <w:rPr>
          <w:rStyle w:val="element-citation"/>
          <w:rFonts w:ascii="Arial" w:hAnsi="Arial" w:cs="Arial"/>
          <w:color w:val="000000"/>
        </w:rPr>
      </w:pPr>
      <w:r w:rsidRPr="00D773E3">
        <w:rPr>
          <w:rStyle w:val="element-citation"/>
          <w:rFonts w:ascii="Arial" w:hAnsi="Arial" w:cs="Arial"/>
        </w:rPr>
        <w:t xml:space="preserve">Gohil, B.C., Rosenblum, L.A., Coplan, J.D and Kral, J.G (2001). Hypothalamic-pituitary-adrenal axis function and the metabolic syndrome X of obesity. </w:t>
      </w:r>
      <w:r w:rsidRPr="00D773E3">
        <w:rPr>
          <w:rStyle w:val="ref-journal"/>
          <w:rFonts w:ascii="Arial" w:hAnsi="Arial" w:cs="Arial"/>
          <w:i/>
        </w:rPr>
        <w:t>Central Nervous System Spectrum</w:t>
      </w:r>
      <w:r w:rsidRPr="00D773E3">
        <w:rPr>
          <w:rStyle w:val="element-citation"/>
          <w:rFonts w:ascii="Arial" w:hAnsi="Arial" w:cs="Arial"/>
        </w:rPr>
        <w:t xml:space="preserve">; </w:t>
      </w:r>
      <w:r w:rsidRPr="00D773E3">
        <w:rPr>
          <w:rStyle w:val="ref-vol"/>
          <w:rFonts w:ascii="Arial" w:hAnsi="Arial" w:cs="Arial"/>
          <w:b/>
        </w:rPr>
        <w:t>6</w:t>
      </w:r>
      <w:r w:rsidRPr="00D773E3">
        <w:rPr>
          <w:rStyle w:val="element-citation"/>
          <w:rFonts w:ascii="Arial" w:hAnsi="Arial" w:cs="Arial"/>
        </w:rPr>
        <w:t>: 581–586, 589.</w:t>
      </w:r>
    </w:p>
    <w:p w14:paraId="6105244D" w14:textId="77777777" w:rsidR="004B4207" w:rsidRPr="00D773E3" w:rsidRDefault="004B4207" w:rsidP="004B4207">
      <w:pPr>
        <w:autoSpaceDE w:val="0"/>
        <w:autoSpaceDN w:val="0"/>
        <w:adjustRightInd w:val="0"/>
        <w:spacing w:after="0"/>
        <w:ind w:left="720" w:hanging="720"/>
        <w:jc w:val="both"/>
        <w:rPr>
          <w:rStyle w:val="citation"/>
          <w:rFonts w:ascii="Arial" w:hAnsi="Arial" w:cs="Arial"/>
        </w:rPr>
      </w:pPr>
    </w:p>
    <w:p w14:paraId="1D4E9197" w14:textId="77777777" w:rsidR="00800B99" w:rsidRPr="00D773E3" w:rsidRDefault="00800B99" w:rsidP="00800B99">
      <w:pPr>
        <w:autoSpaceDE w:val="0"/>
        <w:autoSpaceDN w:val="0"/>
        <w:adjustRightInd w:val="0"/>
        <w:spacing w:after="0"/>
        <w:ind w:left="720" w:hanging="720"/>
        <w:jc w:val="both"/>
        <w:rPr>
          <w:rStyle w:val="HTMLCite"/>
          <w:rFonts w:ascii="Arial" w:hAnsi="Arial" w:cs="Arial"/>
          <w:i w:val="0"/>
        </w:rPr>
      </w:pPr>
      <w:r w:rsidRPr="00D773E3">
        <w:rPr>
          <w:rStyle w:val="HTMLCite"/>
          <w:rFonts w:ascii="Arial" w:hAnsi="Arial" w:cs="Arial"/>
          <w:i w:val="0"/>
        </w:rPr>
        <w:t xml:space="preserve">Goldman, A.L., Bhasin, S., Wu, F.C.W., Krishna, M., Matsumoto, A.M. &amp; Jasuja, R.A. (2017). Reappraisal of Testosterone’s Binding in Circulation: Physiological and Clinical Implications. </w:t>
      </w:r>
      <w:r w:rsidRPr="00D773E3">
        <w:rPr>
          <w:rStyle w:val="HTMLCite"/>
          <w:rFonts w:ascii="Arial" w:hAnsi="Arial" w:cs="Arial"/>
        </w:rPr>
        <w:t>Endocrinology Review</w:t>
      </w:r>
      <w:r w:rsidRPr="00D773E3">
        <w:rPr>
          <w:rStyle w:val="HTMLCite"/>
          <w:rFonts w:ascii="Arial" w:hAnsi="Arial" w:cs="Arial"/>
          <w:i w:val="0"/>
        </w:rPr>
        <w:t xml:space="preserve">, </w:t>
      </w:r>
      <w:r w:rsidRPr="00D773E3">
        <w:rPr>
          <w:rStyle w:val="HTMLCite"/>
          <w:rFonts w:ascii="Arial" w:hAnsi="Arial" w:cs="Arial"/>
          <w:b/>
          <w:i w:val="0"/>
        </w:rPr>
        <w:t>38</w:t>
      </w:r>
      <w:r w:rsidRPr="00D773E3">
        <w:rPr>
          <w:rStyle w:val="HTMLCite"/>
          <w:rFonts w:ascii="Arial" w:hAnsi="Arial" w:cs="Arial"/>
          <w:i w:val="0"/>
        </w:rPr>
        <w:t>(4): 302–324. https://doi: 10.1210/er.2017-00025</w:t>
      </w:r>
    </w:p>
    <w:p w14:paraId="6A340BBE" w14:textId="77777777" w:rsidR="00800B99" w:rsidRPr="00D773E3" w:rsidRDefault="00800B99" w:rsidP="00800B99">
      <w:pPr>
        <w:autoSpaceDE w:val="0"/>
        <w:autoSpaceDN w:val="0"/>
        <w:adjustRightInd w:val="0"/>
        <w:spacing w:after="0"/>
        <w:ind w:left="720" w:hanging="720"/>
        <w:jc w:val="both"/>
        <w:rPr>
          <w:rStyle w:val="HTMLCite"/>
          <w:rFonts w:ascii="Arial" w:hAnsi="Arial" w:cs="Arial"/>
          <w:i w:val="0"/>
        </w:rPr>
      </w:pPr>
    </w:p>
    <w:p w14:paraId="69B37992" w14:textId="77777777" w:rsidR="004B4207" w:rsidRPr="00D773E3" w:rsidRDefault="004B4207" w:rsidP="004B4207">
      <w:pPr>
        <w:autoSpaceDE w:val="0"/>
        <w:autoSpaceDN w:val="0"/>
        <w:adjustRightInd w:val="0"/>
        <w:spacing w:after="0"/>
        <w:ind w:left="720" w:hanging="720"/>
        <w:jc w:val="both"/>
        <w:rPr>
          <w:rStyle w:val="citation"/>
          <w:rFonts w:ascii="Arial" w:hAnsi="Arial" w:cs="Arial"/>
          <w:color w:val="000000"/>
        </w:rPr>
      </w:pPr>
      <w:r w:rsidRPr="00D773E3">
        <w:rPr>
          <w:rStyle w:val="citation"/>
          <w:rFonts w:ascii="Arial" w:hAnsi="Arial" w:cs="Arial"/>
        </w:rPr>
        <w:t xml:space="preserve">Gurunath, S., Pandian, Z., Anderson, R.A and Bhattacharya, S (2011). Defining infertility: A systematic review of prevalence studies. </w:t>
      </w:r>
      <w:r w:rsidRPr="00D773E3">
        <w:rPr>
          <w:rStyle w:val="citation"/>
          <w:rFonts w:ascii="Arial" w:hAnsi="Arial" w:cs="Arial"/>
          <w:i/>
          <w:iCs/>
        </w:rPr>
        <w:t>Human Reproduction Update</w:t>
      </w:r>
      <w:r w:rsidRPr="00D773E3">
        <w:rPr>
          <w:rStyle w:val="citation"/>
          <w:rFonts w:ascii="Arial" w:hAnsi="Arial" w:cs="Arial"/>
          <w:iCs/>
        </w:rPr>
        <w:t>;</w:t>
      </w:r>
      <w:r w:rsidRPr="00D773E3">
        <w:rPr>
          <w:rStyle w:val="citation"/>
          <w:rFonts w:ascii="Arial" w:hAnsi="Arial" w:cs="Arial"/>
        </w:rPr>
        <w:t xml:space="preserve"> </w:t>
      </w:r>
      <w:r w:rsidRPr="00D773E3">
        <w:rPr>
          <w:rStyle w:val="citation"/>
          <w:rFonts w:ascii="Arial" w:hAnsi="Arial" w:cs="Arial"/>
          <w:b/>
        </w:rPr>
        <w:t>17</w:t>
      </w:r>
      <w:r w:rsidRPr="00D773E3">
        <w:rPr>
          <w:rStyle w:val="citation"/>
          <w:rFonts w:ascii="Arial" w:hAnsi="Arial" w:cs="Arial"/>
        </w:rPr>
        <w:t>(5): 575–588.</w:t>
      </w:r>
    </w:p>
    <w:p w14:paraId="254BD86B" w14:textId="77777777" w:rsidR="004B4207" w:rsidRPr="00D773E3" w:rsidRDefault="004B4207" w:rsidP="004B4207">
      <w:pPr>
        <w:autoSpaceDE w:val="0"/>
        <w:autoSpaceDN w:val="0"/>
        <w:adjustRightInd w:val="0"/>
        <w:spacing w:after="0"/>
        <w:ind w:left="720" w:hanging="720"/>
        <w:jc w:val="both"/>
        <w:rPr>
          <w:rFonts w:ascii="Arial" w:hAnsi="Arial" w:cs="Arial"/>
        </w:rPr>
      </w:pPr>
    </w:p>
    <w:p w14:paraId="69BA3671"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hAnsi="Arial" w:cs="Arial"/>
        </w:rPr>
        <w:t>Helena, E. M., Helen, R and Monty, K. (2001) Abnormal lipoprotein metabolism and reversible female infertility in HDL receptor (SR-BI)–deficient mice.</w:t>
      </w:r>
      <w:r w:rsidRPr="00D773E3">
        <w:rPr>
          <w:rFonts w:ascii="Arial" w:hAnsi="Arial" w:cs="Arial"/>
          <w:i/>
          <w:iCs/>
        </w:rPr>
        <w:t xml:space="preserve"> Journal of Clinical investigation;</w:t>
      </w:r>
      <w:r w:rsidRPr="00D773E3">
        <w:rPr>
          <w:rFonts w:ascii="Arial" w:hAnsi="Arial" w:cs="Arial"/>
          <w:b/>
          <w:bCs/>
        </w:rPr>
        <w:t xml:space="preserve"> 108</w:t>
      </w:r>
      <w:r w:rsidRPr="00D773E3">
        <w:rPr>
          <w:rFonts w:ascii="Arial" w:hAnsi="Arial" w:cs="Arial"/>
        </w:rPr>
        <w:t>: 1717–1722.</w:t>
      </w:r>
    </w:p>
    <w:p w14:paraId="27C78862" w14:textId="77777777" w:rsidR="004B4207" w:rsidRPr="00D773E3" w:rsidRDefault="004B4207" w:rsidP="004B4207">
      <w:pPr>
        <w:autoSpaceDE w:val="0"/>
        <w:autoSpaceDN w:val="0"/>
        <w:adjustRightInd w:val="0"/>
        <w:spacing w:after="0"/>
        <w:ind w:left="720" w:hanging="720"/>
        <w:jc w:val="both"/>
        <w:rPr>
          <w:rFonts w:ascii="Arial" w:hAnsi="Arial" w:cs="Arial"/>
        </w:rPr>
      </w:pPr>
    </w:p>
    <w:p w14:paraId="2CC7F0B1"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hAnsi="Arial" w:cs="Arial"/>
        </w:rPr>
        <w:t xml:space="preserve">Hollos, M (2003). Profiles of Infertility in Southern Nigeria: Women’s voices from Amakiri”.  </w:t>
      </w:r>
      <w:r w:rsidRPr="00D773E3">
        <w:rPr>
          <w:rFonts w:ascii="Arial" w:hAnsi="Arial" w:cs="Arial"/>
          <w:i/>
          <w:iCs/>
        </w:rPr>
        <w:t>African Journal of Reproductive Health</w:t>
      </w:r>
      <w:r w:rsidRPr="00D773E3">
        <w:rPr>
          <w:rFonts w:ascii="Arial" w:hAnsi="Arial" w:cs="Arial"/>
        </w:rPr>
        <w:t>;</w:t>
      </w:r>
      <w:r w:rsidRPr="00D773E3">
        <w:rPr>
          <w:rFonts w:ascii="Arial" w:hAnsi="Arial" w:cs="Arial"/>
          <w:b/>
        </w:rPr>
        <w:t xml:space="preserve"> </w:t>
      </w:r>
      <w:r w:rsidRPr="00D773E3">
        <w:rPr>
          <w:rFonts w:ascii="Arial" w:hAnsi="Arial" w:cs="Arial"/>
          <w:b/>
          <w:iCs/>
        </w:rPr>
        <w:t>7</w:t>
      </w:r>
      <w:r w:rsidRPr="00D773E3">
        <w:rPr>
          <w:rFonts w:ascii="Arial" w:hAnsi="Arial" w:cs="Arial"/>
        </w:rPr>
        <w:t xml:space="preserve"> (2): 46-56.</w:t>
      </w:r>
    </w:p>
    <w:p w14:paraId="0D698F05" w14:textId="77777777" w:rsidR="00800B99" w:rsidRPr="00D773E3" w:rsidRDefault="00800B99" w:rsidP="00800B99">
      <w:pPr>
        <w:autoSpaceDE w:val="0"/>
        <w:autoSpaceDN w:val="0"/>
        <w:adjustRightInd w:val="0"/>
        <w:spacing w:after="0"/>
        <w:ind w:left="720" w:hanging="720"/>
        <w:jc w:val="both"/>
        <w:rPr>
          <w:rStyle w:val="HTMLCite"/>
          <w:rFonts w:ascii="Arial" w:hAnsi="Arial" w:cs="Arial"/>
        </w:rPr>
      </w:pPr>
    </w:p>
    <w:p w14:paraId="25A068B1" w14:textId="77777777" w:rsidR="00800B99" w:rsidRPr="00D773E3" w:rsidRDefault="00800B99" w:rsidP="00800B99">
      <w:pPr>
        <w:autoSpaceDE w:val="0"/>
        <w:autoSpaceDN w:val="0"/>
        <w:adjustRightInd w:val="0"/>
        <w:spacing w:after="0"/>
        <w:ind w:left="720" w:hanging="720"/>
        <w:jc w:val="both"/>
        <w:rPr>
          <w:rFonts w:ascii="Arial" w:hAnsi="Arial" w:cs="Arial"/>
          <w:i/>
          <w:iCs/>
        </w:rPr>
      </w:pPr>
      <w:r w:rsidRPr="00D773E3">
        <w:rPr>
          <w:rStyle w:val="HTMLCite"/>
          <w:rFonts w:ascii="Arial" w:hAnsi="Arial" w:cs="Arial"/>
          <w:i w:val="0"/>
        </w:rPr>
        <w:t xml:space="preserve">Januszewski, M., Issat, T., Jakimiuk, A.A., Santor-Zaczynska, M &amp; Jakimiuk, A.J. (2019). Metabolic and hormonal effects of a combined Myo-inositol and d-chiro-inositol therapy on patients with polycystic ovary syndrome (PCOS). </w:t>
      </w:r>
      <w:r w:rsidRPr="00D773E3">
        <w:rPr>
          <w:rStyle w:val="HTMLCite"/>
          <w:rFonts w:ascii="Arial" w:hAnsi="Arial" w:cs="Arial"/>
        </w:rPr>
        <w:t>Gynecology and Obstetrics medical Project,</w:t>
      </w:r>
      <w:r w:rsidRPr="00D773E3">
        <w:rPr>
          <w:rStyle w:val="HTMLCite"/>
          <w:rFonts w:ascii="Arial" w:hAnsi="Arial" w:cs="Arial"/>
          <w:i w:val="0"/>
        </w:rPr>
        <w:t xml:space="preserve"> </w:t>
      </w:r>
      <w:r w:rsidRPr="00D773E3">
        <w:rPr>
          <w:rStyle w:val="HTMLCite"/>
          <w:rFonts w:ascii="Arial" w:hAnsi="Arial" w:cs="Arial"/>
          <w:b/>
          <w:i w:val="0"/>
        </w:rPr>
        <w:t>90</w:t>
      </w:r>
      <w:r w:rsidRPr="00D773E3">
        <w:rPr>
          <w:rStyle w:val="HTMLCite"/>
          <w:rFonts w:ascii="Arial" w:hAnsi="Arial" w:cs="Arial"/>
          <w:i w:val="0"/>
        </w:rPr>
        <w:t xml:space="preserve">(1): 7–10. https://doi: 10.5603/GP.2019.0002 </w:t>
      </w:r>
      <w:r w:rsidRPr="00D773E3">
        <w:rPr>
          <w:rFonts w:ascii="Arial" w:hAnsi="Arial" w:cs="Arial"/>
          <w:i/>
        </w:rPr>
        <w:t xml:space="preserve"> </w:t>
      </w:r>
    </w:p>
    <w:p w14:paraId="15DD18C8" w14:textId="77777777" w:rsidR="004B0169" w:rsidRPr="00D773E3" w:rsidRDefault="004B0169" w:rsidP="004B4207">
      <w:pPr>
        <w:autoSpaceDE w:val="0"/>
        <w:autoSpaceDN w:val="0"/>
        <w:adjustRightInd w:val="0"/>
        <w:spacing w:after="0"/>
        <w:ind w:left="720" w:hanging="720"/>
        <w:jc w:val="both"/>
        <w:rPr>
          <w:rFonts w:ascii="Arial" w:eastAsia="Times New Roman" w:hAnsi="Arial" w:cs="Arial"/>
        </w:rPr>
      </w:pPr>
    </w:p>
    <w:p w14:paraId="5E0C7943"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eastAsia="Times New Roman" w:hAnsi="Arial" w:cs="Arial"/>
        </w:rPr>
        <w:t xml:space="preserve">Larsen, U (1995). Trends in infertility in Cameroon and Nigeria. </w:t>
      </w:r>
      <w:r w:rsidRPr="00D773E3">
        <w:rPr>
          <w:rFonts w:ascii="Arial" w:eastAsia="Times New Roman" w:hAnsi="Arial" w:cs="Arial"/>
          <w:i/>
        </w:rPr>
        <w:t>International Family Planning Perspective</w:t>
      </w:r>
      <w:r w:rsidRPr="00D773E3">
        <w:rPr>
          <w:rFonts w:ascii="Arial" w:eastAsia="Times New Roman" w:hAnsi="Arial" w:cs="Arial"/>
        </w:rPr>
        <w:t xml:space="preserve">; </w:t>
      </w:r>
      <w:r w:rsidRPr="00D773E3">
        <w:rPr>
          <w:rFonts w:ascii="Arial" w:eastAsia="Times New Roman" w:hAnsi="Arial" w:cs="Arial"/>
          <w:b/>
        </w:rPr>
        <w:t>21</w:t>
      </w:r>
      <w:r w:rsidRPr="00D773E3">
        <w:rPr>
          <w:rFonts w:ascii="Arial" w:eastAsia="Times New Roman" w:hAnsi="Arial" w:cs="Arial"/>
        </w:rPr>
        <w:t>(4):138–142.</w:t>
      </w:r>
    </w:p>
    <w:p w14:paraId="1F94D98E" w14:textId="77777777" w:rsidR="004B4207" w:rsidRPr="00D773E3" w:rsidRDefault="004B4207" w:rsidP="004B4207">
      <w:pPr>
        <w:autoSpaceDE w:val="0"/>
        <w:autoSpaceDN w:val="0"/>
        <w:adjustRightInd w:val="0"/>
        <w:spacing w:after="0"/>
        <w:ind w:left="720" w:hanging="720"/>
        <w:jc w:val="both"/>
        <w:rPr>
          <w:rFonts w:ascii="Arial" w:eastAsia="Times New Roman" w:hAnsi="Arial" w:cs="Arial"/>
        </w:rPr>
      </w:pPr>
    </w:p>
    <w:p w14:paraId="2C6AEABD"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eastAsia="Times New Roman" w:hAnsi="Arial" w:cs="Arial"/>
        </w:rPr>
        <w:t>Legro, R.S (2007)</w:t>
      </w:r>
      <w:r w:rsidRPr="00D773E3">
        <w:rPr>
          <w:rFonts w:ascii="Arial" w:eastAsia="Times New Roman" w:hAnsi="Arial" w:cs="Arial"/>
          <w:i/>
          <w:iCs/>
        </w:rPr>
        <w:t xml:space="preserve">. </w:t>
      </w:r>
      <w:r w:rsidRPr="00D773E3">
        <w:rPr>
          <w:rFonts w:ascii="Arial" w:eastAsia="Times New Roman" w:hAnsi="Arial" w:cs="Arial"/>
          <w:iCs/>
        </w:rPr>
        <w:t xml:space="preserve">A 27-year-old woman with a diagnosis of polycystic ovary syndrome. </w:t>
      </w:r>
      <w:r w:rsidRPr="00D773E3">
        <w:rPr>
          <w:rFonts w:ascii="Arial" w:eastAsia="Times New Roman" w:hAnsi="Arial" w:cs="Arial"/>
          <w:i/>
          <w:iCs/>
        </w:rPr>
        <w:t>Journal of American Medical Association;</w:t>
      </w:r>
      <w:r w:rsidRPr="00D773E3">
        <w:rPr>
          <w:rFonts w:ascii="Arial" w:eastAsia="Times New Roman" w:hAnsi="Arial" w:cs="Arial"/>
          <w:b/>
          <w:iCs/>
        </w:rPr>
        <w:t xml:space="preserve"> 297</w:t>
      </w:r>
      <w:r w:rsidRPr="00D773E3">
        <w:rPr>
          <w:rFonts w:ascii="Arial" w:eastAsia="Times New Roman" w:hAnsi="Arial" w:cs="Arial"/>
          <w:iCs/>
        </w:rPr>
        <w:t>: 509-519</w:t>
      </w:r>
      <w:r w:rsidRPr="00D773E3">
        <w:rPr>
          <w:rFonts w:ascii="Arial" w:eastAsia="Times New Roman" w:hAnsi="Arial" w:cs="Arial"/>
          <w:i/>
          <w:iCs/>
        </w:rPr>
        <w:t>.</w:t>
      </w:r>
    </w:p>
    <w:p w14:paraId="1CBC1972" w14:textId="77777777" w:rsidR="004B4207" w:rsidRPr="00D773E3" w:rsidRDefault="004B4207" w:rsidP="004B4207">
      <w:pPr>
        <w:autoSpaceDE w:val="0"/>
        <w:autoSpaceDN w:val="0"/>
        <w:adjustRightInd w:val="0"/>
        <w:spacing w:after="0"/>
        <w:ind w:left="720" w:hanging="720"/>
        <w:jc w:val="both"/>
        <w:rPr>
          <w:rFonts w:ascii="Arial" w:eastAsia="Times New Roman" w:hAnsi="Arial" w:cs="Arial"/>
          <w:lang w:eastAsia="en-GB"/>
        </w:rPr>
      </w:pPr>
    </w:p>
    <w:p w14:paraId="7728FA82"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eastAsia="Times New Roman" w:hAnsi="Arial" w:cs="Arial"/>
          <w:lang w:eastAsia="en-GB"/>
        </w:rPr>
        <w:t>Levesque</w:t>
      </w:r>
      <w:r w:rsidRPr="00D773E3">
        <w:rPr>
          <w:rFonts w:ascii="Arial" w:hAnsi="Arial" w:cs="Arial"/>
        </w:rPr>
        <w:t>, R. (2007) A guide for SPPSS and SAS users, SPSS programming and data management, (4</w:t>
      </w:r>
      <w:r w:rsidRPr="00D773E3">
        <w:rPr>
          <w:rFonts w:ascii="Arial" w:hAnsi="Arial" w:cs="Arial"/>
          <w:vertAlign w:val="superscript"/>
        </w:rPr>
        <w:t>th</w:t>
      </w:r>
      <w:r w:rsidRPr="00D773E3">
        <w:rPr>
          <w:rFonts w:ascii="Arial" w:hAnsi="Arial" w:cs="Arial"/>
        </w:rPr>
        <w:t xml:space="preserve"> Edition), 233 South Wacker drive, 11</w:t>
      </w:r>
      <w:r w:rsidRPr="00D773E3">
        <w:rPr>
          <w:rFonts w:ascii="Arial" w:hAnsi="Arial" w:cs="Arial"/>
          <w:vertAlign w:val="superscript"/>
        </w:rPr>
        <w:t>th</w:t>
      </w:r>
      <w:r w:rsidRPr="00D773E3">
        <w:rPr>
          <w:rFonts w:ascii="Arial" w:hAnsi="Arial" w:cs="Arial"/>
        </w:rPr>
        <w:t xml:space="preserve"> floor, Chicago, United State of America. Pp. 2-540.</w:t>
      </w:r>
    </w:p>
    <w:p w14:paraId="7A1F5418" w14:textId="77777777" w:rsidR="004B4207" w:rsidRPr="00D773E3" w:rsidRDefault="004B4207" w:rsidP="004B4207">
      <w:pPr>
        <w:autoSpaceDE w:val="0"/>
        <w:autoSpaceDN w:val="0"/>
        <w:adjustRightInd w:val="0"/>
        <w:spacing w:after="0"/>
        <w:ind w:left="720" w:hanging="720"/>
        <w:jc w:val="both"/>
        <w:rPr>
          <w:rFonts w:ascii="Arial" w:hAnsi="Arial" w:cs="Arial"/>
        </w:rPr>
      </w:pPr>
    </w:p>
    <w:p w14:paraId="1EEA1B20"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hAnsi="Arial" w:cs="Arial"/>
        </w:rPr>
        <w:lastRenderedPageBreak/>
        <w:t xml:space="preserve">Lin, K. C and Sun, M. J (2005). Relationship between sex hormone-binding globulin and pregnancy outcome in women undergoing controlled ovarian hyperstimulation for assisted reproduction. </w:t>
      </w:r>
      <w:r w:rsidRPr="00D773E3">
        <w:rPr>
          <w:rFonts w:ascii="Arial" w:hAnsi="Arial" w:cs="Arial"/>
          <w:i/>
        </w:rPr>
        <w:t>Endocrine Journal;</w:t>
      </w:r>
      <w:r w:rsidRPr="00D773E3">
        <w:rPr>
          <w:rFonts w:ascii="Arial" w:hAnsi="Arial" w:cs="Arial"/>
        </w:rPr>
        <w:t xml:space="preserve"> </w:t>
      </w:r>
      <w:r w:rsidRPr="00D773E3">
        <w:rPr>
          <w:rFonts w:ascii="Arial" w:hAnsi="Arial" w:cs="Arial"/>
          <w:b/>
        </w:rPr>
        <w:t>52</w:t>
      </w:r>
      <w:r w:rsidRPr="00D773E3">
        <w:rPr>
          <w:rFonts w:ascii="Arial" w:hAnsi="Arial" w:cs="Arial"/>
        </w:rPr>
        <w:t>(4): 407-412.</w:t>
      </w:r>
    </w:p>
    <w:p w14:paraId="161F5E96" w14:textId="77777777" w:rsidR="004B4207" w:rsidRPr="00D773E3" w:rsidRDefault="004B4207" w:rsidP="004B4207">
      <w:pPr>
        <w:autoSpaceDE w:val="0"/>
        <w:autoSpaceDN w:val="0"/>
        <w:adjustRightInd w:val="0"/>
        <w:spacing w:after="0"/>
        <w:ind w:left="720" w:hanging="720"/>
        <w:jc w:val="both"/>
        <w:rPr>
          <w:rStyle w:val="citation"/>
          <w:rFonts w:ascii="Arial" w:hAnsi="Arial" w:cs="Arial"/>
        </w:rPr>
      </w:pPr>
    </w:p>
    <w:p w14:paraId="4C7C70AA"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Style w:val="citation"/>
          <w:rFonts w:ascii="Arial" w:hAnsi="Arial" w:cs="Arial"/>
        </w:rPr>
        <w:t xml:space="preserve">Losos, J.B., Raven, P. H., Johnson, G. B and Singer, S. R (2002). </w:t>
      </w:r>
      <w:r w:rsidRPr="00D773E3">
        <w:rPr>
          <w:rStyle w:val="citation"/>
          <w:rFonts w:ascii="Arial" w:hAnsi="Arial" w:cs="Arial"/>
          <w:iCs/>
        </w:rPr>
        <w:t>Biology</w:t>
      </w:r>
      <w:r w:rsidRPr="00D773E3">
        <w:rPr>
          <w:rStyle w:val="citation"/>
          <w:rFonts w:ascii="Arial" w:hAnsi="Arial" w:cs="Arial"/>
        </w:rPr>
        <w:t>. New York:  McGraw-Hill. Pp. 1207–1209.</w:t>
      </w:r>
    </w:p>
    <w:p w14:paraId="5CFB113B" w14:textId="77777777" w:rsidR="00800B99" w:rsidRPr="00D773E3" w:rsidRDefault="00800B99" w:rsidP="00800B99">
      <w:pPr>
        <w:autoSpaceDE w:val="0"/>
        <w:autoSpaceDN w:val="0"/>
        <w:adjustRightInd w:val="0"/>
        <w:spacing w:after="0"/>
        <w:ind w:left="720" w:hanging="720"/>
        <w:jc w:val="both"/>
        <w:rPr>
          <w:rStyle w:val="HTMLCite"/>
          <w:rFonts w:ascii="Arial" w:hAnsi="Arial" w:cs="Arial"/>
          <w:i w:val="0"/>
        </w:rPr>
      </w:pPr>
    </w:p>
    <w:p w14:paraId="26D0FEB8" w14:textId="77777777" w:rsidR="00800B99" w:rsidRPr="00D773E3" w:rsidRDefault="00800B99" w:rsidP="00800B99">
      <w:pPr>
        <w:autoSpaceDE w:val="0"/>
        <w:autoSpaceDN w:val="0"/>
        <w:adjustRightInd w:val="0"/>
        <w:spacing w:after="0"/>
        <w:ind w:left="720" w:hanging="720"/>
        <w:jc w:val="both"/>
        <w:rPr>
          <w:rFonts w:ascii="Arial" w:hAnsi="Arial" w:cs="Arial"/>
        </w:rPr>
      </w:pPr>
      <w:r w:rsidRPr="00D773E3">
        <w:rPr>
          <w:rFonts w:ascii="Arial" w:hAnsi="Arial" w:cs="Arial"/>
        </w:rPr>
        <w:t xml:space="preserve">Ma, H. &amp; Chen, Y. (2024). Examining the causal relationship between sex hormone-binding globulin (SHBG) and infertility: A Mendelian randomization study. PLoS One. </w:t>
      </w:r>
      <w:r w:rsidRPr="00D773E3">
        <w:rPr>
          <w:rFonts w:ascii="Arial" w:hAnsi="Arial" w:cs="Arial"/>
          <w:b/>
        </w:rPr>
        <w:t>19</w:t>
      </w:r>
      <w:r w:rsidRPr="00D773E3">
        <w:rPr>
          <w:rFonts w:ascii="Arial" w:hAnsi="Arial" w:cs="Arial"/>
        </w:rPr>
        <w:t xml:space="preserve">(6): e0304216. </w:t>
      </w:r>
      <w:r w:rsidRPr="00D773E3">
        <w:rPr>
          <w:rStyle w:val="HTMLCite"/>
          <w:rFonts w:ascii="Arial" w:hAnsi="Arial" w:cs="Arial"/>
          <w:i w:val="0"/>
        </w:rPr>
        <w:t>https://</w:t>
      </w:r>
      <w:r w:rsidRPr="00D773E3">
        <w:rPr>
          <w:rFonts w:ascii="Arial" w:hAnsi="Arial" w:cs="Arial"/>
        </w:rPr>
        <w:t>doi:10.1371/journal.pone.0304216.</w:t>
      </w:r>
    </w:p>
    <w:p w14:paraId="3AC89D1B" w14:textId="77777777" w:rsidR="00800B99" w:rsidRPr="00D773E3" w:rsidRDefault="00800B99" w:rsidP="00800B99">
      <w:pPr>
        <w:autoSpaceDE w:val="0"/>
        <w:autoSpaceDN w:val="0"/>
        <w:adjustRightInd w:val="0"/>
        <w:spacing w:after="0"/>
        <w:ind w:left="720" w:hanging="720"/>
        <w:jc w:val="both"/>
        <w:rPr>
          <w:rStyle w:val="HTMLCite"/>
          <w:rFonts w:ascii="Arial" w:hAnsi="Arial" w:cs="Arial"/>
          <w:i w:val="0"/>
        </w:rPr>
      </w:pPr>
    </w:p>
    <w:p w14:paraId="3D3FDA7E" w14:textId="77777777" w:rsidR="00800B99" w:rsidRPr="00D773E3" w:rsidRDefault="00800B99" w:rsidP="00800B99">
      <w:pPr>
        <w:autoSpaceDE w:val="0"/>
        <w:autoSpaceDN w:val="0"/>
        <w:adjustRightInd w:val="0"/>
        <w:spacing w:after="0"/>
        <w:ind w:left="720" w:hanging="720"/>
        <w:jc w:val="both"/>
        <w:rPr>
          <w:rFonts w:ascii="Arial" w:hAnsi="Arial" w:cs="Arial"/>
          <w:iCs/>
        </w:rPr>
      </w:pPr>
      <w:r w:rsidRPr="00D773E3">
        <w:rPr>
          <w:rStyle w:val="HTMLCite"/>
          <w:rFonts w:ascii="Arial" w:hAnsi="Arial" w:cs="Arial"/>
          <w:i w:val="0"/>
        </w:rPr>
        <w:t xml:space="preserve">Ong, M., Cheng, J., Jin, X., Lao, W., Johnson, M., Tan, Y. &amp; Qu, X. (2019). Paeoniflorin extract reverses dexamethasone-induced testosterone over-secretion through downregulation of cytochrome P450 17A1 expression in primary murine theca cells. </w:t>
      </w:r>
      <w:r w:rsidRPr="00D773E3">
        <w:rPr>
          <w:rFonts w:ascii="Arial" w:hAnsi="Arial" w:cs="Arial"/>
          <w:i/>
        </w:rPr>
        <w:fldChar w:fldCharType="begin"/>
      </w:r>
      <w:r w:rsidRPr="00D773E3">
        <w:rPr>
          <w:rFonts w:ascii="Arial" w:hAnsi="Arial" w:cs="Arial"/>
          <w:i/>
        </w:rPr>
        <w:instrText xml:space="preserve"> HYPERLINK "Journal of Ethnopharmacology,</w:instrText>
      </w:r>
      <w:r w:rsidRPr="00D773E3">
        <w:rPr>
          <w:rStyle w:val="HTMLCite"/>
          <w:rFonts w:ascii="Arial" w:hAnsi="Arial" w:cs="Arial"/>
          <w:b/>
          <w:i w:val="0"/>
        </w:rPr>
        <w:instrText xml:space="preserve"> 229</w:instrText>
      </w:r>
      <w:r w:rsidRPr="00D773E3">
        <w:rPr>
          <w:rStyle w:val="HTMLCite"/>
          <w:rFonts w:ascii="Arial" w:hAnsi="Arial" w:cs="Arial"/>
          <w:i w:val="0"/>
        </w:rPr>
        <w:instrText xml:space="preserve">: 97–103. https://doi: 10.1016/j.jep.2018.09.006 </w:instrText>
      </w:r>
    </w:p>
    <w:p w14:paraId="55ADEAC4" w14:textId="77777777" w:rsidR="00800B99" w:rsidRPr="00D773E3" w:rsidRDefault="00800B99" w:rsidP="00800B99">
      <w:pPr>
        <w:autoSpaceDE w:val="0"/>
        <w:autoSpaceDN w:val="0"/>
        <w:adjustRightInd w:val="0"/>
        <w:spacing w:after="0"/>
        <w:ind w:left="720" w:hanging="720"/>
        <w:jc w:val="both"/>
        <w:rPr>
          <w:rStyle w:val="Hyperlink"/>
          <w:rFonts w:ascii="Arial" w:hAnsi="Arial" w:cs="Arial"/>
          <w:iCs/>
          <w:color w:val="auto"/>
          <w:u w:val="none"/>
        </w:rPr>
      </w:pPr>
      <w:r w:rsidRPr="00D773E3">
        <w:rPr>
          <w:rFonts w:ascii="Arial" w:hAnsi="Arial" w:cs="Arial"/>
          <w:i/>
        </w:rPr>
        <w:instrText xml:space="preserve">" </w:instrText>
      </w:r>
      <w:r w:rsidRPr="00D773E3">
        <w:rPr>
          <w:rFonts w:ascii="Arial" w:hAnsi="Arial" w:cs="Arial"/>
          <w:i/>
        </w:rPr>
      </w:r>
      <w:r w:rsidRPr="00D773E3">
        <w:rPr>
          <w:rFonts w:ascii="Arial" w:hAnsi="Arial" w:cs="Arial"/>
          <w:i/>
        </w:rPr>
        <w:fldChar w:fldCharType="separate"/>
      </w:r>
      <w:r w:rsidRPr="00D773E3">
        <w:rPr>
          <w:rStyle w:val="Hyperlink"/>
          <w:rFonts w:ascii="Arial" w:hAnsi="Arial" w:cs="Arial"/>
          <w:i/>
          <w:color w:val="auto"/>
          <w:u w:val="none"/>
        </w:rPr>
        <w:t>Journal of Ethnopharmacology,</w:t>
      </w:r>
      <w:r w:rsidRPr="00D773E3">
        <w:rPr>
          <w:rStyle w:val="Hyperlink"/>
          <w:rFonts w:ascii="Arial" w:hAnsi="Arial" w:cs="Arial"/>
          <w:b/>
          <w:color w:val="auto"/>
          <w:u w:val="none"/>
        </w:rPr>
        <w:t xml:space="preserve"> 229</w:t>
      </w:r>
      <w:r w:rsidRPr="00D773E3">
        <w:rPr>
          <w:rStyle w:val="Hyperlink"/>
          <w:rFonts w:ascii="Arial" w:hAnsi="Arial" w:cs="Arial"/>
          <w:color w:val="auto"/>
          <w:u w:val="none"/>
        </w:rPr>
        <w:t xml:space="preserve">: 97–103. https://doi: 10.1016/j.jep.2018.09.006 </w:t>
      </w:r>
    </w:p>
    <w:p w14:paraId="0C1436A0" w14:textId="77777777" w:rsidR="00800B99" w:rsidRPr="00D773E3" w:rsidRDefault="00800B99" w:rsidP="00800B99">
      <w:pPr>
        <w:autoSpaceDE w:val="0"/>
        <w:autoSpaceDN w:val="0"/>
        <w:adjustRightInd w:val="0"/>
        <w:spacing w:after="0"/>
        <w:ind w:left="720" w:hanging="720"/>
        <w:jc w:val="both"/>
        <w:rPr>
          <w:rStyle w:val="HTMLCite"/>
          <w:rFonts w:ascii="Arial" w:hAnsi="Arial" w:cs="Arial"/>
          <w:i w:val="0"/>
        </w:rPr>
      </w:pPr>
      <w:r w:rsidRPr="00D773E3">
        <w:rPr>
          <w:rFonts w:ascii="Arial" w:hAnsi="Arial" w:cs="Arial"/>
          <w:i/>
        </w:rPr>
        <w:fldChar w:fldCharType="end"/>
      </w:r>
    </w:p>
    <w:p w14:paraId="7E804E4B" w14:textId="77777777" w:rsidR="004B4207" w:rsidRPr="00D773E3" w:rsidRDefault="004B4207" w:rsidP="009C21D7">
      <w:pPr>
        <w:autoSpaceDE w:val="0"/>
        <w:autoSpaceDN w:val="0"/>
        <w:adjustRightInd w:val="0"/>
        <w:spacing w:after="0"/>
        <w:ind w:left="720" w:hanging="720"/>
        <w:jc w:val="both"/>
        <w:rPr>
          <w:rStyle w:val="authors"/>
          <w:rFonts w:ascii="Arial" w:hAnsi="Arial" w:cs="Arial"/>
          <w:color w:val="000000"/>
        </w:rPr>
      </w:pPr>
      <w:r w:rsidRPr="00D773E3">
        <w:rPr>
          <w:rStyle w:val="authors"/>
          <w:rFonts w:ascii="Arial" w:hAnsi="Arial" w:cs="Arial"/>
        </w:rPr>
        <w:t xml:space="preserve">Rosner, W and Smith, R.N (1975). Isolation and characterization of the testosterone-estradiol binding globulin from human plasma: Use of a novel affinity column. </w:t>
      </w:r>
      <w:r w:rsidRPr="00D773E3">
        <w:rPr>
          <w:rStyle w:val="authors"/>
          <w:rFonts w:ascii="Arial" w:hAnsi="Arial" w:cs="Arial"/>
          <w:i/>
        </w:rPr>
        <w:t xml:space="preserve">Biochemistry; </w:t>
      </w:r>
      <w:r w:rsidRPr="00D773E3">
        <w:rPr>
          <w:rStyle w:val="authors"/>
          <w:rFonts w:ascii="Arial" w:hAnsi="Arial" w:cs="Arial"/>
          <w:b/>
        </w:rPr>
        <w:t>14</w:t>
      </w:r>
      <w:r w:rsidRPr="00D773E3">
        <w:rPr>
          <w:rStyle w:val="authors"/>
          <w:rFonts w:ascii="Arial" w:hAnsi="Arial" w:cs="Arial"/>
        </w:rPr>
        <w:t>: 4813–4820.</w:t>
      </w:r>
    </w:p>
    <w:p w14:paraId="1B489FF7" w14:textId="77777777" w:rsidR="004B4207" w:rsidRPr="00D773E3" w:rsidRDefault="004B4207" w:rsidP="009C21D7">
      <w:pPr>
        <w:autoSpaceDE w:val="0"/>
        <w:autoSpaceDN w:val="0"/>
        <w:adjustRightInd w:val="0"/>
        <w:spacing w:after="0"/>
        <w:ind w:left="720" w:hanging="720"/>
        <w:jc w:val="both"/>
        <w:rPr>
          <w:rStyle w:val="citation"/>
          <w:rFonts w:ascii="Arial" w:hAnsi="Arial" w:cs="Arial"/>
        </w:rPr>
      </w:pPr>
    </w:p>
    <w:p w14:paraId="4C2D7F00" w14:textId="77777777" w:rsidR="00800B99" w:rsidRPr="00D773E3" w:rsidRDefault="00800B99" w:rsidP="00800B99">
      <w:pPr>
        <w:autoSpaceDE w:val="0"/>
        <w:autoSpaceDN w:val="0"/>
        <w:adjustRightInd w:val="0"/>
        <w:spacing w:after="0"/>
        <w:ind w:left="720" w:hanging="720"/>
        <w:jc w:val="both"/>
        <w:rPr>
          <w:rFonts w:ascii="Arial" w:hAnsi="Arial" w:cs="Arial"/>
          <w:b/>
        </w:rPr>
      </w:pPr>
      <w:r w:rsidRPr="00D773E3">
        <w:rPr>
          <w:rFonts w:ascii="Arial" w:hAnsi="Arial" w:cs="Arial"/>
        </w:rPr>
        <w:t>Shuai, Y., Wang, L., Sun, J., Yu, L., Zhou, X., Yang, J., Zhu, Y., Gill,</w:t>
      </w:r>
      <w:r w:rsidR="004B0169" w:rsidRPr="00D773E3">
        <w:rPr>
          <w:rFonts w:ascii="Arial" w:hAnsi="Arial" w:cs="Arial"/>
        </w:rPr>
        <w:t xml:space="preserve"> </w:t>
      </w:r>
      <w:r w:rsidRPr="00D773E3">
        <w:rPr>
          <w:rFonts w:ascii="Arial" w:hAnsi="Arial" w:cs="Arial"/>
        </w:rPr>
        <w:t xml:space="preserve">D., Burgess, S., Denny, J.C., Larsson, S.C., Theodoratou, E &amp; Li, X. (2022). Genetically predicted sex hormone levels and health outcomes: phenome-wide Mendelian randomization investigation. </w:t>
      </w:r>
      <w:r w:rsidRPr="00D773E3">
        <w:rPr>
          <w:rStyle w:val="Emphasis"/>
          <w:rFonts w:ascii="Arial" w:hAnsi="Arial" w:cs="Arial"/>
        </w:rPr>
        <w:t>International Journal of Epidemiology</w:t>
      </w:r>
      <w:r w:rsidRPr="00D773E3">
        <w:rPr>
          <w:rFonts w:ascii="Arial" w:hAnsi="Arial" w:cs="Arial"/>
        </w:rPr>
        <w:t xml:space="preserve">, </w:t>
      </w:r>
      <w:r w:rsidRPr="00D773E3">
        <w:rPr>
          <w:rFonts w:ascii="Arial" w:hAnsi="Arial" w:cs="Arial"/>
          <w:b/>
        </w:rPr>
        <w:t>51</w:t>
      </w:r>
      <w:r w:rsidRPr="00D773E3">
        <w:rPr>
          <w:rFonts w:ascii="Arial" w:hAnsi="Arial" w:cs="Arial"/>
        </w:rPr>
        <w:t xml:space="preserve">(6): 1931–1942. </w:t>
      </w:r>
      <w:hyperlink r:id="rId10" w:history="1">
        <w:r w:rsidRPr="00D773E3">
          <w:rPr>
            <w:rStyle w:val="Hyperlink"/>
            <w:rFonts w:ascii="Arial" w:hAnsi="Arial" w:cs="Arial"/>
            <w:color w:val="auto"/>
            <w:u w:val="none"/>
          </w:rPr>
          <w:t>https://doi.org/10.1093/ije/dyac036</w:t>
        </w:r>
      </w:hyperlink>
    </w:p>
    <w:p w14:paraId="086E0CA7" w14:textId="77777777" w:rsidR="00800B99" w:rsidRPr="00D773E3" w:rsidRDefault="00800B99" w:rsidP="004B4207">
      <w:pPr>
        <w:autoSpaceDE w:val="0"/>
        <w:autoSpaceDN w:val="0"/>
        <w:adjustRightInd w:val="0"/>
        <w:spacing w:after="0"/>
        <w:ind w:left="720" w:hanging="720"/>
        <w:jc w:val="both"/>
        <w:rPr>
          <w:rStyle w:val="citation"/>
          <w:rFonts w:ascii="Arial" w:hAnsi="Arial" w:cs="Arial"/>
        </w:rPr>
      </w:pPr>
    </w:p>
    <w:p w14:paraId="00E81A7E" w14:textId="77777777" w:rsidR="00800B99" w:rsidRPr="00D773E3" w:rsidRDefault="00800B99" w:rsidP="00800B99">
      <w:pPr>
        <w:autoSpaceDE w:val="0"/>
        <w:autoSpaceDN w:val="0"/>
        <w:adjustRightInd w:val="0"/>
        <w:spacing w:after="0"/>
        <w:ind w:left="720" w:hanging="720"/>
        <w:jc w:val="both"/>
        <w:rPr>
          <w:rFonts w:ascii="Arial" w:hAnsi="Arial" w:cs="Arial"/>
        </w:rPr>
      </w:pPr>
      <w:hyperlink r:id="rId11" w:history="1">
        <w:r w:rsidRPr="00D773E3">
          <w:rPr>
            <w:rStyle w:val="Hyperlink"/>
            <w:rFonts w:ascii="Arial" w:hAnsi="Arial" w:cs="Arial"/>
            <w:color w:val="auto"/>
            <w:u w:val="none"/>
          </w:rPr>
          <w:t>Szybiak-Skora</w:t>
        </w:r>
      </w:hyperlink>
      <w:r w:rsidRPr="00D773E3">
        <w:rPr>
          <w:rFonts w:ascii="Arial" w:hAnsi="Arial" w:cs="Arial"/>
        </w:rPr>
        <w:t xml:space="preserve">, W., </w:t>
      </w:r>
      <w:hyperlink r:id="rId12" w:history="1">
        <w:r w:rsidRPr="00D773E3">
          <w:rPr>
            <w:rStyle w:val="Hyperlink"/>
            <w:rFonts w:ascii="Arial" w:hAnsi="Arial" w:cs="Arial"/>
            <w:color w:val="auto"/>
            <w:u w:val="none"/>
          </w:rPr>
          <w:t>Cyna</w:t>
        </w:r>
      </w:hyperlink>
      <w:r w:rsidRPr="00D773E3">
        <w:rPr>
          <w:rFonts w:ascii="Arial" w:hAnsi="Arial" w:cs="Arial"/>
        </w:rPr>
        <w:t xml:space="preserve">, W &amp; </w:t>
      </w:r>
      <w:hyperlink r:id="rId13" w:history="1">
        <w:r w:rsidRPr="00D773E3">
          <w:rPr>
            <w:rStyle w:val="Hyperlink"/>
            <w:rFonts w:ascii="Arial" w:hAnsi="Arial" w:cs="Arial"/>
            <w:color w:val="auto"/>
            <w:u w:val="none"/>
          </w:rPr>
          <w:t>Lacka</w:t>
        </w:r>
      </w:hyperlink>
      <w:r w:rsidRPr="00D773E3">
        <w:rPr>
          <w:rFonts w:ascii="Arial" w:hAnsi="Arial" w:cs="Arial"/>
        </w:rPr>
        <w:t xml:space="preserve">, K. (2025). New Insights in the Diagnostic Potential of Sex Hormone-Binding Globulin (SHBG)—Clinical Approach. </w:t>
      </w:r>
      <w:hyperlink r:id="rId14" w:history="1">
        <w:r w:rsidRPr="00D773E3">
          <w:rPr>
            <w:rStyle w:val="Hyperlink"/>
            <w:rFonts w:ascii="Arial" w:hAnsi="Arial" w:cs="Arial"/>
            <w:i/>
            <w:color w:val="auto"/>
            <w:u w:val="none"/>
          </w:rPr>
          <w:t>Biomedicines</w:t>
        </w:r>
      </w:hyperlink>
      <w:r w:rsidRPr="00D773E3">
        <w:rPr>
          <w:rFonts w:ascii="Arial" w:hAnsi="Arial" w:cs="Arial"/>
          <w:i/>
        </w:rPr>
        <w:t>,</w:t>
      </w:r>
      <w:r w:rsidRPr="00D773E3">
        <w:rPr>
          <w:rFonts w:ascii="Arial" w:hAnsi="Arial" w:cs="Arial"/>
        </w:rPr>
        <w:t xml:space="preserve"> </w:t>
      </w:r>
      <w:r w:rsidRPr="00D773E3">
        <w:rPr>
          <w:rFonts w:ascii="Arial" w:hAnsi="Arial" w:cs="Arial"/>
          <w:b/>
        </w:rPr>
        <w:t>13</w:t>
      </w:r>
      <w:r w:rsidRPr="00D773E3">
        <w:rPr>
          <w:rFonts w:ascii="Arial" w:hAnsi="Arial" w:cs="Arial"/>
        </w:rPr>
        <w:t>(5), 1207.</w:t>
      </w:r>
    </w:p>
    <w:p w14:paraId="634D139C" w14:textId="77777777" w:rsidR="00800B99" w:rsidRPr="00D773E3" w:rsidRDefault="00800B99" w:rsidP="00800B99">
      <w:pPr>
        <w:rPr>
          <w:rStyle w:val="HTMLCite"/>
          <w:rFonts w:ascii="Arial" w:hAnsi="Arial" w:cs="Arial"/>
          <w:i w:val="0"/>
        </w:rPr>
      </w:pPr>
    </w:p>
    <w:p w14:paraId="1EF63E96" w14:textId="77777777" w:rsidR="004B4207" w:rsidRPr="00D773E3" w:rsidRDefault="004B4207" w:rsidP="004B4207">
      <w:pPr>
        <w:autoSpaceDE w:val="0"/>
        <w:autoSpaceDN w:val="0"/>
        <w:adjustRightInd w:val="0"/>
        <w:spacing w:after="0"/>
        <w:ind w:left="720" w:hanging="720"/>
        <w:jc w:val="both"/>
        <w:rPr>
          <w:rStyle w:val="citation"/>
          <w:rFonts w:ascii="Arial" w:hAnsi="Arial" w:cs="Arial"/>
          <w:color w:val="000000"/>
        </w:rPr>
      </w:pPr>
      <w:r w:rsidRPr="00D773E3">
        <w:rPr>
          <w:rStyle w:val="citation"/>
          <w:rFonts w:ascii="Arial" w:hAnsi="Arial" w:cs="Arial"/>
        </w:rPr>
        <w:t xml:space="preserve">Weschler, T (2002). </w:t>
      </w:r>
      <w:r w:rsidRPr="00D773E3">
        <w:rPr>
          <w:rStyle w:val="citation"/>
          <w:rFonts w:ascii="Arial" w:hAnsi="Arial" w:cs="Arial"/>
          <w:iCs/>
        </w:rPr>
        <w:t>Taking Charge of Your Fertility</w:t>
      </w:r>
      <w:r w:rsidRPr="00D773E3">
        <w:rPr>
          <w:rStyle w:val="citation"/>
          <w:rFonts w:ascii="Arial" w:hAnsi="Arial" w:cs="Arial"/>
        </w:rPr>
        <w:t>. New York: HarperCollins. Pp. 359–362.</w:t>
      </w:r>
    </w:p>
    <w:p w14:paraId="67CBC98C" w14:textId="77777777" w:rsidR="004B4207" w:rsidRPr="00D773E3" w:rsidRDefault="004B4207" w:rsidP="004B4207">
      <w:pPr>
        <w:autoSpaceDE w:val="0"/>
        <w:autoSpaceDN w:val="0"/>
        <w:adjustRightInd w:val="0"/>
        <w:spacing w:after="0"/>
        <w:ind w:left="720" w:hanging="720"/>
        <w:jc w:val="both"/>
        <w:rPr>
          <w:rFonts w:ascii="Arial" w:hAnsi="Arial" w:cs="Arial"/>
        </w:rPr>
      </w:pPr>
    </w:p>
    <w:p w14:paraId="0FFFDD86"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hAnsi="Arial" w:cs="Arial"/>
        </w:rPr>
        <w:t xml:space="preserve">Williasm, C., Giannopoulos, T and Sherriff, E.A (2003). Investigation of infertility with the emphasis on laboratory testing and with reference to radiological imaging. </w:t>
      </w:r>
      <w:r w:rsidRPr="00D773E3">
        <w:rPr>
          <w:rFonts w:ascii="Arial" w:hAnsi="Arial" w:cs="Arial"/>
          <w:i/>
        </w:rPr>
        <w:t>Journal of Clinical Pathology</w:t>
      </w:r>
      <w:r w:rsidRPr="00D773E3">
        <w:rPr>
          <w:rFonts w:ascii="Arial" w:hAnsi="Arial" w:cs="Arial"/>
        </w:rPr>
        <w:t xml:space="preserve">; </w:t>
      </w:r>
      <w:r w:rsidRPr="00D773E3">
        <w:rPr>
          <w:rFonts w:ascii="Arial" w:hAnsi="Arial" w:cs="Arial"/>
          <w:b/>
        </w:rPr>
        <w:t>56</w:t>
      </w:r>
      <w:r w:rsidRPr="00D773E3">
        <w:rPr>
          <w:rFonts w:ascii="Arial" w:hAnsi="Arial" w:cs="Arial"/>
        </w:rPr>
        <w:t>: 261-267.</w:t>
      </w:r>
    </w:p>
    <w:p w14:paraId="65E2131A" w14:textId="77777777" w:rsidR="004B4207" w:rsidRPr="00D773E3" w:rsidRDefault="004B4207" w:rsidP="004B4207">
      <w:pPr>
        <w:autoSpaceDE w:val="0"/>
        <w:autoSpaceDN w:val="0"/>
        <w:adjustRightInd w:val="0"/>
        <w:spacing w:after="0"/>
        <w:ind w:left="720" w:hanging="720"/>
        <w:jc w:val="both"/>
        <w:rPr>
          <w:rFonts w:ascii="Arial" w:hAnsi="Arial" w:cs="Arial"/>
          <w:bCs/>
        </w:rPr>
      </w:pPr>
    </w:p>
    <w:p w14:paraId="2D03B9D8"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Fonts w:ascii="Arial" w:hAnsi="Arial" w:cs="Arial"/>
          <w:bCs/>
        </w:rPr>
        <w:t>World Health Organization (1991)</w:t>
      </w:r>
      <w:r w:rsidRPr="00D773E3">
        <w:rPr>
          <w:rFonts w:ascii="Arial" w:hAnsi="Arial" w:cs="Arial"/>
        </w:rPr>
        <w:t xml:space="preserve">. </w:t>
      </w:r>
      <w:r w:rsidRPr="00D773E3">
        <w:rPr>
          <w:rFonts w:ascii="Arial" w:hAnsi="Arial" w:cs="Arial"/>
          <w:iCs/>
        </w:rPr>
        <w:t>Infertility: A tabulation of available data on prevalence of primary and secondary infertility</w:t>
      </w:r>
      <w:r w:rsidRPr="00D773E3">
        <w:rPr>
          <w:rFonts w:ascii="Arial" w:hAnsi="Arial" w:cs="Arial"/>
          <w:i/>
          <w:iCs/>
        </w:rPr>
        <w:t xml:space="preserve">. </w:t>
      </w:r>
      <w:r w:rsidRPr="00D773E3">
        <w:rPr>
          <w:rFonts w:ascii="Arial" w:hAnsi="Arial" w:cs="Arial"/>
        </w:rPr>
        <w:t>Programme on Maternal and</w:t>
      </w:r>
      <w:r w:rsidRPr="00D773E3">
        <w:rPr>
          <w:rFonts w:ascii="Arial" w:hAnsi="Arial" w:cs="Arial"/>
          <w:i/>
          <w:iCs/>
        </w:rPr>
        <w:t xml:space="preserve"> </w:t>
      </w:r>
      <w:r w:rsidRPr="00D773E3">
        <w:rPr>
          <w:rFonts w:ascii="Arial" w:hAnsi="Arial" w:cs="Arial"/>
        </w:rPr>
        <w:t>Child Health and Family Planning, Division of</w:t>
      </w:r>
      <w:r w:rsidRPr="00D773E3">
        <w:rPr>
          <w:rFonts w:ascii="Arial" w:hAnsi="Arial" w:cs="Arial"/>
          <w:i/>
          <w:iCs/>
        </w:rPr>
        <w:t xml:space="preserve"> </w:t>
      </w:r>
      <w:r w:rsidRPr="00D773E3">
        <w:rPr>
          <w:rFonts w:ascii="Arial" w:hAnsi="Arial" w:cs="Arial"/>
        </w:rPr>
        <w:t>Family Health. World Health Organization: Geneva.</w:t>
      </w:r>
    </w:p>
    <w:p w14:paraId="02FD4E71" w14:textId="77777777" w:rsidR="004B4207" w:rsidRPr="00D773E3" w:rsidRDefault="004B4207" w:rsidP="004B4207">
      <w:pPr>
        <w:autoSpaceDE w:val="0"/>
        <w:autoSpaceDN w:val="0"/>
        <w:adjustRightInd w:val="0"/>
        <w:spacing w:after="0"/>
        <w:ind w:left="720" w:hanging="720"/>
        <w:jc w:val="both"/>
        <w:rPr>
          <w:rStyle w:val="citation"/>
          <w:rFonts w:ascii="Arial" w:hAnsi="Arial" w:cs="Arial"/>
        </w:rPr>
      </w:pPr>
    </w:p>
    <w:p w14:paraId="4AB6F6A7" w14:textId="77777777" w:rsidR="004B4207" w:rsidRPr="00D773E3" w:rsidRDefault="004B4207" w:rsidP="004B4207">
      <w:pPr>
        <w:autoSpaceDE w:val="0"/>
        <w:autoSpaceDN w:val="0"/>
        <w:adjustRightInd w:val="0"/>
        <w:spacing w:after="0"/>
        <w:ind w:left="720" w:hanging="720"/>
        <w:jc w:val="both"/>
        <w:rPr>
          <w:rFonts w:ascii="Arial" w:hAnsi="Arial" w:cs="Arial"/>
          <w:color w:val="000000"/>
        </w:rPr>
      </w:pPr>
      <w:r w:rsidRPr="00D773E3">
        <w:rPr>
          <w:rStyle w:val="citation"/>
          <w:rFonts w:ascii="Arial" w:hAnsi="Arial" w:cs="Arial"/>
        </w:rPr>
        <w:t xml:space="preserve">Wu, C.H., Motohashi, T., Abdel-Rahman, H.A., Flickinger, G.L and Mikhail, G (1976). Free and protein-bound plasma estradiol-17 beta during the menstrual cycle. </w:t>
      </w:r>
      <w:r w:rsidRPr="00D773E3">
        <w:rPr>
          <w:rStyle w:val="citation"/>
          <w:rFonts w:ascii="Arial" w:hAnsi="Arial" w:cs="Arial"/>
          <w:i/>
          <w:iCs/>
        </w:rPr>
        <w:t>Journal of Clinical Endocrinology Metabolism</w:t>
      </w:r>
      <w:r w:rsidRPr="00D773E3">
        <w:rPr>
          <w:rStyle w:val="citation"/>
          <w:rFonts w:ascii="Arial" w:hAnsi="Arial" w:cs="Arial"/>
          <w:b/>
          <w:i/>
          <w:iCs/>
        </w:rPr>
        <w:t xml:space="preserve">; </w:t>
      </w:r>
      <w:r w:rsidRPr="00D773E3">
        <w:rPr>
          <w:rStyle w:val="citation"/>
          <w:rFonts w:ascii="Arial" w:hAnsi="Arial" w:cs="Arial"/>
          <w:b/>
        </w:rPr>
        <w:t>43</w:t>
      </w:r>
      <w:r w:rsidRPr="00D773E3">
        <w:rPr>
          <w:rStyle w:val="citation"/>
          <w:rFonts w:ascii="Arial" w:hAnsi="Arial" w:cs="Arial"/>
        </w:rPr>
        <w:t>(2): 436–445.</w:t>
      </w:r>
      <w:r w:rsidRPr="00D773E3">
        <w:rPr>
          <w:rFonts w:ascii="Arial" w:hAnsi="Arial" w:cs="Arial"/>
        </w:rPr>
        <w:t xml:space="preserve"> </w:t>
      </w:r>
    </w:p>
    <w:p w14:paraId="682147F3" w14:textId="77777777" w:rsidR="004B4207" w:rsidRPr="00D773E3" w:rsidRDefault="004B4207" w:rsidP="004B4207">
      <w:pPr>
        <w:autoSpaceDE w:val="0"/>
        <w:autoSpaceDN w:val="0"/>
        <w:adjustRightInd w:val="0"/>
        <w:spacing w:after="0"/>
        <w:ind w:left="720" w:hanging="720"/>
        <w:jc w:val="both"/>
        <w:rPr>
          <w:rFonts w:ascii="Arial" w:hAnsi="Arial" w:cs="Arial"/>
        </w:rPr>
      </w:pPr>
    </w:p>
    <w:p w14:paraId="5FD2199B" w14:textId="77777777" w:rsidR="004B4207" w:rsidRPr="00800B99" w:rsidRDefault="004B4207" w:rsidP="004B4207">
      <w:pPr>
        <w:autoSpaceDE w:val="0"/>
        <w:autoSpaceDN w:val="0"/>
        <w:adjustRightInd w:val="0"/>
        <w:spacing w:after="0"/>
        <w:ind w:left="720" w:hanging="720"/>
        <w:jc w:val="both"/>
        <w:rPr>
          <w:rFonts w:ascii="Arial" w:hAnsi="Arial" w:cs="Arial"/>
          <w:color w:val="000000"/>
        </w:rPr>
      </w:pPr>
      <w:r w:rsidRPr="00D773E3">
        <w:rPr>
          <w:rFonts w:ascii="Arial" w:hAnsi="Arial" w:cs="Arial"/>
        </w:rPr>
        <w:lastRenderedPageBreak/>
        <w:t xml:space="preserve">Zhao, T., Zhang, D., Liu, Y., Zhou, D., Chen, Z and Yang, Y (2010). </w:t>
      </w:r>
      <w:r w:rsidRPr="00D773E3">
        <w:rPr>
          <w:rStyle w:val="ref-title"/>
          <w:rFonts w:ascii="Arial" w:hAnsi="Arial" w:cs="Arial"/>
        </w:rPr>
        <w:t xml:space="preserve">Association between ESR1 and ESR2 gene polymorphisms and hyperlipidemia in Chinese Hanpostmenopausal women. </w:t>
      </w:r>
      <w:r w:rsidRPr="00D773E3">
        <w:rPr>
          <w:rStyle w:val="ref-journal"/>
          <w:rFonts w:ascii="Arial" w:hAnsi="Arial" w:cs="Arial"/>
          <w:i/>
        </w:rPr>
        <w:t>Journal of Human Genetics</w:t>
      </w:r>
      <w:r w:rsidRPr="00D773E3">
        <w:rPr>
          <w:rFonts w:ascii="Arial" w:hAnsi="Arial" w:cs="Arial"/>
        </w:rPr>
        <w:t>;</w:t>
      </w:r>
      <w:r w:rsidRPr="00D773E3">
        <w:rPr>
          <w:rStyle w:val="ref-vol"/>
          <w:rFonts w:ascii="Arial" w:hAnsi="Arial" w:cs="Arial"/>
          <w:b/>
        </w:rPr>
        <w:t xml:space="preserve"> 55</w:t>
      </w:r>
      <w:r w:rsidRPr="00D773E3">
        <w:rPr>
          <w:rFonts w:ascii="Arial" w:hAnsi="Arial" w:cs="Arial"/>
        </w:rPr>
        <w:t>(</w:t>
      </w:r>
      <w:r w:rsidRPr="00D773E3">
        <w:rPr>
          <w:rStyle w:val="ref-iss"/>
          <w:rFonts w:ascii="Arial" w:hAnsi="Arial" w:cs="Arial"/>
        </w:rPr>
        <w:t>1</w:t>
      </w:r>
      <w:r w:rsidRPr="00D773E3">
        <w:rPr>
          <w:rFonts w:ascii="Arial" w:hAnsi="Arial" w:cs="Arial"/>
        </w:rPr>
        <w:t>): 50-54.</w:t>
      </w:r>
    </w:p>
    <w:p w14:paraId="1A2D3178" w14:textId="77777777" w:rsidR="009C21D7" w:rsidRPr="00800B99" w:rsidRDefault="009C21D7" w:rsidP="009C21D7">
      <w:pPr>
        <w:autoSpaceDE w:val="0"/>
        <w:autoSpaceDN w:val="0"/>
        <w:adjustRightInd w:val="0"/>
        <w:spacing w:after="0" w:line="240" w:lineRule="auto"/>
        <w:ind w:left="1440" w:hanging="1440"/>
        <w:jc w:val="both"/>
        <w:rPr>
          <w:rFonts w:ascii="Arial" w:hAnsi="Arial" w:cs="Arial"/>
          <w:color w:val="000000"/>
        </w:rPr>
      </w:pPr>
    </w:p>
    <w:p w14:paraId="52CF7A1F" w14:textId="77777777" w:rsidR="009C21D7" w:rsidRPr="00800B99" w:rsidRDefault="009C21D7" w:rsidP="00BE3193">
      <w:pPr>
        <w:autoSpaceDE w:val="0"/>
        <w:autoSpaceDN w:val="0"/>
        <w:adjustRightInd w:val="0"/>
        <w:spacing w:after="0"/>
        <w:ind w:left="720" w:hanging="720"/>
        <w:jc w:val="both"/>
        <w:rPr>
          <w:rFonts w:ascii="Arial" w:hAnsi="Arial" w:cs="Arial"/>
          <w:bCs/>
          <w:bdr w:val="none" w:sz="0" w:space="0" w:color="auto" w:frame="1"/>
        </w:rPr>
      </w:pPr>
    </w:p>
    <w:p w14:paraId="7C8CD392" w14:textId="77777777" w:rsidR="00730873" w:rsidRPr="00800B99" w:rsidRDefault="00730873" w:rsidP="00591DF4">
      <w:pPr>
        <w:autoSpaceDE w:val="0"/>
        <w:autoSpaceDN w:val="0"/>
        <w:adjustRightInd w:val="0"/>
        <w:spacing w:after="0"/>
        <w:ind w:left="720" w:hanging="720"/>
        <w:jc w:val="both"/>
        <w:rPr>
          <w:rFonts w:ascii="Arial" w:hAnsi="Arial" w:cs="Arial"/>
        </w:rPr>
      </w:pPr>
      <w:bookmarkStart w:id="2" w:name="_Hlk230454156"/>
    </w:p>
    <w:bookmarkEnd w:id="2"/>
    <w:p w14:paraId="419D7FDA" w14:textId="77777777" w:rsidR="00591DF4" w:rsidRPr="00800B99" w:rsidRDefault="00591DF4" w:rsidP="00591DF4">
      <w:pPr>
        <w:autoSpaceDE w:val="0"/>
        <w:autoSpaceDN w:val="0"/>
        <w:adjustRightInd w:val="0"/>
        <w:spacing w:after="0"/>
        <w:ind w:left="720" w:hanging="720"/>
        <w:jc w:val="both"/>
        <w:rPr>
          <w:rFonts w:ascii="Arial" w:hAnsi="Arial" w:cs="Arial"/>
        </w:rPr>
      </w:pPr>
    </w:p>
    <w:p w14:paraId="523E92C1" w14:textId="77777777" w:rsidR="00730873" w:rsidRPr="00800B99" w:rsidRDefault="00730873" w:rsidP="001F7139">
      <w:pPr>
        <w:autoSpaceDE w:val="0"/>
        <w:autoSpaceDN w:val="0"/>
        <w:adjustRightInd w:val="0"/>
        <w:spacing w:after="0"/>
        <w:ind w:left="720" w:hanging="720"/>
        <w:jc w:val="both"/>
        <w:rPr>
          <w:rStyle w:val="HTMLCite"/>
          <w:rFonts w:ascii="Arial" w:hAnsi="Arial" w:cs="Arial"/>
          <w:i w:val="0"/>
        </w:rPr>
      </w:pPr>
    </w:p>
    <w:sectPr w:rsidR="00730873" w:rsidRPr="00800B99" w:rsidSect="000E27D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15B30" w14:textId="77777777" w:rsidR="00DC0E66" w:rsidRDefault="00DC0E66" w:rsidP="001665A1">
      <w:pPr>
        <w:spacing w:after="0" w:line="240" w:lineRule="auto"/>
      </w:pPr>
      <w:r>
        <w:separator/>
      </w:r>
    </w:p>
  </w:endnote>
  <w:endnote w:type="continuationSeparator" w:id="0">
    <w:p w14:paraId="4E869CCE" w14:textId="77777777" w:rsidR="00DC0E66" w:rsidRDefault="00DC0E66" w:rsidP="00166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FB8D" w14:textId="77777777" w:rsidR="001665A1" w:rsidRDefault="00166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DE12C" w14:textId="77777777" w:rsidR="001665A1" w:rsidRDefault="00166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C83A" w14:textId="77777777" w:rsidR="001665A1" w:rsidRDefault="00166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4121A" w14:textId="77777777" w:rsidR="00DC0E66" w:rsidRDefault="00DC0E66" w:rsidP="001665A1">
      <w:pPr>
        <w:spacing w:after="0" w:line="240" w:lineRule="auto"/>
      </w:pPr>
      <w:r>
        <w:separator/>
      </w:r>
    </w:p>
  </w:footnote>
  <w:footnote w:type="continuationSeparator" w:id="0">
    <w:p w14:paraId="62BBBD31" w14:textId="77777777" w:rsidR="00DC0E66" w:rsidRDefault="00DC0E66" w:rsidP="00166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E57D5" w14:textId="53BFB48B" w:rsidR="001665A1" w:rsidRDefault="001665A1">
    <w:pPr>
      <w:pStyle w:val="Header"/>
    </w:pPr>
    <w:r>
      <w:rPr>
        <w:noProof/>
      </w:rPr>
      <w:pict w14:anchorId="1C466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2161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D6CA" w14:textId="5F203EE2" w:rsidR="001665A1" w:rsidRDefault="001665A1">
    <w:pPr>
      <w:pStyle w:val="Header"/>
    </w:pPr>
    <w:r>
      <w:rPr>
        <w:noProof/>
      </w:rPr>
      <w:pict w14:anchorId="0BF55D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2161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7408" w14:textId="2B9F9A1F" w:rsidR="001665A1" w:rsidRDefault="001665A1">
    <w:pPr>
      <w:pStyle w:val="Header"/>
    </w:pPr>
    <w:r>
      <w:rPr>
        <w:noProof/>
      </w:rPr>
      <w:pict w14:anchorId="7FD50E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2160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1E90"/>
    <w:rsid w:val="00020453"/>
    <w:rsid w:val="000209DA"/>
    <w:rsid w:val="00043C1D"/>
    <w:rsid w:val="00052AAC"/>
    <w:rsid w:val="0008597A"/>
    <w:rsid w:val="000C177B"/>
    <w:rsid w:val="000C3336"/>
    <w:rsid w:val="000C4B69"/>
    <w:rsid w:val="000D0038"/>
    <w:rsid w:val="000E27DD"/>
    <w:rsid w:val="00102D2F"/>
    <w:rsid w:val="00106189"/>
    <w:rsid w:val="00134C73"/>
    <w:rsid w:val="00154A7F"/>
    <w:rsid w:val="00156D37"/>
    <w:rsid w:val="001665A1"/>
    <w:rsid w:val="0017277B"/>
    <w:rsid w:val="00187217"/>
    <w:rsid w:val="001B365F"/>
    <w:rsid w:val="001E1DE4"/>
    <w:rsid w:val="001F7139"/>
    <w:rsid w:val="00236DCF"/>
    <w:rsid w:val="00241E90"/>
    <w:rsid w:val="0024478F"/>
    <w:rsid w:val="00245883"/>
    <w:rsid w:val="002927A8"/>
    <w:rsid w:val="002D32D4"/>
    <w:rsid w:val="002E30AC"/>
    <w:rsid w:val="002E7DEE"/>
    <w:rsid w:val="00304671"/>
    <w:rsid w:val="00326DA7"/>
    <w:rsid w:val="003442CB"/>
    <w:rsid w:val="0036652B"/>
    <w:rsid w:val="00370546"/>
    <w:rsid w:val="003871F9"/>
    <w:rsid w:val="00395587"/>
    <w:rsid w:val="003A1997"/>
    <w:rsid w:val="003A2AB8"/>
    <w:rsid w:val="003B370D"/>
    <w:rsid w:val="003B4F6D"/>
    <w:rsid w:val="003C4DE4"/>
    <w:rsid w:val="003E1607"/>
    <w:rsid w:val="00432CD1"/>
    <w:rsid w:val="00434D06"/>
    <w:rsid w:val="00434F0D"/>
    <w:rsid w:val="00450BBE"/>
    <w:rsid w:val="0049193E"/>
    <w:rsid w:val="00496C65"/>
    <w:rsid w:val="004B0169"/>
    <w:rsid w:val="004B4207"/>
    <w:rsid w:val="004F5538"/>
    <w:rsid w:val="00503F03"/>
    <w:rsid w:val="00533534"/>
    <w:rsid w:val="00543D2F"/>
    <w:rsid w:val="00585391"/>
    <w:rsid w:val="005904CF"/>
    <w:rsid w:val="00591DF4"/>
    <w:rsid w:val="00597F43"/>
    <w:rsid w:val="005B1406"/>
    <w:rsid w:val="005B2242"/>
    <w:rsid w:val="005B75AC"/>
    <w:rsid w:val="005B7CC2"/>
    <w:rsid w:val="005F4580"/>
    <w:rsid w:val="0060325F"/>
    <w:rsid w:val="00604542"/>
    <w:rsid w:val="006145A9"/>
    <w:rsid w:val="00652AC4"/>
    <w:rsid w:val="006659F9"/>
    <w:rsid w:val="00681F54"/>
    <w:rsid w:val="00706125"/>
    <w:rsid w:val="0071582C"/>
    <w:rsid w:val="00730873"/>
    <w:rsid w:val="007311A2"/>
    <w:rsid w:val="00782C97"/>
    <w:rsid w:val="00783439"/>
    <w:rsid w:val="0079798F"/>
    <w:rsid w:val="007A04EC"/>
    <w:rsid w:val="007A2759"/>
    <w:rsid w:val="007E7439"/>
    <w:rsid w:val="00800B99"/>
    <w:rsid w:val="00821EEE"/>
    <w:rsid w:val="00834DC1"/>
    <w:rsid w:val="008669FC"/>
    <w:rsid w:val="008A6221"/>
    <w:rsid w:val="008B01F3"/>
    <w:rsid w:val="008C0F99"/>
    <w:rsid w:val="008F356B"/>
    <w:rsid w:val="008F3768"/>
    <w:rsid w:val="0092546C"/>
    <w:rsid w:val="00944BC0"/>
    <w:rsid w:val="009525D0"/>
    <w:rsid w:val="00972A88"/>
    <w:rsid w:val="009A10ED"/>
    <w:rsid w:val="009C21D7"/>
    <w:rsid w:val="009E1F1F"/>
    <w:rsid w:val="009E308B"/>
    <w:rsid w:val="00A355CD"/>
    <w:rsid w:val="00A37303"/>
    <w:rsid w:val="00A41482"/>
    <w:rsid w:val="00A4360A"/>
    <w:rsid w:val="00A67340"/>
    <w:rsid w:val="00AB312D"/>
    <w:rsid w:val="00AC512B"/>
    <w:rsid w:val="00AD316B"/>
    <w:rsid w:val="00AD4A81"/>
    <w:rsid w:val="00B141FF"/>
    <w:rsid w:val="00B5494B"/>
    <w:rsid w:val="00B61B51"/>
    <w:rsid w:val="00B7290F"/>
    <w:rsid w:val="00B75E31"/>
    <w:rsid w:val="00BE3193"/>
    <w:rsid w:val="00BF12DC"/>
    <w:rsid w:val="00C0113A"/>
    <w:rsid w:val="00C068D2"/>
    <w:rsid w:val="00C705B8"/>
    <w:rsid w:val="00C76C7F"/>
    <w:rsid w:val="00C92B00"/>
    <w:rsid w:val="00C9359E"/>
    <w:rsid w:val="00D146F1"/>
    <w:rsid w:val="00D200D1"/>
    <w:rsid w:val="00D23E36"/>
    <w:rsid w:val="00D3004D"/>
    <w:rsid w:val="00D348D3"/>
    <w:rsid w:val="00D60182"/>
    <w:rsid w:val="00D6739A"/>
    <w:rsid w:val="00D773E3"/>
    <w:rsid w:val="00DC0E66"/>
    <w:rsid w:val="00DD1BCE"/>
    <w:rsid w:val="00DF6058"/>
    <w:rsid w:val="00E43CA0"/>
    <w:rsid w:val="00E516E0"/>
    <w:rsid w:val="00E63B1C"/>
    <w:rsid w:val="00EF4B3C"/>
    <w:rsid w:val="00EF76E3"/>
    <w:rsid w:val="00F00952"/>
    <w:rsid w:val="00F536A5"/>
    <w:rsid w:val="00F61D16"/>
    <w:rsid w:val="00F717E6"/>
    <w:rsid w:val="00F95983"/>
    <w:rsid w:val="00FB0626"/>
    <w:rsid w:val="00FB123F"/>
    <w:rsid w:val="00FB7EF3"/>
    <w:rsid w:val="00FC029B"/>
    <w:rsid w:val="00FC5FD6"/>
    <w:rsid w:val="00FE43E9"/>
    <w:rsid w:val="00FE7199"/>
    <w:rsid w:val="00FF2F4E"/>
    <w:rsid w:val="00FF4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0956A"/>
  <w15:docId w15:val="{E0013B60-1A30-4300-A2A7-1FB88BEC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E90"/>
  </w:style>
  <w:style w:type="paragraph" w:styleId="Heading1">
    <w:name w:val="heading 1"/>
    <w:basedOn w:val="Normal"/>
    <w:link w:val="Heading1Char"/>
    <w:uiPriority w:val="9"/>
    <w:qFormat/>
    <w:rsid w:val="00BE319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next w:val="Normal"/>
    <w:link w:val="Heading2Char"/>
    <w:uiPriority w:val="9"/>
    <w:semiHidden/>
    <w:unhideWhenUsed/>
    <w:qFormat/>
    <w:rsid w:val="00052AA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3087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rsid w:val="000C3336"/>
  </w:style>
  <w:style w:type="character" w:customStyle="1" w:styleId="element-citation">
    <w:name w:val="element-citation"/>
    <w:basedOn w:val="DefaultParagraphFont"/>
    <w:rsid w:val="00BF12DC"/>
  </w:style>
  <w:style w:type="paragraph" w:styleId="NormalWeb">
    <w:name w:val="Normal (Web)"/>
    <w:basedOn w:val="Normal"/>
    <w:uiPriority w:val="99"/>
    <w:unhideWhenUsed/>
    <w:rsid w:val="00AD4A8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AD4A81"/>
    <w:rPr>
      <w:color w:val="0000FF"/>
      <w:u w:val="single"/>
    </w:rPr>
  </w:style>
  <w:style w:type="character" w:styleId="Strong">
    <w:name w:val="Strong"/>
    <w:basedOn w:val="DefaultParagraphFont"/>
    <w:uiPriority w:val="22"/>
    <w:qFormat/>
    <w:rsid w:val="00AD4A81"/>
    <w:rPr>
      <w:b/>
      <w:bCs/>
    </w:rPr>
  </w:style>
  <w:style w:type="character" w:customStyle="1" w:styleId="authors">
    <w:name w:val="authors"/>
    <w:basedOn w:val="DefaultParagraphFont"/>
    <w:rsid w:val="008669FC"/>
  </w:style>
  <w:style w:type="table" w:styleId="TableGrid">
    <w:name w:val="Table Grid"/>
    <w:basedOn w:val="TableNormal"/>
    <w:uiPriority w:val="59"/>
    <w:rsid w:val="001B36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ellowfade">
    <w:name w:val="yellowfade"/>
    <w:basedOn w:val="DefaultParagraphFont"/>
    <w:rsid w:val="008A6221"/>
  </w:style>
  <w:style w:type="paragraph" w:customStyle="1" w:styleId="Pa7">
    <w:name w:val="Pa7"/>
    <w:basedOn w:val="Normal"/>
    <w:next w:val="Normal"/>
    <w:uiPriority w:val="99"/>
    <w:rsid w:val="008A6221"/>
    <w:pPr>
      <w:autoSpaceDE w:val="0"/>
      <w:autoSpaceDN w:val="0"/>
      <w:adjustRightInd w:val="0"/>
      <w:spacing w:after="0" w:line="221" w:lineRule="atLeast"/>
    </w:pPr>
    <w:rPr>
      <w:rFonts w:ascii="Garamond" w:hAnsi="Garamond"/>
      <w:sz w:val="24"/>
      <w:szCs w:val="24"/>
    </w:rPr>
  </w:style>
  <w:style w:type="character" w:customStyle="1" w:styleId="ref-journal">
    <w:name w:val="ref-journal"/>
    <w:basedOn w:val="DefaultParagraphFont"/>
    <w:rsid w:val="00C76C7F"/>
  </w:style>
  <w:style w:type="character" w:customStyle="1" w:styleId="ref-vol">
    <w:name w:val="ref-vol"/>
    <w:basedOn w:val="DefaultParagraphFont"/>
    <w:rsid w:val="00C76C7F"/>
  </w:style>
  <w:style w:type="character" w:customStyle="1" w:styleId="ref-title">
    <w:name w:val="ref-title"/>
    <w:basedOn w:val="DefaultParagraphFont"/>
    <w:rsid w:val="00BE3193"/>
  </w:style>
  <w:style w:type="character" w:customStyle="1" w:styleId="ref-iss">
    <w:name w:val="ref-iss"/>
    <w:basedOn w:val="DefaultParagraphFont"/>
    <w:rsid w:val="00BE3193"/>
  </w:style>
  <w:style w:type="character" w:styleId="Emphasis">
    <w:name w:val="Emphasis"/>
    <w:basedOn w:val="DefaultParagraphFont"/>
    <w:uiPriority w:val="20"/>
    <w:qFormat/>
    <w:rsid w:val="00BE3193"/>
    <w:rPr>
      <w:i/>
      <w:iCs/>
    </w:rPr>
  </w:style>
  <w:style w:type="character" w:customStyle="1" w:styleId="Heading1Char">
    <w:name w:val="Heading 1 Char"/>
    <w:basedOn w:val="DefaultParagraphFont"/>
    <w:link w:val="Heading1"/>
    <w:uiPriority w:val="9"/>
    <w:rsid w:val="00BE3193"/>
    <w:rPr>
      <w:rFonts w:ascii="Times New Roman" w:eastAsia="Times New Roman" w:hAnsi="Times New Roman" w:cs="Times New Roman"/>
      <w:b/>
      <w:bCs/>
      <w:kern w:val="36"/>
      <w:sz w:val="48"/>
      <w:szCs w:val="48"/>
      <w:lang w:val="en-GB" w:eastAsia="en-GB"/>
    </w:rPr>
  </w:style>
  <w:style w:type="paragraph" w:styleId="BodyText">
    <w:name w:val="Body Text"/>
    <w:basedOn w:val="Normal"/>
    <w:link w:val="BodyTextChar"/>
    <w:semiHidden/>
    <w:rsid w:val="009C21D7"/>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semiHidden/>
    <w:rsid w:val="009C21D7"/>
    <w:rPr>
      <w:rFonts w:ascii="Times New Roman" w:eastAsia="Times New Roman" w:hAnsi="Times New Roman" w:cs="Times New Roman"/>
      <w:sz w:val="28"/>
      <w:szCs w:val="24"/>
    </w:rPr>
  </w:style>
  <w:style w:type="character" w:customStyle="1" w:styleId="Heading2Char">
    <w:name w:val="Heading 2 Char"/>
    <w:basedOn w:val="DefaultParagraphFont"/>
    <w:link w:val="Heading2"/>
    <w:uiPriority w:val="9"/>
    <w:semiHidden/>
    <w:rsid w:val="00052AAC"/>
    <w:rPr>
      <w:rFonts w:asciiTheme="majorHAnsi" w:eastAsiaTheme="majorEastAsia" w:hAnsiTheme="majorHAnsi" w:cstheme="majorBidi"/>
      <w:color w:val="365F91" w:themeColor="accent1" w:themeShade="BF"/>
      <w:sz w:val="26"/>
      <w:szCs w:val="26"/>
    </w:rPr>
  </w:style>
  <w:style w:type="paragraph" w:customStyle="1" w:styleId="Default">
    <w:name w:val="Default"/>
    <w:basedOn w:val="Normal"/>
    <w:rsid w:val="0053353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5">
    <w:name w:val="15"/>
    <w:basedOn w:val="DefaultParagraphFont"/>
    <w:rsid w:val="00533534"/>
    <w:rPr>
      <w:rFonts w:ascii="Calibri" w:hAnsi="Calibri" w:cs="Calibri" w:hint="default"/>
      <w:color w:val="0000FF"/>
      <w:u w:val="single"/>
    </w:rPr>
  </w:style>
  <w:style w:type="paragraph" w:styleId="NoSpacing">
    <w:name w:val="No Spacing"/>
    <w:uiPriority w:val="99"/>
    <w:qFormat/>
    <w:rsid w:val="0060325F"/>
    <w:pPr>
      <w:spacing w:after="0" w:line="240" w:lineRule="auto"/>
    </w:pPr>
    <w:rPr>
      <w:rFonts w:ascii="Calibri" w:eastAsia="Calibri" w:hAnsi="Calibri" w:cs="Times New Roman"/>
    </w:rPr>
  </w:style>
  <w:style w:type="paragraph" w:styleId="ListParagraph">
    <w:name w:val="List Paragraph"/>
    <w:basedOn w:val="Normal"/>
    <w:uiPriority w:val="34"/>
    <w:qFormat/>
    <w:rsid w:val="0060325F"/>
    <w:pPr>
      <w:ind w:left="720"/>
      <w:contextualSpacing/>
    </w:pPr>
    <w:rPr>
      <w:rFonts w:ascii="Calibri" w:eastAsia="Calibri" w:hAnsi="Calibri" w:cs="Times New Roman"/>
    </w:rPr>
  </w:style>
  <w:style w:type="character" w:customStyle="1" w:styleId="full">
    <w:name w:val="full"/>
    <w:rsid w:val="009E1F1F"/>
  </w:style>
  <w:style w:type="character" w:styleId="HTMLCite">
    <w:name w:val="HTML Cite"/>
    <w:basedOn w:val="DefaultParagraphFont"/>
    <w:uiPriority w:val="99"/>
    <w:semiHidden/>
    <w:unhideWhenUsed/>
    <w:rsid w:val="006145A9"/>
    <w:rPr>
      <w:i/>
      <w:iCs/>
    </w:rPr>
  </w:style>
  <w:style w:type="character" w:customStyle="1" w:styleId="label">
    <w:name w:val="label"/>
    <w:basedOn w:val="DefaultParagraphFont"/>
    <w:rsid w:val="001F7139"/>
  </w:style>
  <w:style w:type="character" w:customStyle="1" w:styleId="Heading3Char">
    <w:name w:val="Heading 3 Char"/>
    <w:basedOn w:val="DefaultParagraphFont"/>
    <w:link w:val="Heading3"/>
    <w:uiPriority w:val="9"/>
    <w:rsid w:val="00730873"/>
    <w:rPr>
      <w:rFonts w:asciiTheme="majorHAnsi" w:eastAsiaTheme="majorEastAsia" w:hAnsiTheme="majorHAnsi" w:cstheme="majorBidi"/>
      <w:color w:val="243F60" w:themeColor="accent1" w:themeShade="7F"/>
      <w:sz w:val="24"/>
      <w:szCs w:val="24"/>
    </w:rPr>
  </w:style>
  <w:style w:type="character" w:customStyle="1" w:styleId="v9tjod">
    <w:name w:val="v9tjod"/>
    <w:basedOn w:val="DefaultParagraphFont"/>
    <w:rsid w:val="005B75AC"/>
  </w:style>
  <w:style w:type="character" w:styleId="UnresolvedMention">
    <w:name w:val="Unresolved Mention"/>
    <w:basedOn w:val="DefaultParagraphFont"/>
    <w:uiPriority w:val="99"/>
    <w:semiHidden/>
    <w:unhideWhenUsed/>
    <w:rsid w:val="005B75AC"/>
    <w:rPr>
      <w:color w:val="605E5C"/>
      <w:shd w:val="clear" w:color="auto" w:fill="E1DFDD"/>
    </w:rPr>
  </w:style>
  <w:style w:type="paragraph" w:styleId="Header">
    <w:name w:val="header"/>
    <w:basedOn w:val="Normal"/>
    <w:link w:val="HeaderChar"/>
    <w:uiPriority w:val="99"/>
    <w:unhideWhenUsed/>
    <w:rsid w:val="001665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5A1"/>
  </w:style>
  <w:style w:type="paragraph" w:styleId="Footer">
    <w:name w:val="footer"/>
    <w:basedOn w:val="Normal"/>
    <w:link w:val="FooterChar"/>
    <w:uiPriority w:val="99"/>
    <w:unhideWhenUsed/>
    <w:rsid w:val="001665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986519">
      <w:bodyDiv w:val="1"/>
      <w:marLeft w:val="0"/>
      <w:marRight w:val="0"/>
      <w:marTop w:val="0"/>
      <w:marBottom w:val="0"/>
      <w:divBdr>
        <w:top w:val="none" w:sz="0" w:space="0" w:color="auto"/>
        <w:left w:val="none" w:sz="0" w:space="0" w:color="auto"/>
        <w:bottom w:val="none" w:sz="0" w:space="0" w:color="auto"/>
        <w:right w:val="none" w:sz="0" w:space="0" w:color="auto"/>
      </w:divBdr>
    </w:div>
    <w:div w:id="1206140813">
      <w:bodyDiv w:val="1"/>
      <w:marLeft w:val="0"/>
      <w:marRight w:val="0"/>
      <w:marTop w:val="0"/>
      <w:marBottom w:val="0"/>
      <w:divBdr>
        <w:top w:val="none" w:sz="0" w:space="0" w:color="auto"/>
        <w:left w:val="none" w:sz="0" w:space="0" w:color="auto"/>
        <w:bottom w:val="none" w:sz="0" w:space="0" w:color="auto"/>
        <w:right w:val="none" w:sz="0" w:space="0" w:color="auto"/>
      </w:divBdr>
    </w:div>
    <w:div w:id="1268199371">
      <w:bodyDiv w:val="1"/>
      <w:marLeft w:val="0"/>
      <w:marRight w:val="0"/>
      <w:marTop w:val="0"/>
      <w:marBottom w:val="0"/>
      <w:divBdr>
        <w:top w:val="none" w:sz="0" w:space="0" w:color="auto"/>
        <w:left w:val="none" w:sz="0" w:space="0" w:color="auto"/>
        <w:bottom w:val="none" w:sz="0" w:space="0" w:color="auto"/>
        <w:right w:val="none" w:sz="0" w:space="0" w:color="auto"/>
      </w:divBdr>
    </w:div>
    <w:div w:id="1539389531">
      <w:bodyDiv w:val="1"/>
      <w:marLeft w:val="0"/>
      <w:marRight w:val="0"/>
      <w:marTop w:val="0"/>
      <w:marBottom w:val="0"/>
      <w:divBdr>
        <w:top w:val="none" w:sz="0" w:space="0" w:color="auto"/>
        <w:left w:val="none" w:sz="0" w:space="0" w:color="auto"/>
        <w:bottom w:val="none" w:sz="0" w:space="0" w:color="auto"/>
        <w:right w:val="none" w:sz="0" w:space="0" w:color="auto"/>
      </w:divBdr>
    </w:div>
    <w:div w:id="1544706978">
      <w:bodyDiv w:val="1"/>
      <w:marLeft w:val="0"/>
      <w:marRight w:val="0"/>
      <w:marTop w:val="0"/>
      <w:marBottom w:val="0"/>
      <w:divBdr>
        <w:top w:val="none" w:sz="0" w:space="0" w:color="auto"/>
        <w:left w:val="none" w:sz="0" w:space="0" w:color="auto"/>
        <w:bottom w:val="none" w:sz="0" w:space="0" w:color="auto"/>
        <w:right w:val="none" w:sz="0" w:space="0" w:color="auto"/>
      </w:divBdr>
    </w:div>
    <w:div w:id="1646738966">
      <w:bodyDiv w:val="1"/>
      <w:marLeft w:val="0"/>
      <w:marRight w:val="0"/>
      <w:marTop w:val="0"/>
      <w:marBottom w:val="0"/>
      <w:divBdr>
        <w:top w:val="none" w:sz="0" w:space="0" w:color="auto"/>
        <w:left w:val="none" w:sz="0" w:space="0" w:color="auto"/>
        <w:bottom w:val="none" w:sz="0" w:space="0" w:color="auto"/>
        <w:right w:val="none" w:sz="0" w:space="0" w:color="auto"/>
      </w:divBdr>
    </w:div>
    <w:div w:id="1712412652">
      <w:bodyDiv w:val="1"/>
      <w:marLeft w:val="0"/>
      <w:marRight w:val="0"/>
      <w:marTop w:val="0"/>
      <w:marBottom w:val="0"/>
      <w:divBdr>
        <w:top w:val="none" w:sz="0" w:space="0" w:color="auto"/>
        <w:left w:val="none" w:sz="0" w:space="0" w:color="auto"/>
        <w:bottom w:val="none" w:sz="0" w:space="0" w:color="auto"/>
        <w:right w:val="none" w:sz="0" w:space="0" w:color="auto"/>
      </w:divBdr>
    </w:div>
    <w:div w:id="2094668468">
      <w:bodyDiv w:val="1"/>
      <w:marLeft w:val="0"/>
      <w:marRight w:val="0"/>
      <w:marTop w:val="0"/>
      <w:marBottom w:val="0"/>
      <w:divBdr>
        <w:top w:val="none" w:sz="0" w:space="0" w:color="auto"/>
        <w:left w:val="none" w:sz="0" w:space="0" w:color="auto"/>
        <w:bottom w:val="none" w:sz="0" w:space="0" w:color="auto"/>
        <w:right w:val="none" w:sz="0" w:space="0" w:color="auto"/>
      </w:divBdr>
    </w:div>
    <w:div w:id="214711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inekologiaipoloznictwo.com/author/sara-abdalkareem-moshref-77142" TargetMode="External"/><Relationship Id="rId13" Type="http://schemas.openxmlformats.org/officeDocument/2006/relationships/hyperlink" Target="https://www.researchgate.net/profile/Katarzyna-Lacka-3?_sg%5B0%5D=4aA4dptShZMl4Ap1ZYy_940BtMegZrZTGoLmd4OtZV2OdX7emu-GXxLxo6hNgng1g6C_ZZ0.5_afbgg65wT70uDUov1qQLsqqwFqrUsXEmCYE1-v8SrtYoaJ9TDCEBIITsyEhw5xTUtql90rQ6EwroFYaEXuSQ&amp;_sg%5B1%5D=9iecAqLJN3bcXA2kib32kvFh-yjVVyRnE-hGVPf37TkcnR6FPQkhrBjUQ004xc7AyidThoo.k-NhNdj0perjOW2d_kt4XCgApmtn8VLcjzHpM1ZAmE6914UCjRWVXhVwq-YEKDzccwIHPO4CSQKfjNZXj90Kpg&amp;_tp=eyJjb250ZXh0Ijp7ImZpcnN0UGFnZSI6InB1YmxpY2F0aW9uIiwicGFnZSI6InB1YmxpY2F0aW9uIiwicG9zaXRpb24iOiJwYWdlSGVhZGVyIn19"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ginekologiaipoloznictwo.com/author/kawther-mejbel-hussein-77141" TargetMode="External"/><Relationship Id="rId12" Type="http://schemas.openxmlformats.org/officeDocument/2006/relationships/hyperlink" Target="https://www.researchgate.net/profile/Wojciech-Cyna?_sg%5B0%5D=4aA4dptShZMl4Ap1ZYy_940BtMegZrZTGoLmd4OtZV2OdX7emu-GXxLxo6hNgng1g6C_ZZ0.5_afbgg65wT70uDUov1qQLsqqwFqrUsXEmCYE1-v8SrtYoaJ9TDCEBIITsyEhw5xTUtql90rQ6EwroFYaEXuSQ&amp;_sg%5B1%5D=9iecAqLJN3bcXA2kib32kvFh-yjVVyRnE-hGVPf37TkcnR6FPQkhrBjUQ004xc7AyidThoo.k-NhNdj0perjOW2d_kt4XCgApmtn8VLcjzHpM1ZAmE6914UCjRWVXhVwq-YEKDzccwIHPO4CSQKfjNZXj90Kpg&amp;_tp=eyJjb250ZXh0Ijp7ImZpcnN0UGFnZSI6InB1YmxpY2F0aW9uIiwicGFnZSI6InB1YmxpY2F0aW9uIiwicG9zaXRpb24iOiJwYWdlSGVhZGVyIn19"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ginekologiaipoloznictwo.com/author/khawla-i-abd-nusaif-77140" TargetMode="External"/><Relationship Id="rId11" Type="http://schemas.openxmlformats.org/officeDocument/2006/relationships/hyperlink" Target="https://www.researchgate.net/scientific-contributions/Weronika-Szybiak-Skora-2345376757?_sg%5B0%5D=4aA4dptShZMl4Ap1ZYy_940BtMegZrZTGoLmd4OtZV2OdX7emu-GXxLxo6hNgng1g6C_ZZ0.5_afbgg65wT70uDUov1qQLsqqwFqrUsXEmCYE1-v8SrtYoaJ9TDCEBIITsyEhw5xTUtql90rQ6EwroFYaEXuSQ&amp;_sg%5B1%5D=9iecAqLJN3bcXA2kib32kvFh-yjVVyRnE-hGVPf37TkcnR6FPQkhrBjUQ004xc7AyidThoo.k-NhNdj0perjOW2d_kt4XCgApmtn8VLcjzHpM1ZAmE6914UCjRWVXhVwq-YEKDzccwIHPO4CSQKfjNZXj90Kpg&amp;_tp=eyJjb250ZXh0Ijp7ImZpcnN0UGFnZSI6InB1YmxpY2F0aW9uIiwicGFnZSI6InB1YmxpY2F0aW9uIiwicG9zaXRpb24iOiJwYWdlSGVhZGVyIn19"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doi.org/10.1093/ije/dyac036"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ginekologiaipoloznictwo.com/author/inam-joudah-radhi-77143" TargetMode="External"/><Relationship Id="rId14" Type="http://schemas.openxmlformats.org/officeDocument/2006/relationships/hyperlink" Target="https://www.researchgate.net/journal/Biomedicines-2227-9059?_tp=eyJjb250ZXh0Ijp7ImZpcnN0UGFnZSI6InB1YmxpY2F0aW9uIiwicGFnZSI6InB1YmxpY2F0aW9uIiwicG9zaXRpb24iOiJwYWdlSGVhZGVyIn1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3944</TotalTime>
  <Pages>11</Pages>
  <Words>3983</Words>
  <Characters>22705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1180</cp:lastModifiedBy>
  <cp:revision>80</cp:revision>
  <dcterms:created xsi:type="dcterms:W3CDTF">2016-08-31T09:08:00Z</dcterms:created>
  <dcterms:modified xsi:type="dcterms:W3CDTF">2026-05-30T10:48:00Z</dcterms:modified>
</cp:coreProperties>
</file>