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F2373" w14:textId="77777777" w:rsidR="001C53A0" w:rsidRPr="001C53A0" w:rsidRDefault="001C53A0" w:rsidP="001C53A0">
      <w:pPr>
        <w:spacing w:before="100" w:beforeAutospacing="1" w:after="100" w:afterAutospacing="1" w:line="240" w:lineRule="auto"/>
        <w:outlineLvl w:val="1"/>
        <w:rPr>
          <w:rFonts w:ascii="Times New Roman" w:eastAsia="Times New Roman" w:hAnsi="Times New Roman" w:cs="Times New Roman"/>
          <w:b/>
          <w:bCs/>
          <w:i/>
          <w:iCs/>
          <w:sz w:val="36"/>
          <w:szCs w:val="36"/>
          <w:u w:val="single"/>
          <w:lang w:val="en-US" w:eastAsia="en-GB"/>
        </w:rPr>
      </w:pPr>
      <w:r w:rsidRPr="001C53A0">
        <w:rPr>
          <w:rFonts w:ascii="Times New Roman" w:eastAsia="Times New Roman" w:hAnsi="Times New Roman" w:cs="Times New Roman"/>
          <w:b/>
          <w:bCs/>
          <w:i/>
          <w:iCs/>
          <w:sz w:val="36"/>
          <w:szCs w:val="36"/>
          <w:u w:val="single"/>
          <w:lang w:val="en-US" w:eastAsia="en-GB"/>
        </w:rPr>
        <w:t>Review Article</w:t>
      </w:r>
    </w:p>
    <w:p w14:paraId="72DB2E42" w14:textId="77777777" w:rsidR="009F5601" w:rsidRPr="009F5601" w:rsidRDefault="009F5601" w:rsidP="009F5601">
      <w:pPr>
        <w:spacing w:before="100" w:beforeAutospacing="1" w:after="100" w:afterAutospacing="1" w:line="240" w:lineRule="auto"/>
        <w:outlineLvl w:val="1"/>
        <w:rPr>
          <w:rFonts w:ascii="Times New Roman" w:eastAsia="Times New Roman" w:hAnsi="Times New Roman" w:cs="Times New Roman"/>
          <w:b/>
          <w:bCs/>
          <w:sz w:val="36"/>
          <w:szCs w:val="36"/>
          <w:lang w:eastAsia="en-GB"/>
        </w:rPr>
      </w:pPr>
      <w:r w:rsidRPr="009F5601">
        <w:rPr>
          <w:rFonts w:ascii="Times New Roman" w:eastAsia="Times New Roman" w:hAnsi="Times New Roman" w:cs="Times New Roman"/>
          <w:b/>
          <w:bCs/>
          <w:sz w:val="36"/>
          <w:szCs w:val="36"/>
          <w:lang w:eastAsia="en-GB"/>
        </w:rPr>
        <w:t>Novel Drug Delivery Systems in Film-Forming Sprays: Formulation Principles, Polymeric Architectures, Therapeutic Applications, and Emerging Frontiers</w:t>
      </w:r>
    </w:p>
    <w:p w14:paraId="5D8A97B4"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28EACCCD"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Abstract</w:t>
      </w:r>
    </w:p>
    <w:p w14:paraId="52BFAA5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Film-forming sprays (FFS) constitute a dynamic and increasingly investigated class of topical and transdermal drug delivery platforms in which polymer-based liquid formulations are applied to biological surfaces and spontaneously transform into thin, adherent, drug-loaded films as volatile solvents evaporate. Their capacity to conform uniformly to complex anatomical surfaces, provide programmable drug release kinetics, and deliver superior patient acceptability relative to conventional semi-solid preparations has stimulated considerable scientific and clinical interest. The polymeric backbone of FFS—comprising cellulose ethers, polymethacrylates, chitosan, polyvinyl alcohol, natural biopolymers, and emerging </w:t>
      </w: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systems—governs critical performance attributes including film adhesion, mechanical flexibility, moisture vapour transmission rate, and drug permeation profile. The integration of nanostructured carriers such as solid lipid nanoparticles, nanostructured lipid carriers, polymeric nanoparticles, liposomes, and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 xml:space="preserve"> within the film matrix has further expanded the formulation design space, enabling tailored spatiotemporal drug release profiles that exceed what simple polymer matrices can achieve. Despite these advances, the field must contend with unresolved challenges in solvent selection and safety, long-term formulation stability, spray delivery reproducibility, and a regulatory landscape that has yet to produce guidance documents specifically tailored to this dosage form. This critical review provides a comprehensive appraisal of the current understanding of FFS technology, encompassing fundamental composition, film formation mechanisms, polymer chemistries, drug release modelling, therapeutic applications across wound care, dermatology, nail delivery, mucosal systems, and ocular delivery, characterisation methodologies, regulatory frameworks, and the most promising recent innovations. Outstanding knowledge gaps and productive directions for future investigation are identified and discussed throughout.</w:t>
      </w:r>
    </w:p>
    <w:p w14:paraId="1DF6AB9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Keywords:</w:t>
      </w:r>
      <w:r w:rsidRPr="009F5601">
        <w:rPr>
          <w:rFonts w:ascii="Times New Roman" w:eastAsia="Times New Roman" w:hAnsi="Times New Roman" w:cs="Times New Roman"/>
          <w:sz w:val="24"/>
          <w:szCs w:val="24"/>
          <w:lang w:eastAsia="en-GB"/>
        </w:rPr>
        <w:t xml:space="preserve"> film-forming sprays; topical drug delivery; polymeric films; wound care; controlled drug release; nanoparticle-embedded films; transdermal delivery; biopolymers; mucoadhesive systems; pharmaceutical excipients</w:t>
      </w:r>
    </w:p>
    <w:p w14:paraId="1B218D7C"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713D886A"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 Introduction</w:t>
      </w:r>
    </w:p>
    <w:p w14:paraId="60A73774"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1.1 Background and Clinical Context</w:t>
      </w:r>
    </w:p>
    <w:p w14:paraId="0A073B2E"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challenge of delivering therapeutic agents to their intended biological targets in a controlled, safe, and patient-acceptable manner has been a defining preoccupation of pharmaceutical science throughout its modern history. Among the many routes available, topical and transdermal delivery offer distinctive advantages: they circumvent gastrointestinal </w:t>
      </w:r>
      <w:r w:rsidRPr="009F5601">
        <w:rPr>
          <w:rFonts w:ascii="Times New Roman" w:eastAsia="Times New Roman" w:hAnsi="Times New Roman" w:cs="Times New Roman"/>
          <w:sz w:val="24"/>
          <w:szCs w:val="24"/>
          <w:lang w:eastAsia="en-GB"/>
        </w:rPr>
        <w:lastRenderedPageBreak/>
        <w:t>degradation, reduce hepatic first-pass metabolism, permit localised therapy at the site of pathology, and in many circumstances improve patient adherence relative to oral or parenteral regimens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Yet these routes are constrained by the remarkable barrier properties of the skin, principally the stratum corneum, which acts as the foremost determinant of transcutaneous permeability and limits the passive diffusion of most therapeutic molecules to pharmacologically inadequate levels (Proksch et al., 2008).</w:t>
      </w:r>
    </w:p>
    <w:p w14:paraId="5276059D"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Conventional semi-solid topical preparations—creams, ointments, gels, and lotions—whilst clinically valuable and widely prescribed, suffer from inherent practical limitations. Dosing accuracy upon patient self-application is notoriously inconsistent; product transfer to clothing and bedding is a frequent complaint; and the capacity to maintain sustained drug exposure at the application site, particularly over irregular or geometrically complex surfaces such as wounds, nail folds, and the scalp, is often limited. Film-forming spray systems have emerged as a technologically compelling response to these limitations, offering a fundamentally different approach in which a liquid formulation transitions in situ into a thin polymeric film upon contact with the biological surface. The clinical implications of this multifunctionality are considerable, particularly in chronic wound management, where the delivery of antimicrobial, anti-inflammatory, and tissue-regenerative agents within a single protective film dressing represents a genuinely advanced therapeutic strategy (Boateng et al., 2008).</w:t>
      </w:r>
    </w:p>
    <w:p w14:paraId="14C230D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Film-forming sprays are characterised by the presence of one or more film-forming polymers dissolved or dispersed in a volatile solvent carrier. When atomised droplets contact skin or mucosa, rapid solvent evaporation drives progressive polymer chain entanglement and film consolidation, yielding a flexible, drug-loaded film that adheres to the underlying tissue (Pawar et al., 2013). This film acts simultaneously as a physical protective barrier, a controlled drug reservoir, and, in some designs, an active participant in the biological healing or therapeutic process.</w:t>
      </w:r>
    </w:p>
    <w:p w14:paraId="78D7F1DB"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1.2 Historical Development and Scientific Context</w:t>
      </w:r>
    </w:p>
    <w:p w14:paraId="0F664B48"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concept of film-forming topical preparations has antecedents in collodion—a solution of nitrocellulose in ether and alcohol—employed since the mid-nineteenth century as a wound sealant. Modern FFS are distinguished from their historical forerunners by the availability of a far broader and safer portfolio of film-forming polymers, a deeper mechanistic understanding of polymer film formation and drug transport, and the advanced excipient and nanocarrier toolbox that contemporary pharmaceutical science affords. The pharmaceutical coatings industry of the 1970s and 1980s, which developed well-characterised cellulosic and acrylic polymer systems for oral dosage form coating, provided the foundational polymer science that was subsequently adapted for topical film applications. By the mid-2000s, a significant body of scientific literature on FFS for wound care had accumulated, as reflected in comprehensive reviews (Boateng et al., 2008), and the subsequent decade witnessed rapid diversification into dermatological disease management, nail delivery, mucosal systems, and ocular surfaces.</w:t>
      </w:r>
    </w:p>
    <w:p w14:paraId="6262D236"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Parallel advances in understanding the barrier properties of the skin (Proksch et al., 2008), the nail plate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xml:space="preserve">, 2002), and mucosal epithelia (Smart, 2005) enabled increasingly rational design of FFS formulations. The emergence of nanotechnology as a drug delivery tool added further sophistication, enabling the incorporation of lipid and polymeric nanocarriers within film matrices to achieve release profiles and tissue deposition patterns that are difficult to realise with conventional polymer systems alone. Stimuli-responsive polymer science (Ward </w:t>
      </w:r>
      <w:r w:rsidRPr="009F5601">
        <w:rPr>
          <w:rFonts w:ascii="Times New Roman" w:eastAsia="Times New Roman" w:hAnsi="Times New Roman" w:cs="Times New Roman"/>
          <w:sz w:val="24"/>
          <w:szCs w:val="24"/>
          <w:lang w:eastAsia="en-GB"/>
        </w:rPr>
        <w:lastRenderedPageBreak/>
        <w:t>&amp; Georgiou, 2011) and digital manufacturing technologies (</w:t>
      </w: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 have more recently begun to influence FFS design, and the field today stands at a productive intersection of polymer chemistry, surface science, nanomedicine, and clinical therapeutics. Despite this progress, important gaps persist in understanding in vitro–in vivo correlations for FFS, in establishing standardised characterisation protocols, and in developing regulatory guidance specific to this dosage form.</w:t>
      </w:r>
    </w:p>
    <w:p w14:paraId="04273F48"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1.3 Scope and Objectives</w:t>
      </w:r>
    </w:p>
    <w:p w14:paraId="70B3629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This article presents a critical narrative review of the current state of knowledge on film-forming spray systems as drug delivery platforms. Its scope encompasses the fundamental principles of FFS formulation and film formation; the roles of polymeric excipients and auxiliary components; mechanisms of drug incorporation and release; therapeutic applications across wound care, dermatology, nail delivery, mucosal systems, and ocular delivery; characterisation and quality control approaches; regulatory frameworks; and recent innovations including nanotechnology-integrated and stimuli-responsive systems. The review aims to provide a synthesis of current evidence that is both practically informative for formulation scientists and scientifically critical in identifying limitations, knowledge gaps, and productive directions for future research. No mathematical expressions are employed; drug release mechanisms are described in conceptual terms with reference to established modelling frameworks.</w:t>
      </w:r>
    </w:p>
    <w:p w14:paraId="2CD9B52A"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3707C73A"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2. Methods for Literature Selection</w:t>
      </w:r>
    </w:p>
    <w:p w14:paraId="4072D409"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2.1 Review Approach</w:t>
      </w:r>
    </w:p>
    <w:p w14:paraId="103D408E"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 narrative review approach was adopted for this work, reflecting the broad and multidisciplinary scope of the topic and the considerable heterogeneity in study designs, drug classes, polymer systems, and application areas encountered in the existing literature. This methodology is appropriate when the aim is to synthesise a conceptually diverse body of evidence, interpret divergent findings within an integrated framework, and identify overarching themes and future directions rather than to answer a single focused clinical question through formal quantitative synthesis (Grant &amp; Booth, 2009). Narrative review permits the incorporation of fundamental mechanistic studies, formulation development investigations, and applied clinical data within a coherent interpretive structure, enabling conceptual breadth that a strictly systematic scope would preclude.</w:t>
      </w:r>
    </w:p>
    <w:p w14:paraId="18E22E8D"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2.2 Database Search Strategy and Sources</w:t>
      </w:r>
    </w:p>
    <w:p w14:paraId="38209C15"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Literature was identified through systematic electronic searching of the following databases: Web of Science (all editions), Scopus, PubMed/MEDLINE, and Google Scholar. Field-specific indexing databases additionally searched included International Pharmaceutical Abstracts (IPA), Embase, Chemical Abstracts Service (CAS/</w:t>
      </w:r>
      <w:proofErr w:type="spellStart"/>
      <w:r w:rsidRPr="009F5601">
        <w:rPr>
          <w:rFonts w:ascii="Times New Roman" w:eastAsia="Times New Roman" w:hAnsi="Times New Roman" w:cs="Times New Roman"/>
          <w:sz w:val="24"/>
          <w:szCs w:val="24"/>
          <w:lang w:eastAsia="en-GB"/>
        </w:rPr>
        <w:t>SciFinder</w:t>
      </w:r>
      <w:proofErr w:type="spellEnd"/>
      <w:r w:rsidRPr="009F5601">
        <w:rPr>
          <w:rFonts w:ascii="Times New Roman" w:eastAsia="Times New Roman" w:hAnsi="Times New Roman" w:cs="Times New Roman"/>
          <w:sz w:val="24"/>
          <w:szCs w:val="24"/>
          <w:lang w:eastAsia="en-GB"/>
        </w:rPr>
        <w:t xml:space="preserve">), and the European Medicines Agency clinical assessment repository. Supplementary bibliographic resources included ClinicalTrials.gov (for registered clinical study data), the </w:t>
      </w:r>
      <w:proofErr w:type="spellStart"/>
      <w:r w:rsidRPr="009F5601">
        <w:rPr>
          <w:rFonts w:ascii="Times New Roman" w:eastAsia="Times New Roman" w:hAnsi="Times New Roman" w:cs="Times New Roman"/>
          <w:sz w:val="24"/>
          <w:szCs w:val="24"/>
          <w:lang w:eastAsia="en-GB"/>
        </w:rPr>
        <w:t>PharmacyLibrary</w:t>
      </w:r>
      <w:proofErr w:type="spellEnd"/>
      <w:r w:rsidRPr="009F5601">
        <w:rPr>
          <w:rFonts w:ascii="Times New Roman" w:eastAsia="Times New Roman" w:hAnsi="Times New Roman" w:cs="Times New Roman"/>
          <w:sz w:val="24"/>
          <w:szCs w:val="24"/>
          <w:lang w:eastAsia="en-GB"/>
        </w:rPr>
        <w:t xml:space="preserve"> database, and the ScienceDirect article repository for pharmaceutical science literature. The date range for primary literature searching was 2000 to April 2026, with no restriction imposed on earlier publications of demonstrable foundational significance.</w:t>
      </w:r>
    </w:p>
    <w:p w14:paraId="5610A8B2"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Search strings were structured around core topic descriptors combined using Boolean operators. Principal search terms included, but were not limited to: "film-forming spray" AND "drug delivery"; "film-forming system" AND "topical"; "in situ film" AND "polymer" AND "pharmaceutical"; "wound film spray" AND "controlled release"; "transdermal film" AND "spray"; "nail drug delivery" AND "film"; "mucoadhesive film spray"; "film-forming polymer" AND "skin"; "nanoparticle" AND "film-forming" AND "topical"; "FFS" AND "pharmaceutical"; and "polymer blend" AND "film" AND "drug release."</w:t>
      </w:r>
    </w:p>
    <w:p w14:paraId="5824910D"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2.3 Inclusion and Exclusion Criteria and Screening</w:t>
      </w:r>
    </w:p>
    <w:p w14:paraId="0DDD782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Only articles published in English in peer-reviewed academic journals were considered eligible. Original research articles, critical and narrative review papers, and brief communications were all included provided they addressed FFS formulation, polymer systems, characterisation methodologies, drug release mechanisms, or therapeutic applications in the defined areas. Books, book chapters, grey literature, conference proceedings and abstracts, trade publications, pre-prints without peer review, patents, and non-peer-reviewed sources were excluded. Regulatory guidance documents from recognised authoritative bodies—the European Medicines Agency, the U.S. Food and Drug Administration, and the International Council for Harmonisation—were included where they represented current regulatory expectations pertinent to the discussion, with verifiable URLs provided in lieu of DOIs where applicable.</w:t>
      </w:r>
    </w:p>
    <w:p w14:paraId="0456BD72"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Deduplication of records identified across multiple databases was performed manually. Title and abstract screening was applied to exclude clearly irrelevant material, followed by full-text review of remaining records to verify alignment with the defined scope. Studies concerning film-forming systems in exclusively non-pharmaceutical contexts—food coating, agricultural films—were excluded unless the original authors drew explicit pharmaceutical parallels. Priority was afforded to studies characterised by rigorous experimental methodology, quantitative characterisation data, and clear mechanistic interpretation, as well as to influential review articles that have shaped the direction of FFS research.</w:t>
      </w:r>
    </w:p>
    <w:p w14:paraId="0EAE7304"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557F278F"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3. Fundamentals of Film-Forming Spray Systems</w:t>
      </w:r>
    </w:p>
    <w:p w14:paraId="0A1D8141"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3.1 Definition and Classification</w:t>
      </w:r>
    </w:p>
    <w:p w14:paraId="28F44819"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A film-forming spray may be defined as a liquid pharmaceutical preparation, typically presented in a pump spray or pressurised aerosol container, whose application to a </w:t>
      </w:r>
      <w:proofErr w:type="gramStart"/>
      <w:r w:rsidRPr="009F5601">
        <w:rPr>
          <w:rFonts w:ascii="Times New Roman" w:eastAsia="Times New Roman" w:hAnsi="Times New Roman" w:cs="Times New Roman"/>
          <w:sz w:val="24"/>
          <w:szCs w:val="24"/>
          <w:lang w:eastAsia="en-GB"/>
        </w:rPr>
        <w:t>biological surface results</w:t>
      </w:r>
      <w:proofErr w:type="gramEnd"/>
      <w:r w:rsidRPr="009F5601">
        <w:rPr>
          <w:rFonts w:ascii="Times New Roman" w:eastAsia="Times New Roman" w:hAnsi="Times New Roman" w:cs="Times New Roman"/>
          <w:sz w:val="24"/>
          <w:szCs w:val="24"/>
          <w:lang w:eastAsia="en-GB"/>
        </w:rPr>
        <w:t xml:space="preserve"> in the spontaneous formation of a thin, coherent polymeric film through the evaporation of a volatile solvent component. This definition encompasses a range of system subtypes that differ in polymer chemistry, solvent composition, drug loading strategy, and intended application site. A useful primary classification divides FFS by their film-forming polymer basis: cellulosic systems (e.g., hydroxypropyl methylcellulose, ethyl cellulose, hydroxypropyl cellulose), acrylic and methacrylic systems (e.g., Eudragit series), natural and biopolymeric systems (e.g., chitosan, alginate), and hybrid or composite systems incorporating more than one polymer class. A secondary classification by intended application site—cutaneous, nail, buccal, nasal, or ocular—captures the biological diversity of FFS deployment.</w:t>
      </w:r>
    </w:p>
    <w:p w14:paraId="3E7EA46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Within these broad categories, further distinctions may be drawn between single-layer systems forming a uniform polymeric film, bilayer or multi-compartment designs achieving spatially differentiated drug release, and nanocomposite systems in which drug-laden nanoparticles are dispersed within the polymeric film matrix. Single-layer systems predominate in wound care and general dermatological applications; nanocomposite architectures represent a more advanced and rapidly developing design philosophy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Hydrogel-forming polymers that swell extensively upon water uptake, providing elastic drug-releasing matrices rather than thin rigid films, constitute a related category whose drug transport properties have been extensively characterised (Hoare &amp; </w:t>
      </w:r>
      <w:proofErr w:type="spellStart"/>
      <w:r w:rsidRPr="009F5601">
        <w:rPr>
          <w:rFonts w:ascii="Times New Roman" w:eastAsia="Times New Roman" w:hAnsi="Times New Roman" w:cs="Times New Roman"/>
          <w:sz w:val="24"/>
          <w:szCs w:val="24"/>
          <w:lang w:eastAsia="en-GB"/>
        </w:rPr>
        <w:t>Kohane</w:t>
      </w:r>
      <w:proofErr w:type="spellEnd"/>
      <w:r w:rsidRPr="009F5601">
        <w:rPr>
          <w:rFonts w:ascii="Times New Roman" w:eastAsia="Times New Roman" w:hAnsi="Times New Roman" w:cs="Times New Roman"/>
          <w:sz w:val="24"/>
          <w:szCs w:val="24"/>
          <w:lang w:eastAsia="en-GB"/>
        </w:rPr>
        <w:t>, 2008) and whose principles are directly relevant to moisture-retentive FFS for wound care.</w:t>
      </w:r>
    </w:p>
    <w:p w14:paraId="1B74C0A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3.2 Composition and Formulation Principles</w:t>
      </w:r>
    </w:p>
    <w:p w14:paraId="6910A9D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FFS formulations in their most general form comprise four classes of functional component: one or more film-forming polymers providing the structural framework and drug-retaining matrix; a volatile solvent or solvent blend enabling polymer dissolution or dispersion and ensuring appropriate spray atomisation; the active pharmaceutical ingredient (API), which may exist as a molecular solution, colloidal dispersion, or nanocarrier-encapsulated form; and auxiliary excipients including plasticisers, permeation enhancers, preservatives, antioxidants, and humectants, selected to optimise both formulation shelf stability and in-use film performance.</w:t>
      </w:r>
    </w:p>
    <w:p w14:paraId="3F5002F5"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choice of solvent system profoundly influences film quality, patient safety, and product performance. Hydroalcoholic mixtures have long been the mainstay of FFS formulation, combining solubilising power for diverse hydrophilic polymers with acceptable evaporation kinetics and broad API compatibility (Barry, 2001). Purely aqueous vehicles are preferred from a toxicological standpoint and impose fewer constraints on use over compromised skin, but their slower evaporation kinetics may result in extended film formation times and potentially altered film morphology. Organic solvents, whilst effective for certain polymer classes and superior with respect to film surface smoothness, raise safety and patient acceptability concerns that have progressively limited their role in modern topical formulation development.</w:t>
      </w:r>
    </w:p>
    <w:p w14:paraId="7B8E3BC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Plasticisers are an indispensable element of most FFS formulations, functioning to reduce the glass transition temperature of the polymer matrix and impart the flexibility necessary to withstand mechanical demands at the application site—particularly important for body regions subject to frequent movement and deformation. Polyethylene glycols, propylene glycol, triethyl citrate, and dibutyl </w:t>
      </w:r>
      <w:proofErr w:type="spellStart"/>
      <w:r w:rsidRPr="009F5601">
        <w:rPr>
          <w:rFonts w:ascii="Times New Roman" w:eastAsia="Times New Roman" w:hAnsi="Times New Roman" w:cs="Times New Roman"/>
          <w:sz w:val="24"/>
          <w:szCs w:val="24"/>
          <w:lang w:eastAsia="en-GB"/>
        </w:rPr>
        <w:t>sebacate</w:t>
      </w:r>
      <w:proofErr w:type="spellEnd"/>
      <w:r w:rsidRPr="009F5601">
        <w:rPr>
          <w:rFonts w:ascii="Times New Roman" w:eastAsia="Times New Roman" w:hAnsi="Times New Roman" w:cs="Times New Roman"/>
          <w:sz w:val="24"/>
          <w:szCs w:val="24"/>
          <w:lang w:eastAsia="en-GB"/>
        </w:rPr>
        <w:t xml:space="preserve"> are among the most widely employed plasticisers, and their influence on both mechanical performance and drug diffusivity within the polymer network is a critical design consideration (Repka &amp; McGinity, 2000). Natural plasticisers derived from renewable sources, including glycerol and plant-derived citrate esters, have attracted growing interest in biopolymer-based FFS formulations as sustainability considerations gain prominence in pharmaceutical development (Vieira et al., 2011).</w:t>
      </w:r>
    </w:p>
    <w:p w14:paraId="1A984C23"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3.3 Film Formation Mechanisms</w:t>
      </w:r>
    </w:p>
    <w:p w14:paraId="5FADA485"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physicochemical processes governing FFS film formation begin upon contact of atomised spray droplets with the biological surface. Initial spreading is driven by surface tension and the wetting energy of the formulation on the substrate; the extent of spreading is </w:t>
      </w:r>
      <w:r w:rsidRPr="009F5601">
        <w:rPr>
          <w:rFonts w:ascii="Times New Roman" w:eastAsia="Times New Roman" w:hAnsi="Times New Roman" w:cs="Times New Roman"/>
          <w:sz w:val="24"/>
          <w:szCs w:val="24"/>
          <w:lang w:eastAsia="en-GB"/>
        </w:rPr>
        <w:lastRenderedPageBreak/>
        <w:t xml:space="preserve">determined by the contact angle, itself a function of the surface energies of both formulation and tissue. As the solvent evaporates—driven by its vapour pressure gradient between the droplet surface and the surrounding atmosphere—the polymer concentration in the residual liquid increases progressively, driving chain entanglement and ultimately vitrification into a continuous solid or semi-solid film (Siepmann &amp; Peppas, 2001). For polymers dissolved in hydroalcoholic or organic solvents, evaporation is typically rapid and film formation complete within seconds to a few minutes under ambient conditions. For aqueous polymer dispersions, a more complex drying process involves </w:t>
      </w:r>
      <w:proofErr w:type="spellStart"/>
      <w:r w:rsidRPr="009F5601">
        <w:rPr>
          <w:rFonts w:ascii="Times New Roman" w:eastAsia="Times New Roman" w:hAnsi="Times New Roman" w:cs="Times New Roman"/>
          <w:sz w:val="24"/>
          <w:szCs w:val="24"/>
          <w:lang w:eastAsia="en-GB"/>
        </w:rPr>
        <w:t>interdroplet</w:t>
      </w:r>
      <w:proofErr w:type="spellEnd"/>
      <w:r w:rsidRPr="009F5601">
        <w:rPr>
          <w:rFonts w:ascii="Times New Roman" w:eastAsia="Times New Roman" w:hAnsi="Times New Roman" w:cs="Times New Roman"/>
          <w:sz w:val="24"/>
          <w:szCs w:val="24"/>
          <w:lang w:eastAsia="en-GB"/>
        </w:rPr>
        <w:t xml:space="preserve"> polymer chain diffusion across particle boundaries, capillary pressure-driven deformation, and progressive interfacial bonding to yield film continuity. The resulting film thickness is governed by the polymer concentration in the spray solution, the formulation viscosity, and the volume applied per unit area—parameters that must be optimised during development to achieve target mechanical properties and drug loading per unit area.</w:t>
      </w:r>
    </w:p>
    <w:p w14:paraId="238D58F0"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0099A1C5"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4. Polymeric Excipients and Their Roles</w:t>
      </w:r>
    </w:p>
    <w:p w14:paraId="20DFA6FC"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4.1 Cellulose Derivatives</w:t>
      </w:r>
    </w:p>
    <w:p w14:paraId="3F15CFAA"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Hydroxypropyl methylcellulose (HPMC, </w:t>
      </w:r>
      <w:proofErr w:type="spellStart"/>
      <w:r w:rsidRPr="009F5601">
        <w:rPr>
          <w:rFonts w:ascii="Times New Roman" w:eastAsia="Times New Roman" w:hAnsi="Times New Roman" w:cs="Times New Roman"/>
          <w:sz w:val="24"/>
          <w:szCs w:val="24"/>
          <w:lang w:eastAsia="en-GB"/>
        </w:rPr>
        <w:t>hypromellose</w:t>
      </w:r>
      <w:proofErr w:type="spellEnd"/>
      <w:r w:rsidRPr="009F5601">
        <w:rPr>
          <w:rFonts w:ascii="Times New Roman" w:eastAsia="Times New Roman" w:hAnsi="Times New Roman" w:cs="Times New Roman"/>
          <w:sz w:val="24"/>
          <w:szCs w:val="24"/>
          <w:lang w:eastAsia="en-GB"/>
        </w:rPr>
        <w:t xml:space="preserve">) stands as arguably the most widely employed film-forming polymer in FFS formulations, its </w:t>
      </w:r>
      <w:proofErr w:type="spellStart"/>
      <w:r w:rsidRPr="009F5601">
        <w:rPr>
          <w:rFonts w:ascii="Times New Roman" w:eastAsia="Times New Roman" w:hAnsi="Times New Roman" w:cs="Times New Roman"/>
          <w:sz w:val="24"/>
          <w:szCs w:val="24"/>
          <w:lang w:eastAsia="en-GB"/>
        </w:rPr>
        <w:t>preeminence</w:t>
      </w:r>
      <w:proofErr w:type="spellEnd"/>
      <w:r w:rsidRPr="009F5601">
        <w:rPr>
          <w:rFonts w:ascii="Times New Roman" w:eastAsia="Times New Roman" w:hAnsi="Times New Roman" w:cs="Times New Roman"/>
          <w:sz w:val="24"/>
          <w:szCs w:val="24"/>
          <w:lang w:eastAsia="en-GB"/>
        </w:rPr>
        <w:t xml:space="preserve"> attributable to a well-established safety profile grounded in decades of oral pharmaceutical use, availability in viscosity grades spanning several orders of magnitude, dissolution in aqueous and hydroalcoholic vehicles, and propensity to form clear, transparent films with adjustable drug permeability (Siepmann &amp; Peppas, 2001). HPMC films are hydrophilic and non-ionic, facilitating water ingress and drug diffusion from the matrix at rates that can be modulated through polymer concentration, grade selection, and plasticisation. The wound care film sprays characterised by Pawar et al. (2013) illustrate how HPMC, combined judiciously with other polymers, can be optimised to satisfy both drug release and mechanical performance targets simultaneously. Ethyl cellulose (EC), in contrast, is water-insoluble and hydrophobic in character, forming films that present a substantially greater diffusion barrier and are well suited to sustained or extended release applications (Repka &amp; McGinity, 2000). The blend properties of EC with hydrophilic polymers such as HPMC can be exploited to achieve intermediate hydrophilicity and broadly tuneable release profiles. Siepmann, F. et al. (2008) have characterised the influence of polymer blend composition on the pore structure and drug permeability of cellulosic–acrylic film coatings, providing mechanistic insight directly transferable to topical film system design.</w:t>
      </w:r>
    </w:p>
    <w:p w14:paraId="42CC81FD"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4.2 Polymethacrylate Copolymers</w:t>
      </w:r>
    </w:p>
    <w:p w14:paraId="3AA3A52C"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Eudragit family of polymethacrylate copolymers has found a productive secondary application in topical FFS, building on its established role in oral controlled-release and enteric coating. Eudragit RL100 and RS100, cationic polymers bearing quaternary ammonium groups in differing proportions, form water-insoluble but permeable films at the skin surface; their positive charge may promote electrostatic interaction with the negatively charged glycocalyx of the skin surface, contributing to film adhesion (Pawar et al., 2013). The ratio of RL100 to RS100 in a polymer blend provides a straightforward means of tuning film permeability and hence drug release rate over a practically useful range. Eudragit L and S grades, whose solubility is pH-dependent—dissolving at pH values above 6 and 7, </w:t>
      </w:r>
      <w:r w:rsidRPr="009F5601">
        <w:rPr>
          <w:rFonts w:ascii="Times New Roman" w:eastAsia="Times New Roman" w:hAnsi="Times New Roman" w:cs="Times New Roman"/>
          <w:sz w:val="24"/>
          <w:szCs w:val="24"/>
          <w:lang w:eastAsia="en-GB"/>
        </w:rPr>
        <w:lastRenderedPageBreak/>
        <w:t>respectively—are of interest in mucosal FFS designed to trigger drug release upon exposure to the characteristic pH environment of the application site, providing a degree of programmable selectivity in mucosal drug delivery.</w:t>
      </w:r>
    </w:p>
    <w:p w14:paraId="33044FCB"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4.3 Chitosan and Natural Biopolymers</w:t>
      </w:r>
    </w:p>
    <w:p w14:paraId="4775EB2C"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 the partially deacetylated derivative of chitin, occupies a uniquely valuable position among FFS polymers by virtue of its intrinsic antimicrobial activity, well-documented mucoadhesive properties, biodegradability, and excellent biocompatibility (Dash et al., 2011). Its cationic character—arising from protonation of primary amine groups in mildly acidic solution—enables electrostatic interactions with the negatively charged cell walls of pathogenic bacteria and with the anionic mucin glycoproteins overlying mucosal surfaces, underpinning its dual antimicrobial and mucoadhesive behaviour (Hamman, 2010). The solubility of chitosan in dilute acetic acid and similar mild acid solutions restricts its direct applicability in neutral or alkaline formulation environments, a limitation addressed by the development of water-soluble derivatives such as carboxymethyl chitosan and hydroxypropyl chitosan that maintain solubility over a broader pH range (Dash et al., 2011).</w:t>
      </w:r>
    </w:p>
    <w:p w14:paraId="11CBDB51"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Alginate, the anionic polysaccharide obtained from brown algae, forms ionotropic gels in the presence of divalent cations and has been incorporated into wound care FFS to exploit its substantial fluid-absorbing capacity and ability to maintain a moist wound environment conducive to healing (Aderibigbe &amp; Buyana, 2018). Polyvinyl alcohol (PVA), whilst technically synthetic, exhibits biocompatibility profiles comparable to naturally derived polymers and has been extensively characterised in wound care hydrogel membranes, with cross-linked PVA networks demonstrating favourable combinations of mechanical resilience and moisture retention (Kamoun et al., 2017). The safety profile of PVA in pharmaceutical applications is well established from detailed oral toxicology studies confirming its acceptance as a low-toxicity excipient suitable for topical use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 The broader relevance of hydrogel-forming polymer networks to FFS—particularly in moisture-retentive wound care designs—is well framed by the mechanistic treatment of hydrogel drug transport provided by Hoare &amp; </w:t>
      </w:r>
      <w:proofErr w:type="spellStart"/>
      <w:r w:rsidRPr="009F5601">
        <w:rPr>
          <w:rFonts w:ascii="Times New Roman" w:eastAsia="Times New Roman" w:hAnsi="Times New Roman" w:cs="Times New Roman"/>
          <w:sz w:val="24"/>
          <w:szCs w:val="24"/>
          <w:lang w:eastAsia="en-GB"/>
        </w:rPr>
        <w:t>Kohane</w:t>
      </w:r>
      <w:proofErr w:type="spellEnd"/>
      <w:r w:rsidRPr="009F5601">
        <w:rPr>
          <w:rFonts w:ascii="Times New Roman" w:eastAsia="Times New Roman" w:hAnsi="Times New Roman" w:cs="Times New Roman"/>
          <w:sz w:val="24"/>
          <w:szCs w:val="24"/>
          <w:lang w:eastAsia="en-GB"/>
        </w:rPr>
        <w:t xml:space="preserve"> (2008). Natural-based plasticisers and biopolymeric film matrices have been systematically reviewed in terms of their mechanical, barrier, and drug release characteristics, further supporting the formulation scientist's toolkit for sustainable FFS development (Vieira et al., 2011).</w:t>
      </w:r>
    </w:p>
    <w:p w14:paraId="54A96E38"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4.4 Novel and Emerging Polymer Systems</w:t>
      </w:r>
    </w:p>
    <w:p w14:paraId="02F6323D"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polymers, most notably poly(N-isopropylacrylamide) and its copolymers, undergo a reversible phase transition from soluble to insoluble at their lower critical solution temperature (LCST), which can be tuned to lie near skin surface temperature. This enables the design of FFS that remain in a low-viscosity, sprayable state at ambient temperature and consolidate rapidly into a film upon contact with the warmer skin, theoretically offering superior film uniformity compared to evaporation-only systems (Ward &amp; Georgiou, 2011). Whilst </w:t>
      </w: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FFS remain primarily at the research stage, their compatibility with diverse APIs and co-excipients justifies continued investigation.</w:t>
      </w:r>
    </w:p>
    <w:p w14:paraId="39F2041C"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Poly(lactic-co-glycolic acid) (PLGA) and related biodegradable polyesters are incorporated in FFS not typically as the primary matrix polymer but as nanoparticles dispersed within the film, providing biodegradable drug depots that erode progressively at rates governed by the molecular weight and </w:t>
      </w:r>
      <w:proofErr w:type="spellStart"/>
      <w:r w:rsidRPr="009F5601">
        <w:rPr>
          <w:rFonts w:ascii="Times New Roman" w:eastAsia="Times New Roman" w:hAnsi="Times New Roman" w:cs="Times New Roman"/>
          <w:sz w:val="24"/>
          <w:szCs w:val="24"/>
          <w:lang w:eastAsia="en-GB"/>
        </w:rPr>
        <w:t>lactide:glycolide</w:t>
      </w:r>
      <w:proofErr w:type="spellEnd"/>
      <w:r w:rsidRPr="009F5601">
        <w:rPr>
          <w:rFonts w:ascii="Times New Roman" w:eastAsia="Times New Roman" w:hAnsi="Times New Roman" w:cs="Times New Roman"/>
          <w:sz w:val="24"/>
          <w:szCs w:val="24"/>
          <w:lang w:eastAsia="en-GB"/>
        </w:rPr>
        <w:t xml:space="preserve"> ratio of the copolymer (Makadia &amp; Siegel, 2011). The </w:t>
      </w:r>
      <w:r w:rsidRPr="009F5601">
        <w:rPr>
          <w:rFonts w:ascii="Times New Roman" w:eastAsia="Times New Roman" w:hAnsi="Times New Roman" w:cs="Times New Roman"/>
          <w:sz w:val="24"/>
          <w:szCs w:val="24"/>
          <w:lang w:eastAsia="en-GB"/>
        </w:rPr>
        <w:lastRenderedPageBreak/>
        <w:t>inherent biocompatibility and regulatory acceptance of PLGA in parenteral applications render it a particularly attractive component for wound care FFS, where gradual film resorption as healing progresses is clinically desirable. Table 1 summarises the principal polymers employed in FFS formulations, their key properties, and representative application areas, drawing together the discussion presented throughout this section.</w:t>
      </w:r>
    </w:p>
    <w:p w14:paraId="149477A0"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1EBDEA4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1. Principal polymers employed in film-forming spray formulations: characteristics and applications</w:t>
      </w:r>
    </w:p>
    <w:tbl>
      <w:tblPr>
        <w:tblStyle w:val="TableGrid"/>
        <w:tblW w:w="0" w:type="auto"/>
        <w:tblLook w:val="04A0" w:firstRow="1" w:lastRow="0" w:firstColumn="1" w:lastColumn="0" w:noHBand="0" w:noVBand="1"/>
      </w:tblPr>
      <w:tblGrid>
        <w:gridCol w:w="1975"/>
        <w:gridCol w:w="1871"/>
        <w:gridCol w:w="1668"/>
        <w:gridCol w:w="2002"/>
        <w:gridCol w:w="1726"/>
      </w:tblGrid>
      <w:tr w:rsidR="009F5601" w:rsidRPr="009F5601" w14:paraId="2072B2E3" w14:textId="77777777" w:rsidTr="00456AB7">
        <w:tc>
          <w:tcPr>
            <w:tcW w:w="0" w:type="auto"/>
            <w:hideMark/>
          </w:tcPr>
          <w:p w14:paraId="76D06AC5"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Polymer</w:t>
            </w:r>
          </w:p>
        </w:tc>
        <w:tc>
          <w:tcPr>
            <w:tcW w:w="0" w:type="auto"/>
            <w:hideMark/>
          </w:tcPr>
          <w:p w14:paraId="349CF962"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Classification</w:t>
            </w:r>
          </w:p>
        </w:tc>
        <w:tc>
          <w:tcPr>
            <w:tcW w:w="0" w:type="auto"/>
            <w:hideMark/>
          </w:tcPr>
          <w:p w14:paraId="0517FB26"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Properties</w:t>
            </w:r>
          </w:p>
        </w:tc>
        <w:tc>
          <w:tcPr>
            <w:tcW w:w="0" w:type="auto"/>
            <w:hideMark/>
          </w:tcPr>
          <w:p w14:paraId="040A8C6B"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Typical FFS Applications</w:t>
            </w:r>
          </w:p>
        </w:tc>
        <w:tc>
          <w:tcPr>
            <w:tcW w:w="0" w:type="auto"/>
            <w:hideMark/>
          </w:tcPr>
          <w:p w14:paraId="23B98D69"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33552557" w14:textId="77777777" w:rsidTr="00456AB7">
        <w:tc>
          <w:tcPr>
            <w:tcW w:w="0" w:type="auto"/>
            <w:hideMark/>
          </w:tcPr>
          <w:p w14:paraId="6B457BB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w:t>
            </w:r>
          </w:p>
        </w:tc>
        <w:tc>
          <w:tcPr>
            <w:tcW w:w="0" w:type="auto"/>
            <w:hideMark/>
          </w:tcPr>
          <w:p w14:paraId="63A7FFB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3F0AAAA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Hydrophilic, non-ionic, tuneable viscosity, film-forming</w:t>
            </w:r>
          </w:p>
        </w:tc>
        <w:tc>
          <w:tcPr>
            <w:tcW w:w="0" w:type="auto"/>
            <w:hideMark/>
          </w:tcPr>
          <w:p w14:paraId="1740F2C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 dermatology, mucoadhesive sprays</w:t>
            </w:r>
          </w:p>
        </w:tc>
        <w:tc>
          <w:tcPr>
            <w:tcW w:w="0" w:type="auto"/>
            <w:hideMark/>
          </w:tcPr>
          <w:p w14:paraId="31AF762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 Pawar et al. (2013)</w:t>
            </w:r>
          </w:p>
        </w:tc>
      </w:tr>
      <w:tr w:rsidR="009F5601" w:rsidRPr="009F5601" w14:paraId="01ACAC47" w14:textId="77777777" w:rsidTr="00456AB7">
        <w:tc>
          <w:tcPr>
            <w:tcW w:w="0" w:type="auto"/>
            <w:hideMark/>
          </w:tcPr>
          <w:p w14:paraId="64864CA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Ethyl cellulose</w:t>
            </w:r>
          </w:p>
        </w:tc>
        <w:tc>
          <w:tcPr>
            <w:tcW w:w="0" w:type="auto"/>
            <w:hideMark/>
          </w:tcPr>
          <w:p w14:paraId="0F37788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5E17FFC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Hydrophobic, water-insoluble, sustained release barrier</w:t>
            </w:r>
          </w:p>
        </w:tc>
        <w:tc>
          <w:tcPr>
            <w:tcW w:w="0" w:type="auto"/>
            <w:hideMark/>
          </w:tcPr>
          <w:p w14:paraId="59BB5CB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Controlled release films, EC/HPMC blends</w:t>
            </w:r>
          </w:p>
        </w:tc>
        <w:tc>
          <w:tcPr>
            <w:tcW w:w="0" w:type="auto"/>
            <w:hideMark/>
          </w:tcPr>
          <w:p w14:paraId="03E19F6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Repka &amp; McGinity (2000); Siepmann, F. et al. (2008)</w:t>
            </w:r>
          </w:p>
        </w:tc>
      </w:tr>
      <w:tr w:rsidR="009F5601" w:rsidRPr="009F5601" w14:paraId="77A78314" w14:textId="77777777" w:rsidTr="00456AB7">
        <w:tc>
          <w:tcPr>
            <w:tcW w:w="0" w:type="auto"/>
            <w:hideMark/>
          </w:tcPr>
          <w:p w14:paraId="5859D75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HPC</w:t>
            </w:r>
          </w:p>
        </w:tc>
        <w:tc>
          <w:tcPr>
            <w:tcW w:w="0" w:type="auto"/>
            <w:hideMark/>
          </w:tcPr>
          <w:p w14:paraId="09A608C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Cellulosic, semi-synthetic</w:t>
            </w:r>
          </w:p>
        </w:tc>
        <w:tc>
          <w:tcPr>
            <w:tcW w:w="0" w:type="auto"/>
            <w:hideMark/>
          </w:tcPr>
          <w:p w14:paraId="41AACC2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Thermoplastic, </w:t>
            </w:r>
            <w:proofErr w:type="spellStart"/>
            <w:r w:rsidRPr="009F5601">
              <w:rPr>
                <w:rFonts w:ascii="Times New Roman" w:eastAsia="Times New Roman" w:hAnsi="Times New Roman" w:cs="Times New Roman"/>
                <w:sz w:val="24"/>
                <w:szCs w:val="24"/>
                <w:lang w:eastAsia="en-GB"/>
              </w:rPr>
              <w:t>bioadhesive</w:t>
            </w:r>
            <w:proofErr w:type="spellEnd"/>
            <w:r w:rsidRPr="009F5601">
              <w:rPr>
                <w:rFonts w:ascii="Times New Roman" w:eastAsia="Times New Roman" w:hAnsi="Times New Roman" w:cs="Times New Roman"/>
                <w:sz w:val="24"/>
                <w:szCs w:val="24"/>
                <w:lang w:eastAsia="en-GB"/>
              </w:rPr>
              <w:t>, flexible</w:t>
            </w:r>
          </w:p>
        </w:tc>
        <w:tc>
          <w:tcPr>
            <w:tcW w:w="0" w:type="auto"/>
            <w:hideMark/>
          </w:tcPr>
          <w:p w14:paraId="5066A73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Buccal and wound films</w:t>
            </w:r>
          </w:p>
        </w:tc>
        <w:tc>
          <w:tcPr>
            <w:tcW w:w="0" w:type="auto"/>
            <w:hideMark/>
          </w:tcPr>
          <w:p w14:paraId="0D28F76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Repka &amp; McGinity (2000)</w:t>
            </w:r>
          </w:p>
        </w:tc>
      </w:tr>
      <w:tr w:rsidR="009F5601" w:rsidRPr="009F5601" w14:paraId="5DCB076C" w14:textId="77777777" w:rsidTr="00456AB7">
        <w:tc>
          <w:tcPr>
            <w:tcW w:w="0" w:type="auto"/>
            <w:hideMark/>
          </w:tcPr>
          <w:p w14:paraId="705C889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Eudragit RL/RS</w:t>
            </w:r>
          </w:p>
        </w:tc>
        <w:tc>
          <w:tcPr>
            <w:tcW w:w="0" w:type="auto"/>
            <w:hideMark/>
          </w:tcPr>
          <w:p w14:paraId="28F18358"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Polymethacrylate</w:t>
            </w:r>
          </w:p>
        </w:tc>
        <w:tc>
          <w:tcPr>
            <w:tcW w:w="0" w:type="auto"/>
            <w:hideMark/>
          </w:tcPr>
          <w:p w14:paraId="5448832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Cationic, pH-independent, tuneable permeability</w:t>
            </w:r>
          </w:p>
        </w:tc>
        <w:tc>
          <w:tcPr>
            <w:tcW w:w="0" w:type="auto"/>
            <w:hideMark/>
          </w:tcPr>
          <w:p w14:paraId="7CDBAA1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 dermal sustained delivery</w:t>
            </w:r>
          </w:p>
        </w:tc>
        <w:tc>
          <w:tcPr>
            <w:tcW w:w="0" w:type="auto"/>
            <w:hideMark/>
          </w:tcPr>
          <w:p w14:paraId="1218D5B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Pawar et al. (2013)</w:t>
            </w:r>
          </w:p>
        </w:tc>
      </w:tr>
      <w:tr w:rsidR="009F5601" w:rsidRPr="009F5601" w14:paraId="134935A5" w14:textId="77777777" w:rsidTr="00456AB7">
        <w:tc>
          <w:tcPr>
            <w:tcW w:w="0" w:type="auto"/>
            <w:hideMark/>
          </w:tcPr>
          <w:p w14:paraId="50E89A7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w:t>
            </w:r>
          </w:p>
        </w:tc>
        <w:tc>
          <w:tcPr>
            <w:tcW w:w="0" w:type="auto"/>
            <w:hideMark/>
          </w:tcPr>
          <w:p w14:paraId="0679C39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Natural biopolymer</w:t>
            </w:r>
          </w:p>
        </w:tc>
        <w:tc>
          <w:tcPr>
            <w:tcW w:w="0" w:type="auto"/>
            <w:hideMark/>
          </w:tcPr>
          <w:p w14:paraId="0850FF8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Cationic, antimicrobial, mucoadhesive, biodegradable</w:t>
            </w:r>
          </w:p>
        </w:tc>
        <w:tc>
          <w:tcPr>
            <w:tcW w:w="0" w:type="auto"/>
            <w:hideMark/>
          </w:tcPr>
          <w:p w14:paraId="2666993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 mucosal delivery</w:t>
            </w:r>
          </w:p>
        </w:tc>
        <w:tc>
          <w:tcPr>
            <w:tcW w:w="0" w:type="auto"/>
            <w:hideMark/>
          </w:tcPr>
          <w:p w14:paraId="4910599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Dash et al. (2011); Hamman (2010)</w:t>
            </w:r>
          </w:p>
        </w:tc>
      </w:tr>
      <w:tr w:rsidR="009F5601" w:rsidRPr="009F5601" w14:paraId="4AE80344" w14:textId="77777777" w:rsidTr="00456AB7">
        <w:tc>
          <w:tcPr>
            <w:tcW w:w="0" w:type="auto"/>
            <w:hideMark/>
          </w:tcPr>
          <w:p w14:paraId="7A9BBB3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Alginate</w:t>
            </w:r>
          </w:p>
        </w:tc>
        <w:tc>
          <w:tcPr>
            <w:tcW w:w="0" w:type="auto"/>
            <w:hideMark/>
          </w:tcPr>
          <w:p w14:paraId="436A9A6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Natural biopolymer</w:t>
            </w:r>
          </w:p>
        </w:tc>
        <w:tc>
          <w:tcPr>
            <w:tcW w:w="0" w:type="auto"/>
            <w:hideMark/>
          </w:tcPr>
          <w:p w14:paraId="6BB3394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Anionic, gelling, exudate-absorbing, biocompatible</w:t>
            </w:r>
          </w:p>
        </w:tc>
        <w:tc>
          <w:tcPr>
            <w:tcW w:w="0" w:type="auto"/>
            <w:hideMark/>
          </w:tcPr>
          <w:p w14:paraId="55A8AE3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dressings, hydrating film sprays</w:t>
            </w:r>
          </w:p>
        </w:tc>
        <w:tc>
          <w:tcPr>
            <w:tcW w:w="0" w:type="auto"/>
            <w:hideMark/>
          </w:tcPr>
          <w:p w14:paraId="4331070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Aderibigbe &amp; Buyana (2018)</w:t>
            </w:r>
          </w:p>
        </w:tc>
      </w:tr>
      <w:tr w:rsidR="009F5601" w:rsidRPr="009F5601" w14:paraId="1F48278C" w14:textId="77777777" w:rsidTr="00456AB7">
        <w:tc>
          <w:tcPr>
            <w:tcW w:w="0" w:type="auto"/>
            <w:hideMark/>
          </w:tcPr>
          <w:p w14:paraId="41D2327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PVA</w:t>
            </w:r>
          </w:p>
        </w:tc>
        <w:tc>
          <w:tcPr>
            <w:tcW w:w="0" w:type="auto"/>
            <w:hideMark/>
          </w:tcPr>
          <w:p w14:paraId="37E745F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w:t>
            </w:r>
          </w:p>
        </w:tc>
        <w:tc>
          <w:tcPr>
            <w:tcW w:w="0" w:type="auto"/>
            <w:hideMark/>
          </w:tcPr>
          <w:p w14:paraId="3E72FD4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Biocompatible, film-forming, hydrophilic, cross-linkable</w:t>
            </w:r>
          </w:p>
        </w:tc>
        <w:tc>
          <w:tcPr>
            <w:tcW w:w="0" w:type="auto"/>
            <w:hideMark/>
          </w:tcPr>
          <w:p w14:paraId="5C6C492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films, hydrogel formulations</w:t>
            </w:r>
          </w:p>
        </w:tc>
        <w:tc>
          <w:tcPr>
            <w:tcW w:w="0" w:type="auto"/>
            <w:hideMark/>
          </w:tcPr>
          <w:p w14:paraId="413EBF9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Kamoun et al. (2017);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w:t>
            </w:r>
          </w:p>
        </w:tc>
      </w:tr>
      <w:tr w:rsidR="009F5601" w:rsidRPr="009F5601" w14:paraId="297E9725" w14:textId="77777777" w:rsidTr="00456AB7">
        <w:tc>
          <w:tcPr>
            <w:tcW w:w="0" w:type="auto"/>
            <w:hideMark/>
          </w:tcPr>
          <w:p w14:paraId="2E21E1B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PLGA</w:t>
            </w:r>
          </w:p>
        </w:tc>
        <w:tc>
          <w:tcPr>
            <w:tcW w:w="0" w:type="auto"/>
            <w:hideMark/>
          </w:tcPr>
          <w:p w14:paraId="64DD7B6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 biodegradable</w:t>
            </w:r>
          </w:p>
        </w:tc>
        <w:tc>
          <w:tcPr>
            <w:tcW w:w="0" w:type="auto"/>
            <w:hideMark/>
          </w:tcPr>
          <w:p w14:paraId="1FD5032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Biodegradable, biocompatible, adjustable degradation rate</w:t>
            </w:r>
          </w:p>
        </w:tc>
        <w:tc>
          <w:tcPr>
            <w:tcW w:w="0" w:type="auto"/>
            <w:hideMark/>
          </w:tcPr>
          <w:p w14:paraId="49E6C0F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Nanoparticle carrier in wound and dermal films</w:t>
            </w:r>
          </w:p>
        </w:tc>
        <w:tc>
          <w:tcPr>
            <w:tcW w:w="0" w:type="auto"/>
            <w:hideMark/>
          </w:tcPr>
          <w:p w14:paraId="3486913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Makadia &amp; Siegel (2011)</w:t>
            </w:r>
          </w:p>
        </w:tc>
      </w:tr>
      <w:tr w:rsidR="009F5601" w:rsidRPr="009F5601" w14:paraId="12A6D264" w14:textId="77777777" w:rsidTr="00456AB7">
        <w:tc>
          <w:tcPr>
            <w:tcW w:w="0" w:type="auto"/>
            <w:hideMark/>
          </w:tcPr>
          <w:p w14:paraId="787932F1"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lastRenderedPageBreak/>
              <w:t>Thermoresponsive</w:t>
            </w:r>
            <w:proofErr w:type="spellEnd"/>
            <w:r w:rsidRPr="009F5601">
              <w:rPr>
                <w:rFonts w:ascii="Times New Roman" w:eastAsia="Times New Roman" w:hAnsi="Times New Roman" w:cs="Times New Roman"/>
                <w:sz w:val="24"/>
                <w:szCs w:val="24"/>
                <w:lang w:eastAsia="en-GB"/>
              </w:rPr>
              <w:t xml:space="preserve"> copolymers</w:t>
            </w:r>
          </w:p>
        </w:tc>
        <w:tc>
          <w:tcPr>
            <w:tcW w:w="0" w:type="auto"/>
            <w:hideMark/>
          </w:tcPr>
          <w:p w14:paraId="5CA432D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Synthetic smart polymers</w:t>
            </w:r>
          </w:p>
        </w:tc>
        <w:tc>
          <w:tcPr>
            <w:tcW w:w="0" w:type="auto"/>
            <w:hideMark/>
          </w:tcPr>
          <w:p w14:paraId="223F8CDF"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LCST-triggered gelation near skin temperature</w:t>
            </w:r>
          </w:p>
        </w:tc>
        <w:tc>
          <w:tcPr>
            <w:tcW w:w="0" w:type="auto"/>
            <w:hideMark/>
          </w:tcPr>
          <w:p w14:paraId="7B0BF8E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Emerging/research stage</w:t>
            </w:r>
          </w:p>
        </w:tc>
        <w:tc>
          <w:tcPr>
            <w:tcW w:w="0" w:type="auto"/>
            <w:hideMark/>
          </w:tcPr>
          <w:p w14:paraId="155901C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Ward &amp; Georgiou (2011)</w:t>
            </w:r>
          </w:p>
        </w:tc>
      </w:tr>
    </w:tbl>
    <w:p w14:paraId="24E213A8"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Note: HPMC = hydroxypropyl methylcellulose; HPC = hydroxypropyl cellulose; PVA = polyvinyl alcohol;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LCST = lower critical solution temperature; EC = ethyl cellulose.</w:t>
      </w:r>
    </w:p>
    <w:p w14:paraId="1018D8E5"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Siepmann &amp; Peppas (2001); Repka &amp; McGinity (2000); Siepmann, F. et al. (2008); Pawar et al. (2013); Dash et al. (2011); Hamman (2010); Aderibigbe &amp; Buyana (2018); Kamoun et al. (2017); </w:t>
      </w:r>
      <w:proofErr w:type="spellStart"/>
      <w:r w:rsidRPr="009F5601">
        <w:rPr>
          <w:rFonts w:ascii="Times New Roman" w:eastAsia="Times New Roman" w:hAnsi="Times New Roman" w:cs="Times New Roman"/>
          <w:i/>
          <w:iCs/>
          <w:sz w:val="24"/>
          <w:szCs w:val="24"/>
          <w:lang w:eastAsia="en-GB"/>
        </w:rPr>
        <w:t>DeMerlis</w:t>
      </w:r>
      <w:proofErr w:type="spellEnd"/>
      <w:r w:rsidRPr="009F5601">
        <w:rPr>
          <w:rFonts w:ascii="Times New Roman" w:eastAsia="Times New Roman" w:hAnsi="Times New Roman" w:cs="Times New Roman"/>
          <w:i/>
          <w:iCs/>
          <w:sz w:val="24"/>
          <w:szCs w:val="24"/>
          <w:lang w:eastAsia="en-GB"/>
        </w:rPr>
        <w:t xml:space="preserve"> &amp; </w:t>
      </w:r>
      <w:proofErr w:type="spellStart"/>
      <w:r w:rsidRPr="009F5601">
        <w:rPr>
          <w:rFonts w:ascii="Times New Roman" w:eastAsia="Times New Roman" w:hAnsi="Times New Roman" w:cs="Times New Roman"/>
          <w:i/>
          <w:iCs/>
          <w:sz w:val="24"/>
          <w:szCs w:val="24"/>
          <w:lang w:eastAsia="en-GB"/>
        </w:rPr>
        <w:t>Schoneker</w:t>
      </w:r>
      <w:proofErr w:type="spellEnd"/>
      <w:r w:rsidRPr="009F5601">
        <w:rPr>
          <w:rFonts w:ascii="Times New Roman" w:eastAsia="Times New Roman" w:hAnsi="Times New Roman" w:cs="Times New Roman"/>
          <w:i/>
          <w:iCs/>
          <w:sz w:val="24"/>
          <w:szCs w:val="24"/>
          <w:lang w:eastAsia="en-GB"/>
        </w:rPr>
        <w:t xml:space="preserve"> (2003); Makadia &amp; Siegel (2011); Ward &amp; Georgiou (2011); Vieira et al. (2011); Hoare &amp; </w:t>
      </w:r>
      <w:proofErr w:type="spellStart"/>
      <w:r w:rsidRPr="009F5601">
        <w:rPr>
          <w:rFonts w:ascii="Times New Roman" w:eastAsia="Times New Roman" w:hAnsi="Times New Roman" w:cs="Times New Roman"/>
          <w:i/>
          <w:iCs/>
          <w:sz w:val="24"/>
          <w:szCs w:val="24"/>
          <w:lang w:eastAsia="en-GB"/>
        </w:rPr>
        <w:t>Kohane</w:t>
      </w:r>
      <w:proofErr w:type="spellEnd"/>
      <w:r w:rsidRPr="009F5601">
        <w:rPr>
          <w:rFonts w:ascii="Times New Roman" w:eastAsia="Times New Roman" w:hAnsi="Times New Roman" w:cs="Times New Roman"/>
          <w:i/>
          <w:iCs/>
          <w:sz w:val="24"/>
          <w:szCs w:val="24"/>
          <w:lang w:eastAsia="en-GB"/>
        </w:rPr>
        <w:t xml:space="preserve"> (2008).</w:t>
      </w:r>
    </w:p>
    <w:p w14:paraId="244579E6"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18622295"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5. Drug Incorporation and Release Mechanisms</w:t>
      </w:r>
    </w:p>
    <w:p w14:paraId="07D5602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5.1 Drug Solubilisation and Loading Strategies</w:t>
      </w:r>
    </w:p>
    <w:p w14:paraId="1FD7AB71"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Effective drug loading within FFS requires the API to be stably incorporated into the spray solution and to remain uniformly distributed within the film matrix following solvent evaporation. For drugs with adequate solubility in the chosen solvent system, homogeneous molecular dissolution is readily achieved, and the resultant film represents a solid dispersion of the drug within the polymer. However, a substantial proportion of pharmacologically active molecules of current clinical interest exhibit poor solubility in the aqueous or hydroalcoholic vehicles commonly employed in FFS, necessitating co-solvents, surfactants, complexation agents, or nanocarrier systems to achieve adequate drug loading (Williams &amp; Barry, 2004).</w:t>
      </w:r>
    </w:p>
    <w:p w14:paraId="2FD8C2A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Co-solvents—principally propylene glycol, polyethylene glycol 400, and ethanol—improve drug solubility in hydroalcoholic FFS vehicles whilst simultaneously contributing to skin barrier perturbation that augments penetration of the co-dissolved drug (Barry, 2001). The penetration-enhancing activity of chemical agents has been characterised systematically: a high-throughput study demonstrated that the efficacy and skin tolerability of chemical penetration enhancers are jointly governed by lipophilicity, hydrogen bonding capacity, and molecular geometry, providing design principles applicable to FFS excipient selection (</w:t>
      </w:r>
      <w:proofErr w:type="spellStart"/>
      <w:r w:rsidRPr="009F5601">
        <w:rPr>
          <w:rFonts w:ascii="Times New Roman" w:eastAsia="Times New Roman" w:hAnsi="Times New Roman" w:cs="Times New Roman"/>
          <w:sz w:val="24"/>
          <w:szCs w:val="24"/>
          <w:lang w:eastAsia="en-GB"/>
        </w:rPr>
        <w:t>Karande</w:t>
      </w:r>
      <w:proofErr w:type="spellEnd"/>
      <w:r w:rsidRPr="009F5601">
        <w:rPr>
          <w:rFonts w:ascii="Times New Roman" w:eastAsia="Times New Roman" w:hAnsi="Times New Roman" w:cs="Times New Roman"/>
          <w:sz w:val="24"/>
          <w:szCs w:val="24"/>
          <w:lang w:eastAsia="en-GB"/>
        </w:rPr>
        <w:t xml:space="preserve"> et al., 2005). Pharmaceutical-grade surfactants such as polysorbate 80, lecithin, and poloxamers are incorporated in FFS formulations to improve drug wettability and may facilitate </w:t>
      </w:r>
      <w:proofErr w:type="spellStart"/>
      <w:r w:rsidRPr="009F5601">
        <w:rPr>
          <w:rFonts w:ascii="Times New Roman" w:eastAsia="Times New Roman" w:hAnsi="Times New Roman" w:cs="Times New Roman"/>
          <w:sz w:val="24"/>
          <w:szCs w:val="24"/>
          <w:lang w:eastAsia="en-GB"/>
        </w:rPr>
        <w:t>nanocolloid</w:t>
      </w:r>
      <w:proofErr w:type="spellEnd"/>
      <w:r w:rsidRPr="009F5601">
        <w:rPr>
          <w:rFonts w:ascii="Times New Roman" w:eastAsia="Times New Roman" w:hAnsi="Times New Roman" w:cs="Times New Roman"/>
          <w:sz w:val="24"/>
          <w:szCs w:val="24"/>
          <w:lang w:eastAsia="en-GB"/>
        </w:rPr>
        <w:t xml:space="preserve"> formation, contributing to both drug stability and penetration-enhancing performance (Williams &amp; Barry, 2004). For drugs that cannot be adequately incorporated by solution approaches alone, nanocarrier encapsulation—discussed in Section 5.3—provides a powerful alternative that delivers drug loading, physical stability, and modified release within a single formulation strategy.</w:t>
      </w:r>
    </w:p>
    <w:p w14:paraId="29B047C7"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5.2 Controlled and Sustained Release from Film Matrices</w:t>
      </w:r>
    </w:p>
    <w:p w14:paraId="6ABE5F3A"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Drug release from polymeric film matrices is governed by a combination of diffusion, swelling, erosion, and drug–polymer interaction phenomena whose relative contributions </w:t>
      </w:r>
      <w:r w:rsidRPr="009F5601">
        <w:rPr>
          <w:rFonts w:ascii="Times New Roman" w:eastAsia="Times New Roman" w:hAnsi="Times New Roman" w:cs="Times New Roman"/>
          <w:sz w:val="24"/>
          <w:szCs w:val="24"/>
          <w:lang w:eastAsia="en-GB"/>
        </w:rPr>
        <w:lastRenderedPageBreak/>
        <w:t xml:space="preserve">depend on the nature of the polymer and the physicochemical properties of the drug. In non-swelling, non-eroding hydrophobic films such as ethyl cellulose, drug transport follows a predominantly </w:t>
      </w: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mechanism in which flux is proportional to the drug concentration gradient and inversely proportional to film thickness (Siepmann &amp; Peppas, 2001). The Ritger–Peppas power law model remains the most widely applied empirical framework for characterising the operative transport mechanism in polymeric film systems by analysis of the release exponent (Ritger &amp; Peppas, 1987), whilst the similarity factor approach proposed by Costa and Lobo (2001) provides a complementary statistical tool for comparing dissolution profiles across formulations in regulatory and development contexts.</w:t>
      </w:r>
    </w:p>
    <w:p w14:paraId="24582E48"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In hydrophilic polymer matrices such as HPMC, water ingress induces polymer chain relaxation and swelling, generating a gel layer at the film–medium interface through which drug diffuses by a mechanism with both </w:t>
      </w: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and anomalous (relaxation-controlled) components. This swelling-controlled transport can yield near-zero-order release profiles, a highly desirable attribute for sustained local drug action. The polymer blend composition in EC/HPMC hybrid films is a powerful design variable: systematic variation of the hydrophilic-to-hydrophobic polymer ratio modulates the pore structure, water uptake, and drug diffusivity of the film in a predictable manner (Siepmann, F. et al., 2008). Erosion-controlled release, operative in biodegradable polymer systems such as PLGA, provides a distinct and appealing mechanism for wound care FFS in which the rate of drug release is conceptually coupled to the rate of film degradation and hence to the pace of wound healing (Makadia &amp; Siegel, 2011). Drug crystallisation within the polymer matrix—which can occur during storage or upon solvent evaporation and dramatically alter the release profile—must be characterised by appropriate solid-state analytical methods, particularly for poorly soluble drugs prone to nucleation within the amorphous matrix (</w:t>
      </w:r>
      <w:proofErr w:type="spellStart"/>
      <w:r w:rsidRPr="009F5601">
        <w:rPr>
          <w:rFonts w:ascii="Times New Roman" w:eastAsia="Times New Roman" w:hAnsi="Times New Roman" w:cs="Times New Roman"/>
          <w:sz w:val="24"/>
          <w:szCs w:val="24"/>
          <w:lang w:eastAsia="en-GB"/>
        </w:rPr>
        <w:t>Hadgraft</w:t>
      </w:r>
      <w:proofErr w:type="spellEnd"/>
      <w:r w:rsidRPr="009F5601">
        <w:rPr>
          <w:rFonts w:ascii="Times New Roman" w:eastAsia="Times New Roman" w:hAnsi="Times New Roman" w:cs="Times New Roman"/>
          <w:sz w:val="24"/>
          <w:szCs w:val="24"/>
          <w:lang w:eastAsia="en-GB"/>
        </w:rPr>
        <w:t xml:space="preserve"> &amp; Lane, 2016).</w:t>
      </w:r>
    </w:p>
    <w:p w14:paraId="65F43D72"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5.3 Carrier-Mediated Delivery Within FFS</w:t>
      </w:r>
    </w:p>
    <w:p w14:paraId="65E62E9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embedding of vesicular and lipid-based nanocarriers within FFS matrices introduces an additional level of control over drug release, since drug must first be liberated from its nanocarrier before diffusing through the polymeric film and subsequently into the biological tissue. Liposomes incorporated within film matrices provide a biphasic release profile characterised by a rapid initial phase from free drug in the film and a slower, sustained phase as drug is progressively released from the vesicular bilayer (Allen &amp; Cullis, 2013).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—phospholipid vesicles containing ethanol at high concentrations—penetrate skin lipid bilayers more effectively than conventional liposomes owing to their higher membrane fluidity; Touitou et al. (2000) demonstrated that these vesicular carriers achieve markedly superior skin penetration compared to their conventional liposomal counterparts, making them attractive candidates for incorporation within FFS matrices to augment dermal drug delivery. Solid lipid nanoparticles (SLNs) suspended within FFS matrices confer a sustained release character attributable to the additional diffusion barrier presented by the crystalline lipid core, and their natural affinity for skin lipids promotes dermal penetration and follicular uptake (Müller et al., 2000). Nanostructured lipid carriers (NLCs), in which a liquid lipid component within the solid matrix reduces crystallinity and thereby minimises drug expulsion during storage, have emerged as a preferred lipid nanoparticle platform for FFS integration, combining delivery-enhancing properties with superior physical stability over SLNs (Pardeike et al., 2009). Polymeric PLGA nanoparticles embedded within wound care film matrices provide biodegradable drug depots whose slow hydrolytic erosion enables release of antimicrobial or anti-inflammatory agents over extended timescales aligned with wound repair processes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Table 2 provides a structured summary of </w:t>
      </w:r>
      <w:r w:rsidRPr="009F5601">
        <w:rPr>
          <w:rFonts w:ascii="Times New Roman" w:eastAsia="Times New Roman" w:hAnsi="Times New Roman" w:cs="Times New Roman"/>
          <w:sz w:val="24"/>
          <w:szCs w:val="24"/>
          <w:lang w:eastAsia="en-GB"/>
        </w:rPr>
        <w:lastRenderedPageBreak/>
        <w:t>the principal release mechanisms operative in FFS, their polymer associations, and key governing parameters.</w:t>
      </w:r>
    </w:p>
    <w:p w14:paraId="4A95E0BF"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72DBD85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2. Drug release mechanisms in film-forming spray systems</w:t>
      </w:r>
    </w:p>
    <w:tbl>
      <w:tblPr>
        <w:tblStyle w:val="TableGrid"/>
        <w:tblW w:w="0" w:type="auto"/>
        <w:tblLook w:val="04A0" w:firstRow="1" w:lastRow="0" w:firstColumn="1" w:lastColumn="0" w:noHBand="0" w:noVBand="1"/>
      </w:tblPr>
      <w:tblGrid>
        <w:gridCol w:w="2073"/>
        <w:gridCol w:w="1641"/>
        <w:gridCol w:w="1260"/>
        <w:gridCol w:w="1431"/>
        <w:gridCol w:w="1552"/>
        <w:gridCol w:w="1285"/>
      </w:tblGrid>
      <w:tr w:rsidR="009F5601" w:rsidRPr="009F5601" w14:paraId="743FFB0C" w14:textId="77777777" w:rsidTr="00456AB7">
        <w:tc>
          <w:tcPr>
            <w:tcW w:w="0" w:type="auto"/>
            <w:hideMark/>
          </w:tcPr>
          <w:p w14:paraId="7706D94B"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Mechanism</w:t>
            </w:r>
          </w:p>
        </w:tc>
        <w:tc>
          <w:tcPr>
            <w:tcW w:w="0" w:type="auto"/>
            <w:hideMark/>
          </w:tcPr>
          <w:p w14:paraId="5CCAF6E0"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Operative Conditions</w:t>
            </w:r>
          </w:p>
        </w:tc>
        <w:tc>
          <w:tcPr>
            <w:tcW w:w="0" w:type="auto"/>
            <w:hideMark/>
          </w:tcPr>
          <w:p w14:paraId="716DC71D"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Associated Polymer Systems</w:t>
            </w:r>
          </w:p>
        </w:tc>
        <w:tc>
          <w:tcPr>
            <w:tcW w:w="0" w:type="auto"/>
            <w:hideMark/>
          </w:tcPr>
          <w:p w14:paraId="1B7C9847"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Achievable Release Profile</w:t>
            </w:r>
          </w:p>
        </w:tc>
        <w:tc>
          <w:tcPr>
            <w:tcW w:w="0" w:type="auto"/>
            <w:hideMark/>
          </w:tcPr>
          <w:p w14:paraId="15EA8F46"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Determinants</w:t>
            </w:r>
          </w:p>
        </w:tc>
        <w:tc>
          <w:tcPr>
            <w:tcW w:w="0" w:type="auto"/>
            <w:hideMark/>
          </w:tcPr>
          <w:p w14:paraId="62871BBD"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References</w:t>
            </w:r>
          </w:p>
        </w:tc>
      </w:tr>
      <w:tr w:rsidR="009F5601" w:rsidRPr="009F5601" w14:paraId="1F6E415F" w14:textId="77777777" w:rsidTr="00456AB7">
        <w:tc>
          <w:tcPr>
            <w:tcW w:w="0" w:type="auto"/>
            <w:hideMark/>
          </w:tcPr>
          <w:p w14:paraId="558EEFF2"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Fickian</w:t>
            </w:r>
            <w:proofErr w:type="spellEnd"/>
            <w:r w:rsidRPr="009F5601">
              <w:rPr>
                <w:rFonts w:ascii="Times New Roman" w:eastAsia="Times New Roman" w:hAnsi="Times New Roman" w:cs="Times New Roman"/>
                <w:sz w:val="24"/>
                <w:szCs w:val="24"/>
                <w:lang w:eastAsia="en-GB"/>
              </w:rPr>
              <w:t xml:space="preserve"> diffusion</w:t>
            </w:r>
          </w:p>
        </w:tc>
        <w:tc>
          <w:tcPr>
            <w:tcW w:w="0" w:type="auto"/>
            <w:hideMark/>
          </w:tcPr>
          <w:p w14:paraId="6798090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Non-swelling, non-eroding film</w:t>
            </w:r>
          </w:p>
        </w:tc>
        <w:tc>
          <w:tcPr>
            <w:tcW w:w="0" w:type="auto"/>
            <w:hideMark/>
          </w:tcPr>
          <w:p w14:paraId="4E9F43E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EC, Eudragit RS</w:t>
            </w:r>
          </w:p>
        </w:tc>
        <w:tc>
          <w:tcPr>
            <w:tcW w:w="0" w:type="auto"/>
            <w:hideMark/>
          </w:tcPr>
          <w:p w14:paraId="4EFC15F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Square-root time dependence</w:t>
            </w:r>
          </w:p>
        </w:tc>
        <w:tc>
          <w:tcPr>
            <w:tcW w:w="0" w:type="auto"/>
            <w:hideMark/>
          </w:tcPr>
          <w:p w14:paraId="37E4391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 thickness, drug diffusivity</w:t>
            </w:r>
          </w:p>
        </w:tc>
        <w:tc>
          <w:tcPr>
            <w:tcW w:w="0" w:type="auto"/>
            <w:hideMark/>
          </w:tcPr>
          <w:p w14:paraId="496E16D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 Ritger &amp; Peppas (1987)</w:t>
            </w:r>
          </w:p>
        </w:tc>
      </w:tr>
      <w:tr w:rsidR="009F5601" w:rsidRPr="009F5601" w14:paraId="0F26DD44" w14:textId="77777777" w:rsidTr="00456AB7">
        <w:tc>
          <w:tcPr>
            <w:tcW w:w="0" w:type="auto"/>
            <w:hideMark/>
          </w:tcPr>
          <w:p w14:paraId="63CE8D2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Swelling-controlled diffusion</w:t>
            </w:r>
          </w:p>
        </w:tc>
        <w:tc>
          <w:tcPr>
            <w:tcW w:w="0" w:type="auto"/>
            <w:hideMark/>
          </w:tcPr>
          <w:p w14:paraId="0609575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Water ingress, polymer chain relaxation</w:t>
            </w:r>
          </w:p>
        </w:tc>
        <w:tc>
          <w:tcPr>
            <w:tcW w:w="0" w:type="auto"/>
            <w:hideMark/>
          </w:tcPr>
          <w:p w14:paraId="2F67DC4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HPC, PVA</w:t>
            </w:r>
          </w:p>
        </w:tc>
        <w:tc>
          <w:tcPr>
            <w:tcW w:w="0" w:type="auto"/>
            <w:hideMark/>
          </w:tcPr>
          <w:p w14:paraId="3E7B44F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near-zero-order possible</w:t>
            </w:r>
          </w:p>
        </w:tc>
        <w:tc>
          <w:tcPr>
            <w:tcW w:w="0" w:type="auto"/>
            <w:hideMark/>
          </w:tcPr>
          <w:p w14:paraId="1A10E2F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 grade, plasticiser, hydration rate</w:t>
            </w:r>
          </w:p>
        </w:tc>
        <w:tc>
          <w:tcPr>
            <w:tcW w:w="0" w:type="auto"/>
            <w:hideMark/>
          </w:tcPr>
          <w:p w14:paraId="14E0CD0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&amp; Peppas (2001)</w:t>
            </w:r>
          </w:p>
        </w:tc>
      </w:tr>
      <w:tr w:rsidR="009F5601" w:rsidRPr="009F5601" w14:paraId="57AA7726" w14:textId="77777777" w:rsidTr="00456AB7">
        <w:tc>
          <w:tcPr>
            <w:tcW w:w="0" w:type="auto"/>
            <w:hideMark/>
          </w:tcPr>
          <w:p w14:paraId="61032B0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Erosion/degradation</w:t>
            </w:r>
          </w:p>
        </w:tc>
        <w:tc>
          <w:tcPr>
            <w:tcW w:w="0" w:type="auto"/>
            <w:hideMark/>
          </w:tcPr>
          <w:p w14:paraId="5195B32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Hydrolytic or enzymatic polymer breakdown</w:t>
            </w:r>
          </w:p>
        </w:tc>
        <w:tc>
          <w:tcPr>
            <w:tcW w:w="0" w:type="auto"/>
            <w:hideMark/>
          </w:tcPr>
          <w:p w14:paraId="7705FD2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PLGA, alginate, chitosan</w:t>
            </w:r>
          </w:p>
        </w:tc>
        <w:tc>
          <w:tcPr>
            <w:tcW w:w="0" w:type="auto"/>
            <w:hideMark/>
          </w:tcPr>
          <w:p w14:paraId="3BCDF79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Sustained; coupled to degradation rate</w:t>
            </w:r>
          </w:p>
        </w:tc>
        <w:tc>
          <w:tcPr>
            <w:tcW w:w="0" w:type="auto"/>
            <w:hideMark/>
          </w:tcPr>
          <w:p w14:paraId="67A14DA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Molecular weight, copolymer composition</w:t>
            </w:r>
          </w:p>
        </w:tc>
        <w:tc>
          <w:tcPr>
            <w:tcW w:w="0" w:type="auto"/>
            <w:hideMark/>
          </w:tcPr>
          <w:p w14:paraId="322BDC2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Makadia &amp; Siegel (2011); Costa &amp; Lobo (2001)</w:t>
            </w:r>
          </w:p>
        </w:tc>
      </w:tr>
      <w:tr w:rsidR="009F5601" w:rsidRPr="009F5601" w14:paraId="6D104CB9" w14:textId="77777777" w:rsidTr="00456AB7">
        <w:tc>
          <w:tcPr>
            <w:tcW w:w="0" w:type="auto"/>
            <w:hideMark/>
          </w:tcPr>
          <w:p w14:paraId="41A9CD9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Anomalous (combined)</w:t>
            </w:r>
          </w:p>
        </w:tc>
        <w:tc>
          <w:tcPr>
            <w:tcW w:w="0" w:type="auto"/>
            <w:hideMark/>
          </w:tcPr>
          <w:p w14:paraId="2A41CD9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Simultaneous diffusion and relaxation</w:t>
            </w:r>
          </w:p>
        </w:tc>
        <w:tc>
          <w:tcPr>
            <w:tcW w:w="0" w:type="auto"/>
            <w:hideMark/>
          </w:tcPr>
          <w:p w14:paraId="3978CD4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HPMC/EC blends</w:t>
            </w:r>
          </w:p>
        </w:tc>
        <w:tc>
          <w:tcPr>
            <w:tcW w:w="0" w:type="auto"/>
            <w:hideMark/>
          </w:tcPr>
          <w:p w14:paraId="6A6727A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Intermediate, formulation-dependent</w:t>
            </w:r>
          </w:p>
        </w:tc>
        <w:tc>
          <w:tcPr>
            <w:tcW w:w="0" w:type="auto"/>
            <w:hideMark/>
          </w:tcPr>
          <w:p w14:paraId="126A1BB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 ratio, drug loading</w:t>
            </w:r>
          </w:p>
        </w:tc>
        <w:tc>
          <w:tcPr>
            <w:tcW w:w="0" w:type="auto"/>
            <w:hideMark/>
          </w:tcPr>
          <w:p w14:paraId="0BB6561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Siepmann, F. et al. (2008)</w:t>
            </w:r>
          </w:p>
        </w:tc>
      </w:tr>
      <w:tr w:rsidR="009F5601" w:rsidRPr="009F5601" w14:paraId="46FB313A" w14:textId="77777777" w:rsidTr="00456AB7">
        <w:tc>
          <w:tcPr>
            <w:tcW w:w="0" w:type="auto"/>
            <w:hideMark/>
          </w:tcPr>
          <w:p w14:paraId="255C35C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Liposomal carrier-mediated</w:t>
            </w:r>
          </w:p>
        </w:tc>
        <w:tc>
          <w:tcPr>
            <w:tcW w:w="0" w:type="auto"/>
            <w:hideMark/>
          </w:tcPr>
          <w:p w14:paraId="5D88657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Drug in vesicle bilayers, biphasic release</w:t>
            </w:r>
          </w:p>
        </w:tc>
        <w:tc>
          <w:tcPr>
            <w:tcW w:w="0" w:type="auto"/>
            <w:hideMark/>
          </w:tcPr>
          <w:p w14:paraId="54A9735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Liposome-loaded FFS</w:t>
            </w:r>
          </w:p>
        </w:tc>
        <w:tc>
          <w:tcPr>
            <w:tcW w:w="0" w:type="auto"/>
            <w:hideMark/>
          </w:tcPr>
          <w:p w14:paraId="03BA22F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Initial burst followed by sustained phase</w:t>
            </w:r>
          </w:p>
        </w:tc>
        <w:tc>
          <w:tcPr>
            <w:tcW w:w="0" w:type="auto"/>
            <w:hideMark/>
          </w:tcPr>
          <w:p w14:paraId="16DC92E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Vesicle size, lipid composition</w:t>
            </w:r>
          </w:p>
        </w:tc>
        <w:tc>
          <w:tcPr>
            <w:tcW w:w="0" w:type="auto"/>
            <w:hideMark/>
          </w:tcPr>
          <w:p w14:paraId="26FCB01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Allen &amp; Cullis (2013)</w:t>
            </w:r>
          </w:p>
        </w:tc>
      </w:tr>
      <w:tr w:rsidR="009F5601" w:rsidRPr="009F5601" w14:paraId="6B08CE7D" w14:textId="77777777" w:rsidTr="00456AB7">
        <w:tc>
          <w:tcPr>
            <w:tcW w:w="0" w:type="auto"/>
            <w:hideMark/>
          </w:tcPr>
          <w:p w14:paraId="2D9C48A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Lipid nanoparticle-mediated</w:t>
            </w:r>
          </w:p>
        </w:tc>
        <w:tc>
          <w:tcPr>
            <w:tcW w:w="0" w:type="auto"/>
            <w:hideMark/>
          </w:tcPr>
          <w:p w14:paraId="5F9AF1B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Drug diffusion through solid/structured lipid</w:t>
            </w:r>
          </w:p>
        </w:tc>
        <w:tc>
          <w:tcPr>
            <w:tcW w:w="0" w:type="auto"/>
            <w:hideMark/>
          </w:tcPr>
          <w:p w14:paraId="5637361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SLN/NLC-loaded FFS</w:t>
            </w:r>
          </w:p>
        </w:tc>
        <w:tc>
          <w:tcPr>
            <w:tcW w:w="0" w:type="auto"/>
            <w:hideMark/>
          </w:tcPr>
          <w:p w14:paraId="1F2411C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reduced burst effect</w:t>
            </w:r>
          </w:p>
        </w:tc>
        <w:tc>
          <w:tcPr>
            <w:tcW w:w="0" w:type="auto"/>
            <w:hideMark/>
          </w:tcPr>
          <w:p w14:paraId="45CB33A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Lipid crystallinity, drug–lipid solubility</w:t>
            </w:r>
          </w:p>
        </w:tc>
        <w:tc>
          <w:tcPr>
            <w:tcW w:w="0" w:type="auto"/>
            <w:hideMark/>
          </w:tcPr>
          <w:p w14:paraId="1F8922C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Müller et al. (2000); Pardeike et al. (2009)</w:t>
            </w:r>
          </w:p>
        </w:tc>
      </w:tr>
    </w:tbl>
    <w:p w14:paraId="4BE67E35"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Note: EC = ethyl cellulose; HPMC = hydroxypropyl methylcellulose; HPC = hydroxypropyl cellulose; PVA = polyvinyl alcohol;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SLN = solid lipid nanoparticles; NLC = nanostructured lipid carriers.</w:t>
      </w:r>
    </w:p>
    <w:p w14:paraId="6484873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Sources: Siepmann &amp; Peppas (2001); Ritger &amp; Peppas (1987); Makadia &amp; Siegel (2011); Costa &amp; Lobo (2001); Siepmann, F. et al. (2008); Allen &amp; Cullis (2013); Müller et al. (2000); Pardeike et al. (2009).</w:t>
      </w:r>
    </w:p>
    <w:p w14:paraId="4B43A876"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7DA29726"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6. Therapeutic Applications</w:t>
      </w:r>
    </w:p>
    <w:p w14:paraId="618D764D"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6.1 Wound Care and Skin Regeneration</w:t>
      </w:r>
    </w:p>
    <w:p w14:paraId="0B005E96"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management represents the most mature and extensively studied application domain for FFS technology. The wound surface presents a heterogeneous, geometrically complex, and biologically dynamic environment to which conventional solid wound dressings may be difficult to apply in uniform, intimate contact (Boateng et al., 2008). Film-forming sprays circumvent these practical difficulties: being liquid at the point of application, they conform to any wound geometry and, once the film has formed, provide the protective, moisture-maintaining, and drug-delivery functions expected of an advanced wound dressing whilst remaining thin, translucent, and generally more comfortable for the patient than bulky conventional formats (Boateng &amp; Catanzano, 2015).</w:t>
      </w:r>
    </w:p>
    <w:p w14:paraId="2839689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biological objectives of a wound care FFS typically encompass several concurrent goals. The creation of a moist healing environment facilitates keratinocyte migration and collagen synthesis throughout the proliferative phase of healing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 Delivery of antimicrobial agents to the wound surface reduces bacterial burden, and the management of biofilm—structurally organised communities of bacteria embedded in exopolysaccharide matrices that exhibit profound tolerance to antibiotics—is a particular clinical imperative in chronic wound management (Percival et al., 2015). The study by Pawar et al. (2013) characterised an HPMC/Eudragit RL100 film-forming spray loaded with ciprofloxacin that formed flexible, adherent films with sustained antimicrobial release, demonstrating the principle of polymer blending as a strategy for simultaneously optimising film mechanics, drug release, and adhesive performance.</w:t>
      </w:r>
    </w:p>
    <w:p w14:paraId="3D6D9F3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Chitosan-based wound care FFS contribute intrinsic antimicrobial activity alongside their structural film-forming function, whilst also promoting haemostasis and stimulating macrophage activation during the inflammatory phase of repair (Dash et al., 2011). Alginate-containing FFS provide exudate management alongside drug delivery; the hydrophilic polysaccharide absorbs excess wound fluid, transitioning the film from a passive barrier into a dynamic, responsive dressing (Aderibigbe &amp; Buyana, 2018). Growing ambition to incorporate growth factors, antimicrobial peptides, and other bioactive molecules within FFS reflects aspirations for next-generation wound care platforms that actively orchestrate the cellular and molecular machinery of repair rather than merely delivering conventional pharmaceutical agents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w:t>
      </w:r>
    </w:p>
    <w:p w14:paraId="31815287"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6.2 Dermatological Applications</w:t>
      </w:r>
    </w:p>
    <w:p w14:paraId="4947C73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management of chronic and recalcitrant dermatological conditions—psoriasis, atopic dermatitis, lichen planus, acne vulgaris, and tinea pedis, among others—represents a substantial clinical opportunity for FFS technology. The drawbacks of conventional topical corticosteroids and immunomodulators are well recognised: ointments and creams impose an unpleasant or cosmetically unacceptable texture when applied to large body surface areas, and patient non-adherence to prescribed topical regimens is a pervasive problem that substantially limits real-world treatment effectiveness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 Film-forming sprays, which deposit a thin, non-greasy, and frequently imperceptible film, offer an </w:t>
      </w:r>
      <w:r w:rsidRPr="009F5601">
        <w:rPr>
          <w:rFonts w:ascii="Times New Roman" w:eastAsia="Times New Roman" w:hAnsi="Times New Roman" w:cs="Times New Roman"/>
          <w:sz w:val="24"/>
          <w:szCs w:val="24"/>
          <w:lang w:eastAsia="en-GB"/>
        </w:rPr>
        <w:lastRenderedPageBreak/>
        <w:t>aesthetically more acceptable format that may materially improve adherence without compromising drug exposure.</w:t>
      </w:r>
    </w:p>
    <w:p w14:paraId="61B1FEA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occlusive properties of the film, by reducing </w:t>
      </w:r>
      <w:proofErr w:type="spellStart"/>
      <w:r w:rsidRPr="009F5601">
        <w:rPr>
          <w:rFonts w:ascii="Times New Roman" w:eastAsia="Times New Roman" w:hAnsi="Times New Roman" w:cs="Times New Roman"/>
          <w:sz w:val="24"/>
          <w:szCs w:val="24"/>
          <w:lang w:eastAsia="en-GB"/>
        </w:rPr>
        <w:t>transepidermal</w:t>
      </w:r>
      <w:proofErr w:type="spellEnd"/>
      <w:r w:rsidRPr="009F5601">
        <w:rPr>
          <w:rFonts w:ascii="Times New Roman" w:eastAsia="Times New Roman" w:hAnsi="Times New Roman" w:cs="Times New Roman"/>
          <w:sz w:val="24"/>
          <w:szCs w:val="24"/>
          <w:lang w:eastAsia="en-GB"/>
        </w:rPr>
        <w:t xml:space="preserve"> water loss and hydrating the stratum corneum, can augment transcutaneous drug penetration for molecules that benefit from increased barrier water content (Proksch et al., 2008). This occlusion-mediated enhancement is particularly relevant for corticosteroid-containing FFS in which maximising local bioavailability at the epidermis and superficial dermis is a key formulation objective. Chemical penetration enhancers incorporated into the spray formulation can yield further increases in drug flux, and systematic investigation of their structure–activity relationships has established principles guiding the selection of effective and tolerable candidates for topical formulations (</w:t>
      </w:r>
      <w:proofErr w:type="spellStart"/>
      <w:r w:rsidRPr="009F5601">
        <w:rPr>
          <w:rFonts w:ascii="Times New Roman" w:eastAsia="Times New Roman" w:hAnsi="Times New Roman" w:cs="Times New Roman"/>
          <w:sz w:val="24"/>
          <w:szCs w:val="24"/>
          <w:lang w:eastAsia="en-GB"/>
        </w:rPr>
        <w:t>Karande</w:t>
      </w:r>
      <w:proofErr w:type="spellEnd"/>
      <w:r w:rsidRPr="009F5601">
        <w:rPr>
          <w:rFonts w:ascii="Times New Roman" w:eastAsia="Times New Roman" w:hAnsi="Times New Roman" w:cs="Times New Roman"/>
          <w:sz w:val="24"/>
          <w:szCs w:val="24"/>
          <w:lang w:eastAsia="en-GB"/>
        </w:rPr>
        <w:t xml:space="preserve"> et al., 2005), though their use must be accompanied by appropriate skin tolerability assessment (Williams &amp; Barry, 2004).</w:t>
      </w:r>
    </w:p>
    <w:p w14:paraId="0482B0E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resident skin microbiome plays a multifaceted role in epidermal barrier function and immunological homeostasis; its perturbation is increasingly recognised as a pathogenic contributor to atopic dermatitis and related conditions (Grice &amp; Segre, 2011). This recognition motivates the development of antimicrobial FFS designed to selectively target disease-associated pathobionts whilst preserving beneficial commensal populations—an objective that requires a degree of antimicrobial selectivity achievable only through careful drug selection and dosing. For inflammatory skin diseases, the deployment of corticosteroids or calcineurin inhibitors in nanoparticle-loaded FFS that concentrate drug preferentially in the epidermis and dermis, rather than promoting systemic transdermal absorption, represents a promising approach to improving the benefit–risk profile of these agents (Zhang et al., 2013).</w:t>
      </w:r>
    </w:p>
    <w:p w14:paraId="24C825F1"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6.3 Nail Drug Delivery</w:t>
      </w:r>
    </w:p>
    <w:p w14:paraId="2D645A9B"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human nail plate presents one of the most challenging biological barriers in all of topical drug delivery. Composed principally of hard keratin arranged in a highly cross-linked, densely packed matrix, the nail plate is essentially impermeable to most drug molecules under ordinary conditions; only small, relatively lipophilic molecules can traverse the nail by passive diffusion at clinically meaningful rates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Despite this, the treatment of onychomycosis—fungal nail infection affecting approximately 5–10% of the general population, with substantially higher rates reported in elderly adults, and associated with significant morbidity, impaired quality of life, and a high recurrence rate—provides compelling clinical motivation for the development of effective topical nail drug delivery systems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Nail hydration profoundly increases nail plate permeability by disrupting the tight packing of keratin filaments, and formulations designed to elevate nail water content concurrently with drug delivery can achieve substantially enhanced antifungal penetration in vitro (</w:t>
      </w:r>
      <w:proofErr w:type="spellStart"/>
      <w:r w:rsidRPr="009F5601">
        <w:rPr>
          <w:rFonts w:ascii="Times New Roman" w:eastAsia="Times New Roman" w:hAnsi="Times New Roman" w:cs="Times New Roman"/>
          <w:sz w:val="24"/>
          <w:szCs w:val="24"/>
          <w:lang w:eastAsia="en-GB"/>
        </w:rPr>
        <w:t>Gunt</w:t>
      </w:r>
      <w:proofErr w:type="spellEnd"/>
      <w:r w:rsidRPr="009F5601">
        <w:rPr>
          <w:rFonts w:ascii="Times New Roman" w:eastAsia="Times New Roman" w:hAnsi="Times New Roman" w:cs="Times New Roman"/>
          <w:sz w:val="24"/>
          <w:szCs w:val="24"/>
          <w:lang w:eastAsia="en-GB"/>
        </w:rPr>
        <w:t xml:space="preserve"> &amp; Kasting, 2007).</w:t>
      </w:r>
    </w:p>
    <w:p w14:paraId="7DF4ADCB"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Modern FFS adapted for nail application build upon the established technology of film-forming nail lacquers, employing polymer systems that adhere tenaciously to the nail surface, resist removal by routine washing, and incorporate antifungal agents at concentrations sufficient to maintain inhibitory activities at the site of infection. The extended duration of onychomycosis therapy—commonly six to twelve months or longer for toenails—places exceptional demands on formulation durability, the physical integrity of the film under repeated hydration–dehydration cycles, and the capacity to maintain drug concentrations at the nail–fungus interface over many weeks without reapplication. Film-forming sprays that incorporate moisturising agents alongside the antifungal drug address both the hydration-</w:t>
      </w:r>
      <w:r w:rsidRPr="009F5601">
        <w:rPr>
          <w:rFonts w:ascii="Times New Roman" w:eastAsia="Times New Roman" w:hAnsi="Times New Roman" w:cs="Times New Roman"/>
          <w:sz w:val="24"/>
          <w:szCs w:val="24"/>
          <w:lang w:eastAsia="en-GB"/>
        </w:rPr>
        <w:lastRenderedPageBreak/>
        <w:t>enhancement and therapeutic drug delivery objectives within a single, patient-convenient formulation design.</w:t>
      </w:r>
    </w:p>
    <w:p w14:paraId="2EBC3B82"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6.4 Mucoadhesive and Mucosal Applications</w:t>
      </w:r>
    </w:p>
    <w:p w14:paraId="0643C05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Mucosal surfaces—buccal, sublingual, nasal, vaginal, and rectal—offer important advantages as drug delivery sites: they are relatively permeable compared to intact skin, richly vascularised, and accessible by spray or topical application. Mucoadhesive FFS exploit the capacity of certain polymers to adhere to the mucus gel layer coating mucosal epithelia, substantially prolonging drug residence at the delivery site and promoting intimate contact between the drug-loaded film and the absorptive surface (Smart, 2005). Chitosan and its derivatives achieve </w:t>
      </w:r>
      <w:proofErr w:type="spellStart"/>
      <w:r w:rsidRPr="009F5601">
        <w:rPr>
          <w:rFonts w:ascii="Times New Roman" w:eastAsia="Times New Roman" w:hAnsi="Times New Roman" w:cs="Times New Roman"/>
          <w:sz w:val="24"/>
          <w:szCs w:val="24"/>
          <w:lang w:eastAsia="en-GB"/>
        </w:rPr>
        <w:t>mucoadhesion</w:t>
      </w:r>
      <w:proofErr w:type="spellEnd"/>
      <w:r w:rsidRPr="009F5601">
        <w:rPr>
          <w:rFonts w:ascii="Times New Roman" w:eastAsia="Times New Roman" w:hAnsi="Times New Roman" w:cs="Times New Roman"/>
          <w:sz w:val="24"/>
          <w:szCs w:val="24"/>
          <w:lang w:eastAsia="en-GB"/>
        </w:rPr>
        <w:t xml:space="preserve"> primarily through electrostatic interactions between their polycationic character and the anionic sialic acid residues of mucin glycoproteins; HPMC, hydroxypropyl cellulose, and carbomers contribute through hydrogen bonding and physical chain entanglement with mucin networks (Hamman, 2010).</w:t>
      </w:r>
    </w:p>
    <w:p w14:paraId="7035D85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Buccal mucoadhesive film sprays enable the systemic delivery of drugs that are poorly absorbed orally or extensively metabolised during first-pass hepatic transit, providing a route to improved bioavailability and more rapid onset of action (Morales &amp; McConville, 2011). The manufacture and optimisation of mucoadhesive buccal films requires systematic characterisation of mucoadhesive strength, mechanical flexibility, drug release rate, and organoleptic acceptability, with formulation variables typically explored through design of experiments approaches to identify robust operating conditions. Oral dissolving film technology—in which polymeric films disintegrate within seconds to minutes of contact with saliva to release incorporated drug for rapid mucosal absorption—has been comprehensively reviewed and represents a well-characterised platform for buccal and sublingual drug delivery (Dixit &amp; Puthli, 2009). The practical application of this concept to localised antimicrobial therapy has been demonstrated through the development and characterisation of triclosan-loaded dissolving oral films (Dinge &amp; </w:t>
      </w:r>
      <w:proofErr w:type="spellStart"/>
      <w:r w:rsidRPr="009F5601">
        <w:rPr>
          <w:rFonts w:ascii="Times New Roman" w:eastAsia="Times New Roman" w:hAnsi="Times New Roman" w:cs="Times New Roman"/>
          <w:sz w:val="24"/>
          <w:szCs w:val="24"/>
          <w:lang w:eastAsia="en-GB"/>
        </w:rPr>
        <w:t>Nagarsenker</w:t>
      </w:r>
      <w:proofErr w:type="spellEnd"/>
      <w:r w:rsidRPr="009F5601">
        <w:rPr>
          <w:rFonts w:ascii="Times New Roman" w:eastAsia="Times New Roman" w:hAnsi="Times New Roman" w:cs="Times New Roman"/>
          <w:sz w:val="24"/>
          <w:szCs w:val="24"/>
          <w:lang w:eastAsia="en-GB"/>
        </w:rPr>
        <w:t>, 2008), and the underlying principles have been progressively extended to inform the design of mucoadhesive spray formulations for the buccal and sublingual routes.</w:t>
      </w:r>
    </w:p>
    <w:p w14:paraId="5CB85CB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nasal mucosa represents a particularly attractive target for FFS delivery by virtue of its thin epithelial barrier, rich subepithelial vasculature, and the potential for nose-to-brain drug transport via olfactory and trigeminal neural pathways. Nasal FFS must balance </w:t>
      </w:r>
      <w:proofErr w:type="spellStart"/>
      <w:r w:rsidRPr="009F5601">
        <w:rPr>
          <w:rFonts w:ascii="Times New Roman" w:eastAsia="Times New Roman" w:hAnsi="Times New Roman" w:cs="Times New Roman"/>
          <w:sz w:val="24"/>
          <w:szCs w:val="24"/>
          <w:lang w:eastAsia="en-GB"/>
        </w:rPr>
        <w:t>mucoadhesion</w:t>
      </w:r>
      <w:proofErr w:type="spellEnd"/>
      <w:r w:rsidRPr="009F5601">
        <w:rPr>
          <w:rFonts w:ascii="Times New Roman" w:eastAsia="Times New Roman" w:hAnsi="Times New Roman" w:cs="Times New Roman"/>
          <w:sz w:val="24"/>
          <w:szCs w:val="24"/>
          <w:lang w:eastAsia="en-GB"/>
        </w:rPr>
        <w:t xml:space="preserve"> against the physiological nasal mucociliary clearance mechanism, which continuously sweeps deposited material from the nasal cavity towards the nasopharynx on a timescale of minutes (Illum, 2003). Well-designed mucoadhesive nasal film sprays can markedly extend nasal residence time, improving drug absorption and potentially enabling reduced dosing frequency for drugs with short biological half-lives.</w:t>
      </w:r>
    </w:p>
    <w:p w14:paraId="27C8ADD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6.5 Ocular Drug Delivery</w:t>
      </w:r>
    </w:p>
    <w:p w14:paraId="58C306FF"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precorneal environment presents a formidable series of barriers to topical drug delivery. Lacrimal drainage removes the vast majority of a conventionally instilled eye drop within a few minutes of application; efficient dilution and washout by tear secretion further reduces the fraction available for corneal penetration; and the tight junctions of the corneal epithelium impose a stringent structural barrier to paracellular transport. The net result is that the bioavailability of conventionally administered topical ocular drugs is typically below five per cent of the instilled dose (</w:t>
      </w:r>
      <w:proofErr w:type="spellStart"/>
      <w:r w:rsidRPr="009F5601">
        <w:rPr>
          <w:rFonts w:ascii="Times New Roman" w:eastAsia="Times New Roman" w:hAnsi="Times New Roman" w:cs="Times New Roman"/>
          <w:sz w:val="24"/>
          <w:szCs w:val="24"/>
          <w:lang w:eastAsia="en-GB"/>
        </w:rPr>
        <w:t>Gaudana</w:t>
      </w:r>
      <w:proofErr w:type="spellEnd"/>
      <w:r w:rsidRPr="009F5601">
        <w:rPr>
          <w:rFonts w:ascii="Times New Roman" w:eastAsia="Times New Roman" w:hAnsi="Times New Roman" w:cs="Times New Roman"/>
          <w:sz w:val="24"/>
          <w:szCs w:val="24"/>
          <w:lang w:eastAsia="en-GB"/>
        </w:rPr>
        <w:t xml:space="preserve"> et al., 2010). Film-forming ocular sprays, administered as </w:t>
      </w:r>
      <w:r w:rsidRPr="009F5601">
        <w:rPr>
          <w:rFonts w:ascii="Times New Roman" w:eastAsia="Times New Roman" w:hAnsi="Times New Roman" w:cs="Times New Roman"/>
          <w:sz w:val="24"/>
          <w:szCs w:val="24"/>
          <w:lang w:eastAsia="en-GB"/>
        </w:rPr>
        <w:lastRenderedPageBreak/>
        <w:t>a fine mist to the closed eyelid from which the drug-loaded film migrates to the conjunctival sac and precorneal tear film, offer the prospect of longer precorneal contact time and improved patient compliance, particularly for elderly patients with limited manual dexterity—a population disproportionately affected by glaucoma and other chronic ocular conditions that require long-term topical therapy.</w:t>
      </w:r>
    </w:p>
    <w:p w14:paraId="4CF04D5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Polymers employed in ocular FFS must satisfy stringent requirements for ocular biocompatibility, absence of corneal toxicity, and osmolarity and pH compatibility with the tear film. HPMC and PVA, both of which carry extensive and safe histories in ophthalmic preparations as artificial tear components and contact lens solutions, are the most frequently considered film-formers in ocular FFS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2003). The viscosity of the spray solution must be low enough to permit effective atomisation through fine nozzles whilst the resultant film must be sufficiently retentive to provide clinically meaningful drug contact time with the corneal surface. Table 3 provides a structured summary of the principal therapeutic application domains of FFS and the key formulation requirements and advantages associated with each.</w:t>
      </w:r>
    </w:p>
    <w:p w14:paraId="39D2C663"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6611930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3. Summary of therapeutic applications of film-forming spray systems</w:t>
      </w:r>
    </w:p>
    <w:tbl>
      <w:tblPr>
        <w:tblStyle w:val="TableGrid"/>
        <w:tblW w:w="0" w:type="auto"/>
        <w:tblLook w:val="04A0" w:firstRow="1" w:lastRow="0" w:firstColumn="1" w:lastColumn="0" w:noHBand="0" w:noVBand="1"/>
      </w:tblPr>
      <w:tblGrid>
        <w:gridCol w:w="1598"/>
        <w:gridCol w:w="1497"/>
        <w:gridCol w:w="1619"/>
        <w:gridCol w:w="1715"/>
        <w:gridCol w:w="1375"/>
        <w:gridCol w:w="1438"/>
      </w:tblGrid>
      <w:tr w:rsidR="009F5601" w:rsidRPr="009F5601" w14:paraId="4389D645" w14:textId="77777777" w:rsidTr="00456AB7">
        <w:tc>
          <w:tcPr>
            <w:tcW w:w="0" w:type="auto"/>
            <w:hideMark/>
          </w:tcPr>
          <w:p w14:paraId="4B41CC21"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Application Domain</w:t>
            </w:r>
          </w:p>
        </w:tc>
        <w:tc>
          <w:tcPr>
            <w:tcW w:w="0" w:type="auto"/>
            <w:hideMark/>
          </w:tcPr>
          <w:p w14:paraId="3640F95D"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Clinical Target</w:t>
            </w:r>
          </w:p>
        </w:tc>
        <w:tc>
          <w:tcPr>
            <w:tcW w:w="0" w:type="auto"/>
            <w:hideMark/>
          </w:tcPr>
          <w:p w14:paraId="75AB236C"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Key Polymers</w:t>
            </w:r>
          </w:p>
        </w:tc>
        <w:tc>
          <w:tcPr>
            <w:tcW w:w="0" w:type="auto"/>
            <w:hideMark/>
          </w:tcPr>
          <w:p w14:paraId="417AE0BE"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Drug Classes Delivered</w:t>
            </w:r>
          </w:p>
        </w:tc>
        <w:tc>
          <w:tcPr>
            <w:tcW w:w="0" w:type="auto"/>
            <w:hideMark/>
          </w:tcPr>
          <w:p w14:paraId="220CB244"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Principal Advantage of FFS</w:t>
            </w:r>
          </w:p>
        </w:tc>
        <w:tc>
          <w:tcPr>
            <w:tcW w:w="0" w:type="auto"/>
            <w:hideMark/>
          </w:tcPr>
          <w:p w14:paraId="5C1F9AFD"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43E58A49" w14:textId="77777777" w:rsidTr="00456AB7">
        <w:tc>
          <w:tcPr>
            <w:tcW w:w="0" w:type="auto"/>
            <w:hideMark/>
          </w:tcPr>
          <w:p w14:paraId="19EDE04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Wound care</w:t>
            </w:r>
          </w:p>
        </w:tc>
        <w:tc>
          <w:tcPr>
            <w:tcW w:w="0" w:type="auto"/>
            <w:hideMark/>
          </w:tcPr>
          <w:p w14:paraId="55C2852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Antimicrobial protection, moist healing, drug delivery</w:t>
            </w:r>
          </w:p>
        </w:tc>
        <w:tc>
          <w:tcPr>
            <w:tcW w:w="0" w:type="auto"/>
            <w:hideMark/>
          </w:tcPr>
          <w:p w14:paraId="227BC05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chitosan, alginate, Eudragit RL</w:t>
            </w:r>
          </w:p>
        </w:tc>
        <w:tc>
          <w:tcPr>
            <w:tcW w:w="0" w:type="auto"/>
            <w:hideMark/>
          </w:tcPr>
          <w:p w14:paraId="008F0E9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Antibiotics, antiseptics, anti-inflammatory</w:t>
            </w:r>
          </w:p>
        </w:tc>
        <w:tc>
          <w:tcPr>
            <w:tcW w:w="0" w:type="auto"/>
            <w:hideMark/>
          </w:tcPr>
          <w:p w14:paraId="0B2FA52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Conforms to wound geometry; dual barrier and drug delivery</w:t>
            </w:r>
          </w:p>
        </w:tc>
        <w:tc>
          <w:tcPr>
            <w:tcW w:w="0" w:type="auto"/>
            <w:hideMark/>
          </w:tcPr>
          <w:p w14:paraId="3DDF8B08"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Pawar et al. (2013); Boateng et al. (2008); Aderibigbe &amp; Buyana (2018)</w:t>
            </w:r>
          </w:p>
        </w:tc>
      </w:tr>
      <w:tr w:rsidR="009F5601" w:rsidRPr="009F5601" w14:paraId="03288900" w14:textId="77777777" w:rsidTr="00456AB7">
        <w:tc>
          <w:tcPr>
            <w:tcW w:w="0" w:type="auto"/>
            <w:hideMark/>
          </w:tcPr>
          <w:p w14:paraId="57F6E28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Dermatology</w:t>
            </w:r>
          </w:p>
        </w:tc>
        <w:tc>
          <w:tcPr>
            <w:tcW w:w="0" w:type="auto"/>
            <w:hideMark/>
          </w:tcPr>
          <w:p w14:paraId="355DC80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Inflammatory and infectious skin disease</w:t>
            </w:r>
          </w:p>
        </w:tc>
        <w:tc>
          <w:tcPr>
            <w:tcW w:w="0" w:type="auto"/>
            <w:hideMark/>
          </w:tcPr>
          <w:p w14:paraId="69CFDD6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EC, polymethacrylates</w:t>
            </w:r>
          </w:p>
        </w:tc>
        <w:tc>
          <w:tcPr>
            <w:tcW w:w="0" w:type="auto"/>
            <w:hideMark/>
          </w:tcPr>
          <w:p w14:paraId="666EAED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Corticosteroids, antimycotics, immunomodulators</w:t>
            </w:r>
          </w:p>
        </w:tc>
        <w:tc>
          <w:tcPr>
            <w:tcW w:w="0" w:type="auto"/>
            <w:hideMark/>
          </w:tcPr>
          <w:p w14:paraId="3F361478"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Cosmetically acceptable; occlusion-augmented penetration</w:t>
            </w:r>
          </w:p>
        </w:tc>
        <w:tc>
          <w:tcPr>
            <w:tcW w:w="0" w:type="auto"/>
            <w:hideMark/>
          </w:tcPr>
          <w:p w14:paraId="18BC196F"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 Williams &amp; Barry (2004); Zhang et al. (2013)</w:t>
            </w:r>
          </w:p>
        </w:tc>
      </w:tr>
      <w:tr w:rsidR="009F5601" w:rsidRPr="009F5601" w14:paraId="73DE51EB" w14:textId="77777777" w:rsidTr="00456AB7">
        <w:tc>
          <w:tcPr>
            <w:tcW w:w="0" w:type="auto"/>
            <w:hideMark/>
          </w:tcPr>
          <w:p w14:paraId="451C780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Nail delivery</w:t>
            </w:r>
          </w:p>
        </w:tc>
        <w:tc>
          <w:tcPr>
            <w:tcW w:w="0" w:type="auto"/>
            <w:hideMark/>
          </w:tcPr>
          <w:p w14:paraId="703572C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Onychomycosis, nail disease management</w:t>
            </w:r>
          </w:p>
        </w:tc>
        <w:tc>
          <w:tcPr>
            <w:tcW w:w="0" w:type="auto"/>
            <w:hideMark/>
          </w:tcPr>
          <w:p w14:paraId="4D80D25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Film-forming lacquer polymers, HPMC</w:t>
            </w:r>
          </w:p>
        </w:tc>
        <w:tc>
          <w:tcPr>
            <w:tcW w:w="0" w:type="auto"/>
            <w:hideMark/>
          </w:tcPr>
          <w:p w14:paraId="62117D3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Antifungals (ciclopirox, amorolfine, tavaborole)</w:t>
            </w:r>
          </w:p>
        </w:tc>
        <w:tc>
          <w:tcPr>
            <w:tcW w:w="0" w:type="auto"/>
            <w:hideMark/>
          </w:tcPr>
          <w:p w14:paraId="53FD704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adhesion and retention; hydration-augmented penetration</w:t>
            </w:r>
          </w:p>
        </w:tc>
        <w:tc>
          <w:tcPr>
            <w:tcW w:w="0" w:type="auto"/>
            <w:hideMark/>
          </w:tcPr>
          <w:p w14:paraId="3CC8868B"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xml:space="preserve"> (2002); </w:t>
            </w:r>
            <w:proofErr w:type="spellStart"/>
            <w:r w:rsidRPr="009F5601">
              <w:rPr>
                <w:rFonts w:ascii="Times New Roman" w:eastAsia="Times New Roman" w:hAnsi="Times New Roman" w:cs="Times New Roman"/>
                <w:sz w:val="24"/>
                <w:szCs w:val="24"/>
                <w:lang w:eastAsia="en-GB"/>
              </w:rPr>
              <w:t>Gunt</w:t>
            </w:r>
            <w:proofErr w:type="spellEnd"/>
            <w:r w:rsidRPr="009F5601">
              <w:rPr>
                <w:rFonts w:ascii="Times New Roman" w:eastAsia="Times New Roman" w:hAnsi="Times New Roman" w:cs="Times New Roman"/>
                <w:sz w:val="24"/>
                <w:szCs w:val="24"/>
                <w:lang w:eastAsia="en-GB"/>
              </w:rPr>
              <w:t xml:space="preserve"> &amp; Kasting (2007)</w:t>
            </w:r>
          </w:p>
        </w:tc>
      </w:tr>
      <w:tr w:rsidR="009F5601" w:rsidRPr="009F5601" w14:paraId="718FA90E" w14:textId="77777777" w:rsidTr="00456AB7">
        <w:tc>
          <w:tcPr>
            <w:tcW w:w="0" w:type="auto"/>
            <w:hideMark/>
          </w:tcPr>
          <w:p w14:paraId="32F992E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Buccal/sublingual</w:t>
            </w:r>
          </w:p>
        </w:tc>
        <w:tc>
          <w:tcPr>
            <w:tcW w:w="0" w:type="auto"/>
            <w:hideMark/>
          </w:tcPr>
          <w:p w14:paraId="2B850BA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Systemic delivery, first-pass bypass</w:t>
            </w:r>
          </w:p>
        </w:tc>
        <w:tc>
          <w:tcPr>
            <w:tcW w:w="0" w:type="auto"/>
            <w:hideMark/>
          </w:tcPr>
          <w:p w14:paraId="2A1D8CF8"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Chitosan, HPC, HPMC, carbomers</w:t>
            </w:r>
          </w:p>
        </w:tc>
        <w:tc>
          <w:tcPr>
            <w:tcW w:w="0" w:type="auto"/>
            <w:hideMark/>
          </w:tcPr>
          <w:p w14:paraId="4AB5C48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Analgesics, antihypertensives, antiemetics</w:t>
            </w:r>
          </w:p>
        </w:tc>
        <w:tc>
          <w:tcPr>
            <w:tcW w:w="0" w:type="auto"/>
            <w:hideMark/>
          </w:tcPr>
          <w:p w14:paraId="3A4094D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Rapid onset; improved bioavailability; </w:t>
            </w:r>
            <w:r w:rsidRPr="009F5601">
              <w:rPr>
                <w:rFonts w:ascii="Times New Roman" w:eastAsia="Times New Roman" w:hAnsi="Times New Roman" w:cs="Times New Roman"/>
                <w:sz w:val="24"/>
                <w:szCs w:val="24"/>
                <w:lang w:eastAsia="en-GB"/>
              </w:rPr>
              <w:lastRenderedPageBreak/>
              <w:t>convenience</w:t>
            </w:r>
          </w:p>
        </w:tc>
        <w:tc>
          <w:tcPr>
            <w:tcW w:w="0" w:type="auto"/>
            <w:hideMark/>
          </w:tcPr>
          <w:p w14:paraId="5A9A6E8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 xml:space="preserve">Morales &amp; McConville (2011); Smart (2005); </w:t>
            </w:r>
            <w:r w:rsidRPr="009F5601">
              <w:rPr>
                <w:rFonts w:ascii="Times New Roman" w:eastAsia="Times New Roman" w:hAnsi="Times New Roman" w:cs="Times New Roman"/>
                <w:sz w:val="24"/>
                <w:szCs w:val="24"/>
                <w:lang w:eastAsia="en-GB"/>
              </w:rPr>
              <w:lastRenderedPageBreak/>
              <w:t xml:space="preserve">Dixit &amp; Puthli (2009); Dinge &amp; </w:t>
            </w:r>
            <w:proofErr w:type="spellStart"/>
            <w:r w:rsidRPr="009F5601">
              <w:rPr>
                <w:rFonts w:ascii="Times New Roman" w:eastAsia="Times New Roman" w:hAnsi="Times New Roman" w:cs="Times New Roman"/>
                <w:sz w:val="24"/>
                <w:szCs w:val="24"/>
                <w:lang w:eastAsia="en-GB"/>
              </w:rPr>
              <w:t>Nagarsenker</w:t>
            </w:r>
            <w:proofErr w:type="spellEnd"/>
            <w:r w:rsidRPr="009F5601">
              <w:rPr>
                <w:rFonts w:ascii="Times New Roman" w:eastAsia="Times New Roman" w:hAnsi="Times New Roman" w:cs="Times New Roman"/>
                <w:sz w:val="24"/>
                <w:szCs w:val="24"/>
                <w:lang w:eastAsia="en-GB"/>
              </w:rPr>
              <w:t xml:space="preserve"> (2008)</w:t>
            </w:r>
          </w:p>
        </w:tc>
      </w:tr>
      <w:tr w:rsidR="009F5601" w:rsidRPr="009F5601" w14:paraId="30B6C344" w14:textId="77777777" w:rsidTr="00456AB7">
        <w:tc>
          <w:tcPr>
            <w:tcW w:w="0" w:type="auto"/>
            <w:hideMark/>
          </w:tcPr>
          <w:p w14:paraId="2F5560C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Nasal mucosal</w:t>
            </w:r>
          </w:p>
        </w:tc>
        <w:tc>
          <w:tcPr>
            <w:tcW w:w="0" w:type="auto"/>
            <w:hideMark/>
          </w:tcPr>
          <w:p w14:paraId="796E219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Local and systemic nasal therapy</w:t>
            </w:r>
          </w:p>
        </w:tc>
        <w:tc>
          <w:tcPr>
            <w:tcW w:w="0" w:type="auto"/>
            <w:hideMark/>
          </w:tcPr>
          <w:p w14:paraId="110B3DE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Chitosan, </w:t>
            </w:r>
            <w:proofErr w:type="spellStart"/>
            <w:r w:rsidRPr="009F5601">
              <w:rPr>
                <w:rFonts w:ascii="Times New Roman" w:eastAsia="Times New Roman" w:hAnsi="Times New Roman" w:cs="Times New Roman"/>
                <w:sz w:val="24"/>
                <w:szCs w:val="24"/>
                <w:lang w:eastAsia="en-GB"/>
              </w:rPr>
              <w:t>carbopol</w:t>
            </w:r>
            <w:proofErr w:type="spellEnd"/>
            <w:r w:rsidRPr="009F5601">
              <w:rPr>
                <w:rFonts w:ascii="Times New Roman" w:eastAsia="Times New Roman" w:hAnsi="Times New Roman" w:cs="Times New Roman"/>
                <w:sz w:val="24"/>
                <w:szCs w:val="24"/>
                <w:lang w:eastAsia="en-GB"/>
              </w:rPr>
              <w:t>, HPMC</w:t>
            </w:r>
          </w:p>
        </w:tc>
        <w:tc>
          <w:tcPr>
            <w:tcW w:w="0" w:type="auto"/>
            <w:hideMark/>
          </w:tcPr>
          <w:p w14:paraId="77537D0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Corticosteroids, antihistamines, vaccines</w:t>
            </w:r>
          </w:p>
        </w:tc>
        <w:tc>
          <w:tcPr>
            <w:tcW w:w="0" w:type="auto"/>
            <w:hideMark/>
          </w:tcPr>
          <w:p w14:paraId="58F107E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nasal residence; nose-to-brain delivery potential</w:t>
            </w:r>
          </w:p>
        </w:tc>
        <w:tc>
          <w:tcPr>
            <w:tcW w:w="0" w:type="auto"/>
            <w:hideMark/>
          </w:tcPr>
          <w:p w14:paraId="31CA15E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Illum (2003); Hamman (2010)</w:t>
            </w:r>
          </w:p>
        </w:tc>
      </w:tr>
      <w:tr w:rsidR="009F5601" w:rsidRPr="009F5601" w14:paraId="3FBB5A0F" w14:textId="77777777" w:rsidTr="00456AB7">
        <w:tc>
          <w:tcPr>
            <w:tcW w:w="0" w:type="auto"/>
            <w:hideMark/>
          </w:tcPr>
          <w:p w14:paraId="6E6DCFB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Ocular</w:t>
            </w:r>
          </w:p>
        </w:tc>
        <w:tc>
          <w:tcPr>
            <w:tcW w:w="0" w:type="auto"/>
            <w:hideMark/>
          </w:tcPr>
          <w:p w14:paraId="05C641F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Corneal and conjunctival delivery</w:t>
            </w:r>
          </w:p>
        </w:tc>
        <w:tc>
          <w:tcPr>
            <w:tcW w:w="0" w:type="auto"/>
            <w:hideMark/>
          </w:tcPr>
          <w:p w14:paraId="21DCD00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HPMC, PVA</w:t>
            </w:r>
          </w:p>
        </w:tc>
        <w:tc>
          <w:tcPr>
            <w:tcW w:w="0" w:type="auto"/>
            <w:hideMark/>
          </w:tcPr>
          <w:p w14:paraId="2F25AB0F"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Antibiotics, anti-inflammatories, lubricants</w:t>
            </w:r>
          </w:p>
        </w:tc>
        <w:tc>
          <w:tcPr>
            <w:tcW w:w="0" w:type="auto"/>
            <w:hideMark/>
          </w:tcPr>
          <w:p w14:paraId="5320245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Improved compliance; extended precorneal contact time</w:t>
            </w:r>
          </w:p>
        </w:tc>
        <w:tc>
          <w:tcPr>
            <w:tcW w:w="0" w:type="auto"/>
            <w:hideMark/>
          </w:tcPr>
          <w:p w14:paraId="131FA2F5"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Gaudana</w:t>
            </w:r>
            <w:proofErr w:type="spellEnd"/>
            <w:r w:rsidRPr="009F5601">
              <w:rPr>
                <w:rFonts w:ascii="Times New Roman" w:eastAsia="Times New Roman" w:hAnsi="Times New Roman" w:cs="Times New Roman"/>
                <w:sz w:val="24"/>
                <w:szCs w:val="24"/>
                <w:lang w:eastAsia="en-GB"/>
              </w:rPr>
              <w:t xml:space="preserve"> et al. (2010);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xml:space="preserve"> (2003)</w:t>
            </w:r>
          </w:p>
        </w:tc>
      </w:tr>
    </w:tbl>
    <w:p w14:paraId="117ACF1D"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Pawar et al. (2013); Boateng et al. (2008); Aderibigbe &amp; Buyana (2018); </w:t>
      </w:r>
      <w:proofErr w:type="spellStart"/>
      <w:r w:rsidRPr="009F5601">
        <w:rPr>
          <w:rFonts w:ascii="Times New Roman" w:eastAsia="Times New Roman" w:hAnsi="Times New Roman" w:cs="Times New Roman"/>
          <w:i/>
          <w:iCs/>
          <w:sz w:val="24"/>
          <w:szCs w:val="24"/>
          <w:lang w:eastAsia="en-GB"/>
        </w:rPr>
        <w:t>Nastiti</w:t>
      </w:r>
      <w:proofErr w:type="spellEnd"/>
      <w:r w:rsidRPr="009F5601">
        <w:rPr>
          <w:rFonts w:ascii="Times New Roman" w:eastAsia="Times New Roman" w:hAnsi="Times New Roman" w:cs="Times New Roman"/>
          <w:i/>
          <w:iCs/>
          <w:sz w:val="24"/>
          <w:szCs w:val="24"/>
          <w:lang w:eastAsia="en-GB"/>
        </w:rPr>
        <w:t xml:space="preserve"> et al. (2017); Williams &amp; Barry (2004); Zhang et al. (2013); </w:t>
      </w:r>
      <w:proofErr w:type="spellStart"/>
      <w:r w:rsidRPr="009F5601">
        <w:rPr>
          <w:rFonts w:ascii="Times New Roman" w:eastAsia="Times New Roman" w:hAnsi="Times New Roman" w:cs="Times New Roman"/>
          <w:i/>
          <w:iCs/>
          <w:sz w:val="24"/>
          <w:szCs w:val="24"/>
          <w:lang w:eastAsia="en-GB"/>
        </w:rPr>
        <w:t>Murdan</w:t>
      </w:r>
      <w:proofErr w:type="spellEnd"/>
      <w:r w:rsidRPr="009F5601">
        <w:rPr>
          <w:rFonts w:ascii="Times New Roman" w:eastAsia="Times New Roman" w:hAnsi="Times New Roman" w:cs="Times New Roman"/>
          <w:i/>
          <w:iCs/>
          <w:sz w:val="24"/>
          <w:szCs w:val="24"/>
          <w:lang w:eastAsia="en-GB"/>
        </w:rPr>
        <w:t xml:space="preserve"> (2002); </w:t>
      </w:r>
      <w:proofErr w:type="spellStart"/>
      <w:r w:rsidRPr="009F5601">
        <w:rPr>
          <w:rFonts w:ascii="Times New Roman" w:eastAsia="Times New Roman" w:hAnsi="Times New Roman" w:cs="Times New Roman"/>
          <w:i/>
          <w:iCs/>
          <w:sz w:val="24"/>
          <w:szCs w:val="24"/>
          <w:lang w:eastAsia="en-GB"/>
        </w:rPr>
        <w:t>Gunt</w:t>
      </w:r>
      <w:proofErr w:type="spellEnd"/>
      <w:r w:rsidRPr="009F5601">
        <w:rPr>
          <w:rFonts w:ascii="Times New Roman" w:eastAsia="Times New Roman" w:hAnsi="Times New Roman" w:cs="Times New Roman"/>
          <w:i/>
          <w:iCs/>
          <w:sz w:val="24"/>
          <w:szCs w:val="24"/>
          <w:lang w:eastAsia="en-GB"/>
        </w:rPr>
        <w:t xml:space="preserve"> &amp; Kasting (2007); Morales &amp; McConville (2011); Smart (2005); Dixit &amp; Puthli (2009); Dinge &amp; </w:t>
      </w:r>
      <w:proofErr w:type="spellStart"/>
      <w:r w:rsidRPr="009F5601">
        <w:rPr>
          <w:rFonts w:ascii="Times New Roman" w:eastAsia="Times New Roman" w:hAnsi="Times New Roman" w:cs="Times New Roman"/>
          <w:i/>
          <w:iCs/>
          <w:sz w:val="24"/>
          <w:szCs w:val="24"/>
          <w:lang w:eastAsia="en-GB"/>
        </w:rPr>
        <w:t>Nagarsenker</w:t>
      </w:r>
      <w:proofErr w:type="spellEnd"/>
      <w:r w:rsidRPr="009F5601">
        <w:rPr>
          <w:rFonts w:ascii="Times New Roman" w:eastAsia="Times New Roman" w:hAnsi="Times New Roman" w:cs="Times New Roman"/>
          <w:i/>
          <w:iCs/>
          <w:sz w:val="24"/>
          <w:szCs w:val="24"/>
          <w:lang w:eastAsia="en-GB"/>
        </w:rPr>
        <w:t xml:space="preserve"> (2008); Illum (2003); Hamman (2010); </w:t>
      </w:r>
      <w:proofErr w:type="spellStart"/>
      <w:r w:rsidRPr="009F5601">
        <w:rPr>
          <w:rFonts w:ascii="Times New Roman" w:eastAsia="Times New Roman" w:hAnsi="Times New Roman" w:cs="Times New Roman"/>
          <w:i/>
          <w:iCs/>
          <w:sz w:val="24"/>
          <w:szCs w:val="24"/>
          <w:lang w:eastAsia="en-GB"/>
        </w:rPr>
        <w:t>Gaudana</w:t>
      </w:r>
      <w:proofErr w:type="spellEnd"/>
      <w:r w:rsidRPr="009F5601">
        <w:rPr>
          <w:rFonts w:ascii="Times New Roman" w:eastAsia="Times New Roman" w:hAnsi="Times New Roman" w:cs="Times New Roman"/>
          <w:i/>
          <w:iCs/>
          <w:sz w:val="24"/>
          <w:szCs w:val="24"/>
          <w:lang w:eastAsia="en-GB"/>
        </w:rPr>
        <w:t xml:space="preserve"> et al. (2010); </w:t>
      </w:r>
      <w:proofErr w:type="spellStart"/>
      <w:r w:rsidRPr="009F5601">
        <w:rPr>
          <w:rFonts w:ascii="Times New Roman" w:eastAsia="Times New Roman" w:hAnsi="Times New Roman" w:cs="Times New Roman"/>
          <w:i/>
          <w:iCs/>
          <w:sz w:val="24"/>
          <w:szCs w:val="24"/>
          <w:lang w:eastAsia="en-GB"/>
        </w:rPr>
        <w:t>DeMerlis</w:t>
      </w:r>
      <w:proofErr w:type="spellEnd"/>
      <w:r w:rsidRPr="009F5601">
        <w:rPr>
          <w:rFonts w:ascii="Times New Roman" w:eastAsia="Times New Roman" w:hAnsi="Times New Roman" w:cs="Times New Roman"/>
          <w:i/>
          <w:iCs/>
          <w:sz w:val="24"/>
          <w:szCs w:val="24"/>
          <w:lang w:eastAsia="en-GB"/>
        </w:rPr>
        <w:t xml:space="preserve"> &amp; </w:t>
      </w:r>
      <w:proofErr w:type="spellStart"/>
      <w:r w:rsidRPr="009F5601">
        <w:rPr>
          <w:rFonts w:ascii="Times New Roman" w:eastAsia="Times New Roman" w:hAnsi="Times New Roman" w:cs="Times New Roman"/>
          <w:i/>
          <w:iCs/>
          <w:sz w:val="24"/>
          <w:szCs w:val="24"/>
          <w:lang w:eastAsia="en-GB"/>
        </w:rPr>
        <w:t>Schoneker</w:t>
      </w:r>
      <w:proofErr w:type="spellEnd"/>
      <w:r w:rsidRPr="009F5601">
        <w:rPr>
          <w:rFonts w:ascii="Times New Roman" w:eastAsia="Times New Roman" w:hAnsi="Times New Roman" w:cs="Times New Roman"/>
          <w:i/>
          <w:iCs/>
          <w:sz w:val="24"/>
          <w:szCs w:val="24"/>
          <w:lang w:eastAsia="en-GB"/>
        </w:rPr>
        <w:t xml:space="preserve"> (2003).</w:t>
      </w:r>
    </w:p>
    <w:p w14:paraId="2F6840F6"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4D90E466"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7. Characterisation and Quality Control</w:t>
      </w:r>
    </w:p>
    <w:p w14:paraId="4A96FE63"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7.1 Physical and Mechanical Characterisation</w:t>
      </w:r>
    </w:p>
    <w:p w14:paraId="1DA9F3EF"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characterisation of FFS formulations encompasses two distinct phases: evaluation of the spray formulation in its liquid state, and assessment of the film formed upon application to the intended substrate. Spray characterisation—including droplet size distribution, spray pattern geometry, plume characteristics, and uniformity of delivered dose per actuation—is required to establish that the atomisation process is reproducible and appropriate for the intended application surface. Laser diffraction is the standard technique for droplet size measurement, whilst phase Doppler interferometry and optical spray pattern analysis provide complementary information on droplet velocity and spatial distribution within the plume. Uniformity of dose delivered per spray actuation, determined gravimetrically across a representative series of actuations, is a primary quality attribute with direct implications for dose consistency and clinical predictability.</w:t>
      </w:r>
    </w:p>
    <w:p w14:paraId="1BFFD4BE"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Following deposition and solvent evaporation, the mechanical properties of the resultant film are assessed by tensile testing, yielding parameters of tensile strength, elongation at break, and elastic modulus. For wound care FFS in particular, elongation at break is a critical attribute: the film must accommodate the mechanical deformation associated with normal bodily movement without fracture or delamination, making adequate flexibility non-negotiable (Repka &amp; McGinity, 2000). Film thickness, measured by profilometry or </w:t>
      </w:r>
      <w:r w:rsidRPr="009F5601">
        <w:rPr>
          <w:rFonts w:ascii="Times New Roman" w:eastAsia="Times New Roman" w:hAnsi="Times New Roman" w:cs="Times New Roman"/>
          <w:sz w:val="24"/>
          <w:szCs w:val="24"/>
          <w:lang w:eastAsia="en-GB"/>
        </w:rPr>
        <w:lastRenderedPageBreak/>
        <w:t xml:space="preserve">micrometry on free-standing films cast under controlled conditions, determines drug loading per unit area and is an indirect predictor of drug reservoir capacity and release duration. Adhesion to biological substrates is assessed by peel testing or lap shear methods using excised tissue or tissue </w:t>
      </w:r>
      <w:proofErr w:type="spellStart"/>
      <w:r w:rsidRPr="009F5601">
        <w:rPr>
          <w:rFonts w:ascii="Times New Roman" w:eastAsia="Times New Roman" w:hAnsi="Times New Roman" w:cs="Times New Roman"/>
          <w:sz w:val="24"/>
          <w:szCs w:val="24"/>
          <w:lang w:eastAsia="en-GB"/>
        </w:rPr>
        <w:t>analog</w:t>
      </w:r>
      <w:proofErr w:type="spellEnd"/>
      <w:r w:rsidRPr="009F5601">
        <w:rPr>
          <w:rFonts w:ascii="Times New Roman" w:eastAsia="Times New Roman" w:hAnsi="Times New Roman" w:cs="Times New Roman"/>
          <w:sz w:val="24"/>
          <w:szCs w:val="24"/>
          <w:lang w:eastAsia="en-GB"/>
        </w:rPr>
        <w:t xml:space="preserve"> surfaces, and moisture vapour transmission rate is quantified gravimetrically to characterise the occlusive character of the film (Boateng &amp; Catanzano, 2015). Differential scanning calorimetry and X-ray powder diffraction are employed to characterise the physical state of polymer and drug within the film, detect phase transitions, and confirm the absence of unintended drug crystallinity—a critical concern for poorly soluble APIs in amorphous formulations (</w:t>
      </w:r>
      <w:proofErr w:type="spellStart"/>
      <w:r w:rsidRPr="009F5601">
        <w:rPr>
          <w:rFonts w:ascii="Times New Roman" w:eastAsia="Times New Roman" w:hAnsi="Times New Roman" w:cs="Times New Roman"/>
          <w:sz w:val="24"/>
          <w:szCs w:val="24"/>
          <w:lang w:eastAsia="en-GB"/>
        </w:rPr>
        <w:t>Hadgraft</w:t>
      </w:r>
      <w:proofErr w:type="spellEnd"/>
      <w:r w:rsidRPr="009F5601">
        <w:rPr>
          <w:rFonts w:ascii="Times New Roman" w:eastAsia="Times New Roman" w:hAnsi="Times New Roman" w:cs="Times New Roman"/>
          <w:sz w:val="24"/>
          <w:szCs w:val="24"/>
          <w:lang w:eastAsia="en-GB"/>
        </w:rPr>
        <w:t xml:space="preserve"> &amp; Lane, 2016).</w:t>
      </w:r>
    </w:p>
    <w:p w14:paraId="40914A5A"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7.2 Drug Release Testing</w:t>
      </w:r>
    </w:p>
    <w:p w14:paraId="20DE238F"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In vitro drug release testing from FFS presents methodological challenges distinct from those encountered with conventional oral dosage forms. The Franz diffusion cell, in which the film is applied to the donor surface of a synthetic or biological membrane whilst the receptor compartment is sampled at defined time intervals, is the most widely adopted apparatus for FFS drug release characterisation (Boateng &amp; Catanzano, 2015). The choice of membrane profoundly influences the measured release profile: synthetic membranes—cellulose acetate, </w:t>
      </w:r>
      <w:proofErr w:type="spellStart"/>
      <w:r w:rsidRPr="009F5601">
        <w:rPr>
          <w:rFonts w:ascii="Times New Roman" w:eastAsia="Times New Roman" w:hAnsi="Times New Roman" w:cs="Times New Roman"/>
          <w:sz w:val="24"/>
          <w:szCs w:val="24"/>
          <w:lang w:eastAsia="en-GB"/>
        </w:rPr>
        <w:t>polysulfone</w:t>
      </w:r>
      <w:proofErr w:type="spellEnd"/>
      <w:r w:rsidRPr="009F5601">
        <w:rPr>
          <w:rFonts w:ascii="Times New Roman" w:eastAsia="Times New Roman" w:hAnsi="Times New Roman" w:cs="Times New Roman"/>
          <w:sz w:val="24"/>
          <w:szCs w:val="24"/>
          <w:lang w:eastAsia="en-GB"/>
        </w:rPr>
        <w:t xml:space="preserve">, and silicone—provide reproducible physical barriers suitable for comparative formulation studies, whilst excised porcine or human skin offers greater physiological relevance at the cost of increased inter-donor variability. For nail formulations, excised human nail clippings serve as the standard membrane model, enabling direct measurement of </w:t>
      </w:r>
      <w:proofErr w:type="spellStart"/>
      <w:r w:rsidRPr="009F5601">
        <w:rPr>
          <w:rFonts w:ascii="Times New Roman" w:eastAsia="Times New Roman" w:hAnsi="Times New Roman" w:cs="Times New Roman"/>
          <w:sz w:val="24"/>
          <w:szCs w:val="24"/>
          <w:lang w:eastAsia="en-GB"/>
        </w:rPr>
        <w:t>transonychial</w:t>
      </w:r>
      <w:proofErr w:type="spellEnd"/>
      <w:r w:rsidRPr="009F5601">
        <w:rPr>
          <w:rFonts w:ascii="Times New Roman" w:eastAsia="Times New Roman" w:hAnsi="Times New Roman" w:cs="Times New Roman"/>
          <w:sz w:val="24"/>
          <w:szCs w:val="24"/>
          <w:lang w:eastAsia="en-GB"/>
        </w:rPr>
        <w:t xml:space="preserve"> drug permeation (</w:t>
      </w:r>
      <w:proofErr w:type="spellStart"/>
      <w:r w:rsidRPr="009F5601">
        <w:rPr>
          <w:rFonts w:ascii="Times New Roman" w:eastAsia="Times New Roman" w:hAnsi="Times New Roman" w:cs="Times New Roman"/>
          <w:sz w:val="24"/>
          <w:szCs w:val="24"/>
          <w:lang w:eastAsia="en-GB"/>
        </w:rPr>
        <w:t>Murdan</w:t>
      </w:r>
      <w:proofErr w:type="spellEnd"/>
      <w:r w:rsidRPr="009F5601">
        <w:rPr>
          <w:rFonts w:ascii="Times New Roman" w:eastAsia="Times New Roman" w:hAnsi="Times New Roman" w:cs="Times New Roman"/>
          <w:sz w:val="24"/>
          <w:szCs w:val="24"/>
          <w:lang w:eastAsia="en-GB"/>
        </w:rPr>
        <w:t>, 2002). The interpretation of release profiles in terms of operative mechanisms is facilitated by the power law modelling framework (Ritger &amp; Peppas, 1987), and comparative dissolution profiling using similarity factors provides a statistically grounded approach for formulation comparison in development and regulatory contexts (Costa &amp; Lobo, 2001).</w:t>
      </w:r>
    </w:p>
    <w:p w14:paraId="0506D5A8"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7.3 In Vitro and In Vivo Performance Evaluation</w:t>
      </w:r>
    </w:p>
    <w:p w14:paraId="723F440D"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Skin permeation studies conducted in Franz cells using excised human or porcine skin provide data on the cutaneous bioavailability achievable with a given FFS formulation and form a standard component of the preclinical characterisation package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The tape-stripping technique—applied sequentially to the skin surface following formulation exposure, followed by extraction and quantification of drug from individual tape strips—enables reconstruction of the drug concentration profile through the stratum corneum and distinguishes between epidermal drug retention and dermal penetration. Confocal laser scanning microscopy and two-photon microscopy are increasingly employed to visualise drug and fluorescent probe distribution within the skin following FFS application, providing spatial resolution not achievable by extraction-based methods.</w:t>
      </w:r>
    </w:p>
    <w:p w14:paraId="0022A581"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vivo efficacy studies in relevant animal models—murine excision wound models for wound care FFS and murine or guinea pig skin inflammation models for dermatological applications—provide proof-of-concept data supporting the transition towards clinical investigation. Given the acknowledged limitations of rodent models in predicting human wound healing outcomes, these results are most valuably interpreted alongside in vitro mechanistic data rather than as primary evidence of human clinical efficacy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 The establishment of validated in vitro–in vivo correlations for FFS remains a significant outstanding challenge, as discussed in Section 10.</w:t>
      </w:r>
    </w:p>
    <w:p w14:paraId="4C34063A"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02DFBA0A"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8. Regulatory Considerations</w:t>
      </w:r>
    </w:p>
    <w:p w14:paraId="5BF0C0C3"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8.1 Classification and Regulatory Pathway</w:t>
      </w:r>
    </w:p>
    <w:p w14:paraId="3E1FDC59"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regulatory status of FFS products varies according to their intended use, the nature of their active components, and the claimed therapeutic function. Products applied to the skin or mucosa with an explicit therapeutic claim are classified as topical drug products, subject to the pharmaceutical quality requirements applicable to semi-solid dosage forms. In the European Union, quality requirements for topical drug products including film-forming preparations are addressed within existing pharmaceutical quality guidelines, with the EMA guideline on quality of transdermal patches providing relevant technical precedents for membrane-based and film-forming systems (European Medicines Agency, 2014). In the United States, the FDA's framework for topical drug products requires demonstration of adequate bioavailability, bioequivalence where applicable, and in vitro release performance demonstrating consistency of drug delivery (U.S. Food and Drug Administration, </w:t>
      </w:r>
      <w:r w:rsidR="00456AB7">
        <w:rPr>
          <w:rFonts w:ascii="Times New Roman" w:eastAsia="Times New Roman" w:hAnsi="Times New Roman" w:cs="Times New Roman"/>
          <w:sz w:val="24"/>
          <w:szCs w:val="24"/>
          <w:lang w:eastAsia="en-GB"/>
        </w:rPr>
        <w:t>1998</w:t>
      </w:r>
      <w:r w:rsidRPr="009F5601">
        <w:rPr>
          <w:rFonts w:ascii="Times New Roman" w:eastAsia="Times New Roman" w:hAnsi="Times New Roman" w:cs="Times New Roman"/>
          <w:sz w:val="24"/>
          <w:szCs w:val="24"/>
          <w:lang w:eastAsia="en-GB"/>
        </w:rPr>
        <w:t>).</w:t>
      </w:r>
    </w:p>
    <w:p w14:paraId="6755153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classification of a given FFS as a drug product versus a medical device—particularly relevant for wound care film sprays incorporating antimicrobial agents—depends on the concentration of the active substance and the nature of the labelled therapeutic claim. Film sprays making explicit antimicrobial therapeutic claims at pharmacologically active drug concentrations will generally be classified as drug products and subject to the full pharmaceutical quality development dossier. Those providing only passive barrier or wound management functions without a pharmacological active may qualify as medical devices, triggering a distinct regulatory pathway with different technical data requirements. The ICH Q8(R2) guideline on Pharmaceutical Development constitutes the key regulatory framework for quality-by-design approaches in FFS product development, advocating systematic characterisation of the relationship between formulation variables and critical quality attributes through well-designed experimental programmes (International Council for Harmonisation, 2009). Application of these principles—through design of experiments, response surface modelling, and defined design spaces—is increasingly expected by regulatory authorities and constitutes the scientific rigour necessary for robust product performance claims.</w:t>
      </w:r>
    </w:p>
    <w:p w14:paraId="461B41A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8.2 Safety and Biocompatibility</w:t>
      </w:r>
    </w:p>
    <w:p w14:paraId="1EB3AF9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safety profile of FFS formulations is determined by the combined toxicological profiles of all components: polymer, solvent, plasticiser, permeation enhancer, preservative, and API. Cellulose derivatives, polymethacrylates, and PVA have well-established safety records in pharmaceutical applications, supported by extensive clinical use in oral formulations and human data from topical applications on intact skin (</w:t>
      </w:r>
      <w:proofErr w:type="spellStart"/>
      <w:r w:rsidRPr="009F5601">
        <w:rPr>
          <w:rFonts w:ascii="Times New Roman" w:eastAsia="Times New Roman" w:hAnsi="Times New Roman" w:cs="Times New Roman"/>
          <w:sz w:val="24"/>
          <w:szCs w:val="24"/>
          <w:lang w:eastAsia="en-GB"/>
        </w:rPr>
        <w:t>DeMerlis</w:t>
      </w:r>
      <w:proofErr w:type="spellEnd"/>
      <w:r w:rsidRPr="009F5601">
        <w:rPr>
          <w:rFonts w:ascii="Times New Roman" w:eastAsia="Times New Roman" w:hAnsi="Times New Roman" w:cs="Times New Roman"/>
          <w:sz w:val="24"/>
          <w:szCs w:val="24"/>
          <w:lang w:eastAsia="en-GB"/>
        </w:rPr>
        <w:t xml:space="preserve"> &amp; </w:t>
      </w:r>
      <w:proofErr w:type="spellStart"/>
      <w:r w:rsidRPr="009F5601">
        <w:rPr>
          <w:rFonts w:ascii="Times New Roman" w:eastAsia="Times New Roman" w:hAnsi="Times New Roman" w:cs="Times New Roman"/>
          <w:sz w:val="24"/>
          <w:szCs w:val="24"/>
          <w:lang w:eastAsia="en-GB"/>
        </w:rPr>
        <w:t>Schoneker</w:t>
      </w:r>
      <w:proofErr w:type="spellEnd"/>
      <w:r w:rsidRPr="009F5601">
        <w:rPr>
          <w:rFonts w:ascii="Times New Roman" w:eastAsia="Times New Roman" w:hAnsi="Times New Roman" w:cs="Times New Roman"/>
          <w:sz w:val="24"/>
          <w:szCs w:val="24"/>
          <w:lang w:eastAsia="en-GB"/>
        </w:rPr>
        <w:t>, 2003). Chitosan and alginate carry similarly strong biocompatibility credentials, with chitosan's biodegradation products being naturally occurring glucosamine residues of minimal toxicological concern (Dash et al., 2011).</w:t>
      </w:r>
    </w:p>
    <w:p w14:paraId="6E64059A"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Solvents present a more complex safety profile. Ethanol, the most widely used co-solvent in FFS, is accepted in topical formulations at concentrations that do not cause undue irritation to intact skin, but its use must be carefully justified and limited for formulations applied to broken, inflamed, or macerated skin where systemic absorption through the disrupted barrier </w:t>
      </w:r>
      <w:r w:rsidRPr="009F5601">
        <w:rPr>
          <w:rFonts w:ascii="Times New Roman" w:eastAsia="Times New Roman" w:hAnsi="Times New Roman" w:cs="Times New Roman"/>
          <w:sz w:val="24"/>
          <w:szCs w:val="24"/>
          <w:lang w:eastAsia="en-GB"/>
        </w:rPr>
        <w:lastRenderedPageBreak/>
        <w:t>may be significantly higher than usual (Williams &amp; Barry, 2004). The penetration-enhancing properties of chemical excipients, whilst therapeutically advantageous, are also potential sources of sensitisation and irritation, particularly upon repeated application to the same site. Standard dermal safety protocols—including maximisation tests and human repeat insult patch tests—are required to characterise the irritation and sensitisation potential of the complete formulation under conditions representative of intended clinical use. For wound care applications, cytotoxicity testing on relevant cell types (keratinocytes, dermal fibroblasts) is an additional safety datum of direct clinical relevance, and the impact of formulation excipients on wound healing biology must be systematically assessed (</w:t>
      </w:r>
      <w:proofErr w:type="spellStart"/>
      <w:r w:rsidRPr="009F5601">
        <w:rPr>
          <w:rFonts w:ascii="Times New Roman" w:eastAsia="Times New Roman" w:hAnsi="Times New Roman" w:cs="Times New Roman"/>
          <w:sz w:val="24"/>
          <w:szCs w:val="24"/>
          <w:lang w:eastAsia="en-GB"/>
        </w:rPr>
        <w:t>Eming</w:t>
      </w:r>
      <w:proofErr w:type="spellEnd"/>
      <w:r w:rsidRPr="009F5601">
        <w:rPr>
          <w:rFonts w:ascii="Times New Roman" w:eastAsia="Times New Roman" w:hAnsi="Times New Roman" w:cs="Times New Roman"/>
          <w:sz w:val="24"/>
          <w:szCs w:val="24"/>
          <w:lang w:eastAsia="en-GB"/>
        </w:rPr>
        <w:t xml:space="preserve"> et al., 2014).</w:t>
      </w:r>
    </w:p>
    <w:p w14:paraId="0E37C54E"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0C990B98"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9. Recent Advances and Future Directions</w:t>
      </w:r>
    </w:p>
    <w:p w14:paraId="665E79EB"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9.1 Nanotechnology-Integrated Film-Forming Sprays</w:t>
      </w:r>
    </w:p>
    <w:p w14:paraId="517812F2"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integration of nanotechnology into FFS represents arguably the most active current area of development within the field. NLCs embedded within polymeric film matrices offer several advantages over their SLN predecessors, including greater drug loading capacity, reduced drug expulsion during storage owing to the less ordered lipid matrix, and enhanced skin interaction properties attributable to the liquid lipid component (Pardeike et al., 2009). NLC-loaded FFS have demonstrated enhanced in vitro skin permeation of anti-inflammatory drugs and antifungals compared to conventional dispersions alone, suggesting a synergistic contribution from both the film occlusive effect and nanocarrier-mediated penetration enhancement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w:t>
      </w:r>
    </w:p>
    <w:p w14:paraId="067BC14F"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Polymeric nanoparticles based on PLGA and polylactic acid incorporated within wound care FFS achieve extended antimicrobial drug release, with nanoparticles acting as depots whose progressive degradation releases antibiotic into the wound environment over days to weeks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 Makadia &amp; Siegel, 2011). This approach is particularly appealing for the management of chronic wound biofilm, where continuous exposure to adequate antibiotic concentrations over extended periods may be required to achieve meaningful bacterial reduction (Percival et al., 2015). The enhanced skin penetration properties of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 xml:space="preserve">, first thoroughly characterised by Touitou et al. (2000) through comparison with conventional liposomes, make them attractive candidates for incorporation within polymeric FFS matrices to augment dermal drug delivery—an area that warrants further systematic investigation for drugs with limited passive permeation. Spray drying of nanoparticle-loaded polymer solutions constitutes a scalable manufacturing route to dry, </w:t>
      </w:r>
      <w:proofErr w:type="spellStart"/>
      <w:r w:rsidRPr="009F5601">
        <w:rPr>
          <w:rFonts w:ascii="Times New Roman" w:eastAsia="Times New Roman" w:hAnsi="Times New Roman" w:cs="Times New Roman"/>
          <w:sz w:val="24"/>
          <w:szCs w:val="24"/>
          <w:lang w:eastAsia="en-GB"/>
        </w:rPr>
        <w:t>reconstitutable</w:t>
      </w:r>
      <w:proofErr w:type="spellEnd"/>
      <w:r w:rsidRPr="009F5601">
        <w:rPr>
          <w:rFonts w:ascii="Times New Roman" w:eastAsia="Times New Roman" w:hAnsi="Times New Roman" w:cs="Times New Roman"/>
          <w:sz w:val="24"/>
          <w:szCs w:val="24"/>
          <w:lang w:eastAsia="en-GB"/>
        </w:rPr>
        <w:t xml:space="preserve"> nanocomposite FFS materials that address the colloidal stability limitations of liquid nanoparticle dispersions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w:t>
      </w:r>
    </w:p>
    <w:p w14:paraId="54B39CA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9.2 Stimuli-Responsive Film-Forming Systems</w:t>
      </w:r>
    </w:p>
    <w:p w14:paraId="098ECD21"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development of FFS that respond to physical or chemical stimuli present at the application site represents a conceptually rich frontier in the field. Temperature-triggered gelation, exploiting the LCST behaviour of </w:t>
      </w: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polymers, enables formulations to remain in a sprayable low-viscosity state at ambient temperature and consolidate rapidly into a film upon contact with the warmer skin surface (Ward &amp; Georgiou, 2011). This </w:t>
      </w:r>
      <w:r w:rsidRPr="009F5601">
        <w:rPr>
          <w:rFonts w:ascii="Times New Roman" w:eastAsia="Times New Roman" w:hAnsi="Times New Roman" w:cs="Times New Roman"/>
          <w:sz w:val="24"/>
          <w:szCs w:val="24"/>
          <w:lang w:eastAsia="en-GB"/>
        </w:rPr>
        <w:lastRenderedPageBreak/>
        <w:t>principle offers the theoretical advantage of improved film uniformity compared to evaporation-only systems, particularly over highly irregular topographies.</w:t>
      </w:r>
    </w:p>
    <w:p w14:paraId="46601F8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pH-responsive polymer systems, whose dissolution or swelling behaviour is governed by the protonation state of pendant ionisable groups, can provide intrinsically self-regulating drug release from FFS matrices tuned to respond to the pH gradients characteristic of wound healing progression. The broader landscape of stimuli-responsive polymer applications—encompassing pH, temperature, light, and redox triggers across a diverse range of biomedical scenarios—has been comprehensively catalogued by Stuart et al. (2010), and the translation of these principles into FFS design offers substantial future opportunities. Reactive oxygen species (ROS)-responsive formulations, exploiting the oxidative environment of inflamed and infected wounds to trigger drug release from ROS-sensitive polymer linkages or nanoparticle coatings, represent a more recent development that aligns pharmaceutical release mechanisms with the underlying biochemistry of wound pathology.</w:t>
      </w:r>
    </w:p>
    <w:p w14:paraId="70A5CB17"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9.3 Advanced Manufacturing and Digital Technologies</w:t>
      </w:r>
    </w:p>
    <w:p w14:paraId="236D1DC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Additive manufacturing, and specifically three-dimensional printing, is beginning to influence the design and fabrication of film-based drug delivery systems (</w:t>
      </w: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 Whilst direct three-dimensional printing of FFS as a commercial dosage form is not yet widely reported, the principles of precision material deposition and layer-by-layer fabrication that characterise this technology are directly relevant to the development of multi-layered or spatially patterned film systems with defined drug gradients. Inkjet printing of drug-loaded polymeric solutions onto biological surfaces is a conceptually related technology that has demonstrated the feasibility of applying precise, programmable patterns of drug-containing film to wound surfaces, raising the prospect of patient-specific dosing guided by wound geometry and clinical severity.</w:t>
      </w:r>
    </w:p>
    <w:p w14:paraId="2C1C2ED7"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Spray-drying coupled with precision </w:t>
      </w:r>
      <w:proofErr w:type="spellStart"/>
      <w:r w:rsidRPr="009F5601">
        <w:rPr>
          <w:rFonts w:ascii="Times New Roman" w:eastAsia="Times New Roman" w:hAnsi="Times New Roman" w:cs="Times New Roman"/>
          <w:sz w:val="24"/>
          <w:szCs w:val="24"/>
          <w:lang w:eastAsia="en-GB"/>
        </w:rPr>
        <w:t>aerosolisation</w:t>
      </w:r>
      <w:proofErr w:type="spellEnd"/>
      <w:r w:rsidRPr="009F5601">
        <w:rPr>
          <w:rFonts w:ascii="Times New Roman" w:eastAsia="Times New Roman" w:hAnsi="Times New Roman" w:cs="Times New Roman"/>
          <w:sz w:val="24"/>
          <w:szCs w:val="24"/>
          <w:lang w:eastAsia="en-GB"/>
        </w:rPr>
        <w:t xml:space="preserve"> technology offers an avenue to highly reproducible FFS application, potentially reducing the operator-dependent variability inherent in manual pump spray delivery. Computational fluid dynamics modelling of spray nozzle design and atomisation parameters, combined with real-time process analytical technology (PAT) approaches that monitor critical spray attributes during manufacture, represents an emerging methodology that could substantially advance both the manufacturing quality and the quality-by-design characterisation of FFS products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 Table 4 provides an overview of the most significant recent innovations in FFS technology, their current development stage, and the key references documenting them.</w:t>
      </w:r>
    </w:p>
    <w:p w14:paraId="503DB5E3"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6A779FC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b/>
          <w:bCs/>
          <w:sz w:val="24"/>
          <w:szCs w:val="24"/>
          <w:lang w:eastAsia="en-GB"/>
        </w:rPr>
        <w:t>Table 4. Recent advances and emerging innovations in film-forming spray systems</w:t>
      </w:r>
    </w:p>
    <w:tbl>
      <w:tblPr>
        <w:tblStyle w:val="TableGrid"/>
        <w:tblW w:w="0" w:type="auto"/>
        <w:tblLook w:val="04A0" w:firstRow="1" w:lastRow="0" w:firstColumn="1" w:lastColumn="0" w:noHBand="0" w:noVBand="1"/>
      </w:tblPr>
      <w:tblGrid>
        <w:gridCol w:w="2277"/>
        <w:gridCol w:w="1756"/>
        <w:gridCol w:w="1745"/>
        <w:gridCol w:w="1611"/>
        <w:gridCol w:w="1853"/>
      </w:tblGrid>
      <w:tr w:rsidR="009F5601" w:rsidRPr="009F5601" w14:paraId="10F377CB" w14:textId="77777777" w:rsidTr="00456AB7">
        <w:tc>
          <w:tcPr>
            <w:tcW w:w="0" w:type="auto"/>
            <w:hideMark/>
          </w:tcPr>
          <w:p w14:paraId="0A38843C"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Innovation Category</w:t>
            </w:r>
          </w:p>
        </w:tc>
        <w:tc>
          <w:tcPr>
            <w:tcW w:w="0" w:type="auto"/>
            <w:hideMark/>
          </w:tcPr>
          <w:p w14:paraId="3535B276"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Specific Approach</w:t>
            </w:r>
          </w:p>
        </w:tc>
        <w:tc>
          <w:tcPr>
            <w:tcW w:w="0" w:type="auto"/>
            <w:hideMark/>
          </w:tcPr>
          <w:p w14:paraId="680C2957"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Principal Advantage</w:t>
            </w:r>
          </w:p>
        </w:tc>
        <w:tc>
          <w:tcPr>
            <w:tcW w:w="0" w:type="auto"/>
            <w:hideMark/>
          </w:tcPr>
          <w:p w14:paraId="359ACB98"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Current Development Stage</w:t>
            </w:r>
          </w:p>
        </w:tc>
        <w:tc>
          <w:tcPr>
            <w:tcW w:w="0" w:type="auto"/>
            <w:hideMark/>
          </w:tcPr>
          <w:p w14:paraId="0E8149A8" w14:textId="77777777" w:rsidR="009F5601" w:rsidRPr="009F5601" w:rsidRDefault="009F5601" w:rsidP="009F5601">
            <w:pPr>
              <w:jc w:val="center"/>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Representative References</w:t>
            </w:r>
          </w:p>
        </w:tc>
      </w:tr>
      <w:tr w:rsidR="009F5601" w:rsidRPr="009F5601" w14:paraId="3A62B7A1" w14:textId="77777777" w:rsidTr="00456AB7">
        <w:tc>
          <w:tcPr>
            <w:tcW w:w="0" w:type="auto"/>
            <w:hideMark/>
          </w:tcPr>
          <w:p w14:paraId="67475E5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NLC-embedded FFS</w:t>
            </w:r>
          </w:p>
        </w:tc>
        <w:tc>
          <w:tcPr>
            <w:tcW w:w="0" w:type="auto"/>
            <w:hideMark/>
          </w:tcPr>
          <w:p w14:paraId="37FB2744"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NLC in HPMC/EC polymeric film</w:t>
            </w:r>
          </w:p>
        </w:tc>
        <w:tc>
          <w:tcPr>
            <w:tcW w:w="0" w:type="auto"/>
            <w:hideMark/>
          </w:tcPr>
          <w:p w14:paraId="391E389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skin penetration; reduced drug expulsion during storage</w:t>
            </w:r>
          </w:p>
        </w:tc>
        <w:tc>
          <w:tcPr>
            <w:tcW w:w="0" w:type="auto"/>
            <w:hideMark/>
          </w:tcPr>
          <w:p w14:paraId="576EC1D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vitro / pre-clinical</w:t>
            </w:r>
          </w:p>
        </w:tc>
        <w:tc>
          <w:tcPr>
            <w:tcW w:w="0" w:type="auto"/>
            <w:hideMark/>
          </w:tcPr>
          <w:p w14:paraId="4F102B8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Pardeike et al. (2009); </w:t>
            </w:r>
            <w:proofErr w:type="spellStart"/>
            <w:r w:rsidRPr="009F5601">
              <w:rPr>
                <w:rFonts w:ascii="Times New Roman" w:eastAsia="Times New Roman" w:hAnsi="Times New Roman" w:cs="Times New Roman"/>
                <w:sz w:val="24"/>
                <w:szCs w:val="24"/>
                <w:lang w:eastAsia="en-GB"/>
              </w:rPr>
              <w:t>Nastiti</w:t>
            </w:r>
            <w:proofErr w:type="spellEnd"/>
            <w:r w:rsidRPr="009F5601">
              <w:rPr>
                <w:rFonts w:ascii="Times New Roman" w:eastAsia="Times New Roman" w:hAnsi="Times New Roman" w:cs="Times New Roman"/>
                <w:sz w:val="24"/>
                <w:szCs w:val="24"/>
                <w:lang w:eastAsia="en-GB"/>
              </w:rPr>
              <w:t xml:space="preserve"> et al. (2017)</w:t>
            </w:r>
          </w:p>
        </w:tc>
      </w:tr>
      <w:tr w:rsidR="009F5601" w:rsidRPr="009F5601" w14:paraId="2B62113E" w14:textId="77777777" w:rsidTr="00456AB7">
        <w:tc>
          <w:tcPr>
            <w:tcW w:w="0" w:type="auto"/>
            <w:hideMark/>
          </w:tcPr>
          <w:p w14:paraId="782B704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lastRenderedPageBreak/>
              <w:t>PLGA nanoparticle wound film</w:t>
            </w:r>
          </w:p>
        </w:tc>
        <w:tc>
          <w:tcPr>
            <w:tcW w:w="0" w:type="auto"/>
            <w:hideMark/>
          </w:tcPr>
          <w:p w14:paraId="358051D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Biodegradable NP dispersed in film matrix</w:t>
            </w:r>
          </w:p>
        </w:tc>
        <w:tc>
          <w:tcPr>
            <w:tcW w:w="0" w:type="auto"/>
            <w:hideMark/>
          </w:tcPr>
          <w:p w14:paraId="16D0F93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Extended antimicrobial release; biocompatible degradation</w:t>
            </w:r>
          </w:p>
        </w:tc>
        <w:tc>
          <w:tcPr>
            <w:tcW w:w="0" w:type="auto"/>
            <w:hideMark/>
          </w:tcPr>
          <w:p w14:paraId="69F6088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Pre-clinical</w:t>
            </w:r>
          </w:p>
        </w:tc>
        <w:tc>
          <w:tcPr>
            <w:tcW w:w="0" w:type="auto"/>
            <w:hideMark/>
          </w:tcPr>
          <w:p w14:paraId="1EB1F07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Makadia &amp; Siegel (2011); </w:t>
            </w:r>
            <w:proofErr w:type="spellStart"/>
            <w:r w:rsidRPr="009F5601">
              <w:rPr>
                <w:rFonts w:ascii="Times New Roman" w:eastAsia="Times New Roman" w:hAnsi="Times New Roman" w:cs="Times New Roman"/>
                <w:sz w:val="24"/>
                <w:szCs w:val="24"/>
                <w:lang w:eastAsia="en-GB"/>
              </w:rPr>
              <w:t>Soppimath</w:t>
            </w:r>
            <w:proofErr w:type="spellEnd"/>
            <w:r w:rsidRPr="009F5601">
              <w:rPr>
                <w:rFonts w:ascii="Times New Roman" w:eastAsia="Times New Roman" w:hAnsi="Times New Roman" w:cs="Times New Roman"/>
                <w:sz w:val="24"/>
                <w:szCs w:val="24"/>
                <w:lang w:eastAsia="en-GB"/>
              </w:rPr>
              <w:t xml:space="preserve"> et al. (2001)</w:t>
            </w:r>
          </w:p>
        </w:tc>
      </w:tr>
      <w:tr w:rsidR="009F5601" w:rsidRPr="009F5601" w14:paraId="4902291D" w14:textId="77777777" w:rsidTr="00456AB7">
        <w:tc>
          <w:tcPr>
            <w:tcW w:w="0" w:type="auto"/>
            <w:hideMark/>
          </w:tcPr>
          <w:p w14:paraId="6C3C4A7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Liposome/</w:t>
            </w:r>
            <w:proofErr w:type="spellStart"/>
            <w:r w:rsidRPr="009F5601">
              <w:rPr>
                <w:rFonts w:ascii="Times New Roman" w:eastAsia="Times New Roman" w:hAnsi="Times New Roman" w:cs="Times New Roman"/>
                <w:sz w:val="24"/>
                <w:szCs w:val="24"/>
                <w:lang w:eastAsia="en-GB"/>
              </w:rPr>
              <w:t>ethosome</w:t>
            </w:r>
            <w:proofErr w:type="spellEnd"/>
            <w:r w:rsidRPr="009F5601">
              <w:rPr>
                <w:rFonts w:ascii="Times New Roman" w:eastAsia="Times New Roman" w:hAnsi="Times New Roman" w:cs="Times New Roman"/>
                <w:sz w:val="24"/>
                <w:szCs w:val="24"/>
                <w:lang w:eastAsia="en-GB"/>
              </w:rPr>
              <w:t>-loaded FFS</w:t>
            </w:r>
          </w:p>
        </w:tc>
        <w:tc>
          <w:tcPr>
            <w:tcW w:w="0" w:type="auto"/>
            <w:hideMark/>
          </w:tcPr>
          <w:p w14:paraId="6001BA5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Vesicular carrier within polymer film</w:t>
            </w:r>
          </w:p>
        </w:tc>
        <w:tc>
          <w:tcPr>
            <w:tcW w:w="0" w:type="auto"/>
            <w:hideMark/>
          </w:tcPr>
          <w:p w14:paraId="3D570A1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Enhanced membrane-mediated drug penetration</w:t>
            </w:r>
          </w:p>
        </w:tc>
        <w:tc>
          <w:tcPr>
            <w:tcW w:w="0" w:type="auto"/>
            <w:hideMark/>
          </w:tcPr>
          <w:p w14:paraId="4F2B678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In vitro</w:t>
            </w:r>
          </w:p>
        </w:tc>
        <w:tc>
          <w:tcPr>
            <w:tcW w:w="0" w:type="auto"/>
            <w:hideMark/>
          </w:tcPr>
          <w:p w14:paraId="4F2E9475"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Touitou et al. (2000); Allen &amp; Cullis (2013)</w:t>
            </w:r>
          </w:p>
        </w:tc>
      </w:tr>
      <w:tr w:rsidR="009F5601" w:rsidRPr="009F5601" w14:paraId="6BF32541" w14:textId="77777777" w:rsidTr="00456AB7">
        <w:tc>
          <w:tcPr>
            <w:tcW w:w="0" w:type="auto"/>
            <w:hideMark/>
          </w:tcPr>
          <w:p w14:paraId="72F02ADA"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Thermoresponsive</w:t>
            </w:r>
            <w:proofErr w:type="spellEnd"/>
            <w:r w:rsidRPr="009F5601">
              <w:rPr>
                <w:rFonts w:ascii="Times New Roman" w:eastAsia="Times New Roman" w:hAnsi="Times New Roman" w:cs="Times New Roman"/>
                <w:sz w:val="24"/>
                <w:szCs w:val="24"/>
                <w:lang w:eastAsia="en-GB"/>
              </w:rPr>
              <w:t xml:space="preserve"> FFS</w:t>
            </w:r>
          </w:p>
        </w:tc>
        <w:tc>
          <w:tcPr>
            <w:tcW w:w="0" w:type="auto"/>
            <w:hideMark/>
          </w:tcPr>
          <w:p w14:paraId="02A8EDE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LCST polymer; phase transition at body temperature</w:t>
            </w:r>
          </w:p>
        </w:tc>
        <w:tc>
          <w:tcPr>
            <w:tcW w:w="0" w:type="auto"/>
            <w:hideMark/>
          </w:tcPr>
          <w:p w14:paraId="25BC52F9"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Improved film uniformity; temperature-triggered consolidation</w:t>
            </w:r>
          </w:p>
        </w:tc>
        <w:tc>
          <w:tcPr>
            <w:tcW w:w="0" w:type="auto"/>
            <w:hideMark/>
          </w:tcPr>
          <w:p w14:paraId="44C7E4F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stage</w:t>
            </w:r>
          </w:p>
        </w:tc>
        <w:tc>
          <w:tcPr>
            <w:tcW w:w="0" w:type="auto"/>
            <w:hideMark/>
          </w:tcPr>
          <w:p w14:paraId="43A6AAC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Ward &amp; Georgiou (2011)</w:t>
            </w:r>
          </w:p>
        </w:tc>
      </w:tr>
      <w:tr w:rsidR="009F5601" w:rsidRPr="009F5601" w14:paraId="170191CD" w14:textId="77777777" w:rsidTr="00456AB7">
        <w:tc>
          <w:tcPr>
            <w:tcW w:w="0" w:type="auto"/>
            <w:hideMark/>
          </w:tcPr>
          <w:p w14:paraId="69E923F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pH-responsive FFS</w:t>
            </w:r>
          </w:p>
        </w:tc>
        <w:tc>
          <w:tcPr>
            <w:tcW w:w="0" w:type="auto"/>
            <w:hideMark/>
          </w:tcPr>
          <w:p w14:paraId="30150C80"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pH-sensitive polymer dissolution or swelling</w:t>
            </w:r>
          </w:p>
        </w:tc>
        <w:tc>
          <w:tcPr>
            <w:tcW w:w="0" w:type="auto"/>
            <w:hideMark/>
          </w:tcPr>
          <w:p w14:paraId="328D6191"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Self-regulating release; responds to wound biology</w:t>
            </w:r>
          </w:p>
        </w:tc>
        <w:tc>
          <w:tcPr>
            <w:tcW w:w="0" w:type="auto"/>
            <w:hideMark/>
          </w:tcPr>
          <w:p w14:paraId="74E4D40F"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stage</w:t>
            </w:r>
          </w:p>
        </w:tc>
        <w:tc>
          <w:tcPr>
            <w:tcW w:w="0" w:type="auto"/>
            <w:hideMark/>
          </w:tcPr>
          <w:p w14:paraId="09A8423B"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Stuart et al. (2010)</w:t>
            </w:r>
          </w:p>
        </w:tc>
      </w:tr>
      <w:tr w:rsidR="009F5601" w:rsidRPr="009F5601" w14:paraId="11F46D92" w14:textId="77777777" w:rsidTr="00456AB7">
        <w:tc>
          <w:tcPr>
            <w:tcW w:w="0" w:type="auto"/>
            <w:hideMark/>
          </w:tcPr>
          <w:p w14:paraId="32431A1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ROS-responsive FFS</w:t>
            </w:r>
          </w:p>
        </w:tc>
        <w:tc>
          <w:tcPr>
            <w:tcW w:w="0" w:type="auto"/>
            <w:hideMark/>
          </w:tcPr>
          <w:p w14:paraId="534C1202"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Oxidation-sensitive bonds in polymer or nanoparticle surface</w:t>
            </w:r>
          </w:p>
        </w:tc>
        <w:tc>
          <w:tcPr>
            <w:tcW w:w="0" w:type="auto"/>
            <w:hideMark/>
          </w:tcPr>
          <w:p w14:paraId="285BBF07"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Pathology-triggered, spatially selective release</w:t>
            </w:r>
          </w:p>
        </w:tc>
        <w:tc>
          <w:tcPr>
            <w:tcW w:w="0" w:type="auto"/>
            <w:hideMark/>
          </w:tcPr>
          <w:p w14:paraId="62BC4363"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Early research</w:t>
            </w:r>
          </w:p>
        </w:tc>
        <w:tc>
          <w:tcPr>
            <w:tcW w:w="0" w:type="auto"/>
            <w:hideMark/>
          </w:tcPr>
          <w:p w14:paraId="6B72109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Stuart et al. (2010)</w:t>
            </w:r>
          </w:p>
        </w:tc>
      </w:tr>
      <w:tr w:rsidR="009F5601" w:rsidRPr="009F5601" w14:paraId="5F167807" w14:textId="77777777" w:rsidTr="00456AB7">
        <w:tc>
          <w:tcPr>
            <w:tcW w:w="0" w:type="auto"/>
            <w:hideMark/>
          </w:tcPr>
          <w:p w14:paraId="691C2A5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3D printing / inkjet for FFS</w:t>
            </w:r>
          </w:p>
        </w:tc>
        <w:tc>
          <w:tcPr>
            <w:tcW w:w="0" w:type="auto"/>
            <w:hideMark/>
          </w:tcPr>
          <w:p w14:paraId="7892380E"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Precision drug deposition on biological surfaces</w:t>
            </w:r>
          </w:p>
        </w:tc>
        <w:tc>
          <w:tcPr>
            <w:tcW w:w="0" w:type="auto"/>
            <w:hideMark/>
          </w:tcPr>
          <w:p w14:paraId="1C7D5E1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Patient-specific dosing; spatial drug patterning</w:t>
            </w:r>
          </w:p>
        </w:tc>
        <w:tc>
          <w:tcPr>
            <w:tcW w:w="0" w:type="auto"/>
            <w:hideMark/>
          </w:tcPr>
          <w:p w14:paraId="109016BD"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Early research</w:t>
            </w:r>
          </w:p>
        </w:tc>
        <w:tc>
          <w:tcPr>
            <w:tcW w:w="0" w:type="auto"/>
            <w:hideMark/>
          </w:tcPr>
          <w:p w14:paraId="02C51DD7" w14:textId="77777777" w:rsidR="009F5601" w:rsidRPr="009F5601" w:rsidRDefault="009F5601" w:rsidP="009F5601">
            <w:pPr>
              <w:rPr>
                <w:rFonts w:ascii="Times New Roman" w:eastAsia="Times New Roman" w:hAnsi="Times New Roman" w:cs="Times New Roman"/>
                <w:sz w:val="24"/>
                <w:szCs w:val="24"/>
                <w:lang w:eastAsia="en-GB"/>
              </w:rPr>
            </w:pPr>
            <w:proofErr w:type="spellStart"/>
            <w:r w:rsidRPr="009F5601">
              <w:rPr>
                <w:rFonts w:ascii="Times New Roman" w:eastAsia="Times New Roman" w:hAnsi="Times New Roman" w:cs="Times New Roman"/>
                <w:sz w:val="24"/>
                <w:szCs w:val="24"/>
                <w:lang w:eastAsia="en-GB"/>
              </w:rPr>
              <w:t>Jamróz</w:t>
            </w:r>
            <w:proofErr w:type="spellEnd"/>
            <w:r w:rsidRPr="009F5601">
              <w:rPr>
                <w:rFonts w:ascii="Times New Roman" w:eastAsia="Times New Roman" w:hAnsi="Times New Roman" w:cs="Times New Roman"/>
                <w:sz w:val="24"/>
                <w:szCs w:val="24"/>
                <w:lang w:eastAsia="en-GB"/>
              </w:rPr>
              <w:t xml:space="preserve"> et al. (2018)</w:t>
            </w:r>
          </w:p>
        </w:tc>
      </w:tr>
      <w:tr w:rsidR="009F5601" w:rsidRPr="009F5601" w14:paraId="185BE897" w14:textId="77777777" w:rsidTr="00456AB7">
        <w:tc>
          <w:tcPr>
            <w:tcW w:w="0" w:type="auto"/>
            <w:hideMark/>
          </w:tcPr>
          <w:p w14:paraId="7C0783DA"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Spray-dried nanocomposite FFS</w:t>
            </w:r>
          </w:p>
        </w:tc>
        <w:tc>
          <w:tcPr>
            <w:tcW w:w="0" w:type="auto"/>
            <w:hideMark/>
          </w:tcPr>
          <w:p w14:paraId="475A34D6"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Dried powder reconstituted before use</w:t>
            </w:r>
          </w:p>
        </w:tc>
        <w:tc>
          <w:tcPr>
            <w:tcW w:w="0" w:type="auto"/>
            <w:hideMark/>
          </w:tcPr>
          <w:p w14:paraId="6AA9CC48"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Physical stability advantage for nanoparticle systems</w:t>
            </w:r>
          </w:p>
        </w:tc>
        <w:tc>
          <w:tcPr>
            <w:tcW w:w="0" w:type="auto"/>
            <w:hideMark/>
          </w:tcPr>
          <w:p w14:paraId="0F0EDE7F"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Research / early development</w:t>
            </w:r>
          </w:p>
        </w:tc>
        <w:tc>
          <w:tcPr>
            <w:tcW w:w="0" w:type="auto"/>
            <w:hideMark/>
          </w:tcPr>
          <w:p w14:paraId="487A56AC" w14:textId="77777777" w:rsidR="009F5601" w:rsidRPr="009F5601" w:rsidRDefault="009F5601" w:rsidP="009F5601">
            <w:pPr>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xml:space="preserve"> (2015)</w:t>
            </w:r>
          </w:p>
        </w:tc>
      </w:tr>
    </w:tbl>
    <w:p w14:paraId="18F6B61C"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Note: NLC = nanostructured lipid carriers; PLGA = </w:t>
      </w:r>
      <w:proofErr w:type="gramStart"/>
      <w:r w:rsidRPr="009F5601">
        <w:rPr>
          <w:rFonts w:ascii="Times New Roman" w:eastAsia="Times New Roman" w:hAnsi="Times New Roman" w:cs="Times New Roman"/>
          <w:i/>
          <w:iCs/>
          <w:sz w:val="24"/>
          <w:szCs w:val="24"/>
          <w:lang w:eastAsia="en-GB"/>
        </w:rPr>
        <w:t>poly(</w:t>
      </w:r>
      <w:proofErr w:type="gramEnd"/>
      <w:r w:rsidRPr="009F5601">
        <w:rPr>
          <w:rFonts w:ascii="Times New Roman" w:eastAsia="Times New Roman" w:hAnsi="Times New Roman" w:cs="Times New Roman"/>
          <w:i/>
          <w:iCs/>
          <w:sz w:val="24"/>
          <w:szCs w:val="24"/>
          <w:lang w:eastAsia="en-GB"/>
        </w:rPr>
        <w:t>lactic-co-glycolic acid); LCST = lower critical solution temperature; ROS = reactive oxygen species.</w:t>
      </w:r>
    </w:p>
    <w:p w14:paraId="4BB50E10"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i/>
          <w:iCs/>
          <w:sz w:val="24"/>
          <w:szCs w:val="24"/>
          <w:lang w:eastAsia="en-GB"/>
        </w:rPr>
        <w:t xml:space="preserve">Sources: Pardeike et al. (2009); </w:t>
      </w:r>
      <w:proofErr w:type="spellStart"/>
      <w:r w:rsidRPr="009F5601">
        <w:rPr>
          <w:rFonts w:ascii="Times New Roman" w:eastAsia="Times New Roman" w:hAnsi="Times New Roman" w:cs="Times New Roman"/>
          <w:i/>
          <w:iCs/>
          <w:sz w:val="24"/>
          <w:szCs w:val="24"/>
          <w:lang w:eastAsia="en-GB"/>
        </w:rPr>
        <w:t>Nastiti</w:t>
      </w:r>
      <w:proofErr w:type="spellEnd"/>
      <w:r w:rsidRPr="009F5601">
        <w:rPr>
          <w:rFonts w:ascii="Times New Roman" w:eastAsia="Times New Roman" w:hAnsi="Times New Roman" w:cs="Times New Roman"/>
          <w:i/>
          <w:iCs/>
          <w:sz w:val="24"/>
          <w:szCs w:val="24"/>
          <w:lang w:eastAsia="en-GB"/>
        </w:rPr>
        <w:t xml:space="preserve"> et al. (2017); Makadia &amp; Siegel (2011); </w:t>
      </w:r>
      <w:proofErr w:type="spellStart"/>
      <w:r w:rsidRPr="009F5601">
        <w:rPr>
          <w:rFonts w:ascii="Times New Roman" w:eastAsia="Times New Roman" w:hAnsi="Times New Roman" w:cs="Times New Roman"/>
          <w:i/>
          <w:iCs/>
          <w:sz w:val="24"/>
          <w:szCs w:val="24"/>
          <w:lang w:eastAsia="en-GB"/>
        </w:rPr>
        <w:t>Soppimath</w:t>
      </w:r>
      <w:proofErr w:type="spellEnd"/>
      <w:r w:rsidRPr="009F5601">
        <w:rPr>
          <w:rFonts w:ascii="Times New Roman" w:eastAsia="Times New Roman" w:hAnsi="Times New Roman" w:cs="Times New Roman"/>
          <w:i/>
          <w:iCs/>
          <w:sz w:val="24"/>
          <w:szCs w:val="24"/>
          <w:lang w:eastAsia="en-GB"/>
        </w:rPr>
        <w:t xml:space="preserve"> et al. (2001); Touitou et al. (2000); Allen &amp; Cullis (2013); Ward &amp; Georgiou (2011); Stuart et al. (2010); </w:t>
      </w:r>
      <w:proofErr w:type="spellStart"/>
      <w:r w:rsidRPr="009F5601">
        <w:rPr>
          <w:rFonts w:ascii="Times New Roman" w:eastAsia="Times New Roman" w:hAnsi="Times New Roman" w:cs="Times New Roman"/>
          <w:i/>
          <w:iCs/>
          <w:sz w:val="24"/>
          <w:szCs w:val="24"/>
          <w:lang w:eastAsia="en-GB"/>
        </w:rPr>
        <w:t>Jamróz</w:t>
      </w:r>
      <w:proofErr w:type="spellEnd"/>
      <w:r w:rsidRPr="009F5601">
        <w:rPr>
          <w:rFonts w:ascii="Times New Roman" w:eastAsia="Times New Roman" w:hAnsi="Times New Roman" w:cs="Times New Roman"/>
          <w:i/>
          <w:iCs/>
          <w:sz w:val="24"/>
          <w:szCs w:val="24"/>
          <w:lang w:eastAsia="en-GB"/>
        </w:rPr>
        <w:t xml:space="preserve"> et al. (2018); Sosnik &amp; </w:t>
      </w:r>
      <w:proofErr w:type="spellStart"/>
      <w:r w:rsidRPr="009F5601">
        <w:rPr>
          <w:rFonts w:ascii="Times New Roman" w:eastAsia="Times New Roman" w:hAnsi="Times New Roman" w:cs="Times New Roman"/>
          <w:i/>
          <w:iCs/>
          <w:sz w:val="24"/>
          <w:szCs w:val="24"/>
          <w:lang w:eastAsia="en-GB"/>
        </w:rPr>
        <w:t>Seremeta</w:t>
      </w:r>
      <w:proofErr w:type="spellEnd"/>
      <w:r w:rsidRPr="009F5601">
        <w:rPr>
          <w:rFonts w:ascii="Times New Roman" w:eastAsia="Times New Roman" w:hAnsi="Times New Roman" w:cs="Times New Roman"/>
          <w:i/>
          <w:iCs/>
          <w:sz w:val="24"/>
          <w:szCs w:val="24"/>
          <w:lang w:eastAsia="en-GB"/>
        </w:rPr>
        <w:t xml:space="preserve"> (2015).</w:t>
      </w:r>
    </w:p>
    <w:p w14:paraId="7BE956FF"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41BB7703"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10. Challenges and Critical Appraisal</w:t>
      </w:r>
    </w:p>
    <w:p w14:paraId="4FD18A07"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10.1 Formulation and Stability Challenges</w:t>
      </w:r>
    </w:p>
    <w:p w14:paraId="34A9038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Despite the clear scientific advantages of FFS technology, several formulation challenges remain incompletely resolved in the current literature. Solvent selection continues to present a fundamental tension between performance and safety; whilst organic solvents and high-ethanol vehicles may yield superior film formation kinetics and drug loading, their </w:t>
      </w:r>
      <w:r w:rsidRPr="009F5601">
        <w:rPr>
          <w:rFonts w:ascii="Times New Roman" w:eastAsia="Times New Roman" w:hAnsi="Times New Roman" w:cs="Times New Roman"/>
          <w:sz w:val="24"/>
          <w:szCs w:val="24"/>
          <w:lang w:eastAsia="en-GB"/>
        </w:rPr>
        <w:lastRenderedPageBreak/>
        <w:t>tolerability over compromised or sensitised skin and their environmental impact are genuine concerns requiring systematic justification (Williams &amp; Barry, 2004). The development of aqueous or low-solvent FFS formulations with performance equivalent to their hydroalcoholic counterparts represents an important but incompletely addressed scientific challenge.</w:t>
      </w:r>
    </w:p>
    <w:p w14:paraId="52F891AE"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Long-term physical and chemical stability of FFS formulations—particularly those incorporating nanoparticulate carriers—is a recognised vulnerability. Nanoparticle agglomeration, Ostwald ripening in emulsified systems, and polymorphic transitions in lipid-based nanoparticles during storage can compromise the consistency of drug release performance and must be systematically managed through formulation design, packaging selection, and controlled storage conditions (Wissing et al., 2004). The adoption of dried </w:t>
      </w:r>
      <w:proofErr w:type="spellStart"/>
      <w:r w:rsidRPr="009F5601">
        <w:rPr>
          <w:rFonts w:ascii="Times New Roman" w:eastAsia="Times New Roman" w:hAnsi="Times New Roman" w:cs="Times New Roman"/>
          <w:sz w:val="24"/>
          <w:szCs w:val="24"/>
          <w:lang w:eastAsia="en-GB"/>
        </w:rPr>
        <w:t>reconstitutable</w:t>
      </w:r>
      <w:proofErr w:type="spellEnd"/>
      <w:r w:rsidRPr="009F5601">
        <w:rPr>
          <w:rFonts w:ascii="Times New Roman" w:eastAsia="Times New Roman" w:hAnsi="Times New Roman" w:cs="Times New Roman"/>
          <w:sz w:val="24"/>
          <w:szCs w:val="24"/>
          <w:lang w:eastAsia="en-GB"/>
        </w:rPr>
        <w:t xml:space="preserve"> formats, prepared by spray drying or freeze drying of the nanoparticle-containing liquid, addresses many colloidal stability challenges by eliminating the aqueous phase that drives particle growth and phase separation, but introduces additional manufacturing complexity and patient preparation steps (Sosnik &amp; </w:t>
      </w:r>
      <w:proofErr w:type="spellStart"/>
      <w:r w:rsidRPr="009F5601">
        <w:rPr>
          <w:rFonts w:ascii="Times New Roman" w:eastAsia="Times New Roman" w:hAnsi="Times New Roman" w:cs="Times New Roman"/>
          <w:sz w:val="24"/>
          <w:szCs w:val="24"/>
          <w:lang w:eastAsia="en-GB"/>
        </w:rPr>
        <w:t>Seremeta</w:t>
      </w:r>
      <w:proofErr w:type="spellEnd"/>
      <w:r w:rsidRPr="009F5601">
        <w:rPr>
          <w:rFonts w:ascii="Times New Roman" w:eastAsia="Times New Roman" w:hAnsi="Times New Roman" w:cs="Times New Roman"/>
          <w:sz w:val="24"/>
          <w:szCs w:val="24"/>
          <w:lang w:eastAsia="en-GB"/>
        </w:rPr>
        <w:t>, 2015).</w:t>
      </w:r>
    </w:p>
    <w:p w14:paraId="24F998EE"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10.2 Delivery Reproducibility and Patient Variability</w:t>
      </w:r>
    </w:p>
    <w:p w14:paraId="166C9856"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A persistently underappreciated challenge in FFS research is the variability in film quality and drug dose arising from differences in application technique between individual users. Unlike transdermal patches, which deliver a precisely defined dose by area, pump spray formulations are susceptible to inconsistencies in the volume delivered per actuation, the spray-to-skin distance, the angle of application, and the degree of spreading prior to film formation. These user-dependent variables can translate into meaningful differences in film thickness, drug loading per unit area, and ultimately drug bioavailability (</w:t>
      </w:r>
      <w:proofErr w:type="spellStart"/>
      <w:r w:rsidRPr="009F5601">
        <w:rPr>
          <w:rFonts w:ascii="Times New Roman" w:eastAsia="Times New Roman" w:hAnsi="Times New Roman" w:cs="Times New Roman"/>
          <w:sz w:val="24"/>
          <w:szCs w:val="24"/>
          <w:lang w:eastAsia="en-GB"/>
        </w:rPr>
        <w:t>Prausnitz</w:t>
      </w:r>
      <w:proofErr w:type="spellEnd"/>
      <w:r w:rsidRPr="009F5601">
        <w:rPr>
          <w:rFonts w:ascii="Times New Roman" w:eastAsia="Times New Roman" w:hAnsi="Times New Roman" w:cs="Times New Roman"/>
          <w:sz w:val="24"/>
          <w:szCs w:val="24"/>
          <w:lang w:eastAsia="en-GB"/>
        </w:rPr>
        <w:t xml:space="preserve"> &amp; Langer, 2008). The design of spray devices that minimise technique sensitivity—through feedback mechanisms, self-regulating actuators, or user training aids—is an engineering and human factors challenge with important clinical implications for dose consistency and therapeutic outcomes.</w:t>
      </w:r>
    </w:p>
    <w:p w14:paraId="5F1CE5B8"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Patient skin condition introduces further variability of genuine significance. The permeability of compromised, inflamed, or aged skin differs substantially from that of normal intact skin (Proksch et al., 2008), with implications for both the rate of drug absorption from the film and the tolerability of excipients, particularly solvents and penetration enhancers. Elderly patients, whose skin is characteristically thinner, more permeable, and more susceptible to irritation, represent a population for whom FFS formulations require particularly careful optimisation and dedicated tolerability assessment studies.</w:t>
      </w:r>
    </w:p>
    <w:p w14:paraId="72A5B2CF"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10.3 In Vitro–In Vivo Correlation</w:t>
      </w:r>
    </w:p>
    <w:p w14:paraId="59C9AFC6"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A recurrent limitation in the FFS literature is the relative scarcity of well-established and validated in vitro–in vivo correlations. Much of the published work characterises FFS performance through in vitro release and permeation studies using synthetic membranes or excised animal or human skin under static conditions that may inadequately replicate the dynamic complexity of the living tissue environment. The continuous renewal of the skin surface through desquamation, the movement of subcutaneous lymph and tissue fluid, variations in local skin temperature and blood flow with activity and posture, and the effects of physical movement on film integrity—collectively introduce in vivo variables that are challenging to model in vitro (Boateng &amp; Catanzano, 2015). The establishment of validated </w:t>
      </w:r>
      <w:r w:rsidRPr="009F5601">
        <w:rPr>
          <w:rFonts w:ascii="Times New Roman" w:eastAsia="Times New Roman" w:hAnsi="Times New Roman" w:cs="Times New Roman"/>
          <w:sz w:val="24"/>
          <w:szCs w:val="24"/>
          <w:lang w:eastAsia="en-GB"/>
        </w:rPr>
        <w:lastRenderedPageBreak/>
        <w:t>in vitro–in vivo correlations for FFS would substantially advance the field by enabling more confident in vitro prediction of in vivo performance, reducing animal testing requirements, and streamlining regulatory data packages.</w:t>
      </w:r>
    </w:p>
    <w:p w14:paraId="29693372" w14:textId="77777777" w:rsidR="009F5601" w:rsidRPr="009F5601" w:rsidRDefault="009F5601" w:rsidP="009F5601">
      <w:pPr>
        <w:spacing w:before="100" w:beforeAutospacing="1" w:after="100" w:afterAutospacing="1" w:line="240" w:lineRule="auto"/>
        <w:outlineLvl w:val="3"/>
        <w:rPr>
          <w:rFonts w:ascii="Times New Roman" w:eastAsia="Times New Roman" w:hAnsi="Times New Roman" w:cs="Times New Roman"/>
          <w:b/>
          <w:bCs/>
          <w:sz w:val="24"/>
          <w:szCs w:val="24"/>
          <w:lang w:eastAsia="en-GB"/>
        </w:rPr>
      </w:pPr>
      <w:r w:rsidRPr="009F5601">
        <w:rPr>
          <w:rFonts w:ascii="Times New Roman" w:eastAsia="Times New Roman" w:hAnsi="Times New Roman" w:cs="Times New Roman"/>
          <w:b/>
          <w:bCs/>
          <w:sz w:val="24"/>
          <w:szCs w:val="24"/>
          <w:lang w:eastAsia="en-GB"/>
        </w:rPr>
        <w:t>10.4 Regulatory and Translation Gaps</w:t>
      </w:r>
    </w:p>
    <w:p w14:paraId="43E76133"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 regulatory landscape for FFS remains in a state of evolution, with neither the EMA nor the FDA having published product-specific guidance addressing the unique characteristics of this dosage form. The application of existing guidance for transdermal patches (European Medicines Agency, 2014) or conventional topical semi-solids (U.S. Food and Drug Administration, </w:t>
      </w:r>
      <w:r w:rsidR="00456AB7">
        <w:rPr>
          <w:rFonts w:ascii="Times New Roman" w:eastAsia="Times New Roman" w:hAnsi="Times New Roman" w:cs="Times New Roman"/>
          <w:sz w:val="24"/>
          <w:szCs w:val="24"/>
          <w:lang w:eastAsia="en-GB"/>
        </w:rPr>
        <w:t>1998</w:t>
      </w:r>
      <w:r w:rsidRPr="009F5601">
        <w:rPr>
          <w:rFonts w:ascii="Times New Roman" w:eastAsia="Times New Roman" w:hAnsi="Times New Roman" w:cs="Times New Roman"/>
          <w:sz w:val="24"/>
          <w:szCs w:val="24"/>
          <w:lang w:eastAsia="en-GB"/>
        </w:rPr>
        <w:t>) provides a reasonable starting framework but may not be fully adequate for the characterisation requirements of nano-enabled, stimuli-responsive, or combination product FFS (International Council for Harmonisation, 2009). The absence of consensus on critical quality attributes specific to FFS—including standardised definitions and testing methods for film uniformity, adhesion strength, and spray pattern parameters—creates developmental uncertainty and may delay the translation of promising laboratory formulations into marketed products.</w:t>
      </w:r>
    </w:p>
    <w:p w14:paraId="1E88B1A1"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7D1327A1"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11. Conclusions</w:t>
      </w:r>
    </w:p>
    <w:p w14:paraId="62E449E4"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Film-forming spray systems represent a technologically sophisticated and clinically versatile class of drug delivery platform whose scientific development has accelerated substantially over the past two decades. Their capacity to form adherent, drug-loaded films on biological surfaces upon solvent evaporation confers unique advantages over conventional topical preparations, particularly in terms of coverage of irregular anatomical surfaces, customisable drug release kinetics, and the patient acceptability that is central to adherence and therapeutic success. The polymeric toolbox available to FFS formulators is extensive and continues to expand, with cellulose derivatives, polymethacrylates, chitosan, alginate, polyvinyl alcohol, and a growing portfolio of synthetic biodegradable and stimuli-responsive polymers each offering distinct and exploitable characteristics. The integration of nanocarrier systems—solid lipid nanoparticles, nanostructured lipid carriers, PLGA nanoparticles, liposomes, and </w:t>
      </w:r>
      <w:proofErr w:type="spellStart"/>
      <w:r w:rsidRPr="009F5601">
        <w:rPr>
          <w:rFonts w:ascii="Times New Roman" w:eastAsia="Times New Roman" w:hAnsi="Times New Roman" w:cs="Times New Roman"/>
          <w:sz w:val="24"/>
          <w:szCs w:val="24"/>
          <w:lang w:eastAsia="en-GB"/>
        </w:rPr>
        <w:t>ethosomes</w:t>
      </w:r>
      <w:proofErr w:type="spellEnd"/>
      <w:r w:rsidRPr="009F5601">
        <w:rPr>
          <w:rFonts w:ascii="Times New Roman" w:eastAsia="Times New Roman" w:hAnsi="Times New Roman" w:cs="Times New Roman"/>
          <w:sz w:val="24"/>
          <w:szCs w:val="24"/>
          <w:lang w:eastAsia="en-GB"/>
        </w:rPr>
        <w:t>—within FFS matrices has opened new avenues for achieving sustained, targeted drug release that would be difficult to realise with polymer matrices alone. Advances in stimuli-responsive polymer design, precision spray manufacturing, and additive manufacturing technologies further augment the capabilities available to developers of next-generation FFS.</w:t>
      </w:r>
    </w:p>
    <w:p w14:paraId="6AF39A26"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 xml:space="preserve">Therapeutic applications have matured most fully in wound care, where the combination of physical barrier function, exudate management, and controlled antimicrobial drug delivery makes FFS particularly compelling, and in nail drug delivery, where the persistent clinical challenge of onychomycosis continues to drive formulation innovation. Mucoadhesive, ocular, and dermatological applications offer promising prospects that justify continued research investment. Notwithstanding these advances, the field must contend with unresolved challenges in solvent safety, formulation stability, delivery reproducibility, in vitro–in vivo correlation, and a regulatory landscape that has yet to produce specific guidance for this dosage form. Addressing these challenges will require sustained and interdisciplinary collaboration between formulation scientists, polymer chemists, dermatologists, wound care specialists, bioanalytical chemists, and regulatory scientists. As the evidence base matures </w:t>
      </w:r>
      <w:r w:rsidRPr="009F5601">
        <w:rPr>
          <w:rFonts w:ascii="Times New Roman" w:eastAsia="Times New Roman" w:hAnsi="Times New Roman" w:cs="Times New Roman"/>
          <w:sz w:val="24"/>
          <w:szCs w:val="24"/>
          <w:lang w:eastAsia="en-GB"/>
        </w:rPr>
        <w:lastRenderedPageBreak/>
        <w:t>and regulatory frameworks adapt to accommodate this distinctive dosage form, film-forming spray systems appear well positioned to transition from scientifically promising platforms into broadly applied, clinically validated drug delivery modalities.</w:t>
      </w:r>
    </w:p>
    <w:p w14:paraId="1E6D9A58"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6DC6E33B"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12. Limitations</w:t>
      </w:r>
    </w:p>
    <w:p w14:paraId="0208304B"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This review is subject to several limitations that should be acknowledged when interpreting its conclusions. As a narrative rather than systematic review, the selection of included studies was guided by expert judgement and the defined conceptual scope rather than by a pre-registered protocol with exhaustive quantitative synthesis. This approach, whilst appropriate for the breadth and mechanistic diversity of the topic, introduces the potential for selection bias in which studies reporting positive or notable findings may be more prominently represented than those documenting negative results, formulation failures, or null clinical outcomes.</w:t>
      </w:r>
    </w:p>
    <w:p w14:paraId="0F31696B" w14:textId="77777777" w:rsidR="009F5601" w:rsidRPr="009F5601" w:rsidRDefault="009F5601" w:rsidP="009F5601">
      <w:pPr>
        <w:spacing w:before="100" w:beforeAutospacing="1" w:after="100" w:afterAutospacing="1" w:line="240" w:lineRule="auto"/>
        <w:rPr>
          <w:rFonts w:ascii="Times New Roman" w:eastAsia="Times New Roman" w:hAnsi="Times New Roman" w:cs="Times New Roman"/>
          <w:sz w:val="24"/>
          <w:szCs w:val="24"/>
          <w:lang w:eastAsia="en-GB"/>
        </w:rPr>
      </w:pPr>
      <w:r w:rsidRPr="009F5601">
        <w:rPr>
          <w:rFonts w:ascii="Times New Roman" w:eastAsia="Times New Roman" w:hAnsi="Times New Roman" w:cs="Times New Roman"/>
          <w:sz w:val="24"/>
          <w:szCs w:val="24"/>
          <w:lang w:eastAsia="en-GB"/>
        </w:rPr>
        <w:t>The rapidly evolving nature of the field means that several innovations described—particularly stimuli-responsive systems, three-dimensional printing applications, and reactive oxygen species-responsive formulations—are supported primarily by early-stage in vitro or pre-clinical data without clinical validation. The translation of favourable in vitro findings into human clinical outcomes is by no means guaranteed, and conclusions regarding therapeutic utility should be interpreted with appropriate caution until supported by robust clinical evidence. The heterogeneity of experimental models, membrane types, drug classes, polymer systems, and analytical methodologies across the reviewed literature makes direct quantitative comparison of performance parameters across different FFS formulations difficult—a limitation inherent to the current state of the field rather than to this review specifically. A language restriction to English-language publications may have resulted in the omission of relevant work published in other languages, notably from pharmaceutical science communities in continental Europe and East Asia in which non-English publication remains common. Finally, the literature search cutoff of April 2026 means that very recent publications and work completed after this date are not represented in the synthesis.</w:t>
      </w:r>
    </w:p>
    <w:p w14:paraId="75A5DBE0" w14:textId="77777777" w:rsidR="009F5601" w:rsidRPr="009F5601" w:rsidRDefault="009F5601" w:rsidP="009F5601">
      <w:pPr>
        <w:spacing w:after="0" w:line="240" w:lineRule="auto"/>
        <w:rPr>
          <w:rFonts w:ascii="Times New Roman" w:eastAsia="Times New Roman" w:hAnsi="Times New Roman" w:cs="Times New Roman"/>
          <w:sz w:val="24"/>
          <w:szCs w:val="24"/>
          <w:lang w:eastAsia="en-GB"/>
        </w:rPr>
      </w:pPr>
    </w:p>
    <w:p w14:paraId="76F12572" w14:textId="77777777" w:rsidR="009F5601" w:rsidRPr="009F5601" w:rsidRDefault="009F5601" w:rsidP="009F5601">
      <w:pPr>
        <w:spacing w:before="100" w:beforeAutospacing="1" w:after="100" w:afterAutospacing="1" w:line="240" w:lineRule="auto"/>
        <w:outlineLvl w:val="2"/>
        <w:rPr>
          <w:rFonts w:ascii="Times New Roman" w:eastAsia="Times New Roman" w:hAnsi="Times New Roman" w:cs="Times New Roman"/>
          <w:b/>
          <w:bCs/>
          <w:sz w:val="27"/>
          <w:szCs w:val="27"/>
          <w:lang w:eastAsia="en-GB"/>
        </w:rPr>
      </w:pPr>
      <w:r w:rsidRPr="009F5601">
        <w:rPr>
          <w:rFonts w:ascii="Times New Roman" w:eastAsia="Times New Roman" w:hAnsi="Times New Roman" w:cs="Times New Roman"/>
          <w:b/>
          <w:bCs/>
          <w:sz w:val="27"/>
          <w:szCs w:val="27"/>
          <w:lang w:eastAsia="en-GB"/>
        </w:rPr>
        <w:t>References</w:t>
      </w:r>
    </w:p>
    <w:p w14:paraId="1C367709"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Aderibigbe, B. A., &amp; Buyana, B. (2018). Alginate in wound dressings. Pharmaceutics, 10(2), Article 42. https://doi.org/10.3390/pharmaceutics10020042</w:t>
      </w:r>
    </w:p>
    <w:p w14:paraId="7081480B"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Allen, T. M., &amp; Cullis, P. R. (2013). Liposomal drug delivery systems: From concept to clinical applications. Advanced Drug Delivery Reviews, 65(1), 36–48. https://doi.org/10.1016/j.addr.2012.09.037</w:t>
      </w:r>
    </w:p>
    <w:p w14:paraId="2AB5BB8B"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Barry, B. W. (2001). Novel mechanisms and devices to enable successful transdermal drug delivery. European Journal of Pharmaceutical Sciences, 14(2), 101–114. https://doi.org/10.1016/S0928-0987(01)00167-1</w:t>
      </w:r>
    </w:p>
    <w:p w14:paraId="18E88C8E"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lastRenderedPageBreak/>
        <w:t>Boateng, J., &amp; Catanzano, O. (2015). Advanced therapeutic dressings for effective wound healing—a review. Journal of Pharmaceutical Sciences, 104(11), 3653–3680. https://doi.org/10.1002/jps.24610</w:t>
      </w:r>
    </w:p>
    <w:p w14:paraId="2C64DAE2"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Boateng, J. S., Matthews, K. H., Stevens, H. N. E., &amp; Eccleston, G. M. (2008). Wound healing dressings and drug delivery systems: A review. Journal of Pharmaceutical Sciences, 97(8), 2892–2923. https://doi.org/10.1002/jps.21210</w:t>
      </w:r>
    </w:p>
    <w:p w14:paraId="342DEBE4"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Costa, P., &amp; Sousa Lobo, J. M. (2001). </w:t>
      </w:r>
      <w:proofErr w:type="spellStart"/>
      <w:r w:rsidRPr="00456AB7">
        <w:rPr>
          <w:rFonts w:ascii="Times New Roman" w:hAnsi="Times New Roman" w:cs="Times New Roman"/>
          <w:sz w:val="24"/>
          <w:szCs w:val="24"/>
        </w:rPr>
        <w:t>Modeling</w:t>
      </w:r>
      <w:proofErr w:type="spellEnd"/>
      <w:r w:rsidRPr="00456AB7">
        <w:rPr>
          <w:rFonts w:ascii="Times New Roman" w:hAnsi="Times New Roman" w:cs="Times New Roman"/>
          <w:sz w:val="24"/>
          <w:szCs w:val="24"/>
        </w:rPr>
        <w:t xml:space="preserve"> and comparison of dissolution profiles. European Journal of Pharmaceutical Sciences, 13(2), 123–133. https://doi.org/10.1016/S0928-0987(01)00095-1</w:t>
      </w:r>
    </w:p>
    <w:p w14:paraId="60BF50D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Dash, M., Chiellini, F., </w:t>
      </w:r>
      <w:proofErr w:type="spellStart"/>
      <w:r w:rsidRPr="00456AB7">
        <w:rPr>
          <w:rFonts w:ascii="Times New Roman" w:hAnsi="Times New Roman" w:cs="Times New Roman"/>
          <w:sz w:val="24"/>
          <w:szCs w:val="24"/>
        </w:rPr>
        <w:t>Ottenbrite</w:t>
      </w:r>
      <w:proofErr w:type="spellEnd"/>
      <w:r w:rsidRPr="00456AB7">
        <w:rPr>
          <w:rFonts w:ascii="Times New Roman" w:hAnsi="Times New Roman" w:cs="Times New Roman"/>
          <w:sz w:val="24"/>
          <w:szCs w:val="24"/>
        </w:rPr>
        <w:t>, R. M., &amp; Chiellini, E. (2011). Chitosan—a versatile semi-synthetic polymer in biomedical applications. Progress in Polymer Science, 36(8), 981–1014. https://doi.org/10.1016/j.progpolymsci.2011.02.001</w:t>
      </w:r>
    </w:p>
    <w:p w14:paraId="268DE941"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DeMerlis, C. C., &amp; </w:t>
      </w:r>
      <w:proofErr w:type="spellStart"/>
      <w:r w:rsidRPr="00456AB7">
        <w:rPr>
          <w:rFonts w:ascii="Times New Roman" w:hAnsi="Times New Roman" w:cs="Times New Roman"/>
          <w:sz w:val="24"/>
          <w:szCs w:val="24"/>
        </w:rPr>
        <w:t>Schoneker</w:t>
      </w:r>
      <w:proofErr w:type="spellEnd"/>
      <w:r w:rsidRPr="00456AB7">
        <w:rPr>
          <w:rFonts w:ascii="Times New Roman" w:hAnsi="Times New Roman" w:cs="Times New Roman"/>
          <w:sz w:val="24"/>
          <w:szCs w:val="24"/>
        </w:rPr>
        <w:t>, D. R. (2003). Review of the oral toxicity of polyvinyl alcohol (PVA). Food and Chemical Toxicology, 41(3), 319–326. https://doi.org/10.1016/S0278-6915(02)00258-2</w:t>
      </w:r>
    </w:p>
    <w:p w14:paraId="2D3A3A95"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Dinge, A., &amp; </w:t>
      </w:r>
      <w:proofErr w:type="spellStart"/>
      <w:r w:rsidRPr="00456AB7">
        <w:rPr>
          <w:rFonts w:ascii="Times New Roman" w:hAnsi="Times New Roman" w:cs="Times New Roman"/>
          <w:sz w:val="24"/>
          <w:szCs w:val="24"/>
        </w:rPr>
        <w:t>Nagarsenker</w:t>
      </w:r>
      <w:proofErr w:type="spellEnd"/>
      <w:r w:rsidRPr="00456AB7">
        <w:rPr>
          <w:rFonts w:ascii="Times New Roman" w:hAnsi="Times New Roman" w:cs="Times New Roman"/>
          <w:sz w:val="24"/>
          <w:szCs w:val="24"/>
        </w:rPr>
        <w:t xml:space="preserve">, M. (2008). Formulation and evaluation of fast dissolving films for delivery of triclosan to the oral cavity. AAPS </w:t>
      </w:r>
      <w:proofErr w:type="spellStart"/>
      <w:r w:rsidRPr="00456AB7">
        <w:rPr>
          <w:rFonts w:ascii="Times New Roman" w:hAnsi="Times New Roman" w:cs="Times New Roman"/>
          <w:sz w:val="24"/>
          <w:szCs w:val="24"/>
        </w:rPr>
        <w:t>PharmSciTech</w:t>
      </w:r>
      <w:proofErr w:type="spellEnd"/>
      <w:r w:rsidRPr="00456AB7">
        <w:rPr>
          <w:rFonts w:ascii="Times New Roman" w:hAnsi="Times New Roman" w:cs="Times New Roman"/>
          <w:sz w:val="24"/>
          <w:szCs w:val="24"/>
        </w:rPr>
        <w:t xml:space="preserve">, 9(2), 349–356. https://doi.org/10.1208/s12249-008-9047-7 </w:t>
      </w:r>
    </w:p>
    <w:p w14:paraId="2DE6230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Dixit, R. P., &amp; Puthli, S. P. (2009). Oral strip technology: Overview and future potential. Journal of Controlled Release, 139(2), 94–107. https://doi.org/10.1016/j.jconrel.2009.06.014</w:t>
      </w:r>
    </w:p>
    <w:p w14:paraId="70DB50AF"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Eming</w:t>
      </w:r>
      <w:proofErr w:type="spellEnd"/>
      <w:r w:rsidRPr="00456AB7">
        <w:rPr>
          <w:rFonts w:ascii="Times New Roman" w:hAnsi="Times New Roman" w:cs="Times New Roman"/>
          <w:sz w:val="24"/>
          <w:szCs w:val="24"/>
        </w:rPr>
        <w:t>, S. A., Martin, P., &amp; Tomic-</w:t>
      </w:r>
      <w:proofErr w:type="spellStart"/>
      <w:r w:rsidRPr="00456AB7">
        <w:rPr>
          <w:rFonts w:ascii="Times New Roman" w:hAnsi="Times New Roman" w:cs="Times New Roman"/>
          <w:sz w:val="24"/>
          <w:szCs w:val="24"/>
        </w:rPr>
        <w:t>Canic</w:t>
      </w:r>
      <w:proofErr w:type="spellEnd"/>
      <w:r w:rsidRPr="00456AB7">
        <w:rPr>
          <w:rFonts w:ascii="Times New Roman" w:hAnsi="Times New Roman" w:cs="Times New Roman"/>
          <w:sz w:val="24"/>
          <w:szCs w:val="24"/>
        </w:rPr>
        <w:t xml:space="preserve">, M. (2014). Wound repair and regeneration: Mechanisms, </w:t>
      </w:r>
      <w:proofErr w:type="spellStart"/>
      <w:r w:rsidRPr="00456AB7">
        <w:rPr>
          <w:rFonts w:ascii="Times New Roman" w:hAnsi="Times New Roman" w:cs="Times New Roman"/>
          <w:sz w:val="24"/>
          <w:szCs w:val="24"/>
        </w:rPr>
        <w:t>signaling</w:t>
      </w:r>
      <w:proofErr w:type="spellEnd"/>
      <w:r w:rsidRPr="00456AB7">
        <w:rPr>
          <w:rFonts w:ascii="Times New Roman" w:hAnsi="Times New Roman" w:cs="Times New Roman"/>
          <w:sz w:val="24"/>
          <w:szCs w:val="24"/>
        </w:rPr>
        <w:t>, and translation. Science Translational Medicine, 6(265), 265sr6. https://doi.org/10.1126/scitranslmed.3009337</w:t>
      </w:r>
    </w:p>
    <w:p w14:paraId="28B334C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European Medicines Agency. (2014). Guideline on quality of transdermal patches (EMA/CHMP/QWP/608924/2014). https://www.ema.europa.eu/en/quality-transdermal-patches-scientific-guideline</w:t>
      </w:r>
    </w:p>
    <w:p w14:paraId="7DFD4D3F"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Gaudana</w:t>
      </w:r>
      <w:proofErr w:type="spellEnd"/>
      <w:r w:rsidRPr="00456AB7">
        <w:rPr>
          <w:rFonts w:ascii="Times New Roman" w:hAnsi="Times New Roman" w:cs="Times New Roman"/>
          <w:sz w:val="24"/>
          <w:szCs w:val="24"/>
        </w:rPr>
        <w:t xml:space="preserve">, R., </w:t>
      </w:r>
      <w:proofErr w:type="spellStart"/>
      <w:r w:rsidRPr="00456AB7">
        <w:rPr>
          <w:rFonts w:ascii="Times New Roman" w:hAnsi="Times New Roman" w:cs="Times New Roman"/>
          <w:sz w:val="24"/>
          <w:szCs w:val="24"/>
        </w:rPr>
        <w:t>Ananthula</w:t>
      </w:r>
      <w:proofErr w:type="spellEnd"/>
      <w:r w:rsidRPr="00456AB7">
        <w:rPr>
          <w:rFonts w:ascii="Times New Roman" w:hAnsi="Times New Roman" w:cs="Times New Roman"/>
          <w:sz w:val="24"/>
          <w:szCs w:val="24"/>
        </w:rPr>
        <w:t xml:space="preserve">, H. K., </w:t>
      </w:r>
      <w:proofErr w:type="spellStart"/>
      <w:r w:rsidRPr="00456AB7">
        <w:rPr>
          <w:rFonts w:ascii="Times New Roman" w:hAnsi="Times New Roman" w:cs="Times New Roman"/>
          <w:sz w:val="24"/>
          <w:szCs w:val="24"/>
        </w:rPr>
        <w:t>Parenky</w:t>
      </w:r>
      <w:proofErr w:type="spellEnd"/>
      <w:r w:rsidRPr="00456AB7">
        <w:rPr>
          <w:rFonts w:ascii="Times New Roman" w:hAnsi="Times New Roman" w:cs="Times New Roman"/>
          <w:sz w:val="24"/>
          <w:szCs w:val="24"/>
        </w:rPr>
        <w:t>, A., &amp; Mitra, A. K. (2010). Ocular drug delivery. The AAPS Journal, 12(3), 348–360. https://doi.org/10.1208/s12248-010-9183-3</w:t>
      </w:r>
    </w:p>
    <w:p w14:paraId="7989739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Grant, M. J., &amp; Booth, A. (2009). A typology of reviews: An analysis of 14 review types and associated methodologies. Health Information &amp; Libraries Journal, 26(2), 91–108. https://doi.org/10.1111/j.1471-1842.2009.00848.x</w:t>
      </w:r>
    </w:p>
    <w:p w14:paraId="2924D5C1"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Grice, E. A., &amp; Segre, J. A. (2011). The skin microbiome. Nature Reviews Microbiology, 9(4), 244–253. https://doi.org/10.1038/nrmicro2537</w:t>
      </w:r>
    </w:p>
    <w:p w14:paraId="05291BDE"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Gunt</w:t>
      </w:r>
      <w:proofErr w:type="spellEnd"/>
      <w:r w:rsidRPr="00456AB7">
        <w:rPr>
          <w:rFonts w:ascii="Times New Roman" w:hAnsi="Times New Roman" w:cs="Times New Roman"/>
          <w:sz w:val="24"/>
          <w:szCs w:val="24"/>
        </w:rPr>
        <w:t xml:space="preserve">, H. B., &amp; Kasting, G. B. (2007). Effect of hydration on the permeation of ketoconazole through human nail plate in vitro. European Journal of Pharmaceutical Sciences, 32(4–5), 254–260. https://doi.org/10.1016/j.ejps.2007.07.009 </w:t>
      </w:r>
    </w:p>
    <w:p w14:paraId="151EC375"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lastRenderedPageBreak/>
        <w:t>Hadgraft</w:t>
      </w:r>
      <w:proofErr w:type="spellEnd"/>
      <w:r w:rsidRPr="00456AB7">
        <w:rPr>
          <w:rFonts w:ascii="Times New Roman" w:hAnsi="Times New Roman" w:cs="Times New Roman"/>
          <w:sz w:val="24"/>
          <w:szCs w:val="24"/>
        </w:rPr>
        <w:t xml:space="preserve">, J., &amp; Lane, M. E. (2016). Drug crystallization—implications for topical and transdermal delivery. Expert Opinion on Drug Delivery, 13(6), 817–830. https://doi.org/10.1517/17425247.2016.1140146 </w:t>
      </w:r>
    </w:p>
    <w:p w14:paraId="583D0EA2"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Hamman, J. H. (2010). Chitosan based polyelectrolyte complexes as potential carrier materials in drug delivery systems. Marine Drugs, 8(4), 1305–1322. https://doi.org/10.3390/md8041305</w:t>
      </w:r>
    </w:p>
    <w:p w14:paraId="3967405B"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Hoare, T. R., &amp; </w:t>
      </w:r>
      <w:proofErr w:type="spellStart"/>
      <w:r w:rsidRPr="00456AB7">
        <w:rPr>
          <w:rFonts w:ascii="Times New Roman" w:hAnsi="Times New Roman" w:cs="Times New Roman"/>
          <w:sz w:val="24"/>
          <w:szCs w:val="24"/>
        </w:rPr>
        <w:t>Kohane</w:t>
      </w:r>
      <w:proofErr w:type="spellEnd"/>
      <w:r w:rsidRPr="00456AB7">
        <w:rPr>
          <w:rFonts w:ascii="Times New Roman" w:hAnsi="Times New Roman" w:cs="Times New Roman"/>
          <w:sz w:val="24"/>
          <w:szCs w:val="24"/>
        </w:rPr>
        <w:t>, D. S. (2008). Hydrogels in drug delivery: Progress and challenges. Polymer, 49(8), 1993–2007. https://doi.org/10.1016/j.polymer.2008.01.027</w:t>
      </w:r>
    </w:p>
    <w:p w14:paraId="491CC54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Illum, L. (2003). Nasal drug delivery—possibilities, problems and solutions. Journal of Controlled Release, 87(1–3), 187–198. https://doi.org/10.1016/S0168-3659(02)00363-2</w:t>
      </w:r>
    </w:p>
    <w:p w14:paraId="6FC986BD"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International Council for Harmonisation. (2009). ICH harmonised tripartite guideline: Pharmaceutical development Q8(R2). https://database.ich.org/sites/default/files/Q8_R2_Guideline.pdf</w:t>
      </w:r>
    </w:p>
    <w:p w14:paraId="2142FF37"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Jamróz</w:t>
      </w:r>
      <w:proofErr w:type="spellEnd"/>
      <w:r w:rsidRPr="00456AB7">
        <w:rPr>
          <w:rFonts w:ascii="Times New Roman" w:hAnsi="Times New Roman" w:cs="Times New Roman"/>
          <w:sz w:val="24"/>
          <w:szCs w:val="24"/>
        </w:rPr>
        <w:t>, W., Szafraniec, J., Kurek, M., &amp; Jachowicz, R. (2018). 3D printing in pharmaceutical and medical applications—recent achievements and challenges. Pharmaceutical Research, 35(9), Article 176. https://doi.org/10.1007/s11095-018-2454-x</w:t>
      </w:r>
    </w:p>
    <w:p w14:paraId="2245B2E1"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Kamoun, E. A., Kenawy, E.-R. S., &amp; Chen, X. (2017). A review on polymeric hydrogel membranes for wound dressing applications: PVA-based hydrogel dressings. Journal of Advanced Research, 8(3), 217–233. https://doi.org/10.1016/j.jare.2017.01.005</w:t>
      </w:r>
    </w:p>
    <w:p w14:paraId="66EC29AB"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Karande</w:t>
      </w:r>
      <w:proofErr w:type="spellEnd"/>
      <w:r w:rsidRPr="00456AB7">
        <w:rPr>
          <w:rFonts w:ascii="Times New Roman" w:hAnsi="Times New Roman" w:cs="Times New Roman"/>
          <w:sz w:val="24"/>
          <w:szCs w:val="24"/>
        </w:rPr>
        <w:t>, P., Jain, A., Ergun, K., Kispersky, V., &amp; Mitragotri, S. (2005). Design principles of chemical penetration enhancers for transdermal drug delivery. Proceedings of the National Academy of Sciences of the United States of America, 102(13), 4688–4693. https://doi.org/10.1073/pnas.0501176102</w:t>
      </w:r>
    </w:p>
    <w:p w14:paraId="0D076D5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Makadia, H. K., &amp; Siegel, S. J. (2011). Poly lactic-co-glycolic acid (PLGA) as biodegradable controlled drug delivery carrier. Polymers, 3(3), 1377–1397. https://doi.org/10.3390/polym3031377</w:t>
      </w:r>
    </w:p>
    <w:p w14:paraId="70FABC35"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Morales, J. O., &amp; McConville, J. T. (2011). Manufacture and characterization of mucoadhesive buccal films. European Journal of Pharmaceutics and Biopharmaceutics, 77(2), 187–199. https://doi.org/10.1016/j.ejpb.2010.11.023</w:t>
      </w:r>
    </w:p>
    <w:p w14:paraId="5E132507"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Müller, R. H., </w:t>
      </w:r>
      <w:proofErr w:type="spellStart"/>
      <w:r w:rsidRPr="00456AB7">
        <w:rPr>
          <w:rFonts w:ascii="Times New Roman" w:hAnsi="Times New Roman" w:cs="Times New Roman"/>
          <w:sz w:val="24"/>
          <w:szCs w:val="24"/>
        </w:rPr>
        <w:t>Mäder</w:t>
      </w:r>
      <w:proofErr w:type="spellEnd"/>
      <w:r w:rsidRPr="00456AB7">
        <w:rPr>
          <w:rFonts w:ascii="Times New Roman" w:hAnsi="Times New Roman" w:cs="Times New Roman"/>
          <w:sz w:val="24"/>
          <w:szCs w:val="24"/>
        </w:rPr>
        <w:t xml:space="preserve">, K., &amp; </w:t>
      </w:r>
      <w:proofErr w:type="spellStart"/>
      <w:r w:rsidRPr="00456AB7">
        <w:rPr>
          <w:rFonts w:ascii="Times New Roman" w:hAnsi="Times New Roman" w:cs="Times New Roman"/>
          <w:sz w:val="24"/>
          <w:szCs w:val="24"/>
        </w:rPr>
        <w:t>Gohla</w:t>
      </w:r>
      <w:proofErr w:type="spellEnd"/>
      <w:r w:rsidRPr="00456AB7">
        <w:rPr>
          <w:rFonts w:ascii="Times New Roman" w:hAnsi="Times New Roman" w:cs="Times New Roman"/>
          <w:sz w:val="24"/>
          <w:szCs w:val="24"/>
        </w:rPr>
        <w:t>, S. (2000). Solid lipid nanoparticles (SLN) for controlled drug delivery: A review of the state of the art. European Journal of Pharmaceutics and Biopharmaceutics, 50(1), 161–177. https://doi.org/10.1016/S0939-6411(00)00087-4</w:t>
      </w:r>
    </w:p>
    <w:p w14:paraId="1F806D6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Murdan</w:t>
      </w:r>
      <w:proofErr w:type="spellEnd"/>
      <w:r w:rsidRPr="00456AB7">
        <w:rPr>
          <w:rFonts w:ascii="Times New Roman" w:hAnsi="Times New Roman" w:cs="Times New Roman"/>
          <w:sz w:val="24"/>
          <w:szCs w:val="24"/>
        </w:rPr>
        <w:t xml:space="preserve">, S. (2002). Drug delivery to the nail following topical application. International Journal of Pharmaceutics, 236(1–2), 1–26. https://doi.org/10.1016/S0378-5173(01)00989-9 </w:t>
      </w:r>
    </w:p>
    <w:p w14:paraId="1CF23641"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Nastiti</w:t>
      </w:r>
      <w:proofErr w:type="spellEnd"/>
      <w:r w:rsidRPr="00456AB7">
        <w:rPr>
          <w:rFonts w:ascii="Times New Roman" w:hAnsi="Times New Roman" w:cs="Times New Roman"/>
          <w:sz w:val="24"/>
          <w:szCs w:val="24"/>
        </w:rPr>
        <w:t>, C. M. R. R., Ponto, T., Abd, E., Grice, J. E., Benson, H. A. E., &amp; Roberts, M. S. (2017). Topical nano and microemulsions for skin delivery. Pharmaceutics, 9(4), 37. https://doi.org/10.3390/pharmaceutics9040037</w:t>
      </w:r>
    </w:p>
    <w:p w14:paraId="13181EAD"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lastRenderedPageBreak/>
        <w:t xml:space="preserve">Pardeike, J., </w:t>
      </w:r>
      <w:proofErr w:type="spellStart"/>
      <w:r w:rsidRPr="00456AB7">
        <w:rPr>
          <w:rFonts w:ascii="Times New Roman" w:hAnsi="Times New Roman" w:cs="Times New Roman"/>
          <w:sz w:val="24"/>
          <w:szCs w:val="24"/>
        </w:rPr>
        <w:t>Hommoss</w:t>
      </w:r>
      <w:proofErr w:type="spellEnd"/>
      <w:r w:rsidRPr="00456AB7">
        <w:rPr>
          <w:rFonts w:ascii="Times New Roman" w:hAnsi="Times New Roman" w:cs="Times New Roman"/>
          <w:sz w:val="24"/>
          <w:szCs w:val="24"/>
        </w:rPr>
        <w:t>, A., &amp; Müller, R. H. (2009). Lipid nanoparticles (SLN, NLC) in cosmetic and pharmaceutical dermal products. International Journal of Pharmaceutics, 366(1–2), 170–184. https://doi.org/10.1016/j.ijpharm.2008.10.003</w:t>
      </w:r>
    </w:p>
    <w:p w14:paraId="1F5D9C21"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Pawar, H. V., Tetteh, J., &amp; Boateng, J. S. (2013). Preparation, optimisation and characterisation of novel wound healing film dressings loaded with streptomycin and diclofenac. Colloids and Surfaces B: </w:t>
      </w:r>
      <w:proofErr w:type="spellStart"/>
      <w:r w:rsidRPr="00456AB7">
        <w:rPr>
          <w:rFonts w:ascii="Times New Roman" w:hAnsi="Times New Roman" w:cs="Times New Roman"/>
          <w:sz w:val="24"/>
          <w:szCs w:val="24"/>
        </w:rPr>
        <w:t>Biointerfaces</w:t>
      </w:r>
      <w:proofErr w:type="spellEnd"/>
      <w:r w:rsidRPr="00456AB7">
        <w:rPr>
          <w:rFonts w:ascii="Times New Roman" w:hAnsi="Times New Roman" w:cs="Times New Roman"/>
          <w:sz w:val="24"/>
          <w:szCs w:val="24"/>
        </w:rPr>
        <w:t>, 102, 102–110. https://doi.org/10.1016/j.colsurfb.2012.08.014</w:t>
      </w:r>
    </w:p>
    <w:p w14:paraId="653B6A30"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Percival, S. L., Suleman, L., Vuotto, C., &amp; Donelli, G. (2015). Healthcare-associated infections, medical devices and biofilms: Risk, tolerance and control. Journal of Medical Microbiology, 64(4), 323–334. https://doi.org/10.1099/jmm.0.000032</w:t>
      </w:r>
    </w:p>
    <w:p w14:paraId="3365A93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Prausnitz</w:t>
      </w:r>
      <w:proofErr w:type="spellEnd"/>
      <w:r w:rsidRPr="00456AB7">
        <w:rPr>
          <w:rFonts w:ascii="Times New Roman" w:hAnsi="Times New Roman" w:cs="Times New Roman"/>
          <w:sz w:val="24"/>
          <w:szCs w:val="24"/>
        </w:rPr>
        <w:t>, M. R., &amp; Langer, R. (2008). Transdermal drug delivery. Nature Biotechnology, 26(11), 1261–1268. https://doi.org/10.1038/nbt.1504</w:t>
      </w:r>
    </w:p>
    <w:p w14:paraId="5E19DE3A"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Proksch, E., Brandner, J. M., &amp; Jensen, J. M. (2008). The skin: An indispensable barrier. Experimental Dermatology, 17(12), 1063–1072. https://doi.org/10.1111/j.1600-0625.2008.00786.x</w:t>
      </w:r>
    </w:p>
    <w:p w14:paraId="216F2DD7"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Repka, M. A., &amp; McGinity, J. W. (2000). Physical–mechanical, moisture absorption and </w:t>
      </w:r>
      <w:proofErr w:type="spellStart"/>
      <w:r w:rsidRPr="00456AB7">
        <w:rPr>
          <w:rFonts w:ascii="Times New Roman" w:hAnsi="Times New Roman" w:cs="Times New Roman"/>
          <w:sz w:val="24"/>
          <w:szCs w:val="24"/>
        </w:rPr>
        <w:t>bioadhesive</w:t>
      </w:r>
      <w:proofErr w:type="spellEnd"/>
      <w:r w:rsidRPr="00456AB7">
        <w:rPr>
          <w:rFonts w:ascii="Times New Roman" w:hAnsi="Times New Roman" w:cs="Times New Roman"/>
          <w:sz w:val="24"/>
          <w:szCs w:val="24"/>
        </w:rPr>
        <w:t xml:space="preserve"> properties of </w:t>
      </w:r>
      <w:proofErr w:type="spellStart"/>
      <w:r w:rsidRPr="00456AB7">
        <w:rPr>
          <w:rFonts w:ascii="Times New Roman" w:hAnsi="Times New Roman" w:cs="Times New Roman"/>
          <w:sz w:val="24"/>
          <w:szCs w:val="24"/>
        </w:rPr>
        <w:t>hydroxypropylcellulose</w:t>
      </w:r>
      <w:proofErr w:type="spellEnd"/>
      <w:r w:rsidRPr="00456AB7">
        <w:rPr>
          <w:rFonts w:ascii="Times New Roman" w:hAnsi="Times New Roman" w:cs="Times New Roman"/>
          <w:sz w:val="24"/>
          <w:szCs w:val="24"/>
        </w:rPr>
        <w:t xml:space="preserve"> hot-melt extruded films. Biomaterials, 21(14), 1509–1517. https://doi.org/10.1016/S0142-9612(00)00046-6 </w:t>
      </w:r>
    </w:p>
    <w:p w14:paraId="413E519E"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Ritger, P. L., &amp; Peppas, N. A. (1987). A simple equation for description of solute release I: </w:t>
      </w:r>
      <w:proofErr w:type="spellStart"/>
      <w:r w:rsidRPr="00456AB7">
        <w:rPr>
          <w:rFonts w:ascii="Times New Roman" w:hAnsi="Times New Roman" w:cs="Times New Roman"/>
          <w:sz w:val="24"/>
          <w:szCs w:val="24"/>
        </w:rPr>
        <w:t>Fickian</w:t>
      </w:r>
      <w:proofErr w:type="spellEnd"/>
      <w:r w:rsidRPr="00456AB7">
        <w:rPr>
          <w:rFonts w:ascii="Times New Roman" w:hAnsi="Times New Roman" w:cs="Times New Roman"/>
          <w:sz w:val="24"/>
          <w:szCs w:val="24"/>
        </w:rPr>
        <w:t xml:space="preserve"> and non-</w:t>
      </w:r>
      <w:proofErr w:type="spellStart"/>
      <w:r w:rsidRPr="00456AB7">
        <w:rPr>
          <w:rFonts w:ascii="Times New Roman" w:hAnsi="Times New Roman" w:cs="Times New Roman"/>
          <w:sz w:val="24"/>
          <w:szCs w:val="24"/>
        </w:rPr>
        <w:t>fickian</w:t>
      </w:r>
      <w:proofErr w:type="spellEnd"/>
      <w:r w:rsidRPr="00456AB7">
        <w:rPr>
          <w:rFonts w:ascii="Times New Roman" w:hAnsi="Times New Roman" w:cs="Times New Roman"/>
          <w:sz w:val="24"/>
          <w:szCs w:val="24"/>
        </w:rPr>
        <w:t xml:space="preserve"> release from non-swellable devices in the form of slabs, spheres, cylinders or discs. Journal of Controlled Release, 5(1), 23–36. https://doi.org/10.1016/0168-3659(87)90034-4</w:t>
      </w:r>
    </w:p>
    <w:p w14:paraId="0ECE034D"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Siepmann, F., Siepmann, J., Walther, M., MacRae, R. J., &amp; </w:t>
      </w:r>
      <w:proofErr w:type="spellStart"/>
      <w:r w:rsidRPr="00456AB7">
        <w:rPr>
          <w:rFonts w:ascii="Times New Roman" w:hAnsi="Times New Roman" w:cs="Times New Roman"/>
          <w:sz w:val="24"/>
          <w:szCs w:val="24"/>
        </w:rPr>
        <w:t>Bodmeier</w:t>
      </w:r>
      <w:proofErr w:type="spellEnd"/>
      <w:r w:rsidRPr="00456AB7">
        <w:rPr>
          <w:rFonts w:ascii="Times New Roman" w:hAnsi="Times New Roman" w:cs="Times New Roman"/>
          <w:sz w:val="24"/>
          <w:szCs w:val="24"/>
        </w:rPr>
        <w:t>, R. (2008). Polymer blends for controlled release coatings. Journal of Controlled Release, 125(1), 1–15. https://doi.org/10.1016/j.jconrel.2007.09.012</w:t>
      </w:r>
    </w:p>
    <w:p w14:paraId="10615FD7"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Siepmann, J., &amp; Peppas, N. A. (2001). </w:t>
      </w:r>
      <w:proofErr w:type="spellStart"/>
      <w:r w:rsidRPr="00456AB7">
        <w:rPr>
          <w:rFonts w:ascii="Times New Roman" w:hAnsi="Times New Roman" w:cs="Times New Roman"/>
          <w:sz w:val="24"/>
          <w:szCs w:val="24"/>
        </w:rPr>
        <w:t>Modeling</w:t>
      </w:r>
      <w:proofErr w:type="spellEnd"/>
      <w:r w:rsidRPr="00456AB7">
        <w:rPr>
          <w:rFonts w:ascii="Times New Roman" w:hAnsi="Times New Roman" w:cs="Times New Roman"/>
          <w:sz w:val="24"/>
          <w:szCs w:val="24"/>
        </w:rPr>
        <w:t xml:space="preserve"> of drug release from delivery systems based on hydroxypropyl methylcellulose (HPMC). Advanced Drug Delivery Reviews, 48(2–3), 139–157. https://doi.org/10.1016/S0169-409X(01)00112-0</w:t>
      </w:r>
    </w:p>
    <w:p w14:paraId="02A67DC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Smart, J. D. (2005). The basics and underlying mechanisms of </w:t>
      </w:r>
      <w:proofErr w:type="spellStart"/>
      <w:r w:rsidRPr="00456AB7">
        <w:rPr>
          <w:rFonts w:ascii="Times New Roman" w:hAnsi="Times New Roman" w:cs="Times New Roman"/>
          <w:sz w:val="24"/>
          <w:szCs w:val="24"/>
        </w:rPr>
        <w:t>mucoadhesion</w:t>
      </w:r>
      <w:proofErr w:type="spellEnd"/>
      <w:r w:rsidRPr="00456AB7">
        <w:rPr>
          <w:rFonts w:ascii="Times New Roman" w:hAnsi="Times New Roman" w:cs="Times New Roman"/>
          <w:sz w:val="24"/>
          <w:szCs w:val="24"/>
        </w:rPr>
        <w:t>. Advanced Drug Delivery Reviews, 57(11), 1556–1568. https://doi.org/10.1016/j.addr.2005.07.001</w:t>
      </w:r>
    </w:p>
    <w:p w14:paraId="4834A18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proofErr w:type="spellStart"/>
      <w:r w:rsidRPr="00456AB7">
        <w:rPr>
          <w:rFonts w:ascii="Times New Roman" w:hAnsi="Times New Roman" w:cs="Times New Roman"/>
          <w:sz w:val="24"/>
          <w:szCs w:val="24"/>
        </w:rPr>
        <w:t>Soppimath</w:t>
      </w:r>
      <w:proofErr w:type="spellEnd"/>
      <w:r w:rsidRPr="00456AB7">
        <w:rPr>
          <w:rFonts w:ascii="Times New Roman" w:hAnsi="Times New Roman" w:cs="Times New Roman"/>
          <w:sz w:val="24"/>
          <w:szCs w:val="24"/>
        </w:rPr>
        <w:t xml:space="preserve">, K. S., </w:t>
      </w:r>
      <w:proofErr w:type="spellStart"/>
      <w:r w:rsidRPr="00456AB7">
        <w:rPr>
          <w:rFonts w:ascii="Times New Roman" w:hAnsi="Times New Roman" w:cs="Times New Roman"/>
          <w:sz w:val="24"/>
          <w:szCs w:val="24"/>
        </w:rPr>
        <w:t>Aminabhavi</w:t>
      </w:r>
      <w:proofErr w:type="spellEnd"/>
      <w:r w:rsidRPr="00456AB7">
        <w:rPr>
          <w:rFonts w:ascii="Times New Roman" w:hAnsi="Times New Roman" w:cs="Times New Roman"/>
          <w:sz w:val="24"/>
          <w:szCs w:val="24"/>
        </w:rPr>
        <w:t>, T. M., Kulkarni, A. R., &amp; Rudzinski, W. E. (2001). Biodegradable polymeric nanoparticles as drug delivery devices. Journal of Controlled Release, 70(1–2), 1–20. https://doi.org/10.1016/S0168-3659(00)00339-4</w:t>
      </w:r>
    </w:p>
    <w:p w14:paraId="262658A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Sosnik, A., &amp; </w:t>
      </w:r>
      <w:proofErr w:type="spellStart"/>
      <w:r w:rsidRPr="00456AB7">
        <w:rPr>
          <w:rFonts w:ascii="Times New Roman" w:hAnsi="Times New Roman" w:cs="Times New Roman"/>
          <w:sz w:val="24"/>
          <w:szCs w:val="24"/>
        </w:rPr>
        <w:t>Seremeta</w:t>
      </w:r>
      <w:proofErr w:type="spellEnd"/>
      <w:r w:rsidRPr="00456AB7">
        <w:rPr>
          <w:rFonts w:ascii="Times New Roman" w:hAnsi="Times New Roman" w:cs="Times New Roman"/>
          <w:sz w:val="24"/>
          <w:szCs w:val="24"/>
        </w:rPr>
        <w:t>, K. P. (2015). Advantages and challenges of the spray-drying technology for the production of pure drug particles and drug-loaded polymeric carriers. Advances in Colloid and Interface Science, 223, 40–54. https://doi.org/10.1016/j.cis.2015.05.003</w:t>
      </w:r>
    </w:p>
    <w:p w14:paraId="28247CAD"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lastRenderedPageBreak/>
        <w:t xml:space="preserve">Stuart, M. A. C., Huck, W. T. S., Genzer, J., Müller, M., Ober, C., Stamm, M., Sukhorukov, G. B., </w:t>
      </w:r>
      <w:proofErr w:type="spellStart"/>
      <w:r w:rsidRPr="00456AB7">
        <w:rPr>
          <w:rFonts w:ascii="Times New Roman" w:hAnsi="Times New Roman" w:cs="Times New Roman"/>
          <w:sz w:val="24"/>
          <w:szCs w:val="24"/>
        </w:rPr>
        <w:t>Szleifer</w:t>
      </w:r>
      <w:proofErr w:type="spellEnd"/>
      <w:r w:rsidRPr="00456AB7">
        <w:rPr>
          <w:rFonts w:ascii="Times New Roman" w:hAnsi="Times New Roman" w:cs="Times New Roman"/>
          <w:sz w:val="24"/>
          <w:szCs w:val="24"/>
        </w:rPr>
        <w:t xml:space="preserve">, I., </w:t>
      </w:r>
      <w:proofErr w:type="spellStart"/>
      <w:r w:rsidRPr="00456AB7">
        <w:rPr>
          <w:rFonts w:ascii="Times New Roman" w:hAnsi="Times New Roman" w:cs="Times New Roman"/>
          <w:sz w:val="24"/>
          <w:szCs w:val="24"/>
        </w:rPr>
        <w:t>Tsukruk</w:t>
      </w:r>
      <w:proofErr w:type="spellEnd"/>
      <w:r w:rsidRPr="00456AB7">
        <w:rPr>
          <w:rFonts w:ascii="Times New Roman" w:hAnsi="Times New Roman" w:cs="Times New Roman"/>
          <w:sz w:val="24"/>
          <w:szCs w:val="24"/>
        </w:rPr>
        <w:t>, V. V., Urban, M., Winnik, F., Zauscher, S., Luzinov, I., &amp; Minko, S. (2010). Emerging applications of stimuli-responsive polymer materials. Nature Materials, 9(2), 101–113. https://doi.org/10.1038/nmat2614</w:t>
      </w:r>
    </w:p>
    <w:p w14:paraId="1ACFC98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Touitou, E., Dayan, N., </w:t>
      </w:r>
      <w:proofErr w:type="spellStart"/>
      <w:r w:rsidRPr="00456AB7">
        <w:rPr>
          <w:rFonts w:ascii="Times New Roman" w:hAnsi="Times New Roman" w:cs="Times New Roman"/>
          <w:sz w:val="24"/>
          <w:szCs w:val="24"/>
        </w:rPr>
        <w:t>Bergelson</w:t>
      </w:r>
      <w:proofErr w:type="spellEnd"/>
      <w:r w:rsidRPr="00456AB7">
        <w:rPr>
          <w:rFonts w:ascii="Times New Roman" w:hAnsi="Times New Roman" w:cs="Times New Roman"/>
          <w:sz w:val="24"/>
          <w:szCs w:val="24"/>
        </w:rPr>
        <w:t xml:space="preserve">, L., Godin, B., &amp; Eliaz, M. (2000). </w:t>
      </w:r>
      <w:proofErr w:type="spellStart"/>
      <w:r w:rsidRPr="00456AB7">
        <w:rPr>
          <w:rFonts w:ascii="Times New Roman" w:hAnsi="Times New Roman" w:cs="Times New Roman"/>
          <w:sz w:val="24"/>
          <w:szCs w:val="24"/>
        </w:rPr>
        <w:t>Ethosomes</w:t>
      </w:r>
      <w:proofErr w:type="spellEnd"/>
      <w:r w:rsidRPr="00456AB7">
        <w:rPr>
          <w:rFonts w:ascii="Times New Roman" w:hAnsi="Times New Roman" w:cs="Times New Roman"/>
          <w:sz w:val="24"/>
          <w:szCs w:val="24"/>
        </w:rPr>
        <w:t>: Novel vesicular carriers for enhanced delivery: Characterization and skin penetration properties. Journal of Controlled Release, 65(3), 403–418. https://doi.org/10.1016/S0168-3659(99)00222-9</w:t>
      </w:r>
    </w:p>
    <w:p w14:paraId="3073CB63"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U.S. Food and Drug Administration. (1998). Topical dermatological drug product NDAs and ANDAs—in vivo bioavailability, bioequivalence, in vitro release, and associated studies: Draft guidance for industry. Federal Register. https://www.federalregister.gov/documents/1998/06/18/98-16141/draft-guidance-for-industry-on-topical-dermatological-drug-product-ndas-and-andasin-vivo </w:t>
      </w:r>
    </w:p>
    <w:p w14:paraId="654E7266"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Vieira, M. G. A., da Silva, M. A., dos Santos, L. O., &amp; Beppu, M. M. (2011). Natural-based plasticizers and biopolymer films: A review. European Polymer Journal, 47(3), 254–263. https://doi.org/10.1016/j.eurpolymj.2010.12.011</w:t>
      </w:r>
    </w:p>
    <w:p w14:paraId="0D87A04E"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Ward, M. A., &amp; Georgiou, T. K. (2011). </w:t>
      </w:r>
      <w:proofErr w:type="spellStart"/>
      <w:r w:rsidRPr="00456AB7">
        <w:rPr>
          <w:rFonts w:ascii="Times New Roman" w:hAnsi="Times New Roman" w:cs="Times New Roman"/>
          <w:sz w:val="24"/>
          <w:szCs w:val="24"/>
        </w:rPr>
        <w:t>Thermoresponsive</w:t>
      </w:r>
      <w:proofErr w:type="spellEnd"/>
      <w:r w:rsidRPr="00456AB7">
        <w:rPr>
          <w:rFonts w:ascii="Times New Roman" w:hAnsi="Times New Roman" w:cs="Times New Roman"/>
          <w:sz w:val="24"/>
          <w:szCs w:val="24"/>
        </w:rPr>
        <w:t xml:space="preserve"> polymers for biomedical applications. Polymers, 3(3), 1215–1242. https://doi.org/10.3390/polym3031215</w:t>
      </w:r>
    </w:p>
    <w:p w14:paraId="271D7D5F"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Williams, A. C., &amp; Barry, B. W. (2004). Penetration enhancers. Advanced Drug Delivery Reviews, 56(5), 603–618. https://doi.org/10.1016/j.addr.2003.10.025</w:t>
      </w:r>
    </w:p>
    <w:p w14:paraId="315F5F5C" w14:textId="77777777" w:rsidR="00456AB7"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Wissing, S. A., Kayser, O., &amp; Müller, R. H. (2004). Solid lipid nanoparticles for parenteral drug delivery. Advanced Drug Delivery Reviews, 56(9), 1257–1272. https://doi.org/10.1016/j.addr.2003.12.002</w:t>
      </w:r>
    </w:p>
    <w:p w14:paraId="32DA0897" w14:textId="77777777" w:rsidR="004841B3" w:rsidRPr="00456AB7" w:rsidRDefault="00456AB7" w:rsidP="00456AB7">
      <w:pPr>
        <w:spacing w:before="100" w:beforeAutospacing="1" w:after="100" w:afterAutospacing="1" w:line="240" w:lineRule="auto"/>
        <w:rPr>
          <w:rFonts w:ascii="Times New Roman" w:hAnsi="Times New Roman" w:cs="Times New Roman"/>
          <w:sz w:val="24"/>
          <w:szCs w:val="24"/>
        </w:rPr>
      </w:pPr>
      <w:r w:rsidRPr="00456AB7">
        <w:rPr>
          <w:rFonts w:ascii="Times New Roman" w:hAnsi="Times New Roman" w:cs="Times New Roman"/>
          <w:sz w:val="24"/>
          <w:szCs w:val="24"/>
        </w:rPr>
        <w:t xml:space="preserve">Zhang, Z., Tsai, P. C., </w:t>
      </w:r>
      <w:proofErr w:type="spellStart"/>
      <w:r w:rsidRPr="00456AB7">
        <w:rPr>
          <w:rFonts w:ascii="Times New Roman" w:hAnsi="Times New Roman" w:cs="Times New Roman"/>
          <w:sz w:val="24"/>
          <w:szCs w:val="24"/>
        </w:rPr>
        <w:t>Ramezanli</w:t>
      </w:r>
      <w:proofErr w:type="spellEnd"/>
      <w:r w:rsidRPr="00456AB7">
        <w:rPr>
          <w:rFonts w:ascii="Times New Roman" w:hAnsi="Times New Roman" w:cs="Times New Roman"/>
          <w:sz w:val="24"/>
          <w:szCs w:val="24"/>
        </w:rPr>
        <w:t>, T., &amp; Michniak-Kohn, B. B. (2013). Polymeric nanoparticles-based topical delivery systems for the treatment of dermatological diseases. Wiley Interdisciplinary Reviews: Nanomedicine and Nanobiotechnology, 5(3), 205–218. https://doi.org/10.1002/wnan.1211</w:t>
      </w:r>
    </w:p>
    <w:sectPr w:rsidR="004841B3" w:rsidRPr="00456AB7" w:rsidSect="004841B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41866" w14:textId="77777777" w:rsidR="004E5708" w:rsidRDefault="004E5708" w:rsidP="00803257">
      <w:pPr>
        <w:spacing w:after="0" w:line="240" w:lineRule="auto"/>
      </w:pPr>
      <w:r>
        <w:separator/>
      </w:r>
    </w:p>
  </w:endnote>
  <w:endnote w:type="continuationSeparator" w:id="0">
    <w:p w14:paraId="72E6E5EE" w14:textId="77777777" w:rsidR="004E5708" w:rsidRDefault="004E5708" w:rsidP="008032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E434D" w14:textId="77777777" w:rsidR="00803257" w:rsidRDefault="008032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EEF82" w14:textId="77777777" w:rsidR="00803257" w:rsidRDefault="008032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9C312" w14:textId="77777777" w:rsidR="00803257" w:rsidRDefault="008032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788B5" w14:textId="77777777" w:rsidR="004E5708" w:rsidRDefault="004E5708" w:rsidP="00803257">
      <w:pPr>
        <w:spacing w:after="0" w:line="240" w:lineRule="auto"/>
      </w:pPr>
      <w:r>
        <w:separator/>
      </w:r>
    </w:p>
  </w:footnote>
  <w:footnote w:type="continuationSeparator" w:id="0">
    <w:p w14:paraId="0DA62FF6" w14:textId="77777777" w:rsidR="004E5708" w:rsidRDefault="004E5708" w:rsidP="008032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85FF" w14:textId="13BD7C44" w:rsidR="00803257" w:rsidRDefault="00803257">
    <w:pPr>
      <w:pStyle w:val="Header"/>
    </w:pPr>
    <w:r>
      <w:rPr>
        <w:noProof/>
      </w:rPr>
      <w:pict w14:anchorId="7E796F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83110"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6B990" w14:textId="1B0A2C6C" w:rsidR="00803257" w:rsidRDefault="00803257">
    <w:pPr>
      <w:pStyle w:val="Header"/>
    </w:pPr>
    <w:r>
      <w:rPr>
        <w:noProof/>
      </w:rPr>
      <w:pict w14:anchorId="07D540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83111"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3ACE3" w14:textId="46012BAF" w:rsidR="00803257" w:rsidRDefault="00803257">
    <w:pPr>
      <w:pStyle w:val="Header"/>
    </w:pPr>
    <w:r>
      <w:rPr>
        <w:noProof/>
      </w:rPr>
      <w:pict w14:anchorId="4C0DBC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183109"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9530D1"/>
    <w:multiLevelType w:val="hybridMultilevel"/>
    <w:tmpl w:val="FBB4BC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907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5601"/>
    <w:rsid w:val="001C53A0"/>
    <w:rsid w:val="00320608"/>
    <w:rsid w:val="00336A95"/>
    <w:rsid w:val="00456AB7"/>
    <w:rsid w:val="004841B3"/>
    <w:rsid w:val="004E5708"/>
    <w:rsid w:val="00684EB6"/>
    <w:rsid w:val="00753BBC"/>
    <w:rsid w:val="007C05B5"/>
    <w:rsid w:val="00803257"/>
    <w:rsid w:val="0083683A"/>
    <w:rsid w:val="009F5601"/>
    <w:rsid w:val="00C7101F"/>
    <w:rsid w:val="00D72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83A25"/>
  <w15:docId w15:val="{3B7AA269-91E9-4410-93BC-30ED1DEF5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1B3"/>
  </w:style>
  <w:style w:type="paragraph" w:styleId="Heading2">
    <w:name w:val="heading 2"/>
    <w:basedOn w:val="Normal"/>
    <w:link w:val="Heading2Char"/>
    <w:uiPriority w:val="9"/>
    <w:qFormat/>
    <w:rsid w:val="009F560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F5601"/>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link w:val="Heading4Char"/>
    <w:uiPriority w:val="9"/>
    <w:qFormat/>
    <w:rsid w:val="009F5601"/>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F5601"/>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F5601"/>
    <w:rPr>
      <w:rFonts w:ascii="Times New Roman" w:eastAsia="Times New Roman" w:hAnsi="Times New Roman" w:cs="Times New Roman"/>
      <w:b/>
      <w:bCs/>
      <w:sz w:val="27"/>
      <w:szCs w:val="27"/>
      <w:lang w:eastAsia="en-GB"/>
    </w:rPr>
  </w:style>
  <w:style w:type="character" w:customStyle="1" w:styleId="Heading4Char">
    <w:name w:val="Heading 4 Char"/>
    <w:basedOn w:val="DefaultParagraphFont"/>
    <w:link w:val="Heading4"/>
    <w:uiPriority w:val="9"/>
    <w:rsid w:val="009F5601"/>
    <w:rPr>
      <w:rFonts w:ascii="Times New Roman" w:eastAsia="Times New Roman" w:hAnsi="Times New Roman" w:cs="Times New Roman"/>
      <w:b/>
      <w:bCs/>
      <w:sz w:val="24"/>
      <w:szCs w:val="24"/>
      <w:lang w:eastAsia="en-GB"/>
    </w:rPr>
  </w:style>
  <w:style w:type="paragraph" w:customStyle="1" w:styleId="font-claude-response-body">
    <w:name w:val="font-claude-response-body"/>
    <w:basedOn w:val="Normal"/>
    <w:rsid w:val="009F56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F5601"/>
    <w:rPr>
      <w:b/>
      <w:bCs/>
    </w:rPr>
  </w:style>
  <w:style w:type="character" w:styleId="Emphasis">
    <w:name w:val="Emphasis"/>
    <w:basedOn w:val="DefaultParagraphFont"/>
    <w:uiPriority w:val="20"/>
    <w:qFormat/>
    <w:rsid w:val="009F5601"/>
    <w:rPr>
      <w:i/>
      <w:iCs/>
    </w:rPr>
  </w:style>
  <w:style w:type="character" w:styleId="Hyperlink">
    <w:name w:val="Hyperlink"/>
    <w:basedOn w:val="DefaultParagraphFont"/>
    <w:uiPriority w:val="99"/>
    <w:semiHidden/>
    <w:unhideWhenUsed/>
    <w:rsid w:val="009F5601"/>
    <w:rPr>
      <w:color w:val="0000FF"/>
      <w:u w:val="single"/>
    </w:rPr>
  </w:style>
  <w:style w:type="paragraph" w:styleId="ListParagraph">
    <w:name w:val="List Paragraph"/>
    <w:basedOn w:val="Normal"/>
    <w:uiPriority w:val="34"/>
    <w:qFormat/>
    <w:rsid w:val="00C7101F"/>
    <w:pPr>
      <w:ind w:left="720"/>
      <w:contextualSpacing/>
    </w:pPr>
  </w:style>
  <w:style w:type="paragraph" w:styleId="NormalWeb">
    <w:name w:val="Normal (Web)"/>
    <w:basedOn w:val="Normal"/>
    <w:uiPriority w:val="99"/>
    <w:semiHidden/>
    <w:unhideWhenUsed/>
    <w:rsid w:val="00C7101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59"/>
    <w:rsid w:val="00456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03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3257"/>
  </w:style>
  <w:style w:type="paragraph" w:styleId="Footer">
    <w:name w:val="footer"/>
    <w:basedOn w:val="Normal"/>
    <w:link w:val="FooterChar"/>
    <w:uiPriority w:val="99"/>
    <w:unhideWhenUsed/>
    <w:rsid w:val="00803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3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9013">
      <w:bodyDiv w:val="1"/>
      <w:marLeft w:val="0"/>
      <w:marRight w:val="0"/>
      <w:marTop w:val="0"/>
      <w:marBottom w:val="0"/>
      <w:divBdr>
        <w:top w:val="none" w:sz="0" w:space="0" w:color="auto"/>
        <w:left w:val="none" w:sz="0" w:space="0" w:color="auto"/>
        <w:bottom w:val="none" w:sz="0" w:space="0" w:color="auto"/>
        <w:right w:val="none" w:sz="0" w:space="0" w:color="auto"/>
      </w:divBdr>
      <w:divsChild>
        <w:div w:id="975991813">
          <w:marLeft w:val="0"/>
          <w:marRight w:val="0"/>
          <w:marTop w:val="0"/>
          <w:marBottom w:val="0"/>
          <w:divBdr>
            <w:top w:val="none" w:sz="0" w:space="0" w:color="auto"/>
            <w:left w:val="none" w:sz="0" w:space="0" w:color="auto"/>
            <w:bottom w:val="none" w:sz="0" w:space="0" w:color="auto"/>
            <w:right w:val="none" w:sz="0" w:space="0" w:color="auto"/>
          </w:divBdr>
          <w:divsChild>
            <w:div w:id="1052576063">
              <w:marLeft w:val="0"/>
              <w:marRight w:val="0"/>
              <w:marTop w:val="0"/>
              <w:marBottom w:val="0"/>
              <w:divBdr>
                <w:top w:val="none" w:sz="0" w:space="0" w:color="auto"/>
                <w:left w:val="none" w:sz="0" w:space="0" w:color="auto"/>
                <w:bottom w:val="none" w:sz="0" w:space="0" w:color="auto"/>
                <w:right w:val="none" w:sz="0" w:space="0" w:color="auto"/>
              </w:divBdr>
              <w:divsChild>
                <w:div w:id="371074673">
                  <w:marLeft w:val="0"/>
                  <w:marRight w:val="0"/>
                  <w:marTop w:val="0"/>
                  <w:marBottom w:val="0"/>
                  <w:divBdr>
                    <w:top w:val="none" w:sz="0" w:space="0" w:color="auto"/>
                    <w:left w:val="none" w:sz="0" w:space="0" w:color="auto"/>
                    <w:bottom w:val="none" w:sz="0" w:space="0" w:color="auto"/>
                    <w:right w:val="none" w:sz="0" w:space="0" w:color="auto"/>
                  </w:divBdr>
                  <w:divsChild>
                    <w:div w:id="1572302326">
                      <w:marLeft w:val="0"/>
                      <w:marRight w:val="0"/>
                      <w:marTop w:val="0"/>
                      <w:marBottom w:val="0"/>
                      <w:divBdr>
                        <w:top w:val="none" w:sz="0" w:space="0" w:color="auto"/>
                        <w:left w:val="none" w:sz="0" w:space="0" w:color="auto"/>
                        <w:bottom w:val="none" w:sz="0" w:space="0" w:color="auto"/>
                        <w:right w:val="none" w:sz="0" w:space="0" w:color="auto"/>
                      </w:divBdr>
                      <w:divsChild>
                        <w:div w:id="726535989">
                          <w:marLeft w:val="0"/>
                          <w:marRight w:val="0"/>
                          <w:marTop w:val="0"/>
                          <w:marBottom w:val="0"/>
                          <w:divBdr>
                            <w:top w:val="none" w:sz="0" w:space="0" w:color="auto"/>
                            <w:left w:val="none" w:sz="0" w:space="0" w:color="auto"/>
                            <w:bottom w:val="none" w:sz="0" w:space="0" w:color="auto"/>
                            <w:right w:val="none" w:sz="0" w:space="0" w:color="auto"/>
                          </w:divBdr>
                          <w:divsChild>
                            <w:div w:id="625352467">
                              <w:marLeft w:val="0"/>
                              <w:marRight w:val="0"/>
                              <w:marTop w:val="0"/>
                              <w:marBottom w:val="0"/>
                              <w:divBdr>
                                <w:top w:val="none" w:sz="0" w:space="0" w:color="auto"/>
                                <w:left w:val="none" w:sz="0" w:space="0" w:color="auto"/>
                                <w:bottom w:val="none" w:sz="0" w:space="0" w:color="auto"/>
                                <w:right w:val="none" w:sz="0" w:space="0" w:color="auto"/>
                              </w:divBdr>
                              <w:divsChild>
                                <w:div w:id="2017724417">
                                  <w:marLeft w:val="0"/>
                                  <w:marRight w:val="0"/>
                                  <w:marTop w:val="0"/>
                                  <w:marBottom w:val="0"/>
                                  <w:divBdr>
                                    <w:top w:val="none" w:sz="0" w:space="0" w:color="auto"/>
                                    <w:left w:val="none" w:sz="0" w:space="0" w:color="auto"/>
                                    <w:bottom w:val="none" w:sz="0" w:space="0" w:color="auto"/>
                                    <w:right w:val="none" w:sz="0" w:space="0" w:color="auto"/>
                                  </w:divBdr>
                                  <w:divsChild>
                                    <w:div w:id="87655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5333299">
      <w:bodyDiv w:val="1"/>
      <w:marLeft w:val="0"/>
      <w:marRight w:val="0"/>
      <w:marTop w:val="0"/>
      <w:marBottom w:val="0"/>
      <w:divBdr>
        <w:top w:val="none" w:sz="0" w:space="0" w:color="auto"/>
        <w:left w:val="none" w:sz="0" w:space="0" w:color="auto"/>
        <w:bottom w:val="none" w:sz="0" w:space="0" w:color="auto"/>
        <w:right w:val="none" w:sz="0" w:space="0" w:color="auto"/>
      </w:divBdr>
      <w:divsChild>
        <w:div w:id="872960890">
          <w:marLeft w:val="0"/>
          <w:marRight w:val="0"/>
          <w:marTop w:val="0"/>
          <w:marBottom w:val="0"/>
          <w:divBdr>
            <w:top w:val="none" w:sz="0" w:space="0" w:color="auto"/>
            <w:left w:val="none" w:sz="0" w:space="0" w:color="auto"/>
            <w:bottom w:val="none" w:sz="0" w:space="0" w:color="auto"/>
            <w:right w:val="none" w:sz="0" w:space="0" w:color="auto"/>
          </w:divBdr>
        </w:div>
        <w:div w:id="217131211">
          <w:marLeft w:val="0"/>
          <w:marRight w:val="0"/>
          <w:marTop w:val="0"/>
          <w:marBottom w:val="0"/>
          <w:divBdr>
            <w:top w:val="none" w:sz="0" w:space="0" w:color="auto"/>
            <w:left w:val="none" w:sz="0" w:space="0" w:color="auto"/>
            <w:bottom w:val="none" w:sz="0" w:space="0" w:color="auto"/>
            <w:right w:val="none" w:sz="0" w:space="0" w:color="auto"/>
          </w:divBdr>
        </w:div>
        <w:div w:id="46730090">
          <w:marLeft w:val="0"/>
          <w:marRight w:val="0"/>
          <w:marTop w:val="0"/>
          <w:marBottom w:val="0"/>
          <w:divBdr>
            <w:top w:val="none" w:sz="0" w:space="0" w:color="auto"/>
            <w:left w:val="none" w:sz="0" w:space="0" w:color="auto"/>
            <w:bottom w:val="none" w:sz="0" w:space="0" w:color="auto"/>
            <w:right w:val="none" w:sz="0" w:space="0" w:color="auto"/>
          </w:divBdr>
        </w:div>
        <w:div w:id="1605918811">
          <w:marLeft w:val="0"/>
          <w:marRight w:val="0"/>
          <w:marTop w:val="0"/>
          <w:marBottom w:val="0"/>
          <w:divBdr>
            <w:top w:val="none" w:sz="0" w:space="0" w:color="auto"/>
            <w:left w:val="none" w:sz="0" w:space="0" w:color="auto"/>
            <w:bottom w:val="none" w:sz="0" w:space="0" w:color="auto"/>
            <w:right w:val="none" w:sz="0" w:space="0" w:color="auto"/>
          </w:divBdr>
        </w:div>
      </w:divsChild>
    </w:div>
    <w:div w:id="114781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28</Pages>
  <Words>12930</Words>
  <Characters>73703</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Managing Editor</dc:creator>
  <cp:keywords/>
  <dc:description/>
  <cp:lastModifiedBy>SDI 1166</cp:lastModifiedBy>
  <cp:revision>7</cp:revision>
  <dcterms:created xsi:type="dcterms:W3CDTF">2026-06-02T09:31:00Z</dcterms:created>
  <dcterms:modified xsi:type="dcterms:W3CDTF">2026-06-05T12:51:00Z</dcterms:modified>
</cp:coreProperties>
</file>