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204A" w14:textId="77777777" w:rsidR="00936F1C" w:rsidRPr="00936F1C" w:rsidRDefault="00936F1C" w:rsidP="00936F1C">
      <w:pPr>
        <w:pStyle w:val="Heading2"/>
        <w:rPr>
          <w:i/>
          <w:iCs/>
          <w:u w:val="single"/>
          <w:lang w:val="en-US"/>
        </w:rPr>
      </w:pPr>
      <w:r w:rsidRPr="00936F1C">
        <w:rPr>
          <w:i/>
          <w:iCs/>
          <w:u w:val="single"/>
          <w:lang w:val="en-US"/>
        </w:rPr>
        <w:t>Review Article</w:t>
      </w:r>
    </w:p>
    <w:p w14:paraId="545679A5" w14:textId="77777777" w:rsidR="003B534E" w:rsidRDefault="003B534E" w:rsidP="003B534E">
      <w:pPr>
        <w:pStyle w:val="Heading2"/>
      </w:pPr>
      <w:r>
        <w:t>Spatial Epidemiology of Agrochemical Exposure: Population Disparities and Health Outcomes in North American Farming Communities</w:t>
      </w:r>
    </w:p>
    <w:p w14:paraId="14858A22" w14:textId="77777777" w:rsidR="003B534E" w:rsidRDefault="003B534E" w:rsidP="003B534E"/>
    <w:p w14:paraId="6210F000" w14:textId="77777777" w:rsidR="003B534E" w:rsidRDefault="003B534E" w:rsidP="003B534E">
      <w:pPr>
        <w:pStyle w:val="Heading3"/>
      </w:pPr>
      <w:r>
        <w:t>Abstract</w:t>
      </w:r>
    </w:p>
    <w:p w14:paraId="3ED40BF0" w14:textId="77777777" w:rsidR="003B534E" w:rsidRDefault="003B534E" w:rsidP="003B534E">
      <w:pPr>
        <w:pStyle w:val="font-claude-response-body"/>
      </w:pPr>
      <w:r>
        <w:t xml:space="preserve">Agrochemical use across North American farming landscapes has grown substantially over recent decades, raising difficult questions about who bears the resulting health risks and whether those risks are equitably distributed. This article presents a critical narrative review of the spatial epidemiology of agrochemical exposure in North American farming communities, drawing on peer-reviewed literature published between 2000 and May 2026. The review integrates evidence from GIS-based exposure assessment, prospective cohort studies, and case-control analyses conducted across the United States and Canada. A consistent theme runs through this literature: racial and ethnic minorities, migrant farmworkers, women of reproductive age, and children in </w:t>
      </w:r>
      <w:proofErr w:type="spellStart"/>
      <w:r>
        <w:t>periagricultural</w:t>
      </w:r>
      <w:proofErr w:type="spellEnd"/>
      <w:r>
        <w:t xml:space="preserve"> communities are exposed to synthetic agrochemicals—including organophosphates, glyphosate, and related herbicide formulations—at rates that substantially exceed those of the general population. These exposures have been associated with a range of serious health outcomes, including non-Hodgkin lymphoma, leukaemia, neurological disease, neurodevelopmental deficits in children, reproductive and endocrine disruption, and respiratory impairment. Spatial analytic methods—disease mapping, cluster detection, and kernel density estimation—have helped to identify which communities are most at risk and why, yet exposure misclassification and methodological heterogeneity continue to limit the field's inferential reach. The review concludes that a more equitable regulatory approach to agrochemical risk must begin with better surveillance, disaggregated biomonitoring data, and explicit attention to who carries the greatest burden.</w:t>
      </w:r>
    </w:p>
    <w:p w14:paraId="67DACB27" w14:textId="77777777" w:rsidR="003B534E" w:rsidRDefault="003B534E" w:rsidP="003B534E">
      <w:pPr>
        <w:pStyle w:val="font-claude-response-body"/>
      </w:pPr>
      <w:r>
        <w:rPr>
          <w:rStyle w:val="Strong"/>
        </w:rPr>
        <w:t>Keywords:</w:t>
      </w:r>
      <w:r>
        <w:t xml:space="preserve"> spatial epidemiology; agrochemical exposure; pesticide; farming communities; environmental justice; population health disparities; North America; organophosphate; glyphosate; neurodevelopment</w:t>
      </w:r>
    </w:p>
    <w:p w14:paraId="4FB0969F" w14:textId="77777777" w:rsidR="003B534E" w:rsidRDefault="003B534E" w:rsidP="003B534E"/>
    <w:p w14:paraId="448F2A7A" w14:textId="77777777" w:rsidR="003B534E" w:rsidRDefault="003B534E" w:rsidP="003B534E">
      <w:pPr>
        <w:pStyle w:val="Heading3"/>
      </w:pPr>
      <w:r>
        <w:t>1. Introduction</w:t>
      </w:r>
    </w:p>
    <w:p w14:paraId="435D668F" w14:textId="77777777" w:rsidR="003B534E" w:rsidRDefault="003B534E" w:rsidP="003B534E">
      <w:pPr>
        <w:pStyle w:val="Heading4"/>
      </w:pPr>
      <w:r>
        <w:t>1.1 Background and Context</w:t>
      </w:r>
    </w:p>
    <w:p w14:paraId="7134466D" w14:textId="77777777" w:rsidR="003B534E" w:rsidRDefault="003B534E" w:rsidP="003B534E">
      <w:pPr>
        <w:pStyle w:val="font-claude-response-body"/>
      </w:pPr>
      <w:r>
        <w:t xml:space="preserve">The scale of chemical use in North American agriculture has no real historical parallel. The United States alone applies hundreds of millions of kilograms of active pesticide ingredients each year across croplands stretching from the Midwest corn belt to the berry fields of British Columbia, with herbicides, insecticides, and fungicides forming the backbone of modern pest management (Kim et al., 2017; Benbrook, 2016). This chemical intensity supports agricultural productivity that feeds hundreds of millions of people, but it also creates </w:t>
      </w:r>
      <w:r>
        <w:lastRenderedPageBreak/>
        <w:t>exposure conditions for farming workers, their families, and surrounding communities that remain only partially understood (</w:t>
      </w:r>
      <w:proofErr w:type="spellStart"/>
      <w:r>
        <w:t>Mostafalou</w:t>
      </w:r>
      <w:proofErr w:type="spellEnd"/>
      <w:r>
        <w:t xml:space="preserve"> &amp; Abdollahi, 2017). As Bonner &amp; </w:t>
      </w:r>
      <w:proofErr w:type="spellStart"/>
      <w:r>
        <w:t>Alavanja</w:t>
      </w:r>
      <w:proofErr w:type="spellEnd"/>
      <w:r>
        <w:t xml:space="preserve"> (2017) observe, agrochemicals have become so deeply embedded in food production systems that their health externalities are treated almost as a natural feature of the landscape—despite falling disproportionately on people who have little say in how those chemicals are used.</w:t>
      </w:r>
    </w:p>
    <w:p w14:paraId="7D7EB290" w14:textId="77777777" w:rsidR="003B534E" w:rsidRDefault="003B534E" w:rsidP="003B534E">
      <w:pPr>
        <w:pStyle w:val="font-claude-response-body"/>
      </w:pPr>
      <w:r>
        <w:t>Spatial epidemiology offers tools specifically suited to investigating these questions. By examining how geography mediates the relationship between environmental exposures and health outcomes, it can reveal disease clusters and exposure gradients that aggregate national statistics would entirely obscure (Elliott &amp; Wartenberg, 2004). When applied to agricultural settings, GIS-based exposure mapping, scan statistics, and disease cluster analysis can locate communities at elevated risk, link chemical application patterns to health records, and identify where scientific investigation is most urgently needed (Nuckols et al., 2004). As pesticide use data have become more detailed and geographically referenced, the capacity to do this kind of analysis has improved considerably.</w:t>
      </w:r>
    </w:p>
    <w:p w14:paraId="00953EF8" w14:textId="77777777" w:rsidR="003B534E" w:rsidRDefault="003B534E" w:rsidP="003B534E">
      <w:pPr>
        <w:pStyle w:val="font-claude-response-body"/>
      </w:pPr>
      <w:r>
        <w:t>Yet scientific progress has been uneven, and the communities most affected by agrochemical exposure remain underserved by both research and regulatory protection. In the United States, farmworkers—a workforce estimated at over two million, a substantial proportion of whom are undocumented migrants from Mexico and Central America—occupy the most exposed position in this landscape, with few of the occupational health protections available to workers in other industries (</w:t>
      </w:r>
      <w:proofErr w:type="spellStart"/>
      <w:r>
        <w:t>Villarejo</w:t>
      </w:r>
      <w:proofErr w:type="spellEnd"/>
      <w:r>
        <w:t xml:space="preserve">, 2003; </w:t>
      </w:r>
      <w:proofErr w:type="spellStart"/>
      <w:r>
        <w:t>Arcury</w:t>
      </w:r>
      <w:proofErr w:type="spellEnd"/>
      <w:r>
        <w:t xml:space="preserve"> &amp; Quandt, 2007). Families living near agricultural operations are exposed through pesticide drift, contaminated groundwater, and household dust, without necessarily having any direct involvement in farm work (Deziel et al., 2015). Indigenous communities in both the United States and Canada face compounding risks arising from the intersection of agricultural land adjacency, subsistence food practices, and deeply rooted barriers to healthcare (Hoover, </w:t>
      </w:r>
      <w:r w:rsidR="00ED7300">
        <w:t>2016</w:t>
      </w:r>
      <w:r>
        <w:t>).</w:t>
      </w:r>
    </w:p>
    <w:p w14:paraId="789D5EEC" w14:textId="77777777" w:rsidR="003B534E" w:rsidRDefault="003B534E" w:rsidP="003B534E">
      <w:pPr>
        <w:pStyle w:val="font-claude-response-body"/>
      </w:pPr>
      <w:r>
        <w:t>The health consequences of these exposures are now documented across a considerable range of outcomes. Chronic pesticide exposure has been linked to haematological malignancies, Parkinson's disease, endocrine and reproductive disruption, and—perhaps most compellingly—neurodevelopmental deficits in children born to mothers exposed during pregnancy (</w:t>
      </w:r>
      <w:proofErr w:type="spellStart"/>
      <w:r>
        <w:t>Alavanja</w:t>
      </w:r>
      <w:proofErr w:type="spellEnd"/>
      <w:r>
        <w:t xml:space="preserve"> et al., 2004). The Agricultural Health Study has generated the most detailed longitudinal evidence on specific active ingredients and cancer outcomes, including a null finding for glyphosate and total cancer risk in one major analysis (Andreotti et al., 2018), which stands in tension with an independent meta-analysis reporting a 41 per cent increase in non-Hodgkin lymphoma risk among individuals with the highest glyphosate exposure (Zhang et al., 2019). That tension is not simply a matter of methodological disagreement—it reflects genuine scientific uncertainty with significant regulatory and legal consequences.</w:t>
      </w:r>
    </w:p>
    <w:p w14:paraId="484F71BB" w14:textId="77777777" w:rsidR="003B534E" w:rsidRDefault="003B534E" w:rsidP="003B534E">
      <w:pPr>
        <w:pStyle w:val="Heading4"/>
      </w:pPr>
      <w:r>
        <w:t>1.2 Agricultural Chemical Use in North America</w:t>
      </w:r>
    </w:p>
    <w:p w14:paraId="2ACAEAD3" w14:textId="77777777" w:rsidR="003B534E" w:rsidRDefault="003B534E" w:rsidP="003B534E">
      <w:pPr>
        <w:pStyle w:val="font-claude-response-body"/>
      </w:pPr>
      <w:r>
        <w:t xml:space="preserve">The expansion of synthetic pesticide use in North America accelerated sharply after the Second World War, moving through successive chemical generations—from organochlorine insecticides to organophosphates and carbamates, and eventually to the newer families that now dominate the market: synthetic pyrethroids, neonicotinoids, and herbicides such as glyphosate. Glyphosate deserves particular attention because of its scale. Benbrook (2016) estimated that US applications increased approximately 15-fold in the two decades following the commercialisation of herbicide-tolerant crops in 1996, driven by deployment across vast acreages of glyphosate-resistant maize and soybean. The United States remains the world's </w:t>
      </w:r>
      <w:r>
        <w:lastRenderedPageBreak/>
        <w:t xml:space="preserve">largest pesticide market, though Canada's consumption—concentrated in the Prairie Provinces and the horticultural regions of British Columbia and Ontario—has also grown considerably (United States Environmental Protection Agency, </w:t>
      </w:r>
      <w:r w:rsidR="00ED7300">
        <w:t>2017</w:t>
      </w:r>
      <w:r>
        <w:t>).</w:t>
      </w:r>
    </w:p>
    <w:p w14:paraId="459F7CF7" w14:textId="77777777" w:rsidR="003B534E" w:rsidRDefault="003B534E" w:rsidP="003B534E">
      <w:pPr>
        <w:pStyle w:val="font-claude-response-body"/>
      </w:pPr>
      <w:r>
        <w:t>The consequences of this scale extend well beyond the fields themselves. Pesticide drift carries active ingredients to adjacent homes, schools, and community spaces (Deziel et al., 2015). In tile-drained agricultural landscapes, leaching into groundwater can expose rural households relying on private wells to pesticide residues at concentrations that would prompt regulatory intervention in public water systems (Barr et al., 2004). The cumulative result is a population at risk far larger and more heterogeneous than the workforce directly engaged in pesticide handling—yet whose exposures receive comparatively little surveillance attention.</w:t>
      </w:r>
    </w:p>
    <w:p w14:paraId="1289E12E" w14:textId="77777777" w:rsidR="003B534E" w:rsidRDefault="003B534E" w:rsidP="003B534E">
      <w:pPr>
        <w:pStyle w:val="Heading4"/>
      </w:pPr>
      <w:r>
        <w:t>1.3 Scope and Objectives</w:t>
      </w:r>
    </w:p>
    <w:p w14:paraId="4E906632" w14:textId="77777777" w:rsidR="003B534E" w:rsidRDefault="003B534E" w:rsidP="003B534E">
      <w:pPr>
        <w:pStyle w:val="font-claude-response-body"/>
      </w:pPr>
      <w:r>
        <w:t>This article reviews the spatial epidemiology of agrochemical exposure in North American farming communities, with a focus on population health disparities and associated health outcomes. It addresses four central questions: how spatial epidemiological methods have been used to characterise exposure and disease distributions in agricultural settings; which population groups carry the greatest exposure burden and what structural factors explain this; what the evidence says about the health consequences of that exposure; and how regulatory frameworks address—or fail to address—the resulting inequities. The review covers the United States and Canada, with attention to transboundary considerations where relevant, and draws on environmental justice frameworks to interpret the patterns it describes. It does not conduct a formal meta-analysis, but synthesises a representative body of peer-reviewed evidence to offer a critical perspective on where the science currently stands and what it implies for policy.</w:t>
      </w:r>
    </w:p>
    <w:p w14:paraId="14AD66C1" w14:textId="77777777" w:rsidR="003B534E" w:rsidRDefault="003B534E" w:rsidP="003B534E"/>
    <w:p w14:paraId="5B4BC4BE" w14:textId="77777777" w:rsidR="003B534E" w:rsidRDefault="003B534E" w:rsidP="003B534E">
      <w:pPr>
        <w:pStyle w:val="Heading3"/>
      </w:pPr>
      <w:r>
        <w:t>2. Methods for Literature Selection</w:t>
      </w:r>
    </w:p>
    <w:p w14:paraId="04C78392" w14:textId="77777777" w:rsidR="003B534E" w:rsidRDefault="003B534E" w:rsidP="003B534E">
      <w:pPr>
        <w:pStyle w:val="Heading4"/>
      </w:pPr>
      <w:r>
        <w:t>2.1 Databases and Search Strategy</w:t>
      </w:r>
    </w:p>
    <w:p w14:paraId="750F23A5" w14:textId="77777777" w:rsidR="003B534E" w:rsidRDefault="003B534E" w:rsidP="003B534E">
      <w:pPr>
        <w:pStyle w:val="font-claude-response-body"/>
      </w:pPr>
      <w:r>
        <w:t>The literature search drew on multiple electronic databases: Web of Science, Scopus, PubMed, Google Scholar, and a range of field-specific resources including AGRICOLA (the US National Agricultural Library), Embase, the Environmental Index (EBSCOhost), GeoBase, the Global Health database (CAB Abstracts), and TOXNET/</w:t>
      </w:r>
      <w:proofErr w:type="spellStart"/>
      <w:r>
        <w:t>ChemIDplus</w:t>
      </w:r>
      <w:proofErr w:type="spellEnd"/>
      <w:r>
        <w:t>. Supplementary searches of institutional repositories—those of the US Environmental Protection Agency, the International Agency for Research on Cancer, the Food and Agriculture Organization, the World Health Organization, and Health Canada's Pest Management Regulatory Agency—were conducted to identify authoritative reports where no DOI-indexed peer-reviewed equivalent was available.</w:t>
      </w:r>
    </w:p>
    <w:p w14:paraId="60D76634" w14:textId="77777777" w:rsidR="003B534E" w:rsidRDefault="003B534E" w:rsidP="003B534E">
      <w:pPr>
        <w:pStyle w:val="font-claude-response-body"/>
      </w:pPr>
      <w:r>
        <w:t xml:space="preserve">Search strings combined controlled and free-text vocabulary, including: "spatial epidemiology" AND ("pesticide" OR "agrochemical"); "GIS" AND "agricultural exposure" AND "health"; "farmworker" AND "health" AND ("United States" OR "Canada"); "glyphosate" AND ("cancer" OR "non-Hodgkin lymphoma"); "organophosphate" AND ("neurodevelopment" OR "childhood cognition"); "environmental justice" AND ("agricultural communities" OR "farming population"); "pesticide drift" AND "residential exposure"; "Parkinson's disease" AND ("herbicide" OR "insecticide"); "health disparities" </w:t>
      </w:r>
      <w:r>
        <w:lastRenderedPageBreak/>
        <w:t>AND ("Latino" OR "Indigenous") AND "agriculture"; "disease cluster" AND "agricultural region"; and "biomonitoring" AND "pesticide" AND "farmworker." Boolean operators were applied throughout, and where available, Medical Subject Headings were used to refine results. The search covered 1 January 2000 to 30 May 2026.</w:t>
      </w:r>
    </w:p>
    <w:p w14:paraId="4278BD12" w14:textId="77777777" w:rsidR="003B534E" w:rsidRDefault="003B534E" w:rsidP="003B534E">
      <w:pPr>
        <w:pStyle w:val="Heading4"/>
      </w:pPr>
      <w:r>
        <w:t>2.2 Inclusion and Exclusion Criteria</w:t>
      </w:r>
    </w:p>
    <w:p w14:paraId="2CFA2FC3" w14:textId="77777777" w:rsidR="003B534E" w:rsidRDefault="003B534E" w:rsidP="003B534E">
      <w:pPr>
        <w:pStyle w:val="font-claude-response-body"/>
      </w:pPr>
      <w:r>
        <w:t>The 2000 start date reflects the period in which GIS-based methods and modern biomonitoring techniques became standard tools in pesticide epidemiology. Selected pre-2000 works were retained where they contributed foundational methodological frameworks—most notably Kulldorff's (1997) spatial scan statistic, which underpins much of the cluster detection work reviewed here. Eligible publications included original research articles or critical reviews in peer-reviewed journals addressing synthetic pesticide exposure in North American agricultural settings, with health outcome or spatial exposure data relevant to the review questions, published in English. Institutional reports with clear authorship were included for surveillance and regulatory context.</w:t>
      </w:r>
    </w:p>
    <w:p w14:paraId="1507059D" w14:textId="77777777" w:rsidR="003B534E" w:rsidRDefault="003B534E" w:rsidP="003B534E">
      <w:pPr>
        <w:pStyle w:val="font-claude-response-body"/>
      </w:pPr>
      <w:r>
        <w:t>Books, grey literature, conference proceedings, trade publications, preprints, and patents were excluded. Studies focused exclusively on non-North American settings were excluded unless their methodological contributions applied directly to the North American context.</w:t>
      </w:r>
    </w:p>
    <w:p w14:paraId="496F0D3C" w14:textId="77777777" w:rsidR="003B534E" w:rsidRDefault="003B534E" w:rsidP="003B534E">
      <w:pPr>
        <w:pStyle w:val="Heading4"/>
      </w:pPr>
      <w:r>
        <w:t>2.3 Screening Workflow and Study Selection</w:t>
      </w:r>
    </w:p>
    <w:p w14:paraId="445B8F4A" w14:textId="77777777" w:rsidR="003B534E" w:rsidRDefault="003B534E" w:rsidP="003B534E">
      <w:pPr>
        <w:pStyle w:val="font-claude-response-body"/>
      </w:pPr>
      <w:r>
        <w:t>Titles and abstracts were screened against the inclusion and exclusion criteria; duplicates were removed by cross-referencing author names, years, and journal titles; and full texts of potentially eligible articles were retrieved for assessment. Where multiple studies of comparable quality addressed the same question, preference was given to more recent work and to studies with larger, more demographically diverse samples.</w:t>
      </w:r>
    </w:p>
    <w:p w14:paraId="0794D138" w14:textId="77777777" w:rsidR="003B534E" w:rsidRDefault="003B534E" w:rsidP="003B534E">
      <w:pPr>
        <w:pStyle w:val="Heading4"/>
      </w:pPr>
      <w:r>
        <w:t>2.4 Justification for Narrative Review Approach</w:t>
      </w:r>
    </w:p>
    <w:p w14:paraId="732B01D2" w14:textId="77777777" w:rsidR="003B534E" w:rsidRDefault="003B534E" w:rsidP="003B534E">
      <w:pPr>
        <w:pStyle w:val="font-claude-response-body"/>
      </w:pPr>
      <w:r>
        <w:t xml:space="preserve">The literature on this topic spans spatial statistics, environmental epidemiology, toxicology, occupational health, environmental justice, and regulatory science—disciplines that differ substantially in how they measure exposure, define outcomes, and assess evidence. Given this heterogeneity, pooling effect sizes would be methodologically inappropriate. As </w:t>
      </w:r>
      <w:proofErr w:type="spellStart"/>
      <w:r>
        <w:t>Siddaway</w:t>
      </w:r>
      <w:proofErr w:type="spellEnd"/>
      <w:r>
        <w:t xml:space="preserve"> et al. (2019) note, narrative and critical reviews remain the most appropriate vehicle for synthesising multidisciplinary literatures where quantitative pooling is not feasible, provided those reviews are conducted with rigour and transparency. The present review was conducted with those principles in mind.</w:t>
      </w:r>
    </w:p>
    <w:p w14:paraId="53F1C322" w14:textId="77777777" w:rsidR="003B534E" w:rsidRDefault="003B534E" w:rsidP="003B534E"/>
    <w:p w14:paraId="7CD7D447" w14:textId="77777777" w:rsidR="003B534E" w:rsidRDefault="003B534E" w:rsidP="003B534E">
      <w:pPr>
        <w:pStyle w:val="Heading3"/>
      </w:pPr>
      <w:r>
        <w:t>3. Spatial Epidemiology: Conceptual and Methodological Foundations</w:t>
      </w:r>
    </w:p>
    <w:p w14:paraId="7EF79B54" w14:textId="77777777" w:rsidR="003B534E" w:rsidRDefault="003B534E" w:rsidP="003B534E">
      <w:pPr>
        <w:pStyle w:val="Heading4"/>
      </w:pPr>
      <w:r>
        <w:t>3.1 Theoretical Frameworks in Spatial Health Research</w:t>
      </w:r>
    </w:p>
    <w:p w14:paraId="7C0EE950" w14:textId="77777777" w:rsidR="003B534E" w:rsidRDefault="003B534E" w:rsidP="003B534E">
      <w:pPr>
        <w:pStyle w:val="font-claude-response-body"/>
      </w:pPr>
      <w:r>
        <w:t xml:space="preserve">Spatial epidemiology asks why disease rates vary across geographic space, and what role spatially structured environmental exposures play in producing those variations (Elliott &amp; Wartenberg, 2004). In agricultural settings, this framing fits particularly well. Pesticide applications are geographically bounded events whose health consequences radiate outward </w:t>
      </w:r>
      <w:r>
        <w:lastRenderedPageBreak/>
        <w:t>in patterns shaped by wind speed and direction, soil type and permeability, crop system and application method, and the density of residential settlement nearby. The discipline draws from both classical epidemiology—with its focus on causal inference and confounding control—and from human geography, which attends to the structural dimensions of where hazards end up and why.</w:t>
      </w:r>
    </w:p>
    <w:p w14:paraId="63198F62" w14:textId="77777777" w:rsidR="003B534E" w:rsidRDefault="003B534E" w:rsidP="003B534E">
      <w:pPr>
        <w:pStyle w:val="font-claude-response-body"/>
      </w:pPr>
      <w:r>
        <w:t>Three analytical approaches have come to dominate the spatial characterisation of agrochemical exposure. Proximity-based models assign exposure based on residential or occupational distance from application sites—straightforward but limited in what they can capture. Land-use regression combines spatial covariates such as crop type, application density, and prevailing wind direction in regression frameworks to generate more nuanced exposure surfaces. The most sophisticated approach integrates pesticide use reporting data with atmospheric transport models to estimate ambient concentrations at the population level. Each method involves trade-offs between data demands, cost, and precision, and the right choice depends as much on what data are available as on the specific research question at hand.</w:t>
      </w:r>
    </w:p>
    <w:p w14:paraId="669E7D0A" w14:textId="77777777" w:rsidR="003B534E" w:rsidRDefault="003B534E" w:rsidP="003B534E">
      <w:pPr>
        <w:pStyle w:val="Heading4"/>
      </w:pPr>
      <w:r>
        <w:t>3.2 Exposure Assessment Methods</w:t>
      </w:r>
    </w:p>
    <w:p w14:paraId="692FCBB0" w14:textId="77777777" w:rsidR="003B534E" w:rsidRDefault="003B534E" w:rsidP="003B534E">
      <w:pPr>
        <w:pStyle w:val="font-claude-response-body"/>
      </w:pPr>
      <w:r>
        <w:t>Whatever method is used, the quality of spatial epidemiological inference depends critically on how well exposure is characterised. GIS tools have become central to this process, enabling researchers to synthesise parcel-level land use maps, crop-specific application records, meteorological data, and residential location information into spatially resolved exposure estimates (Nuckols et al., 2004). In the United States, the California Pesticide Use Reporting system stands out as the most detailed state-level resource, linking applications to specific geographic locations at the section or field level. Studies in the Central Valley and Salinas Valley have exploited this database extensively to generate exposure estimates for cohort and case-control analyses (</w:t>
      </w:r>
      <w:proofErr w:type="spellStart"/>
      <w:r>
        <w:t>Gunier</w:t>
      </w:r>
      <w:proofErr w:type="spellEnd"/>
      <w:r>
        <w:t xml:space="preserve"> et al., 2017; Shelton et al., 2014).</w:t>
      </w:r>
    </w:p>
    <w:p w14:paraId="69A5FDB8" w14:textId="77777777" w:rsidR="003B534E" w:rsidRDefault="003B534E" w:rsidP="003B534E">
      <w:pPr>
        <w:pStyle w:val="font-claude-response-body"/>
      </w:pPr>
      <w:r>
        <w:t xml:space="preserve">Biomonitoring provides a complementary perspective: rather than estimating exposure from external data, it measures the chemical burden already present in the body. Urinary </w:t>
      </w:r>
      <w:proofErr w:type="spellStart"/>
      <w:r>
        <w:t>dialkyl</w:t>
      </w:r>
      <w:proofErr w:type="spellEnd"/>
      <w:r>
        <w:t xml:space="preserve"> phosphate metabolites—the principal biomarkers of organophosphate exposure—have been measured in nationally representative US samples and show that low-level background exposure is widespread, with higher concentrations consistently found in children and lower socioeconomic groups (Barr et al., 2004). The key limitation is biological half-life: most modern pesticide metabolites clear within days, making single-point urinary measurements unreliable proxies for the chronic exposure histories that drive long-latency outcomes. Neither GIS-based estimation nor biomonitoring alone is sufficient; used together, they provide a considerably more complete picture.</w:t>
      </w:r>
    </w:p>
    <w:p w14:paraId="2003736E" w14:textId="77777777" w:rsidR="003B534E" w:rsidRDefault="003B534E" w:rsidP="003B534E">
      <w:pPr>
        <w:pStyle w:val="Heading4"/>
      </w:pPr>
      <w:r>
        <w:t>3.3 Disease Mapping and Cluster Detection</w:t>
      </w:r>
    </w:p>
    <w:p w14:paraId="3F7018E7" w14:textId="77777777" w:rsidR="003B534E" w:rsidRDefault="003B534E" w:rsidP="003B534E">
      <w:pPr>
        <w:pStyle w:val="font-claude-response-body"/>
      </w:pPr>
      <w:r>
        <w:t xml:space="preserve">Geographic cluster detection—identifying areas where disease rates exceed what would be expected by chance—has been one of the most practically influential applications of spatial epidemiology in agricultural health research. Smoothed disease mapping, which stabilises raw incidence rates in small populations using Bayesian or empirical-Bayes methods, allows meaningful visualisation of geographic variation in cancer and neurological disease incidence across agricultural counties (Jacquez, 2004). Scan statistics, formalised by Kulldorff (1997) and implemented in the widely used </w:t>
      </w:r>
      <w:proofErr w:type="spellStart"/>
      <w:r>
        <w:t>SaTScan</w:t>
      </w:r>
      <w:proofErr w:type="spellEnd"/>
      <w:r>
        <w:t xml:space="preserve"> software, provide a formal hypothesis-testing framework for cluster identification while controlling for multiple comparisons. These </w:t>
      </w:r>
      <w:r>
        <w:lastRenderedPageBreak/>
        <w:t>methods have been applied to identify clusters of non-Hodgkin lymphoma, childhood leukaemia, and Parkinson's disease in regions of documented high pesticide use (Jacquez, 2004; Kamel &amp; Hoppin, 2004).</w:t>
      </w:r>
    </w:p>
    <w:p w14:paraId="4A783CDE" w14:textId="77777777" w:rsidR="003B534E" w:rsidRDefault="003B534E" w:rsidP="003B534E">
      <w:pPr>
        <w:pStyle w:val="font-claude-response-body"/>
      </w:pPr>
      <w:r>
        <w:t>A cluster finding does not, of course, establish a cause. Ecological confounding—the co-variation across agricultural regions of pesticide use, poverty, dietary patterns, and other occupational hazards—remains a persistent obstacle to causal interpretation. What cluster analyses provide is a screening function: a way to identify places and population groups that warrant closer aetiological investigation, and to direct scientific attention towards regions and chemical classes that might otherwise be overlooked. Table 1 summarises the principal spatial methods used in this field, along with their applications and limitations.</w:t>
      </w:r>
    </w:p>
    <w:p w14:paraId="01C40085" w14:textId="77777777" w:rsidR="003B534E" w:rsidRDefault="003B534E" w:rsidP="003B534E">
      <w:pPr>
        <w:pStyle w:val="font-claude-response-body"/>
      </w:pPr>
      <w:r>
        <w:rPr>
          <w:rStyle w:val="Strong"/>
        </w:rPr>
        <w:t>Table 1.</w:t>
      </w:r>
      <w:r>
        <w:t xml:space="preserve"> </w:t>
      </w:r>
      <w:r w:rsidR="00646679">
        <w:t>K</w:t>
      </w:r>
      <w:r>
        <w:t>ey spatial epidemiological methods applied in agrochemical exposure research in North America.</w:t>
      </w:r>
    </w:p>
    <w:tbl>
      <w:tblPr>
        <w:tblStyle w:val="TableGrid"/>
        <w:tblW w:w="0" w:type="auto"/>
        <w:tblLook w:val="04A0" w:firstRow="1" w:lastRow="0" w:firstColumn="1" w:lastColumn="0" w:noHBand="0" w:noVBand="1"/>
      </w:tblPr>
      <w:tblGrid>
        <w:gridCol w:w="1607"/>
        <w:gridCol w:w="1849"/>
        <w:gridCol w:w="1812"/>
        <w:gridCol w:w="1917"/>
        <w:gridCol w:w="2057"/>
      </w:tblGrid>
      <w:tr w:rsidR="003B534E" w14:paraId="43C45A1D" w14:textId="77777777" w:rsidTr="00646679">
        <w:tc>
          <w:tcPr>
            <w:tcW w:w="0" w:type="auto"/>
            <w:hideMark/>
          </w:tcPr>
          <w:p w14:paraId="5754A90F" w14:textId="77777777" w:rsidR="003B534E" w:rsidRDefault="003B534E">
            <w:pPr>
              <w:jc w:val="center"/>
              <w:rPr>
                <w:b/>
                <w:bCs/>
                <w:sz w:val="24"/>
                <w:szCs w:val="24"/>
              </w:rPr>
            </w:pPr>
            <w:r>
              <w:rPr>
                <w:b/>
                <w:bCs/>
              </w:rPr>
              <w:t>Method</w:t>
            </w:r>
          </w:p>
        </w:tc>
        <w:tc>
          <w:tcPr>
            <w:tcW w:w="0" w:type="auto"/>
            <w:hideMark/>
          </w:tcPr>
          <w:p w14:paraId="65E68DE0" w14:textId="77777777" w:rsidR="003B534E" w:rsidRDefault="003B534E">
            <w:pPr>
              <w:jc w:val="center"/>
              <w:rPr>
                <w:b/>
                <w:bCs/>
                <w:sz w:val="24"/>
                <w:szCs w:val="24"/>
              </w:rPr>
            </w:pPr>
            <w:r>
              <w:rPr>
                <w:b/>
                <w:bCs/>
              </w:rPr>
              <w:t>Principal Application</w:t>
            </w:r>
          </w:p>
        </w:tc>
        <w:tc>
          <w:tcPr>
            <w:tcW w:w="0" w:type="auto"/>
            <w:hideMark/>
          </w:tcPr>
          <w:p w14:paraId="58DDAAA8" w14:textId="77777777" w:rsidR="003B534E" w:rsidRDefault="003B534E">
            <w:pPr>
              <w:jc w:val="center"/>
              <w:rPr>
                <w:b/>
                <w:bCs/>
                <w:sz w:val="24"/>
                <w:szCs w:val="24"/>
              </w:rPr>
            </w:pPr>
            <w:r>
              <w:rPr>
                <w:b/>
                <w:bCs/>
              </w:rPr>
              <w:t>Representative Data Sources</w:t>
            </w:r>
          </w:p>
        </w:tc>
        <w:tc>
          <w:tcPr>
            <w:tcW w:w="0" w:type="auto"/>
            <w:hideMark/>
          </w:tcPr>
          <w:p w14:paraId="4AE8D888" w14:textId="77777777" w:rsidR="003B534E" w:rsidRDefault="003B534E">
            <w:pPr>
              <w:jc w:val="center"/>
              <w:rPr>
                <w:b/>
                <w:bCs/>
                <w:sz w:val="24"/>
                <w:szCs w:val="24"/>
              </w:rPr>
            </w:pPr>
            <w:r>
              <w:rPr>
                <w:b/>
                <w:bCs/>
              </w:rPr>
              <w:t>Key Strengths</w:t>
            </w:r>
          </w:p>
        </w:tc>
        <w:tc>
          <w:tcPr>
            <w:tcW w:w="0" w:type="auto"/>
            <w:hideMark/>
          </w:tcPr>
          <w:p w14:paraId="61C7A9A7" w14:textId="77777777" w:rsidR="003B534E" w:rsidRDefault="003B534E">
            <w:pPr>
              <w:jc w:val="center"/>
              <w:rPr>
                <w:b/>
                <w:bCs/>
                <w:sz w:val="24"/>
                <w:szCs w:val="24"/>
              </w:rPr>
            </w:pPr>
            <w:r>
              <w:rPr>
                <w:b/>
                <w:bCs/>
              </w:rPr>
              <w:t>Key Limitations</w:t>
            </w:r>
          </w:p>
        </w:tc>
      </w:tr>
      <w:tr w:rsidR="003B534E" w14:paraId="2E519C29" w14:textId="77777777" w:rsidTr="00646679">
        <w:tc>
          <w:tcPr>
            <w:tcW w:w="0" w:type="auto"/>
            <w:hideMark/>
          </w:tcPr>
          <w:p w14:paraId="5EC1DA55" w14:textId="77777777" w:rsidR="003B534E" w:rsidRDefault="003B534E">
            <w:pPr>
              <w:rPr>
                <w:sz w:val="24"/>
                <w:szCs w:val="24"/>
              </w:rPr>
            </w:pPr>
            <w:r>
              <w:t>Proximity-based exposure modelling</w:t>
            </w:r>
          </w:p>
        </w:tc>
        <w:tc>
          <w:tcPr>
            <w:tcW w:w="0" w:type="auto"/>
            <w:hideMark/>
          </w:tcPr>
          <w:p w14:paraId="4DE1D9E0" w14:textId="77777777" w:rsidR="003B534E" w:rsidRDefault="003B534E">
            <w:pPr>
              <w:rPr>
                <w:sz w:val="24"/>
                <w:szCs w:val="24"/>
              </w:rPr>
            </w:pPr>
            <w:r>
              <w:t>Estimating individual or household exposure based on distance from agricultural operations</w:t>
            </w:r>
          </w:p>
        </w:tc>
        <w:tc>
          <w:tcPr>
            <w:tcW w:w="0" w:type="auto"/>
            <w:hideMark/>
          </w:tcPr>
          <w:p w14:paraId="6C704EE6" w14:textId="77777777" w:rsidR="003B534E" w:rsidRDefault="003B534E">
            <w:pPr>
              <w:rPr>
                <w:sz w:val="24"/>
                <w:szCs w:val="24"/>
              </w:rPr>
            </w:pPr>
            <w:r>
              <w:t>California PUR system; parcel data; census records</w:t>
            </w:r>
          </w:p>
        </w:tc>
        <w:tc>
          <w:tcPr>
            <w:tcW w:w="0" w:type="auto"/>
            <w:hideMark/>
          </w:tcPr>
          <w:p w14:paraId="2B8FB64E" w14:textId="77777777" w:rsidR="003B534E" w:rsidRDefault="003B534E">
            <w:pPr>
              <w:rPr>
                <w:sz w:val="24"/>
                <w:szCs w:val="24"/>
              </w:rPr>
            </w:pPr>
            <w:r>
              <w:t>Relatively low cost; scalable to large populations</w:t>
            </w:r>
          </w:p>
        </w:tc>
        <w:tc>
          <w:tcPr>
            <w:tcW w:w="0" w:type="auto"/>
            <w:hideMark/>
          </w:tcPr>
          <w:p w14:paraId="4351A5C7" w14:textId="77777777" w:rsidR="003B534E" w:rsidRDefault="003B534E">
            <w:pPr>
              <w:rPr>
                <w:sz w:val="24"/>
                <w:szCs w:val="24"/>
              </w:rPr>
            </w:pPr>
            <w:r>
              <w:t>Does not account for drift, indoor/outdoor ratios, or individual behaviour</w:t>
            </w:r>
          </w:p>
        </w:tc>
      </w:tr>
      <w:tr w:rsidR="003B534E" w14:paraId="7C18FE4C" w14:textId="77777777" w:rsidTr="00646679">
        <w:tc>
          <w:tcPr>
            <w:tcW w:w="0" w:type="auto"/>
            <w:hideMark/>
          </w:tcPr>
          <w:p w14:paraId="0BE094B5" w14:textId="77777777" w:rsidR="003B534E" w:rsidRDefault="003B534E">
            <w:pPr>
              <w:rPr>
                <w:sz w:val="24"/>
                <w:szCs w:val="24"/>
              </w:rPr>
            </w:pPr>
            <w:r>
              <w:t>Land-use regression</w:t>
            </w:r>
          </w:p>
        </w:tc>
        <w:tc>
          <w:tcPr>
            <w:tcW w:w="0" w:type="auto"/>
            <w:hideMark/>
          </w:tcPr>
          <w:p w14:paraId="41B5A5FE" w14:textId="77777777" w:rsidR="003B534E" w:rsidRDefault="003B534E">
            <w:pPr>
              <w:rPr>
                <w:sz w:val="24"/>
                <w:szCs w:val="24"/>
              </w:rPr>
            </w:pPr>
            <w:r>
              <w:t>Generating spatially continuous exposure surfaces at fine scale</w:t>
            </w:r>
          </w:p>
        </w:tc>
        <w:tc>
          <w:tcPr>
            <w:tcW w:w="0" w:type="auto"/>
            <w:hideMark/>
          </w:tcPr>
          <w:p w14:paraId="70ADCAA0" w14:textId="77777777" w:rsidR="003B534E" w:rsidRDefault="003B534E">
            <w:pPr>
              <w:rPr>
                <w:sz w:val="24"/>
                <w:szCs w:val="24"/>
              </w:rPr>
            </w:pPr>
            <w:r>
              <w:t>Crop type maps; application records; meteorological data</w:t>
            </w:r>
          </w:p>
        </w:tc>
        <w:tc>
          <w:tcPr>
            <w:tcW w:w="0" w:type="auto"/>
            <w:hideMark/>
          </w:tcPr>
          <w:p w14:paraId="564355A8" w14:textId="77777777" w:rsidR="003B534E" w:rsidRDefault="003B534E">
            <w:pPr>
              <w:rPr>
                <w:sz w:val="24"/>
                <w:szCs w:val="24"/>
              </w:rPr>
            </w:pPr>
            <w:r>
              <w:t>Captures landscape heterogeneity; combinable with GIS layers</w:t>
            </w:r>
          </w:p>
        </w:tc>
        <w:tc>
          <w:tcPr>
            <w:tcW w:w="0" w:type="auto"/>
            <w:hideMark/>
          </w:tcPr>
          <w:p w14:paraId="7039FFD8" w14:textId="77777777" w:rsidR="003B534E" w:rsidRDefault="003B534E">
            <w:pPr>
              <w:rPr>
                <w:sz w:val="24"/>
                <w:szCs w:val="24"/>
              </w:rPr>
            </w:pPr>
            <w:r>
              <w:t>Requires locally validated, detailed data; may underestimate cumulative multi-route exposure</w:t>
            </w:r>
          </w:p>
        </w:tc>
      </w:tr>
      <w:tr w:rsidR="003B534E" w14:paraId="5B505C34" w14:textId="77777777" w:rsidTr="00646679">
        <w:tc>
          <w:tcPr>
            <w:tcW w:w="0" w:type="auto"/>
            <w:hideMark/>
          </w:tcPr>
          <w:p w14:paraId="65E09B20" w14:textId="77777777" w:rsidR="003B534E" w:rsidRDefault="003B534E">
            <w:pPr>
              <w:rPr>
                <w:sz w:val="24"/>
                <w:szCs w:val="24"/>
              </w:rPr>
            </w:pPr>
            <w:r>
              <w:t>Biomonitoring (urinary metabolites)</w:t>
            </w:r>
          </w:p>
        </w:tc>
        <w:tc>
          <w:tcPr>
            <w:tcW w:w="0" w:type="auto"/>
            <w:hideMark/>
          </w:tcPr>
          <w:p w14:paraId="74ABFBA7" w14:textId="77777777" w:rsidR="003B534E" w:rsidRDefault="003B534E">
            <w:pPr>
              <w:rPr>
                <w:sz w:val="24"/>
                <w:szCs w:val="24"/>
              </w:rPr>
            </w:pPr>
            <w:r>
              <w:t>Direct quantification of internal dose</w:t>
            </w:r>
          </w:p>
        </w:tc>
        <w:tc>
          <w:tcPr>
            <w:tcW w:w="0" w:type="auto"/>
            <w:hideMark/>
          </w:tcPr>
          <w:p w14:paraId="04E23E7E" w14:textId="77777777" w:rsidR="003B534E" w:rsidRDefault="003B534E">
            <w:pPr>
              <w:rPr>
                <w:sz w:val="24"/>
                <w:szCs w:val="24"/>
              </w:rPr>
            </w:pPr>
            <w:r>
              <w:t>NHANES biospecimen collections; study cohort samples</w:t>
            </w:r>
          </w:p>
        </w:tc>
        <w:tc>
          <w:tcPr>
            <w:tcW w:w="0" w:type="auto"/>
            <w:hideMark/>
          </w:tcPr>
          <w:p w14:paraId="76840EF5" w14:textId="77777777" w:rsidR="003B534E" w:rsidRDefault="003B534E">
            <w:pPr>
              <w:rPr>
                <w:sz w:val="24"/>
                <w:szCs w:val="24"/>
              </w:rPr>
            </w:pPr>
            <w:r>
              <w:t>Integrates all exposure pathways; most biologically relevant</w:t>
            </w:r>
          </w:p>
        </w:tc>
        <w:tc>
          <w:tcPr>
            <w:tcW w:w="0" w:type="auto"/>
            <w:hideMark/>
          </w:tcPr>
          <w:p w14:paraId="433ECD22" w14:textId="77777777" w:rsidR="003B534E" w:rsidRDefault="003B534E">
            <w:pPr>
              <w:rPr>
                <w:sz w:val="24"/>
                <w:szCs w:val="24"/>
              </w:rPr>
            </w:pPr>
            <w:r>
              <w:t>Short biological half-life of many pesticides; costly at population scale</w:t>
            </w:r>
          </w:p>
        </w:tc>
      </w:tr>
      <w:tr w:rsidR="003B534E" w14:paraId="0204314B" w14:textId="77777777" w:rsidTr="00646679">
        <w:tc>
          <w:tcPr>
            <w:tcW w:w="0" w:type="auto"/>
            <w:hideMark/>
          </w:tcPr>
          <w:p w14:paraId="34EE2257" w14:textId="77777777" w:rsidR="003B534E" w:rsidRDefault="003B534E">
            <w:pPr>
              <w:rPr>
                <w:sz w:val="24"/>
                <w:szCs w:val="24"/>
              </w:rPr>
            </w:pPr>
            <w:r>
              <w:t xml:space="preserve">Scan statistics (e.g., </w:t>
            </w:r>
            <w:proofErr w:type="spellStart"/>
            <w:r>
              <w:t>SaTScan</w:t>
            </w:r>
            <w:proofErr w:type="spellEnd"/>
            <w:r>
              <w:t>)</w:t>
            </w:r>
          </w:p>
        </w:tc>
        <w:tc>
          <w:tcPr>
            <w:tcW w:w="0" w:type="auto"/>
            <w:hideMark/>
          </w:tcPr>
          <w:p w14:paraId="2EA82937" w14:textId="77777777" w:rsidR="003B534E" w:rsidRDefault="003B534E">
            <w:pPr>
              <w:rPr>
                <w:sz w:val="24"/>
                <w:szCs w:val="24"/>
              </w:rPr>
            </w:pPr>
            <w:r>
              <w:t>Detection of geographic disease clusters</w:t>
            </w:r>
          </w:p>
        </w:tc>
        <w:tc>
          <w:tcPr>
            <w:tcW w:w="0" w:type="auto"/>
            <w:hideMark/>
          </w:tcPr>
          <w:p w14:paraId="0441F302" w14:textId="77777777" w:rsidR="003B534E" w:rsidRDefault="003B534E">
            <w:pPr>
              <w:rPr>
                <w:sz w:val="24"/>
                <w:szCs w:val="24"/>
              </w:rPr>
            </w:pPr>
            <w:r>
              <w:t>Cancer registry data; vital statistics</w:t>
            </w:r>
          </w:p>
        </w:tc>
        <w:tc>
          <w:tcPr>
            <w:tcW w:w="0" w:type="auto"/>
            <w:hideMark/>
          </w:tcPr>
          <w:p w14:paraId="711446E6" w14:textId="77777777" w:rsidR="003B534E" w:rsidRDefault="003B534E">
            <w:pPr>
              <w:rPr>
                <w:sz w:val="24"/>
                <w:szCs w:val="24"/>
              </w:rPr>
            </w:pPr>
            <w:r>
              <w:t>Provides formal hypothesis-testing; computationally accessible</w:t>
            </w:r>
          </w:p>
        </w:tc>
        <w:tc>
          <w:tcPr>
            <w:tcW w:w="0" w:type="auto"/>
            <w:hideMark/>
          </w:tcPr>
          <w:p w14:paraId="31F0E815" w14:textId="77777777" w:rsidR="003B534E" w:rsidRDefault="003B534E">
            <w:pPr>
              <w:rPr>
                <w:sz w:val="24"/>
                <w:szCs w:val="24"/>
              </w:rPr>
            </w:pPr>
            <w:r>
              <w:t>Does not establish causation; sensitive to spatial parameter specification</w:t>
            </w:r>
          </w:p>
        </w:tc>
      </w:tr>
      <w:tr w:rsidR="003B534E" w14:paraId="3E33433C" w14:textId="77777777" w:rsidTr="00646679">
        <w:tc>
          <w:tcPr>
            <w:tcW w:w="0" w:type="auto"/>
            <w:hideMark/>
          </w:tcPr>
          <w:p w14:paraId="75E3BE8B" w14:textId="77777777" w:rsidR="003B534E" w:rsidRDefault="003B534E">
            <w:pPr>
              <w:rPr>
                <w:sz w:val="24"/>
                <w:szCs w:val="24"/>
              </w:rPr>
            </w:pPr>
            <w:r>
              <w:t>Bayesian disease mapping</w:t>
            </w:r>
          </w:p>
        </w:tc>
        <w:tc>
          <w:tcPr>
            <w:tcW w:w="0" w:type="auto"/>
            <w:hideMark/>
          </w:tcPr>
          <w:p w14:paraId="3D11D276" w14:textId="77777777" w:rsidR="003B534E" w:rsidRDefault="003B534E">
            <w:pPr>
              <w:rPr>
                <w:sz w:val="24"/>
                <w:szCs w:val="24"/>
              </w:rPr>
            </w:pPr>
            <w:r>
              <w:t>Smoothed estimation of spatial variation in disease rates</w:t>
            </w:r>
          </w:p>
        </w:tc>
        <w:tc>
          <w:tcPr>
            <w:tcW w:w="0" w:type="auto"/>
            <w:hideMark/>
          </w:tcPr>
          <w:p w14:paraId="6FC3BBED" w14:textId="77777777" w:rsidR="003B534E" w:rsidRDefault="003B534E">
            <w:pPr>
              <w:rPr>
                <w:sz w:val="24"/>
                <w:szCs w:val="24"/>
              </w:rPr>
            </w:pPr>
            <w:r>
              <w:t>Cancer registries; death records</w:t>
            </w:r>
          </w:p>
        </w:tc>
        <w:tc>
          <w:tcPr>
            <w:tcW w:w="0" w:type="auto"/>
            <w:hideMark/>
          </w:tcPr>
          <w:p w14:paraId="430D62BE" w14:textId="77777777" w:rsidR="003B534E" w:rsidRDefault="003B534E">
            <w:pPr>
              <w:rPr>
                <w:sz w:val="24"/>
                <w:szCs w:val="24"/>
              </w:rPr>
            </w:pPr>
            <w:r>
              <w:t>Stabilises small-area rate estimates; quantifies spatial uncertainty</w:t>
            </w:r>
          </w:p>
        </w:tc>
        <w:tc>
          <w:tcPr>
            <w:tcW w:w="0" w:type="auto"/>
            <w:hideMark/>
          </w:tcPr>
          <w:p w14:paraId="7391DF5F" w14:textId="77777777" w:rsidR="003B534E" w:rsidRDefault="003B534E">
            <w:pPr>
              <w:rPr>
                <w:sz w:val="24"/>
                <w:szCs w:val="24"/>
              </w:rPr>
            </w:pPr>
            <w:r>
              <w:t>Requires careful prior specification; computationally demanding</w:t>
            </w:r>
          </w:p>
        </w:tc>
      </w:tr>
    </w:tbl>
    <w:p w14:paraId="4FA73B39" w14:textId="77777777" w:rsidR="003B534E" w:rsidRDefault="003B534E" w:rsidP="003B534E">
      <w:pPr>
        <w:pStyle w:val="font-claude-response-body"/>
      </w:pPr>
      <w:r>
        <w:rPr>
          <w:rStyle w:val="Emphasis"/>
        </w:rPr>
        <w:t>Sources: Elliott &amp; Wartenberg (2004); Nuckols et al. (2004); Kulldorff (1997); Jacquez (2004); Barr et al. (2004).</w:t>
      </w:r>
    </w:p>
    <w:p w14:paraId="5D97DF29" w14:textId="77777777" w:rsidR="003B534E" w:rsidRDefault="003B534E" w:rsidP="003B534E"/>
    <w:p w14:paraId="2658FF7D" w14:textId="77777777" w:rsidR="003B534E" w:rsidRDefault="003B534E" w:rsidP="003B534E">
      <w:pPr>
        <w:pStyle w:val="Heading3"/>
      </w:pPr>
      <w:r>
        <w:lastRenderedPageBreak/>
        <w:t>4. Agrochemical Exposure Patterns and Population Vulnerability</w:t>
      </w:r>
    </w:p>
    <w:p w14:paraId="3F4E1ED9" w14:textId="77777777" w:rsidR="003B534E" w:rsidRDefault="003B534E" w:rsidP="003B534E">
      <w:pPr>
        <w:pStyle w:val="Heading4"/>
      </w:pPr>
      <w:r>
        <w:t>4.1 Agricultural Worker Populations</w:t>
      </w:r>
    </w:p>
    <w:p w14:paraId="33024CC4" w14:textId="77777777" w:rsidR="003B534E" w:rsidRDefault="003B534E" w:rsidP="003B534E">
      <w:pPr>
        <w:pStyle w:val="font-claude-response-body"/>
      </w:pPr>
      <w:r>
        <w:t>Of all the groups discussed in this review, farmworkers face the most intense and sustained agrochemical exposures. The US hired agricultural labour force—estimated at approximately 2.4 million workers, with a substantial proportion of undocumented migrants from Mexico and Central America—encounters pesticide residues through dermal contact and inhalation at rates that far exceed those of the general population, particularly during application and the early re-entry period (</w:t>
      </w:r>
      <w:proofErr w:type="spellStart"/>
      <w:r>
        <w:t>Villarejo</w:t>
      </w:r>
      <w:proofErr w:type="spellEnd"/>
      <w:r>
        <w:t>, 2003). Federal protections exist under the Worker Protection Standard, which requires safety training, provision of protective equipment, and adherence to re-entry intervals following application. In practice, however, these requirements are inconsistently enforced. Many workers report that training is not provided in their native language, that protective equipment is unavailable or inaccessible, and that reporting symptoms or raising compliance concerns carries economic and immigration-related risks (</w:t>
      </w:r>
      <w:proofErr w:type="spellStart"/>
      <w:r>
        <w:t>Arcury</w:t>
      </w:r>
      <w:proofErr w:type="spellEnd"/>
      <w:r>
        <w:t xml:space="preserve"> &amp; Quandt, 2007).</w:t>
      </w:r>
    </w:p>
    <w:p w14:paraId="7A47BE30" w14:textId="77777777" w:rsidR="003B534E" w:rsidRDefault="003B534E" w:rsidP="003B534E">
      <w:pPr>
        <w:pStyle w:val="font-claude-response-body"/>
      </w:pPr>
      <w:r>
        <w:t>As synthesised by Curl et al. (2020), urinary organophosphate metabolite concentrations in agricultural workers are several-fold higher than population background levels, with peak exposures occurring during mixing, loading, and early field re-entry. Appropriate protective equipment, when correctly used, can substantially reduce dermal contact, but uptake remains limited among piece-rate workers whose earnings depend on minimising time spent on non-productive tasks. The broader occupational health infrastructure for this workforce—monitoring systems, healthcare access, legal protections—is markedly inferior to that available in most other US industries, and this structural deficit makes meaningful exposure surveillance close to impossible under current conditions.</w:t>
      </w:r>
    </w:p>
    <w:p w14:paraId="2D58201D" w14:textId="77777777" w:rsidR="003B534E" w:rsidRDefault="003B534E" w:rsidP="003B534E">
      <w:pPr>
        <w:pStyle w:val="Heading4"/>
      </w:pPr>
      <w:r>
        <w:t>4.2 Resident Communities in Agricultural Landscapes</w:t>
      </w:r>
    </w:p>
    <w:p w14:paraId="28D4C8EF" w14:textId="77777777" w:rsidR="003B534E" w:rsidRDefault="003B534E" w:rsidP="003B534E">
      <w:pPr>
        <w:pStyle w:val="font-claude-response-body"/>
      </w:pPr>
      <w:r>
        <w:t>Beyond those who work directly in fields, communities living in agricultural landscapes face meaningful exposures through several environmental routes simultaneously. Pesticide drift during ground-based and aerial applications can contaminate soil, indoor dust, and ambient air in nearby homes and schools. Deziel et al. (2015) identify at least seven distinct nonoccupational pathways through which women and children in agricultural regions may be exposed—including take-home contamination on clothing and boots, dietary intake of residues from locally grown produce, and contact with contaminated domestic water. These pathways tend to operate concurrently, creating cumulative exposure burdens that any single-route analysis will underestimate.</w:t>
      </w:r>
    </w:p>
    <w:p w14:paraId="062D4ED9" w14:textId="77777777" w:rsidR="003B534E" w:rsidRDefault="003B534E" w:rsidP="003B534E">
      <w:pPr>
        <w:pStyle w:val="font-claude-response-body"/>
      </w:pPr>
      <w:r>
        <w:t>Groundwater contamination from leaching of water-soluble pesticides is of particular concern in regions where farming is intensive and soils are porous or tile-drained. Rural households dependent on private wells are considerably more vulnerable than those served by municipal systems, which are subject to regular monitoring and remediation. In the midwestern United States, where row crop agriculture intersects with widespread private well use, this pathway has received considerable scientific attention, though quantifying the population-level health burden remains difficult without systematic testing requirements.</w:t>
      </w:r>
    </w:p>
    <w:p w14:paraId="09BADBD5" w14:textId="77777777" w:rsidR="00BF73C5" w:rsidRDefault="00BF73C5" w:rsidP="003B534E">
      <w:pPr>
        <w:pStyle w:val="font-claude-response-body"/>
      </w:pPr>
    </w:p>
    <w:p w14:paraId="14B50DD2" w14:textId="77777777" w:rsidR="00BF73C5" w:rsidRDefault="00BF73C5" w:rsidP="003B534E">
      <w:pPr>
        <w:pStyle w:val="font-claude-response-body"/>
      </w:pPr>
    </w:p>
    <w:p w14:paraId="13367C07" w14:textId="77777777" w:rsidR="003B534E" w:rsidRDefault="003B534E" w:rsidP="003B534E">
      <w:pPr>
        <w:pStyle w:val="Heading4"/>
      </w:pPr>
      <w:r>
        <w:lastRenderedPageBreak/>
        <w:t>4.3 Children and Reproductive-Age Populations</w:t>
      </w:r>
    </w:p>
    <w:p w14:paraId="2C40DDEE" w14:textId="77777777" w:rsidR="003B534E" w:rsidRDefault="003B534E" w:rsidP="003B534E">
      <w:pPr>
        <w:pStyle w:val="font-claude-response-body"/>
      </w:pPr>
      <w:r>
        <w:t>Children are not simply small adults when it comes to chemical exposure—they face qualitatively different risks. Higher soil ingestion rates, greater hand-to-mouth contact, and faster respiratory rates per unit body weight all increase the dose received relative to adults. More fundamentally, the developing nervous and endocrine systems are sensitive during windows of foetal and early childhood development that have no adult equivalent; exposures that would be tolerated by an adult may have lasting consequences when they occur at the wrong developmental moment (Bouchard et al., 2011; Shelton et al., 2014).</w:t>
      </w:r>
    </w:p>
    <w:p w14:paraId="4F8EAE94" w14:textId="77777777" w:rsidR="003B534E" w:rsidRDefault="003B534E" w:rsidP="003B534E">
      <w:pPr>
        <w:pStyle w:val="font-claude-response-body"/>
      </w:pPr>
      <w:r>
        <w:t xml:space="preserve">The CHAMACOS cohort study in California's Salinas Valley has generated some of the most important evidence on this question. Bouchard et al. (2011) found that each ten-fold increase in maternal urinary organophosphate metabolite concentrations during pregnancy was associated with a 5.5-point decrease in IQ at age seven, after adjusting for socioeconomic status and other potential confounders. The CHARGE (Childhood Autism Risks from Genetics and Environment) Study, also conducted in California, linked prenatal residential proximity to organophosphate, organochlorine, and pyrethroid application sites to significantly elevated odds of autism spectrum disorder and developmental delay in offspring (Shelton et al., 2014). </w:t>
      </w:r>
      <w:proofErr w:type="spellStart"/>
      <w:r>
        <w:t>Gunier</w:t>
      </w:r>
      <w:proofErr w:type="spellEnd"/>
      <w:r>
        <w:t xml:space="preserve"> et al. (2017) extended these findings using georeferenced application records, reporting that residential proximity to organophosphate use during the first trimester was associated with reduced IQ at age seven. The convergence across these independent studies is notable and forms one of the most coherent bodies of evidence in the entire agrochemical health literature.</w:t>
      </w:r>
    </w:p>
    <w:p w14:paraId="2FCC49AB" w14:textId="77777777" w:rsidR="003B534E" w:rsidRDefault="003B534E" w:rsidP="003B534E">
      <w:pPr>
        <w:pStyle w:val="font-claude-response-body"/>
      </w:pPr>
      <w:r>
        <w:t xml:space="preserve">Women of reproductive age working in or near agricultural settings are exposed through occupational, domestic, and dietary routes simultaneously. Multiple studies document associations between pesticide exposure and miscarriage, foetal growth restriction, and preterm birth. The detection of organophosphate metabolites in cord blood and breast milk confirms that chemical transfer occurs both </w:t>
      </w:r>
      <w:proofErr w:type="spellStart"/>
      <w:r>
        <w:t>transplacentally</w:t>
      </w:r>
      <w:proofErr w:type="spellEnd"/>
      <w:r>
        <w:t xml:space="preserve"> and postnatally, extending the developmental risk window well into infancy (</w:t>
      </w:r>
      <w:proofErr w:type="spellStart"/>
      <w:r>
        <w:t>Bretveld</w:t>
      </w:r>
      <w:proofErr w:type="spellEnd"/>
      <w:r>
        <w:t xml:space="preserve"> et al., 2006; Gore et al., 2015).</w:t>
      </w:r>
    </w:p>
    <w:p w14:paraId="4B330029" w14:textId="77777777" w:rsidR="003B534E" w:rsidRDefault="003B534E" w:rsidP="003B534E">
      <w:pPr>
        <w:pStyle w:val="Heading4"/>
      </w:pPr>
      <w:r>
        <w:t>4.4 Indigenous and Marginalised Communities</w:t>
      </w:r>
    </w:p>
    <w:p w14:paraId="7E99F2F7" w14:textId="77777777" w:rsidR="003B534E" w:rsidRDefault="003B534E" w:rsidP="003B534E">
      <w:pPr>
        <w:pStyle w:val="font-claude-response-body"/>
      </w:pPr>
      <w:r>
        <w:t>Indigenous communities occupy a position in this story that cannot be captured by simply adding them to a list of vulnerable groups. Many tribal territories are located within or immediately adjacent to intensively farmed regions, and traditional food practices—fishing, hunting, and gathering—create exposure pathways that standard regulatory risk models do not assess. Hoover (</w:t>
      </w:r>
      <w:r w:rsidR="00ED7300">
        <w:t>2016</w:t>
      </w:r>
      <w:r>
        <w:t>) documents how contaminated food sources, agricultural land adjacency, and reliance on culturally significant subsistence diets combine to create exposure scenarios in American Indian communities in the Great Lakes region that mainstream epidemiological frameworks are structurally ill-equipped to address. Treaty rights to fish and gather on ancestral lands may place community members in regular contact with environmental media contaminated by off-reservation agricultural activity—a form of environmental injustice with specific legal and cultural dimensions that generic risk assessment frameworks cannot capture.</w:t>
      </w:r>
    </w:p>
    <w:p w14:paraId="730AF845" w14:textId="77777777" w:rsidR="003B534E" w:rsidRDefault="003B534E" w:rsidP="003B534E">
      <w:pPr>
        <w:pStyle w:val="font-claude-response-body"/>
      </w:pPr>
      <w:r>
        <w:t xml:space="preserve">The socioeconomic dimensions of vulnerability operate through multiple reinforcing channels. Migrant farmworker families typically live in substandard housing on or near farms, increasing post-application residue contact through soil and dust pathways. Language barriers, uncertain immigration status, and limited healthcare access all impede timely </w:t>
      </w:r>
      <w:r>
        <w:lastRenderedPageBreak/>
        <w:t>recognition and treatment of pesticide-related illness. What Morello-Frosch &amp; Shenassa (2006) call the environmental "</w:t>
      </w:r>
      <w:proofErr w:type="spellStart"/>
      <w:r>
        <w:t>riskscape</w:t>
      </w:r>
      <w:proofErr w:type="spellEnd"/>
      <w:r>
        <w:t>"—the way social inequality and environmental hazard reinforce each other in spatially patterned ways—aptly describes the situation in these communities: disadvantage accumulates rather than averages out. Table 2 summarises the main vulnerable population groups, their primary exposure pathways, and representative geographic contexts.</w:t>
      </w:r>
    </w:p>
    <w:p w14:paraId="06E369BA" w14:textId="77777777" w:rsidR="003B534E" w:rsidRDefault="003B534E" w:rsidP="003B534E">
      <w:pPr>
        <w:pStyle w:val="font-claude-response-body"/>
      </w:pPr>
      <w:r>
        <w:rPr>
          <w:rStyle w:val="Strong"/>
        </w:rPr>
        <w:t>Table 2.</w:t>
      </w:r>
      <w:r>
        <w:t xml:space="preserve"> Vulnerable population groups, exposure pathways, and key determinants of agrochemical exposure burden in North American farming communities.</w:t>
      </w:r>
    </w:p>
    <w:tbl>
      <w:tblPr>
        <w:tblStyle w:val="TableGrid"/>
        <w:tblW w:w="0" w:type="auto"/>
        <w:tblLook w:val="04A0" w:firstRow="1" w:lastRow="0" w:firstColumn="1" w:lastColumn="0" w:noHBand="0" w:noVBand="1"/>
      </w:tblPr>
      <w:tblGrid>
        <w:gridCol w:w="2225"/>
        <w:gridCol w:w="2372"/>
        <w:gridCol w:w="2412"/>
        <w:gridCol w:w="2233"/>
      </w:tblGrid>
      <w:tr w:rsidR="003B534E" w14:paraId="0298242E" w14:textId="77777777" w:rsidTr="00646679">
        <w:tc>
          <w:tcPr>
            <w:tcW w:w="0" w:type="auto"/>
            <w:hideMark/>
          </w:tcPr>
          <w:p w14:paraId="5D5BC562" w14:textId="77777777" w:rsidR="003B534E" w:rsidRDefault="003B534E">
            <w:pPr>
              <w:jc w:val="center"/>
              <w:rPr>
                <w:b/>
                <w:bCs/>
                <w:sz w:val="24"/>
                <w:szCs w:val="24"/>
              </w:rPr>
            </w:pPr>
            <w:r>
              <w:rPr>
                <w:b/>
                <w:bCs/>
              </w:rPr>
              <w:t>Population Group</w:t>
            </w:r>
          </w:p>
        </w:tc>
        <w:tc>
          <w:tcPr>
            <w:tcW w:w="0" w:type="auto"/>
            <w:hideMark/>
          </w:tcPr>
          <w:p w14:paraId="24B01F03" w14:textId="77777777" w:rsidR="003B534E" w:rsidRDefault="003B534E">
            <w:pPr>
              <w:jc w:val="center"/>
              <w:rPr>
                <w:b/>
                <w:bCs/>
                <w:sz w:val="24"/>
                <w:szCs w:val="24"/>
              </w:rPr>
            </w:pPr>
            <w:r>
              <w:rPr>
                <w:b/>
                <w:bCs/>
              </w:rPr>
              <w:t>Primary Exposure Pathways</w:t>
            </w:r>
          </w:p>
        </w:tc>
        <w:tc>
          <w:tcPr>
            <w:tcW w:w="0" w:type="auto"/>
            <w:hideMark/>
          </w:tcPr>
          <w:p w14:paraId="13A28AD6" w14:textId="77777777" w:rsidR="003B534E" w:rsidRDefault="003B534E">
            <w:pPr>
              <w:jc w:val="center"/>
              <w:rPr>
                <w:b/>
                <w:bCs/>
                <w:sz w:val="24"/>
                <w:szCs w:val="24"/>
              </w:rPr>
            </w:pPr>
            <w:r>
              <w:rPr>
                <w:b/>
                <w:bCs/>
              </w:rPr>
              <w:t>Key Vulnerability Factors</w:t>
            </w:r>
          </w:p>
        </w:tc>
        <w:tc>
          <w:tcPr>
            <w:tcW w:w="0" w:type="auto"/>
            <w:hideMark/>
          </w:tcPr>
          <w:p w14:paraId="5DB4F7ED" w14:textId="77777777" w:rsidR="003B534E" w:rsidRDefault="003B534E">
            <w:pPr>
              <w:jc w:val="center"/>
              <w:rPr>
                <w:b/>
                <w:bCs/>
                <w:sz w:val="24"/>
                <w:szCs w:val="24"/>
              </w:rPr>
            </w:pPr>
            <w:r>
              <w:rPr>
                <w:b/>
                <w:bCs/>
              </w:rPr>
              <w:t>Representative Geographic Context</w:t>
            </w:r>
          </w:p>
        </w:tc>
      </w:tr>
      <w:tr w:rsidR="003B534E" w14:paraId="03F77B99" w14:textId="77777777" w:rsidTr="00646679">
        <w:tc>
          <w:tcPr>
            <w:tcW w:w="0" w:type="auto"/>
            <w:hideMark/>
          </w:tcPr>
          <w:p w14:paraId="21B0AD76" w14:textId="77777777" w:rsidR="003B534E" w:rsidRDefault="003B534E">
            <w:pPr>
              <w:rPr>
                <w:sz w:val="24"/>
                <w:szCs w:val="24"/>
              </w:rPr>
            </w:pPr>
            <w:r>
              <w:t>Hired farmworkers (migrant/seasonal)</w:t>
            </w:r>
          </w:p>
        </w:tc>
        <w:tc>
          <w:tcPr>
            <w:tcW w:w="0" w:type="auto"/>
            <w:hideMark/>
          </w:tcPr>
          <w:p w14:paraId="11FB5CEB" w14:textId="77777777" w:rsidR="003B534E" w:rsidRDefault="003B534E">
            <w:pPr>
              <w:rPr>
                <w:sz w:val="24"/>
                <w:szCs w:val="24"/>
              </w:rPr>
            </w:pPr>
            <w:r>
              <w:t>Direct occupational contact (dermal and inhalation); take-home contamination</w:t>
            </w:r>
          </w:p>
        </w:tc>
        <w:tc>
          <w:tcPr>
            <w:tcW w:w="0" w:type="auto"/>
            <w:hideMark/>
          </w:tcPr>
          <w:p w14:paraId="73284DB4" w14:textId="77777777" w:rsidR="003B534E" w:rsidRDefault="003B534E">
            <w:pPr>
              <w:rPr>
                <w:sz w:val="24"/>
                <w:szCs w:val="24"/>
              </w:rPr>
            </w:pPr>
            <w:r>
              <w:t>Limited PPE access; language barriers; economic pressure; immigration status</w:t>
            </w:r>
          </w:p>
        </w:tc>
        <w:tc>
          <w:tcPr>
            <w:tcW w:w="0" w:type="auto"/>
            <w:hideMark/>
          </w:tcPr>
          <w:p w14:paraId="6C39E447" w14:textId="77777777" w:rsidR="003B534E" w:rsidRDefault="003B534E">
            <w:pPr>
              <w:rPr>
                <w:sz w:val="24"/>
                <w:szCs w:val="24"/>
              </w:rPr>
            </w:pPr>
            <w:r>
              <w:t>Central Valley (CA); Pacific Northwest; Eastern seaboard</w:t>
            </w:r>
          </w:p>
        </w:tc>
      </w:tr>
      <w:tr w:rsidR="003B534E" w14:paraId="2DB4B2F5" w14:textId="77777777" w:rsidTr="00646679">
        <w:tc>
          <w:tcPr>
            <w:tcW w:w="0" w:type="auto"/>
            <w:hideMark/>
          </w:tcPr>
          <w:p w14:paraId="484D3D2D" w14:textId="77777777" w:rsidR="003B534E" w:rsidRDefault="003B534E">
            <w:pPr>
              <w:rPr>
                <w:sz w:val="24"/>
                <w:szCs w:val="24"/>
              </w:rPr>
            </w:pPr>
            <w:r>
              <w:t>Resident rural households</w:t>
            </w:r>
          </w:p>
        </w:tc>
        <w:tc>
          <w:tcPr>
            <w:tcW w:w="0" w:type="auto"/>
            <w:hideMark/>
          </w:tcPr>
          <w:p w14:paraId="5630C1B6" w14:textId="77777777" w:rsidR="003B534E" w:rsidRDefault="003B534E">
            <w:pPr>
              <w:rPr>
                <w:sz w:val="24"/>
                <w:szCs w:val="24"/>
              </w:rPr>
            </w:pPr>
            <w:r>
              <w:t>Groundwater; pesticide drift; indoor dust; dietary intake</w:t>
            </w:r>
          </w:p>
        </w:tc>
        <w:tc>
          <w:tcPr>
            <w:tcW w:w="0" w:type="auto"/>
            <w:hideMark/>
          </w:tcPr>
          <w:p w14:paraId="27843F35" w14:textId="77777777" w:rsidR="003B534E" w:rsidRDefault="003B534E">
            <w:pPr>
              <w:rPr>
                <w:sz w:val="24"/>
                <w:szCs w:val="24"/>
              </w:rPr>
            </w:pPr>
            <w:r>
              <w:t>Private well dependence; proximity to fields; limited regulatory monitoring of drift</w:t>
            </w:r>
          </w:p>
        </w:tc>
        <w:tc>
          <w:tcPr>
            <w:tcW w:w="0" w:type="auto"/>
            <w:hideMark/>
          </w:tcPr>
          <w:p w14:paraId="177990CC" w14:textId="77777777" w:rsidR="003B534E" w:rsidRDefault="003B534E">
            <w:pPr>
              <w:rPr>
                <w:sz w:val="24"/>
                <w:szCs w:val="24"/>
              </w:rPr>
            </w:pPr>
            <w:r>
              <w:t>Midwest corn/soy belt; Great Plains; Prairie Provinces (Canada)</w:t>
            </w:r>
          </w:p>
        </w:tc>
      </w:tr>
      <w:tr w:rsidR="003B534E" w14:paraId="69EF0C32" w14:textId="77777777" w:rsidTr="00646679">
        <w:tc>
          <w:tcPr>
            <w:tcW w:w="0" w:type="auto"/>
            <w:hideMark/>
          </w:tcPr>
          <w:p w14:paraId="08423A79" w14:textId="77777777" w:rsidR="003B534E" w:rsidRDefault="003B534E">
            <w:pPr>
              <w:rPr>
                <w:sz w:val="24"/>
                <w:szCs w:val="24"/>
              </w:rPr>
            </w:pPr>
            <w:r>
              <w:t>Pregnant women and neonates</w:t>
            </w:r>
          </w:p>
        </w:tc>
        <w:tc>
          <w:tcPr>
            <w:tcW w:w="0" w:type="auto"/>
            <w:hideMark/>
          </w:tcPr>
          <w:p w14:paraId="6FC9E2C9" w14:textId="77777777" w:rsidR="003B534E" w:rsidRDefault="003B534E">
            <w:pPr>
              <w:rPr>
                <w:sz w:val="24"/>
                <w:szCs w:val="24"/>
              </w:rPr>
            </w:pPr>
            <w:r>
              <w:t>Transplacental transfer; breast milk; ambient air; dietary residues</w:t>
            </w:r>
          </w:p>
        </w:tc>
        <w:tc>
          <w:tcPr>
            <w:tcW w:w="0" w:type="auto"/>
            <w:hideMark/>
          </w:tcPr>
          <w:p w14:paraId="2F0E2704" w14:textId="77777777" w:rsidR="003B534E" w:rsidRDefault="003B534E">
            <w:pPr>
              <w:rPr>
                <w:sz w:val="24"/>
                <w:szCs w:val="24"/>
              </w:rPr>
            </w:pPr>
            <w:r>
              <w:t>Foetal developmental windows; hormonal sensitivity</w:t>
            </w:r>
          </w:p>
        </w:tc>
        <w:tc>
          <w:tcPr>
            <w:tcW w:w="0" w:type="auto"/>
            <w:hideMark/>
          </w:tcPr>
          <w:p w14:paraId="4CFB90CE" w14:textId="77777777" w:rsidR="003B534E" w:rsidRDefault="003B534E">
            <w:pPr>
              <w:rPr>
                <w:sz w:val="24"/>
                <w:szCs w:val="24"/>
              </w:rPr>
            </w:pPr>
            <w:r>
              <w:t>Agricultural counties in CA, WA, FL, and ON</w:t>
            </w:r>
          </w:p>
        </w:tc>
      </w:tr>
      <w:tr w:rsidR="003B534E" w14:paraId="176251C5" w14:textId="77777777" w:rsidTr="00646679">
        <w:tc>
          <w:tcPr>
            <w:tcW w:w="0" w:type="auto"/>
            <w:hideMark/>
          </w:tcPr>
          <w:p w14:paraId="12B3C072" w14:textId="77777777" w:rsidR="003B534E" w:rsidRDefault="003B534E">
            <w:pPr>
              <w:rPr>
                <w:sz w:val="24"/>
                <w:szCs w:val="24"/>
              </w:rPr>
            </w:pPr>
            <w:r>
              <w:t xml:space="preserve">School-age children in </w:t>
            </w:r>
            <w:proofErr w:type="spellStart"/>
            <w:r>
              <w:t>periagricultural</w:t>
            </w:r>
            <w:proofErr w:type="spellEnd"/>
            <w:r>
              <w:t xml:space="preserve"> areas</w:t>
            </w:r>
          </w:p>
        </w:tc>
        <w:tc>
          <w:tcPr>
            <w:tcW w:w="0" w:type="auto"/>
            <w:hideMark/>
          </w:tcPr>
          <w:p w14:paraId="14EA8692" w14:textId="77777777" w:rsidR="003B534E" w:rsidRDefault="003B534E">
            <w:pPr>
              <w:rPr>
                <w:sz w:val="24"/>
                <w:szCs w:val="24"/>
              </w:rPr>
            </w:pPr>
            <w:r>
              <w:t>Soil ingestion; hand-to-mouth contact; ambient air near schools</w:t>
            </w:r>
          </w:p>
        </w:tc>
        <w:tc>
          <w:tcPr>
            <w:tcW w:w="0" w:type="auto"/>
            <w:hideMark/>
          </w:tcPr>
          <w:p w14:paraId="04394883" w14:textId="77777777" w:rsidR="003B534E" w:rsidRDefault="003B534E">
            <w:pPr>
              <w:rPr>
                <w:sz w:val="24"/>
                <w:szCs w:val="24"/>
              </w:rPr>
            </w:pPr>
            <w:r>
              <w:t>Heightened biological sensitivity; extended outdoor time</w:t>
            </w:r>
          </w:p>
        </w:tc>
        <w:tc>
          <w:tcPr>
            <w:tcW w:w="0" w:type="auto"/>
            <w:hideMark/>
          </w:tcPr>
          <w:p w14:paraId="249F8948" w14:textId="77777777" w:rsidR="003B534E" w:rsidRDefault="003B534E">
            <w:pPr>
              <w:rPr>
                <w:sz w:val="24"/>
                <w:szCs w:val="24"/>
              </w:rPr>
            </w:pPr>
            <w:r>
              <w:t>Salinas Valley; San Joaquin Valley; Rio Grande Valley</w:t>
            </w:r>
          </w:p>
        </w:tc>
      </w:tr>
      <w:tr w:rsidR="003B534E" w14:paraId="390F6815" w14:textId="77777777" w:rsidTr="00646679">
        <w:tc>
          <w:tcPr>
            <w:tcW w:w="0" w:type="auto"/>
            <w:hideMark/>
          </w:tcPr>
          <w:p w14:paraId="31E7B867" w14:textId="77777777" w:rsidR="003B534E" w:rsidRDefault="003B534E">
            <w:pPr>
              <w:rPr>
                <w:sz w:val="24"/>
                <w:szCs w:val="24"/>
              </w:rPr>
            </w:pPr>
            <w:r>
              <w:t>Indigenous communities</w:t>
            </w:r>
          </w:p>
        </w:tc>
        <w:tc>
          <w:tcPr>
            <w:tcW w:w="0" w:type="auto"/>
            <w:hideMark/>
          </w:tcPr>
          <w:p w14:paraId="219A05FC" w14:textId="77777777" w:rsidR="003B534E" w:rsidRDefault="003B534E">
            <w:pPr>
              <w:rPr>
                <w:sz w:val="24"/>
                <w:szCs w:val="24"/>
              </w:rPr>
            </w:pPr>
            <w:r>
              <w:t>Subsistence food; contaminated water; soil contact; proximity to agricultural land</w:t>
            </w:r>
          </w:p>
        </w:tc>
        <w:tc>
          <w:tcPr>
            <w:tcW w:w="0" w:type="auto"/>
            <w:hideMark/>
          </w:tcPr>
          <w:p w14:paraId="2CE461B9" w14:textId="77777777" w:rsidR="003B534E" w:rsidRDefault="003B534E">
            <w:pPr>
              <w:rPr>
                <w:sz w:val="24"/>
                <w:szCs w:val="24"/>
              </w:rPr>
            </w:pPr>
            <w:r>
              <w:t>Cultural food practices; treaty land adjacency; structural health inequities</w:t>
            </w:r>
          </w:p>
        </w:tc>
        <w:tc>
          <w:tcPr>
            <w:tcW w:w="0" w:type="auto"/>
            <w:hideMark/>
          </w:tcPr>
          <w:p w14:paraId="5085D37E" w14:textId="77777777" w:rsidR="003B534E" w:rsidRDefault="003B534E">
            <w:pPr>
              <w:rPr>
                <w:sz w:val="24"/>
                <w:szCs w:val="24"/>
              </w:rPr>
            </w:pPr>
            <w:r>
              <w:t>Great Lakes region; Canadian Prairie Provinces; Pacific Northwest</w:t>
            </w:r>
          </w:p>
        </w:tc>
      </w:tr>
      <w:tr w:rsidR="003B534E" w14:paraId="05E4A087" w14:textId="77777777" w:rsidTr="00646679">
        <w:tc>
          <w:tcPr>
            <w:tcW w:w="0" w:type="auto"/>
            <w:hideMark/>
          </w:tcPr>
          <w:p w14:paraId="1F18C945" w14:textId="77777777" w:rsidR="003B534E" w:rsidRDefault="003B534E">
            <w:pPr>
              <w:rPr>
                <w:sz w:val="24"/>
                <w:szCs w:val="24"/>
              </w:rPr>
            </w:pPr>
            <w:r>
              <w:t>Spouses and family members of applicators</w:t>
            </w:r>
          </w:p>
        </w:tc>
        <w:tc>
          <w:tcPr>
            <w:tcW w:w="0" w:type="auto"/>
            <w:hideMark/>
          </w:tcPr>
          <w:p w14:paraId="14EE152A" w14:textId="77777777" w:rsidR="003B534E" w:rsidRDefault="003B534E">
            <w:pPr>
              <w:rPr>
                <w:sz w:val="24"/>
                <w:szCs w:val="24"/>
              </w:rPr>
            </w:pPr>
            <w:r>
              <w:t>Take-home exposure; residential proximity to application areas</w:t>
            </w:r>
          </w:p>
        </w:tc>
        <w:tc>
          <w:tcPr>
            <w:tcW w:w="0" w:type="auto"/>
            <w:hideMark/>
          </w:tcPr>
          <w:p w14:paraId="0CAEAF79" w14:textId="77777777" w:rsidR="003B534E" w:rsidRDefault="003B534E">
            <w:pPr>
              <w:rPr>
                <w:sz w:val="24"/>
                <w:szCs w:val="24"/>
              </w:rPr>
            </w:pPr>
            <w:r>
              <w:t>Secondary occupational exposure; limited awareness of exposure dynamics</w:t>
            </w:r>
          </w:p>
        </w:tc>
        <w:tc>
          <w:tcPr>
            <w:tcW w:w="0" w:type="auto"/>
            <w:hideMark/>
          </w:tcPr>
          <w:p w14:paraId="248E65D0" w14:textId="77777777" w:rsidR="003B534E" w:rsidRDefault="003B534E">
            <w:pPr>
              <w:rPr>
                <w:sz w:val="24"/>
                <w:szCs w:val="24"/>
              </w:rPr>
            </w:pPr>
            <w:r>
              <w:t>Nationwide; highest in high-application intensity regions</w:t>
            </w:r>
          </w:p>
        </w:tc>
      </w:tr>
    </w:tbl>
    <w:p w14:paraId="2EEF04DB" w14:textId="77777777" w:rsidR="003B534E" w:rsidRDefault="003B534E" w:rsidP="003B534E">
      <w:pPr>
        <w:pStyle w:val="font-claude-response-body"/>
      </w:pPr>
      <w:r>
        <w:rPr>
          <w:rStyle w:val="Emphasis"/>
        </w:rPr>
        <w:t xml:space="preserve">Sources: </w:t>
      </w:r>
      <w:proofErr w:type="spellStart"/>
      <w:r>
        <w:rPr>
          <w:rStyle w:val="Emphasis"/>
        </w:rPr>
        <w:t>Villarejo</w:t>
      </w:r>
      <w:proofErr w:type="spellEnd"/>
      <w:r>
        <w:rPr>
          <w:rStyle w:val="Emphasis"/>
        </w:rPr>
        <w:t xml:space="preserve"> (2003); </w:t>
      </w:r>
      <w:proofErr w:type="spellStart"/>
      <w:r>
        <w:rPr>
          <w:rStyle w:val="Emphasis"/>
        </w:rPr>
        <w:t>Arcury</w:t>
      </w:r>
      <w:proofErr w:type="spellEnd"/>
      <w:r>
        <w:rPr>
          <w:rStyle w:val="Emphasis"/>
        </w:rPr>
        <w:t xml:space="preserve"> &amp; Quandt (2007); Deziel et al. (2015); Hoover (</w:t>
      </w:r>
      <w:r w:rsidR="00ED7300">
        <w:t>2016</w:t>
      </w:r>
      <w:r>
        <w:rPr>
          <w:rStyle w:val="Emphasis"/>
        </w:rPr>
        <w:t>); Morello-Frosch &amp; Shenassa (2006); Curl et al. (2020).</w:t>
      </w:r>
    </w:p>
    <w:p w14:paraId="229A06AC" w14:textId="77777777" w:rsidR="003B534E" w:rsidRDefault="003B534E" w:rsidP="003B534E"/>
    <w:p w14:paraId="09FEC868" w14:textId="77777777" w:rsidR="003B534E" w:rsidRDefault="003B534E" w:rsidP="003B534E">
      <w:pPr>
        <w:pStyle w:val="Heading3"/>
      </w:pPr>
      <w:r>
        <w:t>5. Health Outcomes Associated with Agrochemical Exposure</w:t>
      </w:r>
    </w:p>
    <w:p w14:paraId="0E5B020B" w14:textId="77777777" w:rsidR="003B534E" w:rsidRDefault="003B534E" w:rsidP="003B534E">
      <w:pPr>
        <w:pStyle w:val="Heading4"/>
      </w:pPr>
      <w:r>
        <w:t>5.1 Oncological Outcomes</w:t>
      </w:r>
    </w:p>
    <w:p w14:paraId="546A25AE" w14:textId="77777777" w:rsidR="003B534E" w:rsidRDefault="003B534E" w:rsidP="003B534E">
      <w:pPr>
        <w:pStyle w:val="font-claude-response-body"/>
      </w:pPr>
      <w:r>
        <w:t xml:space="preserve">The literature on pesticide exposure and cancer is large, heterogeneous, and sometimes contradictory—but for certain outcome-exposure combinations, the signal is consistent enough to be scientifically significant. Among haematological malignancies, non-Hodgkin lymphoma (NHL) has attracted the most sustained attention, with elevated risk estimates </w:t>
      </w:r>
      <w:r>
        <w:lastRenderedPageBreak/>
        <w:t>appearing across multiple case-control and cohort studies in North America and internationally (Schinasi &amp; Leon, 2014). The meta-analysis by Schinasi &amp; Leon (2014) identified associations between NHL risk and exposure to phenoxyacid herbicides, organophosphates, and carbamates, though effect sizes varied considerably across individual active ingredients and study designs. A subsequent multinational pooled analysis by Leon et al. (2019), integrating cohort data from the Agricultural Health Study alongside French and Norwegian agricultural cohorts, corroborated elevated NHL risk for specific insecticide exposures while also highlighting the between-cohort heterogeneity that complicates any simple generalisation.</w:t>
      </w:r>
    </w:p>
    <w:p w14:paraId="07345B35" w14:textId="77777777" w:rsidR="003B534E" w:rsidRDefault="003B534E" w:rsidP="003B534E">
      <w:pPr>
        <w:pStyle w:val="font-claude-response-body"/>
      </w:pPr>
      <w:r>
        <w:t xml:space="preserve">Glyphosate sits at the centre of one of the most contentious questions in this field. The International Agency for Research on Cancer concluded in </w:t>
      </w:r>
      <w:r w:rsidR="00ED7300">
        <w:t>2017</w:t>
      </w:r>
      <w:r>
        <w:t xml:space="preserve"> that glyphosate is "probably carcinogenic to humans" (Group 2A), drawing on mechanistic evidence, positive animal bioassay data, and limited epidemiological findings suggestive of NHL association (International Agency for Research on Cancer, </w:t>
      </w:r>
      <w:r w:rsidR="00ED7300">
        <w:t>2017</w:t>
      </w:r>
      <w:r>
        <w:t>). Andreotti et al. (2018), reporting from the Agricultural Health Study—a prospective cohort following more than 54,000 licensed pesticide applicators in Iowa and North Carolina—found no statistically significant associations between glyphosate use and total cancer incidence or NHL. Zhang et al. (2019) subsequently conducted a meta-analysis combining data from six studies and reported a 41 per cent increase in NHL risk among those with the highest glyphosate exposure, though substantial between-study heterogeneity was noted. Neither finding cancels out the other; rather, their divergence reflects the degree to which conclusions in this field depend on study design, exposure categorisation, and follow-up duration. The weight of evidence on glyphosate and cancer remains genuinely unsettled (</w:t>
      </w:r>
      <w:proofErr w:type="spellStart"/>
      <w:r>
        <w:t>Mesnage</w:t>
      </w:r>
      <w:proofErr w:type="spellEnd"/>
      <w:r>
        <w:t xml:space="preserve"> &amp; Antoniou, 2017).</w:t>
      </w:r>
    </w:p>
    <w:p w14:paraId="7E9BAF4E" w14:textId="77777777" w:rsidR="003B534E" w:rsidRDefault="003B534E" w:rsidP="003B534E">
      <w:pPr>
        <w:pStyle w:val="font-claude-response-body"/>
      </w:pPr>
      <w:r>
        <w:t xml:space="preserve">Childhood leukaemia has been associated with household pesticide exposure rather than exclusively occupational contact. Bailey et al. (2015), drawing on pooled data from the Childhood </w:t>
      </w:r>
      <w:proofErr w:type="spellStart"/>
      <w:r>
        <w:t>Leukemia</w:t>
      </w:r>
      <w:proofErr w:type="spellEnd"/>
      <w:r>
        <w:t xml:space="preserve"> International Consortium, found that domestic pesticide exposures in the home environment were associated with elevated leukaemia risk—a finding that implicates residential use patterns as a meaningful source of paediatric oncological risk. At the biological level, </w:t>
      </w:r>
      <w:proofErr w:type="spellStart"/>
      <w:r>
        <w:t>Sabarwal</w:t>
      </w:r>
      <w:proofErr w:type="spellEnd"/>
      <w:r>
        <w:t xml:space="preserve"> et al. (2018) review the mechanisms through which organophosphates, organochlorines, and related compounds may promote carcinogenesis, including DNA damage, oxidative stress, and immunosuppression, operating at exposure concentrations below those causing acute toxicity. Among adult solid tumours, evidence for breast cancer in relation to specific insecticide exposures is notable: Engel et al. (2017) identified associations between permethrin and lindane and breast cancer risk among farmers' wives enrolled in the Agricultural Health Study, with the effect magnitude varying by menopausal status.</w:t>
      </w:r>
    </w:p>
    <w:p w14:paraId="35A1463D" w14:textId="77777777" w:rsidR="003B534E" w:rsidRDefault="003B534E" w:rsidP="003B534E">
      <w:pPr>
        <w:pStyle w:val="Heading4"/>
      </w:pPr>
      <w:r>
        <w:t>5.2 Neurological and Neurodevelopmental Effects</w:t>
      </w:r>
    </w:p>
    <w:p w14:paraId="0710523A" w14:textId="77777777" w:rsidR="003B534E" w:rsidRDefault="003B534E" w:rsidP="003B534E">
      <w:pPr>
        <w:pStyle w:val="font-claude-response-body"/>
      </w:pPr>
      <w:r>
        <w:t xml:space="preserve">If there is one area of the agrochemical health literature where scientific confidence is particularly strong, it is the neurotoxicity of organophosphate pesticides, especially at exposures occurring during developmental windows. Kamel &amp; Hoppin (2004) reviewed the epidemiological evidence across the neurological spectrum, identifying consistent associations with Parkinson's disease, cognitive impairment, and peripheral neuropathy in North American agricultural populations. Mood disorders have also been documented in this workforce: Beard et al. (2014) reported elevated depression risk among male private pesticide applicators in the Agricultural Health Study in association with occupational pesticide </w:t>
      </w:r>
      <w:r>
        <w:lastRenderedPageBreak/>
        <w:t>exposure, underscoring the breadth of neurological burden documented across this population.</w:t>
      </w:r>
    </w:p>
    <w:p w14:paraId="182F3A2A" w14:textId="77777777" w:rsidR="003B534E" w:rsidRDefault="003B534E" w:rsidP="003B534E">
      <w:pPr>
        <w:pStyle w:val="font-claude-response-body"/>
      </w:pPr>
      <w:r>
        <w:t>Parkinson's disease has accumulated one of the more convincing exposure-outcome evidence bases in occupational epidemiology. Van Maele-Fabry et al. (2012), in a systematic review and meta-analysis of cohort studies, reported a pooled relative risk of 1.62 (95% CI: 1.35–1.95) for Parkinson's disease in individuals with occupational pesticide exposure relative to unexposed comparators. Associations were most pronounced for herbicide and fungicide exposures, with rotenone and paraquat—both historically used in North American agriculture—repeatedly implicated in mechanistic research as dopaminergic neurotoxins. The progressive and irreversible nature of Parkinson's disease, combined with its long latency from exposure to clinical onset, makes the epidemiological attribution of individual cases difficult, but the population-level signal is now well established.</w:t>
      </w:r>
    </w:p>
    <w:p w14:paraId="66D70E7C" w14:textId="77777777" w:rsidR="003B534E" w:rsidRDefault="003B534E" w:rsidP="003B534E">
      <w:pPr>
        <w:pStyle w:val="font-claude-response-body"/>
      </w:pPr>
      <w:r>
        <w:t xml:space="preserve">The evidence on neurodevelopmental outcomes in children is equally compelling, if not more so. The CHAMACOS and CHARGE studies—two of the most carefully designed environmental birth cohort studies conducted in North American agricultural settings—have independently documented associations between prenatal organophosphate exposure and reduced IQ, elevated attention-deficit/hyperactivity disorder symptom burden, and increased autism spectrum disorder risk in offspring (Munoz-Quezada et al., 2013; </w:t>
      </w:r>
      <w:proofErr w:type="spellStart"/>
      <w:r>
        <w:t>Sapbamrer</w:t>
      </w:r>
      <w:proofErr w:type="spellEnd"/>
      <w:r>
        <w:t xml:space="preserve"> &amp; </w:t>
      </w:r>
      <w:proofErr w:type="spellStart"/>
      <w:r>
        <w:t>Hongsibsong</w:t>
      </w:r>
      <w:proofErr w:type="spellEnd"/>
      <w:r>
        <w:t>, 2019). What makes these findings particularly important is that the effects appear at exposure levels within the normal range for agricultural communities—not at concentrations associated with acute toxicity. The biological plausibility is strong: organophosphates inhibit acetylcholinesterase and butyrylcholinesterase activity during critical periods of neural circuit formation, disrupting neurotransmitter signalling with consequences that may be permanent (Bouchard et al., 2011; Munoz-Quezada et al., 2013).</w:t>
      </w:r>
    </w:p>
    <w:p w14:paraId="635391D9" w14:textId="77777777" w:rsidR="003B534E" w:rsidRDefault="003B534E" w:rsidP="003B534E">
      <w:pPr>
        <w:pStyle w:val="Heading4"/>
      </w:pPr>
      <w:r>
        <w:t>5.3 Reproductive and Endocrine Outcomes</w:t>
      </w:r>
    </w:p>
    <w:p w14:paraId="180F13C4" w14:textId="77777777" w:rsidR="003B534E" w:rsidRDefault="003B534E" w:rsidP="003B534E">
      <w:pPr>
        <w:pStyle w:val="font-claude-response-body"/>
      </w:pPr>
      <w:r>
        <w:t xml:space="preserve">The endocrine-disrupting properties of many pesticide classes—organochlorines, specific herbicides, and several fungicides—have been thoroughly documented in the scientific literature (Gore et al., 2015). Effects on oestrogen, androgen, and thyroid hormone signalling pathways have been observed at environmentally relevant concentrations, and these disruptions can produce a wide range of reproductive consequences. </w:t>
      </w:r>
      <w:proofErr w:type="spellStart"/>
      <w:r>
        <w:t>Bretveld</w:t>
      </w:r>
      <w:proofErr w:type="spellEnd"/>
      <w:r>
        <w:t xml:space="preserve"> et al. (2006) reviewed evidence across female reproductive outcomes and identified associations with menstrual irregularity, reduced fecundity, spontaneous abortion, and altered hormone profiles in women with occupational or residential agricultural exposure, though heterogeneity across studies made definitive conclusions difficult.</w:t>
      </w:r>
    </w:p>
    <w:p w14:paraId="15760931" w14:textId="77777777" w:rsidR="003B534E" w:rsidRDefault="003B534E" w:rsidP="003B534E">
      <w:pPr>
        <w:pStyle w:val="font-claude-response-body"/>
      </w:pPr>
      <w:r>
        <w:t>Thyroid function is an increasingly recognised target of pesticide exposure, with organophosphate-related subclinical effects on thyroid hormone levels potentially affecting metabolic and reproductive health in exposed populations (Gangemi et al., 2016). The Agricultural Health Study spouses cohort has been particularly informative in demonstrating that household pesticide use carries health consequences even for individuals not engaged in application work: Lerro et al. (2015) found that household organophosphate insecticide use was associated with elevated cancer risk across several sites in spouses of licensed applicators, illustrating how secondary exposure pathways can generate clinically significant health risks. The broader literature on endocrine disruption confirms that the reproductive and developmental consequences of agrochemical exposure extend well beyond the occupational context (Gore et al., 2015; Ruiz et al., 2018).</w:t>
      </w:r>
    </w:p>
    <w:p w14:paraId="6C4B5F1C" w14:textId="77777777" w:rsidR="003B534E" w:rsidRDefault="003B534E" w:rsidP="003B534E">
      <w:pPr>
        <w:pStyle w:val="Heading4"/>
      </w:pPr>
      <w:r>
        <w:lastRenderedPageBreak/>
        <w:t>5.4 Respiratory Health</w:t>
      </w:r>
    </w:p>
    <w:p w14:paraId="228CABDC" w14:textId="77777777" w:rsidR="003B534E" w:rsidRDefault="003B534E" w:rsidP="003B534E">
      <w:pPr>
        <w:pStyle w:val="font-claude-response-body"/>
      </w:pPr>
      <w:r>
        <w:t>Respiratory outcomes in farming populations reflect both acute and chronic exposure pathways. High-dose organophosphate exposures can produce bronchospasm, excessive secretions, and respiratory failure through cholinergic crisis; fumigants such as methyl bromide and chloropicrin carry more direct pulmonary irritant effects. At the chronic end of the spectrum, Hoppin et al. (</w:t>
      </w:r>
      <w:r w:rsidR="00ED7300">
        <w:t>2017</w:t>
      </w:r>
      <w:r>
        <w:t>) documented significant associations between pesticide use and both allergic and non-allergic wheeze among male farmers in the Agricultural Health Study, with several chemical classes showing consistent respiratory associations across different farming activities and exposure intensities.</w:t>
      </w:r>
    </w:p>
    <w:p w14:paraId="09A9E5FA" w14:textId="77777777" w:rsidR="003B534E" w:rsidRDefault="003B534E" w:rsidP="003B534E">
      <w:pPr>
        <w:pStyle w:val="font-claude-response-body"/>
      </w:pPr>
      <w:r>
        <w:t xml:space="preserve">Chronic occupational exposure to agricultural chemicals has also been linked to chronic obstructive pulmonary disease, farmers' lung disease, and persistent reductions in lung function, though isolating pesticide effects from those of grain dust, endotoxin, and other occupational co-exposures is methodologically demanding (Hoppin et al., </w:t>
      </w:r>
      <w:r w:rsidR="00ED7300">
        <w:t>2017</w:t>
      </w:r>
      <w:r>
        <w:t>). In children residing in farming communities, respiratory health reflects a complex mix of chemical exposures, indoor allergen profiles, and microbiome effects that resist easy disentanglement. The cumulative respiratory burden across farming populations is almost certainly underestimated in the existing literature.</w:t>
      </w:r>
    </w:p>
    <w:p w14:paraId="55E84D22" w14:textId="77777777" w:rsidR="003B534E" w:rsidRDefault="003B534E" w:rsidP="003B534E">
      <w:pPr>
        <w:pStyle w:val="font-claude-response-body"/>
      </w:pPr>
      <w:r>
        <w:t>The major health outcome categories reviewed in this section, with representative evidence and implicated chemical classes, are summarised in Table 3.</w:t>
      </w:r>
    </w:p>
    <w:p w14:paraId="4BE3FCB9" w14:textId="77777777" w:rsidR="003B534E" w:rsidRDefault="003B534E" w:rsidP="003B534E">
      <w:pPr>
        <w:pStyle w:val="font-claude-response-body"/>
      </w:pPr>
      <w:r>
        <w:rPr>
          <w:rStyle w:val="Strong"/>
        </w:rPr>
        <w:t>Table 3.</w:t>
      </w:r>
      <w:r>
        <w:t xml:space="preserve"> </w:t>
      </w:r>
      <w:r w:rsidR="00646679">
        <w:t>M</w:t>
      </w:r>
      <w:r>
        <w:t>ajor health outcome categories associated with agrochemical exposure in North American farming communities.</w:t>
      </w:r>
    </w:p>
    <w:tbl>
      <w:tblPr>
        <w:tblStyle w:val="TableGrid"/>
        <w:tblW w:w="0" w:type="auto"/>
        <w:tblLook w:val="04A0" w:firstRow="1" w:lastRow="0" w:firstColumn="1" w:lastColumn="0" w:noHBand="0" w:noVBand="1"/>
      </w:tblPr>
      <w:tblGrid>
        <w:gridCol w:w="2130"/>
        <w:gridCol w:w="2153"/>
        <w:gridCol w:w="2011"/>
        <w:gridCol w:w="1664"/>
        <w:gridCol w:w="1284"/>
      </w:tblGrid>
      <w:tr w:rsidR="003B534E" w14:paraId="5E26481A" w14:textId="77777777" w:rsidTr="00646679">
        <w:tc>
          <w:tcPr>
            <w:tcW w:w="0" w:type="auto"/>
            <w:hideMark/>
          </w:tcPr>
          <w:p w14:paraId="04632A37" w14:textId="77777777" w:rsidR="003B534E" w:rsidRDefault="003B534E">
            <w:pPr>
              <w:jc w:val="center"/>
              <w:rPr>
                <w:b/>
                <w:bCs/>
                <w:sz w:val="24"/>
                <w:szCs w:val="24"/>
              </w:rPr>
            </w:pPr>
            <w:r>
              <w:rPr>
                <w:b/>
                <w:bCs/>
              </w:rPr>
              <w:t>Health Outcome Category</w:t>
            </w:r>
          </w:p>
        </w:tc>
        <w:tc>
          <w:tcPr>
            <w:tcW w:w="0" w:type="auto"/>
            <w:hideMark/>
          </w:tcPr>
          <w:p w14:paraId="6B572DC2" w14:textId="77777777" w:rsidR="003B534E" w:rsidRDefault="003B534E">
            <w:pPr>
              <w:jc w:val="center"/>
              <w:rPr>
                <w:b/>
                <w:bCs/>
                <w:sz w:val="24"/>
                <w:szCs w:val="24"/>
              </w:rPr>
            </w:pPr>
            <w:r>
              <w:rPr>
                <w:b/>
                <w:bCs/>
              </w:rPr>
              <w:t>Specific Outcomes</w:t>
            </w:r>
          </w:p>
        </w:tc>
        <w:tc>
          <w:tcPr>
            <w:tcW w:w="0" w:type="auto"/>
            <w:hideMark/>
          </w:tcPr>
          <w:p w14:paraId="0A836B02" w14:textId="77777777" w:rsidR="003B534E" w:rsidRDefault="003B534E">
            <w:pPr>
              <w:jc w:val="center"/>
              <w:rPr>
                <w:b/>
                <w:bCs/>
                <w:sz w:val="24"/>
                <w:szCs w:val="24"/>
              </w:rPr>
            </w:pPr>
            <w:r>
              <w:rPr>
                <w:b/>
                <w:bCs/>
              </w:rPr>
              <w:t>Chemical Classes Implicated</w:t>
            </w:r>
          </w:p>
        </w:tc>
        <w:tc>
          <w:tcPr>
            <w:tcW w:w="0" w:type="auto"/>
            <w:hideMark/>
          </w:tcPr>
          <w:p w14:paraId="6EACE532" w14:textId="77777777" w:rsidR="003B534E" w:rsidRDefault="003B534E">
            <w:pPr>
              <w:jc w:val="center"/>
              <w:rPr>
                <w:b/>
                <w:bCs/>
                <w:sz w:val="24"/>
                <w:szCs w:val="24"/>
              </w:rPr>
            </w:pPr>
            <w:r>
              <w:rPr>
                <w:b/>
                <w:bCs/>
              </w:rPr>
              <w:t>Representative Evidence</w:t>
            </w:r>
          </w:p>
        </w:tc>
        <w:tc>
          <w:tcPr>
            <w:tcW w:w="0" w:type="auto"/>
            <w:hideMark/>
          </w:tcPr>
          <w:p w14:paraId="79E19537" w14:textId="77777777" w:rsidR="003B534E" w:rsidRDefault="003B534E">
            <w:pPr>
              <w:jc w:val="center"/>
              <w:rPr>
                <w:b/>
                <w:bCs/>
                <w:sz w:val="24"/>
                <w:szCs w:val="24"/>
              </w:rPr>
            </w:pPr>
            <w:r>
              <w:rPr>
                <w:b/>
                <w:bCs/>
              </w:rPr>
              <w:t>Study Designs</w:t>
            </w:r>
          </w:p>
        </w:tc>
      </w:tr>
      <w:tr w:rsidR="003B534E" w14:paraId="2C5B3793" w14:textId="77777777" w:rsidTr="00646679">
        <w:tc>
          <w:tcPr>
            <w:tcW w:w="0" w:type="auto"/>
            <w:hideMark/>
          </w:tcPr>
          <w:p w14:paraId="7DA907A6" w14:textId="77777777" w:rsidR="003B534E" w:rsidRDefault="003B534E">
            <w:pPr>
              <w:rPr>
                <w:sz w:val="24"/>
                <w:szCs w:val="24"/>
              </w:rPr>
            </w:pPr>
            <w:r>
              <w:t>Haematological malignancy</w:t>
            </w:r>
          </w:p>
        </w:tc>
        <w:tc>
          <w:tcPr>
            <w:tcW w:w="0" w:type="auto"/>
            <w:hideMark/>
          </w:tcPr>
          <w:p w14:paraId="58977552" w14:textId="77777777" w:rsidR="003B534E" w:rsidRDefault="003B534E">
            <w:pPr>
              <w:rPr>
                <w:sz w:val="24"/>
                <w:szCs w:val="24"/>
              </w:rPr>
            </w:pPr>
            <w:r>
              <w:t>Non-Hodgkin lymphoma; leukaemia</w:t>
            </w:r>
          </w:p>
        </w:tc>
        <w:tc>
          <w:tcPr>
            <w:tcW w:w="0" w:type="auto"/>
            <w:hideMark/>
          </w:tcPr>
          <w:p w14:paraId="457CBB1B" w14:textId="77777777" w:rsidR="003B534E" w:rsidRDefault="003B534E">
            <w:pPr>
              <w:rPr>
                <w:sz w:val="24"/>
                <w:szCs w:val="24"/>
              </w:rPr>
            </w:pPr>
            <w:r>
              <w:t>Phenoxyacid herbicides; OP; carbamates; glyphosate</w:t>
            </w:r>
          </w:p>
        </w:tc>
        <w:tc>
          <w:tcPr>
            <w:tcW w:w="0" w:type="auto"/>
            <w:hideMark/>
          </w:tcPr>
          <w:p w14:paraId="5D22DF5C" w14:textId="77777777" w:rsidR="003B534E" w:rsidRDefault="003B534E">
            <w:pPr>
              <w:rPr>
                <w:sz w:val="24"/>
                <w:szCs w:val="24"/>
              </w:rPr>
            </w:pPr>
            <w:r>
              <w:t>Schinasi &amp; Leon (2014); Zhang et al. (2019); Bailey et al. (2015)</w:t>
            </w:r>
          </w:p>
        </w:tc>
        <w:tc>
          <w:tcPr>
            <w:tcW w:w="0" w:type="auto"/>
            <w:hideMark/>
          </w:tcPr>
          <w:p w14:paraId="1DDFC37C" w14:textId="77777777" w:rsidR="003B534E" w:rsidRDefault="003B534E">
            <w:pPr>
              <w:rPr>
                <w:sz w:val="24"/>
                <w:szCs w:val="24"/>
              </w:rPr>
            </w:pPr>
            <w:r>
              <w:t>Meta-analysis; cohort; case-control</w:t>
            </w:r>
          </w:p>
        </w:tc>
      </w:tr>
      <w:tr w:rsidR="003B534E" w14:paraId="07F8EDEA" w14:textId="77777777" w:rsidTr="00646679">
        <w:tc>
          <w:tcPr>
            <w:tcW w:w="0" w:type="auto"/>
            <w:hideMark/>
          </w:tcPr>
          <w:p w14:paraId="426FDFD7" w14:textId="77777777" w:rsidR="003B534E" w:rsidRDefault="003B534E">
            <w:pPr>
              <w:rPr>
                <w:sz w:val="24"/>
                <w:szCs w:val="24"/>
              </w:rPr>
            </w:pPr>
            <w:r>
              <w:t>Solid tumour</w:t>
            </w:r>
          </w:p>
        </w:tc>
        <w:tc>
          <w:tcPr>
            <w:tcW w:w="0" w:type="auto"/>
            <w:hideMark/>
          </w:tcPr>
          <w:p w14:paraId="58EB01FD" w14:textId="77777777" w:rsidR="003B534E" w:rsidRDefault="003B534E">
            <w:pPr>
              <w:rPr>
                <w:sz w:val="24"/>
                <w:szCs w:val="24"/>
              </w:rPr>
            </w:pPr>
            <w:r>
              <w:t>Breast cancer</w:t>
            </w:r>
          </w:p>
        </w:tc>
        <w:tc>
          <w:tcPr>
            <w:tcW w:w="0" w:type="auto"/>
            <w:hideMark/>
          </w:tcPr>
          <w:p w14:paraId="4AB81A4E" w14:textId="77777777" w:rsidR="003B534E" w:rsidRDefault="003B534E">
            <w:pPr>
              <w:rPr>
                <w:sz w:val="24"/>
                <w:szCs w:val="24"/>
              </w:rPr>
            </w:pPr>
            <w:r>
              <w:t>Organochlorines; specific insecticides</w:t>
            </w:r>
          </w:p>
        </w:tc>
        <w:tc>
          <w:tcPr>
            <w:tcW w:w="0" w:type="auto"/>
            <w:hideMark/>
          </w:tcPr>
          <w:p w14:paraId="13D6028C" w14:textId="77777777" w:rsidR="003B534E" w:rsidRDefault="003B534E">
            <w:pPr>
              <w:rPr>
                <w:sz w:val="24"/>
                <w:szCs w:val="24"/>
              </w:rPr>
            </w:pPr>
            <w:r>
              <w:t>Engel et al. (2017)</w:t>
            </w:r>
          </w:p>
        </w:tc>
        <w:tc>
          <w:tcPr>
            <w:tcW w:w="0" w:type="auto"/>
            <w:hideMark/>
          </w:tcPr>
          <w:p w14:paraId="142C7108" w14:textId="77777777" w:rsidR="003B534E" w:rsidRDefault="003B534E">
            <w:pPr>
              <w:rPr>
                <w:sz w:val="24"/>
                <w:szCs w:val="24"/>
              </w:rPr>
            </w:pPr>
            <w:r>
              <w:t>Prospective cohort (AHS)</w:t>
            </w:r>
          </w:p>
        </w:tc>
      </w:tr>
      <w:tr w:rsidR="003B534E" w14:paraId="18280B6F" w14:textId="77777777" w:rsidTr="00646679">
        <w:tc>
          <w:tcPr>
            <w:tcW w:w="0" w:type="auto"/>
            <w:hideMark/>
          </w:tcPr>
          <w:p w14:paraId="73CBF1B6" w14:textId="77777777" w:rsidR="003B534E" w:rsidRDefault="003B534E">
            <w:pPr>
              <w:rPr>
                <w:sz w:val="24"/>
                <w:szCs w:val="24"/>
              </w:rPr>
            </w:pPr>
            <w:r>
              <w:t>Neurological (adult)</w:t>
            </w:r>
          </w:p>
        </w:tc>
        <w:tc>
          <w:tcPr>
            <w:tcW w:w="0" w:type="auto"/>
            <w:hideMark/>
          </w:tcPr>
          <w:p w14:paraId="7204CCCC" w14:textId="77777777" w:rsidR="003B534E" w:rsidRDefault="003B534E">
            <w:pPr>
              <w:rPr>
                <w:sz w:val="24"/>
                <w:szCs w:val="24"/>
              </w:rPr>
            </w:pPr>
            <w:r>
              <w:t>Parkinson's disease; peripheral neuropathy; cognitive impairment; depression</w:t>
            </w:r>
          </w:p>
        </w:tc>
        <w:tc>
          <w:tcPr>
            <w:tcW w:w="0" w:type="auto"/>
            <w:hideMark/>
          </w:tcPr>
          <w:p w14:paraId="3D31ADB6" w14:textId="77777777" w:rsidR="003B534E" w:rsidRDefault="003B534E">
            <w:pPr>
              <w:rPr>
                <w:sz w:val="24"/>
                <w:szCs w:val="24"/>
              </w:rPr>
            </w:pPr>
            <w:r>
              <w:t>Paraquat; rotenone; OP; fungicides</w:t>
            </w:r>
          </w:p>
        </w:tc>
        <w:tc>
          <w:tcPr>
            <w:tcW w:w="0" w:type="auto"/>
            <w:hideMark/>
          </w:tcPr>
          <w:p w14:paraId="35E205D8" w14:textId="77777777" w:rsidR="003B534E" w:rsidRDefault="003B534E">
            <w:pPr>
              <w:rPr>
                <w:sz w:val="24"/>
                <w:szCs w:val="24"/>
              </w:rPr>
            </w:pPr>
            <w:r>
              <w:t>Van Maele-Fabry et al. (2012); Kamel &amp; Hoppin (2004); Beard et al. (2014)</w:t>
            </w:r>
          </w:p>
        </w:tc>
        <w:tc>
          <w:tcPr>
            <w:tcW w:w="0" w:type="auto"/>
            <w:hideMark/>
          </w:tcPr>
          <w:p w14:paraId="3B070A6F" w14:textId="77777777" w:rsidR="003B534E" w:rsidRDefault="003B534E">
            <w:pPr>
              <w:rPr>
                <w:sz w:val="24"/>
                <w:szCs w:val="24"/>
              </w:rPr>
            </w:pPr>
            <w:r>
              <w:t>Meta-analysis; cohort; case-control</w:t>
            </w:r>
          </w:p>
        </w:tc>
      </w:tr>
      <w:tr w:rsidR="003B534E" w14:paraId="11CE73BC" w14:textId="77777777" w:rsidTr="00646679">
        <w:tc>
          <w:tcPr>
            <w:tcW w:w="0" w:type="auto"/>
            <w:hideMark/>
          </w:tcPr>
          <w:p w14:paraId="534B6343" w14:textId="77777777" w:rsidR="003B534E" w:rsidRDefault="003B534E">
            <w:pPr>
              <w:rPr>
                <w:sz w:val="24"/>
                <w:szCs w:val="24"/>
              </w:rPr>
            </w:pPr>
            <w:r>
              <w:t>Neurodevelopmental (child)</w:t>
            </w:r>
          </w:p>
        </w:tc>
        <w:tc>
          <w:tcPr>
            <w:tcW w:w="0" w:type="auto"/>
            <w:hideMark/>
          </w:tcPr>
          <w:p w14:paraId="0E2BD530" w14:textId="77777777" w:rsidR="003B534E" w:rsidRDefault="003B534E">
            <w:pPr>
              <w:rPr>
                <w:sz w:val="24"/>
                <w:szCs w:val="24"/>
              </w:rPr>
            </w:pPr>
            <w:r>
              <w:t>Reduced IQ; ADHD; autism spectrum disorder</w:t>
            </w:r>
          </w:p>
        </w:tc>
        <w:tc>
          <w:tcPr>
            <w:tcW w:w="0" w:type="auto"/>
            <w:hideMark/>
          </w:tcPr>
          <w:p w14:paraId="429E4FBB" w14:textId="77777777" w:rsidR="003B534E" w:rsidRDefault="003B534E">
            <w:pPr>
              <w:rPr>
                <w:sz w:val="24"/>
                <w:szCs w:val="24"/>
              </w:rPr>
            </w:pPr>
            <w:r>
              <w:t>Organophosphates; pyrethroids; chlorpyrifos</w:t>
            </w:r>
          </w:p>
        </w:tc>
        <w:tc>
          <w:tcPr>
            <w:tcW w:w="0" w:type="auto"/>
            <w:hideMark/>
          </w:tcPr>
          <w:p w14:paraId="4E6582BD" w14:textId="77777777" w:rsidR="003B534E" w:rsidRDefault="003B534E">
            <w:pPr>
              <w:rPr>
                <w:sz w:val="24"/>
                <w:szCs w:val="24"/>
              </w:rPr>
            </w:pPr>
            <w:r>
              <w:t xml:space="preserve">Bouchard et al. (2011); Shelton et al. (2014); </w:t>
            </w:r>
            <w:proofErr w:type="spellStart"/>
            <w:r>
              <w:t>Gunier</w:t>
            </w:r>
            <w:proofErr w:type="spellEnd"/>
            <w:r>
              <w:t xml:space="preserve"> et al. (2017)</w:t>
            </w:r>
          </w:p>
        </w:tc>
        <w:tc>
          <w:tcPr>
            <w:tcW w:w="0" w:type="auto"/>
            <w:hideMark/>
          </w:tcPr>
          <w:p w14:paraId="27556347" w14:textId="77777777" w:rsidR="003B534E" w:rsidRDefault="003B534E">
            <w:pPr>
              <w:rPr>
                <w:sz w:val="24"/>
                <w:szCs w:val="24"/>
              </w:rPr>
            </w:pPr>
            <w:r>
              <w:t>Prospective birth cohort</w:t>
            </w:r>
          </w:p>
        </w:tc>
      </w:tr>
      <w:tr w:rsidR="003B534E" w14:paraId="12F10A37" w14:textId="77777777" w:rsidTr="00646679">
        <w:tc>
          <w:tcPr>
            <w:tcW w:w="0" w:type="auto"/>
            <w:hideMark/>
          </w:tcPr>
          <w:p w14:paraId="383ABE13" w14:textId="77777777" w:rsidR="003B534E" w:rsidRDefault="003B534E">
            <w:pPr>
              <w:rPr>
                <w:sz w:val="24"/>
                <w:szCs w:val="24"/>
              </w:rPr>
            </w:pPr>
            <w:r>
              <w:t>Reproductive and endocrine</w:t>
            </w:r>
          </w:p>
        </w:tc>
        <w:tc>
          <w:tcPr>
            <w:tcW w:w="0" w:type="auto"/>
            <w:hideMark/>
          </w:tcPr>
          <w:p w14:paraId="409AC362" w14:textId="77777777" w:rsidR="003B534E" w:rsidRDefault="003B534E">
            <w:pPr>
              <w:rPr>
                <w:sz w:val="24"/>
                <w:szCs w:val="24"/>
              </w:rPr>
            </w:pPr>
            <w:r>
              <w:t xml:space="preserve">Miscarriage; subfertility; thyroid disruption; altered </w:t>
            </w:r>
            <w:r>
              <w:lastRenderedPageBreak/>
              <w:t>hormone profiles</w:t>
            </w:r>
          </w:p>
        </w:tc>
        <w:tc>
          <w:tcPr>
            <w:tcW w:w="0" w:type="auto"/>
            <w:hideMark/>
          </w:tcPr>
          <w:p w14:paraId="0C465056" w14:textId="77777777" w:rsidR="003B534E" w:rsidRDefault="003B534E">
            <w:pPr>
              <w:rPr>
                <w:sz w:val="24"/>
                <w:szCs w:val="24"/>
              </w:rPr>
            </w:pPr>
            <w:r>
              <w:lastRenderedPageBreak/>
              <w:t>Organochlorines; OP; fungicides; herbicides</w:t>
            </w:r>
          </w:p>
        </w:tc>
        <w:tc>
          <w:tcPr>
            <w:tcW w:w="0" w:type="auto"/>
            <w:hideMark/>
          </w:tcPr>
          <w:p w14:paraId="00849C88" w14:textId="77777777" w:rsidR="003B534E" w:rsidRDefault="003B534E">
            <w:pPr>
              <w:rPr>
                <w:sz w:val="24"/>
                <w:szCs w:val="24"/>
              </w:rPr>
            </w:pPr>
            <w:proofErr w:type="spellStart"/>
            <w:r>
              <w:t>Bretveld</w:t>
            </w:r>
            <w:proofErr w:type="spellEnd"/>
            <w:r>
              <w:t xml:space="preserve"> et al. (2006); Gore et al. (2015); </w:t>
            </w:r>
            <w:r>
              <w:lastRenderedPageBreak/>
              <w:t>Gangemi et al. (2016)</w:t>
            </w:r>
          </w:p>
        </w:tc>
        <w:tc>
          <w:tcPr>
            <w:tcW w:w="0" w:type="auto"/>
            <w:hideMark/>
          </w:tcPr>
          <w:p w14:paraId="7A75C41A" w14:textId="77777777" w:rsidR="003B534E" w:rsidRDefault="003B534E">
            <w:pPr>
              <w:rPr>
                <w:sz w:val="24"/>
                <w:szCs w:val="24"/>
              </w:rPr>
            </w:pPr>
            <w:r>
              <w:lastRenderedPageBreak/>
              <w:t>Systematic review; cohort</w:t>
            </w:r>
          </w:p>
        </w:tc>
      </w:tr>
      <w:tr w:rsidR="003B534E" w14:paraId="50AB4C23" w14:textId="77777777" w:rsidTr="00646679">
        <w:tc>
          <w:tcPr>
            <w:tcW w:w="0" w:type="auto"/>
            <w:hideMark/>
          </w:tcPr>
          <w:p w14:paraId="4421AD3B" w14:textId="77777777" w:rsidR="003B534E" w:rsidRDefault="003B534E">
            <w:pPr>
              <w:rPr>
                <w:sz w:val="24"/>
                <w:szCs w:val="24"/>
              </w:rPr>
            </w:pPr>
            <w:r>
              <w:t>Respiratory</w:t>
            </w:r>
          </w:p>
        </w:tc>
        <w:tc>
          <w:tcPr>
            <w:tcW w:w="0" w:type="auto"/>
            <w:hideMark/>
          </w:tcPr>
          <w:p w14:paraId="5AFF94B0" w14:textId="77777777" w:rsidR="003B534E" w:rsidRDefault="003B534E">
            <w:pPr>
              <w:rPr>
                <w:sz w:val="24"/>
                <w:szCs w:val="24"/>
              </w:rPr>
            </w:pPr>
            <w:r>
              <w:t>Wheeze; asthma; COPD; bronchial hyperresponsiveness</w:t>
            </w:r>
          </w:p>
        </w:tc>
        <w:tc>
          <w:tcPr>
            <w:tcW w:w="0" w:type="auto"/>
            <w:hideMark/>
          </w:tcPr>
          <w:p w14:paraId="19F7FF21" w14:textId="77777777" w:rsidR="003B534E" w:rsidRDefault="003B534E">
            <w:pPr>
              <w:rPr>
                <w:sz w:val="24"/>
                <w:szCs w:val="24"/>
              </w:rPr>
            </w:pPr>
            <w:r>
              <w:t>OP; organochlorines; fumigants</w:t>
            </w:r>
          </w:p>
        </w:tc>
        <w:tc>
          <w:tcPr>
            <w:tcW w:w="0" w:type="auto"/>
            <w:hideMark/>
          </w:tcPr>
          <w:p w14:paraId="5A034AA3" w14:textId="77777777" w:rsidR="003B534E" w:rsidRDefault="003B534E">
            <w:pPr>
              <w:rPr>
                <w:sz w:val="24"/>
                <w:szCs w:val="24"/>
              </w:rPr>
            </w:pPr>
            <w:r>
              <w:t>Hoppin et al. (</w:t>
            </w:r>
            <w:r w:rsidR="00ED7300">
              <w:t>2017</w:t>
            </w:r>
            <w:r>
              <w:t>)</w:t>
            </w:r>
          </w:p>
        </w:tc>
        <w:tc>
          <w:tcPr>
            <w:tcW w:w="0" w:type="auto"/>
            <w:hideMark/>
          </w:tcPr>
          <w:p w14:paraId="4B532B27" w14:textId="77777777" w:rsidR="003B534E" w:rsidRDefault="003B534E">
            <w:pPr>
              <w:rPr>
                <w:sz w:val="24"/>
                <w:szCs w:val="24"/>
              </w:rPr>
            </w:pPr>
            <w:r>
              <w:t>Cohort (AHS)</w:t>
            </w:r>
          </w:p>
        </w:tc>
      </w:tr>
    </w:tbl>
    <w:p w14:paraId="5694B3CE" w14:textId="77777777" w:rsidR="003B534E" w:rsidRDefault="003B534E" w:rsidP="003B534E">
      <w:pPr>
        <w:pStyle w:val="font-claude-response-body"/>
      </w:pPr>
      <w:r>
        <w:rPr>
          <w:rStyle w:val="Emphasis"/>
        </w:rPr>
        <w:t>Abbreviations: OP = organophosphate; ADHD = attention-deficit/hyperactivity disorder; AHS = Agricultural Health Study; COPD = chronic obstructive pulmonary disease.</w:t>
      </w:r>
    </w:p>
    <w:p w14:paraId="21C2BE8E" w14:textId="77777777" w:rsidR="003B534E" w:rsidRDefault="003B534E" w:rsidP="003B534E">
      <w:pPr>
        <w:pStyle w:val="font-claude-response-body"/>
      </w:pPr>
      <w:r>
        <w:rPr>
          <w:rStyle w:val="Emphasis"/>
        </w:rPr>
        <w:t xml:space="preserve">Sources: Schinasi &amp; Leon (2014); Zhang et al. (2019); Bailey et al. (2015); Engel et al. (2017); Van </w:t>
      </w:r>
      <w:proofErr w:type="spellStart"/>
      <w:r>
        <w:rPr>
          <w:rStyle w:val="Emphasis"/>
        </w:rPr>
        <w:t>Maele</w:t>
      </w:r>
      <w:proofErr w:type="spellEnd"/>
      <w:r>
        <w:rPr>
          <w:rStyle w:val="Emphasis"/>
        </w:rPr>
        <w:t xml:space="preserve">-Fabry et al. (2012); Kamel &amp; Hoppin (2004); Beard et al. (2014); Bouchard et al. (2011); Shelton et al. (2014); </w:t>
      </w:r>
      <w:proofErr w:type="spellStart"/>
      <w:r>
        <w:rPr>
          <w:rStyle w:val="Emphasis"/>
        </w:rPr>
        <w:t>Gunier</w:t>
      </w:r>
      <w:proofErr w:type="spellEnd"/>
      <w:r>
        <w:rPr>
          <w:rStyle w:val="Emphasis"/>
        </w:rPr>
        <w:t xml:space="preserve"> et al. (2017); </w:t>
      </w:r>
      <w:proofErr w:type="spellStart"/>
      <w:r>
        <w:rPr>
          <w:rStyle w:val="Emphasis"/>
        </w:rPr>
        <w:t>Bretveld</w:t>
      </w:r>
      <w:proofErr w:type="spellEnd"/>
      <w:r>
        <w:rPr>
          <w:rStyle w:val="Emphasis"/>
        </w:rPr>
        <w:t xml:space="preserve"> et al. (2006); Gore et al. (2015); Gangemi et al. (2016); Hoppin et al. (</w:t>
      </w:r>
      <w:r w:rsidR="00ED7300">
        <w:t>2017</w:t>
      </w:r>
      <w:r>
        <w:rPr>
          <w:rStyle w:val="Emphasis"/>
        </w:rPr>
        <w:t>).</w:t>
      </w:r>
    </w:p>
    <w:p w14:paraId="0C329059" w14:textId="77777777" w:rsidR="003B534E" w:rsidRDefault="003B534E" w:rsidP="003B534E">
      <w:pPr>
        <w:pStyle w:val="Heading3"/>
      </w:pPr>
      <w:r>
        <w:t>6. Environmental Justice and Population Disparities</w:t>
      </w:r>
    </w:p>
    <w:p w14:paraId="0AD86EF1" w14:textId="77777777" w:rsidR="003B534E" w:rsidRDefault="003B534E" w:rsidP="003B534E">
      <w:pPr>
        <w:pStyle w:val="Heading4"/>
      </w:pPr>
      <w:r>
        <w:t>6.1 Conceptual Foundations of Environmental Justice</w:t>
      </w:r>
    </w:p>
    <w:p w14:paraId="2C24C767" w14:textId="77777777" w:rsidR="003B534E" w:rsidRDefault="003B534E" w:rsidP="003B534E">
      <w:pPr>
        <w:pStyle w:val="font-claude-response-body"/>
      </w:pPr>
      <w:r>
        <w:t>Environmental justice holds that people—regardless of race, national origin, or income—should be treated equitably in the development and enforcement of environmental laws and policies, and should have meaningful participation in the processes that affect them (Pulido, 2017). Applied to agrochemical exposure, this framework draws attention to the spatial coincidence of intensive chemical agriculture and marginalised communities, and asks not merely whether disparities exist but how they are produced and why they persist. Morello-Frosch &amp; Shenassa (2006) argue that environmental hazards are not randomly distributed across social space: they accumulate in communities that lack the political power to resist them, reinforcing health inequalities that are already substantial.</w:t>
      </w:r>
    </w:p>
    <w:p w14:paraId="1A028892" w14:textId="77777777" w:rsidR="003B534E" w:rsidRDefault="003B534E" w:rsidP="003B534E">
      <w:pPr>
        <w:pStyle w:val="font-claude-response-body"/>
      </w:pPr>
      <w:r>
        <w:t>In agricultural contexts, the mechanisms behind exposure inequality operate at multiple levels. Historical settlement patterns placed migrant labour populations in agriculturally intensive areas where housing was cheap and employment available. Wage structures and employment conditions create economic dependency on work in high-exposure settings. Regulatory fragmentation between federal and state agencies creates enforcement gaps most pronounced in rural jurisdictions. And the scientific and regulatory processes through which acceptable exposure thresholds are established consistently under-represent the communities carrying the greatest risk.</w:t>
      </w:r>
    </w:p>
    <w:p w14:paraId="6E3E0DD2" w14:textId="77777777" w:rsidR="003B534E" w:rsidRDefault="003B534E" w:rsidP="003B534E">
      <w:pPr>
        <w:pStyle w:val="Heading4"/>
      </w:pPr>
      <w:r>
        <w:t>6.2 Racial and Ethnic Disparities in Exposure</w:t>
      </w:r>
    </w:p>
    <w:p w14:paraId="5DA527C0" w14:textId="77777777" w:rsidR="003B534E" w:rsidRDefault="003B534E" w:rsidP="003B534E">
      <w:pPr>
        <w:pStyle w:val="font-claude-response-body"/>
      </w:pPr>
      <w:r>
        <w:t>National biomonitoring data from the National Health and Nutrition Examination Survey consistently show higher urinary concentrations of organophosphate and pyrethroid metabolites in non-Hispanic Black and Hispanic adults and children compared with non-Hispanic whites—differences that socioeconomic adjustment reduces but does not eliminate (Ruiz et al., 2018). In California's agricultural communities, where Latinx populations predominate, residents of high-intensity application areas carry pesticide burdens that track closely with the racial and ethnic composition of the surrounding farming landscape (</w:t>
      </w:r>
      <w:r w:rsidR="00ED7300">
        <w:t>Eskenazi et al., 2007</w:t>
      </w:r>
      <w:r>
        <w:t xml:space="preserve">; </w:t>
      </w:r>
      <w:proofErr w:type="spellStart"/>
      <w:r>
        <w:t>Gunier</w:t>
      </w:r>
      <w:proofErr w:type="spellEnd"/>
      <w:r>
        <w:t xml:space="preserve"> et al., 2017). These disparities are not simply a reflection of occupational differences; residential proximity, housing quality, and structural factors all contribute independently to exposure burden. As </w:t>
      </w:r>
      <w:proofErr w:type="spellStart"/>
      <w:r>
        <w:t>Sapbamrer</w:t>
      </w:r>
      <w:proofErr w:type="spellEnd"/>
      <w:r>
        <w:t xml:space="preserve"> &amp; </w:t>
      </w:r>
      <w:proofErr w:type="spellStart"/>
      <w:r>
        <w:t>Hongsibsong</w:t>
      </w:r>
      <w:proofErr w:type="spellEnd"/>
      <w:r>
        <w:t xml:space="preserve"> (2019) conclude from their review of biomonitoring evidence across multiple agricultural cohorts, race and </w:t>
      </w:r>
      <w:r>
        <w:lastRenderedPageBreak/>
        <w:t>socioeconomic status modulate exposure in ways that cannot be attributed to differential activity patterns alone, pointing to the need for an environmental justice lens in both research design and regulatory decision-making.</w:t>
      </w:r>
    </w:p>
    <w:p w14:paraId="23F2D156" w14:textId="77777777" w:rsidR="003B534E" w:rsidRDefault="003B534E" w:rsidP="003B534E">
      <w:pPr>
        <w:pStyle w:val="Heading4"/>
      </w:pPr>
      <w:r>
        <w:t>6.3 Indigenous Community Vulnerabilities</w:t>
      </w:r>
    </w:p>
    <w:p w14:paraId="355588E4" w14:textId="77777777" w:rsidR="003B534E" w:rsidRDefault="003B534E" w:rsidP="003B534E">
      <w:pPr>
        <w:pStyle w:val="font-claude-response-body"/>
      </w:pPr>
      <w:r>
        <w:t>For Indigenous communities, the environmental justice framing must extend to account for specific legal, cultural, and historical contexts in which exposure occurs. Hoover's (</w:t>
      </w:r>
      <w:r w:rsidR="00ED7300">
        <w:t>2016</w:t>
      </w:r>
      <w:r>
        <w:t>) case study of American Indian communities in the Great Lakes region illustrates how contaminated food sources, agricultural land adjacency, and culturally embedded subsistence food practices combine to create exposure scenarios that standard regulatory risk frameworks were simply not designed to capture. Fishing, hunting, and gathering rights enshrined in treaties may place community members in regular contact with environmental media contaminated by agricultural activity on adjacent lands—a form of injustice that operates through pathways qualitatively different from the occupational or residential exposures affecting other populations.</w:t>
      </w:r>
    </w:p>
    <w:p w14:paraId="2D715298" w14:textId="77777777" w:rsidR="003B534E" w:rsidRDefault="003B534E" w:rsidP="003B534E">
      <w:pPr>
        <w:pStyle w:val="font-claude-response-body"/>
      </w:pPr>
      <w:r>
        <w:t>In Canada, First Nations communities in the Prairie Provinces face analogous vulnerabilities, with Health Canada's Pest Management Regulatory Agency struggling to extend meaningful biomonitoring or health surveillance to reserve communities. The regulatory frameworks provided by the Canadian Environmental Protection Act and the Pest Control Products Act are broad in principle but inadequate in practice for addressing the specific vulnerabilities of Indigenous communities (</w:t>
      </w:r>
      <w:r w:rsidR="00ED7300" w:rsidRPr="00ED7300">
        <w:t>Benbrook et al., 2021</w:t>
      </w:r>
      <w:r>
        <w:t xml:space="preserve">). There is growing recognition in the literature that addressing these inequities requires genuine engagement with Indigenous knowledge systems and community-defined priorities—not simply the application of standardised risk frameworks to populations whose circumstances those frameworks were never designed to reflect (Hoover, </w:t>
      </w:r>
      <w:r w:rsidR="00ED7300">
        <w:t>2016</w:t>
      </w:r>
      <w:r>
        <w:t>).</w:t>
      </w:r>
    </w:p>
    <w:p w14:paraId="6F7A5ACC" w14:textId="77777777" w:rsidR="003B534E" w:rsidRDefault="003B534E" w:rsidP="003B534E">
      <w:pPr>
        <w:pStyle w:val="Heading4"/>
      </w:pPr>
      <w:r>
        <w:t>6.4 Gender Dimensions of Agrochemical Exposure</w:t>
      </w:r>
    </w:p>
    <w:p w14:paraId="43FA2C2F" w14:textId="77777777" w:rsidR="003B534E" w:rsidRDefault="003B534E" w:rsidP="003B534E">
      <w:pPr>
        <w:pStyle w:val="font-claude-response-body"/>
      </w:pPr>
      <w:r>
        <w:t xml:space="preserve">Gender intersects with agrochemical exposure in ways that deserve explicit attention. Women in farmworker families encounter pesticides not only through fieldwork but through the laundering of contaminated clothing, the preparation of meals in households where residues are tracked in on footwear, and the management of domestic spaces that may themselves carry residue contamination. The growing body of evidence linking maternal organophosphate exposure to adverse neurodevelopmental outcomes in children (Bouchard et al., 2011; </w:t>
      </w:r>
      <w:proofErr w:type="spellStart"/>
      <w:r>
        <w:t>Gunier</w:t>
      </w:r>
      <w:proofErr w:type="spellEnd"/>
      <w:r>
        <w:t xml:space="preserve"> et al., 2017) gives these domestic exposure pathways particular importance: the health cost is not borne solely by the exposed individual but extends across generations.</w:t>
      </w:r>
    </w:p>
    <w:p w14:paraId="6F7DEC73" w14:textId="77777777" w:rsidR="003B534E" w:rsidRDefault="003B534E" w:rsidP="003B534E">
      <w:pPr>
        <w:pStyle w:val="font-claude-response-body"/>
      </w:pPr>
      <w:r>
        <w:t>Lerro et al. (2015) demonstrated that cancer risk elevations in Agricultural Health Study spouses—individuals who were never licensed pesticide applicators—were associated with household organophosphate use. This finding directly challenges risk frameworks that treat the licensed applicator as the primary locus of pesticide-related health risk, and argues for regulatory and research approaches that take the household and community, rather than the individual worker, as their primary units of analysis.</w:t>
      </w:r>
    </w:p>
    <w:p w14:paraId="4CE4EEC3" w14:textId="77777777" w:rsidR="003B534E" w:rsidRDefault="003B534E" w:rsidP="003B534E"/>
    <w:p w14:paraId="2BC79D4E" w14:textId="77777777" w:rsidR="00BF73C5" w:rsidRDefault="00BF73C5" w:rsidP="003B534E"/>
    <w:p w14:paraId="05A899C4" w14:textId="77777777" w:rsidR="003B534E" w:rsidRDefault="003B534E" w:rsidP="003B534E">
      <w:pPr>
        <w:pStyle w:val="Heading3"/>
      </w:pPr>
      <w:r>
        <w:lastRenderedPageBreak/>
        <w:t>7. Regulatory Frameworks and Their Limitations</w:t>
      </w:r>
    </w:p>
    <w:p w14:paraId="301FAF66" w14:textId="77777777" w:rsidR="003B534E" w:rsidRDefault="003B534E" w:rsidP="003B534E">
      <w:pPr>
        <w:pStyle w:val="Heading4"/>
      </w:pPr>
      <w:r>
        <w:t>7.1 United States Regulatory Architecture</w:t>
      </w:r>
    </w:p>
    <w:p w14:paraId="4A98A290" w14:textId="77777777" w:rsidR="003B534E" w:rsidRDefault="003B534E" w:rsidP="003B534E">
      <w:pPr>
        <w:pStyle w:val="font-claude-response-body"/>
      </w:pPr>
      <w:r>
        <w:t>Pesticide regulation in the United States operates through a layered federal-state framework, with the Federal Insecticide, Fungicide, and Rodenticide Act (FIFRA) as its central statute. Registration of a pesticide requires the US Environmental Protection Agency to determine that use in accordance with label directions will not cause unreasonable adverse effects on human health or the environment—a standard that critics have long argued fails to adequately account for cumulative chemical exposures, multiple exposure routes, and the differential vulnerability of children, pregnant women, and occupationally exposed agricultural workers (</w:t>
      </w:r>
      <w:proofErr w:type="spellStart"/>
      <w:r>
        <w:t>Trasande</w:t>
      </w:r>
      <w:proofErr w:type="spellEnd"/>
      <w:r>
        <w:t xml:space="preserve"> et al., 2015). The 1996 Food Quality Protection Act added statutory requirements for additional protection of infants and children and mandated cumulative risk assessment for chemicals acting through common mechanisms, but implementation has been fitful and repeatedly contested.</w:t>
      </w:r>
    </w:p>
    <w:p w14:paraId="5CA1453A" w14:textId="77777777" w:rsidR="003B534E" w:rsidRDefault="003B534E" w:rsidP="003B534E">
      <w:pPr>
        <w:pStyle w:val="font-claude-response-body"/>
      </w:pPr>
      <w:r>
        <w:t xml:space="preserve">The regulatory history of chlorpyrifos illustrates these tensions in concrete terms. By 2016, the EPA's own scientific review had concluded that chlorpyrifos at dietary and drinking water exposure levels posed unacceptable risks to children. That conclusion was reversed by a subsequent administration in 2017. A federal court order eventually compelled revocation of chlorpyrifos tolerances for food uses in 2021 (Curl et al., 2020; </w:t>
      </w:r>
      <w:proofErr w:type="spellStart"/>
      <w:r>
        <w:t>Sapbamrer</w:t>
      </w:r>
      <w:proofErr w:type="spellEnd"/>
      <w:r>
        <w:t xml:space="preserve"> &amp; </w:t>
      </w:r>
      <w:proofErr w:type="spellStart"/>
      <w:r>
        <w:t>Hongsibsong</w:t>
      </w:r>
      <w:proofErr w:type="spellEnd"/>
      <w:r>
        <w:t>, 2019). The trajectory—scientific conclusion, regulatory reversal, judicial intervention over five years—illustrates both the political vulnerability of evidence-based pesticide regulation and the importance of enforcement mechanisms insulated from short-term political pressures.</w:t>
      </w:r>
    </w:p>
    <w:p w14:paraId="31E9B6E2" w14:textId="77777777" w:rsidR="003B534E" w:rsidRDefault="003B534E" w:rsidP="003B534E">
      <w:pPr>
        <w:pStyle w:val="Heading4"/>
      </w:pPr>
      <w:r>
        <w:t>7.2 Canadian Regulatory Context</w:t>
      </w:r>
    </w:p>
    <w:p w14:paraId="6E19DCC2" w14:textId="77777777" w:rsidR="003B534E" w:rsidRDefault="003B534E" w:rsidP="003B534E">
      <w:pPr>
        <w:pStyle w:val="font-claude-response-body"/>
      </w:pPr>
      <w:r>
        <w:t>Canada regulates pesticides under the Pest Control Products Act, administered by Health Canada's Pest Management Regulatory Agency (PMRA). The PMRA's framework nominally incorporates cumulative exposure assessment and protective factors for sensitive subpopulations, and its approach has generally been regarded as broadly equivalent in rigour to that of the United States. Similar criticisms apply, however: the pace and transparency of re-evaluations for registered pesticides have been questioned given how rapidly new epidemiological evidence accumulates, and critics argue that the precautionary principle is applied inconsistently (</w:t>
      </w:r>
      <w:r w:rsidR="00ED7300" w:rsidRPr="00ED7300">
        <w:t>Benbrook et al., 2021</w:t>
      </w:r>
      <w:r>
        <w:t>).</w:t>
      </w:r>
    </w:p>
    <w:p w14:paraId="7136E474" w14:textId="77777777" w:rsidR="003B534E" w:rsidRDefault="003B534E" w:rsidP="003B534E">
      <w:pPr>
        <w:pStyle w:val="font-claude-response-body"/>
      </w:pPr>
      <w:r>
        <w:t>A distinctive feature of the Canadian context is the significant role of provincial governments in land use planning and agricultural extension, which generates meaningful provincial variation in practical pesticide management even where federal registration decisions are uniform. British Columbia and Ontario have implemented buffer zone requirements around sensitive receptors—including schools—that exceed federal mandates, while other provinces have moved more slowly (</w:t>
      </w:r>
      <w:r w:rsidR="00ED7300" w:rsidRPr="00ED7300">
        <w:t>Benbrook et al., 2021</w:t>
      </w:r>
      <w:r>
        <w:t>). This regulatory heterogeneity produces spatial variation in population exposure that is itself a legitimate subject for spatial epidemiological investigation.</w:t>
      </w:r>
    </w:p>
    <w:p w14:paraId="61E71838" w14:textId="77777777" w:rsidR="003B534E" w:rsidRDefault="003B534E" w:rsidP="003B534E">
      <w:pPr>
        <w:pStyle w:val="Heading4"/>
      </w:pPr>
      <w:r>
        <w:t>7.3 Gaps in Occupational Exposure Monitoring</w:t>
      </w:r>
    </w:p>
    <w:p w14:paraId="799913B4" w14:textId="77777777" w:rsidR="003B534E" w:rsidRDefault="003B534E" w:rsidP="003B534E">
      <w:pPr>
        <w:pStyle w:val="font-claude-response-body"/>
      </w:pPr>
      <w:r>
        <w:t xml:space="preserve">Across both countries, occupational health surveillance for pesticide-related illness is markedly inadequate. The US Bureau of Labor Statistics surveillance system substantially undercounts acute pesticide illness among agricultural workers: many affected individuals </w:t>
      </w:r>
      <w:r>
        <w:lastRenderedPageBreak/>
        <w:t>never seek medical care, treating physicians frequently do not recognise or report pesticide aetiology, and undocumented workers have strong practical incentives to avoid health systems that may trigger immigration enforcement. California's Pesticide Illness Surveillance Program is the most comprehensive monitoring system of its kind in North America, yet even it captures only a fraction of the true acute burden (Curl et al., 2020). Chronic exposure monitoring is even thinner: biological monitoring of pesticide biomarkers in workers' blood or urine is conducted nowhere in North America as a routine occupational health practice, only within specific research protocols. The geographic mobility of migrant farmworker populations compounds the problem further, making longitudinal tracking of individual exposure histories difficult and compromising the capacity of even well-designed cohort studies to reconstruct cumulative lifetime exposures.</w:t>
      </w:r>
    </w:p>
    <w:p w14:paraId="0095C7CC" w14:textId="77777777" w:rsidR="003B534E" w:rsidRDefault="003B534E" w:rsidP="003B534E"/>
    <w:p w14:paraId="0D1E83B3" w14:textId="77777777" w:rsidR="003B534E" w:rsidRDefault="003B534E" w:rsidP="003B534E">
      <w:pPr>
        <w:pStyle w:val="Heading3"/>
      </w:pPr>
      <w:r>
        <w:t>8. Methodological Challenges and Research Gaps</w:t>
      </w:r>
    </w:p>
    <w:p w14:paraId="66AF3268" w14:textId="77777777" w:rsidR="003B534E" w:rsidRDefault="003B534E" w:rsidP="003B534E">
      <w:pPr>
        <w:pStyle w:val="Heading4"/>
      </w:pPr>
      <w:r>
        <w:t>8.1 Exposure Misclassification</w:t>
      </w:r>
    </w:p>
    <w:p w14:paraId="6A2DB6F4" w14:textId="77777777" w:rsidR="003B534E" w:rsidRDefault="003B534E" w:rsidP="003B534E">
      <w:pPr>
        <w:pStyle w:val="font-claude-response-body"/>
      </w:pPr>
      <w:r>
        <w:t>Exposure misclassification is the central methodological challenge in this field and the single most important source of uncertainty in interpreting epidemiological findings. When residential proximity to agricultural operations serves as a proxy for individual exposure, the true chemical contact of study participants will inevitably diverge from the proxy's prediction, depending on individual behaviour, home ventilation patterns, local produce consumption, and time spent outdoors. This non-differential misclassification tends to bias effect estimates towards the null, meaning that proximity-based analyses likely underestimate the true strength of associations between agrochemical exposure and adverse health outcomes (Nuckols et al., 2004). Biomarker-based assessment avoids some of these problems but creates others: urinary metabolite measurements reflect recent exposure rather than the cumulative chemical history that drives cancer or neurodegenerative disease. For outcomes with latency periods spanning decades, a single urine sample collected at study enrolment may be essentially uninformative about the aetiologically relevant exposure window.</w:t>
      </w:r>
    </w:p>
    <w:p w14:paraId="76D097D6" w14:textId="77777777" w:rsidR="003B534E" w:rsidRDefault="003B534E" w:rsidP="003B534E">
      <w:pPr>
        <w:pStyle w:val="Heading4"/>
      </w:pPr>
      <w:r>
        <w:t>8.2 Confounding and Effect Modification</w:t>
      </w:r>
    </w:p>
    <w:p w14:paraId="3B5DEDD8" w14:textId="77777777" w:rsidR="003B534E" w:rsidRDefault="003B534E" w:rsidP="003B534E">
      <w:pPr>
        <w:pStyle w:val="font-claude-response-body"/>
      </w:pPr>
      <w:r>
        <w:t>In agricultural regions, the exposures of concern do not arrive in isolation. Pesticide use, poverty, limited healthcare access, dietary patterns, other occupational hazards, and proximity to multiple environmental stressors tend to cluster spatially, making it difficult to attribute any specific health outcome to agrochemical exposure independently of these co-occurring factors. Socioeconomic position is especially difficult to disentangle: it functions simultaneously as a confounder, as an effect modifier, and—through the structural mechanisms discussed in Section 6—as a direct cause of differential exposure. Agricultural worker populations are also internally heterogeneous in ways that occupational category codes fail to capture, with markedly different exposure intensities across crop types, application methods, and work roles within the same formal employment category (Morello-Frosch &amp; Shenassa, 2006).</w:t>
      </w:r>
    </w:p>
    <w:p w14:paraId="1D7A501D" w14:textId="77777777" w:rsidR="003B534E" w:rsidRDefault="003B534E" w:rsidP="003B534E">
      <w:pPr>
        <w:pStyle w:val="font-claude-response-body"/>
      </w:pPr>
      <w:r>
        <w:t xml:space="preserve">Effect modification adds a further layer of complexity. Polymorphisms in the </w:t>
      </w:r>
      <w:proofErr w:type="spellStart"/>
      <w:r>
        <w:t>paraoxonase</w:t>
      </w:r>
      <w:proofErr w:type="spellEnd"/>
      <w:r>
        <w:t xml:space="preserve"> 1 (PON1) enzyme—which hydrolyses organophosphate active metabolites—have been shown in the CHAMACOS study context to modulate the neurodevelopmental effects of prenatal organophosphate exposure (Eskenazi et al., 2010). This suggests that average effect estimates </w:t>
      </w:r>
      <w:r>
        <w:lastRenderedPageBreak/>
        <w:t>from epidemiological studies may conceal genuine heterogeneity across individuals with different metabolic phenotypes. Whether this genetic variation in susceptibility interacts with the racial and socioeconomic disparities in exposure described in Section 6 in compounding ways remains a question that the field has not yet adequately addressed.</w:t>
      </w:r>
    </w:p>
    <w:p w14:paraId="78601770" w14:textId="77777777" w:rsidR="003B534E" w:rsidRDefault="003B534E" w:rsidP="003B534E">
      <w:pPr>
        <w:pStyle w:val="Heading4"/>
      </w:pPr>
      <w:r>
        <w:t>8.3 Temporal Dimensions of Exposure and Disease</w:t>
      </w:r>
    </w:p>
    <w:p w14:paraId="197018A7" w14:textId="77777777" w:rsidR="003B534E" w:rsidRDefault="003B534E" w:rsidP="003B534E">
      <w:pPr>
        <w:pStyle w:val="font-claude-response-body"/>
      </w:pPr>
      <w:r>
        <w:t>Long latency is a fundamental obstacle in studying the cancer and neurodegenerative consequences of agrochemical exposure. Prospective cohort studies with follow-up periods adequate to capture these outcomes are rare—the Agricultural Health Study, with its multi-decade follow-up of a large applicator cohort, is genuinely exceptional in this literature (Andreotti et al., 2018). Most cancer evidence derives from retrospective case-control studies where historical exposure must be reconstructed from occupational records and self-report, introducing recall bias and imprecision that add noise to already complex signal-detection problems. There is also a temporal mismatch problem: the chemical landscape has shifted substantially since the 1970s and 1980s, when the exposures aetiologically relevant to current cancer diagnoses were occurring. Studies designed to capture the health consequences of contemporary pesticide use patterns may well be missing the exposures that their study populations actually encountered during the biologically critical periods.</w:t>
      </w:r>
    </w:p>
    <w:p w14:paraId="7C6E86F8" w14:textId="77777777" w:rsidR="003B534E" w:rsidRDefault="003B534E" w:rsidP="003B534E">
      <w:pPr>
        <w:pStyle w:val="Heading4"/>
      </w:pPr>
      <w:r>
        <w:t>8.4 Data Infrastructure and Surveillance Gaps</w:t>
      </w:r>
    </w:p>
    <w:p w14:paraId="373CE329" w14:textId="77777777" w:rsidR="003B534E" w:rsidRDefault="003B534E" w:rsidP="003B534E">
      <w:pPr>
        <w:pStyle w:val="font-claude-response-body"/>
      </w:pPr>
      <w:r>
        <w:t>California's Pesticide Use Reporting system has demonstrated what becomes possible when detailed, georeferenced, and mandatory pesticide use data are systematically collected. The study by Larsen et al. (2017)—which linked georeferenced pesticide application records to birth outcome data across the San Joaquin Valley and identified associations with adverse birth outcomes—is analytically dependent on that infrastructure existing. In most US states and Canadian provinces, equivalent data are either not collected or are gathered at insufficient geographic resolution to support comparable analyses. Cancer registries are generally high quality in North America, but linking registry data to spatially resolved exposure metrics requires geographic identifiers and linkage infrastructure that are not universally available. Electronic health records remain poor sources of occupational exposure information, and occupational coding systems are too coarse to distinguish meaningfully among farming activities with very different pesticide exposure profiles. Building the integrated data systems needed to support rigorous spatial epidemiology of agrochemical health effects should be a recognised public health priority, not a technical afterthought.</w:t>
      </w:r>
    </w:p>
    <w:p w14:paraId="35E37A88" w14:textId="77777777" w:rsidR="003B534E" w:rsidRDefault="003B534E" w:rsidP="003B534E"/>
    <w:p w14:paraId="72E076B0" w14:textId="77777777" w:rsidR="003B534E" w:rsidRDefault="003B534E" w:rsidP="003B534E">
      <w:pPr>
        <w:pStyle w:val="Heading3"/>
      </w:pPr>
      <w:r>
        <w:t>9. Emerging Research Directions</w:t>
      </w:r>
    </w:p>
    <w:p w14:paraId="2836427D" w14:textId="77777777" w:rsidR="003B534E" w:rsidRDefault="003B534E" w:rsidP="003B534E">
      <w:pPr>
        <w:pStyle w:val="Heading4"/>
      </w:pPr>
      <w:r>
        <w:t>9.1 Exposome Approaches and Mixture Toxicology</w:t>
      </w:r>
    </w:p>
    <w:p w14:paraId="44A17553" w14:textId="77777777" w:rsidR="003B534E" w:rsidRDefault="003B534E" w:rsidP="003B534E">
      <w:pPr>
        <w:pStyle w:val="font-claude-response-body"/>
      </w:pPr>
      <w:r>
        <w:t xml:space="preserve">One of the more significant conceptual developments in environmental health research over the past decade is the exposome framework—the idea that what matters for health is not any single chemical exposure but the full set of environmental exposures accumulated over a lifetime and their cumulative biological consequences (Braun et al., 2016). For farming communities, where individuals are routinely exposed to dozens of agrochemical active ingredients simultaneously alongside air pollution, waterborne contaminants, and physical </w:t>
      </w:r>
      <w:r>
        <w:lastRenderedPageBreak/>
        <w:t>and psychosocial occupational stressors, this framework fits the actual nature of exposure far better than single-chemical risk assessment can.</w:t>
      </w:r>
    </w:p>
    <w:p w14:paraId="011EC8AC" w14:textId="77777777" w:rsidR="003B534E" w:rsidRDefault="003B534E" w:rsidP="003B534E">
      <w:pPr>
        <w:pStyle w:val="font-claude-response-body"/>
      </w:pPr>
      <w:r>
        <w:t>Statistical approaches developed for mixture analysis—including weighted quantile sum regression and Bayesian kernel machine regression—allow researchers to characterise the joint effects of chemical mixtures and to identify which components drive health outcomes (Hamra &amp; Buckley, 2018). Applied to biomonitoring data from agricultural cohorts, these methods could reveal combined chemical effects that single-compound analyses would miss entirely. They are, however, computationally demanding, and their results can be difficult to translate into actionable regulatory standards. The gap between what mixture toxicology can demonstrate scientifically and what regulatory systems can operationalise remains one of the field's significant unresolved challenges.</w:t>
      </w:r>
    </w:p>
    <w:p w14:paraId="150527F5" w14:textId="77777777" w:rsidR="003B534E" w:rsidRDefault="003B534E" w:rsidP="003B534E">
      <w:pPr>
        <w:pStyle w:val="Heading4"/>
      </w:pPr>
      <w:r>
        <w:t>9.2 Remote Sensing and Big Data in Exposure Modelling</w:t>
      </w:r>
    </w:p>
    <w:p w14:paraId="01DAA1B3" w14:textId="77777777" w:rsidR="003B534E" w:rsidRDefault="003B534E" w:rsidP="003B534E">
      <w:pPr>
        <w:pStyle w:val="font-claude-response-body"/>
      </w:pPr>
      <w:r>
        <w:t>Satellite-based remote sensing now offers a qualitatively new route to constructing spatially and temporally resolved pesticide exposure estimates. High-resolution crop maps derived from multitemporal satellite imagery, combined with application records and atmospheric transport modelling, can generate ambient concentration estimates at spatial and temporal resolutions that earlier data sources could not approach. The analytical value of this kind of geospatial integration was demonstrated by Larsen et al. (2017) in California's San Joaquin Valley, where linking georeferenced pesticide application records with vital statistics revealed exposure-birth outcome associations that conventional exposure surrogates would not have detected.</w:t>
      </w:r>
    </w:p>
    <w:p w14:paraId="3B79F7C7" w14:textId="77777777" w:rsidR="003B534E" w:rsidRDefault="003B534E" w:rsidP="003B534E">
      <w:pPr>
        <w:pStyle w:val="font-claude-response-body"/>
      </w:pPr>
      <w:r>
        <w:t xml:space="preserve">Machine learning offers additional possibilities for improving individual-level exposure prediction by integrating remote sensing data, land use maps, pesticide sales records, meteorological observations, and biomonitoring measurements in ways that outperform conventional regression approaches in heterogeneous agricultural landscapes. </w:t>
      </w:r>
      <w:r w:rsidR="00ED7300">
        <w:t>Eskenazi et al. (2007)</w:t>
      </w:r>
      <w:r>
        <w:t>, in their study of organophosphorus pesticide exposure and neurodevelopment in children from a predominantly Latinx California agricultural community, illustrate the scientific value of grounding exposure estimates in the specific geographic and demographic context of high-risk populations—work that is both analytically rigorous and directly responsive to the environmental justice concerns that motivate the broader research agenda.</w:t>
      </w:r>
    </w:p>
    <w:p w14:paraId="512361C7" w14:textId="77777777" w:rsidR="003B534E" w:rsidRDefault="003B534E" w:rsidP="003B534E">
      <w:pPr>
        <w:pStyle w:val="Heading4"/>
      </w:pPr>
      <w:r>
        <w:t>9.3 Community-Based Participatory Research</w:t>
      </w:r>
    </w:p>
    <w:p w14:paraId="556AE53C" w14:textId="77777777" w:rsidR="003B534E" w:rsidRDefault="003B534E" w:rsidP="003B534E">
      <w:pPr>
        <w:pStyle w:val="font-claude-response-body"/>
      </w:pPr>
      <w:r>
        <w:t xml:space="preserve">One persistent limitation of conventional epidemiological study designs is that the communities most affected by agrochemical exposures are rarely involved in shaping the research intended to address their concerns. Community-based participatory research (CBPR) seeks to correct this by treating affected communities as genuine co-investigators rather than passive data sources. In agricultural settings, CBPR frameworks have been used to develop culturally appropriate biomonitoring protocols, design exposure assessment instruments that reflect community-identified priorities, and produce health education materials accessible to populations with limited English proficiency. In Indigenous communities, where external research has a long and often troubled history, the importance of CBPR is greater still: partnerships that respect Indigenous data sovereignty, incorporate Indigenous governance structures, and integrate traditional ecological knowledge into study design represent an important and evolving dimension of the North American literature on agrochemical health (Hoover, </w:t>
      </w:r>
      <w:r w:rsidR="00ED7300">
        <w:t>2016</w:t>
      </w:r>
      <w:r>
        <w:t>).</w:t>
      </w:r>
    </w:p>
    <w:p w14:paraId="00E915C1" w14:textId="77777777" w:rsidR="003B534E" w:rsidRDefault="003B534E" w:rsidP="003B534E">
      <w:pPr>
        <w:pStyle w:val="font-claude-response-body"/>
      </w:pPr>
      <w:r>
        <w:lastRenderedPageBreak/>
        <w:t>Quandt et al. (</w:t>
      </w:r>
      <w:r w:rsidR="00ED7300">
        <w:t>1998</w:t>
      </w:r>
      <w:r>
        <w:t>), in a study of farmworker and farmer perceptions of agricultural health and safety in North Carolina, illustrate how participatory engagement can bring into view health and safety concerns—about chemical hazards, heat exposure, and musculoskeletal strain—that externally imposed research frameworks might overlook. Their work reinforces a point that the evidence throughout this review supports: the communities bearing the greatest burden of agrochemical exposure are not passive recipients of risk; they have knowledge, priorities, and perspectives that should shape the research agenda, not merely populate the research sample.</w:t>
      </w:r>
    </w:p>
    <w:p w14:paraId="08F43042" w14:textId="77777777" w:rsidR="003B534E" w:rsidRDefault="003B534E" w:rsidP="003B534E"/>
    <w:p w14:paraId="1AEC0EB9" w14:textId="77777777" w:rsidR="003B534E" w:rsidRDefault="003B534E" w:rsidP="003B534E">
      <w:pPr>
        <w:pStyle w:val="Heading3"/>
      </w:pPr>
      <w:r>
        <w:t>10. Policy Implications and Recommendations</w:t>
      </w:r>
    </w:p>
    <w:p w14:paraId="6CFD9DC4" w14:textId="77777777" w:rsidR="003B534E" w:rsidRDefault="003B534E" w:rsidP="003B534E">
      <w:pPr>
        <w:pStyle w:val="Heading4"/>
      </w:pPr>
      <w:r>
        <w:t>10.1 Strengthening Exposure Surveillance</w:t>
      </w:r>
    </w:p>
    <w:p w14:paraId="589A667E" w14:textId="77777777" w:rsidR="003B534E" w:rsidRDefault="003B534E" w:rsidP="003B534E">
      <w:pPr>
        <w:pStyle w:val="font-claude-response-body"/>
      </w:pPr>
      <w:r>
        <w:t>The single most important data infrastructure investment North American jurisdictions could make for agrochemical epidemiology is a federal-level mandatory pesticide use reporting system—one modelled on California's approach but applied nationally in both the United States and Canada. Such a system, capturing applications at the field or section level with linkage to georeferenced parcel data, would fundamentally improve the capacity for spatial epidemiological analysis and provide regulators with granular information they currently lack for population-level risk assessment.</w:t>
      </w:r>
    </w:p>
    <w:p w14:paraId="365AE2CA" w14:textId="77777777" w:rsidR="003B534E" w:rsidRDefault="003B534E" w:rsidP="003B534E">
      <w:pPr>
        <w:pStyle w:val="font-claude-response-body"/>
      </w:pPr>
      <w:r>
        <w:t xml:space="preserve">Existing biomonitoring programmes such as the National Health and Nutrition Examination Survey are designed to characterise background exposure in the general population, not to capture the extreme end of the distribution occupied by farmworkers and their families. Expanding these programmes to include agricultural and </w:t>
      </w:r>
      <w:proofErr w:type="spellStart"/>
      <w:r>
        <w:t>periagricultural</w:t>
      </w:r>
      <w:proofErr w:type="spellEnd"/>
      <w:r>
        <w:t xml:space="preserve"> communities as dedicated strata, with systematic disaggregation by race, ethnicity, occupation, and socioeconomic status, would provide the ongoing disparity monitoring that current systems cannot deliver. Such expansion is most effective when designed and implemented in genuine partnership with the communities to be studied (</w:t>
      </w:r>
      <w:proofErr w:type="spellStart"/>
      <w:r>
        <w:t>Trasande</w:t>
      </w:r>
      <w:proofErr w:type="spellEnd"/>
      <w:r>
        <w:t xml:space="preserve"> et al., 2015).</w:t>
      </w:r>
    </w:p>
    <w:p w14:paraId="57BB3241" w14:textId="77777777" w:rsidR="003B534E" w:rsidRDefault="003B534E" w:rsidP="003B534E">
      <w:pPr>
        <w:pStyle w:val="Heading4"/>
      </w:pPr>
      <w:r>
        <w:t>10.2 Reforming Pesticide Risk Assessment</w:t>
      </w:r>
    </w:p>
    <w:p w14:paraId="4383BD68" w14:textId="77777777" w:rsidR="003B534E" w:rsidRDefault="003B534E" w:rsidP="003B534E">
      <w:pPr>
        <w:pStyle w:val="font-claude-response-body"/>
      </w:pPr>
      <w:r>
        <w:t xml:space="preserve">Three specific gaps in the current risk assessment framework deserve regulatory attention. First, individual chemical evaluation does not capture the cumulative effects of the mixtures that people in agricultural communities actually encounter; mixture risk assessment methods now exist and should be incorporated into registration decisions (Hamra &amp; Buckley, 2018). Second, the safety margins applied to protect children and developing foetuses are not adequately calibrated to the neurological and endocrine effects documented at environmental exposure levels in multiple independent cohort studies (Bouchard et al., 2011; </w:t>
      </w:r>
      <w:proofErr w:type="spellStart"/>
      <w:r>
        <w:t>Gunier</w:t>
      </w:r>
      <w:proofErr w:type="spellEnd"/>
      <w:r>
        <w:t xml:space="preserve"> et al., 2017). Third, the independence of scientific review in pesticide registration needs strengthening; the chlorpyrifos regulatory history is a clear illustration of what happens when scientific conclusions can be reversed through political processes rather than scientific ones (</w:t>
      </w:r>
      <w:proofErr w:type="spellStart"/>
      <w:r>
        <w:t>Mesnage</w:t>
      </w:r>
      <w:proofErr w:type="spellEnd"/>
      <w:r>
        <w:t xml:space="preserve"> &amp; Antoniou, 2017).</w:t>
      </w:r>
    </w:p>
    <w:p w14:paraId="300617CC" w14:textId="77777777" w:rsidR="003B534E" w:rsidRDefault="003B534E" w:rsidP="003B534E">
      <w:pPr>
        <w:pStyle w:val="font-claude-response-body"/>
      </w:pPr>
      <w:r>
        <w:t xml:space="preserve">The US EPA's 2016 Environmental Justice Action Plan committed the agency to evaluating cumulative chemical burden in disadvantaged communities, but FIFRA contains no statutory requirement to consider environmental justice in registration decisions (Pulido, 2017). Making such consideration mandatory, and developing the technical tools needed to </w:t>
      </w:r>
      <w:r>
        <w:lastRenderedPageBreak/>
        <w:t>implement it, would represent a structural reform with real consequences for population health equity.</w:t>
      </w:r>
    </w:p>
    <w:p w14:paraId="74CBBEDA" w14:textId="77777777" w:rsidR="003B534E" w:rsidRDefault="003B534E" w:rsidP="003B534E">
      <w:pPr>
        <w:pStyle w:val="Heading4"/>
      </w:pPr>
      <w:r>
        <w:t>10.3 Occupational Health Protections for Farmworkers</w:t>
      </w:r>
    </w:p>
    <w:p w14:paraId="4765B7EB" w14:textId="77777777" w:rsidR="003B534E" w:rsidRDefault="003B534E" w:rsidP="003B534E">
      <w:pPr>
        <w:pStyle w:val="font-claude-response-body"/>
      </w:pPr>
      <w:r>
        <w:t>The gap between occupational health protections available to agricultural workers and those afforded to workers in virtually every other sector of the US economy is not a technical accident; it reflects deliberate historical exclusions built into labour law. At minimum, full and effective implementation of existing Worker Protection Standard requirements—including training in workers' native languages, genuine access to protective equipment, enforced re-entry intervals, and accessible decontamination facilities—would reduce the acute and chronic exposure burden in the most heavily exposed population. A more ambitious response would extend Occupational Safety and Health Act coverage to the agricultural operations currently exempt, establish routine biological monitoring for high-exposure workers, and build culturally accessible medical surveillance systems capable of identifying early pesticide-related illness in a workforce that currently has limited reason to trust institutional health systems.</w:t>
      </w:r>
    </w:p>
    <w:p w14:paraId="244D7CA1" w14:textId="77777777" w:rsidR="003B534E" w:rsidRDefault="003B534E" w:rsidP="003B534E">
      <w:pPr>
        <w:pStyle w:val="font-claude-response-body"/>
      </w:pPr>
      <w:r>
        <w:t>Table 4 summarises the principal policy recommendations arising from the evidence reviewed.</w:t>
      </w:r>
    </w:p>
    <w:p w14:paraId="4BB2E030" w14:textId="77777777" w:rsidR="003B534E" w:rsidRDefault="003B534E" w:rsidP="003B534E">
      <w:pPr>
        <w:pStyle w:val="font-claude-response-body"/>
      </w:pPr>
      <w:r>
        <w:rPr>
          <w:rStyle w:val="Strong"/>
        </w:rPr>
        <w:t>Table 4.</w:t>
      </w:r>
      <w:r>
        <w:t xml:space="preserve"> Summary of key policy recommendations for addressing agrochemical exposure disparities in North American farming communities.</w:t>
      </w:r>
    </w:p>
    <w:tbl>
      <w:tblPr>
        <w:tblStyle w:val="TableGrid"/>
        <w:tblW w:w="0" w:type="auto"/>
        <w:tblLook w:val="04A0" w:firstRow="1" w:lastRow="0" w:firstColumn="1" w:lastColumn="0" w:noHBand="0" w:noVBand="1"/>
      </w:tblPr>
      <w:tblGrid>
        <w:gridCol w:w="1666"/>
        <w:gridCol w:w="3099"/>
        <w:gridCol w:w="2253"/>
        <w:gridCol w:w="2224"/>
      </w:tblGrid>
      <w:tr w:rsidR="003B534E" w14:paraId="18837965" w14:textId="77777777" w:rsidTr="00646679">
        <w:tc>
          <w:tcPr>
            <w:tcW w:w="0" w:type="auto"/>
            <w:hideMark/>
          </w:tcPr>
          <w:p w14:paraId="284F7804" w14:textId="77777777" w:rsidR="003B534E" w:rsidRDefault="003B534E">
            <w:pPr>
              <w:jc w:val="center"/>
              <w:rPr>
                <w:b/>
                <w:bCs/>
                <w:sz w:val="24"/>
                <w:szCs w:val="24"/>
              </w:rPr>
            </w:pPr>
            <w:r>
              <w:rPr>
                <w:b/>
                <w:bCs/>
              </w:rPr>
              <w:t>Policy Domain</w:t>
            </w:r>
          </w:p>
        </w:tc>
        <w:tc>
          <w:tcPr>
            <w:tcW w:w="0" w:type="auto"/>
            <w:hideMark/>
          </w:tcPr>
          <w:p w14:paraId="0BBBFE7C" w14:textId="77777777" w:rsidR="003B534E" w:rsidRDefault="003B534E">
            <w:pPr>
              <w:jc w:val="center"/>
              <w:rPr>
                <w:b/>
                <w:bCs/>
                <w:sz w:val="24"/>
                <w:szCs w:val="24"/>
              </w:rPr>
            </w:pPr>
            <w:r>
              <w:rPr>
                <w:b/>
                <w:bCs/>
              </w:rPr>
              <w:t>Specific Recommendation</w:t>
            </w:r>
          </w:p>
        </w:tc>
        <w:tc>
          <w:tcPr>
            <w:tcW w:w="0" w:type="auto"/>
            <w:hideMark/>
          </w:tcPr>
          <w:p w14:paraId="461E8408" w14:textId="77777777" w:rsidR="003B534E" w:rsidRDefault="003B534E">
            <w:pPr>
              <w:jc w:val="center"/>
              <w:rPr>
                <w:b/>
                <w:bCs/>
                <w:sz w:val="24"/>
                <w:szCs w:val="24"/>
              </w:rPr>
            </w:pPr>
            <w:r>
              <w:rPr>
                <w:b/>
                <w:bCs/>
              </w:rPr>
              <w:t>Regulatory Mechanism</w:t>
            </w:r>
          </w:p>
        </w:tc>
        <w:tc>
          <w:tcPr>
            <w:tcW w:w="0" w:type="auto"/>
            <w:hideMark/>
          </w:tcPr>
          <w:p w14:paraId="1BBC0E76" w14:textId="77777777" w:rsidR="003B534E" w:rsidRDefault="003B534E">
            <w:pPr>
              <w:jc w:val="center"/>
              <w:rPr>
                <w:b/>
                <w:bCs/>
                <w:sz w:val="24"/>
                <w:szCs w:val="24"/>
              </w:rPr>
            </w:pPr>
            <w:r>
              <w:rPr>
                <w:b/>
                <w:bCs/>
              </w:rPr>
              <w:t>Scientific Priority Supported</w:t>
            </w:r>
          </w:p>
        </w:tc>
      </w:tr>
      <w:tr w:rsidR="003B534E" w14:paraId="34DAA72A" w14:textId="77777777" w:rsidTr="00646679">
        <w:tc>
          <w:tcPr>
            <w:tcW w:w="0" w:type="auto"/>
            <w:hideMark/>
          </w:tcPr>
          <w:p w14:paraId="06D4D7D5" w14:textId="77777777" w:rsidR="003B534E" w:rsidRDefault="003B534E">
            <w:pPr>
              <w:rPr>
                <w:sz w:val="24"/>
                <w:szCs w:val="24"/>
              </w:rPr>
            </w:pPr>
            <w:r>
              <w:t>Exposure surveillance</w:t>
            </w:r>
          </w:p>
        </w:tc>
        <w:tc>
          <w:tcPr>
            <w:tcW w:w="0" w:type="auto"/>
            <w:hideMark/>
          </w:tcPr>
          <w:p w14:paraId="2E68CC70" w14:textId="77777777" w:rsidR="003B534E" w:rsidRDefault="003B534E">
            <w:pPr>
              <w:rPr>
                <w:sz w:val="24"/>
                <w:szCs w:val="24"/>
              </w:rPr>
            </w:pPr>
            <w:r>
              <w:t>Mandatory, georeferenced pesticide use reporting at federal level (US and Canada)</w:t>
            </w:r>
          </w:p>
        </w:tc>
        <w:tc>
          <w:tcPr>
            <w:tcW w:w="0" w:type="auto"/>
            <w:hideMark/>
          </w:tcPr>
          <w:p w14:paraId="0577B829" w14:textId="77777777" w:rsidR="003B534E" w:rsidRDefault="003B534E">
            <w:pPr>
              <w:rPr>
                <w:sz w:val="24"/>
                <w:szCs w:val="24"/>
              </w:rPr>
            </w:pPr>
            <w:r>
              <w:t>Amendment to FIFRA; Canadian PCPA</w:t>
            </w:r>
          </w:p>
        </w:tc>
        <w:tc>
          <w:tcPr>
            <w:tcW w:w="0" w:type="auto"/>
            <w:hideMark/>
          </w:tcPr>
          <w:p w14:paraId="5CE0BDB5" w14:textId="77777777" w:rsidR="003B534E" w:rsidRDefault="003B534E">
            <w:pPr>
              <w:rPr>
                <w:sz w:val="24"/>
                <w:szCs w:val="24"/>
              </w:rPr>
            </w:pPr>
            <w:r>
              <w:t>Exposure characterisation; spatial analysis</w:t>
            </w:r>
          </w:p>
        </w:tc>
      </w:tr>
      <w:tr w:rsidR="003B534E" w14:paraId="36DA0D04" w14:textId="77777777" w:rsidTr="00646679">
        <w:tc>
          <w:tcPr>
            <w:tcW w:w="0" w:type="auto"/>
            <w:hideMark/>
          </w:tcPr>
          <w:p w14:paraId="434BCB00" w14:textId="77777777" w:rsidR="003B534E" w:rsidRDefault="003B534E">
            <w:pPr>
              <w:rPr>
                <w:sz w:val="24"/>
                <w:szCs w:val="24"/>
              </w:rPr>
            </w:pPr>
            <w:r>
              <w:t>Biomonitoring</w:t>
            </w:r>
          </w:p>
        </w:tc>
        <w:tc>
          <w:tcPr>
            <w:tcW w:w="0" w:type="auto"/>
            <w:hideMark/>
          </w:tcPr>
          <w:p w14:paraId="4DB7A98C" w14:textId="77777777" w:rsidR="003B534E" w:rsidRDefault="003B534E">
            <w:pPr>
              <w:rPr>
                <w:sz w:val="24"/>
                <w:szCs w:val="24"/>
              </w:rPr>
            </w:pPr>
            <w:r>
              <w:t xml:space="preserve">Expanded biomonitoring of farmworker and </w:t>
            </w:r>
            <w:proofErr w:type="spellStart"/>
            <w:r>
              <w:t>periagricultural</w:t>
            </w:r>
            <w:proofErr w:type="spellEnd"/>
            <w:r>
              <w:t xml:space="preserve"> communities; race/ethnicity disaggregation</w:t>
            </w:r>
          </w:p>
        </w:tc>
        <w:tc>
          <w:tcPr>
            <w:tcW w:w="0" w:type="auto"/>
            <w:hideMark/>
          </w:tcPr>
          <w:p w14:paraId="19F044F1" w14:textId="77777777" w:rsidR="003B534E" w:rsidRDefault="003B534E">
            <w:pPr>
              <w:rPr>
                <w:sz w:val="24"/>
                <w:szCs w:val="24"/>
              </w:rPr>
            </w:pPr>
            <w:r>
              <w:t>NHANES expansion; targeted surveillance funding</w:t>
            </w:r>
          </w:p>
        </w:tc>
        <w:tc>
          <w:tcPr>
            <w:tcW w:w="0" w:type="auto"/>
            <w:hideMark/>
          </w:tcPr>
          <w:p w14:paraId="3191864D" w14:textId="77777777" w:rsidR="003B534E" w:rsidRDefault="003B534E">
            <w:pPr>
              <w:rPr>
                <w:sz w:val="24"/>
                <w:szCs w:val="24"/>
              </w:rPr>
            </w:pPr>
            <w:r>
              <w:t>Exposure disparity documentation</w:t>
            </w:r>
          </w:p>
        </w:tc>
      </w:tr>
      <w:tr w:rsidR="003B534E" w14:paraId="1C22788F" w14:textId="77777777" w:rsidTr="00646679">
        <w:tc>
          <w:tcPr>
            <w:tcW w:w="0" w:type="auto"/>
            <w:hideMark/>
          </w:tcPr>
          <w:p w14:paraId="66323282" w14:textId="77777777" w:rsidR="003B534E" w:rsidRDefault="003B534E">
            <w:pPr>
              <w:rPr>
                <w:sz w:val="24"/>
                <w:szCs w:val="24"/>
              </w:rPr>
            </w:pPr>
            <w:r>
              <w:t>Risk assessment</w:t>
            </w:r>
          </w:p>
        </w:tc>
        <w:tc>
          <w:tcPr>
            <w:tcW w:w="0" w:type="auto"/>
            <w:hideMark/>
          </w:tcPr>
          <w:p w14:paraId="2EC8A02F" w14:textId="77777777" w:rsidR="003B534E" w:rsidRDefault="003B534E">
            <w:pPr>
              <w:rPr>
                <w:sz w:val="24"/>
                <w:szCs w:val="24"/>
              </w:rPr>
            </w:pPr>
            <w:r>
              <w:t>Cumulative risk assessment for chemical mixtures; enhanced vulnerable population protection factors</w:t>
            </w:r>
          </w:p>
        </w:tc>
        <w:tc>
          <w:tcPr>
            <w:tcW w:w="0" w:type="auto"/>
            <w:hideMark/>
          </w:tcPr>
          <w:p w14:paraId="61B607AF" w14:textId="77777777" w:rsidR="003B534E" w:rsidRDefault="003B534E">
            <w:pPr>
              <w:rPr>
                <w:sz w:val="24"/>
                <w:szCs w:val="24"/>
              </w:rPr>
            </w:pPr>
            <w:r>
              <w:t>FIFRA reform; FQPA implementation</w:t>
            </w:r>
          </w:p>
        </w:tc>
        <w:tc>
          <w:tcPr>
            <w:tcW w:w="0" w:type="auto"/>
            <w:hideMark/>
          </w:tcPr>
          <w:p w14:paraId="1F51B1E6" w14:textId="77777777" w:rsidR="003B534E" w:rsidRDefault="003B534E">
            <w:pPr>
              <w:rPr>
                <w:sz w:val="24"/>
                <w:szCs w:val="24"/>
              </w:rPr>
            </w:pPr>
            <w:r>
              <w:t>Mixture toxicology; developmental exposure science</w:t>
            </w:r>
          </w:p>
        </w:tc>
      </w:tr>
      <w:tr w:rsidR="003B534E" w14:paraId="51A6C8C1" w14:textId="77777777" w:rsidTr="00646679">
        <w:tc>
          <w:tcPr>
            <w:tcW w:w="0" w:type="auto"/>
            <w:hideMark/>
          </w:tcPr>
          <w:p w14:paraId="7177BBAC" w14:textId="77777777" w:rsidR="003B534E" w:rsidRDefault="003B534E">
            <w:pPr>
              <w:rPr>
                <w:sz w:val="24"/>
                <w:szCs w:val="24"/>
              </w:rPr>
            </w:pPr>
            <w:r>
              <w:t>Environmental justice</w:t>
            </w:r>
          </w:p>
        </w:tc>
        <w:tc>
          <w:tcPr>
            <w:tcW w:w="0" w:type="auto"/>
            <w:hideMark/>
          </w:tcPr>
          <w:p w14:paraId="19679864" w14:textId="77777777" w:rsidR="003B534E" w:rsidRDefault="003B534E">
            <w:pPr>
              <w:rPr>
                <w:sz w:val="24"/>
                <w:szCs w:val="24"/>
              </w:rPr>
            </w:pPr>
            <w:r>
              <w:t>Statutory requirement to evaluate cumulative burden by race and income in pesticide registration</w:t>
            </w:r>
          </w:p>
        </w:tc>
        <w:tc>
          <w:tcPr>
            <w:tcW w:w="0" w:type="auto"/>
            <w:hideMark/>
          </w:tcPr>
          <w:p w14:paraId="364E052D" w14:textId="77777777" w:rsidR="003B534E" w:rsidRDefault="003B534E">
            <w:pPr>
              <w:rPr>
                <w:sz w:val="24"/>
                <w:szCs w:val="24"/>
              </w:rPr>
            </w:pPr>
            <w:r>
              <w:t>FIFRA amendment; executive action</w:t>
            </w:r>
          </w:p>
        </w:tc>
        <w:tc>
          <w:tcPr>
            <w:tcW w:w="0" w:type="auto"/>
            <w:hideMark/>
          </w:tcPr>
          <w:p w14:paraId="6A2968CF" w14:textId="77777777" w:rsidR="003B534E" w:rsidRDefault="003B534E">
            <w:pPr>
              <w:rPr>
                <w:sz w:val="24"/>
                <w:szCs w:val="24"/>
              </w:rPr>
            </w:pPr>
            <w:r>
              <w:t>Environmental justice research integration</w:t>
            </w:r>
          </w:p>
        </w:tc>
      </w:tr>
      <w:tr w:rsidR="003B534E" w14:paraId="2DDD8D2A" w14:textId="77777777" w:rsidTr="00646679">
        <w:tc>
          <w:tcPr>
            <w:tcW w:w="0" w:type="auto"/>
            <w:hideMark/>
          </w:tcPr>
          <w:p w14:paraId="0670821D" w14:textId="77777777" w:rsidR="003B534E" w:rsidRDefault="003B534E">
            <w:pPr>
              <w:rPr>
                <w:sz w:val="24"/>
                <w:szCs w:val="24"/>
              </w:rPr>
            </w:pPr>
            <w:r>
              <w:t>Occupational health</w:t>
            </w:r>
          </w:p>
        </w:tc>
        <w:tc>
          <w:tcPr>
            <w:tcW w:w="0" w:type="auto"/>
            <w:hideMark/>
          </w:tcPr>
          <w:p w14:paraId="253C3887" w14:textId="77777777" w:rsidR="003B534E" w:rsidRDefault="003B534E">
            <w:pPr>
              <w:rPr>
                <w:sz w:val="24"/>
                <w:szCs w:val="24"/>
              </w:rPr>
            </w:pPr>
            <w:r>
              <w:t>Extension of OSHA coverage to all agricultural operations; biological monitoring for high-exposure workers</w:t>
            </w:r>
          </w:p>
        </w:tc>
        <w:tc>
          <w:tcPr>
            <w:tcW w:w="0" w:type="auto"/>
            <w:hideMark/>
          </w:tcPr>
          <w:p w14:paraId="12514A0B" w14:textId="77777777" w:rsidR="003B534E" w:rsidRDefault="003B534E">
            <w:pPr>
              <w:rPr>
                <w:sz w:val="24"/>
                <w:szCs w:val="24"/>
              </w:rPr>
            </w:pPr>
            <w:r>
              <w:t>Legislative amendment; EPA/OSHA MOU</w:t>
            </w:r>
          </w:p>
        </w:tc>
        <w:tc>
          <w:tcPr>
            <w:tcW w:w="0" w:type="auto"/>
            <w:hideMark/>
          </w:tcPr>
          <w:p w14:paraId="539247E9" w14:textId="77777777" w:rsidR="003B534E" w:rsidRDefault="003B534E">
            <w:pPr>
              <w:rPr>
                <w:sz w:val="24"/>
                <w:szCs w:val="24"/>
              </w:rPr>
            </w:pPr>
            <w:r>
              <w:t>Occupational exposure surveillance</w:t>
            </w:r>
          </w:p>
        </w:tc>
      </w:tr>
      <w:tr w:rsidR="003B534E" w14:paraId="46BEC0B4" w14:textId="77777777" w:rsidTr="00646679">
        <w:tc>
          <w:tcPr>
            <w:tcW w:w="0" w:type="auto"/>
            <w:hideMark/>
          </w:tcPr>
          <w:p w14:paraId="277D3DBB" w14:textId="77777777" w:rsidR="003B534E" w:rsidRDefault="003B534E">
            <w:pPr>
              <w:rPr>
                <w:sz w:val="24"/>
                <w:szCs w:val="24"/>
              </w:rPr>
            </w:pPr>
            <w:r>
              <w:t>Indigenous communities</w:t>
            </w:r>
          </w:p>
        </w:tc>
        <w:tc>
          <w:tcPr>
            <w:tcW w:w="0" w:type="auto"/>
            <w:hideMark/>
          </w:tcPr>
          <w:p w14:paraId="0AB5EEA0" w14:textId="77777777" w:rsidR="003B534E" w:rsidRDefault="003B534E">
            <w:pPr>
              <w:rPr>
                <w:sz w:val="24"/>
                <w:szCs w:val="24"/>
              </w:rPr>
            </w:pPr>
            <w:r>
              <w:t>Engagement with Indigenous data sovereignty; integration of traditional knowledge in exposure assessment</w:t>
            </w:r>
          </w:p>
        </w:tc>
        <w:tc>
          <w:tcPr>
            <w:tcW w:w="0" w:type="auto"/>
            <w:hideMark/>
          </w:tcPr>
          <w:p w14:paraId="009032BE" w14:textId="77777777" w:rsidR="003B534E" w:rsidRDefault="003B534E">
            <w:pPr>
              <w:rPr>
                <w:sz w:val="24"/>
                <w:szCs w:val="24"/>
              </w:rPr>
            </w:pPr>
            <w:r>
              <w:t>UNDRIP implementation; nation-to-nation consultation</w:t>
            </w:r>
          </w:p>
        </w:tc>
        <w:tc>
          <w:tcPr>
            <w:tcW w:w="0" w:type="auto"/>
            <w:hideMark/>
          </w:tcPr>
          <w:p w14:paraId="36F7427F" w14:textId="77777777" w:rsidR="003B534E" w:rsidRDefault="003B534E">
            <w:pPr>
              <w:rPr>
                <w:sz w:val="24"/>
                <w:szCs w:val="24"/>
              </w:rPr>
            </w:pPr>
            <w:r>
              <w:t>Community-based participatory research</w:t>
            </w:r>
          </w:p>
        </w:tc>
      </w:tr>
    </w:tbl>
    <w:p w14:paraId="1EF39208" w14:textId="77777777" w:rsidR="003B534E" w:rsidRDefault="003B534E" w:rsidP="003B534E">
      <w:pPr>
        <w:pStyle w:val="font-claude-response-body"/>
      </w:pPr>
      <w:r>
        <w:rPr>
          <w:rStyle w:val="Emphasis"/>
        </w:rPr>
        <w:lastRenderedPageBreak/>
        <w:t xml:space="preserve">Sources: </w:t>
      </w:r>
      <w:proofErr w:type="spellStart"/>
      <w:r>
        <w:rPr>
          <w:rStyle w:val="Emphasis"/>
        </w:rPr>
        <w:t>Trasande</w:t>
      </w:r>
      <w:proofErr w:type="spellEnd"/>
      <w:r>
        <w:rPr>
          <w:rStyle w:val="Emphasis"/>
        </w:rPr>
        <w:t xml:space="preserve"> et al. (2015); Pulido (2017); Hamra &amp; Buckley (2018); Hoover (</w:t>
      </w:r>
      <w:r w:rsidR="00ED7300">
        <w:t>2016</w:t>
      </w:r>
      <w:r>
        <w:rPr>
          <w:rStyle w:val="Emphasis"/>
        </w:rPr>
        <w:t xml:space="preserve">); Curl et al. (2020); </w:t>
      </w:r>
      <w:r w:rsidR="00ED7300" w:rsidRPr="00ED7300">
        <w:rPr>
          <w:rStyle w:val="Emphasis"/>
        </w:rPr>
        <w:t xml:space="preserve">Benbrook et al., </w:t>
      </w:r>
      <w:r w:rsidR="00646679">
        <w:rPr>
          <w:rStyle w:val="Emphasis"/>
        </w:rPr>
        <w:t>(</w:t>
      </w:r>
      <w:r w:rsidR="00ED7300" w:rsidRPr="00ED7300">
        <w:rPr>
          <w:rStyle w:val="Emphasis"/>
        </w:rPr>
        <w:t>2021</w:t>
      </w:r>
      <w:r>
        <w:rPr>
          <w:rStyle w:val="Emphasis"/>
        </w:rPr>
        <w:t>).</w:t>
      </w:r>
    </w:p>
    <w:p w14:paraId="126416F3" w14:textId="77777777" w:rsidR="003B534E" w:rsidRDefault="003B534E" w:rsidP="003B534E">
      <w:pPr>
        <w:pStyle w:val="Heading3"/>
      </w:pPr>
      <w:r>
        <w:t>11. Conclusions</w:t>
      </w:r>
    </w:p>
    <w:p w14:paraId="24D13083" w14:textId="77777777" w:rsidR="003B534E" w:rsidRDefault="003B534E" w:rsidP="003B534E">
      <w:pPr>
        <w:pStyle w:val="font-claude-response-body"/>
      </w:pPr>
      <w:r>
        <w:t>The spatial epidemiology of agrochemical exposure in North American farming communities tells a story that is consistent enough to be uncomfortable. The populations most intensively exposed to synthetic pesticides—migrant Latinx farmworkers, families living adjacent to agricultural operations, Indigenous communities dependent on subsistence foods, children of women exposed during pregnancy—are precisely those with the least access to regulatory protection, healthcare, or political influence. Their disproportionate burden is not an accident of geography; it is produced by the same structural forces of economic precarity, political marginalisation, and regulatory neglect that characterise disadvantage more broadly.</w:t>
      </w:r>
    </w:p>
    <w:p w14:paraId="083ED478" w14:textId="77777777" w:rsidR="003B534E" w:rsidRDefault="003B534E" w:rsidP="003B534E">
      <w:pPr>
        <w:pStyle w:val="font-claude-response-body"/>
      </w:pPr>
      <w:r>
        <w:t>The health evidence reviewed here is substantial. The neurodevelopmental consequences of prenatal organophosphate exposure, documented independently in the CHAMACOS and CHARGE cohorts and supported by clear mechanistic pathways, are among the most robustly established findings in environmental health science. The association between pesticide exposure and Parkinson's disease is supported by multiple prospective studies and plausible neurotoxic mechanisms. For cancer outcomes—particularly non-Hodgkin lymphoma—the evidence is suggestive but genuinely uncertain, especially regarding glyphosate, where a well-designed null cohort finding sits alongside a meta-analysis of six studies reporting a significant positive association. That uncertainty is itself informative: it reflects the methodological challenges inherent in studying low-level chronic exposures in mobile, heterogeneous, and often administratively invisible populations.</w:t>
      </w:r>
    </w:p>
    <w:p w14:paraId="6D69A445" w14:textId="77777777" w:rsidR="003B534E" w:rsidRDefault="003B534E" w:rsidP="003B534E">
      <w:pPr>
        <w:pStyle w:val="font-claude-response-body"/>
      </w:pPr>
      <w:r>
        <w:t>Spatial epidemiological methods have contributed meaningfully to this field, enabling researchers to characterise where exposures are most concentrated, where disease rates are elevated, and how the two patterns relate spatially. But the field's inferential capacity remains constrained by exposure misclassification, ecological confounding, fragmented pesticide use data, and the persistent difficulty of studying long-latency outcomes in populations that are hard to follow over time. The development of exposome frameworks, high-resolution remote sensing tools, and community-based research partnerships offers real prospects for advancement—but progress will require sustained investment and genuine institutional commitment rather than opportunistic use of newly available data.</w:t>
      </w:r>
    </w:p>
    <w:p w14:paraId="08CFD4C2" w14:textId="77777777" w:rsidR="003B534E" w:rsidRDefault="003B534E" w:rsidP="003B534E">
      <w:pPr>
        <w:pStyle w:val="font-claude-response-body"/>
      </w:pPr>
      <w:r>
        <w:t>The reforms needed are not technically obscure. Better pesticide use reporting, expanded biomonitoring in high-exposure communities, cumulative mixture risk assessment, and regulatory processes statutorily required to account for environmental justice would together constitute a meaningful shift in how agrochemical risks are governed. Whether those reforms materialise depends less on what the science says—that picture is now fairly clear—than on whether the political will can be found to act on it.</w:t>
      </w:r>
    </w:p>
    <w:p w14:paraId="319E3AB6" w14:textId="77777777" w:rsidR="003B534E" w:rsidRDefault="003B534E" w:rsidP="003B534E">
      <w:pPr>
        <w:pStyle w:val="Heading3"/>
      </w:pPr>
      <w:r>
        <w:t>12. Limitations</w:t>
      </w:r>
    </w:p>
    <w:p w14:paraId="1E3F35DB" w14:textId="77777777" w:rsidR="003B534E" w:rsidRDefault="003B534E" w:rsidP="003B534E">
      <w:pPr>
        <w:pStyle w:val="font-claude-response-body"/>
      </w:pPr>
      <w:r>
        <w:t xml:space="preserve">This is a narrative review, and it carries the inherent limitations of that form. The selection of studies reflects judgements about quality and relevance that another reviewer might make differently, and the process is not fully reproducible in the way a systematic review would be. Publication bias—the well-documented tendency for positive findings to reach print more readily than null results—may inflate the apparent consistency of the evidence; deliberate </w:t>
      </w:r>
      <w:r>
        <w:lastRenderedPageBreak/>
        <w:t>inclusion of major null findings from the Agricultural Health Study was intended to counter this, but cannot eliminate the risk.</w:t>
      </w:r>
    </w:p>
    <w:p w14:paraId="7A01CEF3" w14:textId="77777777" w:rsidR="003B534E" w:rsidRDefault="003B534E" w:rsidP="003B534E">
      <w:pPr>
        <w:pStyle w:val="font-claude-response-body"/>
      </w:pPr>
      <w:r>
        <w:t>The geographic scope is limited to the United States and Canada, which means the review does not engage with the considerable literature on agrochemical health effects in Mexico and the Caribbean, where farmworker populations in transboundary labour systems are directly linked to North American agricultural supply chains. The restriction to English-language publications will have excluded some relevant French-language Canadian research and Spanish-language studies addressing communities along the US-Mexico border.</w:t>
      </w:r>
    </w:p>
    <w:p w14:paraId="326D298E" w14:textId="77777777" w:rsidR="003B534E" w:rsidRDefault="003B534E" w:rsidP="003B534E">
      <w:pPr>
        <w:pStyle w:val="font-claude-response-body"/>
      </w:pPr>
      <w:r>
        <w:t>The quality of the studies reviewed varies considerably—from large, long-running prospective cohorts with sophisticated exposure characterisation to smaller case-control studies reliant on retrospective self-report. These differences are acknowledged in the text but are not formally scored through a structured quality assessment, as would be required in a systematic review. Several areas of the evidence base—the glyphosate-cancer question, the chlorpyrifos regulatory situation, and the emerging mixture toxicology literature—remain particularly dynamic, and the positions reflected here may require revision as evidence accumulates. Readers with active professional or policy interests in these areas are encouraged to consult the most recent primary literature and regulatory agency communications rather than treating this review as a substitute for current surveillance.</w:t>
      </w:r>
    </w:p>
    <w:p w14:paraId="41A16020" w14:textId="77777777" w:rsidR="003F0E90" w:rsidRPr="000839CE" w:rsidRDefault="003F0E90" w:rsidP="003F0E90">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6F18709" w14:textId="77777777" w:rsidR="003F0E90" w:rsidRPr="000839CE" w:rsidRDefault="003F0E90" w:rsidP="003F0E90">
      <w:pPr>
        <w:spacing w:after="0" w:line="240" w:lineRule="auto"/>
        <w:rPr>
          <w:rFonts w:ascii="Times New Roman" w:hAnsi="Times New Roman" w:cs="Times New Roman"/>
        </w:rPr>
      </w:pPr>
    </w:p>
    <w:p w14:paraId="5AD6552F" w14:textId="77777777" w:rsidR="003F0E90" w:rsidRPr="000839CE" w:rsidRDefault="003F0E90" w:rsidP="003F0E9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DFE802" w14:textId="77777777" w:rsidR="003B534E" w:rsidRDefault="003B534E" w:rsidP="003B534E"/>
    <w:p w14:paraId="48D449C7" w14:textId="77777777" w:rsidR="003B534E" w:rsidRDefault="003B534E" w:rsidP="003B534E">
      <w:pPr>
        <w:pStyle w:val="Heading3"/>
      </w:pPr>
      <w:r>
        <w:t>References</w:t>
      </w:r>
    </w:p>
    <w:p w14:paraId="131F21DA" w14:textId="77777777" w:rsidR="00646679" w:rsidRDefault="00646679" w:rsidP="00646679">
      <w:pPr>
        <w:pStyle w:val="font-claude-response-body"/>
      </w:pPr>
      <w:proofErr w:type="spellStart"/>
      <w:r>
        <w:t>Alavanja</w:t>
      </w:r>
      <w:proofErr w:type="spellEnd"/>
      <w:r>
        <w:t>, M. C. R., Hoppin, J. A., &amp; Kamel, F. (2004). Health effects of chronic pesticide exposure: Cancer and neurotoxicity. Annual Review of Public Health, 25, 155–197. https://doi.org/10.1146/annurev.publhealth.25.101802.123020</w:t>
      </w:r>
    </w:p>
    <w:p w14:paraId="2C625168" w14:textId="77777777" w:rsidR="00646679" w:rsidRDefault="00646679" w:rsidP="00646679">
      <w:pPr>
        <w:pStyle w:val="font-claude-response-body"/>
      </w:pPr>
      <w:r>
        <w:t xml:space="preserve">Andreotti, G., Koutros, S., Hofmann, J. N., Sandler, D. P., Lubin, J. H., Lynch, C. F., Lerro, C. C., De </w:t>
      </w:r>
      <w:proofErr w:type="spellStart"/>
      <w:r>
        <w:t>Roos</w:t>
      </w:r>
      <w:proofErr w:type="spellEnd"/>
      <w:r>
        <w:t xml:space="preserve">, A. J., Parks, C. G., </w:t>
      </w:r>
      <w:proofErr w:type="spellStart"/>
      <w:r>
        <w:t>Alavanja</w:t>
      </w:r>
      <w:proofErr w:type="spellEnd"/>
      <w:r>
        <w:t>, M. C., Silverman, D. T., &amp; Beane Freeman, L. E. (2018). Glyphosate use and cancer incidence in the Agricultural Health Study. Journal of the National Cancer Institute, 110(5), 509–516. https://doi.org/10.1093/jnci/djx233</w:t>
      </w:r>
    </w:p>
    <w:p w14:paraId="52D9D8DF" w14:textId="77777777" w:rsidR="00646679" w:rsidRDefault="00646679" w:rsidP="00646679">
      <w:pPr>
        <w:pStyle w:val="font-claude-response-body"/>
      </w:pPr>
      <w:proofErr w:type="spellStart"/>
      <w:r>
        <w:t>Arcury</w:t>
      </w:r>
      <w:proofErr w:type="spellEnd"/>
      <w:r>
        <w:t>, T. A., &amp; Quandt, S. A. (2007). Delivery of health services to migrant and seasonal farmworkers. Annual Review of Public Health, 28, 345–363. https://doi.org/10.1146/annurev.publhealth.27.021405.102106</w:t>
      </w:r>
    </w:p>
    <w:p w14:paraId="0A61D7E7" w14:textId="77777777" w:rsidR="00646679" w:rsidRDefault="00646679" w:rsidP="00646679">
      <w:pPr>
        <w:pStyle w:val="font-claude-response-body"/>
      </w:pPr>
      <w:r>
        <w:t xml:space="preserve">Bailey, H. D., Infante-Rivard, C., Metayer, C., Clavel, J., Lightfoot, T., </w:t>
      </w:r>
      <w:proofErr w:type="spellStart"/>
      <w:r>
        <w:t>Kaatsch</w:t>
      </w:r>
      <w:proofErr w:type="spellEnd"/>
      <w:r>
        <w:t xml:space="preserve">, P., Roman, E., Magnani, C., Spector, L. G., Petridou, E., Milne, E., Dockerty, J. D., </w:t>
      </w:r>
      <w:proofErr w:type="spellStart"/>
      <w:r>
        <w:t>Miligi</w:t>
      </w:r>
      <w:proofErr w:type="spellEnd"/>
      <w:r>
        <w:t xml:space="preserve">, L., Armstrong, B. K., </w:t>
      </w:r>
      <w:proofErr w:type="spellStart"/>
      <w:r>
        <w:t>Rudant</w:t>
      </w:r>
      <w:proofErr w:type="spellEnd"/>
      <w:r>
        <w:t xml:space="preserve">, J., Fritschi, L., Simpson, J., Zhang, L., </w:t>
      </w:r>
      <w:proofErr w:type="spellStart"/>
      <w:r>
        <w:t>Rondelli</w:t>
      </w:r>
      <w:proofErr w:type="spellEnd"/>
      <w:r>
        <w:t xml:space="preserve">, R., ... </w:t>
      </w:r>
      <w:proofErr w:type="spellStart"/>
      <w:r>
        <w:t>Schüz</w:t>
      </w:r>
      <w:proofErr w:type="spellEnd"/>
      <w:r>
        <w:t xml:space="preserve">, J. </w:t>
      </w:r>
      <w:r>
        <w:lastRenderedPageBreak/>
        <w:t xml:space="preserve">(2015). Home pesticide exposures and risk of childhood </w:t>
      </w:r>
      <w:proofErr w:type="spellStart"/>
      <w:r>
        <w:t>leukemia</w:t>
      </w:r>
      <w:proofErr w:type="spellEnd"/>
      <w:r>
        <w:t xml:space="preserve">: Findings from the Childhood </w:t>
      </w:r>
      <w:proofErr w:type="spellStart"/>
      <w:r>
        <w:t>Leukemia</w:t>
      </w:r>
      <w:proofErr w:type="spellEnd"/>
      <w:r>
        <w:t xml:space="preserve"> International Consortium. International Journal of Cancer, 137(11), 2644–2663. https://doi.org/10.1002/ijc.29631</w:t>
      </w:r>
    </w:p>
    <w:p w14:paraId="66A47A2E" w14:textId="77777777" w:rsidR="00646679" w:rsidRDefault="00646679" w:rsidP="00646679">
      <w:pPr>
        <w:pStyle w:val="font-claude-response-body"/>
      </w:pPr>
      <w:r>
        <w:t xml:space="preserve">Barr, D. B., Bravo, R., </w:t>
      </w:r>
      <w:proofErr w:type="spellStart"/>
      <w:r>
        <w:t>Weerasekera</w:t>
      </w:r>
      <w:proofErr w:type="spellEnd"/>
      <w:r>
        <w:t xml:space="preserve">, G., Caltabiano, L. M., Whitehead, R. D., Jr., Olsson, A. O., Caudill, S. P., Schober, S. E., Pirkle, J. L., Sampson, E. J., Jackson, R. J., &amp; Needham, L. L. (2004). Concentrations of </w:t>
      </w:r>
      <w:proofErr w:type="spellStart"/>
      <w:r>
        <w:t>dialkyl</w:t>
      </w:r>
      <w:proofErr w:type="spellEnd"/>
      <w:r>
        <w:t xml:space="preserve"> phosphate metabolites of organophosphorus pesticides in the U.S. population. Environmental Health Perspectives, 112(2), 186–200. https://doi.org/10.1289/ehp.6503</w:t>
      </w:r>
    </w:p>
    <w:p w14:paraId="4EF01891" w14:textId="77777777" w:rsidR="00646679" w:rsidRDefault="00646679" w:rsidP="00646679">
      <w:pPr>
        <w:pStyle w:val="font-claude-response-body"/>
      </w:pPr>
      <w:r>
        <w:t xml:space="preserve">Beard, J. D., Umbach, D. M., Hoppin, J. A., Richards, M., </w:t>
      </w:r>
      <w:proofErr w:type="spellStart"/>
      <w:r>
        <w:t>Alavanja</w:t>
      </w:r>
      <w:proofErr w:type="spellEnd"/>
      <w:r>
        <w:t>, M. C. R., Blair, A., Sandler, D. P., &amp; Kamel, F. (2014). Pesticide exposure and depression among male private pesticide applicators in the Agricultural Health Study. Environmental Health Perspectives, 122(9), 984–991. https://doi.org/10.1289/ehp.1307450</w:t>
      </w:r>
    </w:p>
    <w:p w14:paraId="6BEB550E" w14:textId="77777777" w:rsidR="00646679" w:rsidRDefault="00646679" w:rsidP="00646679">
      <w:pPr>
        <w:pStyle w:val="font-claude-response-body"/>
      </w:pPr>
      <w:r>
        <w:t>Benbrook, C. M. (2016). Trends in glyphosate herbicide use in the United States and globally. Environmental Sciences Europe, 28, Article 3. https://doi.org/10.1186/s12302-016-0070-0</w:t>
      </w:r>
    </w:p>
    <w:p w14:paraId="3E2AE6E2" w14:textId="77777777" w:rsidR="00646679" w:rsidRDefault="00646679" w:rsidP="00646679">
      <w:pPr>
        <w:pStyle w:val="font-claude-response-body"/>
      </w:pPr>
      <w:r>
        <w:t xml:space="preserve">Benbrook, C., Perry, M. J., </w:t>
      </w:r>
      <w:proofErr w:type="spellStart"/>
      <w:r>
        <w:t>Belpoggi</w:t>
      </w:r>
      <w:proofErr w:type="spellEnd"/>
      <w:r>
        <w:t xml:space="preserve">, F., Landrigan, P. J., Perro, M., </w:t>
      </w:r>
      <w:proofErr w:type="spellStart"/>
      <w:r>
        <w:t>Mandrioli</w:t>
      </w:r>
      <w:proofErr w:type="spellEnd"/>
      <w:r>
        <w:t xml:space="preserve">, D., Antoniou, M. N., Winchester, P., &amp; </w:t>
      </w:r>
      <w:proofErr w:type="spellStart"/>
      <w:r>
        <w:t>Mesnage</w:t>
      </w:r>
      <w:proofErr w:type="spellEnd"/>
      <w:r>
        <w:t xml:space="preserve">, R. (2021). Commentary: Novel strategies and new tools to curtail the health effects of pesticides. Environmental Health, 20, Article 87. https://doi.org/10.1186/s12940-021-00773-4 </w:t>
      </w:r>
    </w:p>
    <w:p w14:paraId="0EE83C0E" w14:textId="77777777" w:rsidR="00646679" w:rsidRDefault="00646679" w:rsidP="00646679">
      <w:pPr>
        <w:pStyle w:val="font-claude-response-body"/>
      </w:pPr>
      <w:r>
        <w:t xml:space="preserve">Bonner, M. R., &amp; </w:t>
      </w:r>
      <w:proofErr w:type="spellStart"/>
      <w:r>
        <w:t>Alavanja</w:t>
      </w:r>
      <w:proofErr w:type="spellEnd"/>
      <w:r>
        <w:t xml:space="preserve">, M. C. R. (2017). Pesticides, human health, and food security. Food and Energy Security, 6(3), 89–93. https://doi.org/10.1002/fes3.112 </w:t>
      </w:r>
    </w:p>
    <w:p w14:paraId="7E54914A" w14:textId="77777777" w:rsidR="00646679" w:rsidRDefault="00646679" w:rsidP="00646679">
      <w:pPr>
        <w:pStyle w:val="font-claude-response-body"/>
      </w:pPr>
      <w:r>
        <w:t xml:space="preserve">Bouchard, M. F., Chevrier, J., Harley, K. G., Kogut, K., </w:t>
      </w:r>
      <w:proofErr w:type="spellStart"/>
      <w:r>
        <w:t>Vedar</w:t>
      </w:r>
      <w:proofErr w:type="spellEnd"/>
      <w:r>
        <w:t>, M., Calderon, N., Trujillo, C., Johnson, C., Bradman, A., Barr, D. B., &amp; Eskenazi, B. (2011). Prenatal exposure to organophosphate pesticides and IQ in 7-year-old children. Environmental Health Perspectives, 119(8), 1189–1195. https://doi.org/10.1289/ehp.1003185</w:t>
      </w:r>
    </w:p>
    <w:p w14:paraId="0D56CA88" w14:textId="77777777" w:rsidR="00646679" w:rsidRDefault="00646679" w:rsidP="00646679">
      <w:pPr>
        <w:pStyle w:val="font-claude-response-body"/>
      </w:pPr>
      <w:r>
        <w:t>Braun, J. M., Gennings, C., Hauser, R., &amp; Webster, T. F. (2016). What can epidemiological studies tell us about the impact of chemical mixtures on human health? Environmental Health Perspectives, 124(1), A6–A9. https://doi.org/10.1289/ehp.1510569</w:t>
      </w:r>
    </w:p>
    <w:p w14:paraId="55A4869E" w14:textId="77777777" w:rsidR="00646679" w:rsidRDefault="00646679" w:rsidP="00646679">
      <w:pPr>
        <w:pStyle w:val="font-claude-response-body"/>
      </w:pPr>
      <w:proofErr w:type="spellStart"/>
      <w:r>
        <w:t>Bretveld</w:t>
      </w:r>
      <w:proofErr w:type="spellEnd"/>
      <w:r>
        <w:t xml:space="preserve">, R. W., Thomas, C. M. G., Scheepers, P. T. J., </w:t>
      </w:r>
      <w:proofErr w:type="spellStart"/>
      <w:r>
        <w:t>Zielhuis</w:t>
      </w:r>
      <w:proofErr w:type="spellEnd"/>
      <w:r>
        <w:t xml:space="preserve">, G. A., &amp; </w:t>
      </w:r>
      <w:proofErr w:type="spellStart"/>
      <w:r>
        <w:t>Roeleveld</w:t>
      </w:r>
      <w:proofErr w:type="spellEnd"/>
      <w:r>
        <w:t>, N. (2006). Pesticide exposure: The hormonal function of the female reproductive system disrupted? Reproductive Biology and Endocrinology, 4, Article 30. https://doi.org/10.1186/1477-7827-4-30</w:t>
      </w:r>
    </w:p>
    <w:p w14:paraId="23CD329E" w14:textId="77777777" w:rsidR="00646679" w:rsidRDefault="00646679" w:rsidP="00646679">
      <w:pPr>
        <w:pStyle w:val="font-claude-response-body"/>
      </w:pPr>
      <w:r>
        <w:t>Curl, C. L., Spivak, M., Phinney, R., &amp; Montrose, L. (2020). Synthetic pesticides and health in vulnerable populations: Agricultural workers. Current Environmental Health Reports, 7(1), 13–29. https://doi.org/10.1007/s40572-020-00266-5</w:t>
      </w:r>
    </w:p>
    <w:p w14:paraId="121B9B5D" w14:textId="77777777" w:rsidR="00646679" w:rsidRDefault="00646679" w:rsidP="00646679">
      <w:pPr>
        <w:pStyle w:val="font-claude-response-body"/>
      </w:pPr>
      <w:r>
        <w:t xml:space="preserve">Deziel, N. C., Friesen, M. C., Hoppin, J. A., Hines, C. J., Thomas, K., &amp; Beane Freeman, L. E. (2015). A review of nonoccupational pathways for pesticide exposure in women living in agricultural areas. Environmental Health Perspectives, 123(6), 515–524. https://doi.org/10.1289/ehp.1408273 </w:t>
      </w:r>
    </w:p>
    <w:p w14:paraId="4823E898" w14:textId="77777777" w:rsidR="00646679" w:rsidRDefault="00646679" w:rsidP="00646679">
      <w:pPr>
        <w:pStyle w:val="font-claude-response-body"/>
      </w:pPr>
      <w:r>
        <w:lastRenderedPageBreak/>
        <w:t>Elliott, P., &amp; Wartenberg, D. (2004). Spatial epidemiology: Current approaches and future challenges. Environmental Health Perspectives, 112(9), 998–1006. https://doi.org/10.1289/ehp.6735</w:t>
      </w:r>
    </w:p>
    <w:p w14:paraId="249EF6B2" w14:textId="77777777" w:rsidR="00646679" w:rsidRDefault="00646679" w:rsidP="00646679">
      <w:pPr>
        <w:pStyle w:val="font-claude-response-body"/>
      </w:pPr>
      <w:r>
        <w:t xml:space="preserve">Engel, L. S., Werder, E., </w:t>
      </w:r>
      <w:proofErr w:type="spellStart"/>
      <w:r>
        <w:t>Satagopan</w:t>
      </w:r>
      <w:proofErr w:type="spellEnd"/>
      <w:r>
        <w:t xml:space="preserve">, J., Blair, A., Hoppin, J. A., Koutros, S., Lerro, C. C., Sandler, D. P., </w:t>
      </w:r>
      <w:proofErr w:type="spellStart"/>
      <w:r>
        <w:t>Alavanja</w:t>
      </w:r>
      <w:proofErr w:type="spellEnd"/>
      <w:r>
        <w:t>, M. C., &amp; Beane Freeman, L. E. (2017). Insecticide use and breast cancer risk among farmers’ wives in the Agricultural Health Study. Environmental Health Perspectives, 125(9), 097002. https://doi.org/10.1289/EHP1295</w:t>
      </w:r>
    </w:p>
    <w:p w14:paraId="016ADE97" w14:textId="77777777" w:rsidR="00646679" w:rsidRDefault="00646679" w:rsidP="00646679">
      <w:pPr>
        <w:pStyle w:val="font-claude-response-body"/>
      </w:pPr>
      <w:r>
        <w:t>Eskenazi, B., Huen, K., Marks, A., Harley, K. G., Bradman, A., Barr, D. B., &amp; Holland, N. (2010). PON1 and neurodevelopment in children from the CHAMACOS Study exposed to organophosphate pesticides in utero. Environmental Health Perspectives, 118(12), 1775–1781. https://doi.org/10.1289/ehp.1002234</w:t>
      </w:r>
    </w:p>
    <w:p w14:paraId="7BE9E4C0" w14:textId="77777777" w:rsidR="00646679" w:rsidRDefault="00646679" w:rsidP="00646679">
      <w:pPr>
        <w:pStyle w:val="font-claude-response-body"/>
      </w:pPr>
      <w:r>
        <w:t xml:space="preserve">Eskenazi, B., Marks, A. R., Bradman, A., Harley, K., Barr, D. B., Johnson, C., Morga, N., &amp; Jewell, N. P. (2007). Organophosphate pesticide exposure and neurodevelopment in young Mexican-American children. Environmental Health Perspectives, 115(5), 792–798. https://doi.org/10.1289/ehp.9828 </w:t>
      </w:r>
    </w:p>
    <w:p w14:paraId="56F985CC" w14:textId="77777777" w:rsidR="00646679" w:rsidRDefault="00646679" w:rsidP="00646679">
      <w:pPr>
        <w:pStyle w:val="font-claude-response-body"/>
      </w:pPr>
      <w:r>
        <w:t xml:space="preserve">Gangemi, S., Gofita, E., Costa, C., Teodoro, M., Briguglio, G., Nikitovic, D., Tzanakakis, G., Tsatsakis, A. M., Wilks, M. F., Spandidos, D. A., &amp; </w:t>
      </w:r>
      <w:proofErr w:type="spellStart"/>
      <w:r>
        <w:t>Fenga</w:t>
      </w:r>
      <w:proofErr w:type="spellEnd"/>
      <w:r>
        <w:t>, C. (2016). Occupational and environmental exposure to pesticides and cytokine pathways in chronic diseases: Review. International Journal of Molecular Medicine, 38(4), 1012–1020. https://doi.org/10.3892/ijmm.2016.2728</w:t>
      </w:r>
    </w:p>
    <w:p w14:paraId="3D8EC5A4" w14:textId="77777777" w:rsidR="00646679" w:rsidRDefault="00646679" w:rsidP="00646679">
      <w:pPr>
        <w:pStyle w:val="font-claude-response-body"/>
      </w:pPr>
      <w:r>
        <w:t xml:space="preserve">Gore, A. C., Chappell, V. A., Fenton, S. E., Flaws, J. A., Nadal, A., Prins, G. S., </w:t>
      </w:r>
      <w:proofErr w:type="spellStart"/>
      <w:r>
        <w:t>Toppari</w:t>
      </w:r>
      <w:proofErr w:type="spellEnd"/>
      <w:r>
        <w:t>, J., &amp; Zoeller, R. T. (2015). EDC-2: The Endocrine Society’s second scientific statement on endocrine-disrupting chemicals. Endocrine Reviews, 36(6), E1–E150. https://doi.org/10.1210/er.2015-1010</w:t>
      </w:r>
    </w:p>
    <w:p w14:paraId="2940F8F3" w14:textId="77777777" w:rsidR="00646679" w:rsidRDefault="00646679" w:rsidP="00646679">
      <w:pPr>
        <w:pStyle w:val="font-claude-response-body"/>
      </w:pPr>
      <w:proofErr w:type="spellStart"/>
      <w:r>
        <w:t>Gunier</w:t>
      </w:r>
      <w:proofErr w:type="spellEnd"/>
      <w:r>
        <w:t xml:space="preserve">, R. B., Bradman, A., Harley, K. G., Kogut, K., &amp; Eskenazi, B. (2017). Prenatal residential proximity to agricultural pesticide </w:t>
      </w:r>
      <w:proofErr w:type="gramStart"/>
      <w:r>
        <w:t>use</w:t>
      </w:r>
      <w:proofErr w:type="gramEnd"/>
      <w:r>
        <w:t xml:space="preserve"> and IQ in 7-year-old children. Environmental Health Perspectives, 125(5), 057002. https://doi.org/10.1289/EHP546</w:t>
      </w:r>
    </w:p>
    <w:p w14:paraId="3C9B49FC" w14:textId="77777777" w:rsidR="00646679" w:rsidRDefault="00646679" w:rsidP="00646679">
      <w:pPr>
        <w:pStyle w:val="font-claude-response-body"/>
      </w:pPr>
      <w:r>
        <w:t>Hamra, G. B., &amp; Buckley, J. P. (2018). Environmental exposure mixtures: Questions and methods to address them. Current Epidemiology Reports, 5(2), 160–165. https://doi.org/10.1007/s40471-018-0145-0</w:t>
      </w:r>
    </w:p>
    <w:p w14:paraId="2C721BDE" w14:textId="77777777" w:rsidR="00646679" w:rsidRDefault="00646679" w:rsidP="00646679">
      <w:pPr>
        <w:pStyle w:val="font-claude-response-body"/>
      </w:pPr>
      <w:r>
        <w:t xml:space="preserve">Hoover, E. (2016). “We’re not going to be guinea pigs”: Citizen science and environmental health in a Native American community. Journal of Science Communication, 15(1), A05. https://doi.org/10.22323/2.15010205 </w:t>
      </w:r>
    </w:p>
    <w:p w14:paraId="30A3ECE4" w14:textId="77777777" w:rsidR="00646679" w:rsidRDefault="00646679" w:rsidP="00646679">
      <w:pPr>
        <w:pStyle w:val="font-claude-response-body"/>
      </w:pPr>
      <w:r>
        <w:t xml:space="preserve">Hoppin, J. A., Umbach, D. M., Long, S., London, S. J., Henneberger, P. K., Blair, A., </w:t>
      </w:r>
      <w:proofErr w:type="spellStart"/>
      <w:r>
        <w:t>Alavanja</w:t>
      </w:r>
      <w:proofErr w:type="spellEnd"/>
      <w:r>
        <w:t xml:space="preserve">, M., Beane Freeman, L. E., &amp; Sandler, D. P. (2017). Pesticides are associated with allergic and non-allergic wheeze among male farmers. Environmental Health Perspectives, 125(4), 535–543. https://doi.org/10.1289/EHP315 </w:t>
      </w:r>
    </w:p>
    <w:p w14:paraId="1BC3A71E" w14:textId="77777777" w:rsidR="00646679" w:rsidRDefault="00646679" w:rsidP="00646679">
      <w:pPr>
        <w:pStyle w:val="font-claude-response-body"/>
      </w:pPr>
      <w:r>
        <w:t>International Agency for Research on Cancer. (2017). Some organophosphate insecticides and herbicides (IARC Monographs on the Evaluation of Carcinogenic Risks to Humans, Vol. 112). IARC. https://publications.iarc.who.int/Book-And-Report-Series/Iarc-Monographs-On-</w:t>
      </w:r>
      <w:r>
        <w:lastRenderedPageBreak/>
        <w:t xml:space="preserve">The-Identification-Of-Carcinogenic-Hazards-To-Humans/Some-Organophosphate-Insecticides-And-Herbicides-2017 </w:t>
      </w:r>
    </w:p>
    <w:p w14:paraId="3BEEFDE5" w14:textId="77777777" w:rsidR="00646679" w:rsidRDefault="00646679" w:rsidP="00646679">
      <w:pPr>
        <w:pStyle w:val="font-claude-response-body"/>
      </w:pPr>
      <w:r>
        <w:t>Jacquez, G. M. (2004). Current practices in the spatial analysis of cancer: Flies in the ointment. International Journal of Health Geographics, 3, Article 22. https://doi.org/10.1186/1476-072X-3-22</w:t>
      </w:r>
    </w:p>
    <w:p w14:paraId="5A8F056B" w14:textId="77777777" w:rsidR="00646679" w:rsidRDefault="00646679" w:rsidP="00646679">
      <w:pPr>
        <w:pStyle w:val="font-claude-response-body"/>
      </w:pPr>
      <w:r>
        <w:t>Kamel, F., &amp; Hoppin, J. A. (2004). Association of pesticide exposure with neurologic dysfunction and disease. Environmental Health Perspectives, 112(9), 950–958. https://doi.org/10.1289/ehp.7135</w:t>
      </w:r>
    </w:p>
    <w:p w14:paraId="3BCFC1CC" w14:textId="77777777" w:rsidR="00646679" w:rsidRDefault="00646679" w:rsidP="00646679">
      <w:pPr>
        <w:pStyle w:val="font-claude-response-body"/>
      </w:pPr>
      <w:r>
        <w:t>Kim, K.-H., Kabir, E., &amp; Jahan, S. A. (2017). Exposure to pesticides and the associated human health effects. Science of the Total Environment, 575, 525–535. https://doi.org/10.1016/j.scitotenv.2016.09.009</w:t>
      </w:r>
    </w:p>
    <w:p w14:paraId="2C4A867A" w14:textId="77777777" w:rsidR="00646679" w:rsidRDefault="00646679" w:rsidP="00646679">
      <w:pPr>
        <w:pStyle w:val="font-claude-response-body"/>
      </w:pPr>
      <w:r>
        <w:t>Kulldorff, M. (1997). A spatial scan statistic. Communications in Statistics—Theory and Methods, 26(6), 1481–1496. https://doi.org/10.1080/03610929708831995</w:t>
      </w:r>
    </w:p>
    <w:p w14:paraId="4215C838" w14:textId="77777777" w:rsidR="00646679" w:rsidRDefault="00646679" w:rsidP="00646679">
      <w:pPr>
        <w:pStyle w:val="font-claude-response-body"/>
      </w:pPr>
      <w:r>
        <w:t xml:space="preserve">Larsen, A. E., Gaines, S. D., &amp; </w:t>
      </w:r>
      <w:proofErr w:type="spellStart"/>
      <w:r>
        <w:t>Deschênes</w:t>
      </w:r>
      <w:proofErr w:type="spellEnd"/>
      <w:r>
        <w:t xml:space="preserve">, O. (2017). Agricultural pesticide </w:t>
      </w:r>
      <w:proofErr w:type="gramStart"/>
      <w:r>
        <w:t>use</w:t>
      </w:r>
      <w:proofErr w:type="gramEnd"/>
      <w:r>
        <w:t xml:space="preserve"> and adverse birth outcomes in the San Joaquin Valley of California. Nature Communications, 8, Article 302. https://doi.org/10.1038/s41467-017-00349-2</w:t>
      </w:r>
    </w:p>
    <w:p w14:paraId="58AED446" w14:textId="77777777" w:rsidR="00646679" w:rsidRDefault="00646679" w:rsidP="00646679">
      <w:pPr>
        <w:pStyle w:val="font-claude-response-body"/>
      </w:pPr>
      <w:r>
        <w:t xml:space="preserve">Leon, M. E., Schinasi, L. H., </w:t>
      </w:r>
      <w:proofErr w:type="spellStart"/>
      <w:r>
        <w:t>Lebailly</w:t>
      </w:r>
      <w:proofErr w:type="spellEnd"/>
      <w:r>
        <w:t xml:space="preserve">, P., Beane Freeman, L. E., Nordby, K.-C., Ferro, G., Monnereau, A., Brouwer, M., Tual, S., Baldi, I., </w:t>
      </w:r>
      <w:proofErr w:type="spellStart"/>
      <w:r>
        <w:t>Kjaerheim</w:t>
      </w:r>
      <w:proofErr w:type="spellEnd"/>
      <w:r>
        <w:t xml:space="preserve">, K., Hofmann, J. N., Kristensen, P., Koutros, S., Straif, K., Kromhout, H., &amp; </w:t>
      </w:r>
      <w:proofErr w:type="spellStart"/>
      <w:r>
        <w:t>Schüz</w:t>
      </w:r>
      <w:proofErr w:type="spellEnd"/>
      <w:r>
        <w:t>, J. (2019). Pesticide use and risk of non-Hodgkin lymphoid malignancies in agricultural cohorts from France, Norway and the USA: A pooled analysis from the AGRICOH consortium. International Journal of Epidemiology, 48(5), 1519–1535. https://doi.org/10.1093/ije/dyz017</w:t>
      </w:r>
    </w:p>
    <w:p w14:paraId="461269A8" w14:textId="77777777" w:rsidR="00646679" w:rsidRDefault="00646679" w:rsidP="00646679">
      <w:pPr>
        <w:pStyle w:val="font-claude-response-body"/>
      </w:pPr>
      <w:r>
        <w:t xml:space="preserve">Lerro, C. C., Koutros, S., Andreotti, G., Friesen, M. C., </w:t>
      </w:r>
      <w:proofErr w:type="spellStart"/>
      <w:r>
        <w:t>Alavanja</w:t>
      </w:r>
      <w:proofErr w:type="spellEnd"/>
      <w:r>
        <w:t xml:space="preserve">, M. C. R., Blair, A., Hoppin, J. A., Sandler, D. P., Lubin, J. H., Ma, X., Zhang, Y., &amp; Beane Freeman, L. E. (2015). Organophosphate insecticide </w:t>
      </w:r>
      <w:proofErr w:type="gramStart"/>
      <w:r>
        <w:t>use</w:t>
      </w:r>
      <w:proofErr w:type="gramEnd"/>
      <w:r>
        <w:t xml:space="preserve"> and cancer incidence among spouses of pesticide applicators in the Agricultural Health Study. Occupational and Environmental Medicine, 72(10), 736–744. https://doi.org/10.1136/oemed-2014-102798</w:t>
      </w:r>
    </w:p>
    <w:p w14:paraId="4B6C1EE8" w14:textId="77777777" w:rsidR="00646679" w:rsidRDefault="00646679" w:rsidP="00646679">
      <w:pPr>
        <w:pStyle w:val="font-claude-response-body"/>
      </w:pPr>
      <w:proofErr w:type="spellStart"/>
      <w:r>
        <w:t>Mesnage</w:t>
      </w:r>
      <w:proofErr w:type="spellEnd"/>
      <w:r>
        <w:t>, R., &amp; Antoniou, M. N. (2017). Facts and fallacies in the debate on glyphosate toxicity. Frontiers in Public Health, 5, Article 316. https://doi.org/10.3389/fpubh.2017.00316</w:t>
      </w:r>
    </w:p>
    <w:p w14:paraId="0DEA920F" w14:textId="77777777" w:rsidR="00646679" w:rsidRDefault="00646679" w:rsidP="00646679">
      <w:pPr>
        <w:pStyle w:val="font-claude-response-body"/>
      </w:pPr>
      <w:r>
        <w:t>Morello-Frosch, R., &amp; Shenassa, E. D. (2006). The environmental “</w:t>
      </w:r>
      <w:proofErr w:type="spellStart"/>
      <w:r>
        <w:t>riskscape</w:t>
      </w:r>
      <w:proofErr w:type="spellEnd"/>
      <w:r>
        <w:t>” and social inequality: Implications for explaining maternal and child health disparities. Environmental Health Perspectives, 114(8), 1150–1153. https://doi.org/10.1289/ehp.8930</w:t>
      </w:r>
    </w:p>
    <w:p w14:paraId="7AF212E0" w14:textId="77777777" w:rsidR="00646679" w:rsidRDefault="00646679" w:rsidP="00646679">
      <w:pPr>
        <w:pStyle w:val="font-claude-response-body"/>
      </w:pPr>
      <w:r>
        <w:t>Mostafalou, S., &amp; Abdollahi, M. (2017). Pesticides: An update of human exposure and toxicity. Archives of Toxicology, 91(2), 549–599. https://doi.org/10.1007/s00204-016-1849-x</w:t>
      </w:r>
    </w:p>
    <w:p w14:paraId="33CB1BE1" w14:textId="77777777" w:rsidR="00646679" w:rsidRDefault="00646679" w:rsidP="00646679">
      <w:pPr>
        <w:pStyle w:val="font-claude-response-body"/>
      </w:pPr>
      <w:r>
        <w:t>Muñoz-Quezada, M. T., Lucero, B. A., Barr, D. B., Steenland, K., Levy, K., Ryan, P. B., Iglesias, V., Alvarado, S., Concha, C., Rojas, E., &amp; Vega, C. (2013). Neurodevelopmental effects in children associated with exposure to organophosphate pesticides: A systematic review. Neurotoxicology, 39, 158–168. https://doi.org/10.1016/j.neuro.2013.09.003</w:t>
      </w:r>
    </w:p>
    <w:p w14:paraId="11F94E00" w14:textId="77777777" w:rsidR="00646679" w:rsidRDefault="00646679" w:rsidP="00646679">
      <w:pPr>
        <w:pStyle w:val="font-claude-response-body"/>
      </w:pPr>
      <w:r>
        <w:lastRenderedPageBreak/>
        <w:t xml:space="preserve">Nuckols, J. R., Ward, M. H., &amp; </w:t>
      </w:r>
      <w:proofErr w:type="spellStart"/>
      <w:r>
        <w:t>Järup</w:t>
      </w:r>
      <w:proofErr w:type="spellEnd"/>
      <w:r>
        <w:t>, L. (2004). Using geographic information systems for exposure assessment in environmental epidemiology studies. Environmental Health Perspectives, 112(9), 1007–1015. https://doi.org/10.1289/ehp.6738</w:t>
      </w:r>
    </w:p>
    <w:p w14:paraId="2431FF83" w14:textId="77777777" w:rsidR="00646679" w:rsidRDefault="00646679" w:rsidP="00646679">
      <w:pPr>
        <w:pStyle w:val="font-claude-response-body"/>
      </w:pPr>
      <w:r>
        <w:t>Pulido, L. (2017). Geographies of race and ethnicity II: Environmental racism, racial capitalism and state-sanctioned violence. Progress in Human Geography, 41(4), 524–533. https://doi.org/10.1177/0309132516646495</w:t>
      </w:r>
    </w:p>
    <w:p w14:paraId="2D241032" w14:textId="77777777" w:rsidR="00646679" w:rsidRDefault="00646679" w:rsidP="00646679">
      <w:pPr>
        <w:pStyle w:val="font-claude-response-body"/>
      </w:pPr>
      <w:r>
        <w:t xml:space="preserve">Quandt, S. A., </w:t>
      </w:r>
      <w:proofErr w:type="spellStart"/>
      <w:r>
        <w:t>Arcury</w:t>
      </w:r>
      <w:proofErr w:type="spellEnd"/>
      <w:r>
        <w:t xml:space="preserve">, T. A., Austin, C. K., &amp; Saavedra, R. M. (1998). Farmworker and farmer perceptions of farmworker agricultural chemical exposure in North Carolina. Human Organization, 57(3), 359–368. https://doi.org/10.17730/humo.57.3.n26161776pgg7371 </w:t>
      </w:r>
    </w:p>
    <w:p w14:paraId="5B8E0C34" w14:textId="77777777" w:rsidR="00646679" w:rsidRDefault="00646679" w:rsidP="00646679">
      <w:pPr>
        <w:pStyle w:val="font-claude-response-body"/>
      </w:pPr>
      <w:r>
        <w:t xml:space="preserve">Ruiz, D., Becerra, M., </w:t>
      </w:r>
      <w:proofErr w:type="spellStart"/>
      <w:r>
        <w:t>Jagai</w:t>
      </w:r>
      <w:proofErr w:type="spellEnd"/>
      <w:r>
        <w:t>, J. S., Ard, K., &amp; Sargis, R. M. (2018). Disparities in environmental exposures to endocrine-disrupting chemicals and diabetes risk in vulnerable populations. Diabetes Care, 41(1), 193–205. https://doi.org/10.2337/dc16-2765</w:t>
      </w:r>
    </w:p>
    <w:p w14:paraId="73771003" w14:textId="77777777" w:rsidR="00646679" w:rsidRDefault="00646679" w:rsidP="00646679">
      <w:pPr>
        <w:pStyle w:val="font-claude-response-body"/>
      </w:pPr>
      <w:proofErr w:type="spellStart"/>
      <w:r>
        <w:t>Sabarwal</w:t>
      </w:r>
      <w:proofErr w:type="spellEnd"/>
      <w:r>
        <w:t>, A., Kumar, K., &amp; Singh, R. P. (2018). Hazardous effects of chemical pesticides on human health—Cancer and other associated disorders. Environmental Toxicology and Pharmacology, 63, 103–114. https://doi.org/10.1016/j.etap.2018.08.018</w:t>
      </w:r>
    </w:p>
    <w:p w14:paraId="39AE3D39" w14:textId="77777777" w:rsidR="00646679" w:rsidRDefault="00646679" w:rsidP="00646679">
      <w:pPr>
        <w:pStyle w:val="font-claude-response-body"/>
      </w:pPr>
      <w:proofErr w:type="spellStart"/>
      <w:r>
        <w:t>Sapbamrer</w:t>
      </w:r>
      <w:proofErr w:type="spellEnd"/>
      <w:r>
        <w:t xml:space="preserve">, R., &amp; </w:t>
      </w:r>
      <w:proofErr w:type="spellStart"/>
      <w:r>
        <w:t>Hongsibsong</w:t>
      </w:r>
      <w:proofErr w:type="spellEnd"/>
      <w:r>
        <w:t>, S. (2019). Effects of prenatal and postnatal exposure to organophosphate pesticides on child neurodevelopment in different age groups: A systematic review. Environmental Science and Pollution Research, 26(18), 18267–18290. https://doi.org/10.1007/s11356-019-05126-w</w:t>
      </w:r>
    </w:p>
    <w:p w14:paraId="6C6F908A" w14:textId="77777777" w:rsidR="00646679" w:rsidRDefault="00646679" w:rsidP="00646679">
      <w:pPr>
        <w:pStyle w:val="font-claude-response-body"/>
      </w:pPr>
      <w:r>
        <w:t>Schinasi, L., &amp; Leon, M. E. (2014). Non-Hodgkin lymphoma and occupational exposure to agricultural pesticide chemical classes and active ingredients: A systematic review and meta-analysis. International Journal of Environmental Research and Public Health, 11(4), 4449–4527. https://doi.org/10.3390/ijerph110404449</w:t>
      </w:r>
    </w:p>
    <w:p w14:paraId="0F09005D" w14:textId="77777777" w:rsidR="00646679" w:rsidRDefault="00646679" w:rsidP="00646679">
      <w:pPr>
        <w:pStyle w:val="font-claude-response-body"/>
      </w:pPr>
      <w:r>
        <w:t>Shelton, J. F., Geraghty, E. M., Tancredi, D. J., Delwiche, L. D., Schmidt, R. J., Ritz, B., Hansen, R. L., &amp; Hertz-Picciotto, I. (2014). Neurodevelopmental disorders and prenatal residential proximity to agricultural pesticides: The CHARGE Study. Environmental Health Perspectives, 122(10), 1103–1109. https://doi.org/10.1289/ehp.1307044</w:t>
      </w:r>
    </w:p>
    <w:p w14:paraId="675F9792" w14:textId="77777777" w:rsidR="00646679" w:rsidRDefault="00646679" w:rsidP="00646679">
      <w:pPr>
        <w:pStyle w:val="font-claude-response-body"/>
      </w:pPr>
      <w:proofErr w:type="spellStart"/>
      <w:r>
        <w:t>Siddaway</w:t>
      </w:r>
      <w:proofErr w:type="spellEnd"/>
      <w:r>
        <w:t>, A. P., Wood, A. M., &amp; Hedges, L. V. (2019). How to do a systematic review: A best practice guide for conducting and reporting narrative reviews, meta-analyses, and meta-syntheses. Annual Review of Psychology, 70, 747–770. https://doi.org/10.1146/annurev-psych-010418-102803</w:t>
      </w:r>
    </w:p>
    <w:p w14:paraId="5946A72F" w14:textId="77777777" w:rsidR="00646679" w:rsidRDefault="00646679" w:rsidP="00646679">
      <w:pPr>
        <w:pStyle w:val="font-claude-response-body"/>
      </w:pPr>
      <w:proofErr w:type="spellStart"/>
      <w:r>
        <w:t>Trasande</w:t>
      </w:r>
      <w:proofErr w:type="spellEnd"/>
      <w:r>
        <w:t xml:space="preserve">, L., Zoeller, R. T., Hass, U., </w:t>
      </w:r>
      <w:proofErr w:type="spellStart"/>
      <w:r>
        <w:t>Kortenkamp</w:t>
      </w:r>
      <w:proofErr w:type="spellEnd"/>
      <w:r>
        <w:t xml:space="preserve">, A., Grandjean, P., Myers, J. P., DiGangi, J., Bellanger, M., Hauser, R., Legler, J., </w:t>
      </w:r>
      <w:proofErr w:type="spellStart"/>
      <w:r>
        <w:t>Skakkebaek</w:t>
      </w:r>
      <w:proofErr w:type="spellEnd"/>
      <w:r>
        <w:t xml:space="preserve">, N. E., &amp; Heindel, J. J. (2015). Estimating burden and disease costs of exposure to endocrine-disrupting chemicals in the European Union. The Journal of Clinical Endocrinology &amp; Metabolism, 100(4), 1245–1255. https://doi.org/10.1210/jc.2014-4324 </w:t>
      </w:r>
    </w:p>
    <w:p w14:paraId="0688AC8A" w14:textId="77777777" w:rsidR="00646679" w:rsidRDefault="00646679" w:rsidP="00646679">
      <w:pPr>
        <w:pStyle w:val="font-claude-response-body"/>
      </w:pPr>
      <w:r>
        <w:t xml:space="preserve">United States Environmental Protection Agency. (2017). Pesticides industry sales and usage: 2008–2012 market estimates. https://www.epa.gov/sites/production/files/2017-01/documents/pesticides-industry-sales-usage-2016_0.pdf </w:t>
      </w:r>
    </w:p>
    <w:p w14:paraId="444FE447" w14:textId="77777777" w:rsidR="00646679" w:rsidRDefault="00646679" w:rsidP="00646679">
      <w:pPr>
        <w:pStyle w:val="font-claude-response-body"/>
      </w:pPr>
      <w:r>
        <w:lastRenderedPageBreak/>
        <w:t xml:space="preserve">Van Maele-Fabry, G., </w:t>
      </w:r>
      <w:proofErr w:type="spellStart"/>
      <w:r>
        <w:t>Hoet</w:t>
      </w:r>
      <w:proofErr w:type="spellEnd"/>
      <w:r>
        <w:t>, P., Vilain, F., &amp; Lison, D. (2012). Occupational exposure to pesticides and Parkinson’s disease: A systematic review and meta-analysis of cohort studies. Environment International, 46, 30–43. https://doi.org/10.1016/j.envint.2012.05.004</w:t>
      </w:r>
    </w:p>
    <w:p w14:paraId="47F54FD5" w14:textId="77777777" w:rsidR="00646679" w:rsidRDefault="00646679" w:rsidP="00646679">
      <w:pPr>
        <w:pStyle w:val="font-claude-response-body"/>
      </w:pPr>
      <w:proofErr w:type="spellStart"/>
      <w:r>
        <w:t>Villarejo</w:t>
      </w:r>
      <w:proofErr w:type="spellEnd"/>
      <w:r>
        <w:t>, D. (2003). The health of U.S. hired farm workers. Annual Review of Public Health, 24, 175–193. https://doi.org/10.1146/annurev.publhealth.24.100901.140901</w:t>
      </w:r>
    </w:p>
    <w:p w14:paraId="290488A1" w14:textId="77777777" w:rsidR="004841B3" w:rsidRPr="003B534E" w:rsidRDefault="00646679" w:rsidP="00646679">
      <w:pPr>
        <w:pStyle w:val="font-claude-response-body"/>
      </w:pPr>
      <w:r>
        <w:t xml:space="preserve">Zhang, L., Rana, I., Shaffer, R. M., </w:t>
      </w:r>
      <w:proofErr w:type="spellStart"/>
      <w:r>
        <w:t>Taioli</w:t>
      </w:r>
      <w:proofErr w:type="spellEnd"/>
      <w:r>
        <w:t>, E., &amp; Sheppard, L. (2019). Exposure to glyphosate-based herbicides and risk for non-Hodgkin lymphoma: A meta-analysis and supporting evidence. Mutation Research/Reviews in Mutation Research, 781, 186–206. https://doi.org/10.1016/j.mrrev.2019.02.001</w:t>
      </w:r>
    </w:p>
    <w:sectPr w:rsidR="004841B3" w:rsidRPr="003B534E"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88C7" w14:textId="77777777" w:rsidR="00ED3B46" w:rsidRDefault="00ED3B46" w:rsidP="00BF73C5">
      <w:pPr>
        <w:spacing w:after="0" w:line="240" w:lineRule="auto"/>
      </w:pPr>
      <w:r>
        <w:separator/>
      </w:r>
    </w:p>
  </w:endnote>
  <w:endnote w:type="continuationSeparator" w:id="0">
    <w:p w14:paraId="5D58E482" w14:textId="77777777" w:rsidR="00ED3B46" w:rsidRDefault="00ED3B46" w:rsidP="00BF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5F59" w14:textId="77777777" w:rsidR="00BF73C5" w:rsidRDefault="00BF7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8FC1" w14:textId="77777777" w:rsidR="00BF73C5" w:rsidRDefault="00BF73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495C" w14:textId="77777777" w:rsidR="00BF73C5" w:rsidRDefault="00BF7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B912" w14:textId="77777777" w:rsidR="00ED3B46" w:rsidRDefault="00ED3B46" w:rsidP="00BF73C5">
      <w:pPr>
        <w:spacing w:after="0" w:line="240" w:lineRule="auto"/>
      </w:pPr>
      <w:r>
        <w:separator/>
      </w:r>
    </w:p>
  </w:footnote>
  <w:footnote w:type="continuationSeparator" w:id="0">
    <w:p w14:paraId="60950C07" w14:textId="77777777" w:rsidR="00ED3B46" w:rsidRDefault="00ED3B46" w:rsidP="00BF7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D095" w14:textId="06EEBF69" w:rsidR="00BF73C5" w:rsidRDefault="00BF73C5">
    <w:pPr>
      <w:pStyle w:val="Header"/>
    </w:pPr>
    <w:r>
      <w:rPr>
        <w:noProof/>
      </w:rPr>
      <w:pict w14:anchorId="6EF6A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AA24" w14:textId="59886A48" w:rsidR="00BF73C5" w:rsidRDefault="00BF73C5">
    <w:pPr>
      <w:pStyle w:val="Header"/>
    </w:pPr>
    <w:r>
      <w:rPr>
        <w:noProof/>
      </w:rPr>
      <w:pict w14:anchorId="3AD35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2CBF" w14:textId="2883D7F6" w:rsidR="00BF73C5" w:rsidRDefault="00BF73C5">
    <w:pPr>
      <w:pStyle w:val="Header"/>
    </w:pPr>
    <w:r>
      <w:rPr>
        <w:noProof/>
      </w:rPr>
      <w:pict w14:anchorId="25938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862DC"/>
    <w:multiLevelType w:val="hybridMultilevel"/>
    <w:tmpl w:val="A404B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8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158A"/>
    <w:rsid w:val="00074BBA"/>
    <w:rsid w:val="002269D8"/>
    <w:rsid w:val="003B534E"/>
    <w:rsid w:val="003F0E90"/>
    <w:rsid w:val="004841B3"/>
    <w:rsid w:val="004C6B18"/>
    <w:rsid w:val="00646679"/>
    <w:rsid w:val="0068158A"/>
    <w:rsid w:val="00936F1C"/>
    <w:rsid w:val="00AE1226"/>
    <w:rsid w:val="00B53E69"/>
    <w:rsid w:val="00BE2CEA"/>
    <w:rsid w:val="00BF73C5"/>
    <w:rsid w:val="00D54A14"/>
    <w:rsid w:val="00ED3B46"/>
    <w:rsid w:val="00ED7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13A4C"/>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815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8158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815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8158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8158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81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8158A"/>
    <w:rPr>
      <w:b/>
      <w:bCs/>
    </w:rPr>
  </w:style>
  <w:style w:type="character" w:styleId="Emphasis">
    <w:name w:val="Emphasis"/>
    <w:basedOn w:val="DefaultParagraphFont"/>
    <w:uiPriority w:val="20"/>
    <w:qFormat/>
    <w:rsid w:val="0068158A"/>
    <w:rPr>
      <w:i/>
      <w:iCs/>
    </w:rPr>
  </w:style>
  <w:style w:type="character" w:styleId="Hyperlink">
    <w:name w:val="Hyperlink"/>
    <w:basedOn w:val="DefaultParagraphFont"/>
    <w:uiPriority w:val="99"/>
    <w:unhideWhenUsed/>
    <w:rsid w:val="0068158A"/>
    <w:rPr>
      <w:color w:val="0000FF"/>
      <w:u w:val="single"/>
    </w:rPr>
  </w:style>
  <w:style w:type="paragraph" w:styleId="NormalWeb">
    <w:name w:val="Normal (Web)"/>
    <w:basedOn w:val="Normal"/>
    <w:uiPriority w:val="99"/>
    <w:semiHidden/>
    <w:unhideWhenUsed/>
    <w:rsid w:val="002269D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4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3C5"/>
  </w:style>
  <w:style w:type="paragraph" w:styleId="Footer">
    <w:name w:val="footer"/>
    <w:basedOn w:val="Normal"/>
    <w:link w:val="FooterChar"/>
    <w:uiPriority w:val="99"/>
    <w:unhideWhenUsed/>
    <w:rsid w:val="00BF7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4352">
      <w:bodyDiv w:val="1"/>
      <w:marLeft w:val="0"/>
      <w:marRight w:val="0"/>
      <w:marTop w:val="0"/>
      <w:marBottom w:val="0"/>
      <w:divBdr>
        <w:top w:val="none" w:sz="0" w:space="0" w:color="auto"/>
        <w:left w:val="none" w:sz="0" w:space="0" w:color="auto"/>
        <w:bottom w:val="none" w:sz="0" w:space="0" w:color="auto"/>
        <w:right w:val="none" w:sz="0" w:space="0" w:color="auto"/>
      </w:divBdr>
      <w:divsChild>
        <w:div w:id="1203207591">
          <w:marLeft w:val="0"/>
          <w:marRight w:val="0"/>
          <w:marTop w:val="0"/>
          <w:marBottom w:val="0"/>
          <w:divBdr>
            <w:top w:val="none" w:sz="0" w:space="0" w:color="auto"/>
            <w:left w:val="none" w:sz="0" w:space="0" w:color="auto"/>
            <w:bottom w:val="none" w:sz="0" w:space="0" w:color="auto"/>
            <w:right w:val="none" w:sz="0" w:space="0" w:color="auto"/>
          </w:divBdr>
        </w:div>
        <w:div w:id="295182141">
          <w:marLeft w:val="0"/>
          <w:marRight w:val="0"/>
          <w:marTop w:val="0"/>
          <w:marBottom w:val="0"/>
          <w:divBdr>
            <w:top w:val="none" w:sz="0" w:space="0" w:color="auto"/>
            <w:left w:val="none" w:sz="0" w:space="0" w:color="auto"/>
            <w:bottom w:val="none" w:sz="0" w:space="0" w:color="auto"/>
            <w:right w:val="none" w:sz="0" w:space="0" w:color="auto"/>
          </w:divBdr>
        </w:div>
        <w:div w:id="1954747602">
          <w:marLeft w:val="0"/>
          <w:marRight w:val="0"/>
          <w:marTop w:val="0"/>
          <w:marBottom w:val="0"/>
          <w:divBdr>
            <w:top w:val="none" w:sz="0" w:space="0" w:color="auto"/>
            <w:left w:val="none" w:sz="0" w:space="0" w:color="auto"/>
            <w:bottom w:val="none" w:sz="0" w:space="0" w:color="auto"/>
            <w:right w:val="none" w:sz="0" w:space="0" w:color="auto"/>
          </w:divBdr>
        </w:div>
        <w:div w:id="1436830919">
          <w:marLeft w:val="0"/>
          <w:marRight w:val="0"/>
          <w:marTop w:val="0"/>
          <w:marBottom w:val="0"/>
          <w:divBdr>
            <w:top w:val="none" w:sz="0" w:space="0" w:color="auto"/>
            <w:left w:val="none" w:sz="0" w:space="0" w:color="auto"/>
            <w:bottom w:val="none" w:sz="0" w:space="0" w:color="auto"/>
            <w:right w:val="none" w:sz="0" w:space="0" w:color="auto"/>
          </w:divBdr>
        </w:div>
      </w:divsChild>
    </w:div>
    <w:div w:id="117571624">
      <w:bodyDiv w:val="1"/>
      <w:marLeft w:val="0"/>
      <w:marRight w:val="0"/>
      <w:marTop w:val="0"/>
      <w:marBottom w:val="0"/>
      <w:divBdr>
        <w:top w:val="none" w:sz="0" w:space="0" w:color="auto"/>
        <w:left w:val="none" w:sz="0" w:space="0" w:color="auto"/>
        <w:bottom w:val="none" w:sz="0" w:space="0" w:color="auto"/>
        <w:right w:val="none" w:sz="0" w:space="0" w:color="auto"/>
      </w:divBdr>
    </w:div>
    <w:div w:id="1045718803">
      <w:bodyDiv w:val="1"/>
      <w:marLeft w:val="0"/>
      <w:marRight w:val="0"/>
      <w:marTop w:val="0"/>
      <w:marBottom w:val="0"/>
      <w:divBdr>
        <w:top w:val="none" w:sz="0" w:space="0" w:color="auto"/>
        <w:left w:val="none" w:sz="0" w:space="0" w:color="auto"/>
        <w:bottom w:val="none" w:sz="0" w:space="0" w:color="auto"/>
        <w:right w:val="none" w:sz="0" w:space="0" w:color="auto"/>
      </w:divBdr>
      <w:divsChild>
        <w:div w:id="412624416">
          <w:marLeft w:val="0"/>
          <w:marRight w:val="0"/>
          <w:marTop w:val="0"/>
          <w:marBottom w:val="0"/>
          <w:divBdr>
            <w:top w:val="none" w:sz="0" w:space="0" w:color="auto"/>
            <w:left w:val="none" w:sz="0" w:space="0" w:color="auto"/>
            <w:bottom w:val="none" w:sz="0" w:space="0" w:color="auto"/>
            <w:right w:val="none" w:sz="0" w:space="0" w:color="auto"/>
          </w:divBdr>
        </w:div>
        <w:div w:id="687559464">
          <w:marLeft w:val="0"/>
          <w:marRight w:val="0"/>
          <w:marTop w:val="0"/>
          <w:marBottom w:val="0"/>
          <w:divBdr>
            <w:top w:val="none" w:sz="0" w:space="0" w:color="auto"/>
            <w:left w:val="none" w:sz="0" w:space="0" w:color="auto"/>
            <w:bottom w:val="none" w:sz="0" w:space="0" w:color="auto"/>
            <w:right w:val="none" w:sz="0" w:space="0" w:color="auto"/>
          </w:divBdr>
        </w:div>
        <w:div w:id="933244583">
          <w:marLeft w:val="0"/>
          <w:marRight w:val="0"/>
          <w:marTop w:val="0"/>
          <w:marBottom w:val="0"/>
          <w:divBdr>
            <w:top w:val="none" w:sz="0" w:space="0" w:color="auto"/>
            <w:left w:val="none" w:sz="0" w:space="0" w:color="auto"/>
            <w:bottom w:val="none" w:sz="0" w:space="0" w:color="auto"/>
            <w:right w:val="none" w:sz="0" w:space="0" w:color="auto"/>
          </w:divBdr>
        </w:div>
        <w:div w:id="1519200404">
          <w:marLeft w:val="0"/>
          <w:marRight w:val="0"/>
          <w:marTop w:val="0"/>
          <w:marBottom w:val="0"/>
          <w:divBdr>
            <w:top w:val="none" w:sz="0" w:space="0" w:color="auto"/>
            <w:left w:val="none" w:sz="0" w:space="0" w:color="auto"/>
            <w:bottom w:val="none" w:sz="0" w:space="0" w:color="auto"/>
            <w:right w:val="none" w:sz="0" w:space="0" w:color="auto"/>
          </w:divBdr>
        </w:div>
      </w:divsChild>
    </w:div>
    <w:div w:id="1763333433">
      <w:bodyDiv w:val="1"/>
      <w:marLeft w:val="0"/>
      <w:marRight w:val="0"/>
      <w:marTop w:val="0"/>
      <w:marBottom w:val="0"/>
      <w:divBdr>
        <w:top w:val="none" w:sz="0" w:space="0" w:color="auto"/>
        <w:left w:val="none" w:sz="0" w:space="0" w:color="auto"/>
        <w:bottom w:val="none" w:sz="0" w:space="0" w:color="auto"/>
        <w:right w:val="none" w:sz="0" w:space="0" w:color="auto"/>
      </w:divBdr>
      <w:divsChild>
        <w:div w:id="881988198">
          <w:marLeft w:val="0"/>
          <w:marRight w:val="0"/>
          <w:marTop w:val="0"/>
          <w:marBottom w:val="0"/>
          <w:divBdr>
            <w:top w:val="none" w:sz="0" w:space="0" w:color="auto"/>
            <w:left w:val="none" w:sz="0" w:space="0" w:color="auto"/>
            <w:bottom w:val="none" w:sz="0" w:space="0" w:color="auto"/>
            <w:right w:val="none" w:sz="0" w:space="0" w:color="auto"/>
          </w:divBdr>
          <w:divsChild>
            <w:div w:id="1752387034">
              <w:marLeft w:val="0"/>
              <w:marRight w:val="0"/>
              <w:marTop w:val="0"/>
              <w:marBottom w:val="0"/>
              <w:divBdr>
                <w:top w:val="none" w:sz="0" w:space="0" w:color="auto"/>
                <w:left w:val="none" w:sz="0" w:space="0" w:color="auto"/>
                <w:bottom w:val="none" w:sz="0" w:space="0" w:color="auto"/>
                <w:right w:val="none" w:sz="0" w:space="0" w:color="auto"/>
              </w:divBdr>
              <w:divsChild>
                <w:div w:id="1144160017">
                  <w:marLeft w:val="0"/>
                  <w:marRight w:val="0"/>
                  <w:marTop w:val="0"/>
                  <w:marBottom w:val="0"/>
                  <w:divBdr>
                    <w:top w:val="none" w:sz="0" w:space="0" w:color="auto"/>
                    <w:left w:val="none" w:sz="0" w:space="0" w:color="auto"/>
                    <w:bottom w:val="none" w:sz="0" w:space="0" w:color="auto"/>
                    <w:right w:val="none" w:sz="0" w:space="0" w:color="auto"/>
                  </w:divBdr>
                  <w:divsChild>
                    <w:div w:id="476461605">
                      <w:marLeft w:val="0"/>
                      <w:marRight w:val="0"/>
                      <w:marTop w:val="0"/>
                      <w:marBottom w:val="0"/>
                      <w:divBdr>
                        <w:top w:val="none" w:sz="0" w:space="0" w:color="auto"/>
                        <w:left w:val="none" w:sz="0" w:space="0" w:color="auto"/>
                        <w:bottom w:val="none" w:sz="0" w:space="0" w:color="auto"/>
                        <w:right w:val="none" w:sz="0" w:space="0" w:color="auto"/>
                      </w:divBdr>
                      <w:divsChild>
                        <w:div w:id="1810122404">
                          <w:marLeft w:val="0"/>
                          <w:marRight w:val="0"/>
                          <w:marTop w:val="0"/>
                          <w:marBottom w:val="0"/>
                          <w:divBdr>
                            <w:top w:val="none" w:sz="0" w:space="0" w:color="auto"/>
                            <w:left w:val="none" w:sz="0" w:space="0" w:color="auto"/>
                            <w:bottom w:val="none" w:sz="0" w:space="0" w:color="auto"/>
                            <w:right w:val="none" w:sz="0" w:space="0" w:color="auto"/>
                          </w:divBdr>
                          <w:divsChild>
                            <w:div w:id="1740127673">
                              <w:marLeft w:val="0"/>
                              <w:marRight w:val="0"/>
                              <w:marTop w:val="0"/>
                              <w:marBottom w:val="0"/>
                              <w:divBdr>
                                <w:top w:val="none" w:sz="0" w:space="0" w:color="auto"/>
                                <w:left w:val="none" w:sz="0" w:space="0" w:color="auto"/>
                                <w:bottom w:val="none" w:sz="0" w:space="0" w:color="auto"/>
                                <w:right w:val="none" w:sz="0" w:space="0" w:color="auto"/>
                              </w:divBdr>
                              <w:divsChild>
                                <w:div w:id="243269818">
                                  <w:marLeft w:val="0"/>
                                  <w:marRight w:val="0"/>
                                  <w:marTop w:val="0"/>
                                  <w:marBottom w:val="0"/>
                                  <w:divBdr>
                                    <w:top w:val="none" w:sz="0" w:space="0" w:color="auto"/>
                                    <w:left w:val="none" w:sz="0" w:space="0" w:color="auto"/>
                                    <w:bottom w:val="none" w:sz="0" w:space="0" w:color="auto"/>
                                    <w:right w:val="none" w:sz="0" w:space="0" w:color="auto"/>
                                  </w:divBdr>
                                  <w:divsChild>
                                    <w:div w:id="2315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27</Pages>
  <Words>12691</Words>
  <Characters>72342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10</cp:revision>
  <dcterms:created xsi:type="dcterms:W3CDTF">2026-06-14T19:28:00Z</dcterms:created>
  <dcterms:modified xsi:type="dcterms:W3CDTF">2026-06-22T10:39:00Z</dcterms:modified>
</cp:coreProperties>
</file>