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19D9" w14:textId="77777777" w:rsidR="00D73052" w:rsidRPr="00346EA4" w:rsidRDefault="00D73052" w:rsidP="001F2824">
      <w:pPr>
        <w:spacing w:line="276" w:lineRule="auto"/>
        <w:jc w:val="center"/>
        <w:rPr>
          <w:rFonts w:ascii="Times New Roman" w:hAnsi="Times New Roman" w:cs="Times New Roman"/>
          <w:b/>
          <w:bCs/>
          <w:sz w:val="28"/>
          <w:szCs w:val="28"/>
        </w:rPr>
      </w:pPr>
    </w:p>
    <w:p w14:paraId="3B804DD5" w14:textId="77777777" w:rsidR="007C075E" w:rsidRPr="00346EA4" w:rsidRDefault="000F424C" w:rsidP="001F2824">
      <w:pPr>
        <w:spacing w:line="276" w:lineRule="auto"/>
        <w:jc w:val="center"/>
        <w:rPr>
          <w:rFonts w:ascii="Times New Roman" w:hAnsi="Times New Roman" w:cs="Times New Roman"/>
          <w:b/>
          <w:bCs/>
          <w:sz w:val="28"/>
          <w:szCs w:val="28"/>
        </w:rPr>
      </w:pPr>
      <w:r w:rsidRPr="00346EA4">
        <w:rPr>
          <w:rFonts w:ascii="Times New Roman" w:hAnsi="Times New Roman" w:cs="Times New Roman"/>
          <w:b/>
          <w:bCs/>
          <w:sz w:val="28"/>
          <w:szCs w:val="28"/>
        </w:rPr>
        <w:t xml:space="preserve">MICRONUTRIENTS </w:t>
      </w:r>
      <w:r w:rsidR="007C075E" w:rsidRPr="00346EA4">
        <w:rPr>
          <w:rFonts w:ascii="Times New Roman" w:hAnsi="Times New Roman" w:cs="Times New Roman"/>
          <w:b/>
          <w:bCs/>
          <w:sz w:val="28"/>
          <w:szCs w:val="28"/>
        </w:rPr>
        <w:t xml:space="preserve">COMPOSITION OF CAKE PRODUCED FROM FERMENTED SORGHUM AND PIGEON PEA </w:t>
      </w:r>
      <w:r w:rsidRPr="00346EA4">
        <w:rPr>
          <w:rFonts w:ascii="Times New Roman" w:hAnsi="Times New Roman" w:cs="Times New Roman"/>
          <w:b/>
          <w:bCs/>
          <w:sz w:val="28"/>
          <w:szCs w:val="28"/>
        </w:rPr>
        <w:t xml:space="preserve">COMPOSITE </w:t>
      </w:r>
      <w:r w:rsidR="007C075E" w:rsidRPr="00346EA4">
        <w:rPr>
          <w:rFonts w:ascii="Times New Roman" w:hAnsi="Times New Roman" w:cs="Times New Roman"/>
          <w:b/>
          <w:bCs/>
          <w:sz w:val="28"/>
          <w:szCs w:val="28"/>
        </w:rPr>
        <w:t>FLOUR</w:t>
      </w:r>
    </w:p>
    <w:p w14:paraId="2F3FA059" w14:textId="77777777" w:rsidR="006838FD" w:rsidRDefault="006838FD" w:rsidP="00770CD1">
      <w:pPr>
        <w:spacing w:after="0" w:line="240" w:lineRule="auto"/>
        <w:jc w:val="center"/>
        <w:rPr>
          <w:rFonts w:ascii="Times New Roman" w:eastAsia="Calibri" w:hAnsi="Times New Roman" w:cs="Times New Roman"/>
          <w:sz w:val="24"/>
          <w:szCs w:val="24"/>
          <w:lang w:val="en-GB"/>
        </w:rPr>
      </w:pPr>
    </w:p>
    <w:p w14:paraId="58810457" w14:textId="77777777" w:rsidR="00764484" w:rsidRDefault="00764484" w:rsidP="00770CD1">
      <w:pPr>
        <w:spacing w:after="0" w:line="240" w:lineRule="auto"/>
        <w:jc w:val="center"/>
        <w:rPr>
          <w:rFonts w:ascii="Times New Roman" w:eastAsia="Calibri" w:hAnsi="Times New Roman" w:cs="Times New Roman"/>
          <w:sz w:val="24"/>
          <w:szCs w:val="24"/>
          <w:lang w:val="en-GB"/>
        </w:rPr>
      </w:pPr>
    </w:p>
    <w:p w14:paraId="037A8D78" w14:textId="77777777" w:rsidR="00764484" w:rsidRPr="001D7253" w:rsidRDefault="00764484" w:rsidP="00770CD1">
      <w:pPr>
        <w:spacing w:after="0" w:line="240" w:lineRule="auto"/>
        <w:jc w:val="center"/>
        <w:rPr>
          <w:rFonts w:ascii="Times New Roman" w:eastAsia="Calibri" w:hAnsi="Times New Roman" w:cs="Times New Roman"/>
          <w:sz w:val="24"/>
          <w:szCs w:val="24"/>
          <w:lang w:val="en-GB"/>
        </w:rPr>
      </w:pPr>
    </w:p>
    <w:p w14:paraId="36F753B2" w14:textId="77777777" w:rsidR="00D1327C" w:rsidRPr="00346EA4" w:rsidRDefault="00D1327C" w:rsidP="00770CD1">
      <w:pPr>
        <w:spacing w:after="0"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Abstract</w:t>
      </w:r>
    </w:p>
    <w:p w14:paraId="49529394" w14:textId="508AE5D6" w:rsidR="00D1327C" w:rsidRPr="00346EA4" w:rsidRDefault="00BA4759" w:rsidP="00770CD1">
      <w:pPr>
        <w:spacing w:after="0" w:line="276" w:lineRule="auto"/>
        <w:jc w:val="both"/>
        <w:rPr>
          <w:rFonts w:ascii="Times New Roman" w:hAnsi="Times New Roman" w:cs="Times New Roman"/>
          <w:bCs/>
          <w:sz w:val="24"/>
          <w:szCs w:val="24"/>
        </w:rPr>
      </w:pPr>
      <w:r w:rsidRPr="00BA4759">
        <w:rPr>
          <w:rFonts w:ascii="Times New Roman" w:hAnsi="Times New Roman" w:cs="Times New Roman"/>
          <w:bCs/>
          <w:sz w:val="24"/>
          <w:szCs w:val="24"/>
        </w:rPr>
        <w:t>In order to assess the nutritional value of cakes made from fermented sorghum and pigeon pea flour blends, this study examined the mineral and vitamin makeup of the cakes.</w:t>
      </w:r>
      <w:r w:rsidR="009F40CA">
        <w:rPr>
          <w:rFonts w:ascii="Times New Roman" w:hAnsi="Times New Roman" w:cs="Times New Roman"/>
          <w:bCs/>
          <w:sz w:val="24"/>
          <w:szCs w:val="24"/>
        </w:rPr>
        <w:t xml:space="preserve"> </w:t>
      </w:r>
      <w:r w:rsidRPr="00BA4759">
        <w:rPr>
          <w:rFonts w:ascii="Times New Roman" w:hAnsi="Times New Roman" w:cs="Times New Roman"/>
          <w:bCs/>
          <w:sz w:val="24"/>
          <w:szCs w:val="24"/>
        </w:rPr>
        <w:t xml:space="preserve">Important native crops like sorghum and pigeon pea are high in vital nutrients and bioactive substances, which makes them good substitutes for traditional wheat flour when preparing cakes. In order to increase nutrient availability, lower antinutritional factors, and improve the overall nutritional quality of the flour mixes, fermentation was used as a processing </w:t>
      </w:r>
      <w:proofErr w:type="spellStart"/>
      <w:proofErr w:type="gramStart"/>
      <w:r w:rsidRPr="00BA4759">
        <w:rPr>
          <w:rFonts w:ascii="Times New Roman" w:hAnsi="Times New Roman" w:cs="Times New Roman"/>
          <w:bCs/>
          <w:sz w:val="24"/>
          <w:szCs w:val="24"/>
        </w:rPr>
        <w:t>procedure.Using</w:t>
      </w:r>
      <w:proofErr w:type="spellEnd"/>
      <w:proofErr w:type="gramEnd"/>
      <w:r w:rsidRPr="00BA4759">
        <w:rPr>
          <w:rFonts w:ascii="Times New Roman" w:hAnsi="Times New Roman" w:cs="Times New Roman"/>
          <w:bCs/>
          <w:sz w:val="24"/>
          <w:szCs w:val="24"/>
        </w:rPr>
        <w:t xml:space="preserve"> typical baking techniques, the fermented sorghum and pigeon pea flours were combined in different ratios to make </w:t>
      </w:r>
      <w:proofErr w:type="spellStart"/>
      <w:proofErr w:type="gramStart"/>
      <w:r w:rsidRPr="00BA4759">
        <w:rPr>
          <w:rFonts w:ascii="Times New Roman" w:hAnsi="Times New Roman" w:cs="Times New Roman"/>
          <w:bCs/>
          <w:sz w:val="24"/>
          <w:szCs w:val="24"/>
        </w:rPr>
        <w:t>cakes.Standard</w:t>
      </w:r>
      <w:proofErr w:type="spellEnd"/>
      <w:proofErr w:type="gramEnd"/>
      <w:r w:rsidRPr="00BA4759">
        <w:rPr>
          <w:rFonts w:ascii="Times New Roman" w:hAnsi="Times New Roman" w:cs="Times New Roman"/>
          <w:bCs/>
          <w:sz w:val="24"/>
          <w:szCs w:val="24"/>
        </w:rPr>
        <w:t xml:space="preserve"> analytical techniques were used to determine the cake samples' mineral and vitamin contents. The findings showed that all of the cake samples examined had significant levels of vital minerals and vitamins.</w:t>
      </w:r>
      <w:r w:rsidRPr="00BA4759">
        <w:t xml:space="preserve"> </w:t>
      </w:r>
      <w:r w:rsidRPr="00BA4759">
        <w:rPr>
          <w:rFonts w:ascii="Times New Roman" w:hAnsi="Times New Roman" w:cs="Times New Roman"/>
          <w:bCs/>
          <w:sz w:val="24"/>
          <w:szCs w:val="24"/>
        </w:rPr>
        <w:t xml:space="preserve">Magnesium concentration varied from 173.55 to 197.81 mg/100 g, whereas potassium level varied from 352.06 to 387.07 mg/100 g. The calcium content of the cake samples ranged from 301.77 to 322.77 mg/100 g, suggesting that they were good providers of essential elements needed for metabolic processes, neuronal function, and bone growth. Phosphorus concentration varied from 34.98 to 46.25 mg/100 g, whereas iron content varied from 0.34 to 6.73 mg/100 g. The addition of fermented sorghum and pigeon pea flours, which are naturally high in micronutrients, was thought to be the cause of the cake </w:t>
      </w:r>
      <w:proofErr w:type="gramStart"/>
      <w:r w:rsidRPr="00BA4759">
        <w:rPr>
          <w:rFonts w:ascii="Times New Roman" w:hAnsi="Times New Roman" w:cs="Times New Roman"/>
          <w:bCs/>
          <w:sz w:val="24"/>
          <w:szCs w:val="24"/>
        </w:rPr>
        <w:t>samples'</w:t>
      </w:r>
      <w:proofErr w:type="gramEnd"/>
      <w:r w:rsidRPr="00BA4759">
        <w:rPr>
          <w:rFonts w:ascii="Times New Roman" w:hAnsi="Times New Roman" w:cs="Times New Roman"/>
          <w:bCs/>
          <w:sz w:val="24"/>
          <w:szCs w:val="24"/>
        </w:rPr>
        <w:t xml:space="preserve"> increased mineral content. Vitamin B1 concentration ranged from 0.021 to 0.035 mg/100 g, Vitamin B2 from 0.328 to 0.377 mg/100 g, and Vitamin B3 from 0.002 to 0.023 mg/100 g, according to the vitamin study. The results showed that adding blends of fermented sorghum and pigeon pea flour enhanced the cakes' nutritional content. According to the study's findings, cakes made with fermented sorghum and pigeon pea flour blends have better mineral and vitamin compositions and can be wholesome substitutes for traditional wheat-based cakes. By using these readily available crops in baked goods, food security, nutritional intake, and the value addition of local raw materials could all be enhanced. Therefore, it is advised to use fermented sorghum and pigeon pea composite flour while making cakes in order to create baked goods that are both functional and nutritionally enriched.</w:t>
      </w:r>
    </w:p>
    <w:p w14:paraId="7FF46C47" w14:textId="77777777" w:rsidR="00D1327C" w:rsidRPr="000E13A8" w:rsidRDefault="00D1327C" w:rsidP="00D1327C">
      <w:pPr>
        <w:spacing w:line="276" w:lineRule="auto"/>
        <w:jc w:val="both"/>
        <w:rPr>
          <w:rFonts w:ascii="Times New Roman" w:hAnsi="Times New Roman" w:cs="Times New Roman"/>
          <w:bCs/>
          <w:sz w:val="24"/>
          <w:szCs w:val="24"/>
        </w:rPr>
      </w:pPr>
      <w:r w:rsidRPr="000E13A8">
        <w:rPr>
          <w:rFonts w:ascii="Times New Roman" w:hAnsi="Times New Roman" w:cs="Times New Roman"/>
          <w:bCs/>
          <w:sz w:val="24"/>
          <w:szCs w:val="24"/>
        </w:rPr>
        <w:t>Keywords: Minerals, Vitamins, Cake, Sorghum, Pigeon pea</w:t>
      </w:r>
    </w:p>
    <w:p w14:paraId="5EEAE5FD" w14:textId="77777777" w:rsidR="007C075E" w:rsidRPr="00346EA4" w:rsidRDefault="00A82D31" w:rsidP="001C1ED3">
      <w:pPr>
        <w:spacing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 xml:space="preserve">1.1 </w:t>
      </w:r>
      <w:r w:rsidR="007C075E" w:rsidRPr="00346EA4">
        <w:rPr>
          <w:rFonts w:ascii="Times New Roman" w:hAnsi="Times New Roman" w:cs="Times New Roman"/>
          <w:b/>
          <w:bCs/>
          <w:sz w:val="24"/>
          <w:szCs w:val="24"/>
        </w:rPr>
        <w:t>Background of the Study</w:t>
      </w:r>
    </w:p>
    <w:p w14:paraId="74860109" w14:textId="77777777" w:rsidR="006F7E45" w:rsidRPr="00346EA4" w:rsidRDefault="00BA4759" w:rsidP="001C1ED3">
      <w:pPr>
        <w:spacing w:line="276" w:lineRule="auto"/>
        <w:jc w:val="both"/>
        <w:rPr>
          <w:rFonts w:ascii="Times New Roman" w:hAnsi="Times New Roman" w:cs="Times New Roman"/>
          <w:sz w:val="24"/>
          <w:szCs w:val="24"/>
        </w:rPr>
      </w:pPr>
      <w:r w:rsidRPr="00BA4759">
        <w:rPr>
          <w:rFonts w:ascii="Times New Roman" w:hAnsi="Times New Roman" w:cs="Times New Roman"/>
          <w:sz w:val="24"/>
          <w:szCs w:val="24"/>
        </w:rPr>
        <w:t xml:space="preserve">Cake's sensory appeal, affordability, and ease of use make it one of the most popular bakery goods in the world. Wheat flour has historically been used as the main component in cakes due to its capacity to generate gluten, which gives cakes their desired structure and texture. However, wheat flour is highly dependent on imports in many developing nations, including Nigeria, and has </w:t>
      </w:r>
      <w:r w:rsidRPr="00BA4759">
        <w:rPr>
          <w:rFonts w:ascii="Times New Roman" w:hAnsi="Times New Roman" w:cs="Times New Roman"/>
          <w:sz w:val="24"/>
          <w:szCs w:val="24"/>
        </w:rPr>
        <w:lastRenderedPageBreak/>
        <w:t>inadequate nutritional value in several micronutrients, which raises production costs and increases food insecurity (FAO, 2022). Traditionally made using wheat flour, cake is a popular baked good. However, people with gluten-related conditions like celiac disease have intolerance to wheat flour because it contains gluten (</w:t>
      </w:r>
      <w:proofErr w:type="spellStart"/>
      <w:r w:rsidRPr="00BA4759">
        <w:rPr>
          <w:rFonts w:ascii="Times New Roman" w:hAnsi="Times New Roman" w:cs="Times New Roman"/>
          <w:sz w:val="24"/>
          <w:szCs w:val="24"/>
        </w:rPr>
        <w:t>Biesiekierski</w:t>
      </w:r>
      <w:proofErr w:type="spellEnd"/>
      <w:r w:rsidRPr="00BA4759">
        <w:rPr>
          <w:rFonts w:ascii="Times New Roman" w:hAnsi="Times New Roman" w:cs="Times New Roman"/>
          <w:sz w:val="24"/>
          <w:szCs w:val="24"/>
        </w:rPr>
        <w:t>, 2017). Thus, a possible substitute for making gluten-free and nutrient-dense cakes is sorghum and pigeon pea composite flour.</w:t>
      </w:r>
      <w:r w:rsidRPr="00BA4759">
        <w:t xml:space="preserve"> </w:t>
      </w:r>
      <w:r w:rsidRPr="00BA4759">
        <w:rPr>
          <w:rFonts w:ascii="Times New Roman" w:hAnsi="Times New Roman" w:cs="Times New Roman"/>
          <w:sz w:val="24"/>
          <w:szCs w:val="24"/>
        </w:rPr>
        <w:t xml:space="preserve">Research on alternative flours made from native crops like sorghum and pigeon pea has been spurred by the growing demand for wholesome and functional </w:t>
      </w:r>
      <w:proofErr w:type="spellStart"/>
      <w:proofErr w:type="gramStart"/>
      <w:r w:rsidRPr="00BA4759">
        <w:rPr>
          <w:rFonts w:ascii="Times New Roman" w:hAnsi="Times New Roman" w:cs="Times New Roman"/>
          <w:sz w:val="24"/>
          <w:szCs w:val="24"/>
        </w:rPr>
        <w:t>diets.A</w:t>
      </w:r>
      <w:proofErr w:type="spellEnd"/>
      <w:proofErr w:type="gramEnd"/>
      <w:r w:rsidRPr="00BA4759">
        <w:rPr>
          <w:rFonts w:ascii="Times New Roman" w:hAnsi="Times New Roman" w:cs="Times New Roman"/>
          <w:sz w:val="24"/>
          <w:szCs w:val="24"/>
        </w:rPr>
        <w:t xml:space="preserve"> significant cereal crop that is extensively grown in Asia and Africa is sorghum (Sorghum bicolor L.). Carbohydrates, minerals including iron, magnesium, and phosphorus, and bioactive substances with antioxidant qualities are all abundant in it (Taylor &amp; Emmambux, 2019). Sorghum's protein quality is constrained by its comparatively low lysine content, an important amino </w:t>
      </w:r>
      <w:proofErr w:type="spellStart"/>
      <w:proofErr w:type="gramStart"/>
      <w:r w:rsidRPr="00BA4759">
        <w:rPr>
          <w:rFonts w:ascii="Times New Roman" w:hAnsi="Times New Roman" w:cs="Times New Roman"/>
          <w:sz w:val="24"/>
          <w:szCs w:val="24"/>
        </w:rPr>
        <w:t>acid.A</w:t>
      </w:r>
      <w:proofErr w:type="spellEnd"/>
      <w:proofErr w:type="gramEnd"/>
      <w:r w:rsidRPr="00BA4759">
        <w:rPr>
          <w:rFonts w:ascii="Times New Roman" w:hAnsi="Times New Roman" w:cs="Times New Roman"/>
          <w:sz w:val="24"/>
          <w:szCs w:val="24"/>
        </w:rPr>
        <w:t xml:space="preserve"> significant </w:t>
      </w:r>
      <w:proofErr w:type="gramStart"/>
      <w:r w:rsidRPr="00BA4759">
        <w:rPr>
          <w:rFonts w:ascii="Times New Roman" w:hAnsi="Times New Roman" w:cs="Times New Roman"/>
          <w:sz w:val="24"/>
          <w:szCs w:val="24"/>
        </w:rPr>
        <w:t>amount</w:t>
      </w:r>
      <w:proofErr w:type="gramEnd"/>
      <w:r w:rsidRPr="00BA4759">
        <w:rPr>
          <w:rFonts w:ascii="Times New Roman" w:hAnsi="Times New Roman" w:cs="Times New Roman"/>
          <w:sz w:val="24"/>
          <w:szCs w:val="24"/>
        </w:rPr>
        <w:t xml:space="preserve"> of human diets are made up of cereal and legume grains, particularly in underdeveloped nations where they provide inexpensive sources of vitamins, minerals, proteins, and carbs. One of the most significant cereal crops in the world, sorghum comes in fifth place in terms of production behind wheat, rice, barley, and maize (Taylor &amp; Awika, 2017).</w:t>
      </w:r>
      <w:r w:rsidRPr="00BA4759">
        <w:t xml:space="preserve"> </w:t>
      </w:r>
      <w:r w:rsidRPr="00BA4759">
        <w:rPr>
          <w:rFonts w:ascii="Times New Roman" w:hAnsi="Times New Roman" w:cs="Times New Roman"/>
          <w:sz w:val="24"/>
          <w:szCs w:val="24"/>
        </w:rPr>
        <w:t>Because of its ability to withstand drought and adapt to challenging environmental circumstances, it is widely grown in Asia and Africa. Sorghum grains are low in several critical amino acids, including lysine, but high in carbohydrates, dietary fiber, iron, phosphorus, and B-complex vitamins (Ratnavathi &amp; Komala, 2016). Conversely, legumes are a great source of vitamins and protein. Rich in protein, iron, zinc, calcium, and vitamins, pigeon peas are an underappreciated tropical legume (Saxena et al., 2018). It has been found to be a useful crop for enhancing nutritional security, especially in areas with shortages in micronutrients and protein.</w:t>
      </w:r>
    </w:p>
    <w:p w14:paraId="53E2A636" w14:textId="77777777" w:rsidR="00BA4759" w:rsidRPr="00BA4759" w:rsidRDefault="00BA4759" w:rsidP="00BA4759">
      <w:pPr>
        <w:spacing w:line="276" w:lineRule="auto"/>
        <w:jc w:val="both"/>
        <w:rPr>
          <w:rFonts w:ascii="Times New Roman" w:hAnsi="Times New Roman" w:cs="Times New Roman"/>
          <w:sz w:val="24"/>
          <w:szCs w:val="24"/>
        </w:rPr>
      </w:pPr>
      <w:r w:rsidRPr="00BA4759">
        <w:rPr>
          <w:rFonts w:ascii="Times New Roman" w:hAnsi="Times New Roman" w:cs="Times New Roman"/>
          <w:sz w:val="24"/>
          <w:szCs w:val="24"/>
        </w:rPr>
        <w:t>Sorghum is the fifth most widely grown crop in the world, behind barley, rice, corn, and wheat (</w:t>
      </w:r>
      <w:proofErr w:type="spellStart"/>
      <w:r w:rsidRPr="00BA4759">
        <w:rPr>
          <w:rFonts w:ascii="Times New Roman" w:hAnsi="Times New Roman" w:cs="Times New Roman"/>
          <w:sz w:val="24"/>
          <w:szCs w:val="24"/>
        </w:rPr>
        <w:t>Emojorho</w:t>
      </w:r>
      <w:proofErr w:type="spellEnd"/>
      <w:r w:rsidRPr="00BA4759">
        <w:rPr>
          <w:rFonts w:ascii="Times New Roman" w:hAnsi="Times New Roman" w:cs="Times New Roman"/>
          <w:sz w:val="24"/>
          <w:szCs w:val="24"/>
        </w:rPr>
        <w:t xml:space="preserve"> et al., 2025). Sorghum grains and sorghum flour (SF) are rich in proteins, minerals, vitamins, phenolic compounds, micronutrients, macronutrients, and bioactive substances (</w:t>
      </w:r>
      <w:proofErr w:type="spellStart"/>
      <w:r w:rsidRPr="00BA4759">
        <w:rPr>
          <w:rFonts w:ascii="Times New Roman" w:hAnsi="Times New Roman" w:cs="Times New Roman"/>
          <w:sz w:val="24"/>
          <w:szCs w:val="24"/>
        </w:rPr>
        <w:t>Emojorho</w:t>
      </w:r>
      <w:proofErr w:type="spellEnd"/>
      <w:r w:rsidRPr="00BA4759">
        <w:rPr>
          <w:rFonts w:ascii="Times New Roman" w:hAnsi="Times New Roman" w:cs="Times New Roman"/>
          <w:sz w:val="24"/>
          <w:szCs w:val="24"/>
        </w:rPr>
        <w:t xml:space="preserve"> et al., 2025). Because of its unique protein composition, sorghum possesses binding properties that help form and preserve food structures. SF has the ability to absorb and hold onto oils, lipids, and emulsifiers. This feature is beneficial for baked goods since it can increase the volume, tenderness, and shelf life of bread, cakes, and pastries (</w:t>
      </w:r>
      <w:proofErr w:type="spellStart"/>
      <w:r w:rsidRPr="00BA4759">
        <w:rPr>
          <w:rFonts w:ascii="Times New Roman" w:hAnsi="Times New Roman" w:cs="Times New Roman"/>
          <w:sz w:val="24"/>
          <w:szCs w:val="24"/>
        </w:rPr>
        <w:t>Emojorho</w:t>
      </w:r>
      <w:proofErr w:type="spellEnd"/>
      <w:r w:rsidRPr="00BA4759">
        <w:rPr>
          <w:rFonts w:ascii="Times New Roman" w:hAnsi="Times New Roman" w:cs="Times New Roman"/>
          <w:sz w:val="24"/>
          <w:szCs w:val="24"/>
        </w:rPr>
        <w:t xml:space="preserve"> et al., 2025).   In contrast, the pigeon pea (Cajanus </w:t>
      </w:r>
      <w:proofErr w:type="spellStart"/>
      <w:r w:rsidRPr="00BA4759">
        <w:rPr>
          <w:rFonts w:ascii="Times New Roman" w:hAnsi="Times New Roman" w:cs="Times New Roman"/>
          <w:sz w:val="24"/>
          <w:szCs w:val="24"/>
        </w:rPr>
        <w:t>cajan</w:t>
      </w:r>
      <w:proofErr w:type="spellEnd"/>
      <w:r w:rsidRPr="00BA4759">
        <w:rPr>
          <w:rFonts w:ascii="Times New Roman" w:hAnsi="Times New Roman" w:cs="Times New Roman"/>
          <w:sz w:val="24"/>
          <w:szCs w:val="24"/>
        </w:rPr>
        <w:t xml:space="preserve">) is a legume that is high in protein and contains vital amino acids, vitamins, and minerals like calcium, potassium, and iron (Olagunju et al., 2018). Additionally, it is a great source of minerals, particularly B vitamins. The complementing protein and micronutrient compositions of grains and legumes enhance nutritional quality. As a result, making cake with fermented sorghum and pigeon pea flour may increase the </w:t>
      </w:r>
      <w:proofErr w:type="gramStart"/>
      <w:r w:rsidRPr="00BA4759">
        <w:rPr>
          <w:rFonts w:ascii="Times New Roman" w:hAnsi="Times New Roman" w:cs="Times New Roman"/>
          <w:sz w:val="24"/>
          <w:szCs w:val="24"/>
        </w:rPr>
        <w:t>amount</w:t>
      </w:r>
      <w:proofErr w:type="gramEnd"/>
      <w:r w:rsidRPr="00BA4759">
        <w:rPr>
          <w:rFonts w:ascii="Times New Roman" w:hAnsi="Times New Roman" w:cs="Times New Roman"/>
          <w:sz w:val="24"/>
          <w:szCs w:val="24"/>
        </w:rPr>
        <w:t xml:space="preserve"> of micronutrients, including vitamins and minerals, while encouraging the use of regional crops and lowering reliance on imported wheat flour.</w:t>
      </w:r>
    </w:p>
    <w:p w14:paraId="390F4DD8" w14:textId="77777777" w:rsidR="00A82D31" w:rsidRPr="00346EA4" w:rsidRDefault="00BA4759" w:rsidP="00BA4759">
      <w:pPr>
        <w:spacing w:line="276" w:lineRule="auto"/>
        <w:jc w:val="both"/>
        <w:rPr>
          <w:rFonts w:ascii="Times New Roman" w:hAnsi="Times New Roman" w:cs="Times New Roman"/>
          <w:sz w:val="24"/>
          <w:szCs w:val="24"/>
        </w:rPr>
      </w:pPr>
      <w:r w:rsidRPr="00BA4759">
        <w:rPr>
          <w:rFonts w:ascii="Times New Roman" w:hAnsi="Times New Roman" w:cs="Times New Roman"/>
          <w:sz w:val="24"/>
          <w:szCs w:val="24"/>
        </w:rPr>
        <w:t>The nutritional value and functional qualities of baked goods including bread, biscuits, and cakes have been successfully enhanced by the use of sorghum-legume composite flours.</w:t>
      </w:r>
      <w:r w:rsidRPr="00BA4759">
        <w:t xml:space="preserve"> </w:t>
      </w:r>
      <w:r w:rsidRPr="00BA4759">
        <w:rPr>
          <w:rFonts w:ascii="Times New Roman" w:hAnsi="Times New Roman" w:cs="Times New Roman"/>
          <w:sz w:val="24"/>
          <w:szCs w:val="24"/>
        </w:rPr>
        <w:t xml:space="preserve">Phytates, tannins, and oxalates are anti-nutritional elements found in sorghum and pigeon pea that lower </w:t>
      </w:r>
      <w:r w:rsidRPr="00BA4759">
        <w:rPr>
          <w:rFonts w:ascii="Times New Roman" w:hAnsi="Times New Roman" w:cs="Times New Roman"/>
          <w:sz w:val="24"/>
          <w:szCs w:val="24"/>
        </w:rPr>
        <w:lastRenderedPageBreak/>
        <w:t>mineral absorption despite their nutritional advantages (</w:t>
      </w:r>
      <w:proofErr w:type="spellStart"/>
      <w:r w:rsidRPr="00BA4759">
        <w:rPr>
          <w:rFonts w:ascii="Times New Roman" w:hAnsi="Times New Roman" w:cs="Times New Roman"/>
          <w:sz w:val="24"/>
          <w:szCs w:val="24"/>
        </w:rPr>
        <w:t>Kayodé</w:t>
      </w:r>
      <w:proofErr w:type="spellEnd"/>
      <w:r w:rsidRPr="00BA4759">
        <w:rPr>
          <w:rFonts w:ascii="Times New Roman" w:hAnsi="Times New Roman" w:cs="Times New Roman"/>
          <w:sz w:val="24"/>
          <w:szCs w:val="24"/>
        </w:rPr>
        <w:t xml:space="preserve"> et al., 2018). A traditional method of food preparation, fermentation increases vitamin content, improves mineral absorption, boosts nutrient bioavailability, and lowers antinutritional elements like tannins and phytates (Adebo &amp; Medina-Meza, 2020). Additionally, fermentation can enhance flour's functional and sensory qualities. Microorganisms like Saccharomyces cerevisiae and Lactobacillus, which produce enzymes that break down anti-nutritional substances and create certain vitamins, are involved in fermentation (Marco et al., 2021). Because of their complimentary amino acid profiles and increased micronutrient density, combining cereals with legumes enhances the nutritional value of food. In order to assess the impact of fermentation on the mineral and vitamin composition of cake made from sorghum and pigeon pea flour, this study is </w:t>
      </w:r>
      <w:proofErr w:type="spellStart"/>
      <w:proofErr w:type="gramStart"/>
      <w:r w:rsidRPr="00BA4759">
        <w:rPr>
          <w:rFonts w:ascii="Times New Roman" w:hAnsi="Times New Roman" w:cs="Times New Roman"/>
          <w:sz w:val="24"/>
          <w:szCs w:val="24"/>
        </w:rPr>
        <w:t>required.The</w:t>
      </w:r>
      <w:proofErr w:type="spellEnd"/>
      <w:proofErr w:type="gramEnd"/>
      <w:r w:rsidRPr="00BA4759">
        <w:rPr>
          <w:rFonts w:ascii="Times New Roman" w:hAnsi="Times New Roman" w:cs="Times New Roman"/>
          <w:sz w:val="24"/>
          <w:szCs w:val="24"/>
        </w:rPr>
        <w:t xml:space="preserve"> goal of this study is to assess the mineral, vitamin, and phytochemical content of cake made from fermented sorghum and pigeon pea composite flours. In developing nations like Nigeria, micronutrient deficiencies—especially those in iron, zinc, calcium, and vitamins—remain a serious public health concern (WHO, 2021</w:t>
      </w:r>
      <w:proofErr w:type="gramStart"/>
      <w:r w:rsidRPr="00BA4759">
        <w:rPr>
          <w:rFonts w:ascii="Times New Roman" w:hAnsi="Times New Roman" w:cs="Times New Roman"/>
          <w:sz w:val="24"/>
          <w:szCs w:val="24"/>
        </w:rPr>
        <w:t>).Due</w:t>
      </w:r>
      <w:proofErr w:type="gramEnd"/>
      <w:r w:rsidRPr="00BA4759">
        <w:rPr>
          <w:rFonts w:ascii="Times New Roman" w:hAnsi="Times New Roman" w:cs="Times New Roman"/>
          <w:sz w:val="24"/>
          <w:szCs w:val="24"/>
        </w:rPr>
        <w:t xml:space="preserve"> to manufacturing losses and absence of fortification, traditional cakes prepared with refined wheat flour often have low levels of vitamins and phytochemicals. Additionally, there is a significant reliance on imports because wheat is not commonly grown in tropical </w:t>
      </w:r>
      <w:proofErr w:type="spellStart"/>
      <w:proofErr w:type="gramStart"/>
      <w:r w:rsidRPr="00BA4759">
        <w:rPr>
          <w:rFonts w:ascii="Times New Roman" w:hAnsi="Times New Roman" w:cs="Times New Roman"/>
          <w:sz w:val="24"/>
          <w:szCs w:val="24"/>
        </w:rPr>
        <w:t>areas.Due</w:t>
      </w:r>
      <w:proofErr w:type="spellEnd"/>
      <w:proofErr w:type="gramEnd"/>
      <w:r w:rsidRPr="00BA4759">
        <w:rPr>
          <w:rFonts w:ascii="Times New Roman" w:hAnsi="Times New Roman" w:cs="Times New Roman"/>
          <w:sz w:val="24"/>
          <w:szCs w:val="24"/>
        </w:rPr>
        <w:t xml:space="preserve"> to this circumstance, bakery goods must be developed using nutrient-dense, regionally accessible crops like pigeon pea and sorghum.</w:t>
      </w:r>
      <w:r w:rsidR="003B469D" w:rsidRPr="003B469D">
        <w:t xml:space="preserve"> </w:t>
      </w:r>
      <w:r w:rsidR="003B469D" w:rsidRPr="003B469D">
        <w:rPr>
          <w:rFonts w:ascii="Times New Roman" w:hAnsi="Times New Roman" w:cs="Times New Roman"/>
          <w:sz w:val="24"/>
          <w:szCs w:val="24"/>
        </w:rPr>
        <w:t xml:space="preserve">Despite the nutritional value of sorghum and pigeon pea, anti-nutritional substances such phytates and tannins restrict their mineral absorption. According to Nkhata et al. (2018), these substances bind minerals and decrease their absorption in the human body. Although fermentation has been demonstrated to increase mineral and vitamin bioavailability, nothing is known about the mineral and vitamin makeup of cake made from mixes of fermented sorghum and pigeon pea flour. Furthermore, cakes made with regular wheat flour could not contain enough micronutrients and are inappropriate for people who are gluten intolerant.  This study is significant since it encourages the use of crops that are readily available in the </w:t>
      </w:r>
      <w:proofErr w:type="spellStart"/>
      <w:proofErr w:type="gramStart"/>
      <w:r w:rsidR="003B469D" w:rsidRPr="003B469D">
        <w:rPr>
          <w:rFonts w:ascii="Times New Roman" w:hAnsi="Times New Roman" w:cs="Times New Roman"/>
          <w:sz w:val="24"/>
          <w:szCs w:val="24"/>
        </w:rPr>
        <w:t>area.It</w:t>
      </w:r>
      <w:proofErr w:type="spellEnd"/>
      <w:proofErr w:type="gramEnd"/>
      <w:r w:rsidR="003B469D" w:rsidRPr="003B469D">
        <w:rPr>
          <w:rFonts w:ascii="Times New Roman" w:hAnsi="Times New Roman" w:cs="Times New Roman"/>
          <w:sz w:val="24"/>
          <w:szCs w:val="24"/>
        </w:rPr>
        <w:t xml:space="preserve"> lessens reliance on imported wheat flour and increases micronutrient intake through better food items.</w:t>
      </w:r>
      <w:r w:rsidR="003B469D" w:rsidRPr="003B469D">
        <w:t xml:space="preserve"> </w:t>
      </w:r>
      <w:r w:rsidR="003B469D" w:rsidRPr="003B469D">
        <w:rPr>
          <w:rFonts w:ascii="Times New Roman" w:hAnsi="Times New Roman" w:cs="Times New Roman"/>
          <w:sz w:val="24"/>
          <w:szCs w:val="24"/>
        </w:rPr>
        <w:t>In addition to providing scientific data on the mineral and vitamin makeup of composite cakes, this research will improve nutrition and help to food security. The purpose of this study is to ascertain the mineral and vitamin content of cake made from blends of fermented sorghum and pigeon pea flour.</w:t>
      </w:r>
    </w:p>
    <w:p w14:paraId="1B2A2459" w14:textId="77777777" w:rsidR="007C075E" w:rsidRPr="00346EA4" w:rsidRDefault="007C075E" w:rsidP="001C1ED3">
      <w:pPr>
        <w:spacing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MATERIALS AND METHODS</w:t>
      </w:r>
    </w:p>
    <w:p w14:paraId="3AC12BBF" w14:textId="77777777" w:rsidR="003B469D" w:rsidRDefault="008819D2" w:rsidP="003B469D">
      <w:pPr>
        <w:spacing w:line="276" w:lineRule="auto"/>
        <w:jc w:val="both"/>
        <w:rPr>
          <w:rFonts w:ascii="Times New Roman" w:hAnsi="Times New Roman" w:cs="Times New Roman"/>
          <w:sz w:val="24"/>
          <w:szCs w:val="24"/>
        </w:rPr>
      </w:pPr>
      <w:r w:rsidRPr="00346EA4">
        <w:rPr>
          <w:rFonts w:ascii="Times New Roman" w:hAnsi="Times New Roman" w:cs="Times New Roman"/>
          <w:b/>
          <w:bCs/>
          <w:sz w:val="24"/>
          <w:szCs w:val="24"/>
        </w:rPr>
        <w:t>2</w:t>
      </w:r>
      <w:r w:rsidR="007C075E" w:rsidRPr="00346EA4">
        <w:rPr>
          <w:rFonts w:ascii="Times New Roman" w:hAnsi="Times New Roman" w:cs="Times New Roman"/>
          <w:b/>
          <w:bCs/>
          <w:sz w:val="24"/>
          <w:szCs w:val="24"/>
        </w:rPr>
        <w:t>.1 Materials</w:t>
      </w:r>
      <w:r w:rsidR="008C18A3" w:rsidRPr="00346EA4">
        <w:rPr>
          <w:rFonts w:ascii="Times New Roman" w:hAnsi="Times New Roman" w:cs="Times New Roman"/>
          <w:b/>
          <w:bCs/>
          <w:sz w:val="24"/>
          <w:szCs w:val="24"/>
        </w:rPr>
        <w:t xml:space="preserve">: </w:t>
      </w:r>
      <w:r w:rsidR="003B469D" w:rsidRPr="003B469D">
        <w:rPr>
          <w:rFonts w:ascii="Times New Roman" w:hAnsi="Times New Roman" w:cs="Times New Roman"/>
          <w:sz w:val="24"/>
          <w:szCs w:val="24"/>
        </w:rPr>
        <w:t xml:space="preserve">The primary markets in </w:t>
      </w:r>
      <w:proofErr w:type="spellStart"/>
      <w:r w:rsidR="003B469D" w:rsidRPr="003B469D">
        <w:rPr>
          <w:rFonts w:ascii="Times New Roman" w:hAnsi="Times New Roman" w:cs="Times New Roman"/>
          <w:sz w:val="24"/>
          <w:szCs w:val="24"/>
        </w:rPr>
        <w:t>Ozoro</w:t>
      </w:r>
      <w:proofErr w:type="spellEnd"/>
      <w:r w:rsidR="003B469D" w:rsidRPr="003B469D">
        <w:rPr>
          <w:rFonts w:ascii="Times New Roman" w:hAnsi="Times New Roman" w:cs="Times New Roman"/>
          <w:sz w:val="24"/>
          <w:szCs w:val="24"/>
        </w:rPr>
        <w:t xml:space="preserve"> and Asaba, Delta State, will supply sorghum grains, pigeon pea seeds, wheat flour (control), sugar, butter, eggs, baking powder, milk, vanilla flavor, nitric acid, hydrochloric acid, standard mineral solutions, and vitamin standards. </w:t>
      </w:r>
    </w:p>
    <w:p w14:paraId="1FB807D2" w14:textId="77777777" w:rsidR="00AE5D89" w:rsidRDefault="008819D2" w:rsidP="00AE5D89">
      <w:pPr>
        <w:spacing w:line="276" w:lineRule="auto"/>
        <w:jc w:val="both"/>
        <w:rPr>
          <w:rFonts w:ascii="Times New Roman" w:hAnsi="Times New Roman" w:cs="Times New Roman"/>
          <w:bCs/>
          <w:sz w:val="24"/>
          <w:szCs w:val="24"/>
        </w:rPr>
      </w:pPr>
      <w:r w:rsidRPr="00346EA4">
        <w:rPr>
          <w:rFonts w:ascii="Times New Roman" w:hAnsi="Times New Roman" w:cs="Times New Roman"/>
          <w:b/>
          <w:bCs/>
          <w:sz w:val="24"/>
          <w:szCs w:val="24"/>
        </w:rPr>
        <w:t>2</w:t>
      </w:r>
      <w:r w:rsidR="00C366A6" w:rsidRPr="00346EA4">
        <w:rPr>
          <w:rFonts w:ascii="Times New Roman" w:hAnsi="Times New Roman" w:cs="Times New Roman"/>
          <w:b/>
          <w:bCs/>
          <w:sz w:val="24"/>
          <w:szCs w:val="24"/>
        </w:rPr>
        <w:t xml:space="preserve">.2 </w:t>
      </w:r>
      <w:r w:rsidR="007C075E" w:rsidRPr="00346EA4">
        <w:rPr>
          <w:rFonts w:ascii="Times New Roman" w:hAnsi="Times New Roman" w:cs="Times New Roman"/>
          <w:b/>
          <w:bCs/>
          <w:sz w:val="24"/>
          <w:szCs w:val="24"/>
        </w:rPr>
        <w:t>Preparation of Fermented Sorghum Flour</w:t>
      </w:r>
      <w:r w:rsidR="008C18A3" w:rsidRPr="00346EA4">
        <w:rPr>
          <w:rFonts w:ascii="Times New Roman" w:hAnsi="Times New Roman" w:cs="Times New Roman"/>
          <w:b/>
          <w:bCs/>
          <w:sz w:val="24"/>
          <w:szCs w:val="24"/>
        </w:rPr>
        <w:t xml:space="preserve">: </w:t>
      </w:r>
      <w:r w:rsidR="00AE5D89" w:rsidRPr="00AE5D89">
        <w:rPr>
          <w:rFonts w:ascii="Times New Roman" w:hAnsi="Times New Roman" w:cs="Times New Roman"/>
          <w:bCs/>
          <w:sz w:val="24"/>
          <w:szCs w:val="24"/>
        </w:rPr>
        <w:t xml:space="preserve">Wet milling will be used to create the fermented sorghum flour. The sorghum grains will be cleaned to get rid of extraneous items and broken grains. The grains will be cooked in water (1:2 w/v) at 100 ± 2ºC for 2 min. In a professional sorghum mill, the cooked grains will be wet milled before being filtered through cheesecloth soaked in extra water. The resulting slurry will be allowed to settle and ferment at room </w:t>
      </w:r>
      <w:r w:rsidR="00AE5D89" w:rsidRPr="00AE5D89">
        <w:rPr>
          <w:rFonts w:ascii="Times New Roman" w:hAnsi="Times New Roman" w:cs="Times New Roman"/>
          <w:bCs/>
          <w:sz w:val="24"/>
          <w:szCs w:val="24"/>
        </w:rPr>
        <w:lastRenderedPageBreak/>
        <w:t xml:space="preserve">temperature (27 ± 2ºC) for three days. The resulting paste will be baked in an oven at 40ºC for two days after the water has been decanted. A sorghum mill (type Corona-2N, England) will be used to grind the dried mixture into flour. The flour will be packaged in 55 </w:t>
      </w:r>
      <w:proofErr w:type="spellStart"/>
      <w:r w:rsidR="00AE5D89" w:rsidRPr="00AE5D89">
        <w:rPr>
          <w:rFonts w:ascii="Times New Roman" w:hAnsi="Times New Roman" w:cs="Times New Roman"/>
          <w:bCs/>
          <w:sz w:val="24"/>
          <w:szCs w:val="24"/>
        </w:rPr>
        <w:t>μm</w:t>
      </w:r>
      <w:proofErr w:type="spellEnd"/>
      <w:r w:rsidR="00AE5D89" w:rsidRPr="00AE5D89">
        <w:rPr>
          <w:rFonts w:ascii="Times New Roman" w:hAnsi="Times New Roman" w:cs="Times New Roman"/>
          <w:bCs/>
          <w:sz w:val="24"/>
          <w:szCs w:val="24"/>
        </w:rPr>
        <w:t xml:space="preserve">-thick polyethylene bags after being sieved (45 </w:t>
      </w:r>
      <w:proofErr w:type="spellStart"/>
      <w:r w:rsidR="00AE5D89" w:rsidRPr="00AE5D89">
        <w:rPr>
          <w:rFonts w:ascii="Times New Roman" w:hAnsi="Times New Roman" w:cs="Times New Roman"/>
          <w:bCs/>
          <w:sz w:val="24"/>
          <w:szCs w:val="24"/>
        </w:rPr>
        <w:t>μm</w:t>
      </w:r>
      <w:proofErr w:type="spellEnd"/>
      <w:r w:rsidR="00AE5D89" w:rsidRPr="00AE5D89">
        <w:rPr>
          <w:rFonts w:ascii="Times New Roman" w:hAnsi="Times New Roman" w:cs="Times New Roman"/>
          <w:bCs/>
          <w:sz w:val="24"/>
          <w:szCs w:val="24"/>
        </w:rPr>
        <w:t>). After that, it will be kept in a refrigerator at 4ºC until it is needed (</w:t>
      </w:r>
      <w:proofErr w:type="spellStart"/>
      <w:r w:rsidR="00AE5D89" w:rsidRPr="00AE5D89">
        <w:rPr>
          <w:rFonts w:ascii="Times New Roman" w:hAnsi="Times New Roman" w:cs="Times New Roman"/>
          <w:bCs/>
          <w:sz w:val="24"/>
          <w:szCs w:val="24"/>
        </w:rPr>
        <w:t>Ityotagher</w:t>
      </w:r>
      <w:proofErr w:type="spellEnd"/>
      <w:r w:rsidR="00AE5D89" w:rsidRPr="00AE5D89">
        <w:rPr>
          <w:rFonts w:ascii="Times New Roman" w:hAnsi="Times New Roman" w:cs="Times New Roman"/>
          <w:bCs/>
          <w:sz w:val="24"/>
          <w:szCs w:val="24"/>
        </w:rPr>
        <w:t>, 2022).</w:t>
      </w:r>
    </w:p>
    <w:p w14:paraId="7210B710" w14:textId="77777777" w:rsidR="00AE5D89" w:rsidRDefault="008819D2" w:rsidP="00AE5D89">
      <w:pPr>
        <w:spacing w:line="276" w:lineRule="auto"/>
        <w:jc w:val="both"/>
        <w:rPr>
          <w:rFonts w:ascii="Times New Roman" w:hAnsi="Times New Roman" w:cs="Times New Roman"/>
          <w:sz w:val="24"/>
          <w:szCs w:val="24"/>
          <w:shd w:val="clear" w:color="auto" w:fill="FFFFFF"/>
        </w:rPr>
      </w:pPr>
      <w:r w:rsidRPr="00346EA4">
        <w:rPr>
          <w:rFonts w:ascii="Times New Roman" w:hAnsi="Times New Roman" w:cs="Times New Roman"/>
          <w:b/>
          <w:bCs/>
          <w:sz w:val="24"/>
          <w:szCs w:val="24"/>
        </w:rPr>
        <w:t>2</w:t>
      </w:r>
      <w:r w:rsidR="00C366A6" w:rsidRPr="00346EA4">
        <w:rPr>
          <w:rFonts w:ascii="Times New Roman" w:hAnsi="Times New Roman" w:cs="Times New Roman"/>
          <w:b/>
          <w:bCs/>
          <w:sz w:val="24"/>
          <w:szCs w:val="24"/>
        </w:rPr>
        <w:t xml:space="preserve">.3 </w:t>
      </w:r>
      <w:r w:rsidR="007C075E" w:rsidRPr="00346EA4">
        <w:rPr>
          <w:rFonts w:ascii="Times New Roman" w:hAnsi="Times New Roman" w:cs="Times New Roman"/>
          <w:b/>
          <w:bCs/>
          <w:sz w:val="24"/>
          <w:szCs w:val="24"/>
        </w:rPr>
        <w:t>Preparation of Fermented Pigeon Pea Flour</w:t>
      </w:r>
      <w:r w:rsidR="008C18A3" w:rsidRPr="00346EA4">
        <w:rPr>
          <w:rFonts w:ascii="Times New Roman" w:hAnsi="Times New Roman" w:cs="Times New Roman"/>
          <w:b/>
          <w:bCs/>
          <w:sz w:val="24"/>
          <w:szCs w:val="24"/>
        </w:rPr>
        <w:t xml:space="preserve">: </w:t>
      </w:r>
      <w:r w:rsidR="00AE5D89" w:rsidRPr="00AE5D89">
        <w:rPr>
          <w:rFonts w:ascii="Times New Roman" w:hAnsi="Times New Roman" w:cs="Times New Roman"/>
          <w:sz w:val="24"/>
          <w:szCs w:val="24"/>
          <w:shd w:val="clear" w:color="auto" w:fill="FFFFFF"/>
        </w:rPr>
        <w:t xml:space="preserve">As stated by Akubor (2017), a part of the raw pigeon pea flour (RPPF) will be combined with water in a covered plastic bowl at a ratio of 3.2 (water: flour). The paste will undergo five days of fermentation, oven drying at 60°C for three hours, attrition milling, and screening through a </w:t>
      </w:r>
      <w:proofErr w:type="gramStart"/>
      <w:r w:rsidR="00AE5D89" w:rsidRPr="00AE5D89">
        <w:rPr>
          <w:rFonts w:ascii="Times New Roman" w:hAnsi="Times New Roman" w:cs="Times New Roman"/>
          <w:sz w:val="24"/>
          <w:szCs w:val="24"/>
          <w:shd w:val="clear" w:color="auto" w:fill="FFFFFF"/>
        </w:rPr>
        <w:t>60 mesh</w:t>
      </w:r>
      <w:proofErr w:type="gramEnd"/>
      <w:r w:rsidR="00AE5D89" w:rsidRPr="00AE5D89">
        <w:rPr>
          <w:rFonts w:ascii="Times New Roman" w:hAnsi="Times New Roman" w:cs="Times New Roman"/>
          <w:sz w:val="24"/>
          <w:szCs w:val="24"/>
          <w:shd w:val="clear" w:color="auto" w:fill="FFFFFF"/>
        </w:rPr>
        <w:t xml:space="preserve"> sieve (0.1 mm). Before being used, all of the flour samples will be kept in high density polyethylene (HDPE) bags that are 0.77 mm thick.</w:t>
      </w:r>
    </w:p>
    <w:p w14:paraId="064BCE5D" w14:textId="77777777" w:rsidR="007C075E" w:rsidRPr="00346EA4" w:rsidRDefault="008819D2" w:rsidP="00AE5D89">
      <w:pPr>
        <w:spacing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2</w:t>
      </w:r>
      <w:r w:rsidR="00C366A6" w:rsidRPr="00346EA4">
        <w:rPr>
          <w:rFonts w:ascii="Times New Roman" w:hAnsi="Times New Roman" w:cs="Times New Roman"/>
          <w:b/>
          <w:bCs/>
          <w:sz w:val="24"/>
          <w:szCs w:val="24"/>
        </w:rPr>
        <w:t>.4</w:t>
      </w:r>
      <w:r w:rsidR="007C075E" w:rsidRPr="00346EA4">
        <w:rPr>
          <w:rFonts w:ascii="Times New Roman" w:hAnsi="Times New Roman" w:cs="Times New Roman"/>
          <w:b/>
          <w:bCs/>
          <w:sz w:val="24"/>
          <w:szCs w:val="24"/>
        </w:rPr>
        <w:t xml:space="preserve"> Flour Formulation</w:t>
      </w:r>
    </w:p>
    <w:p w14:paraId="2538687B" w14:textId="21F1E527" w:rsidR="00EB53ED" w:rsidRPr="00346EA4" w:rsidRDefault="00F3476D" w:rsidP="00E10A6A">
      <w:pPr>
        <w:spacing w:after="0" w:line="276" w:lineRule="auto"/>
        <w:jc w:val="both"/>
        <w:rPr>
          <w:rFonts w:ascii="Times New Roman" w:hAnsi="Times New Roman" w:cs="Times New Roman"/>
        </w:rPr>
      </w:pPr>
      <w:r>
        <w:rPr>
          <w:rFonts w:ascii="Times New Roman" w:hAnsi="Times New Roman" w:cs="Times New Roman"/>
        </w:rPr>
        <w:t xml:space="preserve">List 1. </w:t>
      </w:r>
      <w:r w:rsidR="00EB53ED" w:rsidRPr="00346EA4">
        <w:rPr>
          <w:rFonts w:ascii="Times New Roman" w:hAnsi="Times New Roman" w:cs="Times New Roman"/>
        </w:rPr>
        <w:t>Composite flour blends will be prepared in the following ratios:</w:t>
      </w:r>
    </w:p>
    <w:tbl>
      <w:tblPr>
        <w:tblStyle w:val="TableGrid"/>
        <w:tblW w:w="0" w:type="auto"/>
        <w:tblLook w:val="04A0" w:firstRow="1" w:lastRow="0" w:firstColumn="1" w:lastColumn="0" w:noHBand="0" w:noVBand="1"/>
      </w:tblPr>
      <w:tblGrid>
        <w:gridCol w:w="2337"/>
        <w:gridCol w:w="2337"/>
        <w:gridCol w:w="2338"/>
        <w:gridCol w:w="2338"/>
      </w:tblGrid>
      <w:tr w:rsidR="00346EA4" w:rsidRPr="00346EA4" w14:paraId="62CCC166" w14:textId="77777777" w:rsidTr="008E70EB">
        <w:trPr>
          <w:trHeight w:val="386"/>
        </w:trPr>
        <w:tc>
          <w:tcPr>
            <w:tcW w:w="2337" w:type="dxa"/>
          </w:tcPr>
          <w:p w14:paraId="000CEDFC"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 xml:space="preserve">Sample </w:t>
            </w:r>
          </w:p>
        </w:tc>
        <w:tc>
          <w:tcPr>
            <w:tcW w:w="2337" w:type="dxa"/>
          </w:tcPr>
          <w:p w14:paraId="0B1291F9"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Wheat (%)</w:t>
            </w:r>
          </w:p>
        </w:tc>
        <w:tc>
          <w:tcPr>
            <w:tcW w:w="2338" w:type="dxa"/>
          </w:tcPr>
          <w:p w14:paraId="6276C47D"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Sorghum (%)</w:t>
            </w:r>
          </w:p>
        </w:tc>
        <w:tc>
          <w:tcPr>
            <w:tcW w:w="2338" w:type="dxa"/>
          </w:tcPr>
          <w:p w14:paraId="015CDE67"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Pigeon Pea (%)</w:t>
            </w:r>
          </w:p>
        </w:tc>
      </w:tr>
      <w:tr w:rsidR="00346EA4" w:rsidRPr="00346EA4" w14:paraId="19C9E964" w14:textId="77777777" w:rsidTr="00613D0E">
        <w:tc>
          <w:tcPr>
            <w:tcW w:w="2337" w:type="dxa"/>
          </w:tcPr>
          <w:p w14:paraId="642457CC"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CC</w:t>
            </w:r>
          </w:p>
        </w:tc>
        <w:tc>
          <w:tcPr>
            <w:tcW w:w="2337" w:type="dxa"/>
          </w:tcPr>
          <w:p w14:paraId="61490812"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100</w:t>
            </w:r>
          </w:p>
        </w:tc>
        <w:tc>
          <w:tcPr>
            <w:tcW w:w="2338" w:type="dxa"/>
          </w:tcPr>
          <w:p w14:paraId="49C78802"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0</w:t>
            </w:r>
          </w:p>
        </w:tc>
        <w:tc>
          <w:tcPr>
            <w:tcW w:w="2338" w:type="dxa"/>
          </w:tcPr>
          <w:p w14:paraId="06B99D08"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0</w:t>
            </w:r>
          </w:p>
        </w:tc>
      </w:tr>
      <w:tr w:rsidR="00346EA4" w:rsidRPr="00346EA4" w14:paraId="6E080C1B" w14:textId="77777777" w:rsidTr="00613D0E">
        <w:tc>
          <w:tcPr>
            <w:tcW w:w="2337" w:type="dxa"/>
          </w:tcPr>
          <w:p w14:paraId="720B5E9E"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CP25</w:t>
            </w:r>
          </w:p>
        </w:tc>
        <w:tc>
          <w:tcPr>
            <w:tcW w:w="2337" w:type="dxa"/>
          </w:tcPr>
          <w:p w14:paraId="3939C391"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75</w:t>
            </w:r>
          </w:p>
        </w:tc>
        <w:tc>
          <w:tcPr>
            <w:tcW w:w="2338" w:type="dxa"/>
          </w:tcPr>
          <w:p w14:paraId="7810685D"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25</w:t>
            </w:r>
          </w:p>
        </w:tc>
        <w:tc>
          <w:tcPr>
            <w:tcW w:w="2338" w:type="dxa"/>
          </w:tcPr>
          <w:p w14:paraId="2880BE0F"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0</w:t>
            </w:r>
          </w:p>
        </w:tc>
      </w:tr>
      <w:tr w:rsidR="00346EA4" w:rsidRPr="00346EA4" w14:paraId="607CFCDE" w14:textId="77777777" w:rsidTr="00613D0E">
        <w:tc>
          <w:tcPr>
            <w:tcW w:w="2337" w:type="dxa"/>
          </w:tcPr>
          <w:p w14:paraId="45C54CA9"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CP50</w:t>
            </w:r>
          </w:p>
        </w:tc>
        <w:tc>
          <w:tcPr>
            <w:tcW w:w="2337" w:type="dxa"/>
          </w:tcPr>
          <w:p w14:paraId="3D1ADC1E"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50</w:t>
            </w:r>
          </w:p>
        </w:tc>
        <w:tc>
          <w:tcPr>
            <w:tcW w:w="2338" w:type="dxa"/>
          </w:tcPr>
          <w:p w14:paraId="4A7B33E1"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50</w:t>
            </w:r>
          </w:p>
        </w:tc>
        <w:tc>
          <w:tcPr>
            <w:tcW w:w="2338" w:type="dxa"/>
          </w:tcPr>
          <w:p w14:paraId="7382156D" w14:textId="77777777" w:rsidR="00EB53ED" w:rsidRPr="00346EA4" w:rsidRDefault="00EB53ED" w:rsidP="001C1ED3">
            <w:pPr>
              <w:spacing w:line="276" w:lineRule="auto"/>
              <w:jc w:val="both"/>
              <w:rPr>
                <w:rFonts w:ascii="Times New Roman" w:hAnsi="Times New Roman" w:cs="Times New Roman"/>
              </w:rPr>
            </w:pPr>
            <w:r w:rsidRPr="00346EA4">
              <w:rPr>
                <w:rFonts w:ascii="Times New Roman" w:hAnsi="Times New Roman" w:cs="Times New Roman"/>
              </w:rPr>
              <w:t>0</w:t>
            </w:r>
          </w:p>
        </w:tc>
      </w:tr>
      <w:tr w:rsidR="00346EA4" w:rsidRPr="00346EA4" w14:paraId="2AFC2837" w14:textId="77777777" w:rsidTr="00613D0E">
        <w:tc>
          <w:tcPr>
            <w:tcW w:w="2337" w:type="dxa"/>
          </w:tcPr>
          <w:p w14:paraId="35FDBDAC"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CS25</w:t>
            </w:r>
          </w:p>
        </w:tc>
        <w:tc>
          <w:tcPr>
            <w:tcW w:w="2337" w:type="dxa"/>
          </w:tcPr>
          <w:p w14:paraId="62622DF9"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75</w:t>
            </w:r>
          </w:p>
        </w:tc>
        <w:tc>
          <w:tcPr>
            <w:tcW w:w="2338" w:type="dxa"/>
          </w:tcPr>
          <w:p w14:paraId="6B8A9607"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0</w:t>
            </w:r>
          </w:p>
        </w:tc>
        <w:tc>
          <w:tcPr>
            <w:tcW w:w="2338" w:type="dxa"/>
          </w:tcPr>
          <w:p w14:paraId="3EAA6BF3"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25</w:t>
            </w:r>
          </w:p>
        </w:tc>
      </w:tr>
      <w:tr w:rsidR="00346EA4" w:rsidRPr="00346EA4" w14:paraId="0A20456B" w14:textId="77777777" w:rsidTr="00613D0E">
        <w:tc>
          <w:tcPr>
            <w:tcW w:w="2337" w:type="dxa"/>
          </w:tcPr>
          <w:p w14:paraId="269F7EC7"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CS50</w:t>
            </w:r>
          </w:p>
        </w:tc>
        <w:tc>
          <w:tcPr>
            <w:tcW w:w="2337" w:type="dxa"/>
          </w:tcPr>
          <w:p w14:paraId="4FCF65FE"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50</w:t>
            </w:r>
          </w:p>
        </w:tc>
        <w:tc>
          <w:tcPr>
            <w:tcW w:w="2338" w:type="dxa"/>
          </w:tcPr>
          <w:p w14:paraId="6288A8F9" w14:textId="77777777" w:rsidR="00EB53ED" w:rsidRPr="00346EA4" w:rsidRDefault="008E70EB" w:rsidP="001C1ED3">
            <w:pPr>
              <w:spacing w:line="276" w:lineRule="auto"/>
              <w:jc w:val="both"/>
              <w:rPr>
                <w:rFonts w:ascii="Times New Roman" w:hAnsi="Times New Roman" w:cs="Times New Roman"/>
              </w:rPr>
            </w:pPr>
            <w:r>
              <w:rPr>
                <w:rFonts w:ascii="Times New Roman" w:hAnsi="Times New Roman" w:cs="Times New Roman"/>
              </w:rPr>
              <w:t>0</w:t>
            </w:r>
          </w:p>
        </w:tc>
        <w:tc>
          <w:tcPr>
            <w:tcW w:w="2338" w:type="dxa"/>
          </w:tcPr>
          <w:p w14:paraId="2FC74148" w14:textId="77777777" w:rsidR="00EB53ED" w:rsidRPr="00346EA4" w:rsidRDefault="008819D2" w:rsidP="001C1ED3">
            <w:pPr>
              <w:spacing w:line="276" w:lineRule="auto"/>
              <w:jc w:val="both"/>
              <w:rPr>
                <w:rFonts w:ascii="Times New Roman" w:hAnsi="Times New Roman" w:cs="Times New Roman"/>
              </w:rPr>
            </w:pPr>
            <w:r w:rsidRPr="00346EA4">
              <w:rPr>
                <w:rFonts w:ascii="Times New Roman" w:hAnsi="Times New Roman" w:cs="Times New Roman"/>
              </w:rPr>
              <w:t>50</w:t>
            </w:r>
          </w:p>
        </w:tc>
      </w:tr>
    </w:tbl>
    <w:p w14:paraId="1313E0AE" w14:textId="77777777" w:rsidR="00752ED9" w:rsidRPr="00346EA4" w:rsidRDefault="00752ED9" w:rsidP="00E10A6A">
      <w:pPr>
        <w:spacing w:after="0" w:line="276" w:lineRule="auto"/>
        <w:jc w:val="both"/>
        <w:rPr>
          <w:rFonts w:ascii="Times New Roman" w:hAnsi="Times New Roman" w:cs="Times New Roman"/>
        </w:rPr>
      </w:pPr>
    </w:p>
    <w:p w14:paraId="7C9F3FA2" w14:textId="77777777" w:rsidR="00AE5D89" w:rsidRDefault="008819D2" w:rsidP="00E10A6A">
      <w:pPr>
        <w:spacing w:after="0" w:line="276" w:lineRule="auto"/>
        <w:jc w:val="both"/>
        <w:rPr>
          <w:rFonts w:ascii="Times New Roman" w:hAnsi="Times New Roman" w:cs="Times New Roman"/>
          <w:sz w:val="24"/>
          <w:szCs w:val="24"/>
        </w:rPr>
      </w:pPr>
      <w:r w:rsidRPr="00346EA4">
        <w:rPr>
          <w:rFonts w:ascii="Times New Roman" w:hAnsi="Times New Roman" w:cs="Times New Roman"/>
          <w:b/>
          <w:bCs/>
          <w:sz w:val="24"/>
          <w:szCs w:val="24"/>
        </w:rPr>
        <w:t>2</w:t>
      </w:r>
      <w:r w:rsidR="00C366A6" w:rsidRPr="00346EA4">
        <w:rPr>
          <w:rFonts w:ascii="Times New Roman" w:hAnsi="Times New Roman" w:cs="Times New Roman"/>
          <w:b/>
          <w:bCs/>
          <w:sz w:val="24"/>
          <w:szCs w:val="24"/>
        </w:rPr>
        <w:t xml:space="preserve">.5 </w:t>
      </w:r>
      <w:r w:rsidR="007C075E" w:rsidRPr="00346EA4">
        <w:rPr>
          <w:rFonts w:ascii="Times New Roman" w:hAnsi="Times New Roman" w:cs="Times New Roman"/>
          <w:b/>
          <w:bCs/>
          <w:sz w:val="24"/>
          <w:szCs w:val="24"/>
        </w:rPr>
        <w:t>Cake Production Procedure</w:t>
      </w:r>
      <w:r w:rsidR="008C18A3" w:rsidRPr="00346EA4">
        <w:rPr>
          <w:rFonts w:ascii="Times New Roman" w:hAnsi="Times New Roman" w:cs="Times New Roman"/>
          <w:b/>
          <w:bCs/>
          <w:sz w:val="24"/>
          <w:szCs w:val="24"/>
        </w:rPr>
        <w:t xml:space="preserve">: </w:t>
      </w:r>
      <w:r w:rsidR="00AE5D89" w:rsidRPr="00AE5D89">
        <w:rPr>
          <w:rFonts w:ascii="Times New Roman" w:hAnsi="Times New Roman" w:cs="Times New Roman"/>
          <w:sz w:val="24"/>
          <w:szCs w:val="24"/>
        </w:rPr>
        <w:t>The creaming process will be used to produce the cakes. Baking powder, baking soda, and Amul powder will be sieved into the flour. After using a hand blender to cream the oil and sugar in a container, the essence will be added. The cream will next be mixed with the sieved flour mixture. Batter must be prepared by correct pounding, and milk or water must be used to keep the right consistency. Set the direction of mixing to either clockwise or counterclockwise. Once the batter is ready, pour it into a greased cake form, bake it at 1800 degrees Celsius, let it cool, and then keep it at room temperature.</w:t>
      </w:r>
    </w:p>
    <w:p w14:paraId="0459348C" w14:textId="77777777" w:rsidR="00225456" w:rsidRPr="00346EA4" w:rsidRDefault="008819D2" w:rsidP="00E10A6A">
      <w:pPr>
        <w:spacing w:after="0" w:line="276" w:lineRule="auto"/>
        <w:jc w:val="both"/>
        <w:rPr>
          <w:rFonts w:ascii="Times New Roman" w:hAnsi="Times New Roman" w:cs="Times New Roman"/>
          <w:b/>
          <w:sz w:val="24"/>
          <w:szCs w:val="24"/>
        </w:rPr>
      </w:pPr>
      <w:r w:rsidRPr="00346EA4">
        <w:rPr>
          <w:rFonts w:ascii="Times New Roman" w:hAnsi="Times New Roman" w:cs="Times New Roman"/>
          <w:b/>
          <w:sz w:val="24"/>
          <w:szCs w:val="24"/>
        </w:rPr>
        <w:t>2</w:t>
      </w:r>
      <w:r w:rsidR="00C366A6" w:rsidRPr="00346EA4">
        <w:rPr>
          <w:rFonts w:ascii="Times New Roman" w:hAnsi="Times New Roman" w:cs="Times New Roman"/>
          <w:b/>
          <w:sz w:val="24"/>
          <w:szCs w:val="24"/>
        </w:rPr>
        <w:t xml:space="preserve">.6 </w:t>
      </w:r>
      <w:r w:rsidR="00225456" w:rsidRPr="00346EA4">
        <w:rPr>
          <w:rFonts w:ascii="Times New Roman" w:hAnsi="Times New Roman" w:cs="Times New Roman"/>
          <w:b/>
          <w:sz w:val="24"/>
          <w:szCs w:val="24"/>
        </w:rPr>
        <w:t>Determination of mineral</w:t>
      </w:r>
      <w:r w:rsidR="001C1ED3" w:rsidRPr="00346EA4">
        <w:rPr>
          <w:rFonts w:ascii="Times New Roman" w:hAnsi="Times New Roman" w:cs="Times New Roman"/>
          <w:b/>
          <w:sz w:val="24"/>
          <w:szCs w:val="24"/>
        </w:rPr>
        <w:t xml:space="preserve"> and vitamin</w:t>
      </w:r>
      <w:r w:rsidR="00225456" w:rsidRPr="00346EA4">
        <w:rPr>
          <w:rFonts w:ascii="Times New Roman" w:hAnsi="Times New Roman" w:cs="Times New Roman"/>
          <w:b/>
          <w:sz w:val="24"/>
          <w:szCs w:val="24"/>
        </w:rPr>
        <w:t xml:space="preserve"> composition</w:t>
      </w:r>
    </w:p>
    <w:p w14:paraId="6D419ABA" w14:textId="77777777" w:rsidR="006F534E" w:rsidRPr="00346EA4" w:rsidRDefault="006F534E" w:rsidP="006F534E">
      <w:pPr>
        <w:spacing w:line="276" w:lineRule="auto"/>
        <w:jc w:val="both"/>
        <w:rPr>
          <w:rFonts w:ascii="Times New Roman" w:hAnsi="Times New Roman" w:cs="Times New Roman"/>
          <w:bCs/>
          <w:sz w:val="24"/>
          <w:szCs w:val="24"/>
        </w:rPr>
      </w:pPr>
      <w:r w:rsidRPr="00346EA4">
        <w:rPr>
          <w:rFonts w:ascii="Times New Roman" w:hAnsi="Times New Roman" w:cs="Times New Roman"/>
          <w:b/>
          <w:bCs/>
          <w:sz w:val="24"/>
          <w:szCs w:val="24"/>
        </w:rPr>
        <w:t>Determination of Mineral Composition of Flour Samples</w:t>
      </w:r>
    </w:p>
    <w:p w14:paraId="08D9B06F" w14:textId="77777777" w:rsidR="00AE5D89" w:rsidRDefault="00AE5D89" w:rsidP="006F534E">
      <w:pPr>
        <w:spacing w:line="276" w:lineRule="auto"/>
        <w:jc w:val="both"/>
        <w:rPr>
          <w:rFonts w:ascii="Times New Roman" w:hAnsi="Times New Roman" w:cs="Times New Roman"/>
          <w:sz w:val="24"/>
          <w:szCs w:val="24"/>
        </w:rPr>
      </w:pPr>
      <w:r w:rsidRPr="00AE5D89">
        <w:rPr>
          <w:rFonts w:ascii="Times New Roman" w:hAnsi="Times New Roman" w:cs="Times New Roman"/>
          <w:sz w:val="24"/>
          <w:szCs w:val="24"/>
        </w:rPr>
        <w:t>In pursuant to standardized procedures stipulated by the Association of Official Analytical Chemists (AOAC, 2019) and other recent analytical studies (Adepoju et al., 2021; Ibrahim et al., 2020), the mineral contents of the flour samples, namely phosphorus, iron, calcium, magnesium, and potassium, were determined using wet acid digestion followed by Atomic Absorption Spectrophotometry (AAS), flame photometry, and UV-visible spectrophotometric methods.</w:t>
      </w:r>
    </w:p>
    <w:p w14:paraId="2252444E" w14:textId="77777777" w:rsidR="006F534E" w:rsidRPr="003B7640" w:rsidRDefault="006F534E" w:rsidP="006F534E">
      <w:pPr>
        <w:spacing w:line="276" w:lineRule="auto"/>
        <w:jc w:val="both"/>
        <w:rPr>
          <w:rFonts w:ascii="Times New Roman" w:hAnsi="Times New Roman" w:cs="Times New Roman"/>
          <w:bCs/>
          <w:sz w:val="24"/>
          <w:szCs w:val="24"/>
        </w:rPr>
      </w:pPr>
      <w:r w:rsidRPr="003B7640">
        <w:rPr>
          <w:rFonts w:ascii="Times New Roman" w:hAnsi="Times New Roman" w:cs="Times New Roman"/>
          <w:bCs/>
          <w:sz w:val="24"/>
          <w:szCs w:val="24"/>
        </w:rPr>
        <w:t>Sample Preparation and Wet Digestion</w:t>
      </w:r>
    </w:p>
    <w:p w14:paraId="49131DBB" w14:textId="77777777" w:rsidR="006F534E" w:rsidRPr="00346EA4" w:rsidRDefault="00AE5D89" w:rsidP="006F534E">
      <w:pPr>
        <w:spacing w:line="276" w:lineRule="auto"/>
        <w:jc w:val="both"/>
        <w:rPr>
          <w:rFonts w:ascii="Times New Roman" w:hAnsi="Times New Roman" w:cs="Times New Roman"/>
          <w:sz w:val="24"/>
          <w:szCs w:val="24"/>
        </w:rPr>
      </w:pPr>
      <w:r w:rsidRPr="00AE5D89">
        <w:rPr>
          <w:rFonts w:ascii="Times New Roman" w:hAnsi="Times New Roman" w:cs="Times New Roman"/>
          <w:sz w:val="24"/>
          <w:szCs w:val="24"/>
        </w:rPr>
        <w:t>Each flour sample was precisely weighed into a digestion flask, weighing around 2 g. The material was mixed with around 20 mL of concentrated nitric acid (HNO</w:t>
      </w:r>
      <w:r w:rsidRPr="00AE5D89">
        <w:rPr>
          <w:rFonts w:ascii="Cambria Math" w:hAnsi="Cambria Math" w:cs="Cambria Math"/>
          <w:sz w:val="24"/>
          <w:szCs w:val="24"/>
        </w:rPr>
        <w:t>₃</w:t>
      </w:r>
      <w:r w:rsidRPr="00AE5D89">
        <w:rPr>
          <w:rFonts w:ascii="Times New Roman" w:hAnsi="Times New Roman" w:cs="Times New Roman"/>
          <w:sz w:val="24"/>
          <w:szCs w:val="24"/>
        </w:rPr>
        <w:t>), perchloric acid (</w:t>
      </w:r>
      <w:proofErr w:type="spellStart"/>
      <w:r w:rsidRPr="00AE5D89">
        <w:rPr>
          <w:rFonts w:ascii="Times New Roman" w:hAnsi="Times New Roman" w:cs="Times New Roman"/>
          <w:sz w:val="24"/>
          <w:szCs w:val="24"/>
        </w:rPr>
        <w:t>HClO</w:t>
      </w:r>
      <w:proofErr w:type="spellEnd"/>
      <w:r w:rsidRPr="00AE5D89">
        <w:rPr>
          <w:rFonts w:ascii="Cambria Math" w:hAnsi="Cambria Math" w:cs="Cambria Math"/>
          <w:sz w:val="24"/>
          <w:szCs w:val="24"/>
        </w:rPr>
        <w:t>₄</w:t>
      </w:r>
      <w:r w:rsidRPr="00AE5D89">
        <w:rPr>
          <w:rFonts w:ascii="Times New Roman" w:hAnsi="Times New Roman" w:cs="Times New Roman"/>
          <w:sz w:val="24"/>
          <w:szCs w:val="24"/>
        </w:rPr>
        <w:t>), and sulfuric acid (H</w:t>
      </w:r>
      <w:r w:rsidRPr="00AE5D89">
        <w:rPr>
          <w:rFonts w:ascii="Cambria Math" w:hAnsi="Cambria Math" w:cs="Cambria Math"/>
          <w:sz w:val="24"/>
          <w:szCs w:val="24"/>
        </w:rPr>
        <w:t>₂</w:t>
      </w:r>
      <w:r w:rsidRPr="00AE5D89">
        <w:rPr>
          <w:rFonts w:ascii="Times New Roman" w:hAnsi="Times New Roman" w:cs="Times New Roman"/>
          <w:sz w:val="24"/>
          <w:szCs w:val="24"/>
        </w:rPr>
        <w:t>SO</w:t>
      </w:r>
      <w:r w:rsidRPr="00AE5D89">
        <w:rPr>
          <w:rFonts w:ascii="Cambria Math" w:hAnsi="Cambria Math" w:cs="Cambria Math"/>
          <w:sz w:val="24"/>
          <w:szCs w:val="24"/>
        </w:rPr>
        <w:t>₄</w:t>
      </w:r>
      <w:r w:rsidRPr="00AE5D89">
        <w:rPr>
          <w:rFonts w:ascii="Times New Roman" w:hAnsi="Times New Roman" w:cs="Times New Roman"/>
          <w:sz w:val="24"/>
          <w:szCs w:val="24"/>
        </w:rPr>
        <w:t xml:space="preserve">) in a 9:2:1 ratio. A clear solution was produced by gradually heating the mixture on a digesting block in a fume cupboard. For mineral analysis, the digest was chilled, </w:t>
      </w:r>
      <w:r w:rsidRPr="00AE5D89">
        <w:rPr>
          <w:rFonts w:ascii="Times New Roman" w:hAnsi="Times New Roman" w:cs="Times New Roman"/>
          <w:sz w:val="24"/>
          <w:szCs w:val="24"/>
        </w:rPr>
        <w:lastRenderedPageBreak/>
        <w:t>filtered through Whatman No. 1 filter paper, and then filled to capacity with distilled water in a 100 mL volumetric flask (AOAC, 2019; Chukwu et al., 2022).</w:t>
      </w:r>
    </w:p>
    <w:p w14:paraId="7D686E04" w14:textId="77777777" w:rsidR="006F534E" w:rsidRPr="000F5A17" w:rsidRDefault="006F534E" w:rsidP="006F534E">
      <w:pPr>
        <w:spacing w:line="276" w:lineRule="auto"/>
        <w:jc w:val="both"/>
        <w:rPr>
          <w:rFonts w:ascii="Times New Roman" w:hAnsi="Times New Roman" w:cs="Times New Roman"/>
          <w:b/>
          <w:bCs/>
          <w:sz w:val="24"/>
          <w:szCs w:val="24"/>
        </w:rPr>
      </w:pPr>
      <w:r w:rsidRPr="000F5A17">
        <w:rPr>
          <w:rFonts w:ascii="Times New Roman" w:hAnsi="Times New Roman" w:cs="Times New Roman"/>
          <w:b/>
          <w:bCs/>
          <w:sz w:val="24"/>
          <w:szCs w:val="24"/>
        </w:rPr>
        <w:t>Determination of Calcium</w:t>
      </w:r>
    </w:p>
    <w:p w14:paraId="2A517C8D" w14:textId="77777777" w:rsidR="00AE5D89" w:rsidRDefault="00AE5D89" w:rsidP="006F534E">
      <w:pPr>
        <w:spacing w:line="276" w:lineRule="auto"/>
        <w:jc w:val="both"/>
        <w:rPr>
          <w:rFonts w:ascii="Times New Roman" w:hAnsi="Times New Roman" w:cs="Times New Roman"/>
          <w:sz w:val="24"/>
          <w:szCs w:val="24"/>
        </w:rPr>
      </w:pPr>
      <w:r w:rsidRPr="00AE5D89">
        <w:rPr>
          <w:rFonts w:ascii="Times New Roman" w:hAnsi="Times New Roman" w:cs="Times New Roman"/>
          <w:sz w:val="24"/>
          <w:szCs w:val="24"/>
        </w:rPr>
        <w:t>AOAC (2019) stipulates that Atomic Absorption Spectrophotometry (AAS) was used to determine the calcium concentration. Analytical-grade calcium standards were used to generate standard calcium solutions for the instrument's calibration. The Atomic Absorption Spectrophotometer was used to aspirate the digested samples at a wavelength of 422.7 nm. The calibration curve was used to calculate the calcium concentration after the absorbance results were compared to those of standard solutions. The findings were reported as mg/100 g of the sample (</w:t>
      </w:r>
      <w:proofErr w:type="spellStart"/>
      <w:r w:rsidRPr="00AE5D89">
        <w:rPr>
          <w:rFonts w:ascii="Times New Roman" w:hAnsi="Times New Roman" w:cs="Times New Roman"/>
          <w:sz w:val="24"/>
          <w:szCs w:val="24"/>
        </w:rPr>
        <w:t>Iwe</w:t>
      </w:r>
      <w:proofErr w:type="spellEnd"/>
      <w:r w:rsidRPr="00AE5D89">
        <w:rPr>
          <w:rFonts w:ascii="Times New Roman" w:hAnsi="Times New Roman" w:cs="Times New Roman"/>
          <w:sz w:val="24"/>
          <w:szCs w:val="24"/>
        </w:rPr>
        <w:t xml:space="preserve"> et al., 2021).</w:t>
      </w:r>
    </w:p>
    <w:p w14:paraId="1323F2AF" w14:textId="77777777" w:rsidR="006F534E" w:rsidRPr="000F5A17" w:rsidRDefault="006F534E" w:rsidP="006F534E">
      <w:pPr>
        <w:spacing w:line="276" w:lineRule="auto"/>
        <w:jc w:val="both"/>
        <w:rPr>
          <w:rFonts w:ascii="Times New Roman" w:hAnsi="Times New Roman" w:cs="Times New Roman"/>
          <w:b/>
          <w:bCs/>
          <w:sz w:val="24"/>
          <w:szCs w:val="24"/>
        </w:rPr>
      </w:pPr>
      <w:r w:rsidRPr="000F5A17">
        <w:rPr>
          <w:rFonts w:ascii="Times New Roman" w:hAnsi="Times New Roman" w:cs="Times New Roman"/>
          <w:b/>
          <w:bCs/>
          <w:sz w:val="24"/>
          <w:szCs w:val="24"/>
        </w:rPr>
        <w:t>Determination of Magnesium</w:t>
      </w:r>
    </w:p>
    <w:p w14:paraId="6521E5A9" w14:textId="77777777" w:rsidR="00813CFA" w:rsidRPr="00813CFA" w:rsidRDefault="00813CFA" w:rsidP="00813CFA">
      <w:pPr>
        <w:spacing w:line="276" w:lineRule="auto"/>
        <w:jc w:val="both"/>
        <w:rPr>
          <w:rFonts w:ascii="Times New Roman" w:hAnsi="Times New Roman" w:cs="Times New Roman"/>
          <w:sz w:val="24"/>
          <w:szCs w:val="24"/>
        </w:rPr>
      </w:pPr>
      <w:r w:rsidRPr="00813CFA">
        <w:rPr>
          <w:rFonts w:ascii="Times New Roman" w:hAnsi="Times New Roman" w:cs="Times New Roman"/>
          <w:sz w:val="24"/>
          <w:szCs w:val="24"/>
        </w:rPr>
        <w:t xml:space="preserve">According to AOAC (2019), Atomic Absorption Spectrophotometry was used to measure the magnesium </w:t>
      </w:r>
      <w:proofErr w:type="spellStart"/>
      <w:proofErr w:type="gramStart"/>
      <w:r w:rsidRPr="00813CFA">
        <w:rPr>
          <w:rFonts w:ascii="Times New Roman" w:hAnsi="Times New Roman" w:cs="Times New Roman"/>
          <w:sz w:val="24"/>
          <w:szCs w:val="24"/>
        </w:rPr>
        <w:t>content.Following</w:t>
      </w:r>
      <w:proofErr w:type="spellEnd"/>
      <w:proofErr w:type="gramEnd"/>
      <w:r w:rsidRPr="00813CFA">
        <w:rPr>
          <w:rFonts w:ascii="Times New Roman" w:hAnsi="Times New Roman" w:cs="Times New Roman"/>
          <w:sz w:val="24"/>
          <w:szCs w:val="24"/>
        </w:rPr>
        <w:t xml:space="preserve"> appropriate calibration using magnesium standard solutions, the digested samples were inhaled into the AAS at a wavelength of 285.2 </w:t>
      </w:r>
      <w:proofErr w:type="spellStart"/>
      <w:proofErr w:type="gramStart"/>
      <w:r w:rsidRPr="00813CFA">
        <w:rPr>
          <w:rFonts w:ascii="Times New Roman" w:hAnsi="Times New Roman" w:cs="Times New Roman"/>
          <w:sz w:val="24"/>
          <w:szCs w:val="24"/>
        </w:rPr>
        <w:t>nm.After</w:t>
      </w:r>
      <w:proofErr w:type="spellEnd"/>
      <w:proofErr w:type="gramEnd"/>
      <w:r w:rsidRPr="00813CFA">
        <w:rPr>
          <w:rFonts w:ascii="Times New Roman" w:hAnsi="Times New Roman" w:cs="Times New Roman"/>
          <w:sz w:val="24"/>
          <w:szCs w:val="24"/>
        </w:rPr>
        <w:t xml:space="preserve"> recording the absorbance measurements, the magnesium concentration was calculated using the standard curve and represented as mg/100 g of sample (Adebayo-</w:t>
      </w:r>
      <w:proofErr w:type="spellStart"/>
      <w:r w:rsidRPr="00813CFA">
        <w:rPr>
          <w:rFonts w:ascii="Times New Roman" w:hAnsi="Times New Roman" w:cs="Times New Roman"/>
          <w:sz w:val="24"/>
          <w:szCs w:val="24"/>
        </w:rPr>
        <w:t>Oyetoro</w:t>
      </w:r>
      <w:proofErr w:type="spellEnd"/>
      <w:r w:rsidRPr="00813CFA">
        <w:rPr>
          <w:rFonts w:ascii="Times New Roman" w:hAnsi="Times New Roman" w:cs="Times New Roman"/>
          <w:sz w:val="24"/>
          <w:szCs w:val="24"/>
        </w:rPr>
        <w:t xml:space="preserve"> et al., 2020).</w:t>
      </w:r>
    </w:p>
    <w:p w14:paraId="6074662D" w14:textId="77777777" w:rsidR="00813CFA" w:rsidRPr="00813CFA" w:rsidRDefault="00813CFA" w:rsidP="00813CFA">
      <w:pPr>
        <w:spacing w:line="276" w:lineRule="auto"/>
        <w:jc w:val="both"/>
        <w:rPr>
          <w:rFonts w:ascii="Times New Roman" w:hAnsi="Times New Roman" w:cs="Times New Roman"/>
          <w:b/>
          <w:sz w:val="24"/>
          <w:szCs w:val="24"/>
        </w:rPr>
      </w:pPr>
      <w:r w:rsidRPr="00813CFA">
        <w:rPr>
          <w:rFonts w:ascii="Times New Roman" w:hAnsi="Times New Roman" w:cs="Times New Roman"/>
          <w:b/>
          <w:sz w:val="24"/>
          <w:szCs w:val="24"/>
        </w:rPr>
        <w:t>Iron Determination</w:t>
      </w:r>
    </w:p>
    <w:p w14:paraId="6C80A7C2" w14:textId="77777777" w:rsidR="00813CFA" w:rsidRDefault="00813CFA" w:rsidP="00813CFA">
      <w:pPr>
        <w:spacing w:line="276" w:lineRule="auto"/>
        <w:jc w:val="both"/>
        <w:rPr>
          <w:rFonts w:ascii="Times New Roman" w:hAnsi="Times New Roman" w:cs="Times New Roman"/>
          <w:sz w:val="24"/>
          <w:szCs w:val="24"/>
        </w:rPr>
      </w:pPr>
      <w:r w:rsidRPr="00813CFA">
        <w:rPr>
          <w:rFonts w:ascii="Times New Roman" w:hAnsi="Times New Roman" w:cs="Times New Roman"/>
          <w:sz w:val="24"/>
          <w:szCs w:val="24"/>
        </w:rPr>
        <w:t>The Atomic Absorption Spectrophotometric technique, as described by AOAC (2019), was used to determine iron. At a wavelength of 248.3 nm, the digested sample solutions were inhaled into the AAS. The concentration of iron in the samples was determined using the calibration curve and standard iron solutions for calibration. The findings were reported as mg/100 g of the sample (Olagunju et al., 2021).</w:t>
      </w:r>
    </w:p>
    <w:p w14:paraId="1EB0AE65" w14:textId="77777777" w:rsidR="00813CFA" w:rsidRPr="00813CFA" w:rsidRDefault="00813CFA" w:rsidP="00813CFA">
      <w:pPr>
        <w:spacing w:line="276" w:lineRule="auto"/>
        <w:jc w:val="both"/>
        <w:rPr>
          <w:rFonts w:ascii="Times New Roman" w:hAnsi="Times New Roman" w:cs="Times New Roman"/>
          <w:b/>
          <w:bCs/>
          <w:sz w:val="24"/>
          <w:szCs w:val="24"/>
        </w:rPr>
      </w:pPr>
      <w:r w:rsidRPr="00813CFA">
        <w:rPr>
          <w:rFonts w:ascii="Times New Roman" w:hAnsi="Times New Roman" w:cs="Times New Roman"/>
          <w:b/>
          <w:bCs/>
          <w:sz w:val="24"/>
          <w:szCs w:val="24"/>
        </w:rPr>
        <w:t>Potassium Determination</w:t>
      </w:r>
    </w:p>
    <w:p w14:paraId="7B1F2856" w14:textId="77777777" w:rsidR="00813CFA" w:rsidRPr="00813CFA" w:rsidRDefault="00813CFA" w:rsidP="00813CFA">
      <w:pPr>
        <w:spacing w:line="276" w:lineRule="auto"/>
        <w:jc w:val="both"/>
        <w:rPr>
          <w:rFonts w:ascii="Times New Roman" w:hAnsi="Times New Roman" w:cs="Times New Roman"/>
          <w:bCs/>
          <w:sz w:val="24"/>
          <w:szCs w:val="24"/>
        </w:rPr>
      </w:pPr>
      <w:r w:rsidRPr="00813CFA">
        <w:rPr>
          <w:rFonts w:ascii="Times New Roman" w:hAnsi="Times New Roman" w:cs="Times New Roman"/>
          <w:bCs/>
          <w:sz w:val="24"/>
          <w:szCs w:val="24"/>
        </w:rPr>
        <w:t xml:space="preserve">A flame photometer was used to measure the potassium concentration in accordance with the AOAC (2019) standard. To calibrate the instruments, standard potassium solutions with established concentrations were made. The emission intensity was evaluated after the digested sample solution was inhaled into the flame photometer. The standard calibration curve was used to determine the potassium concentration in the flour samples, which was then expressed as mg/100 g sample (Eke-Ejiofor &amp; </w:t>
      </w:r>
      <w:proofErr w:type="spellStart"/>
      <w:r w:rsidRPr="00813CFA">
        <w:rPr>
          <w:rFonts w:ascii="Times New Roman" w:hAnsi="Times New Roman" w:cs="Times New Roman"/>
          <w:bCs/>
          <w:sz w:val="24"/>
          <w:szCs w:val="24"/>
        </w:rPr>
        <w:t>Beleya</w:t>
      </w:r>
      <w:proofErr w:type="spellEnd"/>
      <w:r w:rsidRPr="00813CFA">
        <w:rPr>
          <w:rFonts w:ascii="Times New Roman" w:hAnsi="Times New Roman" w:cs="Times New Roman"/>
          <w:bCs/>
          <w:sz w:val="24"/>
          <w:szCs w:val="24"/>
        </w:rPr>
        <w:t>, 2019).</w:t>
      </w:r>
    </w:p>
    <w:p w14:paraId="755B6EAA" w14:textId="77777777" w:rsidR="00813CFA" w:rsidRPr="00813CFA" w:rsidRDefault="00813CFA" w:rsidP="00813CFA">
      <w:pPr>
        <w:spacing w:line="276" w:lineRule="auto"/>
        <w:jc w:val="both"/>
        <w:rPr>
          <w:rFonts w:ascii="Times New Roman" w:hAnsi="Times New Roman" w:cs="Times New Roman"/>
          <w:b/>
          <w:bCs/>
          <w:sz w:val="24"/>
          <w:szCs w:val="24"/>
        </w:rPr>
      </w:pPr>
      <w:r w:rsidRPr="00813CFA">
        <w:rPr>
          <w:rFonts w:ascii="Times New Roman" w:hAnsi="Times New Roman" w:cs="Times New Roman"/>
          <w:b/>
          <w:bCs/>
          <w:sz w:val="24"/>
          <w:szCs w:val="24"/>
        </w:rPr>
        <w:t>Phosphorus Determination</w:t>
      </w:r>
    </w:p>
    <w:p w14:paraId="4FB160AD" w14:textId="77777777" w:rsidR="00813CFA" w:rsidRPr="00813CFA" w:rsidRDefault="00813CFA" w:rsidP="00813CFA">
      <w:pPr>
        <w:spacing w:line="276" w:lineRule="auto"/>
        <w:jc w:val="both"/>
        <w:rPr>
          <w:rFonts w:ascii="Times New Roman" w:hAnsi="Times New Roman" w:cs="Times New Roman"/>
          <w:sz w:val="24"/>
          <w:szCs w:val="24"/>
        </w:rPr>
      </w:pPr>
      <w:r w:rsidRPr="00813CFA">
        <w:rPr>
          <w:rFonts w:ascii="Times New Roman" w:hAnsi="Times New Roman" w:cs="Times New Roman"/>
          <w:bCs/>
          <w:sz w:val="24"/>
          <w:szCs w:val="24"/>
        </w:rPr>
        <w:t>The molybdovanadate colorimetric method, as outlined by AOAC (2019), was used to estimate the phosphorus concentration. Ammonium molybdate and ammonium vanadate reagents were added to a test tube containing an aliquot of the digested material. Using a UV-visible spectrophotometer, the yellow complex that generated was detected spectrophotometrically at 420 nm.</w:t>
      </w:r>
      <w:r w:rsidR="006F534E" w:rsidRPr="00346EA4">
        <w:rPr>
          <w:rFonts w:ascii="Times New Roman" w:hAnsi="Times New Roman" w:cs="Times New Roman"/>
          <w:sz w:val="24"/>
          <w:szCs w:val="24"/>
        </w:rPr>
        <w:t xml:space="preserve"> </w:t>
      </w:r>
      <w:r w:rsidRPr="00813CFA">
        <w:rPr>
          <w:rFonts w:ascii="Times New Roman" w:hAnsi="Times New Roman" w:cs="Times New Roman"/>
          <w:sz w:val="24"/>
          <w:szCs w:val="24"/>
        </w:rPr>
        <w:t>A standard phosphorus calibration curve was used to determine the phosphorus concentration, which was then expressed as mg/100 g sample (</w:t>
      </w:r>
      <w:proofErr w:type="spellStart"/>
      <w:r w:rsidRPr="00813CFA">
        <w:rPr>
          <w:rFonts w:ascii="Times New Roman" w:hAnsi="Times New Roman" w:cs="Times New Roman"/>
          <w:sz w:val="24"/>
          <w:szCs w:val="24"/>
        </w:rPr>
        <w:t>Oluwalana</w:t>
      </w:r>
      <w:proofErr w:type="spellEnd"/>
      <w:r w:rsidRPr="00813CFA">
        <w:rPr>
          <w:rFonts w:ascii="Times New Roman" w:hAnsi="Times New Roman" w:cs="Times New Roman"/>
          <w:sz w:val="24"/>
          <w:szCs w:val="24"/>
        </w:rPr>
        <w:t xml:space="preserve"> et al., 2020).</w:t>
      </w:r>
    </w:p>
    <w:p w14:paraId="62D69C7F" w14:textId="77777777" w:rsidR="00813CFA" w:rsidRPr="00813CFA" w:rsidRDefault="00813CFA" w:rsidP="00813CFA">
      <w:pPr>
        <w:spacing w:line="276" w:lineRule="auto"/>
        <w:jc w:val="both"/>
        <w:rPr>
          <w:rFonts w:ascii="Times New Roman" w:hAnsi="Times New Roman" w:cs="Times New Roman"/>
          <w:b/>
          <w:sz w:val="24"/>
          <w:szCs w:val="24"/>
        </w:rPr>
      </w:pPr>
      <w:r w:rsidRPr="00813CFA">
        <w:rPr>
          <w:rFonts w:ascii="Times New Roman" w:hAnsi="Times New Roman" w:cs="Times New Roman"/>
          <w:b/>
          <w:sz w:val="24"/>
          <w:szCs w:val="24"/>
        </w:rPr>
        <w:lastRenderedPageBreak/>
        <w:t>Vitamin B1 (thiamine) measurement</w:t>
      </w:r>
    </w:p>
    <w:p w14:paraId="5E3E9132" w14:textId="77777777" w:rsidR="00813CFA" w:rsidRPr="00813CFA" w:rsidRDefault="00813CFA" w:rsidP="00813CFA">
      <w:pPr>
        <w:spacing w:line="276" w:lineRule="auto"/>
        <w:jc w:val="both"/>
        <w:rPr>
          <w:rFonts w:ascii="Times New Roman" w:hAnsi="Times New Roman" w:cs="Times New Roman"/>
          <w:sz w:val="24"/>
          <w:szCs w:val="24"/>
        </w:rPr>
      </w:pPr>
      <w:r w:rsidRPr="00813CFA">
        <w:rPr>
          <w:rFonts w:ascii="Times New Roman" w:hAnsi="Times New Roman" w:cs="Times New Roman"/>
          <w:sz w:val="24"/>
          <w:szCs w:val="24"/>
        </w:rPr>
        <w:t xml:space="preserve">The spectrophotometric method outlined by AOAC (2019) was used to measure vitamin B1 (thiamine). To extract thiamine, around 5 g of the flour sample was homogenized with diluted hydrochloric acid and cooked in a water bath. Fluorescent </w:t>
      </w:r>
      <w:proofErr w:type="spellStart"/>
      <w:r w:rsidRPr="00813CFA">
        <w:rPr>
          <w:rFonts w:ascii="Times New Roman" w:hAnsi="Times New Roman" w:cs="Times New Roman"/>
          <w:sz w:val="24"/>
          <w:szCs w:val="24"/>
        </w:rPr>
        <w:t>thiochrome</w:t>
      </w:r>
      <w:proofErr w:type="spellEnd"/>
      <w:r w:rsidRPr="00813CFA">
        <w:rPr>
          <w:rFonts w:ascii="Times New Roman" w:hAnsi="Times New Roman" w:cs="Times New Roman"/>
          <w:sz w:val="24"/>
          <w:szCs w:val="24"/>
        </w:rPr>
        <w:t xml:space="preserve"> was created by filtering the extract and treating it with an alkaline potassium ferricyanide solution. A UV-visible spectrophotometer was used to detect the absorbance, and standard thiamine solutions were used to compute the thiamine concentration. The mg/100 g sample was used to express the results (</w:t>
      </w:r>
      <w:proofErr w:type="spellStart"/>
      <w:r w:rsidRPr="00813CFA">
        <w:rPr>
          <w:rFonts w:ascii="Times New Roman" w:hAnsi="Times New Roman" w:cs="Times New Roman"/>
          <w:sz w:val="24"/>
          <w:szCs w:val="24"/>
        </w:rPr>
        <w:t>Akinjayeju</w:t>
      </w:r>
      <w:proofErr w:type="spellEnd"/>
      <w:r w:rsidRPr="00813CFA">
        <w:rPr>
          <w:rFonts w:ascii="Times New Roman" w:hAnsi="Times New Roman" w:cs="Times New Roman"/>
          <w:sz w:val="24"/>
          <w:szCs w:val="24"/>
        </w:rPr>
        <w:t xml:space="preserve"> et al., 2021).</w:t>
      </w:r>
    </w:p>
    <w:p w14:paraId="21551BEF" w14:textId="77777777" w:rsidR="00813CFA" w:rsidRPr="00813CFA" w:rsidRDefault="00813CFA" w:rsidP="00813CFA">
      <w:pPr>
        <w:spacing w:line="276" w:lineRule="auto"/>
        <w:jc w:val="both"/>
        <w:rPr>
          <w:rFonts w:ascii="Times New Roman" w:hAnsi="Times New Roman" w:cs="Times New Roman"/>
          <w:b/>
          <w:sz w:val="24"/>
          <w:szCs w:val="24"/>
        </w:rPr>
      </w:pPr>
      <w:r w:rsidRPr="00813CFA">
        <w:rPr>
          <w:rFonts w:ascii="Times New Roman" w:hAnsi="Times New Roman" w:cs="Times New Roman"/>
          <w:b/>
          <w:sz w:val="24"/>
          <w:szCs w:val="24"/>
        </w:rPr>
        <w:t>Vitamin B2 (riboflavin) measurement</w:t>
      </w:r>
    </w:p>
    <w:p w14:paraId="591D6176" w14:textId="77777777" w:rsidR="00813CFA" w:rsidRPr="00813CFA" w:rsidRDefault="00813CFA" w:rsidP="00813CFA">
      <w:pPr>
        <w:spacing w:line="276" w:lineRule="auto"/>
        <w:jc w:val="both"/>
        <w:rPr>
          <w:rFonts w:ascii="Times New Roman" w:hAnsi="Times New Roman" w:cs="Times New Roman"/>
          <w:sz w:val="24"/>
          <w:szCs w:val="24"/>
        </w:rPr>
      </w:pPr>
      <w:r w:rsidRPr="00813CFA">
        <w:rPr>
          <w:rFonts w:ascii="Times New Roman" w:hAnsi="Times New Roman" w:cs="Times New Roman"/>
          <w:sz w:val="24"/>
          <w:szCs w:val="24"/>
        </w:rPr>
        <w:t>The method outlined by AOAC (2019) was used to determine vitamin B2 (riboflavin).</w:t>
      </w:r>
      <w:r w:rsidR="006F534E" w:rsidRPr="00346EA4">
        <w:rPr>
          <w:rFonts w:ascii="Times New Roman" w:hAnsi="Times New Roman" w:cs="Times New Roman"/>
          <w:sz w:val="24"/>
          <w:szCs w:val="24"/>
        </w:rPr>
        <w:t xml:space="preserve"> Flour samples were extracted with dilute acid solution and filtered. </w:t>
      </w:r>
      <w:r w:rsidRPr="00813CFA">
        <w:rPr>
          <w:rFonts w:ascii="Times New Roman" w:hAnsi="Times New Roman" w:cs="Times New Roman"/>
          <w:sz w:val="24"/>
          <w:szCs w:val="24"/>
        </w:rPr>
        <w:t>Before determining absorbance using a UV-visible spectrophotometer at the proper wavelength, the filtrate was properly treated to liberate bound riboflavin. The calibration curve from which the concentration of riboflavin was determined and expressed as mg/100 g sample was created using standard riboflavin solutions (Okorie et al., 2022).</w:t>
      </w:r>
    </w:p>
    <w:p w14:paraId="5730CA33" w14:textId="77777777" w:rsidR="00813CFA" w:rsidRPr="00813CFA" w:rsidRDefault="00813CFA" w:rsidP="00813CFA">
      <w:pPr>
        <w:spacing w:line="276" w:lineRule="auto"/>
        <w:jc w:val="both"/>
        <w:rPr>
          <w:rFonts w:ascii="Times New Roman" w:hAnsi="Times New Roman" w:cs="Times New Roman"/>
          <w:b/>
          <w:sz w:val="24"/>
          <w:szCs w:val="24"/>
        </w:rPr>
      </w:pPr>
      <w:r w:rsidRPr="00813CFA">
        <w:rPr>
          <w:rFonts w:ascii="Times New Roman" w:hAnsi="Times New Roman" w:cs="Times New Roman"/>
          <w:b/>
          <w:sz w:val="24"/>
          <w:szCs w:val="24"/>
        </w:rPr>
        <w:t>Vitamin B3 (niacin) measurement</w:t>
      </w:r>
    </w:p>
    <w:p w14:paraId="05C9FAAC" w14:textId="77777777" w:rsidR="00813CFA" w:rsidRDefault="00813CFA" w:rsidP="00813CFA">
      <w:pPr>
        <w:spacing w:line="276" w:lineRule="auto"/>
        <w:jc w:val="both"/>
        <w:rPr>
          <w:rFonts w:ascii="Times New Roman" w:hAnsi="Times New Roman" w:cs="Times New Roman"/>
          <w:sz w:val="24"/>
          <w:szCs w:val="24"/>
        </w:rPr>
      </w:pPr>
      <w:r w:rsidRPr="00813CFA">
        <w:rPr>
          <w:rFonts w:ascii="Times New Roman" w:hAnsi="Times New Roman" w:cs="Times New Roman"/>
          <w:sz w:val="24"/>
          <w:szCs w:val="24"/>
        </w:rPr>
        <w:t xml:space="preserve">The colorimetric method outlined by AOAC (2019) was used to determine vitamin B3 (niacin). After being extracted using an acidic solution, the flour samples were filtered. A colorful complex was created by reacting the filtrate with cyanogen bromide and aromatic amine </w:t>
      </w:r>
      <w:proofErr w:type="spellStart"/>
      <w:proofErr w:type="gramStart"/>
      <w:r w:rsidRPr="00813CFA">
        <w:rPr>
          <w:rFonts w:ascii="Times New Roman" w:hAnsi="Times New Roman" w:cs="Times New Roman"/>
          <w:sz w:val="24"/>
          <w:szCs w:val="24"/>
        </w:rPr>
        <w:t>reagents.The</w:t>
      </w:r>
      <w:proofErr w:type="spellEnd"/>
      <w:proofErr w:type="gramEnd"/>
      <w:r w:rsidRPr="00813CFA">
        <w:rPr>
          <w:rFonts w:ascii="Times New Roman" w:hAnsi="Times New Roman" w:cs="Times New Roman"/>
          <w:sz w:val="24"/>
          <w:szCs w:val="24"/>
        </w:rPr>
        <w:t xml:space="preserve"> generated color's absorbance was measured using spectrophotometry, and the calibration curve made with standard niacin solutions was used to calculate the niacin </w:t>
      </w:r>
      <w:proofErr w:type="spellStart"/>
      <w:proofErr w:type="gramStart"/>
      <w:r w:rsidRPr="00813CFA">
        <w:rPr>
          <w:rFonts w:ascii="Times New Roman" w:hAnsi="Times New Roman" w:cs="Times New Roman"/>
          <w:sz w:val="24"/>
          <w:szCs w:val="24"/>
        </w:rPr>
        <w:t>content.According</w:t>
      </w:r>
      <w:proofErr w:type="spellEnd"/>
      <w:proofErr w:type="gramEnd"/>
      <w:r w:rsidRPr="00813CFA">
        <w:rPr>
          <w:rFonts w:ascii="Times New Roman" w:hAnsi="Times New Roman" w:cs="Times New Roman"/>
          <w:sz w:val="24"/>
          <w:szCs w:val="24"/>
        </w:rPr>
        <w:t xml:space="preserve"> to </w:t>
      </w:r>
      <w:proofErr w:type="spellStart"/>
      <w:r w:rsidRPr="00813CFA">
        <w:rPr>
          <w:rFonts w:ascii="Times New Roman" w:hAnsi="Times New Roman" w:cs="Times New Roman"/>
          <w:sz w:val="24"/>
          <w:szCs w:val="24"/>
        </w:rPr>
        <w:t>Adegunwa</w:t>
      </w:r>
      <w:proofErr w:type="spellEnd"/>
      <w:r w:rsidRPr="00813CFA">
        <w:rPr>
          <w:rFonts w:ascii="Times New Roman" w:hAnsi="Times New Roman" w:cs="Times New Roman"/>
          <w:sz w:val="24"/>
          <w:szCs w:val="24"/>
        </w:rPr>
        <w:t xml:space="preserve"> et al. (2020), the results were represented as mg/100 g sample.</w:t>
      </w:r>
    </w:p>
    <w:p w14:paraId="30A23A6E" w14:textId="77777777" w:rsidR="007C075E" w:rsidRPr="00346EA4" w:rsidRDefault="008819D2" w:rsidP="00813CFA">
      <w:pPr>
        <w:spacing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2</w:t>
      </w:r>
      <w:r w:rsidR="004360D2" w:rsidRPr="00346EA4">
        <w:rPr>
          <w:rFonts w:ascii="Times New Roman" w:hAnsi="Times New Roman" w:cs="Times New Roman"/>
          <w:b/>
          <w:bCs/>
          <w:sz w:val="24"/>
          <w:szCs w:val="24"/>
        </w:rPr>
        <w:t>.9</w:t>
      </w:r>
      <w:r w:rsidR="00C366A6" w:rsidRPr="00346EA4">
        <w:rPr>
          <w:rFonts w:ascii="Times New Roman" w:hAnsi="Times New Roman" w:cs="Times New Roman"/>
          <w:b/>
          <w:bCs/>
          <w:sz w:val="24"/>
          <w:szCs w:val="24"/>
        </w:rPr>
        <w:t xml:space="preserve"> </w:t>
      </w:r>
      <w:r w:rsidR="00313448" w:rsidRPr="00346EA4">
        <w:rPr>
          <w:rFonts w:ascii="Times New Roman" w:hAnsi="Times New Roman" w:cs="Times New Roman"/>
          <w:b/>
          <w:bCs/>
          <w:sz w:val="24"/>
          <w:szCs w:val="24"/>
        </w:rPr>
        <w:t>Experimental Design</w:t>
      </w:r>
      <w:r w:rsidR="001C1ED3" w:rsidRPr="00346EA4">
        <w:rPr>
          <w:rFonts w:ascii="Times New Roman" w:hAnsi="Times New Roman" w:cs="Times New Roman"/>
          <w:b/>
          <w:bCs/>
          <w:sz w:val="24"/>
          <w:szCs w:val="24"/>
        </w:rPr>
        <w:t xml:space="preserve">: </w:t>
      </w:r>
      <w:r w:rsidR="00313448" w:rsidRPr="00346EA4">
        <w:rPr>
          <w:rFonts w:ascii="Times New Roman" w:hAnsi="Times New Roman" w:cs="Times New Roman"/>
          <w:sz w:val="24"/>
          <w:szCs w:val="24"/>
        </w:rPr>
        <w:t>Completely randomized design.</w:t>
      </w:r>
    </w:p>
    <w:p w14:paraId="5AA84C4D" w14:textId="77777777" w:rsidR="00A82D31" w:rsidRPr="00346EA4" w:rsidRDefault="008819D2" w:rsidP="001C1ED3">
      <w:pPr>
        <w:spacing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2</w:t>
      </w:r>
      <w:r w:rsidR="004360D2" w:rsidRPr="00346EA4">
        <w:rPr>
          <w:rFonts w:ascii="Times New Roman" w:hAnsi="Times New Roman" w:cs="Times New Roman"/>
          <w:b/>
          <w:bCs/>
          <w:sz w:val="24"/>
          <w:szCs w:val="24"/>
        </w:rPr>
        <w:t>.10</w:t>
      </w:r>
      <w:r w:rsidR="007C075E" w:rsidRPr="00346EA4">
        <w:rPr>
          <w:rFonts w:ascii="Times New Roman" w:hAnsi="Times New Roman" w:cs="Times New Roman"/>
          <w:b/>
          <w:bCs/>
          <w:sz w:val="24"/>
          <w:szCs w:val="24"/>
        </w:rPr>
        <w:t xml:space="preserve"> Statistical Analysis</w:t>
      </w:r>
      <w:r w:rsidR="001C1ED3" w:rsidRPr="00346EA4">
        <w:rPr>
          <w:rFonts w:ascii="Times New Roman" w:hAnsi="Times New Roman" w:cs="Times New Roman"/>
          <w:b/>
          <w:bCs/>
          <w:sz w:val="24"/>
          <w:szCs w:val="24"/>
        </w:rPr>
        <w:t xml:space="preserve">: </w:t>
      </w:r>
      <w:r w:rsidR="007C075E" w:rsidRPr="00346EA4">
        <w:rPr>
          <w:rFonts w:ascii="Times New Roman" w:hAnsi="Times New Roman" w:cs="Times New Roman"/>
          <w:sz w:val="24"/>
          <w:szCs w:val="24"/>
        </w:rPr>
        <w:t>Data will be analyzed using ANOVA.</w:t>
      </w:r>
      <w:r w:rsidR="007C075E" w:rsidRPr="00346EA4">
        <w:rPr>
          <w:rFonts w:ascii="Times New Roman" w:hAnsi="Times New Roman" w:cs="Times New Roman"/>
          <w:sz w:val="24"/>
          <w:szCs w:val="24"/>
        </w:rPr>
        <w:br/>
        <w:t>Significance level: p &lt; 0.05.</w:t>
      </w:r>
    </w:p>
    <w:p w14:paraId="0584049C" w14:textId="77777777" w:rsidR="00A943E3" w:rsidRPr="00346EA4" w:rsidRDefault="00A943E3" w:rsidP="008819D2">
      <w:pPr>
        <w:spacing w:line="360" w:lineRule="auto"/>
        <w:rPr>
          <w:rFonts w:ascii="Times New Roman" w:hAnsi="Times New Roman" w:cs="Times New Roman"/>
          <w:b/>
        </w:rPr>
      </w:pPr>
      <w:r w:rsidRPr="00346EA4">
        <w:rPr>
          <w:rFonts w:ascii="Times New Roman" w:hAnsi="Times New Roman" w:cs="Times New Roman"/>
          <w:b/>
        </w:rPr>
        <w:t>RESULT AND DISCUSSION</w:t>
      </w:r>
    </w:p>
    <w:p w14:paraId="34B197F5" w14:textId="77777777" w:rsidR="00A943E3" w:rsidRPr="00346EA4" w:rsidRDefault="008819D2" w:rsidP="00A943E3">
      <w:pPr>
        <w:spacing w:line="360" w:lineRule="auto"/>
        <w:jc w:val="both"/>
        <w:rPr>
          <w:rFonts w:ascii="Times New Roman" w:hAnsi="Times New Roman" w:cs="Times New Roman"/>
          <w:b/>
        </w:rPr>
      </w:pPr>
      <w:r w:rsidRPr="00346EA4">
        <w:rPr>
          <w:rFonts w:ascii="Times New Roman" w:hAnsi="Times New Roman" w:cs="Times New Roman"/>
          <w:b/>
        </w:rPr>
        <w:t>3.1 Mineral concentration of cakes produced from blends of wheat, pigeon pea and sorghum flour</w:t>
      </w:r>
    </w:p>
    <w:p w14:paraId="7D1FC7A3" w14:textId="77777777" w:rsidR="00363E44" w:rsidRDefault="00363E44" w:rsidP="00346EA4">
      <w:pPr>
        <w:spacing w:line="360" w:lineRule="auto"/>
        <w:jc w:val="both"/>
        <w:rPr>
          <w:rFonts w:ascii="Times New Roman" w:hAnsi="Times New Roman" w:cs="Times New Roman"/>
          <w:b/>
        </w:rPr>
      </w:pPr>
      <w:r w:rsidRPr="00363E44">
        <w:rPr>
          <w:rFonts w:ascii="Times New Roman" w:hAnsi="Times New Roman" w:cs="Times New Roman"/>
        </w:rPr>
        <w:t xml:space="preserve">The mineral composition of the cake samples </w:t>
      </w:r>
      <w:proofErr w:type="gramStart"/>
      <w:r w:rsidRPr="00363E44">
        <w:rPr>
          <w:rFonts w:ascii="Times New Roman" w:hAnsi="Times New Roman" w:cs="Times New Roman"/>
        </w:rPr>
        <w:t>are</w:t>
      </w:r>
      <w:proofErr w:type="gramEnd"/>
      <w:r w:rsidRPr="00363E44">
        <w:rPr>
          <w:rFonts w:ascii="Times New Roman" w:hAnsi="Times New Roman" w:cs="Times New Roman"/>
        </w:rPr>
        <w:t xml:space="preserve"> shown in table 1.</w:t>
      </w:r>
      <w:r w:rsidR="008122A5" w:rsidRPr="008122A5">
        <w:rPr>
          <w:b/>
        </w:rPr>
        <w:t xml:space="preserve"> </w:t>
      </w:r>
      <w:r w:rsidR="008122A5" w:rsidRPr="008122A5">
        <w:rPr>
          <w:rFonts w:ascii="Times New Roman" w:hAnsi="Times New Roman" w:cs="Times New Roman"/>
          <w:b/>
        </w:rPr>
        <w:t>iron, phosphorus, calcium, magnesium, potassium, vitamin B1, vitamin B2 and vitamin B3</w:t>
      </w:r>
    </w:p>
    <w:p w14:paraId="29BE228E" w14:textId="77777777" w:rsidR="009F40CA" w:rsidRDefault="009F40CA" w:rsidP="00346EA4">
      <w:pPr>
        <w:spacing w:line="360" w:lineRule="auto"/>
        <w:jc w:val="both"/>
        <w:rPr>
          <w:rFonts w:ascii="Times New Roman" w:hAnsi="Times New Roman" w:cs="Times New Roman"/>
          <w:b/>
        </w:rPr>
      </w:pPr>
    </w:p>
    <w:p w14:paraId="60946B0B" w14:textId="77777777" w:rsidR="009F40CA" w:rsidRDefault="009F40CA" w:rsidP="009F40CA">
      <w:pPr>
        <w:spacing w:line="360" w:lineRule="auto"/>
        <w:jc w:val="both"/>
        <w:rPr>
          <w:rFonts w:ascii="Times New Roman" w:hAnsi="Times New Roman" w:cs="Times New Roman"/>
          <w:b/>
        </w:rPr>
      </w:pPr>
      <w:r w:rsidRPr="00346EA4">
        <w:rPr>
          <w:rFonts w:ascii="Times New Roman" w:hAnsi="Times New Roman" w:cs="Times New Roman"/>
          <w:b/>
        </w:rPr>
        <w:t>Table 1: mineral concentration of cakes produced from blends of wheat, pigeon pea and sorghum flour</w:t>
      </w:r>
    </w:p>
    <w:p w14:paraId="0A89B93F" w14:textId="77777777" w:rsidR="009F40CA" w:rsidRPr="008122A5" w:rsidRDefault="009F40CA" w:rsidP="00346EA4">
      <w:pPr>
        <w:spacing w:line="360" w:lineRule="auto"/>
        <w:jc w:val="both"/>
        <w:rPr>
          <w:rFonts w:ascii="Times New Roman" w:hAnsi="Times New Roman" w:cs="Times New Roman"/>
          <w:b/>
        </w:rPr>
      </w:pPr>
    </w:p>
    <w:tbl>
      <w:tblPr>
        <w:tblW w:w="5000" w:type="pct"/>
        <w:jc w:val="center"/>
        <w:tblLook w:val="04A0" w:firstRow="1" w:lastRow="0" w:firstColumn="1" w:lastColumn="0" w:noHBand="0" w:noVBand="1"/>
      </w:tblPr>
      <w:tblGrid>
        <w:gridCol w:w="1165"/>
        <w:gridCol w:w="948"/>
        <w:gridCol w:w="636"/>
        <w:gridCol w:w="953"/>
        <w:gridCol w:w="496"/>
        <w:gridCol w:w="1144"/>
        <w:gridCol w:w="578"/>
        <w:gridCol w:w="1198"/>
        <w:gridCol w:w="524"/>
        <w:gridCol w:w="1031"/>
        <w:gridCol w:w="687"/>
      </w:tblGrid>
      <w:tr w:rsidR="00346EA4" w:rsidRPr="00346EA4" w14:paraId="4BCDF463" w14:textId="77777777" w:rsidTr="009F40CA">
        <w:trPr>
          <w:trHeight w:val="288"/>
          <w:jc w:val="center"/>
        </w:trPr>
        <w:tc>
          <w:tcPr>
            <w:tcW w:w="622" w:type="pct"/>
            <w:tcBorders>
              <w:top w:val="single" w:sz="4" w:space="0" w:color="auto"/>
              <w:left w:val="nil"/>
              <w:bottom w:val="single" w:sz="4" w:space="0" w:color="auto"/>
              <w:right w:val="nil"/>
            </w:tcBorders>
            <w:noWrap/>
            <w:vAlign w:val="bottom"/>
            <w:hideMark/>
          </w:tcPr>
          <w:p w14:paraId="473AAF20"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lastRenderedPageBreak/>
              <w:t>SAMPLE</w:t>
            </w:r>
          </w:p>
        </w:tc>
        <w:tc>
          <w:tcPr>
            <w:tcW w:w="506" w:type="pct"/>
            <w:tcBorders>
              <w:top w:val="single" w:sz="4" w:space="0" w:color="auto"/>
              <w:left w:val="nil"/>
              <w:bottom w:val="single" w:sz="4" w:space="0" w:color="auto"/>
              <w:right w:val="nil"/>
            </w:tcBorders>
            <w:noWrap/>
            <w:vAlign w:val="bottom"/>
            <w:hideMark/>
          </w:tcPr>
          <w:p w14:paraId="315D42A8"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P</w:t>
            </w:r>
          </w:p>
        </w:tc>
        <w:tc>
          <w:tcPr>
            <w:tcW w:w="340" w:type="pct"/>
            <w:tcBorders>
              <w:top w:val="single" w:sz="4" w:space="0" w:color="auto"/>
              <w:left w:val="nil"/>
              <w:bottom w:val="single" w:sz="4" w:space="0" w:color="auto"/>
              <w:right w:val="nil"/>
            </w:tcBorders>
            <w:noWrap/>
            <w:vAlign w:val="bottom"/>
            <w:hideMark/>
          </w:tcPr>
          <w:p w14:paraId="61D2ED50" w14:textId="77777777" w:rsidR="00A943E3" w:rsidRPr="00346EA4" w:rsidRDefault="00A943E3" w:rsidP="00A943E3">
            <w:pPr>
              <w:spacing w:line="360" w:lineRule="auto"/>
              <w:jc w:val="both"/>
              <w:rPr>
                <w:rFonts w:ascii="Times New Roman" w:hAnsi="Times New Roman" w:cs="Times New Roman"/>
              </w:rPr>
            </w:pPr>
          </w:p>
        </w:tc>
        <w:tc>
          <w:tcPr>
            <w:tcW w:w="509" w:type="pct"/>
            <w:tcBorders>
              <w:top w:val="single" w:sz="4" w:space="0" w:color="auto"/>
              <w:left w:val="nil"/>
              <w:bottom w:val="single" w:sz="4" w:space="0" w:color="auto"/>
              <w:right w:val="nil"/>
            </w:tcBorders>
            <w:noWrap/>
            <w:vAlign w:val="bottom"/>
            <w:hideMark/>
          </w:tcPr>
          <w:p w14:paraId="73E6FE6F"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Fe</w:t>
            </w:r>
          </w:p>
        </w:tc>
        <w:tc>
          <w:tcPr>
            <w:tcW w:w="265" w:type="pct"/>
            <w:tcBorders>
              <w:top w:val="single" w:sz="4" w:space="0" w:color="auto"/>
              <w:left w:val="nil"/>
              <w:bottom w:val="single" w:sz="4" w:space="0" w:color="auto"/>
              <w:right w:val="nil"/>
            </w:tcBorders>
            <w:noWrap/>
            <w:vAlign w:val="bottom"/>
            <w:hideMark/>
          </w:tcPr>
          <w:p w14:paraId="7FBBE97F" w14:textId="77777777" w:rsidR="00A943E3" w:rsidRPr="00346EA4" w:rsidRDefault="00A943E3" w:rsidP="00A943E3">
            <w:pPr>
              <w:spacing w:line="360" w:lineRule="auto"/>
              <w:jc w:val="both"/>
              <w:rPr>
                <w:rFonts w:ascii="Times New Roman" w:hAnsi="Times New Roman" w:cs="Times New Roman"/>
              </w:rPr>
            </w:pPr>
          </w:p>
        </w:tc>
        <w:tc>
          <w:tcPr>
            <w:tcW w:w="611" w:type="pct"/>
            <w:tcBorders>
              <w:top w:val="single" w:sz="4" w:space="0" w:color="auto"/>
              <w:left w:val="nil"/>
              <w:bottom w:val="single" w:sz="4" w:space="0" w:color="auto"/>
              <w:right w:val="nil"/>
            </w:tcBorders>
            <w:noWrap/>
            <w:vAlign w:val="bottom"/>
            <w:hideMark/>
          </w:tcPr>
          <w:p w14:paraId="66F9B308"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Ca</w:t>
            </w:r>
          </w:p>
        </w:tc>
        <w:tc>
          <w:tcPr>
            <w:tcW w:w="309" w:type="pct"/>
            <w:tcBorders>
              <w:top w:val="single" w:sz="4" w:space="0" w:color="auto"/>
              <w:left w:val="nil"/>
              <w:bottom w:val="single" w:sz="4" w:space="0" w:color="auto"/>
              <w:right w:val="nil"/>
            </w:tcBorders>
            <w:noWrap/>
            <w:vAlign w:val="bottom"/>
            <w:hideMark/>
          </w:tcPr>
          <w:p w14:paraId="14562A87" w14:textId="77777777" w:rsidR="00A943E3" w:rsidRPr="00346EA4" w:rsidRDefault="00A943E3" w:rsidP="00A943E3">
            <w:pPr>
              <w:spacing w:line="360" w:lineRule="auto"/>
              <w:jc w:val="both"/>
              <w:rPr>
                <w:rFonts w:ascii="Times New Roman" w:hAnsi="Times New Roman" w:cs="Times New Roman"/>
              </w:rPr>
            </w:pPr>
          </w:p>
        </w:tc>
        <w:tc>
          <w:tcPr>
            <w:tcW w:w="640" w:type="pct"/>
            <w:tcBorders>
              <w:top w:val="single" w:sz="4" w:space="0" w:color="auto"/>
              <w:left w:val="nil"/>
              <w:bottom w:val="single" w:sz="4" w:space="0" w:color="auto"/>
              <w:right w:val="nil"/>
            </w:tcBorders>
            <w:noWrap/>
            <w:vAlign w:val="bottom"/>
            <w:hideMark/>
          </w:tcPr>
          <w:p w14:paraId="48AA30BE"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Mg</w:t>
            </w:r>
          </w:p>
        </w:tc>
        <w:tc>
          <w:tcPr>
            <w:tcW w:w="280" w:type="pct"/>
            <w:tcBorders>
              <w:top w:val="single" w:sz="4" w:space="0" w:color="auto"/>
              <w:left w:val="nil"/>
              <w:bottom w:val="single" w:sz="4" w:space="0" w:color="auto"/>
              <w:right w:val="nil"/>
            </w:tcBorders>
            <w:noWrap/>
            <w:vAlign w:val="bottom"/>
            <w:hideMark/>
          </w:tcPr>
          <w:p w14:paraId="441CCF9A" w14:textId="77777777" w:rsidR="00A943E3" w:rsidRPr="00346EA4" w:rsidRDefault="00A943E3" w:rsidP="00A943E3">
            <w:pPr>
              <w:spacing w:line="360" w:lineRule="auto"/>
              <w:jc w:val="both"/>
              <w:rPr>
                <w:rFonts w:ascii="Times New Roman" w:hAnsi="Times New Roman" w:cs="Times New Roman"/>
              </w:rPr>
            </w:pPr>
          </w:p>
        </w:tc>
        <w:tc>
          <w:tcPr>
            <w:tcW w:w="551" w:type="pct"/>
            <w:tcBorders>
              <w:top w:val="single" w:sz="4" w:space="0" w:color="auto"/>
              <w:left w:val="nil"/>
              <w:bottom w:val="single" w:sz="4" w:space="0" w:color="auto"/>
              <w:right w:val="nil"/>
            </w:tcBorders>
            <w:noWrap/>
            <w:vAlign w:val="bottom"/>
            <w:hideMark/>
          </w:tcPr>
          <w:p w14:paraId="205513F9"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K</w:t>
            </w:r>
          </w:p>
        </w:tc>
        <w:tc>
          <w:tcPr>
            <w:tcW w:w="367" w:type="pct"/>
            <w:tcBorders>
              <w:top w:val="single" w:sz="4" w:space="0" w:color="auto"/>
              <w:left w:val="nil"/>
              <w:bottom w:val="single" w:sz="4" w:space="0" w:color="auto"/>
              <w:right w:val="nil"/>
            </w:tcBorders>
            <w:noWrap/>
            <w:vAlign w:val="bottom"/>
            <w:hideMark/>
          </w:tcPr>
          <w:p w14:paraId="7AEC06CE" w14:textId="77777777" w:rsidR="00A943E3" w:rsidRPr="00346EA4" w:rsidRDefault="00A943E3" w:rsidP="00A943E3">
            <w:pPr>
              <w:spacing w:line="360" w:lineRule="auto"/>
              <w:jc w:val="both"/>
              <w:rPr>
                <w:rFonts w:ascii="Times New Roman" w:hAnsi="Times New Roman" w:cs="Times New Roman"/>
              </w:rPr>
            </w:pPr>
          </w:p>
        </w:tc>
      </w:tr>
      <w:tr w:rsidR="00346EA4" w:rsidRPr="00346EA4" w14:paraId="45E1B0D6" w14:textId="77777777" w:rsidTr="009F40CA">
        <w:trPr>
          <w:trHeight w:val="288"/>
          <w:jc w:val="center"/>
        </w:trPr>
        <w:tc>
          <w:tcPr>
            <w:tcW w:w="622" w:type="pct"/>
            <w:tcBorders>
              <w:top w:val="single" w:sz="4" w:space="0" w:color="auto"/>
              <w:left w:val="nil"/>
              <w:bottom w:val="nil"/>
              <w:right w:val="nil"/>
            </w:tcBorders>
            <w:noWrap/>
            <w:vAlign w:val="bottom"/>
            <w:hideMark/>
          </w:tcPr>
          <w:p w14:paraId="37255501" w14:textId="77777777" w:rsidR="00A943E3" w:rsidRPr="00346EA4" w:rsidRDefault="00363E44" w:rsidP="00A943E3">
            <w:pPr>
              <w:spacing w:line="360" w:lineRule="auto"/>
              <w:jc w:val="both"/>
              <w:rPr>
                <w:rFonts w:ascii="Times New Roman" w:hAnsi="Times New Roman" w:cs="Times New Roman"/>
              </w:rPr>
            </w:pPr>
            <w:r>
              <w:rPr>
                <w:rFonts w:ascii="Times New Roman" w:hAnsi="Times New Roman" w:cs="Times New Roman"/>
              </w:rPr>
              <w:t>CP25</w:t>
            </w:r>
          </w:p>
        </w:tc>
        <w:tc>
          <w:tcPr>
            <w:tcW w:w="846" w:type="pct"/>
            <w:gridSpan w:val="2"/>
            <w:tcBorders>
              <w:top w:val="single" w:sz="4" w:space="0" w:color="auto"/>
              <w:left w:val="nil"/>
              <w:bottom w:val="nil"/>
              <w:right w:val="nil"/>
            </w:tcBorders>
            <w:noWrap/>
            <w:vAlign w:val="bottom"/>
            <w:hideMark/>
          </w:tcPr>
          <w:p w14:paraId="2E3AD571"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40.26</w:t>
            </w:r>
            <w:r w:rsidRPr="00346EA4">
              <w:rPr>
                <w:rFonts w:ascii="Times New Roman" w:hAnsi="Times New Roman" w:cs="Times New Roman"/>
                <w:vertAlign w:val="superscript"/>
              </w:rPr>
              <w:t>c</w:t>
            </w:r>
            <w:r w:rsidRPr="00346EA4">
              <w:rPr>
                <w:rFonts w:ascii="Times New Roman" w:hAnsi="Times New Roman" w:cs="Times New Roman"/>
              </w:rPr>
              <w:t>+0.04</w:t>
            </w:r>
          </w:p>
        </w:tc>
        <w:tc>
          <w:tcPr>
            <w:tcW w:w="774" w:type="pct"/>
            <w:gridSpan w:val="2"/>
            <w:tcBorders>
              <w:top w:val="single" w:sz="4" w:space="0" w:color="auto"/>
              <w:left w:val="nil"/>
              <w:bottom w:val="nil"/>
              <w:right w:val="nil"/>
            </w:tcBorders>
            <w:noWrap/>
            <w:vAlign w:val="bottom"/>
            <w:hideMark/>
          </w:tcPr>
          <w:p w14:paraId="221B0DDE"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2.08</w:t>
            </w:r>
            <w:r w:rsidRPr="00346EA4">
              <w:rPr>
                <w:rFonts w:ascii="Times New Roman" w:hAnsi="Times New Roman" w:cs="Times New Roman"/>
                <w:vertAlign w:val="superscript"/>
              </w:rPr>
              <w:t>b</w:t>
            </w:r>
            <w:r w:rsidRPr="00346EA4">
              <w:rPr>
                <w:rFonts w:ascii="Times New Roman" w:hAnsi="Times New Roman" w:cs="Times New Roman"/>
              </w:rPr>
              <w:t>+0.01</w:t>
            </w:r>
          </w:p>
        </w:tc>
        <w:tc>
          <w:tcPr>
            <w:tcW w:w="920" w:type="pct"/>
            <w:gridSpan w:val="2"/>
            <w:tcBorders>
              <w:top w:val="single" w:sz="4" w:space="0" w:color="auto"/>
              <w:left w:val="nil"/>
              <w:bottom w:val="nil"/>
              <w:right w:val="nil"/>
            </w:tcBorders>
            <w:noWrap/>
            <w:vAlign w:val="bottom"/>
            <w:hideMark/>
          </w:tcPr>
          <w:p w14:paraId="02EFD1DF"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309.44</w:t>
            </w:r>
            <w:r w:rsidRPr="00346EA4">
              <w:rPr>
                <w:rFonts w:ascii="Times New Roman" w:hAnsi="Times New Roman" w:cs="Times New Roman"/>
                <w:vertAlign w:val="superscript"/>
              </w:rPr>
              <w:t>d</w:t>
            </w:r>
            <w:r w:rsidRPr="00346EA4">
              <w:rPr>
                <w:rFonts w:ascii="Times New Roman" w:hAnsi="Times New Roman" w:cs="Times New Roman"/>
              </w:rPr>
              <w:t>+0.02</w:t>
            </w:r>
          </w:p>
        </w:tc>
        <w:tc>
          <w:tcPr>
            <w:tcW w:w="920" w:type="pct"/>
            <w:gridSpan w:val="2"/>
            <w:tcBorders>
              <w:top w:val="single" w:sz="4" w:space="0" w:color="auto"/>
              <w:left w:val="nil"/>
              <w:bottom w:val="nil"/>
              <w:right w:val="nil"/>
            </w:tcBorders>
            <w:noWrap/>
            <w:vAlign w:val="bottom"/>
            <w:hideMark/>
          </w:tcPr>
          <w:p w14:paraId="455311C8"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185.74</w:t>
            </w:r>
            <w:r w:rsidRPr="00346EA4">
              <w:rPr>
                <w:rFonts w:ascii="Times New Roman" w:hAnsi="Times New Roman" w:cs="Times New Roman"/>
                <w:vertAlign w:val="superscript"/>
              </w:rPr>
              <w:t>d</w:t>
            </w:r>
            <w:r w:rsidRPr="00346EA4">
              <w:rPr>
                <w:rFonts w:ascii="Times New Roman" w:hAnsi="Times New Roman" w:cs="Times New Roman"/>
              </w:rPr>
              <w:t>+0.04</w:t>
            </w:r>
          </w:p>
        </w:tc>
        <w:tc>
          <w:tcPr>
            <w:tcW w:w="918" w:type="pct"/>
            <w:gridSpan w:val="2"/>
            <w:tcBorders>
              <w:top w:val="single" w:sz="4" w:space="0" w:color="auto"/>
              <w:left w:val="nil"/>
              <w:bottom w:val="nil"/>
              <w:right w:val="nil"/>
            </w:tcBorders>
            <w:noWrap/>
            <w:vAlign w:val="bottom"/>
            <w:hideMark/>
          </w:tcPr>
          <w:p w14:paraId="1EDE0139"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363.67</w:t>
            </w:r>
            <w:r w:rsidRPr="00346EA4">
              <w:rPr>
                <w:rFonts w:ascii="Times New Roman" w:hAnsi="Times New Roman" w:cs="Times New Roman"/>
                <w:vertAlign w:val="superscript"/>
              </w:rPr>
              <w:t>c</w:t>
            </w:r>
            <w:r w:rsidRPr="00346EA4">
              <w:rPr>
                <w:rFonts w:ascii="Times New Roman" w:hAnsi="Times New Roman" w:cs="Times New Roman"/>
              </w:rPr>
              <w:t>+0.64</w:t>
            </w:r>
          </w:p>
        </w:tc>
      </w:tr>
      <w:tr w:rsidR="00346EA4" w:rsidRPr="00346EA4" w14:paraId="20159EFB" w14:textId="77777777" w:rsidTr="009F40CA">
        <w:trPr>
          <w:trHeight w:val="288"/>
          <w:jc w:val="center"/>
        </w:trPr>
        <w:tc>
          <w:tcPr>
            <w:tcW w:w="622" w:type="pct"/>
            <w:tcBorders>
              <w:top w:val="nil"/>
              <w:left w:val="nil"/>
              <w:bottom w:val="nil"/>
              <w:right w:val="nil"/>
            </w:tcBorders>
            <w:noWrap/>
            <w:vAlign w:val="bottom"/>
            <w:hideMark/>
          </w:tcPr>
          <w:p w14:paraId="7E49E65E" w14:textId="77777777" w:rsidR="00A943E3" w:rsidRPr="00346EA4" w:rsidRDefault="00363E44" w:rsidP="00A943E3">
            <w:pPr>
              <w:spacing w:line="360" w:lineRule="auto"/>
              <w:jc w:val="both"/>
              <w:rPr>
                <w:rFonts w:ascii="Times New Roman" w:hAnsi="Times New Roman" w:cs="Times New Roman"/>
              </w:rPr>
            </w:pPr>
            <w:r>
              <w:rPr>
                <w:rFonts w:ascii="Times New Roman" w:hAnsi="Times New Roman" w:cs="Times New Roman"/>
              </w:rPr>
              <w:t>CP50</w:t>
            </w:r>
          </w:p>
        </w:tc>
        <w:tc>
          <w:tcPr>
            <w:tcW w:w="846" w:type="pct"/>
            <w:gridSpan w:val="2"/>
            <w:tcBorders>
              <w:top w:val="nil"/>
              <w:left w:val="nil"/>
              <w:bottom w:val="nil"/>
              <w:right w:val="nil"/>
            </w:tcBorders>
            <w:noWrap/>
            <w:vAlign w:val="bottom"/>
            <w:hideMark/>
          </w:tcPr>
          <w:p w14:paraId="7417A22D"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47.86</w:t>
            </w:r>
            <w:r w:rsidRPr="00346EA4">
              <w:rPr>
                <w:rFonts w:ascii="Times New Roman" w:hAnsi="Times New Roman" w:cs="Times New Roman"/>
                <w:vertAlign w:val="superscript"/>
              </w:rPr>
              <w:t>a</w:t>
            </w:r>
            <w:r w:rsidRPr="00346EA4">
              <w:rPr>
                <w:rFonts w:ascii="Times New Roman" w:hAnsi="Times New Roman" w:cs="Times New Roman"/>
              </w:rPr>
              <w:t>+0.08</w:t>
            </w:r>
          </w:p>
        </w:tc>
        <w:tc>
          <w:tcPr>
            <w:tcW w:w="774" w:type="pct"/>
            <w:gridSpan w:val="2"/>
            <w:tcBorders>
              <w:top w:val="nil"/>
              <w:left w:val="nil"/>
              <w:bottom w:val="nil"/>
              <w:right w:val="nil"/>
            </w:tcBorders>
            <w:noWrap/>
            <w:vAlign w:val="bottom"/>
            <w:hideMark/>
          </w:tcPr>
          <w:p w14:paraId="49B58644"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0.34</w:t>
            </w:r>
            <w:r w:rsidRPr="00346EA4">
              <w:rPr>
                <w:rFonts w:ascii="Times New Roman" w:hAnsi="Times New Roman" w:cs="Times New Roman"/>
                <w:vertAlign w:val="superscript"/>
              </w:rPr>
              <w:t>c</w:t>
            </w:r>
            <w:r w:rsidRPr="00346EA4">
              <w:rPr>
                <w:rFonts w:ascii="Times New Roman" w:hAnsi="Times New Roman" w:cs="Times New Roman"/>
              </w:rPr>
              <w:t>+0.01</w:t>
            </w:r>
          </w:p>
        </w:tc>
        <w:tc>
          <w:tcPr>
            <w:tcW w:w="920" w:type="pct"/>
            <w:gridSpan w:val="2"/>
            <w:tcBorders>
              <w:top w:val="nil"/>
              <w:left w:val="nil"/>
              <w:bottom w:val="nil"/>
              <w:right w:val="nil"/>
            </w:tcBorders>
            <w:noWrap/>
            <w:vAlign w:val="bottom"/>
            <w:hideMark/>
          </w:tcPr>
          <w:p w14:paraId="53ECCA86"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316.28</w:t>
            </w:r>
            <w:r w:rsidRPr="00346EA4">
              <w:rPr>
                <w:rFonts w:ascii="Times New Roman" w:hAnsi="Times New Roman" w:cs="Times New Roman"/>
                <w:vertAlign w:val="superscript"/>
              </w:rPr>
              <w:t>c</w:t>
            </w:r>
            <w:r w:rsidRPr="00346EA4">
              <w:rPr>
                <w:rFonts w:ascii="Times New Roman" w:hAnsi="Times New Roman" w:cs="Times New Roman"/>
              </w:rPr>
              <w:t>+1.17</w:t>
            </w:r>
          </w:p>
        </w:tc>
        <w:tc>
          <w:tcPr>
            <w:tcW w:w="920" w:type="pct"/>
            <w:gridSpan w:val="2"/>
            <w:tcBorders>
              <w:top w:val="nil"/>
              <w:left w:val="nil"/>
              <w:bottom w:val="nil"/>
              <w:right w:val="nil"/>
            </w:tcBorders>
            <w:noWrap/>
            <w:vAlign w:val="bottom"/>
            <w:hideMark/>
          </w:tcPr>
          <w:p w14:paraId="3E225F21"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192.25</w:t>
            </w:r>
            <w:r w:rsidRPr="00346EA4">
              <w:rPr>
                <w:rFonts w:ascii="Times New Roman" w:hAnsi="Times New Roman" w:cs="Times New Roman"/>
                <w:vertAlign w:val="superscript"/>
              </w:rPr>
              <w:t>b</w:t>
            </w:r>
            <w:r w:rsidRPr="00346EA4">
              <w:rPr>
                <w:rFonts w:ascii="Times New Roman" w:hAnsi="Times New Roman" w:cs="Times New Roman"/>
              </w:rPr>
              <w:t>+0.25</w:t>
            </w:r>
          </w:p>
        </w:tc>
        <w:tc>
          <w:tcPr>
            <w:tcW w:w="918" w:type="pct"/>
            <w:gridSpan w:val="2"/>
            <w:tcBorders>
              <w:top w:val="nil"/>
              <w:left w:val="nil"/>
              <w:bottom w:val="nil"/>
              <w:right w:val="nil"/>
            </w:tcBorders>
            <w:noWrap/>
            <w:vAlign w:val="bottom"/>
            <w:hideMark/>
          </w:tcPr>
          <w:p w14:paraId="47A856C5"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372.00</w:t>
            </w:r>
            <w:r w:rsidRPr="00346EA4">
              <w:rPr>
                <w:rFonts w:ascii="Times New Roman" w:hAnsi="Times New Roman" w:cs="Times New Roman"/>
                <w:vertAlign w:val="superscript"/>
              </w:rPr>
              <w:t>d</w:t>
            </w:r>
            <w:r w:rsidRPr="00346EA4">
              <w:rPr>
                <w:rFonts w:ascii="Times New Roman" w:hAnsi="Times New Roman" w:cs="Times New Roman"/>
              </w:rPr>
              <w:t>+2.02</w:t>
            </w:r>
          </w:p>
        </w:tc>
      </w:tr>
      <w:tr w:rsidR="00346EA4" w:rsidRPr="00346EA4" w14:paraId="6DA37811" w14:textId="77777777" w:rsidTr="009F40CA">
        <w:trPr>
          <w:trHeight w:val="288"/>
          <w:jc w:val="center"/>
        </w:trPr>
        <w:tc>
          <w:tcPr>
            <w:tcW w:w="622" w:type="pct"/>
            <w:tcBorders>
              <w:top w:val="nil"/>
              <w:left w:val="nil"/>
              <w:bottom w:val="nil"/>
              <w:right w:val="nil"/>
            </w:tcBorders>
            <w:noWrap/>
            <w:vAlign w:val="bottom"/>
            <w:hideMark/>
          </w:tcPr>
          <w:p w14:paraId="7880CDBC" w14:textId="77777777" w:rsidR="00A943E3" w:rsidRPr="00346EA4" w:rsidRDefault="00363E44" w:rsidP="00A943E3">
            <w:pPr>
              <w:spacing w:line="360" w:lineRule="auto"/>
              <w:jc w:val="both"/>
              <w:rPr>
                <w:rFonts w:ascii="Times New Roman" w:hAnsi="Times New Roman" w:cs="Times New Roman"/>
              </w:rPr>
            </w:pPr>
            <w:r>
              <w:rPr>
                <w:rFonts w:ascii="Times New Roman" w:hAnsi="Times New Roman" w:cs="Times New Roman"/>
              </w:rPr>
              <w:t>SC25</w:t>
            </w:r>
          </w:p>
        </w:tc>
        <w:tc>
          <w:tcPr>
            <w:tcW w:w="846" w:type="pct"/>
            <w:gridSpan w:val="2"/>
            <w:tcBorders>
              <w:top w:val="nil"/>
              <w:left w:val="nil"/>
              <w:bottom w:val="nil"/>
              <w:right w:val="nil"/>
            </w:tcBorders>
            <w:noWrap/>
            <w:vAlign w:val="bottom"/>
            <w:hideMark/>
          </w:tcPr>
          <w:p w14:paraId="00619B3D"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39.00</w:t>
            </w:r>
            <w:r w:rsidRPr="00346EA4">
              <w:rPr>
                <w:rFonts w:ascii="Times New Roman" w:hAnsi="Times New Roman" w:cs="Times New Roman"/>
                <w:vertAlign w:val="superscript"/>
              </w:rPr>
              <w:t>d</w:t>
            </w:r>
            <w:r w:rsidRPr="00346EA4">
              <w:rPr>
                <w:rFonts w:ascii="Times New Roman" w:hAnsi="Times New Roman" w:cs="Times New Roman"/>
              </w:rPr>
              <w:t>+0.05</w:t>
            </w:r>
          </w:p>
        </w:tc>
        <w:tc>
          <w:tcPr>
            <w:tcW w:w="774" w:type="pct"/>
            <w:gridSpan w:val="2"/>
            <w:tcBorders>
              <w:top w:val="nil"/>
              <w:left w:val="nil"/>
              <w:bottom w:val="nil"/>
              <w:right w:val="nil"/>
            </w:tcBorders>
            <w:noWrap/>
            <w:vAlign w:val="bottom"/>
            <w:hideMark/>
          </w:tcPr>
          <w:p w14:paraId="3B8D230A"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2.17</w:t>
            </w:r>
            <w:r w:rsidRPr="00346EA4">
              <w:rPr>
                <w:rFonts w:ascii="Times New Roman" w:hAnsi="Times New Roman" w:cs="Times New Roman"/>
                <w:vertAlign w:val="superscript"/>
              </w:rPr>
              <w:t>b</w:t>
            </w:r>
            <w:r w:rsidRPr="00346EA4">
              <w:rPr>
                <w:rFonts w:ascii="Times New Roman" w:hAnsi="Times New Roman" w:cs="Times New Roman"/>
              </w:rPr>
              <w:t>+0.04</w:t>
            </w:r>
          </w:p>
        </w:tc>
        <w:tc>
          <w:tcPr>
            <w:tcW w:w="920" w:type="pct"/>
            <w:gridSpan w:val="2"/>
            <w:tcBorders>
              <w:top w:val="nil"/>
              <w:left w:val="nil"/>
              <w:bottom w:val="nil"/>
              <w:right w:val="nil"/>
            </w:tcBorders>
            <w:noWrap/>
            <w:vAlign w:val="bottom"/>
            <w:hideMark/>
          </w:tcPr>
          <w:p w14:paraId="30861319"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311.63</w:t>
            </w:r>
            <w:r w:rsidRPr="00346EA4">
              <w:rPr>
                <w:rFonts w:ascii="Times New Roman" w:hAnsi="Times New Roman" w:cs="Times New Roman"/>
                <w:vertAlign w:val="superscript"/>
              </w:rPr>
              <w:t>b</w:t>
            </w:r>
            <w:r w:rsidRPr="00346EA4">
              <w:rPr>
                <w:rFonts w:ascii="Times New Roman" w:hAnsi="Times New Roman" w:cs="Times New Roman"/>
              </w:rPr>
              <w:t>+0.04</w:t>
            </w:r>
          </w:p>
        </w:tc>
        <w:tc>
          <w:tcPr>
            <w:tcW w:w="920" w:type="pct"/>
            <w:gridSpan w:val="2"/>
            <w:tcBorders>
              <w:top w:val="nil"/>
              <w:left w:val="nil"/>
              <w:bottom w:val="nil"/>
              <w:right w:val="nil"/>
            </w:tcBorders>
            <w:noWrap/>
            <w:vAlign w:val="bottom"/>
            <w:hideMark/>
          </w:tcPr>
          <w:p w14:paraId="22976D7E"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189.45</w:t>
            </w:r>
            <w:r w:rsidRPr="00346EA4">
              <w:rPr>
                <w:rFonts w:ascii="Times New Roman" w:hAnsi="Times New Roman" w:cs="Times New Roman"/>
                <w:vertAlign w:val="superscript"/>
              </w:rPr>
              <w:t>c</w:t>
            </w:r>
            <w:r w:rsidRPr="00346EA4">
              <w:rPr>
                <w:rFonts w:ascii="Times New Roman" w:hAnsi="Times New Roman" w:cs="Times New Roman"/>
              </w:rPr>
              <w:t>+0.15</w:t>
            </w:r>
          </w:p>
        </w:tc>
        <w:tc>
          <w:tcPr>
            <w:tcW w:w="918" w:type="pct"/>
            <w:gridSpan w:val="2"/>
            <w:tcBorders>
              <w:top w:val="nil"/>
              <w:left w:val="nil"/>
              <w:bottom w:val="nil"/>
              <w:right w:val="nil"/>
            </w:tcBorders>
            <w:noWrap/>
            <w:vAlign w:val="bottom"/>
            <w:hideMark/>
          </w:tcPr>
          <w:p w14:paraId="26503239"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373.20</w:t>
            </w:r>
            <w:r w:rsidRPr="00346EA4">
              <w:rPr>
                <w:rFonts w:ascii="Times New Roman" w:hAnsi="Times New Roman" w:cs="Times New Roman"/>
                <w:vertAlign w:val="superscript"/>
              </w:rPr>
              <w:t>b</w:t>
            </w:r>
            <w:r w:rsidRPr="00346EA4">
              <w:rPr>
                <w:rFonts w:ascii="Times New Roman" w:hAnsi="Times New Roman" w:cs="Times New Roman"/>
              </w:rPr>
              <w:t>+0.65</w:t>
            </w:r>
          </w:p>
        </w:tc>
      </w:tr>
      <w:tr w:rsidR="00346EA4" w:rsidRPr="00346EA4" w14:paraId="0C0C5DAB" w14:textId="77777777" w:rsidTr="009F40CA">
        <w:trPr>
          <w:trHeight w:val="288"/>
          <w:jc w:val="center"/>
        </w:trPr>
        <w:tc>
          <w:tcPr>
            <w:tcW w:w="622" w:type="pct"/>
            <w:tcBorders>
              <w:top w:val="nil"/>
              <w:left w:val="nil"/>
              <w:bottom w:val="nil"/>
              <w:right w:val="nil"/>
            </w:tcBorders>
            <w:noWrap/>
            <w:vAlign w:val="bottom"/>
            <w:hideMark/>
          </w:tcPr>
          <w:p w14:paraId="33420955" w14:textId="77777777" w:rsidR="00A943E3" w:rsidRPr="00346EA4" w:rsidRDefault="00363E44" w:rsidP="00A943E3">
            <w:pPr>
              <w:spacing w:line="360" w:lineRule="auto"/>
              <w:jc w:val="both"/>
              <w:rPr>
                <w:rFonts w:ascii="Times New Roman" w:hAnsi="Times New Roman" w:cs="Times New Roman"/>
              </w:rPr>
            </w:pPr>
            <w:r>
              <w:rPr>
                <w:rFonts w:ascii="Times New Roman" w:hAnsi="Times New Roman" w:cs="Times New Roman"/>
              </w:rPr>
              <w:t>SC50</w:t>
            </w:r>
          </w:p>
        </w:tc>
        <w:tc>
          <w:tcPr>
            <w:tcW w:w="846" w:type="pct"/>
            <w:gridSpan w:val="2"/>
            <w:tcBorders>
              <w:top w:val="nil"/>
              <w:left w:val="nil"/>
              <w:bottom w:val="nil"/>
              <w:right w:val="nil"/>
            </w:tcBorders>
            <w:noWrap/>
            <w:vAlign w:val="bottom"/>
            <w:hideMark/>
          </w:tcPr>
          <w:p w14:paraId="076CBDC0"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46.25</w:t>
            </w:r>
            <w:r w:rsidRPr="00346EA4">
              <w:rPr>
                <w:rFonts w:ascii="Times New Roman" w:hAnsi="Times New Roman" w:cs="Times New Roman"/>
                <w:vertAlign w:val="superscript"/>
              </w:rPr>
              <w:t>b</w:t>
            </w:r>
            <w:r w:rsidRPr="00346EA4">
              <w:rPr>
                <w:rFonts w:ascii="Times New Roman" w:hAnsi="Times New Roman" w:cs="Times New Roman"/>
              </w:rPr>
              <w:t>+0.47</w:t>
            </w:r>
          </w:p>
        </w:tc>
        <w:tc>
          <w:tcPr>
            <w:tcW w:w="774" w:type="pct"/>
            <w:gridSpan w:val="2"/>
            <w:tcBorders>
              <w:top w:val="nil"/>
              <w:left w:val="nil"/>
              <w:bottom w:val="nil"/>
              <w:right w:val="nil"/>
            </w:tcBorders>
            <w:noWrap/>
            <w:vAlign w:val="bottom"/>
            <w:hideMark/>
          </w:tcPr>
          <w:p w14:paraId="71B8273E"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0.35</w:t>
            </w:r>
            <w:r w:rsidRPr="00346EA4">
              <w:rPr>
                <w:rFonts w:ascii="Times New Roman" w:hAnsi="Times New Roman" w:cs="Times New Roman"/>
                <w:vertAlign w:val="superscript"/>
              </w:rPr>
              <w:t>c</w:t>
            </w:r>
            <w:r w:rsidRPr="00346EA4">
              <w:rPr>
                <w:rFonts w:ascii="Times New Roman" w:hAnsi="Times New Roman" w:cs="Times New Roman"/>
              </w:rPr>
              <w:t>+0.01</w:t>
            </w:r>
          </w:p>
        </w:tc>
        <w:tc>
          <w:tcPr>
            <w:tcW w:w="920" w:type="pct"/>
            <w:gridSpan w:val="2"/>
            <w:tcBorders>
              <w:top w:val="nil"/>
              <w:left w:val="nil"/>
              <w:bottom w:val="nil"/>
              <w:right w:val="nil"/>
            </w:tcBorders>
            <w:noWrap/>
            <w:vAlign w:val="bottom"/>
            <w:hideMark/>
          </w:tcPr>
          <w:p w14:paraId="40C67414"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322.14</w:t>
            </w:r>
            <w:r w:rsidRPr="00346EA4">
              <w:rPr>
                <w:rFonts w:ascii="Times New Roman" w:hAnsi="Times New Roman" w:cs="Times New Roman"/>
                <w:vertAlign w:val="superscript"/>
              </w:rPr>
              <w:t>a</w:t>
            </w:r>
            <w:r w:rsidRPr="00346EA4">
              <w:rPr>
                <w:rFonts w:ascii="Times New Roman" w:hAnsi="Times New Roman" w:cs="Times New Roman"/>
              </w:rPr>
              <w:t>+0.20</w:t>
            </w:r>
          </w:p>
        </w:tc>
        <w:tc>
          <w:tcPr>
            <w:tcW w:w="920" w:type="pct"/>
            <w:gridSpan w:val="2"/>
            <w:tcBorders>
              <w:top w:val="nil"/>
              <w:left w:val="nil"/>
              <w:bottom w:val="nil"/>
              <w:right w:val="nil"/>
            </w:tcBorders>
            <w:noWrap/>
            <w:vAlign w:val="bottom"/>
            <w:hideMark/>
          </w:tcPr>
          <w:p w14:paraId="185FF52A"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197.81</w:t>
            </w:r>
            <w:r w:rsidRPr="00346EA4">
              <w:rPr>
                <w:rFonts w:ascii="Times New Roman" w:hAnsi="Times New Roman" w:cs="Times New Roman"/>
                <w:vertAlign w:val="superscript"/>
              </w:rPr>
              <w:t>a</w:t>
            </w:r>
            <w:r w:rsidRPr="00346EA4">
              <w:rPr>
                <w:rFonts w:ascii="Times New Roman" w:hAnsi="Times New Roman" w:cs="Times New Roman"/>
              </w:rPr>
              <w:t>+0.62</w:t>
            </w:r>
          </w:p>
        </w:tc>
        <w:tc>
          <w:tcPr>
            <w:tcW w:w="918" w:type="pct"/>
            <w:gridSpan w:val="2"/>
            <w:tcBorders>
              <w:top w:val="nil"/>
              <w:left w:val="nil"/>
              <w:bottom w:val="nil"/>
              <w:right w:val="nil"/>
            </w:tcBorders>
            <w:noWrap/>
            <w:vAlign w:val="bottom"/>
            <w:hideMark/>
          </w:tcPr>
          <w:p w14:paraId="344D1431"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387.07</w:t>
            </w:r>
            <w:r w:rsidRPr="00346EA4">
              <w:rPr>
                <w:rFonts w:ascii="Times New Roman" w:hAnsi="Times New Roman" w:cs="Times New Roman"/>
                <w:vertAlign w:val="superscript"/>
              </w:rPr>
              <w:t>a</w:t>
            </w:r>
            <w:r w:rsidRPr="00346EA4">
              <w:rPr>
                <w:rFonts w:ascii="Times New Roman" w:hAnsi="Times New Roman" w:cs="Times New Roman"/>
              </w:rPr>
              <w:t>+0.48</w:t>
            </w:r>
          </w:p>
        </w:tc>
      </w:tr>
      <w:tr w:rsidR="00346EA4" w:rsidRPr="00346EA4" w14:paraId="71AB4877" w14:textId="77777777" w:rsidTr="009F40CA">
        <w:trPr>
          <w:trHeight w:val="288"/>
          <w:jc w:val="center"/>
        </w:trPr>
        <w:tc>
          <w:tcPr>
            <w:tcW w:w="622" w:type="pct"/>
            <w:tcBorders>
              <w:top w:val="nil"/>
              <w:left w:val="nil"/>
              <w:bottom w:val="single" w:sz="4" w:space="0" w:color="auto"/>
              <w:right w:val="nil"/>
            </w:tcBorders>
            <w:noWrap/>
            <w:vAlign w:val="bottom"/>
            <w:hideMark/>
          </w:tcPr>
          <w:p w14:paraId="51720FA2" w14:textId="77777777" w:rsidR="00A943E3" w:rsidRPr="00346EA4" w:rsidRDefault="00363E44" w:rsidP="00A943E3">
            <w:pPr>
              <w:spacing w:line="360" w:lineRule="auto"/>
              <w:jc w:val="both"/>
              <w:rPr>
                <w:rFonts w:ascii="Times New Roman" w:hAnsi="Times New Roman" w:cs="Times New Roman"/>
              </w:rPr>
            </w:pPr>
            <w:r>
              <w:rPr>
                <w:rFonts w:ascii="Times New Roman" w:hAnsi="Times New Roman" w:cs="Times New Roman"/>
              </w:rPr>
              <w:t>CC</w:t>
            </w:r>
          </w:p>
        </w:tc>
        <w:tc>
          <w:tcPr>
            <w:tcW w:w="846" w:type="pct"/>
            <w:gridSpan w:val="2"/>
            <w:tcBorders>
              <w:top w:val="nil"/>
              <w:left w:val="nil"/>
              <w:bottom w:val="single" w:sz="4" w:space="0" w:color="auto"/>
              <w:right w:val="nil"/>
            </w:tcBorders>
            <w:noWrap/>
            <w:vAlign w:val="bottom"/>
            <w:hideMark/>
          </w:tcPr>
          <w:p w14:paraId="1FCEA1A1"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34.98</w:t>
            </w:r>
            <w:r w:rsidRPr="00346EA4">
              <w:rPr>
                <w:rFonts w:ascii="Times New Roman" w:hAnsi="Times New Roman" w:cs="Times New Roman"/>
                <w:vertAlign w:val="superscript"/>
              </w:rPr>
              <w:t>e</w:t>
            </w:r>
            <w:r w:rsidRPr="00346EA4">
              <w:rPr>
                <w:rFonts w:ascii="Times New Roman" w:hAnsi="Times New Roman" w:cs="Times New Roman"/>
              </w:rPr>
              <w:t>+0.97</w:t>
            </w:r>
          </w:p>
        </w:tc>
        <w:tc>
          <w:tcPr>
            <w:tcW w:w="774" w:type="pct"/>
            <w:gridSpan w:val="2"/>
            <w:tcBorders>
              <w:top w:val="nil"/>
              <w:left w:val="nil"/>
              <w:bottom w:val="single" w:sz="4" w:space="0" w:color="auto"/>
              <w:right w:val="nil"/>
            </w:tcBorders>
            <w:noWrap/>
            <w:vAlign w:val="bottom"/>
            <w:hideMark/>
          </w:tcPr>
          <w:p w14:paraId="551B66EB"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6.73</w:t>
            </w:r>
            <w:r w:rsidRPr="00346EA4">
              <w:rPr>
                <w:rFonts w:ascii="Times New Roman" w:hAnsi="Times New Roman" w:cs="Times New Roman"/>
                <w:vertAlign w:val="superscript"/>
              </w:rPr>
              <w:t>a</w:t>
            </w:r>
            <w:r w:rsidRPr="00346EA4">
              <w:rPr>
                <w:rFonts w:ascii="Times New Roman" w:hAnsi="Times New Roman" w:cs="Times New Roman"/>
              </w:rPr>
              <w:t>+0.40</w:t>
            </w:r>
          </w:p>
        </w:tc>
        <w:tc>
          <w:tcPr>
            <w:tcW w:w="920" w:type="pct"/>
            <w:gridSpan w:val="2"/>
            <w:tcBorders>
              <w:top w:val="nil"/>
              <w:left w:val="nil"/>
              <w:bottom w:val="single" w:sz="4" w:space="0" w:color="auto"/>
              <w:right w:val="nil"/>
            </w:tcBorders>
            <w:noWrap/>
            <w:vAlign w:val="bottom"/>
            <w:hideMark/>
          </w:tcPr>
          <w:p w14:paraId="17481F83"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301.77</w:t>
            </w:r>
            <w:r w:rsidRPr="00346EA4">
              <w:rPr>
                <w:rFonts w:ascii="Times New Roman" w:hAnsi="Times New Roman" w:cs="Times New Roman"/>
                <w:vertAlign w:val="superscript"/>
              </w:rPr>
              <w:t>e</w:t>
            </w:r>
            <w:r w:rsidRPr="00346EA4">
              <w:rPr>
                <w:rFonts w:ascii="Times New Roman" w:hAnsi="Times New Roman" w:cs="Times New Roman"/>
              </w:rPr>
              <w:t>+0.47</w:t>
            </w:r>
          </w:p>
        </w:tc>
        <w:tc>
          <w:tcPr>
            <w:tcW w:w="920" w:type="pct"/>
            <w:gridSpan w:val="2"/>
            <w:tcBorders>
              <w:top w:val="nil"/>
              <w:left w:val="nil"/>
              <w:bottom w:val="single" w:sz="4" w:space="0" w:color="auto"/>
              <w:right w:val="nil"/>
            </w:tcBorders>
            <w:noWrap/>
            <w:vAlign w:val="bottom"/>
            <w:hideMark/>
          </w:tcPr>
          <w:p w14:paraId="44EDABC6"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173.55</w:t>
            </w:r>
            <w:r w:rsidRPr="00346EA4">
              <w:rPr>
                <w:rFonts w:ascii="Times New Roman" w:hAnsi="Times New Roman" w:cs="Times New Roman"/>
                <w:vertAlign w:val="superscript"/>
              </w:rPr>
              <w:t>ew</w:t>
            </w:r>
            <w:r w:rsidRPr="00346EA4">
              <w:rPr>
                <w:rFonts w:ascii="Times New Roman" w:hAnsi="Times New Roman" w:cs="Times New Roman"/>
              </w:rPr>
              <w:t>+0.97</w:t>
            </w:r>
          </w:p>
        </w:tc>
        <w:tc>
          <w:tcPr>
            <w:tcW w:w="918" w:type="pct"/>
            <w:gridSpan w:val="2"/>
            <w:tcBorders>
              <w:top w:val="nil"/>
              <w:left w:val="nil"/>
              <w:bottom w:val="single" w:sz="4" w:space="0" w:color="auto"/>
              <w:right w:val="nil"/>
            </w:tcBorders>
            <w:noWrap/>
            <w:vAlign w:val="bottom"/>
            <w:hideMark/>
          </w:tcPr>
          <w:p w14:paraId="6CE393D5"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352.06</w:t>
            </w:r>
            <w:r w:rsidRPr="00346EA4">
              <w:rPr>
                <w:rFonts w:ascii="Times New Roman" w:hAnsi="Times New Roman" w:cs="Times New Roman"/>
                <w:vertAlign w:val="superscript"/>
              </w:rPr>
              <w:t>c</w:t>
            </w:r>
            <w:r w:rsidRPr="00346EA4">
              <w:rPr>
                <w:rFonts w:ascii="Times New Roman" w:hAnsi="Times New Roman" w:cs="Times New Roman"/>
              </w:rPr>
              <w:t>+0.23</w:t>
            </w:r>
          </w:p>
        </w:tc>
      </w:tr>
    </w:tbl>
    <w:p w14:paraId="5307E142" w14:textId="77777777" w:rsidR="00A943E3" w:rsidRPr="00346EA4" w:rsidRDefault="00813CFA" w:rsidP="00813CFA">
      <w:pPr>
        <w:spacing w:after="0" w:line="240" w:lineRule="auto"/>
        <w:jc w:val="both"/>
        <w:rPr>
          <w:rFonts w:ascii="Times New Roman" w:hAnsi="Times New Roman" w:cs="Times New Roman"/>
        </w:rPr>
      </w:pPr>
      <w:r w:rsidRPr="00813CFA">
        <w:rPr>
          <w:rFonts w:ascii="Times New Roman" w:hAnsi="Times New Roman" w:cs="Times New Roman"/>
        </w:rPr>
        <w:t>The values represent two determinations' means ± SD. While values in the same column with different superscripts differ considerably (p&lt;0.05), values in the same column with comparable superscripts do not differ significantly (p&gt;0.05). CP25: cake made with 25% pigeon pea flour; CP50: cake made with 50% pigeon pea flour; CS: CS25: cake made with 25% sorghum flour; CS50: cake made with 50% sorghum flour;</w:t>
      </w:r>
    </w:p>
    <w:p w14:paraId="70598DB2" w14:textId="77777777" w:rsidR="00813CFA" w:rsidRDefault="00813CFA" w:rsidP="00A943E3">
      <w:pPr>
        <w:spacing w:line="360" w:lineRule="auto"/>
        <w:jc w:val="both"/>
        <w:rPr>
          <w:rFonts w:ascii="Times New Roman" w:hAnsi="Times New Roman" w:cs="Times New Roman"/>
        </w:rPr>
      </w:pPr>
    </w:p>
    <w:p w14:paraId="369DD502" w14:textId="77777777" w:rsidR="00A943E3" w:rsidRPr="00346EA4" w:rsidRDefault="00813CFA" w:rsidP="00A943E3">
      <w:pPr>
        <w:spacing w:line="360" w:lineRule="auto"/>
        <w:jc w:val="both"/>
        <w:rPr>
          <w:rFonts w:ascii="Times New Roman" w:hAnsi="Times New Roman" w:cs="Times New Roman"/>
        </w:rPr>
      </w:pPr>
      <w:r w:rsidRPr="00813CFA">
        <w:rPr>
          <w:rFonts w:ascii="Times New Roman" w:hAnsi="Times New Roman" w:cs="Times New Roman"/>
        </w:rPr>
        <w:t xml:space="preserve">The cake samples' potassium level varied from 352.06 to 387.07 mg/100g, with the 100% wheat flour cake having the lowest value at 352.06 mg/100g. According to Onuoha et al. (2025) and </w:t>
      </w:r>
      <w:proofErr w:type="spellStart"/>
      <w:r w:rsidRPr="00813CFA">
        <w:rPr>
          <w:rFonts w:ascii="Times New Roman" w:hAnsi="Times New Roman" w:cs="Times New Roman"/>
        </w:rPr>
        <w:t>Emojorho</w:t>
      </w:r>
      <w:proofErr w:type="spellEnd"/>
      <w:r w:rsidRPr="00813CFA">
        <w:rPr>
          <w:rFonts w:ascii="Times New Roman" w:hAnsi="Times New Roman" w:cs="Times New Roman"/>
        </w:rPr>
        <w:t xml:space="preserve"> et al. (2023), the values were greater than 149.94 to 195.54 mg/100g and 156.49 to 270.271 mg/100g, respectively, for biscuits made using composite flour. Higher amounts of sorghum and pigeon pea flour considerably raised the cake's potassium content. Potassium concentrations were much greater when sorghum flour was substituted for pigeon pea supplementation; the formulation comprising 50% sorghum flour had the highest value at 387.07 mg/100g.</w:t>
      </w:r>
    </w:p>
    <w:p w14:paraId="60018491" w14:textId="77777777" w:rsidR="00A943E3" w:rsidRPr="00346EA4" w:rsidRDefault="00813CFA" w:rsidP="00A943E3">
      <w:pPr>
        <w:spacing w:line="360" w:lineRule="auto"/>
        <w:jc w:val="both"/>
        <w:rPr>
          <w:rFonts w:ascii="Times New Roman" w:hAnsi="Times New Roman" w:cs="Times New Roman"/>
        </w:rPr>
      </w:pPr>
      <w:r w:rsidRPr="00813CFA">
        <w:rPr>
          <w:rFonts w:ascii="Times New Roman" w:hAnsi="Times New Roman" w:cs="Times New Roman"/>
        </w:rPr>
        <w:t xml:space="preserve">The cake samples' magnesium level varied from 173.55 to 197.81 mg/100g, with the cake made entirely of wheat flour having the lowest value at 173.55 mg/100g. For biscuits made using composite flour, the readings were marginally higher than the 126.75 to 168.34 mg/100g reported by Onuoha et al. (2025). Higher percentages of sorghum and pigeon pea flours considerably raised the cake's magnesium content. </w:t>
      </w:r>
      <w:proofErr w:type="spellStart"/>
      <w:r w:rsidRPr="00813CFA">
        <w:rPr>
          <w:rFonts w:ascii="Times New Roman" w:hAnsi="Times New Roman" w:cs="Times New Roman"/>
        </w:rPr>
        <w:t>Adinkwu</w:t>
      </w:r>
      <w:proofErr w:type="spellEnd"/>
      <w:r w:rsidRPr="00813CFA">
        <w:rPr>
          <w:rFonts w:ascii="Times New Roman" w:hAnsi="Times New Roman" w:cs="Times New Roman"/>
        </w:rPr>
        <w:t xml:space="preserve"> et al. (2025) also showed elevated levels of sorghum flour in bread samples, ranging from 123.43 to 182.34 mg/100g. Magnesium concentrations were higher when sorghum flour was substituted for pigeon pea supplements, reaching a maximum of 197.81 mg/100g in the formulation with 50% sorghum flour.</w:t>
      </w:r>
    </w:p>
    <w:p w14:paraId="35479C86" w14:textId="77777777" w:rsidR="00A943E3" w:rsidRPr="00346EA4" w:rsidRDefault="00813CFA" w:rsidP="00A943E3">
      <w:pPr>
        <w:spacing w:line="360" w:lineRule="auto"/>
        <w:jc w:val="both"/>
        <w:rPr>
          <w:rFonts w:ascii="Times New Roman" w:hAnsi="Times New Roman" w:cs="Times New Roman"/>
        </w:rPr>
      </w:pPr>
      <w:r w:rsidRPr="00813CFA">
        <w:rPr>
          <w:rFonts w:ascii="Times New Roman" w:hAnsi="Times New Roman" w:cs="Times New Roman"/>
        </w:rPr>
        <w:t xml:space="preserve">The cake samples' calcium level varied from 46.25 mg/100g to 34.98 mg/100g, with the cake made entirely of wheat flour having the lowest amount. For complementary food made from composite flour, the values were greater than the 0.45 to 1.02 mg/100g reported by </w:t>
      </w:r>
      <w:proofErr w:type="spellStart"/>
      <w:r w:rsidRPr="00813CFA">
        <w:rPr>
          <w:rFonts w:ascii="Times New Roman" w:hAnsi="Times New Roman" w:cs="Times New Roman"/>
        </w:rPr>
        <w:t>Ihedinachi</w:t>
      </w:r>
      <w:proofErr w:type="spellEnd"/>
      <w:r w:rsidRPr="00813CFA">
        <w:rPr>
          <w:rFonts w:ascii="Times New Roman" w:hAnsi="Times New Roman" w:cs="Times New Roman"/>
        </w:rPr>
        <w:t xml:space="preserve"> et al. (2025). Higher amounts of sorghum and pigeon pea flour considerably raised the cake's calcium content. Calcium concentrations were much greater when sorghum flour was substituted for pigeon pea supplementation, reaching a peak of 322.14 mg/100g in the formulation with 50% sorghum flour.</w:t>
      </w:r>
    </w:p>
    <w:p w14:paraId="174C7F19" w14:textId="77777777" w:rsidR="00A943E3" w:rsidRPr="00346EA4" w:rsidRDefault="00813CFA" w:rsidP="00A943E3">
      <w:pPr>
        <w:spacing w:line="360" w:lineRule="auto"/>
        <w:jc w:val="both"/>
        <w:rPr>
          <w:rFonts w:ascii="Times New Roman" w:hAnsi="Times New Roman" w:cs="Times New Roman"/>
        </w:rPr>
      </w:pPr>
      <w:r w:rsidRPr="00813CFA">
        <w:rPr>
          <w:rFonts w:ascii="Times New Roman" w:hAnsi="Times New Roman" w:cs="Times New Roman"/>
        </w:rPr>
        <w:lastRenderedPageBreak/>
        <w:t xml:space="preserve">The cake samples' iron level varied from 0.34 to 6.73 mg/100g, with the cake enriched with 50% pigeon pea flour having the lowest value at 0.34 mg/100g and the cake made entirely of wheat flour having the greatest value at 6.73. For complementary food made from composite flour, the values were marginally higher than the 0.44 to 1.17 mg/100g reported by </w:t>
      </w:r>
      <w:proofErr w:type="spellStart"/>
      <w:r w:rsidRPr="00813CFA">
        <w:rPr>
          <w:rFonts w:ascii="Times New Roman" w:hAnsi="Times New Roman" w:cs="Times New Roman"/>
        </w:rPr>
        <w:t>Ihedinachi</w:t>
      </w:r>
      <w:proofErr w:type="spellEnd"/>
      <w:r w:rsidRPr="00813CFA">
        <w:rPr>
          <w:rFonts w:ascii="Times New Roman" w:hAnsi="Times New Roman" w:cs="Times New Roman"/>
        </w:rPr>
        <w:t xml:space="preserve"> et al. (2025).  Higher amounts of pigeon pea and sorghum flour considerably reduced the cake's iron content. Notably, compared to sorghum supplementation, pigeon pea substitution produced lower phosphorus concentrations.</w:t>
      </w:r>
    </w:p>
    <w:p w14:paraId="6CB4A152" w14:textId="77777777" w:rsidR="00A943E3" w:rsidRPr="00346EA4" w:rsidRDefault="00813CFA" w:rsidP="00A943E3">
      <w:pPr>
        <w:spacing w:line="360" w:lineRule="auto"/>
        <w:jc w:val="both"/>
        <w:rPr>
          <w:rFonts w:ascii="Times New Roman" w:hAnsi="Times New Roman" w:cs="Times New Roman"/>
        </w:rPr>
      </w:pPr>
      <w:r w:rsidRPr="00813CFA">
        <w:rPr>
          <w:rFonts w:ascii="Times New Roman" w:hAnsi="Times New Roman" w:cs="Times New Roman"/>
        </w:rPr>
        <w:t xml:space="preserve">The cake samples' phosphorus content varied from 34.98 to 46.25 mg/100g, with the 100% wheat flour cake having the lowest value at 34.98 mg/100g. The results were marginally less than the 40.64 to 51.97 mg/100g for biscuits made with composite flour that Onuoha et al. (2025) reported. Higher amounts of sorghum and pigeon pea flour considerably raised the cake's phosphorus levels. According to </w:t>
      </w:r>
      <w:proofErr w:type="spellStart"/>
      <w:r w:rsidRPr="00813CFA">
        <w:rPr>
          <w:rFonts w:ascii="Times New Roman" w:hAnsi="Times New Roman" w:cs="Times New Roman"/>
        </w:rPr>
        <w:t>Adinkwu</w:t>
      </w:r>
      <w:proofErr w:type="spellEnd"/>
      <w:r w:rsidRPr="00813CFA">
        <w:rPr>
          <w:rFonts w:ascii="Times New Roman" w:hAnsi="Times New Roman" w:cs="Times New Roman"/>
        </w:rPr>
        <w:t xml:space="preserve"> et al. (2025), bread samples with more sorghum flour had higher levels of phosphorus. Phosphorus concentrations were significantly greater when pigeon pea flour was substituted for sorghum, reaching a peak of 47.86 mg/100g in the formulation that contained 50% pigeon pea flour.</w:t>
      </w:r>
    </w:p>
    <w:p w14:paraId="689DAC51" w14:textId="77777777" w:rsidR="00A943E3" w:rsidRPr="00346EA4" w:rsidRDefault="00415A52" w:rsidP="00A943E3">
      <w:pPr>
        <w:spacing w:line="360" w:lineRule="auto"/>
        <w:jc w:val="both"/>
        <w:rPr>
          <w:rFonts w:ascii="Times New Roman" w:hAnsi="Times New Roman" w:cs="Times New Roman"/>
          <w:b/>
        </w:rPr>
      </w:pPr>
      <w:r w:rsidRPr="00346EA4">
        <w:rPr>
          <w:rFonts w:ascii="Times New Roman" w:hAnsi="Times New Roman" w:cs="Times New Roman"/>
          <w:b/>
        </w:rPr>
        <w:t xml:space="preserve">3.2 </w:t>
      </w:r>
      <w:r w:rsidR="00A64513" w:rsidRPr="00346EA4">
        <w:rPr>
          <w:rFonts w:ascii="Times New Roman" w:hAnsi="Times New Roman" w:cs="Times New Roman"/>
          <w:b/>
        </w:rPr>
        <w:t>Vitamins. Concentration of cakes produced from blends of wheat, pigeon pea and sorghum flour</w:t>
      </w:r>
    </w:p>
    <w:p w14:paraId="0938EF1A" w14:textId="77777777" w:rsidR="00FF7CC4" w:rsidRDefault="00FF7CC4" w:rsidP="00FF7CC4">
      <w:pPr>
        <w:spacing w:line="360" w:lineRule="auto"/>
        <w:jc w:val="both"/>
        <w:rPr>
          <w:rFonts w:ascii="Times New Roman" w:hAnsi="Times New Roman" w:cs="Times New Roman"/>
        </w:rPr>
      </w:pPr>
      <w:r w:rsidRPr="00FF7CC4">
        <w:rPr>
          <w:rFonts w:ascii="Times New Roman" w:hAnsi="Times New Roman" w:cs="Times New Roman"/>
        </w:rPr>
        <w:t xml:space="preserve">The vitamin composition of the cake samples </w:t>
      </w:r>
      <w:proofErr w:type="gramStart"/>
      <w:r w:rsidRPr="00FF7CC4">
        <w:rPr>
          <w:rFonts w:ascii="Times New Roman" w:hAnsi="Times New Roman" w:cs="Times New Roman"/>
        </w:rPr>
        <w:t>are</w:t>
      </w:r>
      <w:proofErr w:type="gramEnd"/>
      <w:r w:rsidRPr="00FF7CC4">
        <w:rPr>
          <w:rFonts w:ascii="Times New Roman" w:hAnsi="Times New Roman" w:cs="Times New Roman"/>
        </w:rPr>
        <w:t xml:space="preserve"> shown in table 2.</w:t>
      </w:r>
    </w:p>
    <w:p w14:paraId="57CC39B5" w14:textId="77777777" w:rsidR="009F40CA" w:rsidRDefault="009F40CA" w:rsidP="009F40CA">
      <w:pPr>
        <w:spacing w:line="360" w:lineRule="auto"/>
        <w:jc w:val="both"/>
        <w:rPr>
          <w:rFonts w:ascii="Times New Roman" w:hAnsi="Times New Roman" w:cs="Times New Roman"/>
          <w:b/>
        </w:rPr>
      </w:pPr>
      <w:r w:rsidRPr="00346EA4">
        <w:rPr>
          <w:rFonts w:ascii="Times New Roman" w:hAnsi="Times New Roman" w:cs="Times New Roman"/>
          <w:b/>
        </w:rPr>
        <w:t>Table 2: Vitamins. Concentration of cakes produced from blends of wheat, pigeon pea and sorghum flour</w:t>
      </w:r>
    </w:p>
    <w:p w14:paraId="2CE49245" w14:textId="77777777" w:rsidR="009F40CA" w:rsidRPr="00FF7CC4" w:rsidRDefault="009F40CA" w:rsidP="00FF7CC4">
      <w:pPr>
        <w:spacing w:line="360" w:lineRule="auto"/>
        <w:jc w:val="both"/>
        <w:rPr>
          <w:rFonts w:ascii="Times New Roman" w:hAnsi="Times New Roman" w:cs="Times New Roman"/>
        </w:rPr>
      </w:pPr>
    </w:p>
    <w:p w14:paraId="68397044" w14:textId="77777777" w:rsidR="00FF7CC4" w:rsidRPr="00346EA4" w:rsidRDefault="00FF7CC4" w:rsidP="00A943E3">
      <w:pPr>
        <w:spacing w:line="360" w:lineRule="auto"/>
        <w:jc w:val="both"/>
        <w:rPr>
          <w:rFonts w:ascii="Times New Roman" w:hAnsi="Times New Roman" w:cs="Times New Roman"/>
          <w:b/>
        </w:rPr>
      </w:pPr>
    </w:p>
    <w:tbl>
      <w:tblPr>
        <w:tblW w:w="5000" w:type="pct"/>
        <w:tblLook w:val="04A0" w:firstRow="1" w:lastRow="0" w:firstColumn="1" w:lastColumn="0" w:noHBand="0" w:noVBand="1"/>
      </w:tblPr>
      <w:tblGrid>
        <w:gridCol w:w="1676"/>
        <w:gridCol w:w="1739"/>
        <w:gridCol w:w="861"/>
        <w:gridCol w:w="1739"/>
        <w:gridCol w:w="861"/>
        <w:gridCol w:w="1660"/>
        <w:gridCol w:w="824"/>
      </w:tblGrid>
      <w:tr w:rsidR="00346EA4" w:rsidRPr="00346EA4" w14:paraId="5A4DB76E" w14:textId="77777777" w:rsidTr="00722AB6">
        <w:trPr>
          <w:trHeight w:val="288"/>
        </w:trPr>
        <w:tc>
          <w:tcPr>
            <w:tcW w:w="895" w:type="pct"/>
            <w:tcBorders>
              <w:top w:val="single" w:sz="4" w:space="0" w:color="auto"/>
              <w:left w:val="nil"/>
              <w:bottom w:val="single" w:sz="4" w:space="0" w:color="auto"/>
              <w:right w:val="nil"/>
            </w:tcBorders>
            <w:noWrap/>
            <w:vAlign w:val="bottom"/>
            <w:hideMark/>
          </w:tcPr>
          <w:p w14:paraId="7E94C6E7"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SAMPLE</w:t>
            </w:r>
          </w:p>
        </w:tc>
        <w:tc>
          <w:tcPr>
            <w:tcW w:w="929" w:type="pct"/>
            <w:tcBorders>
              <w:top w:val="single" w:sz="4" w:space="0" w:color="auto"/>
              <w:left w:val="nil"/>
              <w:bottom w:val="single" w:sz="4" w:space="0" w:color="auto"/>
              <w:right w:val="nil"/>
            </w:tcBorders>
            <w:noWrap/>
            <w:vAlign w:val="bottom"/>
            <w:hideMark/>
          </w:tcPr>
          <w:p w14:paraId="2C9F82D5"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B1</w:t>
            </w:r>
          </w:p>
        </w:tc>
        <w:tc>
          <w:tcPr>
            <w:tcW w:w="460" w:type="pct"/>
            <w:tcBorders>
              <w:top w:val="single" w:sz="4" w:space="0" w:color="auto"/>
              <w:left w:val="nil"/>
              <w:bottom w:val="single" w:sz="4" w:space="0" w:color="auto"/>
              <w:right w:val="nil"/>
            </w:tcBorders>
            <w:noWrap/>
            <w:vAlign w:val="bottom"/>
            <w:hideMark/>
          </w:tcPr>
          <w:p w14:paraId="7E6AE30B" w14:textId="77777777" w:rsidR="00A943E3" w:rsidRPr="00346EA4" w:rsidRDefault="00A943E3" w:rsidP="00A943E3">
            <w:pPr>
              <w:spacing w:after="0" w:line="360" w:lineRule="auto"/>
              <w:jc w:val="both"/>
              <w:rPr>
                <w:rFonts w:ascii="Times New Roman" w:eastAsia="Times New Roman" w:hAnsi="Times New Roman" w:cs="Times New Roman"/>
              </w:rPr>
            </w:pPr>
          </w:p>
        </w:tc>
        <w:tc>
          <w:tcPr>
            <w:tcW w:w="929" w:type="pct"/>
            <w:tcBorders>
              <w:top w:val="single" w:sz="4" w:space="0" w:color="auto"/>
              <w:left w:val="nil"/>
              <w:bottom w:val="single" w:sz="4" w:space="0" w:color="auto"/>
              <w:right w:val="nil"/>
            </w:tcBorders>
            <w:noWrap/>
            <w:vAlign w:val="bottom"/>
            <w:hideMark/>
          </w:tcPr>
          <w:p w14:paraId="659509A4"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B2</w:t>
            </w:r>
          </w:p>
        </w:tc>
        <w:tc>
          <w:tcPr>
            <w:tcW w:w="460" w:type="pct"/>
            <w:tcBorders>
              <w:top w:val="single" w:sz="4" w:space="0" w:color="auto"/>
              <w:left w:val="nil"/>
              <w:bottom w:val="single" w:sz="4" w:space="0" w:color="auto"/>
              <w:right w:val="nil"/>
            </w:tcBorders>
            <w:noWrap/>
            <w:vAlign w:val="bottom"/>
            <w:hideMark/>
          </w:tcPr>
          <w:p w14:paraId="219FC11B" w14:textId="77777777" w:rsidR="00A943E3" w:rsidRPr="00346EA4" w:rsidRDefault="00A943E3" w:rsidP="00A943E3">
            <w:pPr>
              <w:spacing w:after="0" w:line="360" w:lineRule="auto"/>
              <w:jc w:val="both"/>
              <w:rPr>
                <w:rFonts w:ascii="Times New Roman" w:eastAsia="Times New Roman" w:hAnsi="Times New Roman" w:cs="Times New Roman"/>
              </w:rPr>
            </w:pPr>
          </w:p>
        </w:tc>
        <w:tc>
          <w:tcPr>
            <w:tcW w:w="887" w:type="pct"/>
            <w:tcBorders>
              <w:top w:val="single" w:sz="4" w:space="0" w:color="auto"/>
              <w:left w:val="nil"/>
              <w:bottom w:val="single" w:sz="4" w:space="0" w:color="auto"/>
              <w:right w:val="nil"/>
            </w:tcBorders>
            <w:noWrap/>
            <w:vAlign w:val="bottom"/>
            <w:hideMark/>
          </w:tcPr>
          <w:p w14:paraId="08BFEB33"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B3</w:t>
            </w:r>
          </w:p>
        </w:tc>
        <w:tc>
          <w:tcPr>
            <w:tcW w:w="440" w:type="pct"/>
            <w:tcBorders>
              <w:top w:val="single" w:sz="4" w:space="0" w:color="auto"/>
              <w:left w:val="nil"/>
              <w:bottom w:val="single" w:sz="4" w:space="0" w:color="auto"/>
              <w:right w:val="nil"/>
            </w:tcBorders>
            <w:noWrap/>
            <w:vAlign w:val="bottom"/>
            <w:hideMark/>
          </w:tcPr>
          <w:p w14:paraId="45AEB475" w14:textId="77777777" w:rsidR="00A943E3" w:rsidRPr="00346EA4" w:rsidRDefault="00A943E3" w:rsidP="00A943E3">
            <w:pPr>
              <w:spacing w:after="0" w:line="360" w:lineRule="auto"/>
              <w:jc w:val="both"/>
              <w:rPr>
                <w:rFonts w:ascii="Times New Roman" w:eastAsia="Times New Roman" w:hAnsi="Times New Roman" w:cs="Times New Roman"/>
              </w:rPr>
            </w:pPr>
          </w:p>
        </w:tc>
      </w:tr>
      <w:tr w:rsidR="00346EA4" w:rsidRPr="00346EA4" w14:paraId="51E405DF" w14:textId="77777777" w:rsidTr="00722AB6">
        <w:trPr>
          <w:trHeight w:val="288"/>
        </w:trPr>
        <w:tc>
          <w:tcPr>
            <w:tcW w:w="895" w:type="pct"/>
            <w:tcBorders>
              <w:top w:val="single" w:sz="4" w:space="0" w:color="auto"/>
              <w:left w:val="nil"/>
              <w:bottom w:val="nil"/>
              <w:right w:val="nil"/>
            </w:tcBorders>
            <w:noWrap/>
            <w:vAlign w:val="bottom"/>
            <w:hideMark/>
          </w:tcPr>
          <w:p w14:paraId="7282E960"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CP150</w:t>
            </w:r>
          </w:p>
        </w:tc>
        <w:tc>
          <w:tcPr>
            <w:tcW w:w="1389" w:type="pct"/>
            <w:gridSpan w:val="2"/>
            <w:tcBorders>
              <w:top w:val="single" w:sz="4" w:space="0" w:color="auto"/>
              <w:left w:val="nil"/>
              <w:bottom w:val="nil"/>
              <w:right w:val="nil"/>
            </w:tcBorders>
            <w:noWrap/>
            <w:vAlign w:val="bottom"/>
            <w:hideMark/>
          </w:tcPr>
          <w:p w14:paraId="233FEFBA"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0.028</w:t>
            </w:r>
            <w:r w:rsidRPr="00346EA4">
              <w:rPr>
                <w:rFonts w:ascii="Times New Roman" w:eastAsia="Times New Roman" w:hAnsi="Times New Roman" w:cs="Times New Roman"/>
                <w:vertAlign w:val="superscript"/>
              </w:rPr>
              <w:t>b</w:t>
            </w:r>
            <w:r w:rsidRPr="00346EA4">
              <w:rPr>
                <w:rFonts w:ascii="Times New Roman" w:eastAsia="Times New Roman" w:hAnsi="Times New Roman" w:cs="Times New Roman"/>
              </w:rPr>
              <w:t>+0.001</w:t>
            </w:r>
          </w:p>
        </w:tc>
        <w:tc>
          <w:tcPr>
            <w:tcW w:w="1389" w:type="pct"/>
            <w:gridSpan w:val="2"/>
            <w:tcBorders>
              <w:top w:val="single" w:sz="4" w:space="0" w:color="auto"/>
              <w:left w:val="nil"/>
              <w:bottom w:val="nil"/>
              <w:right w:val="nil"/>
            </w:tcBorders>
            <w:noWrap/>
            <w:vAlign w:val="bottom"/>
            <w:hideMark/>
          </w:tcPr>
          <w:p w14:paraId="66DC831E"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0.367</w:t>
            </w:r>
            <w:r w:rsidRPr="00346EA4">
              <w:rPr>
                <w:rFonts w:ascii="Times New Roman" w:eastAsia="Times New Roman" w:hAnsi="Times New Roman" w:cs="Times New Roman"/>
                <w:vertAlign w:val="superscript"/>
              </w:rPr>
              <w:t>ab</w:t>
            </w:r>
            <w:r w:rsidRPr="00346EA4">
              <w:rPr>
                <w:rFonts w:ascii="Times New Roman" w:eastAsia="Times New Roman" w:hAnsi="Times New Roman" w:cs="Times New Roman"/>
              </w:rPr>
              <w:t>+0.001</w:t>
            </w:r>
          </w:p>
        </w:tc>
        <w:tc>
          <w:tcPr>
            <w:tcW w:w="1327" w:type="pct"/>
            <w:gridSpan w:val="2"/>
            <w:tcBorders>
              <w:top w:val="single" w:sz="4" w:space="0" w:color="auto"/>
              <w:left w:val="nil"/>
              <w:bottom w:val="nil"/>
              <w:right w:val="nil"/>
            </w:tcBorders>
            <w:noWrap/>
            <w:vAlign w:val="bottom"/>
            <w:hideMark/>
          </w:tcPr>
          <w:p w14:paraId="349EF9DB"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0.004</w:t>
            </w:r>
            <w:r w:rsidRPr="00346EA4">
              <w:rPr>
                <w:rFonts w:ascii="Times New Roman" w:eastAsia="Times New Roman" w:hAnsi="Times New Roman" w:cs="Times New Roman"/>
                <w:vertAlign w:val="superscript"/>
              </w:rPr>
              <w:t>c</w:t>
            </w:r>
            <w:r w:rsidRPr="00346EA4">
              <w:rPr>
                <w:rFonts w:ascii="Times New Roman" w:eastAsia="Times New Roman" w:hAnsi="Times New Roman" w:cs="Times New Roman"/>
              </w:rPr>
              <w:t>+0.000</w:t>
            </w:r>
          </w:p>
        </w:tc>
      </w:tr>
      <w:tr w:rsidR="00346EA4" w:rsidRPr="00346EA4" w14:paraId="0344568F" w14:textId="77777777" w:rsidTr="00722AB6">
        <w:trPr>
          <w:trHeight w:val="288"/>
        </w:trPr>
        <w:tc>
          <w:tcPr>
            <w:tcW w:w="895" w:type="pct"/>
            <w:tcBorders>
              <w:top w:val="nil"/>
              <w:left w:val="nil"/>
              <w:bottom w:val="nil"/>
              <w:right w:val="nil"/>
            </w:tcBorders>
            <w:noWrap/>
            <w:vAlign w:val="bottom"/>
            <w:hideMark/>
          </w:tcPr>
          <w:p w14:paraId="33C22882"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CP300</w:t>
            </w:r>
          </w:p>
        </w:tc>
        <w:tc>
          <w:tcPr>
            <w:tcW w:w="1389" w:type="pct"/>
            <w:gridSpan w:val="2"/>
            <w:tcBorders>
              <w:top w:val="nil"/>
              <w:left w:val="nil"/>
              <w:bottom w:val="nil"/>
              <w:right w:val="nil"/>
            </w:tcBorders>
            <w:noWrap/>
            <w:vAlign w:val="bottom"/>
            <w:hideMark/>
          </w:tcPr>
          <w:p w14:paraId="3A98DDAA"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0.027</w:t>
            </w:r>
            <w:r w:rsidRPr="00346EA4">
              <w:rPr>
                <w:rFonts w:ascii="Times New Roman" w:eastAsia="Times New Roman" w:hAnsi="Times New Roman" w:cs="Times New Roman"/>
                <w:vertAlign w:val="superscript"/>
              </w:rPr>
              <w:t>b</w:t>
            </w:r>
            <w:r w:rsidRPr="00346EA4">
              <w:rPr>
                <w:rFonts w:ascii="Times New Roman" w:eastAsia="Times New Roman" w:hAnsi="Times New Roman" w:cs="Times New Roman"/>
              </w:rPr>
              <w:t>+0.002</w:t>
            </w:r>
          </w:p>
        </w:tc>
        <w:tc>
          <w:tcPr>
            <w:tcW w:w="1389" w:type="pct"/>
            <w:gridSpan w:val="2"/>
            <w:tcBorders>
              <w:top w:val="nil"/>
              <w:left w:val="nil"/>
              <w:bottom w:val="nil"/>
              <w:right w:val="nil"/>
            </w:tcBorders>
            <w:noWrap/>
            <w:vAlign w:val="bottom"/>
            <w:hideMark/>
          </w:tcPr>
          <w:p w14:paraId="157CA5D1"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0.377</w:t>
            </w:r>
            <w:r w:rsidRPr="00346EA4">
              <w:rPr>
                <w:rFonts w:ascii="Times New Roman" w:eastAsia="Times New Roman" w:hAnsi="Times New Roman" w:cs="Times New Roman"/>
                <w:vertAlign w:val="superscript"/>
              </w:rPr>
              <w:t>b</w:t>
            </w:r>
            <w:r w:rsidRPr="00346EA4">
              <w:rPr>
                <w:rFonts w:ascii="Times New Roman" w:eastAsia="Times New Roman" w:hAnsi="Times New Roman" w:cs="Times New Roman"/>
              </w:rPr>
              <w:t>+0.006</w:t>
            </w:r>
          </w:p>
        </w:tc>
        <w:tc>
          <w:tcPr>
            <w:tcW w:w="1327" w:type="pct"/>
            <w:gridSpan w:val="2"/>
            <w:tcBorders>
              <w:top w:val="nil"/>
              <w:left w:val="nil"/>
              <w:bottom w:val="nil"/>
              <w:right w:val="nil"/>
            </w:tcBorders>
            <w:noWrap/>
            <w:vAlign w:val="bottom"/>
            <w:hideMark/>
          </w:tcPr>
          <w:p w14:paraId="69F1FB58"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0.002</w:t>
            </w:r>
            <w:r w:rsidRPr="00346EA4">
              <w:rPr>
                <w:rFonts w:ascii="Times New Roman" w:eastAsia="Times New Roman" w:hAnsi="Times New Roman" w:cs="Times New Roman"/>
                <w:vertAlign w:val="superscript"/>
              </w:rPr>
              <w:t>c</w:t>
            </w:r>
            <w:r w:rsidRPr="00346EA4">
              <w:rPr>
                <w:rFonts w:ascii="Times New Roman" w:eastAsia="Times New Roman" w:hAnsi="Times New Roman" w:cs="Times New Roman"/>
              </w:rPr>
              <w:t>+0.000</w:t>
            </w:r>
          </w:p>
        </w:tc>
      </w:tr>
      <w:tr w:rsidR="00346EA4" w:rsidRPr="00346EA4" w14:paraId="1C3BB8D3" w14:textId="77777777" w:rsidTr="00722AB6">
        <w:trPr>
          <w:trHeight w:val="288"/>
        </w:trPr>
        <w:tc>
          <w:tcPr>
            <w:tcW w:w="895" w:type="pct"/>
            <w:tcBorders>
              <w:top w:val="nil"/>
              <w:left w:val="nil"/>
              <w:bottom w:val="nil"/>
              <w:right w:val="nil"/>
            </w:tcBorders>
            <w:noWrap/>
            <w:vAlign w:val="bottom"/>
            <w:hideMark/>
          </w:tcPr>
          <w:p w14:paraId="6FB95B87"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SC150</w:t>
            </w:r>
          </w:p>
        </w:tc>
        <w:tc>
          <w:tcPr>
            <w:tcW w:w="1389" w:type="pct"/>
            <w:gridSpan w:val="2"/>
            <w:tcBorders>
              <w:top w:val="nil"/>
              <w:left w:val="nil"/>
              <w:bottom w:val="nil"/>
              <w:right w:val="nil"/>
            </w:tcBorders>
            <w:noWrap/>
            <w:vAlign w:val="bottom"/>
            <w:hideMark/>
          </w:tcPr>
          <w:p w14:paraId="34F930FF"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0.030</w:t>
            </w:r>
            <w:r w:rsidRPr="00346EA4">
              <w:rPr>
                <w:rFonts w:ascii="Times New Roman" w:eastAsia="Times New Roman" w:hAnsi="Times New Roman" w:cs="Times New Roman"/>
                <w:vertAlign w:val="superscript"/>
              </w:rPr>
              <w:t>ab</w:t>
            </w:r>
            <w:r w:rsidRPr="00346EA4">
              <w:rPr>
                <w:rFonts w:ascii="Times New Roman" w:eastAsia="Times New Roman" w:hAnsi="Times New Roman" w:cs="Times New Roman"/>
              </w:rPr>
              <w:t>+0.001</w:t>
            </w:r>
          </w:p>
        </w:tc>
        <w:tc>
          <w:tcPr>
            <w:tcW w:w="1389" w:type="pct"/>
            <w:gridSpan w:val="2"/>
            <w:tcBorders>
              <w:top w:val="nil"/>
              <w:left w:val="nil"/>
              <w:bottom w:val="nil"/>
              <w:right w:val="nil"/>
            </w:tcBorders>
            <w:noWrap/>
            <w:vAlign w:val="bottom"/>
            <w:hideMark/>
          </w:tcPr>
          <w:p w14:paraId="56D98738"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0.333</w:t>
            </w:r>
            <w:r w:rsidRPr="00346EA4">
              <w:rPr>
                <w:rFonts w:ascii="Times New Roman" w:eastAsia="Times New Roman" w:hAnsi="Times New Roman" w:cs="Times New Roman"/>
                <w:vertAlign w:val="superscript"/>
              </w:rPr>
              <w:t>c</w:t>
            </w:r>
            <w:r w:rsidRPr="00346EA4">
              <w:rPr>
                <w:rFonts w:ascii="Times New Roman" w:eastAsia="Times New Roman" w:hAnsi="Times New Roman" w:cs="Times New Roman"/>
              </w:rPr>
              <w:t>+0.002</w:t>
            </w:r>
          </w:p>
        </w:tc>
        <w:tc>
          <w:tcPr>
            <w:tcW w:w="1327" w:type="pct"/>
            <w:gridSpan w:val="2"/>
            <w:tcBorders>
              <w:top w:val="nil"/>
              <w:left w:val="nil"/>
              <w:bottom w:val="nil"/>
              <w:right w:val="nil"/>
            </w:tcBorders>
            <w:noWrap/>
            <w:vAlign w:val="bottom"/>
            <w:hideMark/>
          </w:tcPr>
          <w:p w14:paraId="72254E5A"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0.009</w:t>
            </w:r>
            <w:r w:rsidRPr="00346EA4">
              <w:rPr>
                <w:rFonts w:ascii="Times New Roman" w:eastAsia="Times New Roman" w:hAnsi="Times New Roman" w:cs="Times New Roman"/>
                <w:vertAlign w:val="superscript"/>
              </w:rPr>
              <w:t>b</w:t>
            </w:r>
            <w:r w:rsidRPr="00346EA4">
              <w:rPr>
                <w:rFonts w:ascii="Times New Roman" w:eastAsia="Times New Roman" w:hAnsi="Times New Roman" w:cs="Times New Roman"/>
              </w:rPr>
              <w:t>+0.001</w:t>
            </w:r>
          </w:p>
        </w:tc>
      </w:tr>
      <w:tr w:rsidR="00346EA4" w:rsidRPr="00346EA4" w14:paraId="4990FFDD" w14:textId="77777777" w:rsidTr="00722AB6">
        <w:trPr>
          <w:trHeight w:val="288"/>
        </w:trPr>
        <w:tc>
          <w:tcPr>
            <w:tcW w:w="895" w:type="pct"/>
            <w:tcBorders>
              <w:top w:val="nil"/>
              <w:left w:val="nil"/>
              <w:bottom w:val="nil"/>
              <w:right w:val="nil"/>
            </w:tcBorders>
            <w:noWrap/>
            <w:vAlign w:val="bottom"/>
            <w:hideMark/>
          </w:tcPr>
          <w:p w14:paraId="3A2E404F"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SC300</w:t>
            </w:r>
          </w:p>
        </w:tc>
        <w:tc>
          <w:tcPr>
            <w:tcW w:w="1389" w:type="pct"/>
            <w:gridSpan w:val="2"/>
            <w:tcBorders>
              <w:top w:val="nil"/>
              <w:left w:val="nil"/>
              <w:bottom w:val="nil"/>
              <w:right w:val="nil"/>
            </w:tcBorders>
            <w:noWrap/>
            <w:vAlign w:val="bottom"/>
            <w:hideMark/>
          </w:tcPr>
          <w:p w14:paraId="1B65DF62"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0.035</w:t>
            </w:r>
            <w:r w:rsidRPr="00346EA4">
              <w:rPr>
                <w:rFonts w:ascii="Times New Roman" w:eastAsia="Times New Roman" w:hAnsi="Times New Roman" w:cs="Times New Roman"/>
                <w:vertAlign w:val="superscript"/>
              </w:rPr>
              <w:t>a</w:t>
            </w:r>
            <w:r w:rsidRPr="00346EA4">
              <w:rPr>
                <w:rFonts w:ascii="Times New Roman" w:eastAsia="Times New Roman" w:hAnsi="Times New Roman" w:cs="Times New Roman"/>
              </w:rPr>
              <w:t>+0.004</w:t>
            </w:r>
          </w:p>
        </w:tc>
        <w:tc>
          <w:tcPr>
            <w:tcW w:w="1389" w:type="pct"/>
            <w:gridSpan w:val="2"/>
            <w:tcBorders>
              <w:top w:val="nil"/>
              <w:left w:val="nil"/>
              <w:bottom w:val="nil"/>
              <w:right w:val="nil"/>
            </w:tcBorders>
            <w:noWrap/>
            <w:vAlign w:val="bottom"/>
            <w:hideMark/>
          </w:tcPr>
          <w:p w14:paraId="2E376D6C"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0.340</w:t>
            </w:r>
            <w:r w:rsidRPr="00346EA4">
              <w:rPr>
                <w:rFonts w:ascii="Times New Roman" w:eastAsia="Times New Roman" w:hAnsi="Times New Roman" w:cs="Times New Roman"/>
                <w:vertAlign w:val="superscript"/>
              </w:rPr>
              <w:t>d</w:t>
            </w:r>
            <w:r w:rsidRPr="00346EA4">
              <w:rPr>
                <w:rFonts w:ascii="Times New Roman" w:eastAsia="Times New Roman" w:hAnsi="Times New Roman" w:cs="Times New Roman"/>
              </w:rPr>
              <w:t>+0.004</w:t>
            </w:r>
          </w:p>
        </w:tc>
        <w:tc>
          <w:tcPr>
            <w:tcW w:w="1327" w:type="pct"/>
            <w:gridSpan w:val="2"/>
            <w:tcBorders>
              <w:top w:val="nil"/>
              <w:left w:val="nil"/>
              <w:bottom w:val="nil"/>
              <w:right w:val="nil"/>
            </w:tcBorders>
            <w:noWrap/>
            <w:vAlign w:val="bottom"/>
            <w:hideMark/>
          </w:tcPr>
          <w:p w14:paraId="1F6D9244"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0.023</w:t>
            </w:r>
            <w:r w:rsidRPr="00346EA4">
              <w:rPr>
                <w:rFonts w:ascii="Times New Roman" w:eastAsia="Times New Roman" w:hAnsi="Times New Roman" w:cs="Times New Roman"/>
                <w:vertAlign w:val="superscript"/>
              </w:rPr>
              <w:t>a</w:t>
            </w:r>
            <w:r w:rsidRPr="00346EA4">
              <w:rPr>
                <w:rFonts w:ascii="Times New Roman" w:eastAsia="Times New Roman" w:hAnsi="Times New Roman" w:cs="Times New Roman"/>
              </w:rPr>
              <w:t>+0.001</w:t>
            </w:r>
          </w:p>
        </w:tc>
      </w:tr>
      <w:tr w:rsidR="00346EA4" w:rsidRPr="00346EA4" w14:paraId="36FBEB84" w14:textId="77777777" w:rsidTr="00722AB6">
        <w:trPr>
          <w:trHeight w:val="288"/>
        </w:trPr>
        <w:tc>
          <w:tcPr>
            <w:tcW w:w="895" w:type="pct"/>
            <w:tcBorders>
              <w:top w:val="nil"/>
              <w:left w:val="nil"/>
              <w:bottom w:val="single" w:sz="4" w:space="0" w:color="auto"/>
              <w:right w:val="nil"/>
            </w:tcBorders>
            <w:noWrap/>
            <w:vAlign w:val="bottom"/>
            <w:hideMark/>
          </w:tcPr>
          <w:p w14:paraId="5AB48DDC"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Control</w:t>
            </w:r>
          </w:p>
        </w:tc>
        <w:tc>
          <w:tcPr>
            <w:tcW w:w="1389" w:type="pct"/>
            <w:gridSpan w:val="2"/>
            <w:tcBorders>
              <w:top w:val="nil"/>
              <w:left w:val="nil"/>
              <w:bottom w:val="single" w:sz="4" w:space="0" w:color="auto"/>
              <w:right w:val="nil"/>
            </w:tcBorders>
            <w:noWrap/>
            <w:vAlign w:val="bottom"/>
            <w:hideMark/>
          </w:tcPr>
          <w:p w14:paraId="5BB32330"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0.021</w:t>
            </w:r>
            <w:r w:rsidRPr="00346EA4">
              <w:rPr>
                <w:rFonts w:ascii="Times New Roman" w:eastAsia="Times New Roman" w:hAnsi="Times New Roman" w:cs="Times New Roman"/>
                <w:vertAlign w:val="superscript"/>
              </w:rPr>
              <w:t>c</w:t>
            </w:r>
            <w:r w:rsidRPr="00346EA4">
              <w:rPr>
                <w:rFonts w:ascii="Times New Roman" w:eastAsia="Times New Roman" w:hAnsi="Times New Roman" w:cs="Times New Roman"/>
              </w:rPr>
              <w:t>+0.001</w:t>
            </w:r>
          </w:p>
        </w:tc>
        <w:tc>
          <w:tcPr>
            <w:tcW w:w="1389" w:type="pct"/>
            <w:gridSpan w:val="2"/>
            <w:tcBorders>
              <w:top w:val="nil"/>
              <w:left w:val="nil"/>
              <w:bottom w:val="single" w:sz="4" w:space="0" w:color="auto"/>
              <w:right w:val="nil"/>
            </w:tcBorders>
            <w:noWrap/>
            <w:vAlign w:val="bottom"/>
            <w:hideMark/>
          </w:tcPr>
          <w:p w14:paraId="0259C25B"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0.328</w:t>
            </w:r>
            <w:r w:rsidRPr="00346EA4">
              <w:rPr>
                <w:rFonts w:ascii="Times New Roman" w:eastAsia="Times New Roman" w:hAnsi="Times New Roman" w:cs="Times New Roman"/>
                <w:vertAlign w:val="superscript"/>
              </w:rPr>
              <w:t>a</w:t>
            </w:r>
            <w:r w:rsidRPr="00346EA4">
              <w:rPr>
                <w:rFonts w:ascii="Times New Roman" w:eastAsia="Times New Roman" w:hAnsi="Times New Roman" w:cs="Times New Roman"/>
              </w:rPr>
              <w:t>+0.004</w:t>
            </w:r>
          </w:p>
        </w:tc>
        <w:tc>
          <w:tcPr>
            <w:tcW w:w="1327" w:type="pct"/>
            <w:gridSpan w:val="2"/>
            <w:tcBorders>
              <w:top w:val="nil"/>
              <w:left w:val="nil"/>
              <w:bottom w:val="single" w:sz="4" w:space="0" w:color="auto"/>
              <w:right w:val="nil"/>
            </w:tcBorders>
            <w:noWrap/>
            <w:vAlign w:val="bottom"/>
            <w:hideMark/>
          </w:tcPr>
          <w:p w14:paraId="4881CF56" w14:textId="77777777" w:rsidR="00A943E3" w:rsidRPr="00346EA4" w:rsidRDefault="00A943E3" w:rsidP="00A943E3">
            <w:pPr>
              <w:spacing w:after="0" w:line="360" w:lineRule="auto"/>
              <w:jc w:val="both"/>
              <w:rPr>
                <w:rFonts w:ascii="Times New Roman" w:eastAsia="Times New Roman" w:hAnsi="Times New Roman" w:cs="Times New Roman"/>
              </w:rPr>
            </w:pPr>
            <w:r w:rsidRPr="00346EA4">
              <w:rPr>
                <w:rFonts w:ascii="Times New Roman" w:eastAsia="Times New Roman" w:hAnsi="Times New Roman" w:cs="Times New Roman"/>
              </w:rPr>
              <w:t>0.006</w:t>
            </w:r>
            <w:r w:rsidRPr="00346EA4">
              <w:rPr>
                <w:rFonts w:ascii="Times New Roman" w:eastAsia="Times New Roman" w:hAnsi="Times New Roman" w:cs="Times New Roman"/>
                <w:vertAlign w:val="superscript"/>
              </w:rPr>
              <w:t>b</w:t>
            </w:r>
            <w:r w:rsidRPr="00346EA4">
              <w:rPr>
                <w:rFonts w:ascii="Times New Roman" w:eastAsia="Times New Roman" w:hAnsi="Times New Roman" w:cs="Times New Roman"/>
              </w:rPr>
              <w:t>+0.003</w:t>
            </w:r>
          </w:p>
        </w:tc>
      </w:tr>
    </w:tbl>
    <w:p w14:paraId="7986E630" w14:textId="77777777" w:rsidR="00A943E3" w:rsidRPr="00346EA4" w:rsidRDefault="00A943E3" w:rsidP="00A943E3">
      <w:pPr>
        <w:spacing w:line="360" w:lineRule="auto"/>
        <w:jc w:val="both"/>
        <w:rPr>
          <w:rFonts w:ascii="Times New Roman" w:hAnsi="Times New Roman" w:cs="Times New Roman"/>
        </w:rPr>
      </w:pPr>
      <w:r w:rsidRPr="00346EA4">
        <w:rPr>
          <w:rFonts w:ascii="Times New Roman" w:hAnsi="Times New Roman" w:cs="Times New Roman"/>
        </w:rPr>
        <w:t>Values are means ± SD of two determinations. Values in the same column bearing similar superscripts are not significantly (p&gt;0.05) different, while values in the same column with different superscript are significantly (p&lt;0.05) different.</w:t>
      </w:r>
    </w:p>
    <w:p w14:paraId="4739CB54" w14:textId="77777777" w:rsidR="00813CFA" w:rsidRDefault="00813CFA" w:rsidP="00A943E3">
      <w:pPr>
        <w:spacing w:line="360" w:lineRule="auto"/>
        <w:jc w:val="both"/>
        <w:rPr>
          <w:rFonts w:ascii="Times New Roman" w:hAnsi="Times New Roman" w:cs="Times New Roman"/>
        </w:rPr>
      </w:pPr>
      <w:r w:rsidRPr="00813CFA">
        <w:rPr>
          <w:rFonts w:ascii="Times New Roman" w:hAnsi="Times New Roman" w:cs="Times New Roman"/>
        </w:rPr>
        <w:t xml:space="preserve">The cake samples' vitamin B1 level varied from 0.021 to 0.035 mg/100g, with the 100% wheat flour cake having the lowest value at 0.027 mg/100g. The values were comparable to o.0.035 to 0.315 recorded by </w:t>
      </w:r>
      <w:proofErr w:type="spellStart"/>
      <w:r w:rsidRPr="00813CFA">
        <w:rPr>
          <w:rFonts w:ascii="Times New Roman" w:hAnsi="Times New Roman" w:cs="Times New Roman"/>
        </w:rPr>
        <w:t>Aniemena</w:t>
      </w:r>
      <w:proofErr w:type="spellEnd"/>
      <w:r w:rsidRPr="00813CFA">
        <w:rPr>
          <w:rFonts w:ascii="Times New Roman" w:hAnsi="Times New Roman" w:cs="Times New Roman"/>
        </w:rPr>
        <w:t xml:space="preserve"> for cake made from composite flour, but lower than 1.00 to 2.33 mg/100g reported by Anene et </w:t>
      </w:r>
      <w:r w:rsidRPr="00813CFA">
        <w:rPr>
          <w:rFonts w:ascii="Times New Roman" w:hAnsi="Times New Roman" w:cs="Times New Roman"/>
        </w:rPr>
        <w:lastRenderedPageBreak/>
        <w:t>al. (2025) for composite flour.  With higher amounts of sorghum and pigeon pea flour, the cake's vitamin B1 levels rose dramatically. Vitamin B1 concentrations were significantly greater when sorghum flour was substituted for pigeon pea supplements; the formulation comprising 50% sorghum flour had the highest value at 0.035 mg/100g.</w:t>
      </w:r>
    </w:p>
    <w:p w14:paraId="0F3A3427" w14:textId="77777777" w:rsidR="00207157" w:rsidRPr="00207157" w:rsidRDefault="00813CFA" w:rsidP="00207157">
      <w:pPr>
        <w:spacing w:line="360" w:lineRule="auto"/>
        <w:jc w:val="both"/>
        <w:rPr>
          <w:rFonts w:ascii="Times New Roman" w:hAnsi="Times New Roman" w:cs="Times New Roman"/>
        </w:rPr>
      </w:pPr>
      <w:r w:rsidRPr="00813CFA">
        <w:rPr>
          <w:rFonts w:ascii="Times New Roman" w:hAnsi="Times New Roman" w:cs="Times New Roman"/>
        </w:rPr>
        <w:t xml:space="preserve">The cake samples' vitamin B2 level varied from 0.328 to 0.377 mg/100g, with the 100% wheat flour cake having the lowest value at 0.328 mg/100g. According to </w:t>
      </w:r>
      <w:proofErr w:type="spellStart"/>
      <w:r w:rsidRPr="00813CFA">
        <w:rPr>
          <w:rFonts w:ascii="Times New Roman" w:hAnsi="Times New Roman" w:cs="Times New Roman"/>
        </w:rPr>
        <w:t>Adinkwu</w:t>
      </w:r>
      <w:proofErr w:type="spellEnd"/>
      <w:r w:rsidRPr="00813CFA">
        <w:rPr>
          <w:rFonts w:ascii="Times New Roman" w:hAnsi="Times New Roman" w:cs="Times New Roman"/>
        </w:rPr>
        <w:t xml:space="preserve"> et al. (2025), the values for bread made with sorghum flour were less than 0.99 to 1.04. As the amounts of sorghum and pigeon pea flour increased, the cake's vitamin B2 content rose dramatically. Vitamin B2 concentrations were significantly greater when pigeon pea flour was substituted than when sorghum flour was supplemented; the formulation that </w:t>
      </w:r>
      <w:r w:rsidR="00207157" w:rsidRPr="00207157">
        <w:rPr>
          <w:rFonts w:ascii="Times New Roman" w:hAnsi="Times New Roman" w:cs="Times New Roman"/>
        </w:rPr>
        <w:t>had the highest score at 0.035 mg/100g and included 50% pigeon pea flour.</w:t>
      </w:r>
    </w:p>
    <w:p w14:paraId="46EF7F74" w14:textId="77777777" w:rsidR="00207157" w:rsidRDefault="00207157" w:rsidP="00207157">
      <w:pPr>
        <w:spacing w:line="360" w:lineRule="auto"/>
        <w:jc w:val="both"/>
        <w:rPr>
          <w:rFonts w:ascii="Times New Roman" w:hAnsi="Times New Roman" w:cs="Times New Roman"/>
        </w:rPr>
      </w:pPr>
      <w:r w:rsidRPr="00207157">
        <w:rPr>
          <w:rFonts w:ascii="Times New Roman" w:hAnsi="Times New Roman" w:cs="Times New Roman"/>
        </w:rPr>
        <w:t xml:space="preserve">The cake samples' vitamin B3 level varied from 0.002 to 0.023 mg/100g, with the 50% pigeon pea cake having the lowest value at 0.002 mg/100g. For biscuits made with composite flours, the readings were less than the 0.56 to 1.63 mg/100g reported by </w:t>
      </w:r>
      <w:proofErr w:type="spellStart"/>
      <w:r w:rsidRPr="00207157">
        <w:rPr>
          <w:rFonts w:ascii="Times New Roman" w:hAnsi="Times New Roman" w:cs="Times New Roman"/>
        </w:rPr>
        <w:t>Emojorho</w:t>
      </w:r>
      <w:proofErr w:type="spellEnd"/>
      <w:r w:rsidRPr="00207157">
        <w:rPr>
          <w:rFonts w:ascii="Times New Roman" w:hAnsi="Times New Roman" w:cs="Times New Roman"/>
        </w:rPr>
        <w:t xml:space="preserve"> et al. (2023). When the amount of sorghum flour in the cake was increased, the levels of vitamin B3 rose noticeably, but when the amount of pigeon pea flour was increased, the levels of vitamin B3 declined. Vitamin B3 concentrations were significantly higher when sorghum flour was substituted for pigeon pea supplementation; the formulation comprising 50% sorghum flour had the highest value at 0.023 mg/100g.</w:t>
      </w:r>
    </w:p>
    <w:p w14:paraId="6CF96353" w14:textId="77777777" w:rsidR="00A943E3" w:rsidRPr="00346EA4" w:rsidRDefault="00A943E3" w:rsidP="00207157">
      <w:pPr>
        <w:spacing w:line="360" w:lineRule="auto"/>
        <w:jc w:val="both"/>
        <w:rPr>
          <w:rFonts w:ascii="Times New Roman" w:hAnsi="Times New Roman" w:cs="Times New Roman"/>
          <w:b/>
          <w:bCs/>
        </w:rPr>
      </w:pPr>
      <w:r w:rsidRPr="00346EA4">
        <w:rPr>
          <w:rFonts w:ascii="Times New Roman" w:hAnsi="Times New Roman" w:cs="Times New Roman"/>
          <w:b/>
          <w:bCs/>
        </w:rPr>
        <w:t>Conclusion</w:t>
      </w:r>
    </w:p>
    <w:p w14:paraId="36644D5B" w14:textId="77777777" w:rsidR="00207157" w:rsidRPr="00207157" w:rsidRDefault="00207157" w:rsidP="00207157">
      <w:pPr>
        <w:spacing w:line="360" w:lineRule="auto"/>
        <w:jc w:val="both"/>
        <w:rPr>
          <w:rFonts w:ascii="Times New Roman" w:hAnsi="Times New Roman" w:cs="Times New Roman"/>
        </w:rPr>
      </w:pPr>
      <w:r w:rsidRPr="00207157">
        <w:rPr>
          <w:rFonts w:ascii="Times New Roman" w:hAnsi="Times New Roman" w:cs="Times New Roman"/>
        </w:rPr>
        <w:t>The current study showed that adding sorghum and pigeon pea flours to cake recipes greatly enhanced the cakes' mineral and vitamin content. The findings showed that as the amount of sorghum and pigeon pea substitution in the flour blends increased, so did the concentrations of potassium, calcium, magnesium, vitamin B1 (thiamine), vitamin B2 (riboflavin), and vitamin B3 (niacin). This suggests that the composite flour cakes possessed higher nutritional quality when compared with cakes manufactured only from traditional wheat flour.</w:t>
      </w:r>
    </w:p>
    <w:p w14:paraId="40F86C9B" w14:textId="77777777" w:rsidR="00207157" w:rsidRPr="00207157" w:rsidRDefault="00207157" w:rsidP="00207157">
      <w:pPr>
        <w:spacing w:line="360" w:lineRule="auto"/>
        <w:jc w:val="both"/>
        <w:rPr>
          <w:rFonts w:ascii="Times New Roman" w:hAnsi="Times New Roman" w:cs="Times New Roman"/>
        </w:rPr>
      </w:pPr>
      <w:r w:rsidRPr="00207157">
        <w:rPr>
          <w:rFonts w:ascii="Times New Roman" w:hAnsi="Times New Roman" w:cs="Times New Roman"/>
        </w:rPr>
        <w:t>The nutritional potential of sorghum and pigeon pea as useful ingredients in baked goods is highlighted by the noted improvement in mineral and vitamin levels.</w:t>
      </w:r>
      <w:r w:rsidRPr="00207157">
        <w:t xml:space="preserve"> </w:t>
      </w:r>
      <w:r w:rsidRPr="00207157">
        <w:rPr>
          <w:rFonts w:ascii="Times New Roman" w:hAnsi="Times New Roman" w:cs="Times New Roman"/>
        </w:rPr>
        <w:t>The addition of these locally grown crops to cakes may enhance dietary intake of vital micronutrients needed for healthy bodily processes and general well-being. Additionally, using pigeon pea and sorghum flour to make cakes could encourage the use of underutilized native crops, diversify bakery raw materials, and lessen reliance on imported wheat flour.</w:t>
      </w:r>
    </w:p>
    <w:p w14:paraId="156B5A44" w14:textId="77777777" w:rsidR="00207157" w:rsidRDefault="00207157" w:rsidP="00207157">
      <w:pPr>
        <w:spacing w:line="360" w:lineRule="auto"/>
        <w:jc w:val="both"/>
        <w:rPr>
          <w:rFonts w:ascii="Times New Roman" w:hAnsi="Times New Roman" w:cs="Times New Roman"/>
        </w:rPr>
      </w:pPr>
      <w:r w:rsidRPr="00207157">
        <w:rPr>
          <w:rFonts w:ascii="Times New Roman" w:hAnsi="Times New Roman" w:cs="Times New Roman"/>
        </w:rPr>
        <w:t xml:space="preserve">Cakes made from blends of sorghum and pigeon pea flour can therefore be regarded as nutritionally superior substitutes with potential uses in the creation of functional bakery goods with added value for customers </w:t>
      </w:r>
      <w:r w:rsidRPr="00207157">
        <w:rPr>
          <w:rFonts w:ascii="Times New Roman" w:hAnsi="Times New Roman" w:cs="Times New Roman"/>
        </w:rPr>
        <w:lastRenderedPageBreak/>
        <w:t>looking for healthier eating options. Additional research could concentrate on the produced products' nutrient bioavailability, storage stability, and sensory acceptance.</w:t>
      </w:r>
    </w:p>
    <w:p w14:paraId="5272A204" w14:textId="77777777" w:rsidR="00A943E3" w:rsidRPr="00346EA4" w:rsidRDefault="00A943E3" w:rsidP="00207157">
      <w:pPr>
        <w:spacing w:line="360" w:lineRule="auto"/>
        <w:jc w:val="both"/>
        <w:rPr>
          <w:rFonts w:ascii="Times New Roman" w:eastAsia="Times New Roman" w:hAnsi="Times New Roman" w:cs="Times New Roman"/>
          <w:b/>
          <w:bCs/>
          <w:sz w:val="27"/>
          <w:szCs w:val="27"/>
        </w:rPr>
      </w:pPr>
      <w:r w:rsidRPr="00346EA4">
        <w:rPr>
          <w:rFonts w:ascii="Times New Roman" w:eastAsia="Times New Roman" w:hAnsi="Times New Roman" w:cs="Times New Roman"/>
          <w:b/>
          <w:bCs/>
          <w:sz w:val="27"/>
          <w:szCs w:val="27"/>
        </w:rPr>
        <w:t>Recommendations</w:t>
      </w:r>
    </w:p>
    <w:p w14:paraId="12BE5FF4" w14:textId="77777777" w:rsidR="00207157" w:rsidRPr="00207157" w:rsidRDefault="00207157" w:rsidP="00207157">
      <w:pPr>
        <w:spacing w:before="100" w:beforeAutospacing="1" w:after="100" w:afterAutospacing="1" w:line="360" w:lineRule="auto"/>
        <w:jc w:val="both"/>
        <w:rPr>
          <w:rFonts w:ascii="Times New Roman" w:eastAsia="Times New Roman" w:hAnsi="Times New Roman" w:cs="Times New Roman"/>
          <w:sz w:val="24"/>
          <w:szCs w:val="24"/>
        </w:rPr>
      </w:pPr>
      <w:r w:rsidRPr="00207157">
        <w:rPr>
          <w:rFonts w:ascii="Times New Roman" w:eastAsia="Times New Roman" w:hAnsi="Times New Roman" w:cs="Times New Roman"/>
          <w:sz w:val="24"/>
          <w:szCs w:val="24"/>
        </w:rPr>
        <w:t xml:space="preserve">1. Because sorghum and pigeon pea flours can improve the nutritional quality of cakes, especially in terms of mineral and vitamin content, it is advised to use them more frequently in baked goods. </w:t>
      </w:r>
    </w:p>
    <w:p w14:paraId="2C73C7B8" w14:textId="77777777" w:rsidR="00207157" w:rsidRPr="00207157" w:rsidRDefault="00207157" w:rsidP="00207157">
      <w:pPr>
        <w:spacing w:before="100" w:beforeAutospacing="1" w:after="100" w:afterAutospacing="1" w:line="360" w:lineRule="auto"/>
        <w:jc w:val="both"/>
        <w:rPr>
          <w:rFonts w:ascii="Times New Roman" w:eastAsia="Times New Roman" w:hAnsi="Times New Roman" w:cs="Times New Roman"/>
          <w:sz w:val="24"/>
          <w:szCs w:val="24"/>
        </w:rPr>
      </w:pPr>
      <w:r w:rsidRPr="00207157">
        <w:rPr>
          <w:rFonts w:ascii="Times New Roman" w:eastAsia="Times New Roman" w:hAnsi="Times New Roman" w:cs="Times New Roman"/>
          <w:sz w:val="24"/>
          <w:szCs w:val="24"/>
        </w:rPr>
        <w:t xml:space="preserve">2. As healthier substitutes for traditional wheat-based cakes, the food industry and commercial bakers ought to investigate the large-scale manufacture of composite flour cakes. </w:t>
      </w:r>
    </w:p>
    <w:p w14:paraId="70C19A88" w14:textId="77777777" w:rsidR="00207157" w:rsidRPr="00207157" w:rsidRDefault="00207157" w:rsidP="00207157">
      <w:pPr>
        <w:spacing w:before="100" w:beforeAutospacing="1" w:after="100" w:afterAutospacing="1" w:line="360" w:lineRule="auto"/>
        <w:jc w:val="both"/>
        <w:rPr>
          <w:rFonts w:ascii="Times New Roman" w:eastAsia="Times New Roman" w:hAnsi="Times New Roman" w:cs="Times New Roman"/>
          <w:sz w:val="24"/>
          <w:szCs w:val="24"/>
        </w:rPr>
      </w:pPr>
      <w:r w:rsidRPr="00207157">
        <w:rPr>
          <w:rFonts w:ascii="Times New Roman" w:eastAsia="Times New Roman" w:hAnsi="Times New Roman" w:cs="Times New Roman"/>
          <w:sz w:val="24"/>
          <w:szCs w:val="24"/>
        </w:rPr>
        <w:t xml:space="preserve">3. To help address micronutrient deficiencies, particularly in developing nations, nutritionists and public health organizations should promote the intake of products made from sorghum and pigeon peas. </w:t>
      </w:r>
    </w:p>
    <w:p w14:paraId="4E52588E" w14:textId="77777777" w:rsidR="00A943E3" w:rsidRPr="00346EA4" w:rsidRDefault="00207157" w:rsidP="00207157">
      <w:pPr>
        <w:spacing w:before="100" w:beforeAutospacing="1" w:after="100" w:afterAutospacing="1" w:line="360" w:lineRule="auto"/>
        <w:jc w:val="both"/>
        <w:rPr>
          <w:rFonts w:ascii="Times New Roman" w:eastAsia="Times New Roman" w:hAnsi="Times New Roman" w:cs="Times New Roman"/>
          <w:sz w:val="24"/>
          <w:szCs w:val="24"/>
        </w:rPr>
      </w:pPr>
      <w:r w:rsidRPr="00207157">
        <w:rPr>
          <w:rFonts w:ascii="Times New Roman" w:eastAsia="Times New Roman" w:hAnsi="Times New Roman" w:cs="Times New Roman"/>
          <w:sz w:val="24"/>
          <w:szCs w:val="24"/>
        </w:rPr>
        <w:t>4. More research should be done on the sensory qualities, shelf stability, consumer acceptability, and storage features of cakes made using blends of sorghum and pigeon pea flour.</w:t>
      </w:r>
    </w:p>
    <w:p w14:paraId="481C10E2" w14:textId="77777777" w:rsidR="007C075E" w:rsidRPr="00346EA4" w:rsidRDefault="00AF0B55" w:rsidP="001C1ED3">
      <w:pPr>
        <w:spacing w:line="276" w:lineRule="auto"/>
        <w:jc w:val="both"/>
        <w:rPr>
          <w:rFonts w:ascii="Times New Roman" w:hAnsi="Times New Roman" w:cs="Times New Roman"/>
          <w:b/>
          <w:bCs/>
          <w:sz w:val="24"/>
          <w:szCs w:val="24"/>
        </w:rPr>
      </w:pPr>
      <w:r w:rsidRPr="00346EA4">
        <w:rPr>
          <w:rFonts w:ascii="Times New Roman" w:hAnsi="Times New Roman" w:cs="Times New Roman"/>
          <w:b/>
          <w:bCs/>
          <w:sz w:val="24"/>
          <w:szCs w:val="24"/>
        </w:rPr>
        <w:t xml:space="preserve">References </w:t>
      </w:r>
    </w:p>
    <w:p w14:paraId="77C08B02"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p>
    <w:p w14:paraId="30A1D4EC"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A.O.V.C. (1966) Association of Vitamin Chemist, Methods of Vitamin Assay. 3</w:t>
      </w:r>
      <w:r w:rsidRPr="00346EA4">
        <w:rPr>
          <w:rFonts w:ascii="Times New Roman" w:eastAsia="Calibri" w:hAnsi="Times New Roman" w:cs="Times New Roman"/>
          <w:sz w:val="24"/>
          <w:szCs w:val="24"/>
          <w:vertAlign w:val="superscript"/>
        </w:rPr>
        <w:t>rd</w:t>
      </w:r>
      <w:r w:rsidRPr="00346EA4">
        <w:rPr>
          <w:rFonts w:ascii="Times New Roman" w:eastAsia="Calibri" w:hAnsi="Times New Roman" w:cs="Times New Roman"/>
          <w:sz w:val="24"/>
          <w:szCs w:val="24"/>
        </w:rPr>
        <w:t xml:space="preserve"> Edition, </w:t>
      </w:r>
      <w:proofErr w:type="spellStart"/>
      <w:r w:rsidRPr="00346EA4">
        <w:rPr>
          <w:rFonts w:ascii="Times New Roman" w:eastAsia="Calibri" w:hAnsi="Times New Roman" w:cs="Times New Roman"/>
          <w:sz w:val="24"/>
          <w:szCs w:val="24"/>
        </w:rPr>
        <w:t>Interscience</w:t>
      </w:r>
      <w:proofErr w:type="spellEnd"/>
      <w:r w:rsidRPr="00346EA4">
        <w:rPr>
          <w:rFonts w:ascii="Times New Roman" w:eastAsia="Calibri" w:hAnsi="Times New Roman" w:cs="Times New Roman"/>
          <w:sz w:val="24"/>
          <w:szCs w:val="24"/>
        </w:rPr>
        <w:t xml:space="preserve"> Publication John Wiley and Sons New York, 97: 90 -123</w:t>
      </w:r>
    </w:p>
    <w:p w14:paraId="4B722BB0"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Adebayo-</w:t>
      </w:r>
      <w:proofErr w:type="spellStart"/>
      <w:r w:rsidRPr="00346EA4">
        <w:rPr>
          <w:rFonts w:ascii="Times New Roman" w:eastAsia="Calibri" w:hAnsi="Times New Roman" w:cs="Times New Roman"/>
          <w:sz w:val="24"/>
          <w:szCs w:val="24"/>
        </w:rPr>
        <w:t>Oyetoro</w:t>
      </w:r>
      <w:proofErr w:type="spellEnd"/>
      <w:r w:rsidRPr="00346EA4">
        <w:rPr>
          <w:rFonts w:ascii="Times New Roman" w:eastAsia="Calibri" w:hAnsi="Times New Roman" w:cs="Times New Roman"/>
          <w:sz w:val="24"/>
          <w:szCs w:val="24"/>
        </w:rPr>
        <w:t xml:space="preserve">, A. O., Ogundipe, O. O., </w:t>
      </w:r>
      <w:proofErr w:type="spellStart"/>
      <w:r w:rsidRPr="00346EA4">
        <w:rPr>
          <w:rFonts w:ascii="Times New Roman" w:eastAsia="Calibri" w:hAnsi="Times New Roman" w:cs="Times New Roman"/>
          <w:sz w:val="24"/>
          <w:szCs w:val="24"/>
        </w:rPr>
        <w:t>Adeeko</w:t>
      </w:r>
      <w:proofErr w:type="spellEnd"/>
      <w:r w:rsidRPr="00346EA4">
        <w:rPr>
          <w:rFonts w:ascii="Times New Roman" w:eastAsia="Calibri" w:hAnsi="Times New Roman" w:cs="Times New Roman"/>
          <w:sz w:val="24"/>
          <w:szCs w:val="24"/>
        </w:rPr>
        <w:t xml:space="preserve">, K. N., &amp; Adeyeye, S. A. O. (2020). Nutritional quality and mineral composition of composite flour from fermented cereals and legumes. </w:t>
      </w:r>
      <w:proofErr w:type="spellStart"/>
      <w:r w:rsidRPr="00346EA4">
        <w:rPr>
          <w:rFonts w:ascii="Times New Roman" w:eastAsia="Calibri" w:hAnsi="Times New Roman" w:cs="Times New Roman"/>
          <w:i/>
          <w:iCs/>
          <w:sz w:val="24"/>
          <w:szCs w:val="24"/>
        </w:rPr>
        <w:t>Heliyon</w:t>
      </w:r>
      <w:proofErr w:type="spellEnd"/>
      <w:r w:rsidRPr="00346EA4">
        <w:rPr>
          <w:rFonts w:ascii="Times New Roman" w:eastAsia="Calibri" w:hAnsi="Times New Roman" w:cs="Times New Roman"/>
          <w:i/>
          <w:iCs/>
          <w:sz w:val="24"/>
          <w:szCs w:val="24"/>
        </w:rPr>
        <w:t>, 6</w:t>
      </w:r>
      <w:r w:rsidRPr="00346EA4">
        <w:rPr>
          <w:rFonts w:ascii="Times New Roman" w:eastAsia="Calibri" w:hAnsi="Times New Roman" w:cs="Times New Roman"/>
          <w:sz w:val="24"/>
          <w:szCs w:val="24"/>
        </w:rPr>
        <w:t>(11), e05458. https://doi.org/10.1016/j.heliyon.2020.e05458</w:t>
      </w:r>
    </w:p>
    <w:p w14:paraId="7602E37D" w14:textId="77777777" w:rsidR="00F24B28" w:rsidRPr="00346EA4" w:rsidRDefault="00F24B28" w:rsidP="00D475F0">
      <w:pPr>
        <w:spacing w:after="0" w:line="276" w:lineRule="auto"/>
        <w:ind w:left="720" w:hanging="720"/>
        <w:rPr>
          <w:rFonts w:ascii="Times New Roman" w:eastAsia="Times New Roman" w:hAnsi="Times New Roman" w:cs="Times New Roman"/>
          <w:sz w:val="24"/>
          <w:szCs w:val="24"/>
        </w:rPr>
      </w:pPr>
      <w:r w:rsidRPr="00346EA4">
        <w:rPr>
          <w:rFonts w:ascii="Times New Roman" w:eastAsia="Times New Roman" w:hAnsi="Times New Roman" w:cs="Times New Roman"/>
          <w:sz w:val="24"/>
          <w:szCs w:val="24"/>
        </w:rPr>
        <w:t xml:space="preserve">Adebo, O. A., &amp; Medina-Meza, I. G. (2020). Impact of fermentation on nutritional quality of foods. </w:t>
      </w:r>
      <w:r w:rsidRPr="00346EA4">
        <w:rPr>
          <w:rFonts w:ascii="Times New Roman" w:eastAsia="Times New Roman" w:hAnsi="Times New Roman" w:cs="Times New Roman"/>
          <w:i/>
          <w:iCs/>
          <w:sz w:val="24"/>
          <w:szCs w:val="24"/>
        </w:rPr>
        <w:t>Food Research International, 137</w:t>
      </w:r>
      <w:r w:rsidRPr="00346EA4">
        <w:rPr>
          <w:rFonts w:ascii="Times New Roman" w:eastAsia="Times New Roman" w:hAnsi="Times New Roman" w:cs="Times New Roman"/>
          <w:sz w:val="24"/>
          <w:szCs w:val="24"/>
        </w:rPr>
        <w:t>, 109–118.</w:t>
      </w:r>
    </w:p>
    <w:p w14:paraId="67DE2978"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proofErr w:type="spellStart"/>
      <w:r w:rsidRPr="00346EA4">
        <w:rPr>
          <w:rFonts w:ascii="Times New Roman" w:eastAsia="Calibri" w:hAnsi="Times New Roman" w:cs="Times New Roman"/>
          <w:sz w:val="24"/>
          <w:szCs w:val="24"/>
        </w:rPr>
        <w:t>Adegunwa</w:t>
      </w:r>
      <w:proofErr w:type="spellEnd"/>
      <w:r w:rsidRPr="00346EA4">
        <w:rPr>
          <w:rFonts w:ascii="Times New Roman" w:eastAsia="Calibri" w:hAnsi="Times New Roman" w:cs="Times New Roman"/>
          <w:sz w:val="24"/>
          <w:szCs w:val="24"/>
        </w:rPr>
        <w:t xml:space="preserve">, M. O., Alamu, E. O., &amp; Bakare, H. A. (2020). Quality evaluation and vitamin composition of wheat-legume composite flour products. </w:t>
      </w:r>
      <w:r w:rsidRPr="00346EA4">
        <w:rPr>
          <w:rFonts w:ascii="Times New Roman" w:eastAsia="Calibri" w:hAnsi="Times New Roman" w:cs="Times New Roman"/>
          <w:i/>
          <w:iCs/>
          <w:sz w:val="24"/>
          <w:szCs w:val="24"/>
        </w:rPr>
        <w:t>Journal of Food Processing and Preservation, 44</w:t>
      </w:r>
      <w:r w:rsidRPr="00346EA4">
        <w:rPr>
          <w:rFonts w:ascii="Times New Roman" w:eastAsia="Calibri" w:hAnsi="Times New Roman" w:cs="Times New Roman"/>
          <w:sz w:val="24"/>
          <w:szCs w:val="24"/>
        </w:rPr>
        <w:t>(8), e14632. https://doi.org/10.1111/jfpp.14632</w:t>
      </w:r>
    </w:p>
    <w:p w14:paraId="50E9D28F"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Adepoju, O. T., </w:t>
      </w:r>
      <w:proofErr w:type="spellStart"/>
      <w:r w:rsidRPr="00346EA4">
        <w:rPr>
          <w:rFonts w:ascii="Times New Roman" w:eastAsia="Calibri" w:hAnsi="Times New Roman" w:cs="Times New Roman"/>
          <w:sz w:val="24"/>
          <w:szCs w:val="24"/>
        </w:rPr>
        <w:t>Boyejo</w:t>
      </w:r>
      <w:proofErr w:type="spellEnd"/>
      <w:r w:rsidRPr="00346EA4">
        <w:rPr>
          <w:rFonts w:ascii="Times New Roman" w:eastAsia="Calibri" w:hAnsi="Times New Roman" w:cs="Times New Roman"/>
          <w:sz w:val="24"/>
          <w:szCs w:val="24"/>
        </w:rPr>
        <w:t xml:space="preserve">, O. A., &amp; Adeniji, P. O. (2021). Mineral composition and nutritional evaluation of cereal-legume flour blends. </w:t>
      </w:r>
      <w:r w:rsidRPr="00346EA4">
        <w:rPr>
          <w:rFonts w:ascii="Times New Roman" w:eastAsia="Calibri" w:hAnsi="Times New Roman" w:cs="Times New Roman"/>
          <w:i/>
          <w:iCs/>
          <w:sz w:val="24"/>
          <w:szCs w:val="24"/>
        </w:rPr>
        <w:t>Food Research, 5</w:t>
      </w:r>
      <w:r w:rsidRPr="00346EA4">
        <w:rPr>
          <w:rFonts w:ascii="Times New Roman" w:eastAsia="Calibri" w:hAnsi="Times New Roman" w:cs="Times New Roman"/>
          <w:sz w:val="24"/>
          <w:szCs w:val="24"/>
        </w:rPr>
        <w:t>(2), 145–153. https://doi.org/10.26656/fr.2017.5(2).486</w:t>
      </w:r>
    </w:p>
    <w:p w14:paraId="353F9C5B" w14:textId="77777777" w:rsidR="00F24B28" w:rsidRPr="00F24B28" w:rsidRDefault="00F24B28" w:rsidP="00F24B28">
      <w:pPr>
        <w:spacing w:after="0" w:line="276" w:lineRule="auto"/>
        <w:ind w:left="720" w:hanging="720"/>
        <w:jc w:val="both"/>
        <w:rPr>
          <w:rFonts w:ascii="Times New Roman" w:eastAsia="Calibri" w:hAnsi="Times New Roman" w:cs="Times New Roman"/>
          <w:sz w:val="24"/>
          <w:szCs w:val="24"/>
          <w:lang w:val="en-GB"/>
        </w:rPr>
      </w:pPr>
      <w:proofErr w:type="spellStart"/>
      <w:r w:rsidRPr="00F24B28">
        <w:rPr>
          <w:rFonts w:ascii="Times New Roman" w:eastAsia="Calibri" w:hAnsi="Times New Roman" w:cs="Times New Roman"/>
          <w:sz w:val="24"/>
          <w:szCs w:val="24"/>
          <w:lang w:val="en-GB"/>
        </w:rPr>
        <w:t>Adinkwu</w:t>
      </w:r>
      <w:proofErr w:type="spellEnd"/>
      <w:r w:rsidRPr="00F24B28">
        <w:rPr>
          <w:rFonts w:ascii="Times New Roman" w:eastAsia="Calibri" w:hAnsi="Times New Roman" w:cs="Times New Roman"/>
          <w:sz w:val="24"/>
          <w:szCs w:val="24"/>
          <w:lang w:val="en-GB"/>
        </w:rPr>
        <w:t>, O.M.</w:t>
      </w:r>
      <w:proofErr w:type="gramStart"/>
      <w:r w:rsidRPr="00F24B28">
        <w:rPr>
          <w:rFonts w:ascii="Times New Roman" w:eastAsia="Calibri" w:hAnsi="Times New Roman" w:cs="Times New Roman"/>
          <w:sz w:val="24"/>
          <w:szCs w:val="24"/>
          <w:lang w:val="en-GB"/>
        </w:rPr>
        <w:t xml:space="preserve">,  </w:t>
      </w:r>
      <w:proofErr w:type="spellStart"/>
      <w:r w:rsidRPr="00F24B28">
        <w:rPr>
          <w:rFonts w:ascii="Times New Roman" w:eastAsia="Calibri" w:hAnsi="Times New Roman" w:cs="Times New Roman"/>
          <w:b/>
          <w:sz w:val="24"/>
          <w:szCs w:val="24"/>
          <w:lang w:val="en-GB"/>
        </w:rPr>
        <w:t>Emojorho</w:t>
      </w:r>
      <w:proofErr w:type="spellEnd"/>
      <w:proofErr w:type="gramEnd"/>
      <w:r w:rsidRPr="00F24B28">
        <w:rPr>
          <w:rFonts w:ascii="Times New Roman" w:eastAsia="Calibri" w:hAnsi="Times New Roman" w:cs="Times New Roman"/>
          <w:b/>
          <w:sz w:val="24"/>
          <w:szCs w:val="24"/>
          <w:lang w:val="en-GB"/>
        </w:rPr>
        <w:t>, E.E.,</w:t>
      </w:r>
      <w:r w:rsidRPr="00F24B28">
        <w:rPr>
          <w:rFonts w:ascii="Times New Roman" w:eastAsia="Calibri" w:hAnsi="Times New Roman" w:cs="Times New Roman"/>
          <w:sz w:val="24"/>
          <w:szCs w:val="24"/>
          <w:lang w:val="en-GB"/>
        </w:rPr>
        <w:t xml:space="preserve"> OGBOLI, C.C., OGWU, C., </w:t>
      </w:r>
      <w:proofErr w:type="spellStart"/>
      <w:r w:rsidRPr="00F24B28">
        <w:rPr>
          <w:rFonts w:ascii="Times New Roman" w:eastAsia="Calibri" w:hAnsi="Times New Roman" w:cs="Times New Roman"/>
          <w:sz w:val="24"/>
          <w:szCs w:val="24"/>
          <w:lang w:val="en-GB"/>
        </w:rPr>
        <w:t>Obruche</w:t>
      </w:r>
      <w:proofErr w:type="spellEnd"/>
      <w:r w:rsidRPr="00F24B28">
        <w:rPr>
          <w:rFonts w:ascii="Times New Roman" w:eastAsia="Calibri" w:hAnsi="Times New Roman" w:cs="Times New Roman"/>
          <w:sz w:val="24"/>
          <w:szCs w:val="24"/>
          <w:lang w:val="en-GB"/>
        </w:rPr>
        <w:t xml:space="preserve">, </w:t>
      </w:r>
      <w:proofErr w:type="gramStart"/>
      <w:r w:rsidRPr="00F24B28">
        <w:rPr>
          <w:rFonts w:ascii="Times New Roman" w:eastAsia="Calibri" w:hAnsi="Times New Roman" w:cs="Times New Roman"/>
          <w:sz w:val="24"/>
          <w:szCs w:val="24"/>
          <w:lang w:val="en-GB"/>
        </w:rPr>
        <w:t>F.(</w:t>
      </w:r>
      <w:proofErr w:type="gramEnd"/>
      <w:r w:rsidRPr="00F24B28">
        <w:rPr>
          <w:rFonts w:ascii="Times New Roman" w:eastAsia="Calibri" w:hAnsi="Times New Roman" w:cs="Times New Roman"/>
          <w:sz w:val="24"/>
          <w:szCs w:val="24"/>
          <w:lang w:val="en-GB"/>
        </w:rPr>
        <w:t xml:space="preserve">2025) Minerals and Vitamin composition of bread from </w:t>
      </w:r>
      <w:proofErr w:type="spellStart"/>
      <w:r w:rsidRPr="00F24B28">
        <w:rPr>
          <w:rFonts w:ascii="Times New Roman" w:eastAsia="Calibri" w:hAnsi="Times New Roman" w:cs="Times New Roman"/>
          <w:sz w:val="24"/>
          <w:szCs w:val="24"/>
          <w:lang w:val="en-GB"/>
        </w:rPr>
        <w:t>bambara</w:t>
      </w:r>
      <w:proofErr w:type="spellEnd"/>
      <w:r w:rsidRPr="00F24B28">
        <w:rPr>
          <w:rFonts w:ascii="Times New Roman" w:eastAsia="Calibri" w:hAnsi="Times New Roman" w:cs="Times New Roman"/>
          <w:sz w:val="24"/>
          <w:szCs w:val="24"/>
          <w:lang w:val="en-GB"/>
        </w:rPr>
        <w:t xml:space="preserve"> groundnut and sorghum flour. International Journal of Multidisciplinary Research and </w:t>
      </w:r>
      <w:proofErr w:type="spellStart"/>
      <w:r w:rsidRPr="00F24B28">
        <w:rPr>
          <w:rFonts w:ascii="Times New Roman" w:eastAsia="Calibri" w:hAnsi="Times New Roman" w:cs="Times New Roman"/>
          <w:sz w:val="24"/>
          <w:szCs w:val="24"/>
          <w:lang w:val="en-GB"/>
        </w:rPr>
        <w:t>DevelopmentVolume</w:t>
      </w:r>
      <w:proofErr w:type="spellEnd"/>
      <w:r w:rsidRPr="00F24B28">
        <w:rPr>
          <w:rFonts w:ascii="Times New Roman" w:eastAsia="Calibri" w:hAnsi="Times New Roman" w:cs="Times New Roman"/>
          <w:sz w:val="24"/>
          <w:szCs w:val="24"/>
          <w:lang w:val="en-GB"/>
        </w:rPr>
        <w:t xml:space="preserve"> 12, Issue 10, 2025, Page No. 71-76</w:t>
      </w:r>
    </w:p>
    <w:p w14:paraId="645E11D1"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proofErr w:type="spellStart"/>
      <w:r w:rsidRPr="00346EA4">
        <w:rPr>
          <w:rFonts w:ascii="Times New Roman" w:eastAsia="Calibri" w:hAnsi="Times New Roman" w:cs="Times New Roman"/>
          <w:sz w:val="24"/>
          <w:szCs w:val="24"/>
        </w:rPr>
        <w:lastRenderedPageBreak/>
        <w:t>Akinjayeju</w:t>
      </w:r>
      <w:proofErr w:type="spellEnd"/>
      <w:r w:rsidRPr="00346EA4">
        <w:rPr>
          <w:rFonts w:ascii="Times New Roman" w:eastAsia="Calibri" w:hAnsi="Times New Roman" w:cs="Times New Roman"/>
          <w:sz w:val="24"/>
          <w:szCs w:val="24"/>
        </w:rPr>
        <w:t xml:space="preserve">, O., Babalola, O., &amp; </w:t>
      </w:r>
      <w:proofErr w:type="spellStart"/>
      <w:r w:rsidRPr="00346EA4">
        <w:rPr>
          <w:rFonts w:ascii="Times New Roman" w:eastAsia="Calibri" w:hAnsi="Times New Roman" w:cs="Times New Roman"/>
          <w:sz w:val="24"/>
          <w:szCs w:val="24"/>
        </w:rPr>
        <w:t>Fashakin</w:t>
      </w:r>
      <w:proofErr w:type="spellEnd"/>
      <w:r w:rsidRPr="00346EA4">
        <w:rPr>
          <w:rFonts w:ascii="Times New Roman" w:eastAsia="Calibri" w:hAnsi="Times New Roman" w:cs="Times New Roman"/>
          <w:sz w:val="24"/>
          <w:szCs w:val="24"/>
        </w:rPr>
        <w:t xml:space="preserve">, J. (2021). Vitamin composition and sensory properties of fermented composite flour products. </w:t>
      </w:r>
      <w:r w:rsidRPr="00346EA4">
        <w:rPr>
          <w:rFonts w:ascii="Times New Roman" w:eastAsia="Calibri" w:hAnsi="Times New Roman" w:cs="Times New Roman"/>
          <w:i/>
          <w:iCs/>
          <w:sz w:val="24"/>
          <w:szCs w:val="24"/>
        </w:rPr>
        <w:t>African Journal of Food Science, 15</w:t>
      </w:r>
      <w:r w:rsidRPr="00346EA4">
        <w:rPr>
          <w:rFonts w:ascii="Times New Roman" w:eastAsia="Calibri" w:hAnsi="Times New Roman" w:cs="Times New Roman"/>
          <w:sz w:val="24"/>
          <w:szCs w:val="24"/>
        </w:rPr>
        <w:t>(4), 89–98. https://doi.org/10.5897/AJFS2021.2047</w:t>
      </w:r>
    </w:p>
    <w:p w14:paraId="07DE7910" w14:textId="77777777" w:rsidR="00F24B28" w:rsidRPr="00346EA4" w:rsidRDefault="00F24B28" w:rsidP="00D475F0">
      <w:pPr>
        <w:spacing w:after="0" w:line="276" w:lineRule="auto"/>
        <w:ind w:left="720" w:hanging="720"/>
        <w:rPr>
          <w:rFonts w:ascii="Times New Roman" w:eastAsia="Times New Roman" w:hAnsi="Times New Roman" w:cs="Times New Roman"/>
          <w:sz w:val="24"/>
          <w:szCs w:val="24"/>
        </w:rPr>
      </w:pPr>
      <w:r w:rsidRPr="00346EA4">
        <w:rPr>
          <w:rFonts w:ascii="Times New Roman" w:hAnsi="Times New Roman" w:cs="Times New Roman"/>
          <w:sz w:val="24"/>
          <w:szCs w:val="24"/>
        </w:rPr>
        <w:t>Akubor, P. 2017. “Effect of Processing Methods on the Chemical Composition and Functional Properties of Pigeon Pea Seed”. </w:t>
      </w:r>
      <w:r w:rsidRPr="00346EA4">
        <w:rPr>
          <w:rFonts w:ascii="Times New Roman" w:hAnsi="Times New Roman" w:cs="Times New Roman"/>
          <w:i/>
          <w:iCs/>
          <w:sz w:val="24"/>
          <w:szCs w:val="24"/>
        </w:rPr>
        <w:t>Asian Journal of Advances in Agricultural Research</w:t>
      </w:r>
      <w:r w:rsidRPr="00346EA4">
        <w:rPr>
          <w:rFonts w:ascii="Times New Roman" w:hAnsi="Times New Roman" w:cs="Times New Roman"/>
          <w:sz w:val="24"/>
          <w:szCs w:val="24"/>
        </w:rPr>
        <w:t xml:space="preserve"> 2 (2):1-8. </w:t>
      </w:r>
      <w:hyperlink r:id="rId8" w:history="1">
        <w:r w:rsidRPr="00346EA4">
          <w:rPr>
            <w:rStyle w:val="Hyperlink"/>
            <w:rFonts w:ascii="Times New Roman" w:hAnsi="Times New Roman" w:cs="Times New Roman"/>
            <w:color w:val="auto"/>
            <w:sz w:val="24"/>
            <w:szCs w:val="24"/>
          </w:rPr>
          <w:t>https://doi.org/10.9734/AJAAR/2017/35</w:t>
        </w:r>
      </w:hyperlink>
    </w:p>
    <w:p w14:paraId="7CD71122" w14:textId="77777777" w:rsidR="00F24B28" w:rsidRPr="00F24B28" w:rsidRDefault="00F24B28" w:rsidP="00F24B28">
      <w:pPr>
        <w:spacing w:after="0" w:line="276" w:lineRule="auto"/>
        <w:ind w:left="720" w:hanging="720"/>
        <w:jc w:val="both"/>
        <w:rPr>
          <w:rFonts w:ascii="Times New Roman" w:eastAsia="Calibri" w:hAnsi="Times New Roman" w:cs="Times New Roman"/>
          <w:sz w:val="24"/>
          <w:szCs w:val="24"/>
          <w:lang w:val="en-GB"/>
        </w:rPr>
      </w:pPr>
      <w:r w:rsidRPr="00F24B28">
        <w:rPr>
          <w:rFonts w:ascii="Times New Roman" w:eastAsia="Calibri" w:hAnsi="Times New Roman" w:cs="Times New Roman"/>
          <w:sz w:val="24"/>
          <w:szCs w:val="24"/>
          <w:lang w:val="en-GB"/>
        </w:rPr>
        <w:t xml:space="preserve">Anene, </w:t>
      </w:r>
      <w:proofErr w:type="spellStart"/>
      <w:r w:rsidRPr="00F24B28">
        <w:rPr>
          <w:rFonts w:ascii="Times New Roman" w:eastAsia="Calibri" w:hAnsi="Times New Roman" w:cs="Times New Roman"/>
          <w:sz w:val="24"/>
          <w:szCs w:val="24"/>
          <w:lang w:val="en-GB"/>
        </w:rPr>
        <w:t>Nkemakonam</w:t>
      </w:r>
      <w:proofErr w:type="spellEnd"/>
      <w:r w:rsidRPr="00F24B28">
        <w:rPr>
          <w:rFonts w:ascii="Times New Roman" w:eastAsia="Calibri" w:hAnsi="Times New Roman" w:cs="Times New Roman"/>
          <w:sz w:val="24"/>
          <w:szCs w:val="24"/>
          <w:lang w:val="en-GB"/>
        </w:rPr>
        <w:t xml:space="preserve"> Maryann, Ogechukwu Favour Okafor, Ernest Eguono Emojorho, Theophilus </w:t>
      </w:r>
      <w:proofErr w:type="spellStart"/>
      <w:r w:rsidRPr="00F24B28">
        <w:rPr>
          <w:rFonts w:ascii="Times New Roman" w:eastAsia="Calibri" w:hAnsi="Times New Roman" w:cs="Times New Roman"/>
          <w:sz w:val="24"/>
          <w:szCs w:val="24"/>
          <w:lang w:val="en-GB"/>
        </w:rPr>
        <w:t>Maduabuchukwu</w:t>
      </w:r>
      <w:proofErr w:type="spellEnd"/>
      <w:r w:rsidRPr="00F24B28">
        <w:rPr>
          <w:rFonts w:ascii="Times New Roman" w:eastAsia="Calibri" w:hAnsi="Times New Roman" w:cs="Times New Roman"/>
          <w:sz w:val="24"/>
          <w:szCs w:val="24"/>
          <w:lang w:val="en-GB"/>
        </w:rPr>
        <w:t xml:space="preserve"> Ikegwu, Chika, </w:t>
      </w:r>
      <w:proofErr w:type="spellStart"/>
      <w:r w:rsidRPr="00F24B28">
        <w:rPr>
          <w:rFonts w:ascii="Times New Roman" w:eastAsia="Calibri" w:hAnsi="Times New Roman" w:cs="Times New Roman"/>
          <w:sz w:val="24"/>
          <w:szCs w:val="24"/>
          <w:lang w:val="en-GB"/>
        </w:rPr>
        <w:t>Ukamaka</w:t>
      </w:r>
      <w:proofErr w:type="spellEnd"/>
      <w:r w:rsidRPr="00F24B28">
        <w:rPr>
          <w:rFonts w:ascii="Times New Roman" w:eastAsia="Calibri" w:hAnsi="Times New Roman" w:cs="Times New Roman"/>
          <w:sz w:val="24"/>
          <w:szCs w:val="24"/>
          <w:lang w:val="en-GB"/>
        </w:rPr>
        <w:t xml:space="preserve"> Obiora, and Chinenye, Sabina Mmuoh. 2026. “Effect of Drying Temperature on the Chemical, Sensory and Microbial Attributes of Black Tea from Kalanchoe Pinnata, Cymbopogon </w:t>
      </w:r>
      <w:proofErr w:type="spellStart"/>
      <w:r w:rsidRPr="00F24B28">
        <w:rPr>
          <w:rFonts w:ascii="Times New Roman" w:eastAsia="Calibri" w:hAnsi="Times New Roman" w:cs="Times New Roman"/>
          <w:sz w:val="24"/>
          <w:szCs w:val="24"/>
          <w:lang w:val="en-GB"/>
        </w:rPr>
        <w:t>Citratus</w:t>
      </w:r>
      <w:proofErr w:type="spellEnd"/>
      <w:r w:rsidRPr="00F24B28">
        <w:rPr>
          <w:rFonts w:ascii="Times New Roman" w:eastAsia="Calibri" w:hAnsi="Times New Roman" w:cs="Times New Roman"/>
          <w:sz w:val="24"/>
          <w:szCs w:val="24"/>
          <w:lang w:val="en-GB"/>
        </w:rPr>
        <w:t xml:space="preserve"> and </w:t>
      </w:r>
      <w:proofErr w:type="spellStart"/>
      <w:r w:rsidRPr="00F24B28">
        <w:rPr>
          <w:rFonts w:ascii="Times New Roman" w:eastAsia="Calibri" w:hAnsi="Times New Roman" w:cs="Times New Roman"/>
          <w:sz w:val="24"/>
          <w:szCs w:val="24"/>
          <w:lang w:val="en-GB"/>
        </w:rPr>
        <w:t>Syzygium</w:t>
      </w:r>
      <w:proofErr w:type="spellEnd"/>
      <w:r w:rsidRPr="00F24B28">
        <w:rPr>
          <w:rFonts w:ascii="Times New Roman" w:eastAsia="Calibri" w:hAnsi="Times New Roman" w:cs="Times New Roman"/>
          <w:sz w:val="24"/>
          <w:szCs w:val="24"/>
          <w:lang w:val="en-GB"/>
        </w:rPr>
        <w:t xml:space="preserve"> Aromaticum”. Journal of Advances in Food Science &amp; Technology 13 (2):47-62. https://doi.org/10.56557/jafsat/2026/v13i210494.</w:t>
      </w:r>
    </w:p>
    <w:p w14:paraId="61B939A3" w14:textId="77777777" w:rsidR="00F24B28" w:rsidRPr="00346EA4" w:rsidRDefault="00F24B28" w:rsidP="00D475F0">
      <w:pPr>
        <w:spacing w:after="0" w:line="276" w:lineRule="auto"/>
        <w:ind w:left="720" w:hanging="720"/>
        <w:rPr>
          <w:rFonts w:ascii="Times New Roman" w:eastAsia="Times New Roman" w:hAnsi="Times New Roman" w:cs="Times New Roman"/>
          <w:sz w:val="24"/>
          <w:szCs w:val="24"/>
        </w:rPr>
      </w:pPr>
      <w:r w:rsidRPr="00346EA4">
        <w:rPr>
          <w:rFonts w:ascii="Times New Roman" w:eastAsia="Times New Roman" w:hAnsi="Times New Roman" w:cs="Times New Roman"/>
          <w:sz w:val="24"/>
          <w:szCs w:val="24"/>
        </w:rPr>
        <w:t xml:space="preserve">AOAC International. (2023). </w:t>
      </w:r>
      <w:r w:rsidRPr="00346EA4">
        <w:rPr>
          <w:rFonts w:ascii="Times New Roman" w:eastAsia="Times New Roman" w:hAnsi="Times New Roman" w:cs="Times New Roman"/>
          <w:i/>
          <w:iCs/>
          <w:sz w:val="24"/>
          <w:szCs w:val="24"/>
        </w:rPr>
        <w:t>Official methods of analysis of AOAC International</w:t>
      </w:r>
      <w:r w:rsidRPr="00346EA4">
        <w:rPr>
          <w:rFonts w:ascii="Times New Roman" w:eastAsia="Times New Roman" w:hAnsi="Times New Roman" w:cs="Times New Roman"/>
          <w:sz w:val="24"/>
          <w:szCs w:val="24"/>
        </w:rPr>
        <w:t xml:space="preserve"> (22nd ed.). AOAC International.</w:t>
      </w:r>
    </w:p>
    <w:p w14:paraId="19E51ED3"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Association of Official Analytical Chemists (AOAC). (2019). </w:t>
      </w:r>
      <w:r w:rsidRPr="00346EA4">
        <w:rPr>
          <w:rFonts w:ascii="Times New Roman" w:eastAsia="Calibri" w:hAnsi="Times New Roman" w:cs="Times New Roman"/>
          <w:i/>
          <w:iCs/>
          <w:sz w:val="24"/>
          <w:szCs w:val="24"/>
        </w:rPr>
        <w:t>Official methods of analysis</w:t>
      </w:r>
      <w:r w:rsidRPr="00346EA4">
        <w:rPr>
          <w:rFonts w:ascii="Times New Roman" w:eastAsia="Calibri" w:hAnsi="Times New Roman" w:cs="Times New Roman"/>
          <w:sz w:val="24"/>
          <w:szCs w:val="24"/>
        </w:rPr>
        <w:t xml:space="preserve"> (21st ed.). AOAC International.</w:t>
      </w:r>
    </w:p>
    <w:p w14:paraId="05DC3AC1" w14:textId="77777777" w:rsidR="00F24B28" w:rsidRPr="00346EA4" w:rsidRDefault="00F24B28" w:rsidP="00D475F0">
      <w:pPr>
        <w:spacing w:after="0" w:line="276" w:lineRule="auto"/>
        <w:ind w:left="720" w:hanging="720"/>
        <w:rPr>
          <w:rFonts w:ascii="Times New Roman" w:eastAsia="Times New Roman" w:hAnsi="Times New Roman" w:cs="Times New Roman"/>
          <w:sz w:val="24"/>
          <w:szCs w:val="24"/>
        </w:rPr>
      </w:pPr>
      <w:r w:rsidRPr="00346EA4">
        <w:rPr>
          <w:rFonts w:ascii="Times New Roman" w:eastAsia="Times New Roman" w:hAnsi="Times New Roman" w:cs="Times New Roman"/>
          <w:sz w:val="24"/>
          <w:szCs w:val="24"/>
        </w:rPr>
        <w:t xml:space="preserve">Biesiekierski, J. R. (2017). What is gluten? </w:t>
      </w:r>
      <w:r w:rsidRPr="00346EA4">
        <w:rPr>
          <w:rFonts w:ascii="Times New Roman" w:eastAsia="Times New Roman" w:hAnsi="Times New Roman" w:cs="Times New Roman"/>
          <w:i/>
          <w:iCs/>
          <w:sz w:val="24"/>
          <w:szCs w:val="24"/>
        </w:rPr>
        <w:t>Journal of Gastroenterology.32(51) 78-81</w:t>
      </w:r>
    </w:p>
    <w:p w14:paraId="6CC6B722"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Chukwu, O., </w:t>
      </w:r>
      <w:proofErr w:type="spellStart"/>
      <w:r w:rsidRPr="00346EA4">
        <w:rPr>
          <w:rFonts w:ascii="Times New Roman" w:eastAsia="Calibri" w:hAnsi="Times New Roman" w:cs="Times New Roman"/>
          <w:sz w:val="24"/>
          <w:szCs w:val="24"/>
        </w:rPr>
        <w:t>Nwakodo</w:t>
      </w:r>
      <w:proofErr w:type="spellEnd"/>
      <w:r w:rsidRPr="00346EA4">
        <w:rPr>
          <w:rFonts w:ascii="Times New Roman" w:eastAsia="Calibri" w:hAnsi="Times New Roman" w:cs="Times New Roman"/>
          <w:sz w:val="24"/>
          <w:szCs w:val="24"/>
        </w:rPr>
        <w:t xml:space="preserve">, C., &amp; </w:t>
      </w:r>
      <w:proofErr w:type="spellStart"/>
      <w:r w:rsidRPr="00346EA4">
        <w:rPr>
          <w:rFonts w:ascii="Times New Roman" w:eastAsia="Calibri" w:hAnsi="Times New Roman" w:cs="Times New Roman"/>
          <w:sz w:val="24"/>
          <w:szCs w:val="24"/>
        </w:rPr>
        <w:t>Ahaotu</w:t>
      </w:r>
      <w:proofErr w:type="spellEnd"/>
      <w:r w:rsidRPr="00346EA4">
        <w:rPr>
          <w:rFonts w:ascii="Times New Roman" w:eastAsia="Calibri" w:hAnsi="Times New Roman" w:cs="Times New Roman"/>
          <w:sz w:val="24"/>
          <w:szCs w:val="24"/>
        </w:rPr>
        <w:t xml:space="preserve">, I. (2022). Proximate and mineral composition of fermented cereal-based flour blends. </w:t>
      </w:r>
      <w:r w:rsidRPr="00346EA4">
        <w:rPr>
          <w:rFonts w:ascii="Times New Roman" w:eastAsia="Calibri" w:hAnsi="Times New Roman" w:cs="Times New Roman"/>
          <w:i/>
          <w:iCs/>
          <w:sz w:val="24"/>
          <w:szCs w:val="24"/>
        </w:rPr>
        <w:t>Nigerian Food Journal, 40</w:t>
      </w:r>
      <w:r w:rsidRPr="00346EA4">
        <w:rPr>
          <w:rFonts w:ascii="Times New Roman" w:eastAsia="Calibri" w:hAnsi="Times New Roman" w:cs="Times New Roman"/>
          <w:sz w:val="24"/>
          <w:szCs w:val="24"/>
        </w:rPr>
        <w:t>(1), 55–64. https://doi.org/10.1016/j.nifoj.2022.01.005</w:t>
      </w:r>
    </w:p>
    <w:p w14:paraId="1E6C75F6"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Eke-Ejiofor, J., &amp; </w:t>
      </w:r>
      <w:proofErr w:type="spellStart"/>
      <w:r w:rsidRPr="00346EA4">
        <w:rPr>
          <w:rFonts w:ascii="Times New Roman" w:eastAsia="Calibri" w:hAnsi="Times New Roman" w:cs="Times New Roman"/>
          <w:sz w:val="24"/>
          <w:szCs w:val="24"/>
        </w:rPr>
        <w:t>Beleya</w:t>
      </w:r>
      <w:proofErr w:type="spellEnd"/>
      <w:r w:rsidRPr="00346EA4">
        <w:rPr>
          <w:rFonts w:ascii="Times New Roman" w:eastAsia="Calibri" w:hAnsi="Times New Roman" w:cs="Times New Roman"/>
          <w:sz w:val="24"/>
          <w:szCs w:val="24"/>
        </w:rPr>
        <w:t xml:space="preserve">, E. A. (2019). Functional and mineral properties of composite flour from local crops. </w:t>
      </w:r>
      <w:r w:rsidRPr="00346EA4">
        <w:rPr>
          <w:rFonts w:ascii="Times New Roman" w:eastAsia="Calibri" w:hAnsi="Times New Roman" w:cs="Times New Roman"/>
          <w:i/>
          <w:iCs/>
          <w:sz w:val="24"/>
          <w:szCs w:val="24"/>
        </w:rPr>
        <w:t>International Journal of Food Science and Biotechnology, 4</w:t>
      </w:r>
      <w:r w:rsidRPr="00346EA4">
        <w:rPr>
          <w:rFonts w:ascii="Times New Roman" w:eastAsia="Calibri" w:hAnsi="Times New Roman" w:cs="Times New Roman"/>
          <w:sz w:val="24"/>
          <w:szCs w:val="24"/>
        </w:rPr>
        <w:t>(3), 56–63.</w:t>
      </w:r>
    </w:p>
    <w:p w14:paraId="41F61357" w14:textId="77777777" w:rsidR="00F24B28" w:rsidRPr="00F24B28" w:rsidRDefault="00F24B28" w:rsidP="00F24B28">
      <w:pPr>
        <w:spacing w:after="0" w:line="276" w:lineRule="auto"/>
        <w:ind w:left="720" w:hanging="720"/>
        <w:jc w:val="both"/>
        <w:rPr>
          <w:rFonts w:ascii="Times New Roman" w:eastAsia="Calibri" w:hAnsi="Times New Roman" w:cs="Times New Roman"/>
          <w:sz w:val="24"/>
          <w:szCs w:val="24"/>
        </w:rPr>
      </w:pPr>
      <w:proofErr w:type="spellStart"/>
      <w:r w:rsidRPr="00F24B28">
        <w:rPr>
          <w:rFonts w:ascii="Times New Roman" w:eastAsia="Calibri" w:hAnsi="Times New Roman" w:cs="Times New Roman"/>
          <w:sz w:val="24"/>
          <w:szCs w:val="24"/>
        </w:rPr>
        <w:t>Emojorho</w:t>
      </w:r>
      <w:proofErr w:type="spellEnd"/>
      <w:r w:rsidRPr="00F24B28">
        <w:rPr>
          <w:rFonts w:ascii="Times New Roman" w:eastAsia="Calibri" w:hAnsi="Times New Roman" w:cs="Times New Roman"/>
          <w:sz w:val="24"/>
          <w:szCs w:val="24"/>
        </w:rPr>
        <w:t xml:space="preserve">, E.E, Anene M.N. and Udeh C.C. (2023). Minerals Vitamins and Anti-Nutritional Properties of Biscuits Produced from Defatted and </w:t>
      </w:r>
      <w:proofErr w:type="spellStart"/>
      <w:r w:rsidRPr="00F24B28">
        <w:rPr>
          <w:rFonts w:ascii="Times New Roman" w:eastAsia="Calibri" w:hAnsi="Times New Roman" w:cs="Times New Roman"/>
          <w:sz w:val="24"/>
          <w:szCs w:val="24"/>
        </w:rPr>
        <w:t>Undefatted</w:t>
      </w:r>
      <w:proofErr w:type="spellEnd"/>
      <w:r w:rsidRPr="00F24B28">
        <w:rPr>
          <w:rFonts w:ascii="Times New Roman" w:eastAsia="Calibri" w:hAnsi="Times New Roman" w:cs="Times New Roman"/>
          <w:sz w:val="24"/>
          <w:szCs w:val="24"/>
        </w:rPr>
        <w:t xml:space="preserve"> Debittered Orange Seed Flours. American Journal of Food Sciences and </w:t>
      </w:r>
      <w:proofErr w:type="gramStart"/>
      <w:r w:rsidRPr="00F24B28">
        <w:rPr>
          <w:rFonts w:ascii="Times New Roman" w:eastAsia="Calibri" w:hAnsi="Times New Roman" w:cs="Times New Roman"/>
          <w:sz w:val="24"/>
          <w:szCs w:val="24"/>
        </w:rPr>
        <w:t>Nutrition,  5</w:t>
      </w:r>
      <w:proofErr w:type="gramEnd"/>
      <w:r w:rsidRPr="00F24B28">
        <w:rPr>
          <w:rFonts w:ascii="Times New Roman" w:eastAsia="Calibri" w:hAnsi="Times New Roman" w:cs="Times New Roman"/>
          <w:sz w:val="24"/>
          <w:szCs w:val="24"/>
        </w:rPr>
        <w:t>(2</w:t>
      </w:r>
      <w:proofErr w:type="gramStart"/>
      <w:r w:rsidRPr="00F24B28">
        <w:rPr>
          <w:rFonts w:ascii="Times New Roman" w:eastAsia="Calibri" w:hAnsi="Times New Roman" w:cs="Times New Roman"/>
          <w:sz w:val="24"/>
          <w:szCs w:val="24"/>
        </w:rPr>
        <w:t>)  67</w:t>
      </w:r>
      <w:proofErr w:type="gramEnd"/>
      <w:r w:rsidRPr="00F24B28">
        <w:rPr>
          <w:rFonts w:ascii="Times New Roman" w:eastAsia="Calibri" w:hAnsi="Times New Roman" w:cs="Times New Roman"/>
          <w:sz w:val="24"/>
          <w:szCs w:val="24"/>
        </w:rPr>
        <w:t xml:space="preserve"> – 82</w:t>
      </w:r>
    </w:p>
    <w:p w14:paraId="1850DA8F" w14:textId="77777777" w:rsidR="00F24B28" w:rsidRPr="00346EA4" w:rsidRDefault="00F24B28" w:rsidP="00D475F0">
      <w:pPr>
        <w:spacing w:after="0" w:line="276" w:lineRule="auto"/>
        <w:ind w:left="720" w:hanging="720"/>
        <w:jc w:val="both"/>
        <w:rPr>
          <w:rFonts w:ascii="Times New Roman" w:hAnsi="Times New Roman" w:cs="Times New Roman"/>
          <w:sz w:val="24"/>
          <w:szCs w:val="24"/>
        </w:rPr>
      </w:pPr>
      <w:r w:rsidRPr="00346EA4">
        <w:rPr>
          <w:rFonts w:ascii="Times New Roman" w:hAnsi="Times New Roman" w:cs="Times New Roman"/>
          <w:sz w:val="24"/>
          <w:szCs w:val="24"/>
        </w:rPr>
        <w:t>Food and Agriculture Organization. (2022). Sorghum nutritional benefits.</w:t>
      </w:r>
    </w:p>
    <w:p w14:paraId="70DD4D47"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Harborne, J. B., and Williams, C. A. (1992). Advances in flavonoid research since 1992. Phytochemistry, 55:481–504. </w:t>
      </w:r>
    </w:p>
    <w:p w14:paraId="74EA98DF"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Ibrahim, U. K., Hassan, L. G., &amp; Yusuf, N. S. (2020). Evaluation of mineral composition of cereal-legume complementary foods. </w:t>
      </w:r>
      <w:proofErr w:type="spellStart"/>
      <w:r w:rsidRPr="00346EA4">
        <w:rPr>
          <w:rFonts w:ascii="Times New Roman" w:eastAsia="Calibri" w:hAnsi="Times New Roman" w:cs="Times New Roman"/>
          <w:i/>
          <w:iCs/>
          <w:sz w:val="24"/>
          <w:szCs w:val="24"/>
        </w:rPr>
        <w:t>Bayero</w:t>
      </w:r>
      <w:proofErr w:type="spellEnd"/>
      <w:r w:rsidRPr="00346EA4">
        <w:rPr>
          <w:rFonts w:ascii="Times New Roman" w:eastAsia="Calibri" w:hAnsi="Times New Roman" w:cs="Times New Roman"/>
          <w:i/>
          <w:iCs/>
          <w:sz w:val="24"/>
          <w:szCs w:val="24"/>
        </w:rPr>
        <w:t xml:space="preserve"> Journal of Pure and Applied Sciences, 13</w:t>
      </w:r>
      <w:r w:rsidRPr="00346EA4">
        <w:rPr>
          <w:rFonts w:ascii="Times New Roman" w:eastAsia="Calibri" w:hAnsi="Times New Roman" w:cs="Times New Roman"/>
          <w:sz w:val="24"/>
          <w:szCs w:val="24"/>
        </w:rPr>
        <w:t>(1), 112–119.</w:t>
      </w:r>
    </w:p>
    <w:p w14:paraId="66F79B6B" w14:textId="77777777" w:rsidR="00F24B28" w:rsidRPr="00F24B28" w:rsidRDefault="00F24B28" w:rsidP="00F24B28">
      <w:pPr>
        <w:spacing w:after="0" w:line="276" w:lineRule="auto"/>
        <w:ind w:left="720" w:hanging="720"/>
        <w:jc w:val="both"/>
        <w:rPr>
          <w:rFonts w:ascii="Times New Roman" w:eastAsia="Calibri" w:hAnsi="Times New Roman" w:cs="Times New Roman"/>
          <w:sz w:val="24"/>
          <w:szCs w:val="24"/>
          <w:lang w:val="en-GB"/>
        </w:rPr>
      </w:pPr>
      <w:proofErr w:type="spellStart"/>
      <w:r w:rsidRPr="00F24B28">
        <w:rPr>
          <w:rFonts w:ascii="Times New Roman" w:eastAsia="Calibri" w:hAnsi="Times New Roman" w:cs="Times New Roman"/>
          <w:sz w:val="24"/>
          <w:szCs w:val="24"/>
          <w:lang w:val="en-GB"/>
        </w:rPr>
        <w:t>Ihedinachi</w:t>
      </w:r>
      <w:proofErr w:type="spellEnd"/>
      <w:r w:rsidRPr="00F24B28">
        <w:rPr>
          <w:rFonts w:ascii="Times New Roman" w:eastAsia="Calibri" w:hAnsi="Times New Roman" w:cs="Times New Roman"/>
          <w:sz w:val="24"/>
          <w:szCs w:val="24"/>
          <w:lang w:val="en-GB"/>
        </w:rPr>
        <w:t xml:space="preserve">, O. A., Udeh, C. C., </w:t>
      </w:r>
      <w:proofErr w:type="spellStart"/>
      <w:r w:rsidRPr="00F24B28">
        <w:rPr>
          <w:rFonts w:ascii="Times New Roman" w:eastAsia="Calibri" w:hAnsi="Times New Roman" w:cs="Times New Roman"/>
          <w:sz w:val="24"/>
          <w:szCs w:val="24"/>
          <w:lang w:val="en-GB"/>
        </w:rPr>
        <w:t>Emojorho</w:t>
      </w:r>
      <w:proofErr w:type="spellEnd"/>
      <w:r w:rsidRPr="00F24B28">
        <w:rPr>
          <w:rFonts w:ascii="Times New Roman" w:eastAsia="Calibri" w:hAnsi="Times New Roman" w:cs="Times New Roman"/>
          <w:sz w:val="24"/>
          <w:szCs w:val="24"/>
          <w:lang w:val="en-GB"/>
        </w:rPr>
        <w:t xml:space="preserve">, E. E., </w:t>
      </w:r>
      <w:proofErr w:type="spellStart"/>
      <w:r w:rsidRPr="00F24B28">
        <w:rPr>
          <w:rFonts w:ascii="Times New Roman" w:eastAsia="Calibri" w:hAnsi="Times New Roman" w:cs="Times New Roman"/>
          <w:sz w:val="24"/>
          <w:szCs w:val="24"/>
          <w:lang w:val="en-GB"/>
        </w:rPr>
        <w:t>Amonyeze</w:t>
      </w:r>
      <w:proofErr w:type="spellEnd"/>
      <w:r w:rsidRPr="00F24B28">
        <w:rPr>
          <w:rFonts w:ascii="Times New Roman" w:eastAsia="Calibri" w:hAnsi="Times New Roman" w:cs="Times New Roman"/>
          <w:sz w:val="24"/>
          <w:szCs w:val="24"/>
          <w:lang w:val="en-GB"/>
        </w:rPr>
        <w:t xml:space="preserve">, A. O., </w:t>
      </w:r>
      <w:proofErr w:type="spellStart"/>
      <w:r w:rsidRPr="00F24B28">
        <w:rPr>
          <w:rFonts w:ascii="Times New Roman" w:eastAsia="Calibri" w:hAnsi="Times New Roman" w:cs="Times New Roman"/>
          <w:sz w:val="24"/>
          <w:szCs w:val="24"/>
          <w:lang w:val="en-GB"/>
        </w:rPr>
        <w:t>Nwaorgu</w:t>
      </w:r>
      <w:proofErr w:type="spellEnd"/>
      <w:r w:rsidRPr="00F24B28">
        <w:rPr>
          <w:rFonts w:ascii="Times New Roman" w:eastAsia="Calibri" w:hAnsi="Times New Roman" w:cs="Times New Roman"/>
          <w:sz w:val="24"/>
          <w:szCs w:val="24"/>
          <w:lang w:val="en-GB"/>
        </w:rPr>
        <w:t xml:space="preserve">, S. I., &amp; </w:t>
      </w:r>
      <w:proofErr w:type="spellStart"/>
      <w:r w:rsidRPr="00F24B28">
        <w:rPr>
          <w:rFonts w:ascii="Times New Roman" w:eastAsia="Calibri" w:hAnsi="Times New Roman" w:cs="Times New Roman"/>
          <w:sz w:val="24"/>
          <w:szCs w:val="24"/>
          <w:lang w:val="en-GB"/>
        </w:rPr>
        <w:t>Aniemena</w:t>
      </w:r>
      <w:proofErr w:type="spellEnd"/>
      <w:r w:rsidRPr="00F24B28">
        <w:rPr>
          <w:rFonts w:ascii="Times New Roman" w:eastAsia="Calibri" w:hAnsi="Times New Roman" w:cs="Times New Roman"/>
          <w:sz w:val="24"/>
          <w:szCs w:val="24"/>
          <w:lang w:val="en-GB"/>
        </w:rPr>
        <w:t>, C. C. (2025). Evaluation of nutritional qualities of complementary food produce from malted rice, soybean and pumpkin pulp flour. Food Chemistry Advances, 6, 100863.</w:t>
      </w:r>
    </w:p>
    <w:p w14:paraId="4412542D" w14:textId="77777777" w:rsidR="00F24B28" w:rsidRPr="00346EA4" w:rsidRDefault="00F24B28" w:rsidP="00D475F0">
      <w:pPr>
        <w:spacing w:after="0" w:line="276" w:lineRule="auto"/>
        <w:ind w:left="720" w:hanging="720"/>
        <w:rPr>
          <w:rFonts w:ascii="Times New Roman" w:hAnsi="Times New Roman" w:cs="Times New Roman"/>
          <w:sz w:val="24"/>
          <w:szCs w:val="24"/>
        </w:rPr>
      </w:pPr>
      <w:proofErr w:type="spellStart"/>
      <w:r w:rsidRPr="00346EA4">
        <w:rPr>
          <w:rFonts w:ascii="Times New Roman" w:hAnsi="Times New Roman" w:cs="Times New Roman"/>
          <w:sz w:val="24"/>
          <w:szCs w:val="24"/>
        </w:rPr>
        <w:t>Ityotagher</w:t>
      </w:r>
      <w:proofErr w:type="spellEnd"/>
      <w:r w:rsidRPr="00346EA4">
        <w:rPr>
          <w:rFonts w:ascii="Times New Roman" w:hAnsi="Times New Roman" w:cs="Times New Roman"/>
          <w:sz w:val="24"/>
          <w:szCs w:val="24"/>
        </w:rPr>
        <w:t xml:space="preserve">, A. P., Stephen, Y. T., &amp; </w:t>
      </w:r>
      <w:proofErr w:type="spellStart"/>
      <w:r w:rsidRPr="00346EA4">
        <w:rPr>
          <w:rFonts w:ascii="Times New Roman" w:hAnsi="Times New Roman" w:cs="Times New Roman"/>
          <w:sz w:val="24"/>
          <w:szCs w:val="24"/>
        </w:rPr>
        <w:t>Seember</w:t>
      </w:r>
      <w:proofErr w:type="spellEnd"/>
      <w:r w:rsidRPr="00346EA4">
        <w:rPr>
          <w:rFonts w:ascii="Times New Roman" w:hAnsi="Times New Roman" w:cs="Times New Roman"/>
          <w:sz w:val="24"/>
          <w:szCs w:val="24"/>
        </w:rPr>
        <w:t xml:space="preserve">, I. J. (2022). </w:t>
      </w:r>
      <w:r w:rsidRPr="00346EA4">
        <w:rPr>
          <w:rFonts w:ascii="Times New Roman" w:hAnsi="Times New Roman" w:cs="Times New Roman"/>
          <w:i/>
          <w:iCs/>
          <w:sz w:val="24"/>
          <w:szCs w:val="24"/>
        </w:rPr>
        <w:t>Proximate composition and sensory properties of fermented sorghum and full fat soy flour blends for “</w:t>
      </w:r>
      <w:proofErr w:type="spellStart"/>
      <w:r w:rsidRPr="00346EA4">
        <w:rPr>
          <w:rFonts w:ascii="Times New Roman" w:hAnsi="Times New Roman" w:cs="Times New Roman"/>
          <w:i/>
          <w:iCs/>
          <w:sz w:val="24"/>
          <w:szCs w:val="24"/>
        </w:rPr>
        <w:t>ogi</w:t>
      </w:r>
      <w:proofErr w:type="spellEnd"/>
      <w:r w:rsidRPr="00346EA4">
        <w:rPr>
          <w:rFonts w:ascii="Times New Roman" w:hAnsi="Times New Roman" w:cs="Times New Roman"/>
          <w:i/>
          <w:iCs/>
          <w:sz w:val="24"/>
          <w:szCs w:val="24"/>
        </w:rPr>
        <w:t>” production</w:t>
      </w:r>
      <w:r w:rsidRPr="00346EA4">
        <w:rPr>
          <w:rFonts w:ascii="Times New Roman" w:hAnsi="Times New Roman" w:cs="Times New Roman"/>
          <w:sz w:val="24"/>
          <w:szCs w:val="24"/>
        </w:rPr>
        <w:t xml:space="preserve">. </w:t>
      </w:r>
      <w:r w:rsidRPr="00346EA4">
        <w:rPr>
          <w:rFonts w:ascii="Times New Roman" w:hAnsi="Times New Roman" w:cs="Times New Roman"/>
          <w:bCs/>
          <w:sz w:val="24"/>
          <w:szCs w:val="24"/>
        </w:rPr>
        <w:t>African Journal of Food Science and Technology, 13</w:t>
      </w:r>
      <w:r w:rsidRPr="00346EA4">
        <w:rPr>
          <w:rFonts w:ascii="Times New Roman" w:hAnsi="Times New Roman" w:cs="Times New Roman"/>
          <w:sz w:val="24"/>
          <w:szCs w:val="24"/>
        </w:rPr>
        <w:t>(9), 1–4.</w:t>
      </w:r>
    </w:p>
    <w:p w14:paraId="0E34294D"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proofErr w:type="spellStart"/>
      <w:r w:rsidRPr="00346EA4">
        <w:rPr>
          <w:rFonts w:ascii="Times New Roman" w:eastAsia="Calibri" w:hAnsi="Times New Roman" w:cs="Times New Roman"/>
          <w:sz w:val="24"/>
          <w:szCs w:val="24"/>
        </w:rPr>
        <w:t>Iwe</w:t>
      </w:r>
      <w:proofErr w:type="spellEnd"/>
      <w:r w:rsidRPr="00346EA4">
        <w:rPr>
          <w:rFonts w:ascii="Times New Roman" w:eastAsia="Calibri" w:hAnsi="Times New Roman" w:cs="Times New Roman"/>
          <w:sz w:val="24"/>
          <w:szCs w:val="24"/>
        </w:rPr>
        <w:t xml:space="preserve">, M. O., </w:t>
      </w:r>
      <w:proofErr w:type="spellStart"/>
      <w:r w:rsidRPr="00346EA4">
        <w:rPr>
          <w:rFonts w:ascii="Times New Roman" w:eastAsia="Calibri" w:hAnsi="Times New Roman" w:cs="Times New Roman"/>
          <w:sz w:val="24"/>
          <w:szCs w:val="24"/>
        </w:rPr>
        <w:t>Onyeukwu</w:t>
      </w:r>
      <w:proofErr w:type="spellEnd"/>
      <w:r w:rsidRPr="00346EA4">
        <w:rPr>
          <w:rFonts w:ascii="Times New Roman" w:eastAsia="Calibri" w:hAnsi="Times New Roman" w:cs="Times New Roman"/>
          <w:sz w:val="24"/>
          <w:szCs w:val="24"/>
        </w:rPr>
        <w:t xml:space="preserve">, U., &amp; </w:t>
      </w:r>
      <w:proofErr w:type="spellStart"/>
      <w:r w:rsidRPr="00346EA4">
        <w:rPr>
          <w:rFonts w:ascii="Times New Roman" w:eastAsia="Calibri" w:hAnsi="Times New Roman" w:cs="Times New Roman"/>
          <w:sz w:val="24"/>
          <w:szCs w:val="24"/>
        </w:rPr>
        <w:t>Agiriga</w:t>
      </w:r>
      <w:proofErr w:type="spellEnd"/>
      <w:r w:rsidRPr="00346EA4">
        <w:rPr>
          <w:rFonts w:ascii="Times New Roman" w:eastAsia="Calibri" w:hAnsi="Times New Roman" w:cs="Times New Roman"/>
          <w:sz w:val="24"/>
          <w:szCs w:val="24"/>
        </w:rPr>
        <w:t xml:space="preserve">, A. N. (2021). Physicochemical and mineral properties of composite flour produced from cereals and legumes. </w:t>
      </w:r>
      <w:r w:rsidRPr="00346EA4">
        <w:rPr>
          <w:rFonts w:ascii="Times New Roman" w:eastAsia="Calibri" w:hAnsi="Times New Roman" w:cs="Times New Roman"/>
          <w:i/>
          <w:iCs/>
          <w:sz w:val="24"/>
          <w:szCs w:val="24"/>
        </w:rPr>
        <w:t>Journal of Culinary Science and Technology, 19</w:t>
      </w:r>
      <w:r w:rsidRPr="00346EA4">
        <w:rPr>
          <w:rFonts w:ascii="Times New Roman" w:eastAsia="Calibri" w:hAnsi="Times New Roman" w:cs="Times New Roman"/>
          <w:sz w:val="24"/>
          <w:szCs w:val="24"/>
        </w:rPr>
        <w:t>(6), 481–494. https://doi.org/10.1080/15428052.2020.1745754</w:t>
      </w:r>
    </w:p>
    <w:p w14:paraId="0221387B"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lastRenderedPageBreak/>
        <w:t>James, C. S. (1996). Analytical Chemistry of foods. Blackie Academic and Professionals. New   York. pp. 267 - 496. </w:t>
      </w:r>
    </w:p>
    <w:p w14:paraId="4F80816D"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Kirk R. S and Sawyer R. (1991). Pearson’s Food Composition and Analysis of Food, 9</w:t>
      </w:r>
      <w:r w:rsidRPr="00346EA4">
        <w:rPr>
          <w:rFonts w:ascii="Times New Roman" w:eastAsia="Calibri" w:hAnsi="Times New Roman" w:cs="Times New Roman"/>
          <w:sz w:val="24"/>
          <w:szCs w:val="24"/>
          <w:vertAlign w:val="superscript"/>
        </w:rPr>
        <w:t>th</w:t>
      </w:r>
      <w:r w:rsidRPr="00346EA4">
        <w:rPr>
          <w:rFonts w:ascii="Times New Roman" w:eastAsia="Calibri" w:hAnsi="Times New Roman" w:cs="Times New Roman"/>
          <w:sz w:val="24"/>
          <w:szCs w:val="24"/>
        </w:rPr>
        <w:t xml:space="preserve"> edition. Addison Wesley Longman Ltd., England. 9 – 29.</w:t>
      </w:r>
    </w:p>
    <w:p w14:paraId="0FF21C07" w14:textId="77777777" w:rsidR="00F24B28" w:rsidRPr="00346EA4" w:rsidRDefault="00F24B28" w:rsidP="00D475F0">
      <w:pPr>
        <w:spacing w:after="0" w:line="276" w:lineRule="auto"/>
        <w:ind w:left="720" w:hanging="720"/>
        <w:jc w:val="both"/>
        <w:rPr>
          <w:rFonts w:ascii="Times New Roman" w:hAnsi="Times New Roman" w:cs="Times New Roman"/>
          <w:sz w:val="24"/>
          <w:szCs w:val="24"/>
        </w:rPr>
      </w:pPr>
      <w:r w:rsidRPr="00346EA4">
        <w:rPr>
          <w:rFonts w:ascii="Times New Roman" w:eastAsia="Times New Roman" w:hAnsi="Times New Roman" w:cs="Times New Roman"/>
          <w:sz w:val="24"/>
          <w:szCs w:val="24"/>
        </w:rPr>
        <w:t xml:space="preserve">Marco, M. L., Sanders, M. E., </w:t>
      </w:r>
      <w:proofErr w:type="spellStart"/>
      <w:r w:rsidRPr="00346EA4">
        <w:rPr>
          <w:rFonts w:ascii="Times New Roman" w:eastAsia="Times New Roman" w:hAnsi="Times New Roman" w:cs="Times New Roman"/>
          <w:sz w:val="24"/>
          <w:szCs w:val="24"/>
        </w:rPr>
        <w:t>Gänzle</w:t>
      </w:r>
      <w:proofErr w:type="spellEnd"/>
      <w:r w:rsidRPr="00346EA4">
        <w:rPr>
          <w:rFonts w:ascii="Times New Roman" w:eastAsia="Times New Roman" w:hAnsi="Times New Roman" w:cs="Times New Roman"/>
          <w:sz w:val="24"/>
          <w:szCs w:val="24"/>
        </w:rPr>
        <w:t xml:space="preserve">, M., Arrieta, M. C., Cotter, P. D., De Vuyst, L., Hill, C., Holzapfel, W., </w:t>
      </w:r>
      <w:proofErr w:type="spellStart"/>
      <w:r w:rsidRPr="00346EA4">
        <w:rPr>
          <w:rFonts w:ascii="Times New Roman" w:eastAsia="Times New Roman" w:hAnsi="Times New Roman" w:cs="Times New Roman"/>
          <w:sz w:val="24"/>
          <w:szCs w:val="24"/>
        </w:rPr>
        <w:t>Lebeer</w:t>
      </w:r>
      <w:proofErr w:type="spellEnd"/>
      <w:r w:rsidRPr="00346EA4">
        <w:rPr>
          <w:rFonts w:ascii="Times New Roman" w:eastAsia="Times New Roman" w:hAnsi="Times New Roman" w:cs="Times New Roman"/>
          <w:sz w:val="24"/>
          <w:szCs w:val="24"/>
        </w:rPr>
        <w:t xml:space="preserve">, S., Merenstein, D., Reid, G., Wolfe, B. E., &amp; </w:t>
      </w:r>
      <w:proofErr w:type="spellStart"/>
      <w:r w:rsidRPr="00346EA4">
        <w:rPr>
          <w:rFonts w:ascii="Times New Roman" w:eastAsia="Times New Roman" w:hAnsi="Times New Roman" w:cs="Times New Roman"/>
          <w:sz w:val="24"/>
          <w:szCs w:val="24"/>
        </w:rPr>
        <w:t>Hutkins</w:t>
      </w:r>
      <w:proofErr w:type="spellEnd"/>
      <w:r w:rsidRPr="00346EA4">
        <w:rPr>
          <w:rFonts w:ascii="Times New Roman" w:eastAsia="Times New Roman" w:hAnsi="Times New Roman" w:cs="Times New Roman"/>
          <w:sz w:val="24"/>
          <w:szCs w:val="24"/>
        </w:rPr>
        <w:t xml:space="preserve">, R. (2021). </w:t>
      </w:r>
      <w:r w:rsidRPr="00346EA4">
        <w:rPr>
          <w:rFonts w:ascii="Times New Roman" w:eastAsia="Times New Roman" w:hAnsi="Times New Roman" w:cs="Times New Roman"/>
          <w:i/>
          <w:iCs/>
          <w:sz w:val="24"/>
          <w:szCs w:val="24"/>
        </w:rPr>
        <w:t>The International Scientific Association for Probiotics and Prebiotics (ISAPP) consensus statement on fermented foods</w:t>
      </w:r>
      <w:r w:rsidRPr="00346EA4">
        <w:rPr>
          <w:rFonts w:ascii="Times New Roman" w:eastAsia="Times New Roman" w:hAnsi="Times New Roman" w:cs="Times New Roman"/>
          <w:sz w:val="24"/>
          <w:szCs w:val="24"/>
        </w:rPr>
        <w:t xml:space="preserve">. </w:t>
      </w:r>
      <w:r w:rsidRPr="00346EA4">
        <w:rPr>
          <w:rFonts w:ascii="Times New Roman" w:eastAsia="Times New Roman" w:hAnsi="Times New Roman" w:cs="Times New Roman"/>
          <w:bCs/>
          <w:sz w:val="24"/>
          <w:szCs w:val="24"/>
        </w:rPr>
        <w:t>Nature Reviews Gastroenterology &amp; Hepatology, 18</w:t>
      </w:r>
      <w:r w:rsidRPr="00346EA4">
        <w:rPr>
          <w:rFonts w:ascii="Times New Roman" w:eastAsia="Times New Roman" w:hAnsi="Times New Roman" w:cs="Times New Roman"/>
          <w:sz w:val="24"/>
          <w:szCs w:val="24"/>
        </w:rPr>
        <w:t>, 196–208.</w:t>
      </w:r>
      <w:r w:rsidRPr="00346EA4">
        <w:rPr>
          <w:rFonts w:ascii="Times New Roman" w:hAnsi="Times New Roman" w:cs="Times New Roman"/>
          <w:sz w:val="24"/>
          <w:szCs w:val="24"/>
        </w:rPr>
        <w:t xml:space="preserve">Olagunju, A. I., et al. (2018). Nutritional composition of pigeon pea. </w:t>
      </w:r>
      <w:r w:rsidRPr="00346EA4">
        <w:rPr>
          <w:rFonts w:ascii="Times New Roman" w:hAnsi="Times New Roman" w:cs="Times New Roman"/>
          <w:i/>
          <w:iCs/>
          <w:sz w:val="24"/>
          <w:szCs w:val="24"/>
        </w:rPr>
        <w:t>Journal of Food Science</w:t>
      </w:r>
      <w:r w:rsidRPr="00346EA4">
        <w:rPr>
          <w:rFonts w:ascii="Times New Roman" w:hAnsi="Times New Roman" w:cs="Times New Roman"/>
          <w:sz w:val="24"/>
          <w:szCs w:val="24"/>
        </w:rPr>
        <w:t>, 83, 123-130.</w:t>
      </w:r>
    </w:p>
    <w:p w14:paraId="5629F276" w14:textId="77777777" w:rsidR="00F24B28" w:rsidRPr="00346EA4" w:rsidRDefault="00F24B28" w:rsidP="00D475F0">
      <w:pPr>
        <w:spacing w:after="0" w:line="276" w:lineRule="auto"/>
        <w:ind w:left="720" w:hanging="720"/>
        <w:jc w:val="both"/>
        <w:rPr>
          <w:rFonts w:ascii="Times New Roman" w:hAnsi="Times New Roman" w:cs="Times New Roman"/>
          <w:sz w:val="24"/>
          <w:szCs w:val="24"/>
        </w:rPr>
      </w:pPr>
      <w:r w:rsidRPr="00346EA4">
        <w:rPr>
          <w:rFonts w:ascii="Times New Roman" w:eastAsia="Times New Roman" w:hAnsi="Times New Roman" w:cs="Times New Roman"/>
          <w:sz w:val="24"/>
          <w:szCs w:val="24"/>
        </w:rPr>
        <w:t xml:space="preserve">Nkhata, S. G., </w:t>
      </w:r>
      <w:proofErr w:type="spellStart"/>
      <w:r w:rsidRPr="00346EA4">
        <w:rPr>
          <w:rFonts w:ascii="Times New Roman" w:eastAsia="Times New Roman" w:hAnsi="Times New Roman" w:cs="Times New Roman"/>
          <w:sz w:val="24"/>
          <w:szCs w:val="24"/>
        </w:rPr>
        <w:t>Ayua</w:t>
      </w:r>
      <w:proofErr w:type="spellEnd"/>
      <w:r w:rsidRPr="00346EA4">
        <w:rPr>
          <w:rFonts w:ascii="Times New Roman" w:eastAsia="Times New Roman" w:hAnsi="Times New Roman" w:cs="Times New Roman"/>
          <w:sz w:val="24"/>
          <w:szCs w:val="24"/>
        </w:rPr>
        <w:t xml:space="preserve">, E., Kamau, E. H., &amp; </w:t>
      </w:r>
      <w:proofErr w:type="spellStart"/>
      <w:r w:rsidRPr="00346EA4">
        <w:rPr>
          <w:rFonts w:ascii="Times New Roman" w:eastAsia="Times New Roman" w:hAnsi="Times New Roman" w:cs="Times New Roman"/>
          <w:sz w:val="24"/>
          <w:szCs w:val="24"/>
        </w:rPr>
        <w:t>Shingiro</w:t>
      </w:r>
      <w:proofErr w:type="spellEnd"/>
      <w:r w:rsidRPr="00346EA4">
        <w:rPr>
          <w:rFonts w:ascii="Times New Roman" w:eastAsia="Times New Roman" w:hAnsi="Times New Roman" w:cs="Times New Roman"/>
          <w:sz w:val="24"/>
          <w:szCs w:val="24"/>
        </w:rPr>
        <w:t xml:space="preserve">, J. B. (2018). </w:t>
      </w:r>
      <w:r w:rsidRPr="00346EA4">
        <w:rPr>
          <w:rFonts w:ascii="Times New Roman" w:eastAsia="Times New Roman" w:hAnsi="Times New Roman" w:cs="Times New Roman"/>
          <w:i/>
          <w:iCs/>
          <w:sz w:val="24"/>
          <w:szCs w:val="24"/>
        </w:rPr>
        <w:t>Fermentation and germination improve nutritional value of cereals and legumes through activation of endogenous enzymes</w:t>
      </w:r>
      <w:r w:rsidRPr="00346EA4">
        <w:rPr>
          <w:rFonts w:ascii="Times New Roman" w:eastAsia="Times New Roman" w:hAnsi="Times New Roman" w:cs="Times New Roman"/>
          <w:sz w:val="24"/>
          <w:szCs w:val="24"/>
        </w:rPr>
        <w:t xml:space="preserve">. </w:t>
      </w:r>
      <w:r w:rsidRPr="00346EA4">
        <w:rPr>
          <w:rFonts w:ascii="Times New Roman" w:eastAsia="Times New Roman" w:hAnsi="Times New Roman" w:cs="Times New Roman"/>
          <w:bCs/>
          <w:sz w:val="24"/>
          <w:szCs w:val="24"/>
        </w:rPr>
        <w:t>Food Science &amp; Nutrition, 6</w:t>
      </w:r>
      <w:r w:rsidRPr="00346EA4">
        <w:rPr>
          <w:rFonts w:ascii="Times New Roman" w:eastAsia="Times New Roman" w:hAnsi="Times New Roman" w:cs="Times New Roman"/>
          <w:sz w:val="24"/>
          <w:szCs w:val="24"/>
        </w:rPr>
        <w:t>(7), 2446–2458</w:t>
      </w:r>
      <w:r w:rsidRPr="00346EA4">
        <w:rPr>
          <w:rFonts w:ascii="Times New Roman" w:hAnsi="Times New Roman" w:cs="Times New Roman"/>
          <w:sz w:val="24"/>
          <w:szCs w:val="24"/>
        </w:rPr>
        <w:t xml:space="preserve">Marco, M. L., et al. (2017). Health benefits of fermented foods. </w:t>
      </w:r>
      <w:r w:rsidRPr="00346EA4">
        <w:rPr>
          <w:rFonts w:ascii="Times New Roman" w:hAnsi="Times New Roman" w:cs="Times New Roman"/>
          <w:i/>
          <w:iCs/>
          <w:sz w:val="24"/>
          <w:szCs w:val="24"/>
        </w:rPr>
        <w:t>Current Opinion in Biotechnology</w:t>
      </w:r>
      <w:r w:rsidRPr="00346EA4">
        <w:rPr>
          <w:rFonts w:ascii="Times New Roman" w:hAnsi="Times New Roman" w:cs="Times New Roman"/>
          <w:sz w:val="24"/>
          <w:szCs w:val="24"/>
        </w:rPr>
        <w:t>, 44, 94-102.</w:t>
      </w:r>
    </w:p>
    <w:p w14:paraId="2247825E"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Okorie, S. U., </w:t>
      </w:r>
      <w:proofErr w:type="spellStart"/>
      <w:r w:rsidRPr="00346EA4">
        <w:rPr>
          <w:rFonts w:ascii="Times New Roman" w:eastAsia="Calibri" w:hAnsi="Times New Roman" w:cs="Times New Roman"/>
          <w:sz w:val="24"/>
          <w:szCs w:val="24"/>
        </w:rPr>
        <w:t>Ehirim</w:t>
      </w:r>
      <w:proofErr w:type="spellEnd"/>
      <w:r w:rsidRPr="00346EA4">
        <w:rPr>
          <w:rFonts w:ascii="Times New Roman" w:eastAsia="Calibri" w:hAnsi="Times New Roman" w:cs="Times New Roman"/>
          <w:sz w:val="24"/>
          <w:szCs w:val="24"/>
        </w:rPr>
        <w:t xml:space="preserve">, F. N., &amp; </w:t>
      </w:r>
      <w:proofErr w:type="spellStart"/>
      <w:r w:rsidRPr="00346EA4">
        <w:rPr>
          <w:rFonts w:ascii="Times New Roman" w:eastAsia="Calibri" w:hAnsi="Times New Roman" w:cs="Times New Roman"/>
          <w:sz w:val="24"/>
          <w:szCs w:val="24"/>
        </w:rPr>
        <w:t>Nwakaudu</w:t>
      </w:r>
      <w:proofErr w:type="spellEnd"/>
      <w:r w:rsidRPr="00346EA4">
        <w:rPr>
          <w:rFonts w:ascii="Times New Roman" w:eastAsia="Calibri" w:hAnsi="Times New Roman" w:cs="Times New Roman"/>
          <w:sz w:val="24"/>
          <w:szCs w:val="24"/>
        </w:rPr>
        <w:t xml:space="preserve">, A. A. (2022). Vitamin evaluation of fermented cereal-legume flour blends and baked products. </w:t>
      </w:r>
      <w:r w:rsidRPr="00346EA4">
        <w:rPr>
          <w:rFonts w:ascii="Times New Roman" w:eastAsia="Calibri" w:hAnsi="Times New Roman" w:cs="Times New Roman"/>
          <w:i/>
          <w:iCs/>
          <w:sz w:val="24"/>
          <w:szCs w:val="24"/>
        </w:rPr>
        <w:t>Food Science and Nutrition, 10</w:t>
      </w:r>
      <w:r w:rsidRPr="00346EA4">
        <w:rPr>
          <w:rFonts w:ascii="Times New Roman" w:eastAsia="Calibri" w:hAnsi="Times New Roman" w:cs="Times New Roman"/>
          <w:sz w:val="24"/>
          <w:szCs w:val="24"/>
        </w:rPr>
        <w:t xml:space="preserve">(5), 1412–1420. </w:t>
      </w:r>
      <w:hyperlink r:id="rId9" w:tgtFrame="_new" w:history="1">
        <w:r w:rsidRPr="00346EA4">
          <w:rPr>
            <w:rStyle w:val="Hyperlink"/>
            <w:rFonts w:ascii="Times New Roman" w:eastAsia="Calibri" w:hAnsi="Times New Roman" w:cs="Times New Roman"/>
            <w:color w:val="auto"/>
            <w:sz w:val="24"/>
            <w:szCs w:val="24"/>
          </w:rPr>
          <w:t>https://doi.org/10.1002/fsn3.2764</w:t>
        </w:r>
      </w:hyperlink>
    </w:p>
    <w:p w14:paraId="2C612066"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Olagunju, A. I., </w:t>
      </w:r>
      <w:proofErr w:type="spellStart"/>
      <w:r w:rsidRPr="00346EA4">
        <w:rPr>
          <w:rFonts w:ascii="Times New Roman" w:eastAsia="Calibri" w:hAnsi="Times New Roman" w:cs="Times New Roman"/>
          <w:sz w:val="24"/>
          <w:szCs w:val="24"/>
        </w:rPr>
        <w:t>Omoba</w:t>
      </w:r>
      <w:proofErr w:type="spellEnd"/>
      <w:r w:rsidRPr="00346EA4">
        <w:rPr>
          <w:rFonts w:ascii="Times New Roman" w:eastAsia="Calibri" w:hAnsi="Times New Roman" w:cs="Times New Roman"/>
          <w:sz w:val="24"/>
          <w:szCs w:val="24"/>
        </w:rPr>
        <w:t xml:space="preserve">, O. S., &amp; </w:t>
      </w:r>
      <w:proofErr w:type="spellStart"/>
      <w:r w:rsidRPr="00346EA4">
        <w:rPr>
          <w:rFonts w:ascii="Times New Roman" w:eastAsia="Calibri" w:hAnsi="Times New Roman" w:cs="Times New Roman"/>
          <w:sz w:val="24"/>
          <w:szCs w:val="24"/>
        </w:rPr>
        <w:t>Enujiugha</w:t>
      </w:r>
      <w:proofErr w:type="spellEnd"/>
      <w:r w:rsidRPr="00346EA4">
        <w:rPr>
          <w:rFonts w:ascii="Times New Roman" w:eastAsia="Calibri" w:hAnsi="Times New Roman" w:cs="Times New Roman"/>
          <w:sz w:val="24"/>
          <w:szCs w:val="24"/>
        </w:rPr>
        <w:t xml:space="preserve">, V. N. (2021). Nutritional and mineral characteristics of composite flour products from indigenous crops. </w:t>
      </w:r>
      <w:r w:rsidRPr="00346EA4">
        <w:rPr>
          <w:rFonts w:ascii="Times New Roman" w:eastAsia="Calibri" w:hAnsi="Times New Roman" w:cs="Times New Roman"/>
          <w:i/>
          <w:iCs/>
          <w:sz w:val="24"/>
          <w:szCs w:val="24"/>
        </w:rPr>
        <w:t>LWT - Food Science and Technology, 139</w:t>
      </w:r>
      <w:r w:rsidRPr="00346EA4">
        <w:rPr>
          <w:rFonts w:ascii="Times New Roman" w:eastAsia="Calibri" w:hAnsi="Times New Roman" w:cs="Times New Roman"/>
          <w:sz w:val="24"/>
          <w:szCs w:val="24"/>
        </w:rPr>
        <w:t xml:space="preserve">, 110556. </w:t>
      </w:r>
      <w:hyperlink r:id="rId10" w:tgtFrame="_new" w:history="1">
        <w:r w:rsidRPr="00346EA4">
          <w:rPr>
            <w:rStyle w:val="Hyperlink"/>
            <w:rFonts w:ascii="Times New Roman" w:eastAsia="Calibri" w:hAnsi="Times New Roman" w:cs="Times New Roman"/>
            <w:color w:val="auto"/>
            <w:sz w:val="24"/>
            <w:szCs w:val="24"/>
          </w:rPr>
          <w:t>https://doi.org/10.1016/j.lwt.2020.110556</w:t>
        </w:r>
      </w:hyperlink>
    </w:p>
    <w:p w14:paraId="2524B123" w14:textId="77777777" w:rsidR="00F24B28" w:rsidRDefault="00F24B28" w:rsidP="0014080D">
      <w:pPr>
        <w:spacing w:after="0" w:line="276" w:lineRule="auto"/>
        <w:ind w:left="720" w:hanging="720"/>
        <w:jc w:val="both"/>
        <w:rPr>
          <w:rFonts w:ascii="Times New Roman" w:eastAsia="Calibri" w:hAnsi="Times New Roman" w:cs="Times New Roman"/>
          <w:sz w:val="24"/>
          <w:szCs w:val="24"/>
        </w:rPr>
      </w:pPr>
      <w:proofErr w:type="spellStart"/>
      <w:r w:rsidRPr="00346EA4">
        <w:rPr>
          <w:rFonts w:ascii="Times New Roman" w:eastAsia="Calibri" w:hAnsi="Times New Roman" w:cs="Times New Roman"/>
          <w:sz w:val="24"/>
          <w:szCs w:val="24"/>
        </w:rPr>
        <w:t>Oluwalana</w:t>
      </w:r>
      <w:proofErr w:type="spellEnd"/>
      <w:r w:rsidRPr="00346EA4">
        <w:rPr>
          <w:rFonts w:ascii="Times New Roman" w:eastAsia="Calibri" w:hAnsi="Times New Roman" w:cs="Times New Roman"/>
          <w:sz w:val="24"/>
          <w:szCs w:val="24"/>
        </w:rPr>
        <w:t xml:space="preserve">, I. B., </w:t>
      </w:r>
      <w:proofErr w:type="spellStart"/>
      <w:r w:rsidRPr="00346EA4">
        <w:rPr>
          <w:rFonts w:ascii="Times New Roman" w:eastAsia="Calibri" w:hAnsi="Times New Roman" w:cs="Times New Roman"/>
          <w:sz w:val="24"/>
          <w:szCs w:val="24"/>
        </w:rPr>
        <w:t>Malomo</w:t>
      </w:r>
      <w:proofErr w:type="spellEnd"/>
      <w:r w:rsidRPr="00346EA4">
        <w:rPr>
          <w:rFonts w:ascii="Times New Roman" w:eastAsia="Calibri" w:hAnsi="Times New Roman" w:cs="Times New Roman"/>
          <w:sz w:val="24"/>
          <w:szCs w:val="24"/>
        </w:rPr>
        <w:t xml:space="preserve">, O., &amp; </w:t>
      </w:r>
      <w:proofErr w:type="spellStart"/>
      <w:r w:rsidRPr="00346EA4">
        <w:rPr>
          <w:rFonts w:ascii="Times New Roman" w:eastAsia="Calibri" w:hAnsi="Times New Roman" w:cs="Times New Roman"/>
          <w:sz w:val="24"/>
          <w:szCs w:val="24"/>
        </w:rPr>
        <w:t>Olatidoye</w:t>
      </w:r>
      <w:proofErr w:type="spellEnd"/>
      <w:r w:rsidRPr="00346EA4">
        <w:rPr>
          <w:rFonts w:ascii="Times New Roman" w:eastAsia="Calibri" w:hAnsi="Times New Roman" w:cs="Times New Roman"/>
          <w:sz w:val="24"/>
          <w:szCs w:val="24"/>
        </w:rPr>
        <w:t xml:space="preserve">, O. P. (2020). Evaluation of phosphorus and mineral contents of fermented food products. </w:t>
      </w:r>
      <w:r w:rsidRPr="00346EA4">
        <w:rPr>
          <w:rFonts w:ascii="Times New Roman" w:eastAsia="Calibri" w:hAnsi="Times New Roman" w:cs="Times New Roman"/>
          <w:i/>
          <w:iCs/>
          <w:sz w:val="24"/>
          <w:szCs w:val="24"/>
        </w:rPr>
        <w:t>Food Chemistry Advances, 2</w:t>
      </w:r>
      <w:r w:rsidRPr="00346EA4">
        <w:rPr>
          <w:rFonts w:ascii="Times New Roman" w:eastAsia="Calibri" w:hAnsi="Times New Roman" w:cs="Times New Roman"/>
          <w:sz w:val="24"/>
          <w:szCs w:val="24"/>
        </w:rPr>
        <w:t xml:space="preserve">, 100021. </w:t>
      </w:r>
      <w:hyperlink r:id="rId11" w:history="1">
        <w:r w:rsidRPr="00E35606">
          <w:rPr>
            <w:rStyle w:val="Hyperlink"/>
            <w:rFonts w:ascii="Times New Roman" w:eastAsia="Calibri" w:hAnsi="Times New Roman" w:cs="Times New Roman"/>
            <w:sz w:val="24"/>
            <w:szCs w:val="24"/>
          </w:rPr>
          <w:t>https://doi.org/10.1016/j.focha.2020.100021</w:t>
        </w:r>
      </w:hyperlink>
    </w:p>
    <w:p w14:paraId="0BAC5B84" w14:textId="77777777" w:rsidR="00F24B28" w:rsidRPr="00F24B28" w:rsidRDefault="00F24B28" w:rsidP="00F24B28">
      <w:pPr>
        <w:spacing w:after="0" w:line="276" w:lineRule="auto"/>
        <w:ind w:left="720" w:hanging="720"/>
        <w:jc w:val="both"/>
        <w:rPr>
          <w:rFonts w:ascii="Times New Roman" w:eastAsia="Calibri" w:hAnsi="Times New Roman" w:cs="Times New Roman"/>
          <w:sz w:val="24"/>
          <w:szCs w:val="24"/>
          <w:lang w:val="en-GB"/>
        </w:rPr>
      </w:pPr>
      <w:r w:rsidRPr="00F24B28">
        <w:rPr>
          <w:rFonts w:ascii="Times New Roman" w:eastAsia="Calibri" w:hAnsi="Times New Roman" w:cs="Times New Roman"/>
          <w:sz w:val="24"/>
          <w:szCs w:val="24"/>
          <w:lang w:val="en-GB"/>
        </w:rPr>
        <w:t xml:space="preserve">Onuoha, L.N., </w:t>
      </w:r>
      <w:proofErr w:type="spellStart"/>
      <w:r w:rsidRPr="00F24B28">
        <w:rPr>
          <w:rFonts w:ascii="Times New Roman" w:eastAsia="Calibri" w:hAnsi="Times New Roman" w:cs="Times New Roman"/>
          <w:sz w:val="24"/>
          <w:szCs w:val="24"/>
          <w:lang w:val="en-GB"/>
        </w:rPr>
        <w:t>Emojorho</w:t>
      </w:r>
      <w:proofErr w:type="spellEnd"/>
      <w:r w:rsidRPr="00F24B28">
        <w:rPr>
          <w:rFonts w:ascii="Times New Roman" w:eastAsia="Calibri" w:hAnsi="Times New Roman" w:cs="Times New Roman"/>
          <w:sz w:val="24"/>
          <w:szCs w:val="24"/>
          <w:lang w:val="en-GB"/>
        </w:rPr>
        <w:t xml:space="preserve">, E.E., </w:t>
      </w:r>
      <w:proofErr w:type="spellStart"/>
      <w:r w:rsidRPr="00F24B28">
        <w:rPr>
          <w:rFonts w:ascii="Times New Roman" w:eastAsia="Calibri" w:hAnsi="Times New Roman" w:cs="Times New Roman"/>
          <w:sz w:val="24"/>
          <w:szCs w:val="24"/>
          <w:lang w:val="en-GB"/>
        </w:rPr>
        <w:t>Oboreh</w:t>
      </w:r>
      <w:proofErr w:type="spellEnd"/>
      <w:r w:rsidRPr="00F24B28">
        <w:rPr>
          <w:rFonts w:ascii="Times New Roman" w:eastAsia="Calibri" w:hAnsi="Times New Roman" w:cs="Times New Roman"/>
          <w:sz w:val="24"/>
          <w:szCs w:val="24"/>
          <w:lang w:val="en-GB"/>
        </w:rPr>
        <w:t xml:space="preserve">, O.J </w:t>
      </w:r>
      <w:proofErr w:type="spellStart"/>
      <w:proofErr w:type="gramStart"/>
      <w:r w:rsidRPr="00F24B28">
        <w:rPr>
          <w:rFonts w:ascii="Times New Roman" w:eastAsia="Calibri" w:hAnsi="Times New Roman" w:cs="Times New Roman"/>
          <w:sz w:val="24"/>
          <w:szCs w:val="24"/>
          <w:lang w:val="en-GB"/>
        </w:rPr>
        <w:t>Obetta,R</w:t>
      </w:r>
      <w:proofErr w:type="gramEnd"/>
      <w:r w:rsidRPr="00F24B28">
        <w:rPr>
          <w:rFonts w:ascii="Times New Roman" w:eastAsia="Calibri" w:hAnsi="Times New Roman" w:cs="Times New Roman"/>
          <w:sz w:val="24"/>
          <w:szCs w:val="24"/>
          <w:lang w:val="en-GB"/>
        </w:rPr>
        <w:t>.N</w:t>
      </w:r>
      <w:proofErr w:type="spellEnd"/>
      <w:r w:rsidRPr="00F24B28">
        <w:rPr>
          <w:rFonts w:ascii="Times New Roman" w:eastAsia="Calibri" w:hAnsi="Times New Roman" w:cs="Times New Roman"/>
          <w:sz w:val="24"/>
          <w:szCs w:val="24"/>
          <w:lang w:val="en-GB"/>
        </w:rPr>
        <w:t xml:space="preserve"> Adinkwu, O.M., Akubor, P. </w:t>
      </w:r>
      <w:proofErr w:type="spellStart"/>
      <w:r w:rsidRPr="00F24B28">
        <w:rPr>
          <w:rFonts w:ascii="Times New Roman" w:eastAsia="Calibri" w:hAnsi="Times New Roman" w:cs="Times New Roman"/>
          <w:sz w:val="24"/>
          <w:szCs w:val="24"/>
          <w:lang w:val="en-GB"/>
        </w:rPr>
        <w:t>Ogboli</w:t>
      </w:r>
      <w:proofErr w:type="spellEnd"/>
      <w:r w:rsidRPr="00F24B28">
        <w:rPr>
          <w:rFonts w:ascii="Times New Roman" w:eastAsia="Calibri" w:hAnsi="Times New Roman" w:cs="Times New Roman"/>
          <w:sz w:val="24"/>
          <w:szCs w:val="24"/>
          <w:lang w:val="en-GB"/>
        </w:rPr>
        <w:t xml:space="preserve">, C.C., and </w:t>
      </w:r>
      <w:proofErr w:type="spellStart"/>
      <w:r w:rsidRPr="00F24B28">
        <w:rPr>
          <w:rFonts w:ascii="Times New Roman" w:eastAsia="Calibri" w:hAnsi="Times New Roman" w:cs="Times New Roman"/>
          <w:sz w:val="24"/>
          <w:szCs w:val="24"/>
          <w:lang w:val="en-GB"/>
        </w:rPr>
        <w:t>Akinnuoye</w:t>
      </w:r>
      <w:proofErr w:type="spellEnd"/>
      <w:r w:rsidRPr="00F24B28">
        <w:rPr>
          <w:rFonts w:ascii="Times New Roman" w:eastAsia="Calibri" w:hAnsi="Times New Roman" w:cs="Times New Roman"/>
          <w:sz w:val="24"/>
          <w:szCs w:val="24"/>
          <w:lang w:val="en-GB"/>
        </w:rPr>
        <w:t>, V.M. (2025) Evaluation of Nutritional and Functional Characteristics of Biscuits Enriched with Groundnut-Wheat Composite Flour. Int. j. adv. multidisc. res. stud. 2025; 5(5):781-787</w:t>
      </w:r>
    </w:p>
    <w:p w14:paraId="6E3F9B96"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Pearson, D. (1991). Chemical and Analysis of Foods. 9thEdition. Livingstone London, </w:t>
      </w:r>
      <w:proofErr w:type="spellStart"/>
      <w:r w:rsidRPr="00346EA4">
        <w:rPr>
          <w:rFonts w:ascii="Times New Roman" w:eastAsia="Calibri" w:hAnsi="Times New Roman" w:cs="Times New Roman"/>
          <w:sz w:val="24"/>
          <w:szCs w:val="24"/>
        </w:rPr>
        <w:t>Churchhill</w:t>
      </w:r>
      <w:proofErr w:type="spellEnd"/>
      <w:r w:rsidRPr="00346EA4">
        <w:rPr>
          <w:rFonts w:ascii="Times New Roman" w:eastAsia="Calibri" w:hAnsi="Times New Roman" w:cs="Times New Roman"/>
          <w:sz w:val="24"/>
          <w:szCs w:val="24"/>
        </w:rPr>
        <w:t>. pp. 33.</w:t>
      </w:r>
    </w:p>
    <w:p w14:paraId="1940B205" w14:textId="77777777" w:rsidR="00F24B28" w:rsidRPr="00346EA4" w:rsidRDefault="00F24B28" w:rsidP="00D475F0">
      <w:pPr>
        <w:spacing w:after="0" w:line="240" w:lineRule="auto"/>
        <w:ind w:left="720" w:hanging="720"/>
        <w:jc w:val="both"/>
        <w:rPr>
          <w:rFonts w:ascii="Times New Roman" w:eastAsia="Calibri" w:hAnsi="Times New Roman" w:cs="Times New Roman"/>
          <w:sz w:val="24"/>
          <w:szCs w:val="24"/>
        </w:rPr>
      </w:pPr>
      <w:r w:rsidRPr="00346EA4">
        <w:rPr>
          <w:rFonts w:ascii="Times New Roman" w:eastAsia="Calibri" w:hAnsi="Times New Roman" w:cs="Times New Roman"/>
          <w:sz w:val="24"/>
          <w:szCs w:val="24"/>
        </w:rPr>
        <w:t xml:space="preserve">Sathe, S. K. and Salunkhe, D. K. (1981). Functional properties of the great </w:t>
      </w:r>
      <w:proofErr w:type="spellStart"/>
      <w:r w:rsidRPr="00346EA4">
        <w:rPr>
          <w:rFonts w:ascii="Times New Roman" w:eastAsia="Calibri" w:hAnsi="Times New Roman" w:cs="Times New Roman"/>
          <w:sz w:val="24"/>
          <w:szCs w:val="24"/>
        </w:rPr>
        <w:t>Norhern</w:t>
      </w:r>
      <w:proofErr w:type="spellEnd"/>
      <w:r w:rsidRPr="00346EA4">
        <w:rPr>
          <w:rFonts w:ascii="Times New Roman" w:eastAsia="Calibri" w:hAnsi="Times New Roman" w:cs="Times New Roman"/>
          <w:sz w:val="24"/>
          <w:szCs w:val="24"/>
        </w:rPr>
        <w:t xml:space="preserve"> bean </w:t>
      </w:r>
      <w:r w:rsidRPr="00346EA4">
        <w:rPr>
          <w:rFonts w:ascii="Times New Roman" w:eastAsia="Calibri" w:hAnsi="Times New Roman" w:cs="Times New Roman"/>
          <w:sz w:val="24"/>
          <w:szCs w:val="24"/>
        </w:rPr>
        <w:tab/>
        <w:t>(</w:t>
      </w:r>
      <w:r w:rsidRPr="00346EA4">
        <w:rPr>
          <w:rFonts w:ascii="Times New Roman" w:eastAsia="Calibri" w:hAnsi="Times New Roman" w:cs="Times New Roman"/>
          <w:i/>
          <w:sz w:val="24"/>
          <w:szCs w:val="24"/>
        </w:rPr>
        <w:t>Phaseolus Vulgaris</w:t>
      </w:r>
      <w:r w:rsidRPr="00346EA4">
        <w:rPr>
          <w:rFonts w:ascii="Times New Roman" w:eastAsia="Calibri" w:hAnsi="Times New Roman" w:cs="Times New Roman"/>
          <w:sz w:val="24"/>
          <w:szCs w:val="24"/>
        </w:rPr>
        <w:t xml:space="preserve"> L</w:t>
      </w:r>
      <w:proofErr w:type="gramStart"/>
      <w:r w:rsidRPr="00346EA4">
        <w:rPr>
          <w:rFonts w:ascii="Times New Roman" w:eastAsia="Calibri" w:hAnsi="Times New Roman" w:cs="Times New Roman"/>
          <w:sz w:val="24"/>
          <w:szCs w:val="24"/>
        </w:rPr>
        <w:t>).Proteins</w:t>
      </w:r>
      <w:proofErr w:type="gramEnd"/>
      <w:r w:rsidRPr="00346EA4">
        <w:rPr>
          <w:rFonts w:ascii="Times New Roman" w:eastAsia="Calibri" w:hAnsi="Times New Roman" w:cs="Times New Roman"/>
          <w:sz w:val="24"/>
          <w:szCs w:val="24"/>
        </w:rPr>
        <w:t xml:space="preserve"> emulsions foaming viscosity and gelation   properties. </w:t>
      </w:r>
      <w:r w:rsidRPr="00346EA4">
        <w:rPr>
          <w:rFonts w:ascii="Times New Roman" w:eastAsia="Calibri" w:hAnsi="Times New Roman" w:cs="Times New Roman"/>
          <w:iCs/>
          <w:sz w:val="24"/>
          <w:szCs w:val="24"/>
        </w:rPr>
        <w:t>Journal of Food Science, 46: 71 - 81.</w:t>
      </w:r>
      <w:r w:rsidRPr="00346EA4">
        <w:rPr>
          <w:rFonts w:ascii="Times New Roman" w:eastAsia="Calibri" w:hAnsi="Times New Roman" w:cs="Times New Roman"/>
          <w:sz w:val="24"/>
          <w:szCs w:val="24"/>
        </w:rPr>
        <w:t xml:space="preserve"> </w:t>
      </w:r>
    </w:p>
    <w:p w14:paraId="61FA2C47" w14:textId="77777777" w:rsidR="00F24B28" w:rsidRPr="00346EA4" w:rsidRDefault="00F24B28" w:rsidP="00D475F0">
      <w:pPr>
        <w:spacing w:after="0" w:line="276" w:lineRule="auto"/>
        <w:ind w:left="720" w:hanging="720"/>
        <w:jc w:val="both"/>
        <w:rPr>
          <w:rFonts w:ascii="Times New Roman" w:hAnsi="Times New Roman" w:cs="Times New Roman"/>
          <w:sz w:val="24"/>
          <w:szCs w:val="24"/>
        </w:rPr>
      </w:pPr>
      <w:r w:rsidRPr="00346EA4">
        <w:rPr>
          <w:rFonts w:ascii="Times New Roman" w:eastAsia="Times New Roman" w:hAnsi="Times New Roman" w:cs="Times New Roman"/>
          <w:sz w:val="24"/>
          <w:szCs w:val="24"/>
        </w:rPr>
        <w:t xml:space="preserve">Saxena, K. B., Kumar, R. V., &amp; Sultana, R. (2010). </w:t>
      </w:r>
      <w:r w:rsidRPr="00346EA4">
        <w:rPr>
          <w:rFonts w:ascii="Times New Roman" w:eastAsia="Times New Roman" w:hAnsi="Times New Roman" w:cs="Times New Roman"/>
          <w:i/>
          <w:iCs/>
          <w:sz w:val="24"/>
          <w:szCs w:val="24"/>
        </w:rPr>
        <w:t xml:space="preserve">Quality nutrition through </w:t>
      </w:r>
      <w:proofErr w:type="spellStart"/>
      <w:r w:rsidRPr="00346EA4">
        <w:rPr>
          <w:rFonts w:ascii="Times New Roman" w:eastAsia="Times New Roman" w:hAnsi="Times New Roman" w:cs="Times New Roman"/>
          <w:i/>
          <w:iCs/>
          <w:sz w:val="24"/>
          <w:szCs w:val="24"/>
        </w:rPr>
        <w:t>pigeonpea</w:t>
      </w:r>
      <w:proofErr w:type="spellEnd"/>
      <w:r w:rsidRPr="00346EA4">
        <w:rPr>
          <w:rFonts w:ascii="Times New Roman" w:eastAsia="Times New Roman" w:hAnsi="Times New Roman" w:cs="Times New Roman"/>
          <w:i/>
          <w:iCs/>
          <w:sz w:val="24"/>
          <w:szCs w:val="24"/>
        </w:rPr>
        <w:t>—A review</w:t>
      </w:r>
      <w:r w:rsidRPr="00346EA4">
        <w:rPr>
          <w:rFonts w:ascii="Times New Roman" w:eastAsia="Times New Roman" w:hAnsi="Times New Roman" w:cs="Times New Roman"/>
          <w:sz w:val="24"/>
          <w:szCs w:val="24"/>
        </w:rPr>
        <w:t xml:space="preserve">. </w:t>
      </w:r>
      <w:r w:rsidRPr="00346EA4">
        <w:rPr>
          <w:rFonts w:ascii="Times New Roman" w:eastAsia="Times New Roman" w:hAnsi="Times New Roman" w:cs="Times New Roman"/>
          <w:bCs/>
          <w:sz w:val="24"/>
          <w:szCs w:val="24"/>
        </w:rPr>
        <w:t>Health, 2</w:t>
      </w:r>
      <w:r w:rsidRPr="00346EA4">
        <w:rPr>
          <w:rFonts w:ascii="Times New Roman" w:eastAsia="Times New Roman" w:hAnsi="Times New Roman" w:cs="Times New Roman"/>
          <w:sz w:val="24"/>
          <w:szCs w:val="24"/>
        </w:rPr>
        <w:t xml:space="preserve">(11), 1335–1344. </w:t>
      </w:r>
      <w:r w:rsidRPr="00346EA4">
        <w:rPr>
          <w:rFonts w:ascii="Times New Roman" w:hAnsi="Times New Roman" w:cs="Times New Roman"/>
          <w:sz w:val="24"/>
          <w:szCs w:val="24"/>
        </w:rPr>
        <w:t xml:space="preserve">Taylor, J. R. N., &amp; </w:t>
      </w:r>
      <w:proofErr w:type="spellStart"/>
      <w:r w:rsidRPr="00346EA4">
        <w:rPr>
          <w:rFonts w:ascii="Times New Roman" w:hAnsi="Times New Roman" w:cs="Times New Roman"/>
          <w:sz w:val="24"/>
          <w:szCs w:val="24"/>
        </w:rPr>
        <w:t>Emmambux</w:t>
      </w:r>
      <w:proofErr w:type="spellEnd"/>
      <w:r w:rsidRPr="00346EA4">
        <w:rPr>
          <w:rFonts w:ascii="Times New Roman" w:hAnsi="Times New Roman" w:cs="Times New Roman"/>
          <w:sz w:val="24"/>
          <w:szCs w:val="24"/>
        </w:rPr>
        <w:t xml:space="preserve">, M. N. (2019). Sorghum nutritional properties. </w:t>
      </w:r>
      <w:r w:rsidRPr="00346EA4">
        <w:rPr>
          <w:rFonts w:ascii="Times New Roman" w:hAnsi="Times New Roman" w:cs="Times New Roman"/>
          <w:i/>
          <w:iCs/>
          <w:sz w:val="24"/>
          <w:szCs w:val="24"/>
        </w:rPr>
        <w:t>Food Chemistry</w:t>
      </w:r>
      <w:r w:rsidRPr="00346EA4">
        <w:rPr>
          <w:rFonts w:ascii="Times New Roman" w:hAnsi="Times New Roman" w:cs="Times New Roman"/>
          <w:sz w:val="24"/>
          <w:szCs w:val="24"/>
        </w:rPr>
        <w:t>, 298, 125045.</w:t>
      </w:r>
    </w:p>
    <w:p w14:paraId="55817E0D" w14:textId="77777777" w:rsidR="00F24B28" w:rsidRPr="00346EA4" w:rsidRDefault="00F24B28" w:rsidP="0014080D">
      <w:pPr>
        <w:spacing w:after="0" w:line="276" w:lineRule="auto"/>
        <w:ind w:left="720" w:hanging="720"/>
        <w:jc w:val="both"/>
        <w:rPr>
          <w:rFonts w:ascii="Times New Roman" w:eastAsia="Calibri" w:hAnsi="Times New Roman" w:cs="Times New Roman"/>
          <w:b/>
          <w:bCs/>
          <w:sz w:val="24"/>
          <w:szCs w:val="24"/>
        </w:rPr>
      </w:pPr>
      <w:r w:rsidRPr="00346EA4">
        <w:rPr>
          <w:rFonts w:ascii="Times New Roman" w:hAnsi="Times New Roman" w:cs="Times New Roman"/>
          <w:sz w:val="24"/>
          <w:szCs w:val="24"/>
        </w:rPr>
        <w:t>World Health Organization. (2021). Micronutrient deficiencies report.</w:t>
      </w:r>
      <w:r w:rsidRPr="00346EA4">
        <w:rPr>
          <w:rFonts w:ascii="Times New Roman" w:eastAsia="Calibri" w:hAnsi="Times New Roman" w:cs="Times New Roman"/>
          <w:sz w:val="24"/>
          <w:szCs w:val="24"/>
        </w:rPr>
        <w:t xml:space="preserve"> </w:t>
      </w:r>
      <w:r w:rsidRPr="00346EA4">
        <w:rPr>
          <w:rFonts w:ascii="Times New Roman" w:eastAsia="Calibri" w:hAnsi="Times New Roman" w:cs="Times New Roman"/>
          <w:b/>
          <w:bCs/>
          <w:sz w:val="24"/>
          <w:szCs w:val="24"/>
        </w:rPr>
        <w:t>References</w:t>
      </w:r>
    </w:p>
    <w:p w14:paraId="63CDA5E4" w14:textId="77777777" w:rsidR="00F24B28" w:rsidRPr="00346EA4" w:rsidRDefault="00F24B28" w:rsidP="0014080D">
      <w:pPr>
        <w:spacing w:after="0" w:line="276" w:lineRule="auto"/>
        <w:ind w:left="720" w:hanging="720"/>
        <w:jc w:val="both"/>
        <w:rPr>
          <w:rFonts w:ascii="Times New Roman" w:eastAsia="Calibri" w:hAnsi="Times New Roman" w:cs="Times New Roman"/>
          <w:sz w:val="24"/>
          <w:szCs w:val="24"/>
        </w:rPr>
      </w:pPr>
    </w:p>
    <w:p w14:paraId="63620E9E" w14:textId="77777777" w:rsidR="00D24792" w:rsidRPr="00346EA4" w:rsidRDefault="00D24792" w:rsidP="00D475F0">
      <w:pPr>
        <w:spacing w:after="0" w:line="276" w:lineRule="auto"/>
        <w:ind w:left="720" w:hanging="720"/>
        <w:jc w:val="both"/>
        <w:rPr>
          <w:rFonts w:ascii="Times New Roman" w:eastAsia="Calibri" w:hAnsi="Times New Roman" w:cs="Times New Roman"/>
          <w:sz w:val="24"/>
          <w:szCs w:val="24"/>
        </w:rPr>
      </w:pPr>
    </w:p>
    <w:p w14:paraId="43D7A7BA" w14:textId="77777777" w:rsidR="00D24792" w:rsidRPr="00346EA4" w:rsidRDefault="00D24792" w:rsidP="004A575C">
      <w:pPr>
        <w:spacing w:line="276" w:lineRule="auto"/>
        <w:ind w:left="720" w:hanging="720"/>
        <w:jc w:val="both"/>
        <w:rPr>
          <w:rFonts w:ascii="Times New Roman" w:hAnsi="Times New Roman" w:cs="Times New Roman"/>
          <w:sz w:val="24"/>
          <w:szCs w:val="24"/>
        </w:rPr>
      </w:pPr>
    </w:p>
    <w:sectPr w:rsidR="00D24792" w:rsidRPr="00346EA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E91E" w14:textId="77777777" w:rsidR="00A63419" w:rsidRDefault="00A63419" w:rsidP="00764484">
      <w:pPr>
        <w:spacing w:after="0" w:line="240" w:lineRule="auto"/>
      </w:pPr>
      <w:r>
        <w:separator/>
      </w:r>
    </w:p>
  </w:endnote>
  <w:endnote w:type="continuationSeparator" w:id="0">
    <w:p w14:paraId="21C8210C" w14:textId="77777777" w:rsidR="00A63419" w:rsidRDefault="00A63419" w:rsidP="0076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163A" w14:textId="77777777" w:rsidR="00764484" w:rsidRDefault="00764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A1BB" w14:textId="77777777" w:rsidR="00764484" w:rsidRDefault="007644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0AD7" w14:textId="77777777" w:rsidR="00764484" w:rsidRDefault="00764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318FF" w14:textId="77777777" w:rsidR="00A63419" w:rsidRDefault="00A63419" w:rsidP="00764484">
      <w:pPr>
        <w:spacing w:after="0" w:line="240" w:lineRule="auto"/>
      </w:pPr>
      <w:r>
        <w:separator/>
      </w:r>
    </w:p>
  </w:footnote>
  <w:footnote w:type="continuationSeparator" w:id="0">
    <w:p w14:paraId="76BFF5D5" w14:textId="77777777" w:rsidR="00A63419" w:rsidRDefault="00A63419" w:rsidP="00764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B888" w14:textId="71FBB42B" w:rsidR="00764484" w:rsidRDefault="00764484">
    <w:pPr>
      <w:pStyle w:val="Header"/>
    </w:pPr>
    <w:r>
      <w:rPr>
        <w:noProof/>
      </w:rPr>
      <w:pict w14:anchorId="222EA1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698204"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7C71" w14:textId="6F6AFB12" w:rsidR="00764484" w:rsidRDefault="00764484">
    <w:pPr>
      <w:pStyle w:val="Header"/>
    </w:pPr>
    <w:r>
      <w:rPr>
        <w:noProof/>
      </w:rPr>
      <w:pict w14:anchorId="4F64F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698205"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3435" w14:textId="28046FF7" w:rsidR="00764484" w:rsidRDefault="00764484">
    <w:pPr>
      <w:pStyle w:val="Header"/>
    </w:pPr>
    <w:r>
      <w:rPr>
        <w:noProof/>
      </w:rPr>
      <w:pict w14:anchorId="4C1A4C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698203"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C74"/>
    <w:multiLevelType w:val="hybridMultilevel"/>
    <w:tmpl w:val="371C965C"/>
    <w:lvl w:ilvl="0" w:tplc="69D8F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51774"/>
    <w:multiLevelType w:val="multilevel"/>
    <w:tmpl w:val="F84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7003D"/>
    <w:multiLevelType w:val="multilevel"/>
    <w:tmpl w:val="B55E5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B649F"/>
    <w:multiLevelType w:val="multilevel"/>
    <w:tmpl w:val="CCCC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944B84"/>
    <w:multiLevelType w:val="multilevel"/>
    <w:tmpl w:val="7E9E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620E7"/>
    <w:multiLevelType w:val="multilevel"/>
    <w:tmpl w:val="CD9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2523E"/>
    <w:multiLevelType w:val="multilevel"/>
    <w:tmpl w:val="D1DEA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B598D"/>
    <w:multiLevelType w:val="multilevel"/>
    <w:tmpl w:val="9838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C68B2"/>
    <w:multiLevelType w:val="multilevel"/>
    <w:tmpl w:val="9894F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B0966"/>
    <w:multiLevelType w:val="multilevel"/>
    <w:tmpl w:val="85EE8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61130"/>
    <w:multiLevelType w:val="multilevel"/>
    <w:tmpl w:val="25EE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71127"/>
    <w:multiLevelType w:val="multilevel"/>
    <w:tmpl w:val="842E5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6E625F"/>
    <w:multiLevelType w:val="hybridMultilevel"/>
    <w:tmpl w:val="371C965C"/>
    <w:lvl w:ilvl="0" w:tplc="69D8F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8F5E82"/>
    <w:multiLevelType w:val="multilevel"/>
    <w:tmpl w:val="B68A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66FCA"/>
    <w:multiLevelType w:val="multilevel"/>
    <w:tmpl w:val="AB8A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5A45E0"/>
    <w:multiLevelType w:val="multilevel"/>
    <w:tmpl w:val="BBE8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1F2A49"/>
    <w:multiLevelType w:val="multilevel"/>
    <w:tmpl w:val="F42A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07741C"/>
    <w:multiLevelType w:val="multilevel"/>
    <w:tmpl w:val="35BA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001BDD"/>
    <w:multiLevelType w:val="multilevel"/>
    <w:tmpl w:val="4464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E109A7"/>
    <w:multiLevelType w:val="multilevel"/>
    <w:tmpl w:val="E1DE98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0F66F51"/>
    <w:multiLevelType w:val="multilevel"/>
    <w:tmpl w:val="7D6E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9F36F4"/>
    <w:multiLevelType w:val="multilevel"/>
    <w:tmpl w:val="F7C6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051783">
    <w:abstractNumId w:val="9"/>
  </w:num>
  <w:num w:numId="2" w16cid:durableId="108671270">
    <w:abstractNumId w:val="18"/>
  </w:num>
  <w:num w:numId="3" w16cid:durableId="43068777">
    <w:abstractNumId w:val="6"/>
  </w:num>
  <w:num w:numId="4" w16cid:durableId="1724406109">
    <w:abstractNumId w:val="3"/>
  </w:num>
  <w:num w:numId="5" w16cid:durableId="7029089">
    <w:abstractNumId w:val="14"/>
  </w:num>
  <w:num w:numId="6" w16cid:durableId="1144733191">
    <w:abstractNumId w:val="11"/>
  </w:num>
  <w:num w:numId="7" w16cid:durableId="637993947">
    <w:abstractNumId w:val="2"/>
  </w:num>
  <w:num w:numId="8" w16cid:durableId="1958217452">
    <w:abstractNumId w:val="1"/>
  </w:num>
  <w:num w:numId="9" w16cid:durableId="421882141">
    <w:abstractNumId w:val="21"/>
  </w:num>
  <w:num w:numId="10" w16cid:durableId="2071297984">
    <w:abstractNumId w:val="10"/>
  </w:num>
  <w:num w:numId="11" w16cid:durableId="1580014768">
    <w:abstractNumId w:val="7"/>
  </w:num>
  <w:num w:numId="12" w16cid:durableId="1911305534">
    <w:abstractNumId w:val="20"/>
  </w:num>
  <w:num w:numId="13" w16cid:durableId="2075661600">
    <w:abstractNumId w:val="17"/>
  </w:num>
  <w:num w:numId="14" w16cid:durableId="1150561763">
    <w:abstractNumId w:val="16"/>
  </w:num>
  <w:num w:numId="15" w16cid:durableId="2024091077">
    <w:abstractNumId w:val="13"/>
  </w:num>
  <w:num w:numId="16" w16cid:durableId="1859150943">
    <w:abstractNumId w:val="8"/>
  </w:num>
  <w:num w:numId="17" w16cid:durableId="1758478177">
    <w:abstractNumId w:val="4"/>
  </w:num>
  <w:num w:numId="18" w16cid:durableId="1339967291">
    <w:abstractNumId w:val="5"/>
  </w:num>
  <w:num w:numId="19" w16cid:durableId="1015112262">
    <w:abstractNumId w:val="19"/>
  </w:num>
  <w:num w:numId="20" w16cid:durableId="1359159613">
    <w:abstractNumId w:val="12"/>
  </w:num>
  <w:num w:numId="21" w16cid:durableId="1165164666">
    <w:abstractNumId w:val="0"/>
  </w:num>
  <w:num w:numId="22" w16cid:durableId="905990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E"/>
    <w:rsid w:val="00080845"/>
    <w:rsid w:val="000E13A8"/>
    <w:rsid w:val="000E42B1"/>
    <w:rsid w:val="000F424C"/>
    <w:rsid w:val="000F5A17"/>
    <w:rsid w:val="001172A5"/>
    <w:rsid w:val="0012323F"/>
    <w:rsid w:val="00134E2E"/>
    <w:rsid w:val="0014080D"/>
    <w:rsid w:val="00156A82"/>
    <w:rsid w:val="001C1ED3"/>
    <w:rsid w:val="001D7253"/>
    <w:rsid w:val="001F23DD"/>
    <w:rsid w:val="001F2824"/>
    <w:rsid w:val="00205113"/>
    <w:rsid w:val="00207157"/>
    <w:rsid w:val="00212769"/>
    <w:rsid w:val="00225456"/>
    <w:rsid w:val="00231013"/>
    <w:rsid w:val="00293730"/>
    <w:rsid w:val="002B47EF"/>
    <w:rsid w:val="003133FA"/>
    <w:rsid w:val="00313448"/>
    <w:rsid w:val="00346EA4"/>
    <w:rsid w:val="00363E44"/>
    <w:rsid w:val="003A465B"/>
    <w:rsid w:val="003B1D4F"/>
    <w:rsid w:val="003B225B"/>
    <w:rsid w:val="003B469D"/>
    <w:rsid w:val="003B7640"/>
    <w:rsid w:val="003D0FE3"/>
    <w:rsid w:val="003F092B"/>
    <w:rsid w:val="003F5A5D"/>
    <w:rsid w:val="00415A52"/>
    <w:rsid w:val="004360D2"/>
    <w:rsid w:val="004A575C"/>
    <w:rsid w:val="004B349A"/>
    <w:rsid w:val="004B74E9"/>
    <w:rsid w:val="004E557D"/>
    <w:rsid w:val="004F12E5"/>
    <w:rsid w:val="005022AD"/>
    <w:rsid w:val="005155FD"/>
    <w:rsid w:val="00557B1A"/>
    <w:rsid w:val="00566790"/>
    <w:rsid w:val="005C04D0"/>
    <w:rsid w:val="005C429F"/>
    <w:rsid w:val="00677759"/>
    <w:rsid w:val="006838FD"/>
    <w:rsid w:val="006F534E"/>
    <w:rsid w:val="006F7E45"/>
    <w:rsid w:val="00715DC2"/>
    <w:rsid w:val="00752ED9"/>
    <w:rsid w:val="00764484"/>
    <w:rsid w:val="00770CD1"/>
    <w:rsid w:val="00780D88"/>
    <w:rsid w:val="007C075E"/>
    <w:rsid w:val="00802FD5"/>
    <w:rsid w:val="008122A5"/>
    <w:rsid w:val="00813CFA"/>
    <w:rsid w:val="008819D2"/>
    <w:rsid w:val="008C18A3"/>
    <w:rsid w:val="008E70EB"/>
    <w:rsid w:val="008E7226"/>
    <w:rsid w:val="008F22D7"/>
    <w:rsid w:val="009169EE"/>
    <w:rsid w:val="009F40CA"/>
    <w:rsid w:val="00A13D6C"/>
    <w:rsid w:val="00A178F1"/>
    <w:rsid w:val="00A63419"/>
    <w:rsid w:val="00A64513"/>
    <w:rsid w:val="00A82D31"/>
    <w:rsid w:val="00A943E3"/>
    <w:rsid w:val="00AB6EBE"/>
    <w:rsid w:val="00AE5D89"/>
    <w:rsid w:val="00AE64F5"/>
    <w:rsid w:val="00AF0B55"/>
    <w:rsid w:val="00B71A35"/>
    <w:rsid w:val="00B77BAB"/>
    <w:rsid w:val="00BA4759"/>
    <w:rsid w:val="00BA5994"/>
    <w:rsid w:val="00BB377E"/>
    <w:rsid w:val="00BB4C86"/>
    <w:rsid w:val="00BD417E"/>
    <w:rsid w:val="00BF18EE"/>
    <w:rsid w:val="00BF3D21"/>
    <w:rsid w:val="00BF6EA9"/>
    <w:rsid w:val="00C366A6"/>
    <w:rsid w:val="00D1327C"/>
    <w:rsid w:val="00D24057"/>
    <w:rsid w:val="00D24792"/>
    <w:rsid w:val="00D34A2F"/>
    <w:rsid w:val="00D475F0"/>
    <w:rsid w:val="00D55972"/>
    <w:rsid w:val="00D65A37"/>
    <w:rsid w:val="00D73052"/>
    <w:rsid w:val="00DB6C18"/>
    <w:rsid w:val="00E10A6A"/>
    <w:rsid w:val="00E21196"/>
    <w:rsid w:val="00EB53ED"/>
    <w:rsid w:val="00ED6E25"/>
    <w:rsid w:val="00EE7B1D"/>
    <w:rsid w:val="00F07665"/>
    <w:rsid w:val="00F24B28"/>
    <w:rsid w:val="00F3476D"/>
    <w:rsid w:val="00F6275F"/>
    <w:rsid w:val="00F96E68"/>
    <w:rsid w:val="00FF7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0028"/>
  <w15:chartTrackingRefBased/>
  <w15:docId w15:val="{6BA72203-F580-4F93-858B-435E0772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55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155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155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155F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5F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155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155F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155F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15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5155FD"/>
  </w:style>
  <w:style w:type="character" w:styleId="Emphasis">
    <w:name w:val="Emphasis"/>
    <w:basedOn w:val="DefaultParagraphFont"/>
    <w:uiPriority w:val="20"/>
    <w:qFormat/>
    <w:rsid w:val="005155FD"/>
    <w:rPr>
      <w:i/>
      <w:iCs/>
    </w:rPr>
  </w:style>
  <w:style w:type="character" w:styleId="Strong">
    <w:name w:val="Strong"/>
    <w:basedOn w:val="DefaultParagraphFont"/>
    <w:uiPriority w:val="22"/>
    <w:qFormat/>
    <w:rsid w:val="005155FD"/>
    <w:rPr>
      <w:b/>
      <w:bCs/>
    </w:rPr>
  </w:style>
  <w:style w:type="paragraph" w:styleId="z-TopofForm">
    <w:name w:val="HTML Top of Form"/>
    <w:basedOn w:val="Normal"/>
    <w:next w:val="Normal"/>
    <w:link w:val="z-TopofFormChar"/>
    <w:hidden/>
    <w:uiPriority w:val="99"/>
    <w:semiHidden/>
    <w:unhideWhenUsed/>
    <w:rsid w:val="005155F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155F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155F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155FD"/>
    <w:rPr>
      <w:rFonts w:ascii="Arial" w:eastAsia="Times New Roman" w:hAnsi="Arial" w:cs="Arial"/>
      <w:vanish/>
      <w:sz w:val="16"/>
      <w:szCs w:val="16"/>
    </w:rPr>
  </w:style>
  <w:style w:type="paragraph" w:styleId="ListParagraph">
    <w:name w:val="List Paragraph"/>
    <w:basedOn w:val="Normal"/>
    <w:uiPriority w:val="34"/>
    <w:qFormat/>
    <w:rsid w:val="00ED6E25"/>
    <w:pPr>
      <w:ind w:left="720"/>
      <w:contextualSpacing/>
    </w:pPr>
  </w:style>
  <w:style w:type="character" w:styleId="Hyperlink">
    <w:name w:val="Hyperlink"/>
    <w:basedOn w:val="DefaultParagraphFont"/>
    <w:uiPriority w:val="99"/>
    <w:unhideWhenUsed/>
    <w:rsid w:val="000E42B1"/>
    <w:rPr>
      <w:color w:val="0563C1" w:themeColor="hyperlink"/>
      <w:u w:val="single"/>
    </w:rPr>
  </w:style>
  <w:style w:type="table" w:styleId="TableGrid">
    <w:name w:val="Table Grid"/>
    <w:basedOn w:val="TableNormal"/>
    <w:uiPriority w:val="39"/>
    <w:rsid w:val="00EB5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2D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D31"/>
    <w:rPr>
      <w:rFonts w:ascii="Segoe UI" w:hAnsi="Segoe UI" w:cs="Segoe UI"/>
      <w:sz w:val="18"/>
      <w:szCs w:val="18"/>
    </w:rPr>
  </w:style>
  <w:style w:type="character" w:styleId="UnresolvedMention">
    <w:name w:val="Unresolved Mention"/>
    <w:basedOn w:val="DefaultParagraphFont"/>
    <w:uiPriority w:val="99"/>
    <w:semiHidden/>
    <w:unhideWhenUsed/>
    <w:rsid w:val="003D0FE3"/>
    <w:rPr>
      <w:color w:val="605E5C"/>
      <w:shd w:val="clear" w:color="auto" w:fill="E1DFDD"/>
    </w:rPr>
  </w:style>
  <w:style w:type="paragraph" w:styleId="Header">
    <w:name w:val="header"/>
    <w:basedOn w:val="Normal"/>
    <w:link w:val="HeaderChar"/>
    <w:uiPriority w:val="99"/>
    <w:unhideWhenUsed/>
    <w:rsid w:val="0076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484"/>
  </w:style>
  <w:style w:type="paragraph" w:styleId="Footer">
    <w:name w:val="footer"/>
    <w:basedOn w:val="Normal"/>
    <w:link w:val="FooterChar"/>
    <w:uiPriority w:val="99"/>
    <w:unhideWhenUsed/>
    <w:rsid w:val="0076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5044">
      <w:bodyDiv w:val="1"/>
      <w:marLeft w:val="0"/>
      <w:marRight w:val="0"/>
      <w:marTop w:val="0"/>
      <w:marBottom w:val="0"/>
      <w:divBdr>
        <w:top w:val="none" w:sz="0" w:space="0" w:color="auto"/>
        <w:left w:val="none" w:sz="0" w:space="0" w:color="auto"/>
        <w:bottom w:val="none" w:sz="0" w:space="0" w:color="auto"/>
        <w:right w:val="none" w:sz="0" w:space="0" w:color="auto"/>
      </w:divBdr>
      <w:divsChild>
        <w:div w:id="1508246498">
          <w:marLeft w:val="0"/>
          <w:marRight w:val="0"/>
          <w:marTop w:val="0"/>
          <w:marBottom w:val="0"/>
          <w:divBdr>
            <w:top w:val="none" w:sz="0" w:space="0" w:color="auto"/>
            <w:left w:val="none" w:sz="0" w:space="0" w:color="auto"/>
            <w:bottom w:val="none" w:sz="0" w:space="0" w:color="auto"/>
            <w:right w:val="none" w:sz="0" w:space="0" w:color="auto"/>
          </w:divBdr>
          <w:divsChild>
            <w:div w:id="203299834">
              <w:marLeft w:val="0"/>
              <w:marRight w:val="0"/>
              <w:marTop w:val="0"/>
              <w:marBottom w:val="0"/>
              <w:divBdr>
                <w:top w:val="none" w:sz="0" w:space="0" w:color="auto"/>
                <w:left w:val="none" w:sz="0" w:space="0" w:color="auto"/>
                <w:bottom w:val="none" w:sz="0" w:space="0" w:color="auto"/>
                <w:right w:val="none" w:sz="0" w:space="0" w:color="auto"/>
              </w:divBdr>
              <w:divsChild>
                <w:div w:id="1453594986">
                  <w:marLeft w:val="0"/>
                  <w:marRight w:val="0"/>
                  <w:marTop w:val="0"/>
                  <w:marBottom w:val="0"/>
                  <w:divBdr>
                    <w:top w:val="none" w:sz="0" w:space="0" w:color="auto"/>
                    <w:left w:val="none" w:sz="0" w:space="0" w:color="auto"/>
                    <w:bottom w:val="none" w:sz="0" w:space="0" w:color="auto"/>
                    <w:right w:val="none" w:sz="0" w:space="0" w:color="auto"/>
                  </w:divBdr>
                  <w:divsChild>
                    <w:div w:id="715086806">
                      <w:marLeft w:val="0"/>
                      <w:marRight w:val="0"/>
                      <w:marTop w:val="0"/>
                      <w:marBottom w:val="0"/>
                      <w:divBdr>
                        <w:top w:val="none" w:sz="0" w:space="0" w:color="auto"/>
                        <w:left w:val="none" w:sz="0" w:space="0" w:color="auto"/>
                        <w:bottom w:val="none" w:sz="0" w:space="0" w:color="auto"/>
                        <w:right w:val="none" w:sz="0" w:space="0" w:color="auto"/>
                      </w:divBdr>
                      <w:divsChild>
                        <w:div w:id="1632856649">
                          <w:marLeft w:val="0"/>
                          <w:marRight w:val="0"/>
                          <w:marTop w:val="0"/>
                          <w:marBottom w:val="0"/>
                          <w:divBdr>
                            <w:top w:val="none" w:sz="0" w:space="0" w:color="auto"/>
                            <w:left w:val="none" w:sz="0" w:space="0" w:color="auto"/>
                            <w:bottom w:val="none" w:sz="0" w:space="0" w:color="auto"/>
                            <w:right w:val="none" w:sz="0" w:space="0" w:color="auto"/>
                          </w:divBdr>
                          <w:divsChild>
                            <w:div w:id="1672560060">
                              <w:marLeft w:val="0"/>
                              <w:marRight w:val="0"/>
                              <w:marTop w:val="0"/>
                              <w:marBottom w:val="0"/>
                              <w:divBdr>
                                <w:top w:val="none" w:sz="0" w:space="0" w:color="auto"/>
                                <w:left w:val="none" w:sz="0" w:space="0" w:color="auto"/>
                                <w:bottom w:val="none" w:sz="0" w:space="0" w:color="auto"/>
                                <w:right w:val="none" w:sz="0" w:space="0" w:color="auto"/>
                              </w:divBdr>
                              <w:divsChild>
                                <w:div w:id="18092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684108">
      <w:bodyDiv w:val="1"/>
      <w:marLeft w:val="0"/>
      <w:marRight w:val="0"/>
      <w:marTop w:val="0"/>
      <w:marBottom w:val="0"/>
      <w:divBdr>
        <w:top w:val="none" w:sz="0" w:space="0" w:color="auto"/>
        <w:left w:val="none" w:sz="0" w:space="0" w:color="auto"/>
        <w:bottom w:val="none" w:sz="0" w:space="0" w:color="auto"/>
        <w:right w:val="none" w:sz="0" w:space="0" w:color="auto"/>
      </w:divBdr>
    </w:div>
    <w:div w:id="1407259621">
      <w:bodyDiv w:val="1"/>
      <w:marLeft w:val="0"/>
      <w:marRight w:val="0"/>
      <w:marTop w:val="0"/>
      <w:marBottom w:val="0"/>
      <w:divBdr>
        <w:top w:val="none" w:sz="0" w:space="0" w:color="auto"/>
        <w:left w:val="none" w:sz="0" w:space="0" w:color="auto"/>
        <w:bottom w:val="none" w:sz="0" w:space="0" w:color="auto"/>
        <w:right w:val="none" w:sz="0" w:space="0" w:color="auto"/>
      </w:divBdr>
    </w:div>
    <w:div w:id="1536577786">
      <w:bodyDiv w:val="1"/>
      <w:marLeft w:val="0"/>
      <w:marRight w:val="0"/>
      <w:marTop w:val="0"/>
      <w:marBottom w:val="0"/>
      <w:divBdr>
        <w:top w:val="none" w:sz="0" w:space="0" w:color="auto"/>
        <w:left w:val="none" w:sz="0" w:space="0" w:color="auto"/>
        <w:bottom w:val="none" w:sz="0" w:space="0" w:color="auto"/>
        <w:right w:val="none" w:sz="0" w:space="0" w:color="auto"/>
      </w:divBdr>
    </w:div>
    <w:div w:id="1691108138">
      <w:bodyDiv w:val="1"/>
      <w:marLeft w:val="0"/>
      <w:marRight w:val="0"/>
      <w:marTop w:val="0"/>
      <w:marBottom w:val="0"/>
      <w:divBdr>
        <w:top w:val="none" w:sz="0" w:space="0" w:color="auto"/>
        <w:left w:val="none" w:sz="0" w:space="0" w:color="auto"/>
        <w:bottom w:val="none" w:sz="0" w:space="0" w:color="auto"/>
        <w:right w:val="none" w:sz="0" w:space="0" w:color="auto"/>
      </w:divBdr>
    </w:div>
    <w:div w:id="1862162902">
      <w:bodyDiv w:val="1"/>
      <w:marLeft w:val="0"/>
      <w:marRight w:val="0"/>
      <w:marTop w:val="0"/>
      <w:marBottom w:val="0"/>
      <w:divBdr>
        <w:top w:val="none" w:sz="0" w:space="0" w:color="auto"/>
        <w:left w:val="none" w:sz="0" w:space="0" w:color="auto"/>
        <w:bottom w:val="none" w:sz="0" w:space="0" w:color="auto"/>
        <w:right w:val="none" w:sz="0" w:space="0" w:color="auto"/>
      </w:divBdr>
    </w:div>
    <w:div w:id="1899127522">
      <w:bodyDiv w:val="1"/>
      <w:marLeft w:val="0"/>
      <w:marRight w:val="0"/>
      <w:marTop w:val="0"/>
      <w:marBottom w:val="0"/>
      <w:divBdr>
        <w:top w:val="none" w:sz="0" w:space="0" w:color="auto"/>
        <w:left w:val="none" w:sz="0" w:space="0" w:color="auto"/>
        <w:bottom w:val="none" w:sz="0" w:space="0" w:color="auto"/>
        <w:right w:val="none" w:sz="0" w:space="0" w:color="auto"/>
      </w:divBdr>
    </w:div>
    <w:div w:id="2017144841">
      <w:bodyDiv w:val="1"/>
      <w:marLeft w:val="0"/>
      <w:marRight w:val="0"/>
      <w:marTop w:val="0"/>
      <w:marBottom w:val="0"/>
      <w:divBdr>
        <w:top w:val="none" w:sz="0" w:space="0" w:color="auto"/>
        <w:left w:val="none" w:sz="0" w:space="0" w:color="auto"/>
        <w:bottom w:val="none" w:sz="0" w:space="0" w:color="auto"/>
        <w:right w:val="none" w:sz="0" w:space="0" w:color="auto"/>
      </w:divBdr>
      <w:divsChild>
        <w:div w:id="314770165">
          <w:marLeft w:val="0"/>
          <w:marRight w:val="0"/>
          <w:marTop w:val="0"/>
          <w:marBottom w:val="0"/>
          <w:divBdr>
            <w:top w:val="none" w:sz="0" w:space="0" w:color="auto"/>
            <w:left w:val="none" w:sz="0" w:space="0" w:color="auto"/>
            <w:bottom w:val="none" w:sz="0" w:space="0" w:color="auto"/>
            <w:right w:val="none" w:sz="0" w:space="0" w:color="auto"/>
          </w:divBdr>
          <w:divsChild>
            <w:div w:id="319581155">
              <w:marLeft w:val="0"/>
              <w:marRight w:val="0"/>
              <w:marTop w:val="0"/>
              <w:marBottom w:val="0"/>
              <w:divBdr>
                <w:top w:val="none" w:sz="0" w:space="0" w:color="auto"/>
                <w:left w:val="none" w:sz="0" w:space="0" w:color="auto"/>
                <w:bottom w:val="none" w:sz="0" w:space="0" w:color="auto"/>
                <w:right w:val="none" w:sz="0" w:space="0" w:color="auto"/>
              </w:divBdr>
              <w:divsChild>
                <w:div w:id="2071808623">
                  <w:marLeft w:val="0"/>
                  <w:marRight w:val="0"/>
                  <w:marTop w:val="0"/>
                  <w:marBottom w:val="0"/>
                  <w:divBdr>
                    <w:top w:val="none" w:sz="0" w:space="0" w:color="auto"/>
                    <w:left w:val="none" w:sz="0" w:space="0" w:color="auto"/>
                    <w:bottom w:val="none" w:sz="0" w:space="0" w:color="auto"/>
                    <w:right w:val="none" w:sz="0" w:space="0" w:color="auto"/>
                  </w:divBdr>
                  <w:divsChild>
                    <w:div w:id="85228986">
                      <w:marLeft w:val="0"/>
                      <w:marRight w:val="0"/>
                      <w:marTop w:val="0"/>
                      <w:marBottom w:val="0"/>
                      <w:divBdr>
                        <w:top w:val="none" w:sz="0" w:space="0" w:color="auto"/>
                        <w:left w:val="none" w:sz="0" w:space="0" w:color="auto"/>
                        <w:bottom w:val="none" w:sz="0" w:space="0" w:color="auto"/>
                        <w:right w:val="none" w:sz="0" w:space="0" w:color="auto"/>
                      </w:divBdr>
                      <w:divsChild>
                        <w:div w:id="834416056">
                          <w:marLeft w:val="0"/>
                          <w:marRight w:val="0"/>
                          <w:marTop w:val="0"/>
                          <w:marBottom w:val="0"/>
                          <w:divBdr>
                            <w:top w:val="none" w:sz="0" w:space="0" w:color="auto"/>
                            <w:left w:val="none" w:sz="0" w:space="0" w:color="auto"/>
                            <w:bottom w:val="none" w:sz="0" w:space="0" w:color="auto"/>
                            <w:right w:val="none" w:sz="0" w:space="0" w:color="auto"/>
                          </w:divBdr>
                          <w:divsChild>
                            <w:div w:id="350030113">
                              <w:marLeft w:val="0"/>
                              <w:marRight w:val="0"/>
                              <w:marTop w:val="0"/>
                              <w:marBottom w:val="0"/>
                              <w:divBdr>
                                <w:top w:val="none" w:sz="0" w:space="0" w:color="auto"/>
                                <w:left w:val="none" w:sz="0" w:space="0" w:color="auto"/>
                                <w:bottom w:val="none" w:sz="0" w:space="0" w:color="auto"/>
                                <w:right w:val="none" w:sz="0" w:space="0" w:color="auto"/>
                              </w:divBdr>
                              <w:divsChild>
                                <w:div w:id="552740103">
                                  <w:marLeft w:val="0"/>
                                  <w:marRight w:val="0"/>
                                  <w:marTop w:val="0"/>
                                  <w:marBottom w:val="0"/>
                                  <w:divBdr>
                                    <w:top w:val="none" w:sz="0" w:space="0" w:color="auto"/>
                                    <w:left w:val="none" w:sz="0" w:space="0" w:color="auto"/>
                                    <w:bottom w:val="none" w:sz="0" w:space="0" w:color="auto"/>
                                    <w:right w:val="none" w:sz="0" w:space="0" w:color="auto"/>
                                  </w:divBdr>
                                  <w:divsChild>
                                    <w:div w:id="221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590512">
          <w:marLeft w:val="0"/>
          <w:marRight w:val="0"/>
          <w:marTop w:val="0"/>
          <w:marBottom w:val="0"/>
          <w:divBdr>
            <w:top w:val="none" w:sz="0" w:space="0" w:color="auto"/>
            <w:left w:val="none" w:sz="0" w:space="0" w:color="auto"/>
            <w:bottom w:val="none" w:sz="0" w:space="0" w:color="auto"/>
            <w:right w:val="none" w:sz="0" w:space="0" w:color="auto"/>
          </w:divBdr>
          <w:divsChild>
            <w:div w:id="684794389">
              <w:marLeft w:val="0"/>
              <w:marRight w:val="0"/>
              <w:marTop w:val="0"/>
              <w:marBottom w:val="0"/>
              <w:divBdr>
                <w:top w:val="none" w:sz="0" w:space="0" w:color="auto"/>
                <w:left w:val="none" w:sz="0" w:space="0" w:color="auto"/>
                <w:bottom w:val="none" w:sz="0" w:space="0" w:color="auto"/>
                <w:right w:val="none" w:sz="0" w:space="0" w:color="auto"/>
              </w:divBdr>
              <w:divsChild>
                <w:div w:id="1408727560">
                  <w:marLeft w:val="0"/>
                  <w:marRight w:val="0"/>
                  <w:marTop w:val="0"/>
                  <w:marBottom w:val="0"/>
                  <w:divBdr>
                    <w:top w:val="none" w:sz="0" w:space="0" w:color="auto"/>
                    <w:left w:val="none" w:sz="0" w:space="0" w:color="auto"/>
                    <w:bottom w:val="none" w:sz="0" w:space="0" w:color="auto"/>
                    <w:right w:val="none" w:sz="0" w:space="0" w:color="auto"/>
                  </w:divBdr>
                  <w:divsChild>
                    <w:div w:id="545793996">
                      <w:marLeft w:val="0"/>
                      <w:marRight w:val="0"/>
                      <w:marTop w:val="0"/>
                      <w:marBottom w:val="0"/>
                      <w:divBdr>
                        <w:top w:val="none" w:sz="0" w:space="0" w:color="auto"/>
                        <w:left w:val="none" w:sz="0" w:space="0" w:color="auto"/>
                        <w:bottom w:val="none" w:sz="0" w:space="0" w:color="auto"/>
                        <w:right w:val="none" w:sz="0" w:space="0" w:color="auto"/>
                      </w:divBdr>
                      <w:divsChild>
                        <w:div w:id="1979845580">
                          <w:marLeft w:val="0"/>
                          <w:marRight w:val="0"/>
                          <w:marTop w:val="0"/>
                          <w:marBottom w:val="0"/>
                          <w:divBdr>
                            <w:top w:val="none" w:sz="0" w:space="0" w:color="auto"/>
                            <w:left w:val="none" w:sz="0" w:space="0" w:color="auto"/>
                            <w:bottom w:val="none" w:sz="0" w:space="0" w:color="auto"/>
                            <w:right w:val="none" w:sz="0" w:space="0" w:color="auto"/>
                          </w:divBdr>
                          <w:divsChild>
                            <w:div w:id="227153791">
                              <w:marLeft w:val="0"/>
                              <w:marRight w:val="0"/>
                              <w:marTop w:val="0"/>
                              <w:marBottom w:val="0"/>
                              <w:divBdr>
                                <w:top w:val="none" w:sz="0" w:space="0" w:color="auto"/>
                                <w:left w:val="none" w:sz="0" w:space="0" w:color="auto"/>
                                <w:bottom w:val="none" w:sz="0" w:space="0" w:color="auto"/>
                                <w:right w:val="none" w:sz="0" w:space="0" w:color="auto"/>
                              </w:divBdr>
                              <w:divsChild>
                                <w:div w:id="1306355636">
                                  <w:marLeft w:val="0"/>
                                  <w:marRight w:val="0"/>
                                  <w:marTop w:val="0"/>
                                  <w:marBottom w:val="0"/>
                                  <w:divBdr>
                                    <w:top w:val="none" w:sz="0" w:space="0" w:color="auto"/>
                                    <w:left w:val="none" w:sz="0" w:space="0" w:color="auto"/>
                                    <w:bottom w:val="none" w:sz="0" w:space="0" w:color="auto"/>
                                    <w:right w:val="none" w:sz="0" w:space="0" w:color="auto"/>
                                  </w:divBdr>
                                  <w:divsChild>
                                    <w:div w:id="572468726">
                                      <w:marLeft w:val="0"/>
                                      <w:marRight w:val="0"/>
                                      <w:marTop w:val="0"/>
                                      <w:marBottom w:val="0"/>
                                      <w:divBdr>
                                        <w:top w:val="none" w:sz="0" w:space="0" w:color="auto"/>
                                        <w:left w:val="none" w:sz="0" w:space="0" w:color="auto"/>
                                        <w:bottom w:val="none" w:sz="0" w:space="0" w:color="auto"/>
                                        <w:right w:val="none" w:sz="0" w:space="0" w:color="auto"/>
                                      </w:divBdr>
                                      <w:divsChild>
                                        <w:div w:id="1133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AAR/2017/3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focha.2020.10002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16/j.lwt.2020.1105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2/fsn3.276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B9757-4D48-4FEE-93F4-64E3DDBC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12</Pages>
  <Words>5028</Words>
  <Characters>28662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1084</cp:lastModifiedBy>
  <cp:revision>35</cp:revision>
  <cp:lastPrinted>2026-03-23T03:58:00Z</cp:lastPrinted>
  <dcterms:created xsi:type="dcterms:W3CDTF">2026-06-02T21:38:00Z</dcterms:created>
  <dcterms:modified xsi:type="dcterms:W3CDTF">2026-06-09T12:40:00Z</dcterms:modified>
</cp:coreProperties>
</file>