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058D" w14:textId="77777777" w:rsidR="00E376B7" w:rsidRPr="002A7859" w:rsidRDefault="00E376B7" w:rsidP="00321FB8">
      <w:pPr>
        <w:rPr>
          <w:rFonts w:asciiTheme="majorBidi" w:hAnsiTheme="majorBidi" w:cstheme="majorBidi"/>
          <w:sz w:val="24"/>
          <w:szCs w:val="24"/>
        </w:rPr>
      </w:pPr>
    </w:p>
    <w:p w14:paraId="3A81EAC8" w14:textId="77777777" w:rsidR="006C03B9" w:rsidRPr="002A7859" w:rsidRDefault="006C03B9" w:rsidP="00321FB8">
      <w:pPr>
        <w:rPr>
          <w:rFonts w:asciiTheme="majorBidi" w:hAnsiTheme="majorBidi" w:cstheme="majorBidi"/>
          <w:sz w:val="24"/>
          <w:szCs w:val="24"/>
        </w:rPr>
      </w:pPr>
    </w:p>
    <w:p w14:paraId="2518DE8A" w14:textId="77777777" w:rsidR="00E376B7" w:rsidRPr="002A7859" w:rsidRDefault="00E376B7" w:rsidP="00321FB8">
      <w:pPr>
        <w:jc w:val="center"/>
        <w:rPr>
          <w:rFonts w:asciiTheme="majorBidi" w:hAnsiTheme="majorBidi" w:cstheme="majorBidi"/>
          <w:b/>
          <w:bCs/>
          <w:sz w:val="24"/>
          <w:szCs w:val="24"/>
        </w:rPr>
      </w:pPr>
      <w:r w:rsidRPr="002A7859">
        <w:rPr>
          <w:rFonts w:asciiTheme="majorBidi" w:hAnsiTheme="majorBidi" w:cstheme="majorBidi"/>
          <w:b/>
          <w:bCs/>
          <w:sz w:val="24"/>
          <w:szCs w:val="24"/>
        </w:rPr>
        <w:t>Evaluation the Efficiency of Biosynthesized Silver Nanoparticles on</w:t>
      </w:r>
      <w:r w:rsidR="00B03736" w:rsidRPr="002A7859">
        <w:rPr>
          <w:rFonts w:asciiTheme="majorBidi" w:hAnsiTheme="majorBidi" w:cstheme="majorBidi"/>
          <w:b/>
          <w:bCs/>
          <w:sz w:val="24"/>
          <w:szCs w:val="24"/>
        </w:rPr>
        <w:t xml:space="preserve"> some</w:t>
      </w:r>
      <w:r w:rsidRPr="002A7859">
        <w:rPr>
          <w:rFonts w:asciiTheme="majorBidi" w:hAnsiTheme="majorBidi" w:cstheme="majorBidi"/>
          <w:b/>
          <w:bCs/>
          <w:sz w:val="24"/>
          <w:szCs w:val="24"/>
        </w:rPr>
        <w:t xml:space="preserve"> Fungal Growth and</w:t>
      </w:r>
      <w:r w:rsidR="00B03736" w:rsidRPr="002A7859">
        <w:rPr>
          <w:rFonts w:asciiTheme="majorBidi" w:hAnsiTheme="majorBidi" w:cstheme="majorBidi"/>
          <w:b/>
          <w:bCs/>
          <w:sz w:val="24"/>
          <w:szCs w:val="24"/>
        </w:rPr>
        <w:t xml:space="preserve"> their</w:t>
      </w:r>
      <w:r w:rsidRPr="002A7859">
        <w:rPr>
          <w:rFonts w:asciiTheme="majorBidi" w:hAnsiTheme="majorBidi" w:cstheme="majorBidi"/>
          <w:b/>
          <w:bCs/>
          <w:sz w:val="24"/>
          <w:szCs w:val="24"/>
        </w:rPr>
        <w:t xml:space="preserve"> Mycotoxin Content</w:t>
      </w:r>
    </w:p>
    <w:p w14:paraId="52B6C45A" w14:textId="77777777" w:rsidR="00132B3D" w:rsidRDefault="00132B3D" w:rsidP="00F864A4">
      <w:pPr>
        <w:jc w:val="center"/>
        <w:rPr>
          <w:rFonts w:asciiTheme="majorBidi" w:hAnsiTheme="majorBidi" w:cstheme="majorBidi"/>
          <w:b/>
          <w:bCs/>
          <w:sz w:val="24"/>
          <w:szCs w:val="24"/>
        </w:rPr>
      </w:pPr>
    </w:p>
    <w:p w14:paraId="461E0C7B" w14:textId="2158475F" w:rsidR="004C03F3" w:rsidRPr="002A7859" w:rsidRDefault="00F864A4" w:rsidP="00F864A4">
      <w:pPr>
        <w:jc w:val="center"/>
        <w:rPr>
          <w:rFonts w:asciiTheme="majorBidi" w:hAnsiTheme="majorBidi" w:cstheme="majorBidi"/>
          <w:b/>
          <w:bCs/>
          <w:sz w:val="24"/>
          <w:szCs w:val="24"/>
        </w:rPr>
      </w:pPr>
      <w:r w:rsidRPr="00F864A4">
        <w:rPr>
          <w:rFonts w:asciiTheme="majorBidi" w:hAnsiTheme="majorBidi" w:cstheme="majorBidi"/>
          <w:b/>
          <w:bCs/>
          <w:sz w:val="24"/>
          <w:szCs w:val="24"/>
        </w:rPr>
        <w:br/>
      </w:r>
    </w:p>
    <w:p w14:paraId="484B9540" w14:textId="77777777" w:rsidR="00E376B7" w:rsidRPr="002A7859" w:rsidRDefault="00000000" w:rsidP="00321FB8">
      <w:pPr>
        <w:rPr>
          <w:rFonts w:asciiTheme="majorBidi" w:hAnsiTheme="majorBidi" w:cstheme="majorBidi"/>
          <w:sz w:val="24"/>
          <w:szCs w:val="24"/>
        </w:rPr>
      </w:pPr>
      <w:r>
        <w:rPr>
          <w:rFonts w:asciiTheme="majorBidi" w:hAnsiTheme="majorBidi" w:cstheme="majorBidi"/>
          <w:sz w:val="24"/>
          <w:szCs w:val="24"/>
        </w:rPr>
        <w:pict w14:anchorId="3E3D1E30">
          <v:rect id="_x0000_i1025" style="width:0;height:1.5pt" o:hralign="center" o:hrstd="t" o:hr="t" fillcolor="#a0a0a0" stroked="f"/>
        </w:pict>
      </w:r>
    </w:p>
    <w:p w14:paraId="16A99ED4"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Abstract</w:t>
      </w:r>
    </w:p>
    <w:p w14:paraId="104943D0" w14:textId="5436A3A8" w:rsidR="00212D1A" w:rsidRPr="00212D1A" w:rsidRDefault="00212D1A" w:rsidP="00212D1A">
      <w:pPr>
        <w:jc w:val="both"/>
        <w:rPr>
          <w:rFonts w:asciiTheme="majorBidi" w:hAnsiTheme="majorBidi" w:cstheme="majorBidi"/>
          <w:sz w:val="24"/>
          <w:szCs w:val="24"/>
        </w:rPr>
      </w:pPr>
      <w:r w:rsidRPr="00212D1A">
        <w:rPr>
          <w:rFonts w:asciiTheme="majorBidi" w:hAnsiTheme="majorBidi" w:cstheme="majorBidi"/>
          <w:sz w:val="24"/>
          <w:szCs w:val="24"/>
        </w:rPr>
        <w:t>The increasing incidence of antifungal resistance and environmental hazards of synthetic fungicides create an urgent need for eco-friendly alternatives. In this regard, green nanotechnology has been developed as a promising approach for synthesis of biologically active nanomaterials. In this study, the efficiency of biosynthesized silver nanoparticles (AgNPs), using sunflower was evaluated.</w:t>
      </w:r>
      <w:r>
        <w:rPr>
          <w:rFonts w:asciiTheme="majorBidi" w:hAnsiTheme="majorBidi" w:cstheme="majorBidi" w:hint="cs"/>
          <w:sz w:val="24"/>
          <w:szCs w:val="24"/>
          <w:rtl/>
          <w:lang w:bidi="ar-IQ"/>
        </w:rPr>
        <w:t xml:space="preserve"> </w:t>
      </w:r>
      <w:r w:rsidRPr="00212D1A">
        <w:rPr>
          <w:rFonts w:asciiTheme="majorBidi" w:hAnsiTheme="majorBidi" w:cstheme="majorBidi"/>
          <w:sz w:val="24"/>
          <w:szCs w:val="24"/>
        </w:rPr>
        <w:t xml:space="preserve">oil of </w:t>
      </w:r>
      <w:r w:rsidRPr="00212D1A">
        <w:rPr>
          <w:rFonts w:asciiTheme="majorBidi" w:hAnsiTheme="majorBidi" w:cstheme="majorBidi"/>
          <w:i/>
          <w:iCs/>
          <w:sz w:val="24"/>
          <w:szCs w:val="24"/>
        </w:rPr>
        <w:t>Helianthus annuus</w:t>
      </w:r>
      <w:r w:rsidRPr="00212D1A">
        <w:rPr>
          <w:rFonts w:asciiTheme="majorBidi" w:hAnsiTheme="majorBidi" w:cstheme="majorBidi"/>
          <w:sz w:val="24"/>
          <w:szCs w:val="24"/>
        </w:rPr>
        <w:t xml:space="preserve"> L. as reducing and stabilizing agent with special reference to their antifungal activity and effects on mycotoxins production The synthesized nanoparticles were characterized by using UV-Vis and FTIR techniques. Their antifungal activity was evaluated against some fungal strains like </w:t>
      </w:r>
      <w:r w:rsidRPr="00212D1A">
        <w:rPr>
          <w:rFonts w:asciiTheme="majorBidi" w:hAnsiTheme="majorBidi" w:cstheme="majorBidi"/>
          <w:i/>
          <w:iCs/>
          <w:sz w:val="24"/>
          <w:szCs w:val="24"/>
        </w:rPr>
        <w:t>Fusarium solani</w:t>
      </w:r>
      <w:r w:rsidRPr="00212D1A">
        <w:rPr>
          <w:rFonts w:asciiTheme="majorBidi" w:hAnsiTheme="majorBidi" w:cstheme="majorBidi"/>
          <w:sz w:val="24"/>
          <w:szCs w:val="24"/>
        </w:rPr>
        <w:t xml:space="preserve">, </w:t>
      </w:r>
      <w:r w:rsidRPr="00212D1A">
        <w:rPr>
          <w:rFonts w:asciiTheme="majorBidi" w:hAnsiTheme="majorBidi" w:cstheme="majorBidi"/>
          <w:i/>
          <w:iCs/>
          <w:sz w:val="24"/>
          <w:szCs w:val="24"/>
        </w:rPr>
        <w:t>Alternaria alternata</w:t>
      </w:r>
      <w:r w:rsidRPr="00212D1A">
        <w:rPr>
          <w:rFonts w:asciiTheme="majorBidi" w:hAnsiTheme="majorBidi" w:cstheme="majorBidi"/>
          <w:sz w:val="24"/>
          <w:szCs w:val="24"/>
        </w:rPr>
        <w:t xml:space="preserve"> and </w:t>
      </w:r>
      <w:r w:rsidRPr="00212D1A">
        <w:rPr>
          <w:rFonts w:asciiTheme="majorBidi" w:hAnsiTheme="majorBidi" w:cstheme="majorBidi"/>
          <w:i/>
          <w:iCs/>
          <w:sz w:val="24"/>
          <w:szCs w:val="24"/>
        </w:rPr>
        <w:t>Aspergillus niger.</w:t>
      </w:r>
      <w:r>
        <w:rPr>
          <w:rFonts w:asciiTheme="majorBidi" w:hAnsiTheme="majorBidi" w:cstheme="majorBidi" w:hint="cs"/>
          <w:sz w:val="24"/>
          <w:szCs w:val="24"/>
          <w:rtl/>
          <w:lang w:bidi="ar-IQ"/>
        </w:rPr>
        <w:t xml:space="preserve"> </w:t>
      </w:r>
      <w:r w:rsidRPr="00212D1A">
        <w:rPr>
          <w:rFonts w:asciiTheme="majorBidi" w:hAnsiTheme="majorBidi" w:cstheme="majorBidi"/>
          <w:sz w:val="24"/>
          <w:szCs w:val="24"/>
        </w:rPr>
        <w:t>Results showed significant inhibition of fungal growth and reduction of mycotoxin production of these fungi species. These findings underscore the promising role of plant-mediated AgNPs as eco-friendly antifungal agents for agricultural and biomedical applications.</w:t>
      </w:r>
    </w:p>
    <w:p w14:paraId="7EBE8D57" w14:textId="6A5F347A" w:rsidR="00E376B7" w:rsidRPr="002A7859" w:rsidRDefault="005521AC" w:rsidP="00321FB8">
      <w:pPr>
        <w:jc w:val="both"/>
        <w:rPr>
          <w:rFonts w:asciiTheme="majorBidi" w:hAnsiTheme="majorBidi" w:cstheme="majorBidi"/>
          <w:sz w:val="24"/>
          <w:szCs w:val="24"/>
        </w:rPr>
      </w:pPr>
      <w:r>
        <w:rPr>
          <w:rFonts w:asciiTheme="majorBidi" w:hAnsiTheme="majorBidi" w:cstheme="majorBidi"/>
          <w:sz w:val="24"/>
          <w:szCs w:val="24"/>
        </w:rPr>
        <w:t>Key words:  Biosynthesis Silver nanoparticles, Fungal growth, Mycotoxine, Antifungal activity.</w:t>
      </w:r>
    </w:p>
    <w:p w14:paraId="6F415084"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1. Introduction</w:t>
      </w:r>
    </w:p>
    <w:p w14:paraId="43547E27" w14:textId="77777777" w:rsidR="00212D1A" w:rsidRPr="00212D1A" w:rsidRDefault="00212D1A" w:rsidP="00212D1A">
      <w:pPr>
        <w:jc w:val="both"/>
        <w:rPr>
          <w:rFonts w:asciiTheme="majorBidi" w:hAnsiTheme="majorBidi" w:cstheme="majorBidi"/>
          <w:sz w:val="24"/>
          <w:szCs w:val="24"/>
        </w:rPr>
      </w:pPr>
      <w:r w:rsidRPr="00212D1A">
        <w:rPr>
          <w:rFonts w:asciiTheme="majorBidi" w:hAnsiTheme="majorBidi" w:cstheme="majorBidi"/>
          <w:sz w:val="24"/>
          <w:szCs w:val="24"/>
        </w:rPr>
        <w:t xml:space="preserve">Nanotechnology is one of the fastest growing scientific fields providing novel solutions in various disciplines such as agriculture, medicine and environmental science (Rico </w:t>
      </w:r>
      <w:r w:rsidRPr="00212D1A">
        <w:rPr>
          <w:rFonts w:asciiTheme="majorBidi" w:hAnsiTheme="majorBidi" w:cstheme="majorBidi"/>
          <w:i/>
          <w:iCs/>
          <w:sz w:val="24"/>
          <w:szCs w:val="24"/>
        </w:rPr>
        <w:t>et al</w:t>
      </w:r>
      <w:r w:rsidRPr="00212D1A">
        <w:rPr>
          <w:rFonts w:asciiTheme="majorBidi" w:hAnsiTheme="majorBidi" w:cstheme="majorBidi"/>
          <w:sz w:val="24"/>
          <w:szCs w:val="24"/>
        </w:rPr>
        <w:t xml:space="preserve">., 2011). Silver nanoparticles (AgNPs) have been extensively studied among nanomaterials because of their powerful antimicrobial activities against bacteria, and also viruses and fungi (Rai </w:t>
      </w:r>
      <w:r w:rsidRPr="00212D1A">
        <w:rPr>
          <w:rFonts w:asciiTheme="majorBidi" w:hAnsiTheme="majorBidi" w:cstheme="majorBidi"/>
          <w:i/>
          <w:iCs/>
          <w:sz w:val="24"/>
          <w:szCs w:val="24"/>
        </w:rPr>
        <w:t>et al</w:t>
      </w:r>
      <w:r w:rsidRPr="00212D1A">
        <w:rPr>
          <w:rFonts w:asciiTheme="majorBidi" w:hAnsiTheme="majorBidi" w:cstheme="majorBidi"/>
          <w:sz w:val="24"/>
          <w:szCs w:val="24"/>
        </w:rPr>
        <w:t xml:space="preserve">., 2009 ; Hassan </w:t>
      </w:r>
      <w:r w:rsidRPr="00212D1A">
        <w:rPr>
          <w:rFonts w:asciiTheme="majorBidi" w:hAnsiTheme="majorBidi" w:cstheme="majorBidi"/>
          <w:i/>
          <w:iCs/>
          <w:sz w:val="24"/>
          <w:szCs w:val="24"/>
        </w:rPr>
        <w:t>et al</w:t>
      </w:r>
      <w:r w:rsidRPr="00212D1A">
        <w:rPr>
          <w:rFonts w:asciiTheme="majorBidi" w:hAnsiTheme="majorBidi" w:cstheme="majorBidi"/>
          <w:sz w:val="24"/>
          <w:szCs w:val="24"/>
        </w:rPr>
        <w:t>., 2021 ).</w:t>
      </w:r>
    </w:p>
    <w:p w14:paraId="7CE5557D" w14:textId="77777777" w:rsidR="00212D1A" w:rsidRPr="00212D1A" w:rsidRDefault="00212D1A" w:rsidP="00212D1A">
      <w:pPr>
        <w:jc w:val="both"/>
        <w:rPr>
          <w:rFonts w:asciiTheme="majorBidi" w:hAnsiTheme="majorBidi" w:cstheme="majorBidi"/>
          <w:sz w:val="24"/>
          <w:szCs w:val="24"/>
        </w:rPr>
      </w:pPr>
      <w:r w:rsidRPr="00212D1A">
        <w:rPr>
          <w:rFonts w:asciiTheme="majorBidi" w:hAnsiTheme="majorBidi" w:cstheme="majorBidi"/>
          <w:sz w:val="24"/>
          <w:szCs w:val="24"/>
        </w:rPr>
        <w:t xml:space="preserve">The traditional chemical methods for the synthesis of nanoparticles generally involve toxic reagents and hazardous by-products, which is a matter of concern for the environmental safety and human health (Iravani, 2011). Therefore, green synthesis approaches using plant extracts have received a great deal of attention owing to their eco-friendly, low cost and sustainable nature (Shafey, 2020). Among the plant constituents important in the reduction of metal ions and stabilization of the synthesized nanoparticles are flavonoids, phenolics and terpenoids (Vivaldo-Lima </w:t>
      </w:r>
      <w:r w:rsidRPr="00212D1A">
        <w:rPr>
          <w:rFonts w:asciiTheme="majorBidi" w:hAnsiTheme="majorBidi" w:cstheme="majorBidi"/>
          <w:i/>
          <w:iCs/>
          <w:sz w:val="24"/>
          <w:szCs w:val="24"/>
        </w:rPr>
        <w:t>et al</w:t>
      </w:r>
      <w:r w:rsidRPr="00212D1A">
        <w:rPr>
          <w:rFonts w:asciiTheme="majorBidi" w:hAnsiTheme="majorBidi" w:cstheme="majorBidi"/>
          <w:sz w:val="24"/>
          <w:szCs w:val="24"/>
        </w:rPr>
        <w:t xml:space="preserve">., 2017; Bao </w:t>
      </w:r>
      <w:r w:rsidRPr="00212D1A">
        <w:rPr>
          <w:rFonts w:asciiTheme="majorBidi" w:hAnsiTheme="majorBidi" w:cstheme="majorBidi"/>
          <w:i/>
          <w:iCs/>
          <w:sz w:val="24"/>
          <w:szCs w:val="24"/>
        </w:rPr>
        <w:t>et al</w:t>
      </w:r>
      <w:r w:rsidRPr="00212D1A">
        <w:rPr>
          <w:rFonts w:asciiTheme="majorBidi" w:hAnsiTheme="majorBidi" w:cstheme="majorBidi"/>
          <w:sz w:val="24"/>
          <w:szCs w:val="24"/>
        </w:rPr>
        <w:t>., 2021).</w:t>
      </w:r>
    </w:p>
    <w:p w14:paraId="7B5F4A66" w14:textId="296EAB50" w:rsidR="00E376B7" w:rsidRPr="009241FD" w:rsidRDefault="009241FD" w:rsidP="009241FD">
      <w:pPr>
        <w:jc w:val="both"/>
        <w:rPr>
          <w:rFonts w:asciiTheme="majorBidi" w:hAnsiTheme="majorBidi" w:cstheme="majorBidi"/>
          <w:sz w:val="24"/>
          <w:szCs w:val="24"/>
        </w:rPr>
      </w:pPr>
      <w:r w:rsidRPr="009241FD">
        <w:rPr>
          <w:rFonts w:asciiTheme="majorBidi" w:hAnsiTheme="majorBidi" w:cstheme="majorBidi"/>
          <w:sz w:val="24"/>
          <w:szCs w:val="24"/>
        </w:rPr>
        <w:lastRenderedPageBreak/>
        <w:t xml:space="preserve">Sunflower (Helianthus annuus L.) oil contains bioactive compounds such as tocopherols, linoleic acid and phenolic antioxidants, which contribute to its high reducing capacity and usefulness in the synthesis of nanoparticles (Akkaya, 2018; Li </w:t>
      </w:r>
      <w:r w:rsidRPr="009241FD">
        <w:rPr>
          <w:rFonts w:asciiTheme="majorBidi" w:hAnsiTheme="majorBidi" w:cstheme="majorBidi"/>
          <w:i/>
          <w:iCs/>
          <w:sz w:val="24"/>
          <w:szCs w:val="24"/>
        </w:rPr>
        <w:t>et al.,</w:t>
      </w:r>
      <w:r w:rsidRPr="009241FD">
        <w:rPr>
          <w:rFonts w:asciiTheme="majorBidi" w:hAnsiTheme="majorBidi" w:cstheme="majorBidi"/>
          <w:sz w:val="24"/>
          <w:szCs w:val="24"/>
        </w:rPr>
        <w:t xml:space="preserve"> 2024). These compounds not only help in forming the nanoparticles but also improve their biological activity through synergistic effects</w:t>
      </w:r>
      <w:r>
        <w:rPr>
          <w:rFonts w:asciiTheme="majorBidi" w:hAnsiTheme="majorBidi" w:cstheme="majorBidi" w:hint="cs"/>
          <w:sz w:val="24"/>
          <w:szCs w:val="24"/>
          <w:rtl/>
          <w:lang w:bidi="ar-IQ"/>
        </w:rPr>
        <w:t xml:space="preserve"> </w:t>
      </w:r>
      <w:r w:rsidR="007236CF" w:rsidRPr="002A7859">
        <w:rPr>
          <w:rFonts w:asciiTheme="majorBidi" w:hAnsiTheme="majorBidi" w:cstheme="majorBidi"/>
          <w:sz w:val="24"/>
          <w:szCs w:val="24"/>
        </w:rPr>
        <w:t>(</w:t>
      </w:r>
      <w:r w:rsidR="007236CF" w:rsidRPr="002A7859">
        <w:rPr>
          <w:rFonts w:asciiTheme="majorBidi" w:hAnsiTheme="majorBidi" w:cstheme="majorBidi"/>
          <w:sz w:val="24"/>
          <w:szCs w:val="24"/>
          <w:lang w:val="en-US"/>
        </w:rPr>
        <w:t xml:space="preserve">Bao </w:t>
      </w:r>
      <w:r w:rsidR="007236CF" w:rsidRPr="002A7859">
        <w:rPr>
          <w:rFonts w:asciiTheme="majorBidi" w:hAnsiTheme="majorBidi" w:cstheme="majorBidi"/>
          <w:i/>
          <w:iCs/>
          <w:sz w:val="24"/>
          <w:szCs w:val="24"/>
          <w:lang w:val="en-US"/>
        </w:rPr>
        <w:t>et al</w:t>
      </w:r>
      <w:r w:rsidR="007236CF" w:rsidRPr="002A7859">
        <w:rPr>
          <w:rFonts w:asciiTheme="majorBidi" w:hAnsiTheme="majorBidi" w:cstheme="majorBidi"/>
          <w:sz w:val="24"/>
          <w:szCs w:val="24"/>
          <w:lang w:val="en-US"/>
        </w:rPr>
        <w:t>. 2021)</w:t>
      </w:r>
    </w:p>
    <w:p w14:paraId="11B62185" w14:textId="77777777" w:rsidR="00715D49" w:rsidRPr="002A7859" w:rsidRDefault="00715D49" w:rsidP="00321FB8">
      <w:pPr>
        <w:jc w:val="both"/>
        <w:rPr>
          <w:rFonts w:asciiTheme="majorBidi" w:hAnsiTheme="majorBidi" w:cstheme="majorBidi"/>
          <w:sz w:val="24"/>
          <w:szCs w:val="24"/>
        </w:rPr>
      </w:pPr>
      <w:r w:rsidRPr="002A7859">
        <w:rPr>
          <w:rFonts w:asciiTheme="majorBidi" w:hAnsiTheme="majorBidi" w:cstheme="majorBidi"/>
          <w:sz w:val="24"/>
          <w:szCs w:val="24"/>
        </w:rPr>
        <w:t xml:space="preserve">Fungal pathogens such as </w:t>
      </w:r>
      <w:r w:rsidRPr="002A7859">
        <w:rPr>
          <w:rFonts w:asciiTheme="majorBidi" w:hAnsiTheme="majorBidi" w:cstheme="majorBidi"/>
          <w:i/>
          <w:iCs/>
          <w:sz w:val="24"/>
          <w:szCs w:val="24"/>
        </w:rPr>
        <w:t xml:space="preserve">Fusarium solani, Alternaria alternata, </w:t>
      </w:r>
      <w:r w:rsidRPr="002A7859">
        <w:rPr>
          <w:rFonts w:asciiTheme="majorBidi" w:hAnsiTheme="majorBidi" w:cstheme="majorBidi"/>
          <w:sz w:val="24"/>
          <w:szCs w:val="24"/>
        </w:rPr>
        <w:t>and</w:t>
      </w:r>
      <w:r w:rsidRPr="002A7859">
        <w:rPr>
          <w:rFonts w:asciiTheme="majorBidi" w:hAnsiTheme="majorBidi" w:cstheme="majorBidi"/>
          <w:i/>
          <w:iCs/>
          <w:sz w:val="24"/>
          <w:szCs w:val="24"/>
        </w:rPr>
        <w:t xml:space="preserve"> Aspergillus</w:t>
      </w:r>
      <w:r w:rsidRPr="002A7859">
        <w:rPr>
          <w:rFonts w:asciiTheme="majorBidi" w:hAnsiTheme="majorBidi" w:cstheme="majorBidi"/>
          <w:sz w:val="24"/>
          <w:szCs w:val="24"/>
        </w:rPr>
        <w:t xml:space="preserve"> </w:t>
      </w:r>
      <w:r w:rsidRPr="002A7859">
        <w:rPr>
          <w:rFonts w:asciiTheme="majorBidi" w:hAnsiTheme="majorBidi" w:cstheme="majorBidi"/>
          <w:i/>
          <w:iCs/>
          <w:sz w:val="24"/>
          <w:szCs w:val="24"/>
        </w:rPr>
        <w:t>niger</w:t>
      </w:r>
      <w:r w:rsidRPr="002A7859">
        <w:rPr>
          <w:rFonts w:asciiTheme="majorBidi" w:hAnsiTheme="majorBidi" w:cstheme="majorBidi"/>
          <w:sz w:val="24"/>
          <w:szCs w:val="24"/>
        </w:rPr>
        <w:t xml:space="preserve"> are among the most destructive microorganisms affecting agricultural productivity. These fungi can produce mycotoxins such as aflatoxins, fumonisins and alternariol which are serious health hazards for humans and animals (Bhat </w:t>
      </w:r>
      <w:r w:rsidRPr="002A7859">
        <w:rPr>
          <w:rFonts w:asciiTheme="majorBidi" w:hAnsiTheme="majorBidi" w:cstheme="majorBidi"/>
          <w:i/>
          <w:iCs/>
          <w:sz w:val="24"/>
          <w:szCs w:val="24"/>
        </w:rPr>
        <w:t>et al.,</w:t>
      </w:r>
      <w:r w:rsidRPr="002A7859">
        <w:rPr>
          <w:rFonts w:asciiTheme="majorBidi" w:hAnsiTheme="majorBidi" w:cstheme="majorBidi"/>
          <w:sz w:val="24"/>
          <w:szCs w:val="24"/>
        </w:rPr>
        <w:t xml:space="preserve"> 2010; Zain, 2011). These toxins are persistent and stable and difficult to get rid of using conventional methods.</w:t>
      </w:r>
    </w:p>
    <w:p w14:paraId="1330A58A" w14:textId="77777777" w:rsidR="00E376B7" w:rsidRPr="002A7859" w:rsidRDefault="00E376B7" w:rsidP="00321FB8">
      <w:pPr>
        <w:jc w:val="both"/>
        <w:rPr>
          <w:rFonts w:asciiTheme="majorBidi" w:hAnsiTheme="majorBidi" w:cstheme="majorBidi"/>
          <w:sz w:val="24"/>
          <w:szCs w:val="24"/>
        </w:rPr>
      </w:pPr>
      <w:r w:rsidRPr="002A7859">
        <w:rPr>
          <w:rFonts w:asciiTheme="majorBidi" w:hAnsiTheme="majorBidi" w:cstheme="majorBidi"/>
          <w:sz w:val="24"/>
          <w:szCs w:val="24"/>
        </w:rPr>
        <w:t xml:space="preserve">Recent studies have demonstrated that AgNPs exhibit strong antifungal activity by disrupting cell membranes, generating reactive oxygen species (ROS), and interfering with cellular metabolism (Rai </w:t>
      </w:r>
      <w:r w:rsidRPr="002A7859">
        <w:rPr>
          <w:rFonts w:asciiTheme="majorBidi" w:hAnsiTheme="majorBidi" w:cstheme="majorBidi"/>
          <w:i/>
          <w:iCs/>
          <w:sz w:val="24"/>
          <w:szCs w:val="24"/>
        </w:rPr>
        <w:t>et al</w:t>
      </w:r>
      <w:r w:rsidRPr="002A7859">
        <w:rPr>
          <w:rFonts w:asciiTheme="majorBidi" w:hAnsiTheme="majorBidi" w:cstheme="majorBidi"/>
          <w:sz w:val="24"/>
          <w:szCs w:val="24"/>
        </w:rPr>
        <w:t xml:space="preserve">., 2009; Hassan </w:t>
      </w:r>
      <w:r w:rsidRPr="002A7859">
        <w:rPr>
          <w:rFonts w:asciiTheme="majorBidi" w:hAnsiTheme="majorBidi" w:cstheme="majorBidi"/>
          <w:i/>
          <w:iCs/>
          <w:sz w:val="24"/>
          <w:szCs w:val="24"/>
        </w:rPr>
        <w:t>et al.,</w:t>
      </w:r>
      <w:r w:rsidRPr="002A7859">
        <w:rPr>
          <w:rFonts w:asciiTheme="majorBidi" w:hAnsiTheme="majorBidi" w:cstheme="majorBidi"/>
          <w:sz w:val="24"/>
          <w:szCs w:val="24"/>
        </w:rPr>
        <w:t xml:space="preserve"> 2021). Moreover, AgNPs have been reported to reduce mycotoxin production by inhibiting key metabolic pathways involved in toxin biosynthesis (Inbaia </w:t>
      </w:r>
      <w:r w:rsidRPr="002A7859">
        <w:rPr>
          <w:rFonts w:asciiTheme="majorBidi" w:hAnsiTheme="majorBidi" w:cstheme="majorBidi"/>
          <w:i/>
          <w:iCs/>
          <w:sz w:val="24"/>
          <w:szCs w:val="24"/>
        </w:rPr>
        <w:t>et al</w:t>
      </w:r>
      <w:r w:rsidRPr="002A7859">
        <w:rPr>
          <w:rFonts w:asciiTheme="majorBidi" w:hAnsiTheme="majorBidi" w:cstheme="majorBidi"/>
          <w:sz w:val="24"/>
          <w:szCs w:val="24"/>
        </w:rPr>
        <w:t>., 2022).</w:t>
      </w:r>
    </w:p>
    <w:p w14:paraId="4C4B57C7" w14:textId="77777777" w:rsidR="00E376B7" w:rsidRPr="002A7859" w:rsidRDefault="00E376B7" w:rsidP="00321FB8">
      <w:pPr>
        <w:jc w:val="both"/>
        <w:rPr>
          <w:rFonts w:asciiTheme="majorBidi" w:hAnsiTheme="majorBidi" w:cstheme="majorBidi"/>
          <w:sz w:val="24"/>
          <w:szCs w:val="24"/>
        </w:rPr>
      </w:pPr>
      <w:r w:rsidRPr="002A7859">
        <w:rPr>
          <w:rFonts w:asciiTheme="majorBidi" w:hAnsiTheme="majorBidi" w:cstheme="majorBidi"/>
          <w:sz w:val="24"/>
          <w:szCs w:val="24"/>
        </w:rPr>
        <w:t>Therefore, the present study aims to investigate the biosynthesis of silver nanoparticles using sunflower oil and evaluate their antifungal activity and their role in reducing mycotoxin production.</w:t>
      </w:r>
    </w:p>
    <w:p w14:paraId="0173536D" w14:textId="4E0D293F" w:rsidR="00E376B7" w:rsidRPr="002A7859" w:rsidRDefault="00E376B7" w:rsidP="00321FB8">
      <w:pPr>
        <w:jc w:val="both"/>
        <w:rPr>
          <w:rFonts w:asciiTheme="majorBidi" w:hAnsiTheme="majorBidi" w:cstheme="majorBidi"/>
          <w:sz w:val="24"/>
          <w:szCs w:val="24"/>
        </w:rPr>
      </w:pPr>
    </w:p>
    <w:p w14:paraId="40541FD0"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2. Materials and Methods</w:t>
      </w:r>
    </w:p>
    <w:p w14:paraId="765556A3" w14:textId="77777777" w:rsidR="00B52C45" w:rsidRPr="002A7859" w:rsidRDefault="00E376B7" w:rsidP="00321FB8">
      <w:pPr>
        <w:ind w:left="567" w:right="504"/>
        <w:jc w:val="both"/>
        <w:rPr>
          <w:rFonts w:asciiTheme="majorBidi" w:hAnsiTheme="majorBidi" w:cstheme="majorBidi"/>
          <w:b/>
          <w:bCs/>
          <w:sz w:val="24"/>
          <w:szCs w:val="24"/>
        </w:rPr>
      </w:pPr>
      <w:r w:rsidRPr="002A7859">
        <w:rPr>
          <w:rFonts w:asciiTheme="majorBidi" w:hAnsiTheme="majorBidi" w:cstheme="majorBidi"/>
          <w:b/>
          <w:bCs/>
          <w:sz w:val="24"/>
          <w:szCs w:val="24"/>
        </w:rPr>
        <w:t>2.1</w:t>
      </w:r>
      <w:r w:rsidR="00B52C45" w:rsidRPr="002A7859">
        <w:rPr>
          <w:rFonts w:asciiTheme="majorBidi" w:hAnsiTheme="majorBidi" w:cstheme="majorBidi"/>
          <w:b/>
          <w:bCs/>
          <w:sz w:val="24"/>
          <w:szCs w:val="24"/>
        </w:rPr>
        <w:t xml:space="preserve"> </w:t>
      </w:r>
      <w:r w:rsidR="00B52C45" w:rsidRPr="002A7859">
        <w:rPr>
          <w:rFonts w:asciiTheme="majorBidi" w:hAnsiTheme="majorBidi" w:cstheme="majorBidi"/>
          <w:b/>
          <w:bCs/>
          <w:sz w:val="24"/>
          <w:szCs w:val="24"/>
          <w:lang w:val="en-US"/>
        </w:rPr>
        <w:t>Sunflower seeds</w:t>
      </w:r>
      <w:r w:rsidR="00B52C45" w:rsidRPr="002A7859">
        <w:rPr>
          <w:rFonts w:asciiTheme="majorBidi" w:hAnsiTheme="majorBidi" w:cstheme="majorBidi"/>
          <w:b/>
          <w:bCs/>
          <w:sz w:val="24"/>
          <w:szCs w:val="24"/>
        </w:rPr>
        <w:t xml:space="preserve"> sterilization and seedlings production</w:t>
      </w:r>
    </w:p>
    <w:p w14:paraId="42E99BFB" w14:textId="335367F6" w:rsidR="005D342A" w:rsidRPr="002A7859" w:rsidRDefault="00B52C45" w:rsidP="00321FB8">
      <w:pPr>
        <w:ind w:left="567" w:right="504"/>
        <w:jc w:val="both"/>
        <w:rPr>
          <w:rFonts w:asciiTheme="majorBidi" w:hAnsiTheme="majorBidi" w:cstheme="majorBidi"/>
          <w:sz w:val="24"/>
          <w:szCs w:val="24"/>
        </w:rPr>
      </w:pPr>
      <w:r w:rsidRPr="002A7859">
        <w:rPr>
          <w:rFonts w:asciiTheme="majorBidi" w:hAnsiTheme="majorBidi" w:cstheme="majorBidi"/>
          <w:sz w:val="24"/>
          <w:szCs w:val="24"/>
        </w:rPr>
        <w:t xml:space="preserve">Sunflower seeds </w:t>
      </w:r>
      <w:r w:rsidRPr="002A7859">
        <w:rPr>
          <w:rFonts w:asciiTheme="majorBidi" w:hAnsiTheme="majorBidi" w:cstheme="majorBidi"/>
          <w:i/>
          <w:iCs/>
          <w:sz w:val="24"/>
          <w:szCs w:val="24"/>
        </w:rPr>
        <w:t xml:space="preserve">(Helianthus annuus </w:t>
      </w:r>
      <w:r w:rsidRPr="002A7859">
        <w:rPr>
          <w:rFonts w:asciiTheme="majorBidi" w:hAnsiTheme="majorBidi" w:cstheme="majorBidi"/>
          <w:sz w:val="24"/>
          <w:szCs w:val="24"/>
        </w:rPr>
        <w:t>L</w:t>
      </w:r>
      <w:r w:rsidRPr="002A7859">
        <w:rPr>
          <w:rFonts w:asciiTheme="majorBidi" w:hAnsiTheme="majorBidi" w:cstheme="majorBidi"/>
          <w:i/>
          <w:iCs/>
          <w:sz w:val="24"/>
          <w:szCs w:val="24"/>
        </w:rPr>
        <w:t xml:space="preserve">.) </w:t>
      </w:r>
      <w:r w:rsidRPr="002A7859">
        <w:rPr>
          <w:rFonts w:asciiTheme="majorBidi" w:hAnsiTheme="majorBidi" w:cstheme="majorBidi"/>
          <w:sz w:val="24"/>
          <w:szCs w:val="24"/>
        </w:rPr>
        <w:t xml:space="preserve">were surface sterilized using 96% ethanol </w:t>
      </w:r>
      <w:r w:rsidRPr="002A7859">
        <w:rPr>
          <w:rFonts w:asciiTheme="majorBidi" w:hAnsiTheme="majorBidi" w:cstheme="majorBidi"/>
          <w:sz w:val="24"/>
          <w:szCs w:val="24"/>
          <w:lang w:val="en-US"/>
        </w:rPr>
        <w:t xml:space="preserve">at </w:t>
      </w:r>
      <w:r w:rsidRPr="002A7859">
        <w:rPr>
          <w:rFonts w:asciiTheme="majorBidi" w:hAnsiTheme="majorBidi" w:cstheme="majorBidi"/>
          <w:sz w:val="24"/>
          <w:szCs w:val="24"/>
        </w:rPr>
        <w:t>2 min</w:t>
      </w:r>
      <w:r w:rsidR="005D342A" w:rsidRPr="002A7859">
        <w:rPr>
          <w:rFonts w:asciiTheme="majorBidi" w:hAnsiTheme="majorBidi" w:cstheme="majorBidi"/>
          <w:sz w:val="24"/>
          <w:szCs w:val="24"/>
        </w:rPr>
        <w:t>.</w:t>
      </w:r>
      <w:r w:rsidRPr="002A7859">
        <w:rPr>
          <w:rFonts w:asciiTheme="majorBidi" w:hAnsiTheme="majorBidi" w:cstheme="majorBidi"/>
          <w:sz w:val="24"/>
          <w:szCs w:val="24"/>
        </w:rPr>
        <w:t xml:space="preserve"> followed by 2% sodium hypochlorite at 10 min</w:t>
      </w:r>
      <w:r w:rsidR="005D342A" w:rsidRPr="002A7859">
        <w:rPr>
          <w:rFonts w:asciiTheme="majorBidi" w:hAnsiTheme="majorBidi" w:cstheme="majorBidi"/>
          <w:sz w:val="24"/>
          <w:szCs w:val="24"/>
        </w:rPr>
        <w:t>.</w:t>
      </w:r>
      <w:r w:rsidRPr="002A7859">
        <w:rPr>
          <w:rFonts w:asciiTheme="majorBidi" w:hAnsiTheme="majorBidi" w:cstheme="majorBidi"/>
          <w:sz w:val="24"/>
          <w:szCs w:val="24"/>
        </w:rPr>
        <w:t xml:space="preserve"> and washed three times with distilled water (Adeleke </w:t>
      </w:r>
      <w:r w:rsidRPr="002A7859">
        <w:rPr>
          <w:rFonts w:asciiTheme="majorBidi" w:hAnsiTheme="majorBidi" w:cstheme="majorBidi"/>
          <w:i/>
          <w:iCs/>
          <w:sz w:val="24"/>
          <w:szCs w:val="24"/>
        </w:rPr>
        <w:t>et al</w:t>
      </w:r>
      <w:r w:rsidRPr="002A7859">
        <w:rPr>
          <w:rFonts w:asciiTheme="majorBidi" w:hAnsiTheme="majorBidi" w:cstheme="majorBidi"/>
          <w:sz w:val="24"/>
          <w:szCs w:val="24"/>
        </w:rPr>
        <w:t>., 2022). Seeds were cultured on sterilized</w:t>
      </w:r>
      <w:r w:rsidRPr="002A7859">
        <w:rPr>
          <w:sz w:val="24"/>
          <w:szCs w:val="24"/>
        </w:rPr>
        <w:t xml:space="preserve"> </w:t>
      </w:r>
      <w:r w:rsidRPr="002A7859">
        <w:rPr>
          <w:rFonts w:asciiTheme="majorBidi" w:hAnsiTheme="majorBidi" w:cstheme="majorBidi"/>
          <w:sz w:val="24"/>
          <w:szCs w:val="24"/>
        </w:rPr>
        <w:t>Murashige and skoog (1962) medium at pH 5.8, incubated in the  growth chamber at dark for three days, then sterilized transferred to a 16/8 light/dark cycle. After 7 days, the germination rate of the seedlings was recorded.  Hypocotyl segments of this seedlings were collected from 15-day</w:t>
      </w:r>
      <w:r w:rsidR="00D078B2" w:rsidRPr="002A7859">
        <w:rPr>
          <w:rFonts w:asciiTheme="majorBidi" w:hAnsiTheme="majorBidi" w:cstheme="majorBidi"/>
          <w:sz w:val="24"/>
          <w:szCs w:val="24"/>
        </w:rPr>
        <w:t>s</w:t>
      </w:r>
      <w:r w:rsidRPr="002A7859">
        <w:rPr>
          <w:rFonts w:asciiTheme="majorBidi" w:hAnsiTheme="majorBidi" w:cstheme="majorBidi"/>
          <w:sz w:val="24"/>
          <w:szCs w:val="24"/>
        </w:rPr>
        <w:t>-old for the next experiments</w:t>
      </w:r>
      <w:r w:rsidR="00E376B7" w:rsidRPr="002A7859">
        <w:rPr>
          <w:rFonts w:asciiTheme="majorBidi" w:hAnsiTheme="majorBidi" w:cstheme="majorBidi"/>
          <w:sz w:val="24"/>
          <w:szCs w:val="24"/>
        </w:rPr>
        <w:t>.</w:t>
      </w:r>
    </w:p>
    <w:p w14:paraId="1711D443" w14:textId="77777777" w:rsidR="00B52C45" w:rsidRPr="002A7859" w:rsidRDefault="00B52C45" w:rsidP="00321FB8">
      <w:pPr>
        <w:ind w:left="567" w:right="504"/>
        <w:jc w:val="both"/>
        <w:rPr>
          <w:rFonts w:asciiTheme="majorBidi" w:hAnsiTheme="majorBidi" w:cstheme="majorBidi"/>
          <w:b/>
          <w:bCs/>
          <w:sz w:val="24"/>
          <w:szCs w:val="24"/>
        </w:rPr>
      </w:pPr>
      <w:r w:rsidRPr="002A7859">
        <w:rPr>
          <w:rFonts w:asciiTheme="majorBidi" w:hAnsiTheme="majorBidi" w:cstheme="majorBidi"/>
          <w:b/>
          <w:bCs/>
          <w:sz w:val="24"/>
          <w:szCs w:val="24"/>
        </w:rPr>
        <w:t>2.2</w:t>
      </w:r>
      <w:r w:rsidR="005D342A" w:rsidRPr="002A7859">
        <w:rPr>
          <w:rFonts w:asciiTheme="majorBidi" w:hAnsiTheme="majorBidi" w:cstheme="majorBidi"/>
          <w:b/>
          <w:bCs/>
          <w:sz w:val="24"/>
          <w:szCs w:val="24"/>
        </w:rPr>
        <w:t xml:space="preserve"> </w:t>
      </w:r>
      <w:r w:rsidRPr="002A7859">
        <w:rPr>
          <w:rFonts w:asciiTheme="majorBidi" w:hAnsiTheme="majorBidi" w:cstheme="majorBidi"/>
          <w:b/>
          <w:bCs/>
          <w:sz w:val="24"/>
          <w:szCs w:val="24"/>
        </w:rPr>
        <w:t>Sunflower seedling oil extraction</w:t>
      </w:r>
      <w:r w:rsidR="005D342A" w:rsidRPr="002A7859">
        <w:rPr>
          <w:rFonts w:asciiTheme="majorBidi" w:hAnsiTheme="majorBidi" w:cstheme="majorBidi"/>
          <w:b/>
          <w:bCs/>
          <w:sz w:val="24"/>
          <w:szCs w:val="24"/>
        </w:rPr>
        <w:t xml:space="preserve">  </w:t>
      </w:r>
      <w:r w:rsidR="00E92A9A" w:rsidRPr="002A7859">
        <w:rPr>
          <w:rFonts w:asciiTheme="majorBidi" w:hAnsiTheme="majorBidi" w:cstheme="majorBidi"/>
          <w:b/>
          <w:bCs/>
          <w:sz w:val="24"/>
          <w:szCs w:val="24"/>
        </w:rPr>
        <w:t xml:space="preserve">                                                                           </w:t>
      </w:r>
      <w:r w:rsidRPr="002A7859">
        <w:rPr>
          <w:rFonts w:asciiTheme="majorBidi" w:hAnsiTheme="majorBidi" w:cstheme="majorBidi"/>
          <w:sz w:val="24"/>
          <w:szCs w:val="24"/>
        </w:rPr>
        <w:br/>
        <w:t>The</w:t>
      </w:r>
      <w:r w:rsidR="005D342A" w:rsidRPr="002A7859">
        <w:rPr>
          <w:rFonts w:asciiTheme="majorBidi" w:hAnsiTheme="majorBidi" w:cstheme="majorBidi"/>
          <w:sz w:val="24"/>
          <w:szCs w:val="24"/>
        </w:rPr>
        <w:t xml:space="preserve"> Hypocotyl segments of the seedlings </w:t>
      </w:r>
      <w:r w:rsidRPr="002A7859">
        <w:rPr>
          <w:rFonts w:asciiTheme="majorBidi" w:hAnsiTheme="majorBidi" w:cstheme="majorBidi"/>
          <w:sz w:val="24"/>
          <w:szCs w:val="24"/>
        </w:rPr>
        <w:t>excised were oven-dried at 50–60°C for 48 hours using a Gallenkamp hot air oven (BStWo, Model 160, England) and subsequently ground into a fine powder. Oil extraction was performed using a Soxhlet apparatus (VELP Scientific, SER 148, Italy) at the Central Laboratory, College of Agriculture and Forestry, University of Mosul. The extraction was carried out using hexane as the solvent for a duration of 3 hours. Following extraction, the solvent was evaporated under reduced pressure using a rotary evaporator, and the final oil yield was calculated</w:t>
      </w:r>
      <w:r w:rsidR="00CF6C13" w:rsidRPr="002A7859">
        <w:rPr>
          <w:rFonts w:asciiTheme="majorBidi" w:hAnsiTheme="majorBidi" w:cstheme="majorBidi"/>
          <w:sz w:val="24"/>
          <w:szCs w:val="24"/>
        </w:rPr>
        <w:t xml:space="preserve"> (Al-Hajjar, 2015) </w:t>
      </w:r>
      <w:r w:rsidRPr="002A7859">
        <w:rPr>
          <w:rFonts w:asciiTheme="majorBidi" w:hAnsiTheme="majorBidi" w:cstheme="majorBidi"/>
          <w:sz w:val="24"/>
          <w:szCs w:val="24"/>
        </w:rPr>
        <w:t>.</w:t>
      </w:r>
    </w:p>
    <w:p w14:paraId="46B80CD0"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2.</w:t>
      </w:r>
      <w:r w:rsidR="000D7109" w:rsidRPr="002A7859">
        <w:rPr>
          <w:rFonts w:asciiTheme="majorBidi" w:hAnsiTheme="majorBidi" w:cstheme="majorBidi"/>
          <w:b/>
          <w:bCs/>
          <w:sz w:val="24"/>
          <w:szCs w:val="24"/>
        </w:rPr>
        <w:t>3</w:t>
      </w:r>
      <w:r w:rsidRPr="002A7859">
        <w:rPr>
          <w:rFonts w:asciiTheme="majorBidi" w:hAnsiTheme="majorBidi" w:cstheme="majorBidi"/>
          <w:b/>
          <w:bCs/>
          <w:sz w:val="24"/>
          <w:szCs w:val="24"/>
        </w:rPr>
        <w:t xml:space="preserve"> Biosynthesis of Silver Nanoparticles</w:t>
      </w:r>
    </w:p>
    <w:p w14:paraId="1DD0503F" w14:textId="77777777" w:rsidR="00E376B7" w:rsidRPr="002A7859" w:rsidRDefault="008E6B3E" w:rsidP="00321FB8">
      <w:pPr>
        <w:ind w:left="567" w:right="504"/>
        <w:jc w:val="both"/>
        <w:rPr>
          <w:rFonts w:asciiTheme="majorBidi" w:hAnsiTheme="majorBidi" w:cstheme="majorBidi"/>
          <w:sz w:val="24"/>
          <w:szCs w:val="24"/>
        </w:rPr>
      </w:pPr>
      <w:r w:rsidRPr="002A7859">
        <w:rPr>
          <w:rFonts w:asciiTheme="majorBidi" w:hAnsiTheme="majorBidi" w:cstheme="majorBidi"/>
          <w:sz w:val="24"/>
          <w:szCs w:val="24"/>
        </w:rPr>
        <w:lastRenderedPageBreak/>
        <w:t xml:space="preserve">1ml of </w:t>
      </w:r>
      <w:r w:rsidR="000D7109" w:rsidRPr="002A7859">
        <w:rPr>
          <w:rFonts w:asciiTheme="majorBidi" w:hAnsiTheme="majorBidi" w:cstheme="majorBidi"/>
          <w:sz w:val="24"/>
          <w:szCs w:val="24"/>
        </w:rPr>
        <w:t>Sunflower oil  was added to 100 ml of silver nitrate AgNO</w:t>
      </w:r>
      <w:r w:rsidR="000D7109" w:rsidRPr="002A7859">
        <w:rPr>
          <w:rFonts w:asciiTheme="majorBidi" w:hAnsiTheme="majorBidi" w:cstheme="majorBidi"/>
          <w:sz w:val="24"/>
          <w:szCs w:val="24"/>
          <w:vertAlign w:val="subscript"/>
        </w:rPr>
        <w:t>3</w:t>
      </w:r>
      <w:r w:rsidR="000D7109" w:rsidRPr="002A7859">
        <w:rPr>
          <w:rFonts w:asciiTheme="majorBidi" w:hAnsiTheme="majorBidi" w:cstheme="majorBidi"/>
          <w:sz w:val="24"/>
          <w:szCs w:val="24"/>
        </w:rPr>
        <w:t xml:space="preserve"> solution and mixed at room temperature for 30 minutes </w:t>
      </w:r>
      <w:r w:rsidR="005C07F3" w:rsidRPr="002A7859">
        <w:rPr>
          <w:rFonts w:asciiTheme="majorBidi" w:hAnsiTheme="majorBidi" w:cstheme="majorBidi"/>
          <w:sz w:val="24"/>
          <w:szCs w:val="24"/>
        </w:rPr>
        <w:t>then</w:t>
      </w:r>
      <w:r w:rsidR="000D7109" w:rsidRPr="002A7859">
        <w:rPr>
          <w:rFonts w:asciiTheme="majorBidi" w:hAnsiTheme="majorBidi" w:cstheme="majorBidi"/>
          <w:sz w:val="24"/>
          <w:szCs w:val="24"/>
        </w:rPr>
        <w:t xml:space="preserve"> </w:t>
      </w:r>
      <w:r w:rsidR="005C07F3" w:rsidRPr="002A7859">
        <w:rPr>
          <w:rFonts w:asciiTheme="majorBidi" w:hAnsiTheme="majorBidi" w:cstheme="majorBidi"/>
          <w:sz w:val="24"/>
          <w:szCs w:val="24"/>
        </w:rPr>
        <w:t>t</w:t>
      </w:r>
      <w:r w:rsidR="000D7109" w:rsidRPr="002A7859">
        <w:rPr>
          <w:rFonts w:asciiTheme="majorBidi" w:hAnsiTheme="majorBidi" w:cstheme="majorBidi"/>
          <w:sz w:val="24"/>
          <w:szCs w:val="24"/>
        </w:rPr>
        <w:t>he mixture was stirred vigorously using a magnetic stirrer. After approximately 14 min</w:t>
      </w:r>
      <w:r w:rsidR="005C07F3" w:rsidRPr="002A7859">
        <w:rPr>
          <w:rFonts w:asciiTheme="majorBidi" w:hAnsiTheme="majorBidi" w:cstheme="majorBidi"/>
          <w:sz w:val="24"/>
          <w:szCs w:val="24"/>
        </w:rPr>
        <w:t xml:space="preserve">. </w:t>
      </w:r>
      <w:r w:rsidR="000D7109" w:rsidRPr="002A7859">
        <w:rPr>
          <w:rFonts w:asciiTheme="majorBidi" w:hAnsiTheme="majorBidi" w:cstheme="majorBidi"/>
          <w:sz w:val="24"/>
          <w:szCs w:val="24"/>
        </w:rPr>
        <w:t>, a visible color change was observed. The color of the clear AgNO</w:t>
      </w:r>
      <w:r w:rsidR="000D7109" w:rsidRPr="002A7859">
        <w:rPr>
          <w:rFonts w:asciiTheme="majorBidi" w:hAnsiTheme="majorBidi" w:cstheme="majorBidi"/>
          <w:sz w:val="24"/>
          <w:szCs w:val="24"/>
          <w:vertAlign w:val="subscript"/>
        </w:rPr>
        <w:t>3</w:t>
      </w:r>
      <w:r w:rsidR="000D7109" w:rsidRPr="002A7859">
        <w:rPr>
          <w:rFonts w:asciiTheme="majorBidi" w:hAnsiTheme="majorBidi" w:cstheme="majorBidi"/>
          <w:sz w:val="24"/>
          <w:szCs w:val="24"/>
        </w:rPr>
        <w:t xml:space="preserve"> solution changed, indicating the creation of matching nanoparticles</w:t>
      </w:r>
      <w:r w:rsidR="00E376B7" w:rsidRPr="002A7859">
        <w:rPr>
          <w:rFonts w:asciiTheme="majorBidi" w:hAnsiTheme="majorBidi" w:cstheme="majorBidi"/>
          <w:sz w:val="24"/>
          <w:szCs w:val="24"/>
        </w:rPr>
        <w:t xml:space="preserve"> (Iravani, 2011).</w:t>
      </w:r>
    </w:p>
    <w:p w14:paraId="5BA33BB4"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2.3</w:t>
      </w:r>
      <w:r w:rsidR="000D7109" w:rsidRPr="002A7859">
        <w:rPr>
          <w:rFonts w:asciiTheme="majorBidi" w:hAnsiTheme="majorBidi" w:cstheme="majorBidi"/>
          <w:b/>
          <w:bCs/>
          <w:sz w:val="24"/>
          <w:szCs w:val="24"/>
        </w:rPr>
        <w:t xml:space="preserve"> </w:t>
      </w:r>
      <w:r w:rsidR="00F957BA" w:rsidRPr="002A7859">
        <w:rPr>
          <w:rFonts w:asciiTheme="majorBidi" w:hAnsiTheme="majorBidi" w:cstheme="majorBidi"/>
          <w:b/>
          <w:bCs/>
          <w:sz w:val="24"/>
          <w:szCs w:val="24"/>
        </w:rPr>
        <w:t xml:space="preserve"> Biosynthesized </w:t>
      </w:r>
      <w:r w:rsidR="000D7109" w:rsidRPr="002A7859">
        <w:rPr>
          <w:rFonts w:asciiTheme="majorBidi" w:hAnsiTheme="majorBidi" w:cstheme="majorBidi"/>
          <w:b/>
          <w:bCs/>
          <w:sz w:val="24"/>
          <w:szCs w:val="24"/>
        </w:rPr>
        <w:t>Ag-NPs</w:t>
      </w:r>
      <w:r w:rsidRPr="002A7859">
        <w:rPr>
          <w:rFonts w:asciiTheme="majorBidi" w:hAnsiTheme="majorBidi" w:cstheme="majorBidi"/>
          <w:b/>
          <w:bCs/>
          <w:sz w:val="24"/>
          <w:szCs w:val="24"/>
        </w:rPr>
        <w:t xml:space="preserve"> Characterization Techniques</w:t>
      </w:r>
    </w:p>
    <w:p w14:paraId="203658C9" w14:textId="77777777" w:rsidR="00E376B7" w:rsidRPr="002A7859" w:rsidRDefault="00E376B7" w:rsidP="00321FB8">
      <w:pPr>
        <w:jc w:val="both"/>
        <w:rPr>
          <w:rFonts w:asciiTheme="majorBidi" w:hAnsiTheme="majorBidi" w:cstheme="majorBidi"/>
          <w:sz w:val="24"/>
          <w:szCs w:val="24"/>
        </w:rPr>
      </w:pPr>
      <w:r w:rsidRPr="002A7859">
        <w:rPr>
          <w:rFonts w:asciiTheme="majorBidi" w:hAnsiTheme="majorBidi" w:cstheme="majorBidi"/>
          <w:sz w:val="24"/>
          <w:szCs w:val="24"/>
        </w:rPr>
        <w:t>The synthesized</w:t>
      </w:r>
      <w:r w:rsidR="008E6B3E" w:rsidRPr="002A7859">
        <w:rPr>
          <w:rFonts w:asciiTheme="majorBidi" w:hAnsiTheme="majorBidi" w:cstheme="majorBidi"/>
          <w:sz w:val="24"/>
          <w:szCs w:val="24"/>
        </w:rPr>
        <w:t xml:space="preserve"> silvir </w:t>
      </w:r>
      <w:r w:rsidRPr="002A7859">
        <w:rPr>
          <w:rFonts w:asciiTheme="majorBidi" w:hAnsiTheme="majorBidi" w:cstheme="majorBidi"/>
          <w:sz w:val="24"/>
          <w:szCs w:val="24"/>
        </w:rPr>
        <w:t xml:space="preserve"> nanoparticles were characterized using:</w:t>
      </w:r>
    </w:p>
    <w:p w14:paraId="5FF8DC2D" w14:textId="77777777" w:rsidR="00E376B7" w:rsidRPr="002A7859" w:rsidRDefault="00E376B7" w:rsidP="00321FB8">
      <w:pPr>
        <w:numPr>
          <w:ilvl w:val="0"/>
          <w:numId w:val="9"/>
        </w:numPr>
        <w:jc w:val="both"/>
        <w:rPr>
          <w:rFonts w:asciiTheme="majorBidi" w:hAnsiTheme="majorBidi" w:cstheme="majorBidi"/>
          <w:sz w:val="24"/>
          <w:szCs w:val="24"/>
        </w:rPr>
      </w:pPr>
      <w:r w:rsidRPr="002A7859">
        <w:rPr>
          <w:rFonts w:asciiTheme="majorBidi" w:hAnsiTheme="majorBidi" w:cstheme="majorBidi"/>
          <w:b/>
          <w:bCs/>
          <w:sz w:val="24"/>
          <w:szCs w:val="24"/>
        </w:rPr>
        <w:t>UV–Vis spectroscopy</w:t>
      </w:r>
      <w:r w:rsidRPr="002A7859">
        <w:rPr>
          <w:rFonts w:asciiTheme="majorBidi" w:hAnsiTheme="majorBidi" w:cstheme="majorBidi"/>
          <w:sz w:val="24"/>
          <w:szCs w:val="24"/>
        </w:rPr>
        <w:t xml:space="preserve"> </w:t>
      </w:r>
    </w:p>
    <w:p w14:paraId="69239D49" w14:textId="77777777" w:rsidR="007D5B2A" w:rsidRPr="002A7859" w:rsidRDefault="007D5B2A" w:rsidP="00321FB8">
      <w:pPr>
        <w:ind w:left="720"/>
        <w:jc w:val="both"/>
        <w:rPr>
          <w:rFonts w:asciiTheme="majorBidi" w:hAnsiTheme="majorBidi" w:cstheme="majorBidi"/>
          <w:sz w:val="24"/>
          <w:szCs w:val="24"/>
        </w:rPr>
      </w:pPr>
      <w:r w:rsidRPr="002A7859">
        <w:rPr>
          <w:rFonts w:asciiTheme="majorBidi" w:hAnsiTheme="majorBidi" w:cstheme="majorBidi"/>
          <w:sz w:val="24"/>
          <w:szCs w:val="24"/>
        </w:rPr>
        <w:t>UV–visible spectra of the aqueous colloid samples of synthesized silver nanoparticles were measured on the Visible (UV-Vis) spectrophotometer, a device (UV-Vis, Analytic Jena,  Germany) found in Central laboratory, Collage of Science, University of Mosul which used to detect and diagnose silver nanoparticles prepared in a biological way and determine the maximum absorbance peaks, by placed the prepared  nanoparticles solution  in a quartz cell, then the absorbance was measured at the wavelength (400-440 nm)</w:t>
      </w:r>
      <w:r w:rsidR="00A903CA" w:rsidRPr="002A7859">
        <w:rPr>
          <w:rFonts w:asciiTheme="majorBidi" w:hAnsiTheme="majorBidi" w:cstheme="majorBidi"/>
          <w:sz w:val="24"/>
          <w:szCs w:val="24"/>
        </w:rPr>
        <w:t xml:space="preserve"> (Jagtap and Bapat 2021)</w:t>
      </w:r>
      <w:r w:rsidRPr="002A7859">
        <w:rPr>
          <w:rFonts w:asciiTheme="majorBidi" w:hAnsiTheme="majorBidi" w:cstheme="majorBidi"/>
          <w:sz w:val="24"/>
          <w:szCs w:val="24"/>
        </w:rPr>
        <w:t>, the results were re</w:t>
      </w:r>
      <w:r w:rsidR="000D7109" w:rsidRPr="002A7859">
        <w:rPr>
          <w:rFonts w:asciiTheme="majorBidi" w:hAnsiTheme="majorBidi" w:cstheme="majorBidi"/>
          <w:sz w:val="24"/>
          <w:szCs w:val="24"/>
        </w:rPr>
        <w:t>corded for each sample measured</w:t>
      </w:r>
      <w:r w:rsidR="00A903CA" w:rsidRPr="002A7859">
        <w:rPr>
          <w:rFonts w:asciiTheme="majorBidi" w:hAnsiTheme="majorBidi" w:cstheme="majorBidi"/>
          <w:sz w:val="24"/>
          <w:szCs w:val="24"/>
        </w:rPr>
        <w:t>.</w:t>
      </w:r>
    </w:p>
    <w:p w14:paraId="1655EBCA" w14:textId="77777777" w:rsidR="007D5B2A" w:rsidRPr="002A7859" w:rsidRDefault="007D5B2A" w:rsidP="00321FB8">
      <w:pPr>
        <w:pStyle w:val="ListParagraph"/>
        <w:numPr>
          <w:ilvl w:val="0"/>
          <w:numId w:val="16"/>
        </w:numPr>
        <w:jc w:val="both"/>
        <w:rPr>
          <w:rFonts w:asciiTheme="majorBidi" w:hAnsiTheme="majorBidi" w:cstheme="majorBidi"/>
          <w:b/>
          <w:bCs/>
          <w:sz w:val="24"/>
          <w:szCs w:val="24"/>
        </w:rPr>
      </w:pPr>
      <w:r w:rsidRPr="002A7859">
        <w:rPr>
          <w:rFonts w:asciiTheme="majorBidi" w:hAnsiTheme="majorBidi" w:cstheme="majorBidi"/>
          <w:b/>
          <w:bCs/>
          <w:sz w:val="24"/>
          <w:szCs w:val="24"/>
        </w:rPr>
        <w:t>FT-EDAX spectroscopic technique</w:t>
      </w:r>
    </w:p>
    <w:p w14:paraId="794357EE" w14:textId="77777777" w:rsidR="007D5B2A" w:rsidRPr="002A7859" w:rsidRDefault="007D5B2A" w:rsidP="00321FB8">
      <w:pPr>
        <w:ind w:left="360"/>
        <w:jc w:val="both"/>
        <w:rPr>
          <w:rFonts w:asciiTheme="majorBidi" w:hAnsiTheme="majorBidi" w:cstheme="majorBidi"/>
          <w:sz w:val="24"/>
          <w:szCs w:val="24"/>
        </w:rPr>
      </w:pPr>
      <w:r w:rsidRPr="002A7859">
        <w:rPr>
          <w:rFonts w:asciiTheme="majorBidi" w:hAnsiTheme="majorBidi" w:cstheme="majorBidi"/>
          <w:sz w:val="24"/>
          <w:szCs w:val="24"/>
        </w:rPr>
        <w:t xml:space="preserve">Fourier Transform Infrared (FTIR) spectroscopy is a potent analytical method that uses an FTIR instrument (BRUKER, American) in the Central Laboratory, College of Science, University of Mosul to detect the functional groups in a molecule and ascertain its molecular structure. The presence of plant functional groups attached to the surface of the nanoparticles was shown by unique peaks in various regions of the FTIR spectrum of </w:t>
      </w:r>
      <w:r w:rsidR="00B01924" w:rsidRPr="002A7859">
        <w:rPr>
          <w:rFonts w:asciiTheme="majorBidi" w:hAnsiTheme="majorBidi" w:cstheme="majorBidi"/>
          <w:sz w:val="24"/>
          <w:szCs w:val="24"/>
        </w:rPr>
        <w:t>Ag-NPs</w:t>
      </w:r>
      <w:r w:rsidRPr="002A7859">
        <w:rPr>
          <w:rFonts w:asciiTheme="majorBidi" w:hAnsiTheme="majorBidi" w:cstheme="majorBidi"/>
          <w:sz w:val="24"/>
          <w:szCs w:val="24"/>
        </w:rPr>
        <w:t xml:space="preserve"> made using the plant extract. These peaks demonstrate that the bioactive substances in the extract had two functions during the manufacturing process: they stabilized and encapsulated the nanoparticles while also helping to reduce silver ions (Ag⁺) to metallic silver (Ag⁰) (Widatalla </w:t>
      </w:r>
      <w:r w:rsidRPr="002A7859">
        <w:rPr>
          <w:rFonts w:asciiTheme="majorBidi" w:hAnsiTheme="majorBidi" w:cstheme="majorBidi"/>
          <w:i/>
          <w:iCs/>
          <w:sz w:val="24"/>
          <w:szCs w:val="24"/>
        </w:rPr>
        <w:t>et al</w:t>
      </w:r>
      <w:r w:rsidRPr="002A7859">
        <w:rPr>
          <w:rFonts w:asciiTheme="majorBidi" w:hAnsiTheme="majorBidi" w:cstheme="majorBidi"/>
          <w:sz w:val="24"/>
          <w:szCs w:val="24"/>
        </w:rPr>
        <w:t xml:space="preserve"> .,2022).</w:t>
      </w:r>
    </w:p>
    <w:p w14:paraId="27914477" w14:textId="77777777" w:rsidR="00D563D6" w:rsidRPr="002A7859" w:rsidRDefault="00D563D6" w:rsidP="00321FB8">
      <w:pPr>
        <w:jc w:val="both"/>
        <w:rPr>
          <w:rFonts w:asciiTheme="majorBidi" w:hAnsiTheme="majorBidi" w:cstheme="majorBidi"/>
          <w:b/>
          <w:bCs/>
          <w:sz w:val="24"/>
          <w:szCs w:val="24"/>
          <w:rtl/>
          <w:lang w:bidi="ar-IQ"/>
        </w:rPr>
      </w:pPr>
      <w:r w:rsidRPr="002A7859">
        <w:rPr>
          <w:rFonts w:asciiTheme="majorBidi" w:hAnsiTheme="majorBidi" w:cstheme="majorBidi"/>
          <w:b/>
          <w:bCs/>
          <w:sz w:val="24"/>
          <w:szCs w:val="24"/>
        </w:rPr>
        <w:t>2.4 Fungal Isolates and Culture</w:t>
      </w:r>
    </w:p>
    <w:p w14:paraId="0AFC5E94" w14:textId="1131D73A" w:rsidR="00E376B7" w:rsidRPr="002A7859" w:rsidRDefault="00D563D6" w:rsidP="001C2710">
      <w:pPr>
        <w:jc w:val="both"/>
        <w:rPr>
          <w:rFonts w:asciiTheme="majorBidi" w:hAnsiTheme="majorBidi" w:cstheme="majorBidi"/>
          <w:sz w:val="24"/>
          <w:szCs w:val="24"/>
        </w:rPr>
      </w:pPr>
      <w:r w:rsidRPr="002A7859">
        <w:rPr>
          <w:rFonts w:asciiTheme="majorBidi" w:hAnsiTheme="majorBidi" w:cstheme="majorBidi"/>
          <w:sz w:val="24"/>
          <w:szCs w:val="24"/>
        </w:rPr>
        <w:t xml:space="preserve">The fungal species used in this study, namely </w:t>
      </w:r>
      <w:r w:rsidRPr="002A7859">
        <w:rPr>
          <w:rFonts w:asciiTheme="majorBidi" w:hAnsiTheme="majorBidi" w:cstheme="majorBidi"/>
          <w:i/>
          <w:iCs/>
          <w:sz w:val="24"/>
          <w:szCs w:val="24"/>
        </w:rPr>
        <w:t>Fusarium solani</w:t>
      </w:r>
      <w:r w:rsidRPr="002A7859">
        <w:rPr>
          <w:rFonts w:asciiTheme="majorBidi" w:hAnsiTheme="majorBidi" w:cstheme="majorBidi"/>
          <w:sz w:val="24"/>
          <w:szCs w:val="24"/>
        </w:rPr>
        <w:t xml:space="preserve">, </w:t>
      </w:r>
      <w:r w:rsidRPr="002A7859">
        <w:rPr>
          <w:rFonts w:asciiTheme="majorBidi" w:hAnsiTheme="majorBidi" w:cstheme="majorBidi"/>
          <w:i/>
          <w:iCs/>
          <w:sz w:val="24"/>
          <w:szCs w:val="24"/>
        </w:rPr>
        <w:t>Alternaria alternata</w:t>
      </w:r>
      <w:r w:rsidRPr="002A7859">
        <w:rPr>
          <w:rFonts w:asciiTheme="majorBidi" w:hAnsiTheme="majorBidi" w:cstheme="majorBidi"/>
          <w:sz w:val="24"/>
          <w:szCs w:val="24"/>
        </w:rPr>
        <w:t xml:space="preserve">, and </w:t>
      </w:r>
      <w:r w:rsidRPr="002A7859">
        <w:rPr>
          <w:rFonts w:asciiTheme="majorBidi" w:hAnsiTheme="majorBidi" w:cstheme="majorBidi"/>
          <w:i/>
          <w:iCs/>
          <w:sz w:val="24"/>
          <w:szCs w:val="24"/>
        </w:rPr>
        <w:t>Aspergillus niger</w:t>
      </w:r>
      <w:r w:rsidRPr="002A7859">
        <w:rPr>
          <w:rFonts w:asciiTheme="majorBidi" w:hAnsiTheme="majorBidi" w:cstheme="majorBidi"/>
          <w:sz w:val="24"/>
          <w:szCs w:val="24"/>
        </w:rPr>
        <w:t xml:space="preserve">, were selected based on their well-documented pathogenicity and their ability to produce mycotoxins (Lawrence </w:t>
      </w:r>
      <w:r w:rsidRPr="002A7859">
        <w:rPr>
          <w:rFonts w:asciiTheme="majorBidi" w:hAnsiTheme="majorBidi" w:cstheme="majorBidi"/>
          <w:i/>
          <w:iCs/>
          <w:sz w:val="24"/>
          <w:szCs w:val="24"/>
        </w:rPr>
        <w:t>et al</w:t>
      </w:r>
      <w:r w:rsidRPr="002A7859">
        <w:rPr>
          <w:rFonts w:asciiTheme="majorBidi" w:hAnsiTheme="majorBidi" w:cstheme="majorBidi"/>
          <w:sz w:val="24"/>
          <w:szCs w:val="24"/>
        </w:rPr>
        <w:t>., 2016).</w:t>
      </w:r>
      <w:r w:rsidRPr="002A7859">
        <w:rPr>
          <w:rFonts w:asciiTheme="majorBidi" w:hAnsiTheme="majorBidi" w:cstheme="majorBidi"/>
          <w:sz w:val="24"/>
          <w:szCs w:val="24"/>
        </w:rPr>
        <w:br/>
      </w:r>
      <w:r w:rsidR="001C2710" w:rsidRPr="001C2710">
        <w:rPr>
          <w:rFonts w:asciiTheme="majorBidi" w:hAnsiTheme="majorBidi" w:cstheme="majorBidi"/>
          <w:sz w:val="24"/>
          <w:szCs w:val="24"/>
        </w:rPr>
        <w:t>Pure fungal cultures were maintained on Potato Dextrose Agar (PDA) medium. 39 g of PDA medium was produced according to the manufacturer’s instructions Lab M. Limited – United Kingdom and dissolved in a particular quantity of distilled water.</w:t>
      </w:r>
      <w:r w:rsidR="001C2710">
        <w:rPr>
          <w:rFonts w:asciiTheme="majorBidi" w:hAnsiTheme="majorBidi" w:cstheme="majorBidi" w:hint="cs"/>
          <w:sz w:val="24"/>
          <w:szCs w:val="24"/>
          <w:rtl/>
          <w:lang w:bidi="ar-IQ"/>
        </w:rPr>
        <w:t xml:space="preserve"> </w:t>
      </w:r>
      <w:r w:rsidR="001C2710" w:rsidRPr="001C2710">
        <w:rPr>
          <w:rFonts w:asciiTheme="majorBidi" w:hAnsiTheme="majorBidi" w:cstheme="majorBidi"/>
          <w:sz w:val="24"/>
          <w:szCs w:val="24"/>
        </w:rPr>
        <w:t>The pH was adjusted to 5.6 ± 0.2 and the volume was increased to 1000 ml. It was then autoclaved for 15 minutes at 121 °C and 15 psi of pressure to disinfect it. The medium was then transferred into sterilized Petri dishes and allowed to harden at 25 °C in an incubator. to guarantee steady growth and repeatability of outcomes</w:t>
      </w:r>
      <w:r w:rsidR="001C2710">
        <w:rPr>
          <w:rFonts w:asciiTheme="majorBidi" w:hAnsiTheme="majorBidi" w:cstheme="majorBidi" w:hint="cs"/>
          <w:sz w:val="24"/>
          <w:szCs w:val="24"/>
          <w:rtl/>
          <w:lang w:bidi="ar-IQ"/>
        </w:rPr>
        <w:t xml:space="preserve"> </w:t>
      </w:r>
      <w:r w:rsidR="00E376B7" w:rsidRPr="002A7859">
        <w:rPr>
          <w:rFonts w:asciiTheme="majorBidi" w:hAnsiTheme="majorBidi" w:cstheme="majorBidi"/>
          <w:sz w:val="24"/>
          <w:szCs w:val="24"/>
        </w:rPr>
        <w:t xml:space="preserve">(Villarino </w:t>
      </w:r>
      <w:r w:rsidR="00E376B7" w:rsidRPr="002A7859">
        <w:rPr>
          <w:rFonts w:asciiTheme="majorBidi" w:hAnsiTheme="majorBidi" w:cstheme="majorBidi"/>
          <w:i/>
          <w:iCs/>
          <w:sz w:val="24"/>
          <w:szCs w:val="24"/>
        </w:rPr>
        <w:t>et al</w:t>
      </w:r>
      <w:r w:rsidR="00E376B7" w:rsidRPr="002A7859">
        <w:rPr>
          <w:rFonts w:asciiTheme="majorBidi" w:hAnsiTheme="majorBidi" w:cstheme="majorBidi"/>
          <w:sz w:val="24"/>
          <w:szCs w:val="24"/>
        </w:rPr>
        <w:t>., 2019).</w:t>
      </w:r>
    </w:p>
    <w:p w14:paraId="0EC502F9" w14:textId="3EC716D6"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 xml:space="preserve">2.5 </w:t>
      </w:r>
      <w:r w:rsidR="004C03F3" w:rsidRPr="002A7859">
        <w:rPr>
          <w:rFonts w:asciiTheme="majorBidi" w:hAnsiTheme="majorBidi" w:cstheme="majorBidi"/>
          <w:b/>
          <w:bCs/>
          <w:sz w:val="24"/>
          <w:szCs w:val="24"/>
        </w:rPr>
        <w:t>Effect of Biosynthesized AgNPs on</w:t>
      </w:r>
      <w:r w:rsidR="00CE6C47" w:rsidRPr="002A7859">
        <w:rPr>
          <w:rFonts w:asciiTheme="majorBidi" w:hAnsiTheme="majorBidi" w:cstheme="majorBidi"/>
          <w:b/>
          <w:bCs/>
          <w:sz w:val="24"/>
          <w:szCs w:val="24"/>
        </w:rPr>
        <w:t xml:space="preserve"> Studied</w:t>
      </w:r>
      <w:r w:rsidR="004C03F3" w:rsidRPr="002A7859">
        <w:rPr>
          <w:rFonts w:asciiTheme="majorBidi" w:hAnsiTheme="majorBidi" w:cstheme="majorBidi"/>
          <w:b/>
          <w:bCs/>
          <w:sz w:val="24"/>
          <w:szCs w:val="24"/>
        </w:rPr>
        <w:t xml:space="preserve"> Fungal Growth</w:t>
      </w:r>
    </w:p>
    <w:p w14:paraId="370FCE91" w14:textId="0CFE5A6C" w:rsidR="00D563D6" w:rsidRPr="002A7859" w:rsidRDefault="001C2710" w:rsidP="00332F9A">
      <w:pPr>
        <w:jc w:val="both"/>
        <w:rPr>
          <w:rFonts w:asciiTheme="majorBidi" w:hAnsiTheme="majorBidi" w:cstheme="majorBidi"/>
          <w:sz w:val="24"/>
          <w:szCs w:val="24"/>
          <w:rtl/>
          <w:lang w:bidi="ar-IQ"/>
        </w:rPr>
      </w:pPr>
      <w:r w:rsidRPr="001C2710">
        <w:rPr>
          <w:rFonts w:asciiTheme="majorBidi" w:hAnsiTheme="majorBidi" w:cstheme="majorBidi"/>
          <w:sz w:val="24"/>
          <w:szCs w:val="24"/>
        </w:rPr>
        <w:lastRenderedPageBreak/>
        <w:t>The poisoned food approach, a commonly used method for evaluating fungal growth suppression, was used to examine the antifungal activity. Using this approach</w:t>
      </w:r>
      <w:r w:rsidR="00D563D6" w:rsidRPr="002A7859">
        <w:rPr>
          <w:rFonts w:asciiTheme="majorBidi" w:hAnsiTheme="majorBidi" w:cstheme="majorBidi"/>
          <w:sz w:val="24"/>
          <w:szCs w:val="24"/>
        </w:rPr>
        <w:t xml:space="preserve">, </w:t>
      </w:r>
      <w:r w:rsidR="00332F9A" w:rsidRPr="00332F9A">
        <w:rPr>
          <w:rFonts w:asciiTheme="majorBidi" w:hAnsiTheme="majorBidi" w:cstheme="majorBidi"/>
          <w:sz w:val="24"/>
          <w:szCs w:val="24"/>
        </w:rPr>
        <w:t>The radial growth of fungal colonies was measured and compared to the untreated control after various treatments were added to the PDA culture media (prepared on 2.4 above) at concentrations of 10, 20, and 40% of each kind of fungus.</w:t>
      </w:r>
    </w:p>
    <w:p w14:paraId="74746EC8" w14:textId="5BA27180" w:rsidR="00E376B7" w:rsidRPr="002A7859" w:rsidRDefault="00332F9A" w:rsidP="00332F9A">
      <w:pPr>
        <w:jc w:val="both"/>
        <w:rPr>
          <w:rFonts w:asciiTheme="majorBidi" w:hAnsiTheme="majorBidi" w:cstheme="majorBidi"/>
          <w:sz w:val="24"/>
          <w:szCs w:val="24"/>
        </w:rPr>
      </w:pPr>
      <w:r w:rsidRPr="00332F9A">
        <w:rPr>
          <w:rFonts w:asciiTheme="majorBidi" w:hAnsiTheme="majorBidi" w:cstheme="majorBidi"/>
          <w:sz w:val="24"/>
          <w:szCs w:val="24"/>
        </w:rPr>
        <w:t>This method provides quantitative information on the degree of growth suppression by directly determining the inhibitory effect of biosynthesized silver nanoparticles on fungal growth.</w:t>
      </w:r>
      <w:r>
        <w:rPr>
          <w:rFonts w:asciiTheme="majorBidi" w:hAnsiTheme="majorBidi" w:cstheme="majorBidi" w:hint="cs"/>
          <w:sz w:val="24"/>
          <w:szCs w:val="24"/>
          <w:rtl/>
          <w:lang w:bidi="ar-IQ"/>
        </w:rPr>
        <w:t xml:space="preserve"> </w:t>
      </w:r>
      <w:r w:rsidR="00E376B7" w:rsidRPr="002A7859">
        <w:rPr>
          <w:rFonts w:asciiTheme="majorBidi" w:hAnsiTheme="majorBidi" w:cstheme="majorBidi"/>
          <w:sz w:val="24"/>
          <w:szCs w:val="24"/>
        </w:rPr>
        <w:t xml:space="preserve">(Rico </w:t>
      </w:r>
      <w:r w:rsidR="00E376B7" w:rsidRPr="002A7859">
        <w:rPr>
          <w:rFonts w:asciiTheme="majorBidi" w:hAnsiTheme="majorBidi" w:cstheme="majorBidi"/>
          <w:i/>
          <w:iCs/>
          <w:sz w:val="24"/>
          <w:szCs w:val="24"/>
        </w:rPr>
        <w:t>et al</w:t>
      </w:r>
      <w:r w:rsidR="00E376B7" w:rsidRPr="002A7859">
        <w:rPr>
          <w:rFonts w:asciiTheme="majorBidi" w:hAnsiTheme="majorBidi" w:cstheme="majorBidi"/>
          <w:sz w:val="24"/>
          <w:szCs w:val="24"/>
        </w:rPr>
        <w:t>., 2011).</w:t>
      </w:r>
    </w:p>
    <w:p w14:paraId="2C2EFFAB" w14:textId="76C3F664" w:rsidR="00582B76" w:rsidRPr="002A7859" w:rsidRDefault="00CE6C47" w:rsidP="00321FB8">
      <w:pPr>
        <w:jc w:val="both"/>
        <w:rPr>
          <w:rFonts w:asciiTheme="majorBidi" w:hAnsiTheme="majorBidi" w:cstheme="majorBidi"/>
          <w:b/>
          <w:bCs/>
          <w:sz w:val="24"/>
          <w:szCs w:val="24"/>
          <w:lang w:val="en"/>
        </w:rPr>
      </w:pPr>
      <w:r w:rsidRPr="002A7859">
        <w:rPr>
          <w:rFonts w:asciiTheme="majorBidi" w:hAnsiTheme="majorBidi" w:cstheme="majorBidi"/>
          <w:b/>
          <w:bCs/>
          <w:sz w:val="24"/>
          <w:szCs w:val="24"/>
          <w:lang w:val="en"/>
        </w:rPr>
        <w:t xml:space="preserve">2.5 </w:t>
      </w:r>
      <w:r w:rsidR="00582B76" w:rsidRPr="002A7859">
        <w:rPr>
          <w:rFonts w:asciiTheme="majorBidi" w:hAnsiTheme="majorBidi" w:cstheme="majorBidi"/>
          <w:b/>
          <w:bCs/>
          <w:sz w:val="24"/>
          <w:szCs w:val="24"/>
          <w:lang w:val="en"/>
        </w:rPr>
        <w:t xml:space="preserve">Testing the effectiveness of </w:t>
      </w:r>
      <w:r w:rsidRPr="002A7859">
        <w:rPr>
          <w:rFonts w:asciiTheme="majorBidi" w:hAnsiTheme="majorBidi" w:cstheme="majorBidi"/>
          <w:b/>
          <w:bCs/>
          <w:sz w:val="24"/>
          <w:szCs w:val="24"/>
          <w:lang w:val="en"/>
        </w:rPr>
        <w:t>biosynthesis</w:t>
      </w:r>
      <w:r w:rsidR="00582B76" w:rsidRPr="002A7859">
        <w:rPr>
          <w:rFonts w:asciiTheme="majorBidi" w:hAnsiTheme="majorBidi" w:cstheme="majorBidi"/>
          <w:b/>
          <w:bCs/>
          <w:sz w:val="24"/>
          <w:szCs w:val="24"/>
          <w:lang w:val="en"/>
        </w:rPr>
        <w:t xml:space="preserve"> silver nanoparticle concentrations in inhibiting the growth of the fungi</w:t>
      </w:r>
    </w:p>
    <w:p w14:paraId="4D8811DF" w14:textId="77FEF9A7" w:rsidR="00582B76" w:rsidRPr="00332F9A" w:rsidRDefault="00332F9A" w:rsidP="00332F9A">
      <w:pPr>
        <w:jc w:val="both"/>
        <w:rPr>
          <w:rFonts w:asciiTheme="majorBidi" w:hAnsiTheme="majorBidi" w:cstheme="majorBidi"/>
          <w:sz w:val="24"/>
          <w:szCs w:val="24"/>
        </w:rPr>
      </w:pPr>
      <w:r w:rsidRPr="00332F9A">
        <w:rPr>
          <w:rFonts w:asciiTheme="majorBidi" w:hAnsiTheme="majorBidi" w:cstheme="majorBidi"/>
          <w:sz w:val="24"/>
          <w:szCs w:val="24"/>
        </w:rPr>
        <w:t>Three duplicates of each treatment were used to examine the efficacy of the produced silver nanoparticle solution on the investigated fungus at doses of 10, 20, and 40 mg/ml.</w:t>
      </w:r>
      <w:r>
        <w:rPr>
          <w:rFonts w:asciiTheme="majorBidi" w:hAnsiTheme="majorBidi" w:cstheme="majorBidi" w:hint="cs"/>
          <w:sz w:val="24"/>
          <w:szCs w:val="24"/>
          <w:rtl/>
          <w:lang w:bidi="ar-IQ"/>
        </w:rPr>
        <w:t xml:space="preserve"> </w:t>
      </w:r>
      <w:r w:rsidR="00582B76" w:rsidRPr="002A7859">
        <w:rPr>
          <w:rFonts w:asciiTheme="majorBidi" w:hAnsiTheme="majorBidi" w:cstheme="majorBidi"/>
          <w:sz w:val="24"/>
          <w:szCs w:val="24"/>
          <w:lang w:val="en"/>
        </w:rPr>
        <w:t>The plates were incubated at 25°C for 6 days with daily monitoring. The inhibition percentage was calculated using the following equation:</w:t>
      </w:r>
    </w:p>
    <w:p w14:paraId="78228661" w14:textId="77777777" w:rsidR="00582B76" w:rsidRPr="002A7859" w:rsidRDefault="00582B76" w:rsidP="00321FB8">
      <w:pPr>
        <w:jc w:val="both"/>
        <w:rPr>
          <w:rFonts w:asciiTheme="majorBidi" w:hAnsiTheme="majorBidi" w:cstheme="majorBidi"/>
          <w:sz w:val="24"/>
          <w:szCs w:val="24"/>
          <w:lang w:val="en-US"/>
        </w:rPr>
      </w:pPr>
      <w:r w:rsidRPr="002A7859">
        <w:rPr>
          <w:rFonts w:asciiTheme="majorBidi" w:hAnsiTheme="majorBidi" w:cstheme="majorBidi"/>
          <w:sz w:val="24"/>
          <w:szCs w:val="24"/>
          <w:lang w:val="en"/>
        </w:rPr>
        <w:t>Percentage of inhibition = (Treatment for fungal growth rate - Control for fungal growth rate) / (Control for fungal growth rate) x 100</w:t>
      </w:r>
    </w:p>
    <w:p w14:paraId="31CAF441" w14:textId="32DA5899"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 xml:space="preserve">2.6 </w:t>
      </w:r>
      <w:r w:rsidR="001932E6" w:rsidRPr="002A7859">
        <w:rPr>
          <w:rFonts w:asciiTheme="majorBidi" w:hAnsiTheme="majorBidi" w:cstheme="majorBidi"/>
          <w:b/>
          <w:bCs/>
          <w:sz w:val="24"/>
          <w:szCs w:val="24"/>
        </w:rPr>
        <w:t xml:space="preserve">Determinate the </w:t>
      </w:r>
      <w:r w:rsidR="00565B39" w:rsidRPr="002A7859">
        <w:rPr>
          <w:rFonts w:asciiTheme="majorBidi" w:hAnsiTheme="majorBidi" w:cstheme="majorBidi"/>
          <w:b/>
          <w:bCs/>
          <w:sz w:val="24"/>
          <w:szCs w:val="24"/>
        </w:rPr>
        <w:t>M</w:t>
      </w:r>
      <w:r w:rsidR="001932E6" w:rsidRPr="002A7859">
        <w:rPr>
          <w:rFonts w:asciiTheme="majorBidi" w:hAnsiTheme="majorBidi" w:cstheme="majorBidi"/>
          <w:b/>
          <w:bCs/>
          <w:sz w:val="24"/>
          <w:szCs w:val="24"/>
        </w:rPr>
        <w:t xml:space="preserve">ycotion </w:t>
      </w:r>
      <w:r w:rsidR="00565B39" w:rsidRPr="002A7859">
        <w:rPr>
          <w:rFonts w:asciiTheme="majorBidi" w:hAnsiTheme="majorBidi" w:cstheme="majorBidi"/>
          <w:b/>
          <w:bCs/>
          <w:sz w:val="24"/>
          <w:szCs w:val="24"/>
        </w:rPr>
        <w:t>C</w:t>
      </w:r>
      <w:r w:rsidR="001932E6" w:rsidRPr="002A7859">
        <w:rPr>
          <w:rFonts w:asciiTheme="majorBidi" w:hAnsiTheme="majorBidi" w:cstheme="majorBidi"/>
          <w:b/>
          <w:bCs/>
          <w:sz w:val="24"/>
          <w:szCs w:val="24"/>
        </w:rPr>
        <w:t>ontet</w:t>
      </w:r>
    </w:p>
    <w:p w14:paraId="5209365B" w14:textId="3C4D3C8C" w:rsidR="00285A99" w:rsidRPr="002A7859" w:rsidRDefault="00285A99" w:rsidP="00321FB8">
      <w:pPr>
        <w:jc w:val="both"/>
        <w:rPr>
          <w:rFonts w:asciiTheme="majorBidi" w:hAnsiTheme="majorBidi" w:cstheme="majorBidi"/>
          <w:sz w:val="24"/>
          <w:szCs w:val="24"/>
        </w:rPr>
      </w:pPr>
      <w:r w:rsidRPr="002A7859">
        <w:rPr>
          <w:rFonts w:asciiTheme="majorBidi" w:hAnsiTheme="majorBidi" w:cstheme="majorBidi"/>
          <w:sz w:val="24"/>
          <w:szCs w:val="24"/>
        </w:rPr>
        <w:t>Mycotoxin levels were determined using high-performance liquid chromatography (HPLC)</w:t>
      </w:r>
      <w:r w:rsidR="00416B24" w:rsidRPr="002A7859">
        <w:rPr>
          <w:rFonts w:asciiTheme="majorBidi" w:hAnsiTheme="majorBidi" w:cstheme="majorBidi"/>
          <w:sz w:val="24"/>
          <w:szCs w:val="24"/>
        </w:rPr>
        <w:t xml:space="preserve">found in </w:t>
      </w:r>
      <w:r w:rsidR="00416B24" w:rsidRPr="002A7859">
        <w:rPr>
          <w:rFonts w:asciiTheme="majorBidi" w:hAnsiTheme="majorBidi" w:cstheme="majorBidi"/>
          <w:sz w:val="24"/>
          <w:szCs w:val="24"/>
          <w:lang w:val="en"/>
        </w:rPr>
        <w:t>Scientific Research Authority Laboratories – Environment and Water Department, Baghdad</w:t>
      </w:r>
      <w:r w:rsidRPr="002A7859">
        <w:rPr>
          <w:rFonts w:asciiTheme="majorBidi" w:hAnsiTheme="majorBidi" w:cstheme="majorBidi"/>
          <w:sz w:val="24"/>
          <w:szCs w:val="24"/>
        </w:rPr>
        <w:t xml:space="preserve">, which is a sensitive and reliable method for detecting fungal secondary metabolites. These metabolites are produced during fungal growth and are responsible for toxic effects in contaminated food and feed (Bhat </w:t>
      </w:r>
      <w:r w:rsidRPr="002A7859">
        <w:rPr>
          <w:rFonts w:asciiTheme="majorBidi" w:hAnsiTheme="majorBidi" w:cstheme="majorBidi"/>
          <w:i/>
          <w:iCs/>
          <w:sz w:val="24"/>
          <w:szCs w:val="24"/>
        </w:rPr>
        <w:t>et al</w:t>
      </w:r>
      <w:r w:rsidRPr="002A7859">
        <w:rPr>
          <w:rFonts w:asciiTheme="majorBidi" w:hAnsiTheme="majorBidi" w:cstheme="majorBidi"/>
          <w:sz w:val="24"/>
          <w:szCs w:val="24"/>
        </w:rPr>
        <w:t>., 2010).</w:t>
      </w:r>
    </w:p>
    <w:p w14:paraId="46772B9B" w14:textId="77777777" w:rsidR="00285A99" w:rsidRPr="002A7859" w:rsidRDefault="00285A99" w:rsidP="00321FB8">
      <w:pPr>
        <w:jc w:val="both"/>
        <w:rPr>
          <w:rFonts w:asciiTheme="majorBidi" w:hAnsiTheme="majorBidi" w:cstheme="majorBidi"/>
          <w:sz w:val="24"/>
          <w:szCs w:val="24"/>
        </w:rPr>
      </w:pPr>
      <w:r w:rsidRPr="002A7859">
        <w:rPr>
          <w:rFonts w:asciiTheme="majorBidi" w:hAnsiTheme="majorBidi" w:cstheme="majorBidi"/>
          <w:sz w:val="24"/>
          <w:szCs w:val="24"/>
        </w:rPr>
        <w:t>The analysis was conducted to evaluate the effect of biosynthesized silver nanoparticles on the production of mycotoxins. A reduction in toxin levels was interpreted as an indication of inhibition of fungal metabolic activity and interference with toxin biosynthesis pathways.</w:t>
      </w:r>
    </w:p>
    <w:p w14:paraId="3724B714"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3. Results</w:t>
      </w:r>
      <w:r w:rsidR="00285A99" w:rsidRPr="002A7859">
        <w:rPr>
          <w:rFonts w:asciiTheme="majorBidi" w:hAnsiTheme="majorBidi" w:cstheme="majorBidi"/>
          <w:b/>
          <w:bCs/>
          <w:sz w:val="24"/>
          <w:szCs w:val="24"/>
        </w:rPr>
        <w:t xml:space="preserve"> and Discussion</w:t>
      </w:r>
    </w:p>
    <w:p w14:paraId="16904F50" w14:textId="387C4D91" w:rsidR="00A22E6F" w:rsidRPr="002A7859" w:rsidRDefault="00A22E6F"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 xml:space="preserve">3.1 </w:t>
      </w:r>
      <w:r w:rsidRPr="002A7859">
        <w:rPr>
          <w:rFonts w:asciiTheme="majorBidi" w:hAnsiTheme="majorBidi" w:cstheme="majorBidi"/>
          <w:b/>
          <w:bCs/>
          <w:sz w:val="24"/>
          <w:szCs w:val="24"/>
          <w:lang w:val="en-US"/>
        </w:rPr>
        <w:t>Sterilized</w:t>
      </w:r>
      <w:r w:rsidR="005503A0" w:rsidRPr="002A7859">
        <w:rPr>
          <w:rFonts w:asciiTheme="majorBidi" w:hAnsiTheme="majorBidi" w:cstheme="majorBidi"/>
          <w:b/>
          <w:bCs/>
          <w:sz w:val="24"/>
          <w:szCs w:val="24"/>
          <w:lang w:val="en-US"/>
        </w:rPr>
        <w:t xml:space="preserve"> S</w:t>
      </w:r>
      <w:r w:rsidRPr="002A7859">
        <w:rPr>
          <w:rFonts w:asciiTheme="majorBidi" w:hAnsiTheme="majorBidi" w:cstheme="majorBidi"/>
          <w:b/>
          <w:bCs/>
          <w:sz w:val="24"/>
          <w:szCs w:val="24"/>
        </w:rPr>
        <w:t xml:space="preserve">eedling </w:t>
      </w:r>
      <w:r w:rsidR="009D146B" w:rsidRPr="002A7859">
        <w:rPr>
          <w:rFonts w:asciiTheme="majorBidi" w:hAnsiTheme="majorBidi" w:cstheme="majorBidi"/>
          <w:b/>
          <w:bCs/>
          <w:sz w:val="24"/>
          <w:szCs w:val="24"/>
        </w:rPr>
        <w:t>P</w:t>
      </w:r>
      <w:r w:rsidRPr="002A7859">
        <w:rPr>
          <w:rFonts w:asciiTheme="majorBidi" w:hAnsiTheme="majorBidi" w:cstheme="majorBidi"/>
          <w:b/>
          <w:bCs/>
          <w:sz w:val="24"/>
          <w:szCs w:val="24"/>
        </w:rPr>
        <w:t>roduction</w:t>
      </w:r>
    </w:p>
    <w:p w14:paraId="393F69C2" w14:textId="77777777" w:rsidR="00A22E6F" w:rsidRPr="002A7859" w:rsidRDefault="00D937A1" w:rsidP="00321FB8">
      <w:pPr>
        <w:jc w:val="both"/>
        <w:rPr>
          <w:rFonts w:asciiTheme="majorBidi" w:hAnsiTheme="majorBidi" w:cstheme="majorBidi"/>
          <w:sz w:val="24"/>
          <w:szCs w:val="24"/>
          <w:rtl/>
        </w:rPr>
      </w:pPr>
      <w:r w:rsidRPr="002A7859">
        <w:rPr>
          <w:rFonts w:asciiTheme="majorBidi" w:hAnsiTheme="majorBidi" w:cstheme="majorBidi"/>
          <w:sz w:val="24"/>
          <w:szCs w:val="24"/>
        </w:rPr>
        <w:t xml:space="preserve">Surface sterilization produced healthy, contamination-free seedlings with 90% germination efficiency within 7 days. This result may be attributed to the effectiveness of the sterilization protocol used, particularly sodium hypochlorite (NaOCl), which efficiently eliminated surface contaminants without causing damage to the embryonic tissues. In addition, the optimized sterilization duration helped maintain seed viability and metabolic activity, leading to successful germination and the production of vigorous seedlings suitable for subsequent </w:t>
      </w:r>
      <w:r w:rsidRPr="002A7859">
        <w:rPr>
          <w:rFonts w:asciiTheme="majorBidi" w:hAnsiTheme="majorBidi" w:cstheme="majorBidi"/>
          <w:i/>
          <w:iCs/>
          <w:sz w:val="24"/>
          <w:szCs w:val="24"/>
        </w:rPr>
        <w:t>in vitro</w:t>
      </w:r>
      <w:r w:rsidRPr="002A7859">
        <w:rPr>
          <w:rFonts w:asciiTheme="majorBidi" w:hAnsiTheme="majorBidi" w:cstheme="majorBidi"/>
          <w:sz w:val="24"/>
          <w:szCs w:val="24"/>
        </w:rPr>
        <w:t xml:space="preserve"> experiments.</w:t>
      </w:r>
      <w:r w:rsidR="00A22E6F" w:rsidRPr="002A7859">
        <w:rPr>
          <w:rFonts w:asciiTheme="majorBidi" w:hAnsiTheme="majorBidi" w:cstheme="majorBidi"/>
          <w:sz w:val="24"/>
          <w:szCs w:val="24"/>
        </w:rPr>
        <w:t>(Fig.1)</w:t>
      </w:r>
    </w:p>
    <w:p w14:paraId="50C90C12" w14:textId="77777777" w:rsidR="00A22E6F" w:rsidRPr="002A7859" w:rsidRDefault="00A22E6F" w:rsidP="00321FB8">
      <w:pPr>
        <w:jc w:val="center"/>
        <w:rPr>
          <w:rFonts w:asciiTheme="majorBidi" w:hAnsiTheme="majorBidi" w:cstheme="majorBidi"/>
          <w:b/>
          <w:bCs/>
          <w:sz w:val="24"/>
          <w:szCs w:val="24"/>
        </w:rPr>
      </w:pPr>
      <w:r w:rsidRPr="002A7859">
        <w:rPr>
          <w:rFonts w:asciiTheme="majorBidi" w:hAnsiTheme="majorBidi" w:cstheme="majorBidi"/>
          <w:b/>
          <w:bCs/>
          <w:noProof/>
          <w:sz w:val="24"/>
          <w:szCs w:val="24"/>
          <w:lang w:eastAsia="tr-TR"/>
        </w:rPr>
        <w:lastRenderedPageBreak/>
        <w:drawing>
          <wp:inline distT="0" distB="0" distL="0" distR="0" wp14:anchorId="4BE46E4A" wp14:editId="1567EF91">
            <wp:extent cx="2705028" cy="2130724"/>
            <wp:effectExtent l="133350" t="57150" r="95885" b="136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4-05_23-46-14.jpg"/>
                    <pic:cNvPicPr/>
                  </pic:nvPicPr>
                  <pic:blipFill>
                    <a:blip r:embed="rId7">
                      <a:extLst>
                        <a:ext uri="{28A0092B-C50C-407E-A947-70E740481C1C}">
                          <a14:useLocalDpi xmlns:a14="http://schemas.microsoft.com/office/drawing/2010/main" val="0"/>
                        </a:ext>
                      </a:extLst>
                    </a:blip>
                    <a:stretch>
                      <a:fillRect/>
                    </a:stretch>
                  </pic:blipFill>
                  <pic:spPr>
                    <a:xfrm>
                      <a:off x="0" y="0"/>
                      <a:ext cx="2712333" cy="213647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4BE0EB26" w14:textId="1E693355" w:rsidR="00A22E6F" w:rsidRPr="002A7859" w:rsidRDefault="00A22E6F" w:rsidP="00321FB8">
      <w:pPr>
        <w:jc w:val="both"/>
        <w:rPr>
          <w:rFonts w:asciiTheme="majorBidi" w:hAnsiTheme="majorBidi" w:cstheme="majorBidi"/>
          <w:sz w:val="24"/>
          <w:szCs w:val="24"/>
        </w:rPr>
      </w:pPr>
      <w:r w:rsidRPr="002A7859">
        <w:rPr>
          <w:rFonts w:asciiTheme="majorBidi" w:hAnsiTheme="majorBidi" w:cstheme="majorBidi"/>
          <w:sz w:val="24"/>
          <w:szCs w:val="24"/>
        </w:rPr>
        <w:t>Figure1: Sunflower (</w:t>
      </w:r>
      <w:r w:rsidRPr="002A7859">
        <w:rPr>
          <w:rFonts w:asciiTheme="majorBidi" w:hAnsiTheme="majorBidi" w:cstheme="majorBidi"/>
          <w:i/>
          <w:iCs/>
          <w:sz w:val="24"/>
          <w:szCs w:val="24"/>
        </w:rPr>
        <w:t xml:space="preserve">Helianthus annuus </w:t>
      </w:r>
      <w:r w:rsidRPr="002A7859">
        <w:rPr>
          <w:rFonts w:asciiTheme="majorBidi" w:hAnsiTheme="majorBidi" w:cstheme="majorBidi"/>
          <w:sz w:val="24"/>
          <w:szCs w:val="24"/>
        </w:rPr>
        <w:t>L</w:t>
      </w:r>
      <w:r w:rsidRPr="002A7859">
        <w:rPr>
          <w:rFonts w:asciiTheme="majorBidi" w:hAnsiTheme="majorBidi" w:cstheme="majorBidi"/>
          <w:i/>
          <w:iCs/>
          <w:sz w:val="24"/>
          <w:szCs w:val="24"/>
        </w:rPr>
        <w:t>.)</w:t>
      </w:r>
      <w:r w:rsidRPr="002A7859">
        <w:rPr>
          <w:rFonts w:asciiTheme="majorBidi" w:hAnsiTheme="majorBidi" w:cstheme="majorBidi"/>
          <w:sz w:val="24"/>
          <w:szCs w:val="24"/>
        </w:rPr>
        <w:t>sterilized seedlings</w:t>
      </w:r>
      <w:r w:rsidR="00D937A1" w:rsidRPr="002A7859">
        <w:rPr>
          <w:rFonts w:asciiTheme="majorBidi" w:hAnsiTheme="majorBidi" w:cstheme="majorBidi"/>
          <w:sz w:val="24"/>
          <w:szCs w:val="24"/>
          <w:lang w:val="en-US"/>
        </w:rPr>
        <w:t xml:space="preserve"> after 7 day</w:t>
      </w:r>
      <w:r w:rsidR="00A5118C" w:rsidRPr="002A7859">
        <w:rPr>
          <w:rFonts w:asciiTheme="majorBidi" w:hAnsiTheme="majorBidi" w:cstheme="majorBidi"/>
          <w:sz w:val="24"/>
          <w:szCs w:val="24"/>
          <w:lang w:val="en-US"/>
        </w:rPr>
        <w:t>s</w:t>
      </w:r>
      <w:r w:rsidR="00D937A1" w:rsidRPr="002A7859">
        <w:rPr>
          <w:rFonts w:asciiTheme="majorBidi" w:hAnsiTheme="majorBidi" w:cstheme="majorBidi"/>
          <w:sz w:val="24"/>
          <w:szCs w:val="24"/>
          <w:lang w:val="en-US"/>
        </w:rPr>
        <w:t xml:space="preserve"> of </w:t>
      </w:r>
      <w:r w:rsidR="008959C1" w:rsidRPr="002A7859">
        <w:rPr>
          <w:rFonts w:asciiTheme="majorBidi" w:hAnsiTheme="majorBidi" w:cstheme="majorBidi"/>
          <w:sz w:val="24"/>
          <w:szCs w:val="24"/>
        </w:rPr>
        <w:t xml:space="preserve"> grow</w:t>
      </w:r>
      <w:r w:rsidR="00D937A1" w:rsidRPr="002A7859">
        <w:rPr>
          <w:rFonts w:asciiTheme="majorBidi" w:hAnsiTheme="majorBidi" w:cstheme="majorBidi"/>
          <w:sz w:val="24"/>
          <w:szCs w:val="24"/>
        </w:rPr>
        <w:t>th</w:t>
      </w:r>
      <w:r w:rsidR="008959C1" w:rsidRPr="002A7859">
        <w:rPr>
          <w:rFonts w:asciiTheme="majorBidi" w:hAnsiTheme="majorBidi" w:cstheme="majorBidi"/>
          <w:sz w:val="24"/>
          <w:szCs w:val="24"/>
        </w:rPr>
        <w:t xml:space="preserve"> on MS medium</w:t>
      </w:r>
    </w:p>
    <w:p w14:paraId="15182500" w14:textId="7E6728D8"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3.</w:t>
      </w:r>
      <w:r w:rsidR="00A22E6F" w:rsidRPr="002A7859">
        <w:rPr>
          <w:rFonts w:asciiTheme="majorBidi" w:hAnsiTheme="majorBidi" w:cstheme="majorBidi"/>
          <w:b/>
          <w:bCs/>
          <w:sz w:val="24"/>
          <w:szCs w:val="24"/>
        </w:rPr>
        <w:t>2</w:t>
      </w:r>
      <w:r w:rsidRPr="002A7859">
        <w:rPr>
          <w:rFonts w:asciiTheme="majorBidi" w:hAnsiTheme="majorBidi" w:cstheme="majorBidi"/>
          <w:b/>
          <w:bCs/>
          <w:sz w:val="24"/>
          <w:szCs w:val="24"/>
        </w:rPr>
        <w:t xml:space="preserve"> </w:t>
      </w:r>
      <w:r w:rsidR="00E80738" w:rsidRPr="002A7859">
        <w:rPr>
          <w:rFonts w:asciiTheme="majorBidi" w:hAnsiTheme="majorBidi" w:cstheme="majorBidi"/>
          <w:b/>
          <w:bCs/>
          <w:sz w:val="24"/>
          <w:szCs w:val="24"/>
        </w:rPr>
        <w:t xml:space="preserve"> Biosynthesis of </w:t>
      </w:r>
      <w:r w:rsidR="005F4853" w:rsidRPr="002A7859">
        <w:rPr>
          <w:rFonts w:asciiTheme="majorBidi" w:hAnsiTheme="majorBidi" w:cstheme="majorBidi"/>
          <w:b/>
          <w:bCs/>
          <w:sz w:val="24"/>
          <w:szCs w:val="24"/>
        </w:rPr>
        <w:t xml:space="preserve">Silver </w:t>
      </w:r>
      <w:r w:rsidRPr="002A7859">
        <w:rPr>
          <w:rFonts w:asciiTheme="majorBidi" w:hAnsiTheme="majorBidi" w:cstheme="majorBidi"/>
          <w:b/>
          <w:bCs/>
          <w:sz w:val="24"/>
          <w:szCs w:val="24"/>
        </w:rPr>
        <w:t>Nanoparticle</w:t>
      </w:r>
      <w:r w:rsidR="005F4853" w:rsidRPr="002A7859">
        <w:rPr>
          <w:rFonts w:asciiTheme="majorBidi" w:hAnsiTheme="majorBidi" w:cstheme="majorBidi"/>
          <w:b/>
          <w:bCs/>
          <w:sz w:val="24"/>
          <w:szCs w:val="24"/>
        </w:rPr>
        <w:t>(AgNPs)</w:t>
      </w:r>
      <w:r w:rsidRPr="002A7859">
        <w:rPr>
          <w:rFonts w:asciiTheme="majorBidi" w:hAnsiTheme="majorBidi" w:cstheme="majorBidi"/>
          <w:b/>
          <w:bCs/>
          <w:sz w:val="24"/>
          <w:szCs w:val="24"/>
        </w:rPr>
        <w:t xml:space="preserve"> and Characterization</w:t>
      </w:r>
      <w:r w:rsidR="00E80738" w:rsidRPr="002A7859">
        <w:rPr>
          <w:rFonts w:asciiTheme="majorBidi" w:hAnsiTheme="majorBidi" w:cstheme="majorBidi"/>
          <w:b/>
          <w:bCs/>
          <w:sz w:val="24"/>
          <w:szCs w:val="24"/>
        </w:rPr>
        <w:t xml:space="preserve"> Techniques</w:t>
      </w:r>
    </w:p>
    <w:p w14:paraId="5A502D8A" w14:textId="77777777" w:rsidR="00A110A2" w:rsidRPr="002A7859" w:rsidRDefault="008959C1" w:rsidP="00321FB8">
      <w:pPr>
        <w:ind w:left="360"/>
        <w:jc w:val="both"/>
        <w:rPr>
          <w:rFonts w:asciiTheme="majorBidi" w:hAnsiTheme="majorBidi" w:cstheme="majorBidi"/>
          <w:b/>
          <w:bCs/>
          <w:sz w:val="24"/>
          <w:szCs w:val="24"/>
        </w:rPr>
      </w:pPr>
      <w:r w:rsidRPr="002A7859">
        <w:rPr>
          <w:rFonts w:asciiTheme="majorBidi" w:hAnsiTheme="majorBidi" w:cstheme="majorBidi"/>
          <w:b/>
          <w:bCs/>
          <w:sz w:val="24"/>
          <w:szCs w:val="24"/>
        </w:rPr>
        <w:t xml:space="preserve">3.2.1 </w:t>
      </w:r>
      <w:r w:rsidR="005F4853" w:rsidRPr="002A7859">
        <w:rPr>
          <w:rFonts w:asciiTheme="majorBidi" w:hAnsiTheme="majorBidi" w:cstheme="majorBidi"/>
          <w:b/>
          <w:bCs/>
          <w:sz w:val="24"/>
          <w:szCs w:val="24"/>
        </w:rPr>
        <w:t>AgNPs biosynthesis and their visual detection</w:t>
      </w:r>
    </w:p>
    <w:p w14:paraId="50EFFE58" w14:textId="74101AF1" w:rsidR="001D422F" w:rsidRPr="002A7859" w:rsidRDefault="00A110A2" w:rsidP="00321FB8">
      <w:pPr>
        <w:jc w:val="both"/>
        <w:rPr>
          <w:rFonts w:asciiTheme="majorBidi" w:hAnsiTheme="majorBidi" w:cstheme="majorBidi"/>
          <w:sz w:val="24"/>
          <w:szCs w:val="24"/>
        </w:rPr>
      </w:pPr>
      <w:r w:rsidRPr="002A7859">
        <w:rPr>
          <w:rFonts w:asciiTheme="majorBidi" w:hAnsiTheme="majorBidi" w:cstheme="majorBidi"/>
          <w:sz w:val="24"/>
          <w:szCs w:val="24"/>
        </w:rPr>
        <w:t>The sunflower</w:t>
      </w:r>
      <w:r w:rsidR="001D422F" w:rsidRPr="002A7859">
        <w:rPr>
          <w:rFonts w:asciiTheme="majorBidi" w:hAnsiTheme="majorBidi" w:cstheme="majorBidi"/>
          <w:sz w:val="24"/>
          <w:szCs w:val="24"/>
        </w:rPr>
        <w:t xml:space="preserve"> seedlings</w:t>
      </w:r>
      <w:r w:rsidRPr="002A7859">
        <w:rPr>
          <w:rFonts w:asciiTheme="majorBidi" w:hAnsiTheme="majorBidi" w:cstheme="majorBidi"/>
          <w:sz w:val="24"/>
          <w:szCs w:val="24"/>
        </w:rPr>
        <w:t xml:space="preserve"> oil exhibited strong reducing capability, inducing a characteristic color transition to</w:t>
      </w:r>
      <w:r w:rsidR="001D422F" w:rsidRPr="002A7859">
        <w:rPr>
          <w:rFonts w:asciiTheme="majorBidi" w:hAnsiTheme="majorBidi" w:cstheme="majorBidi"/>
          <w:sz w:val="24"/>
          <w:szCs w:val="24"/>
        </w:rPr>
        <w:t xml:space="preserve"> turbid</w:t>
      </w:r>
      <w:r w:rsidRPr="002A7859">
        <w:rPr>
          <w:rFonts w:asciiTheme="majorBidi" w:hAnsiTheme="majorBidi" w:cstheme="majorBidi"/>
          <w:sz w:val="24"/>
          <w:szCs w:val="24"/>
        </w:rPr>
        <w:t xml:space="preserve"> </w:t>
      </w:r>
      <w:r w:rsidR="00AF7B5B" w:rsidRPr="002A7859">
        <w:rPr>
          <w:rFonts w:asciiTheme="majorBidi" w:hAnsiTheme="majorBidi" w:cstheme="majorBidi"/>
          <w:sz w:val="24"/>
          <w:szCs w:val="24"/>
        </w:rPr>
        <w:t>yellowish brown</w:t>
      </w:r>
      <w:r w:rsidRPr="002A7859" w:rsidDel="0060281D">
        <w:rPr>
          <w:rFonts w:asciiTheme="majorBidi" w:hAnsiTheme="majorBidi" w:cstheme="majorBidi"/>
          <w:sz w:val="24"/>
          <w:szCs w:val="24"/>
        </w:rPr>
        <w:t xml:space="preserve"> </w:t>
      </w:r>
      <w:r w:rsidRPr="002A7859">
        <w:rPr>
          <w:rFonts w:asciiTheme="majorBidi" w:hAnsiTheme="majorBidi" w:cstheme="majorBidi"/>
          <w:sz w:val="24"/>
          <w:szCs w:val="24"/>
        </w:rPr>
        <w:t>within</w:t>
      </w:r>
      <w:r w:rsidR="00AF7B5B" w:rsidRPr="002A7859">
        <w:rPr>
          <w:sz w:val="24"/>
          <w:szCs w:val="24"/>
        </w:rPr>
        <w:t xml:space="preserve"> </w:t>
      </w:r>
      <w:r w:rsidR="00AF7B5B" w:rsidRPr="002A7859">
        <w:rPr>
          <w:rFonts w:asciiTheme="majorBidi" w:hAnsiTheme="majorBidi" w:cstheme="majorBidi"/>
          <w:sz w:val="24"/>
          <w:szCs w:val="24"/>
        </w:rPr>
        <w:t>15–20</w:t>
      </w:r>
      <w:r w:rsidR="00AF7B5B" w:rsidRPr="002A7859">
        <w:rPr>
          <w:rFonts w:asciiTheme="majorBidi" w:hAnsiTheme="majorBidi" w:cstheme="majorBidi" w:hint="cs"/>
          <w:sz w:val="24"/>
          <w:szCs w:val="24"/>
          <w:rtl/>
        </w:rPr>
        <w:t xml:space="preserve"> </w:t>
      </w:r>
      <w:r w:rsidRPr="002A7859">
        <w:rPr>
          <w:rFonts w:asciiTheme="majorBidi" w:hAnsiTheme="majorBidi" w:cstheme="majorBidi"/>
          <w:sz w:val="24"/>
          <w:szCs w:val="24"/>
        </w:rPr>
        <w:t xml:space="preserve"> minutes, representing the formation of AgNPs</w:t>
      </w:r>
      <w:r w:rsidR="00383778" w:rsidRPr="002A7859">
        <w:rPr>
          <w:rFonts w:asciiTheme="majorBidi" w:hAnsiTheme="majorBidi" w:cstheme="majorBidi"/>
          <w:sz w:val="24"/>
          <w:szCs w:val="24"/>
        </w:rPr>
        <w:t>(Fig.2</w:t>
      </w:r>
      <w:r w:rsidR="006A5481" w:rsidRPr="002A7859">
        <w:rPr>
          <w:rFonts w:asciiTheme="majorBidi" w:hAnsiTheme="majorBidi" w:cstheme="majorBidi"/>
          <w:sz w:val="24"/>
          <w:szCs w:val="24"/>
        </w:rPr>
        <w:t>)</w:t>
      </w:r>
      <w:r w:rsidRPr="002A7859">
        <w:rPr>
          <w:rFonts w:asciiTheme="majorBidi" w:hAnsiTheme="majorBidi" w:cstheme="majorBidi"/>
          <w:sz w:val="24"/>
          <w:szCs w:val="24"/>
        </w:rPr>
        <w:t>.</w:t>
      </w:r>
    </w:p>
    <w:p w14:paraId="21FD4F6F" w14:textId="2FAA1659" w:rsidR="00A110A2" w:rsidRPr="002A7859" w:rsidRDefault="001D422F" w:rsidP="00321FB8">
      <w:pPr>
        <w:jc w:val="both"/>
        <w:rPr>
          <w:rFonts w:asciiTheme="majorBidi" w:hAnsiTheme="majorBidi" w:cstheme="majorBidi"/>
          <w:sz w:val="24"/>
          <w:szCs w:val="24"/>
          <w:rtl/>
        </w:rPr>
      </w:pPr>
      <w:r w:rsidRPr="002A7859">
        <w:rPr>
          <w:rFonts w:asciiTheme="majorBidi" w:hAnsiTheme="majorBidi" w:cstheme="majorBidi"/>
          <w:sz w:val="24"/>
          <w:szCs w:val="24"/>
        </w:rPr>
        <w:t>The present study confirms that sunflower oil can act as an effective reducing and stabilizing agent in the green synthesis of silver nanoparticles. The presence of antioxidants and fatty acids contributes to nanoparticle stability and enhances their biological activity (Akkaya, 2018</w:t>
      </w:r>
      <w:r w:rsidR="006A5481" w:rsidRPr="002A7859">
        <w:rPr>
          <w:rFonts w:asciiTheme="majorBidi" w:hAnsiTheme="majorBidi" w:cstheme="majorBidi"/>
          <w:sz w:val="24"/>
          <w:szCs w:val="24"/>
        </w:rPr>
        <w:t xml:space="preserve"> </w:t>
      </w:r>
      <w:r w:rsidRPr="002A7859">
        <w:rPr>
          <w:rFonts w:asciiTheme="majorBidi" w:hAnsiTheme="majorBidi" w:cstheme="majorBidi"/>
          <w:sz w:val="24"/>
          <w:szCs w:val="24"/>
        </w:rPr>
        <w:t>;</w:t>
      </w:r>
      <w:r w:rsidR="0033239B" w:rsidRPr="002A7859">
        <w:rPr>
          <w:rFonts w:asciiTheme="majorBidi" w:hAnsiTheme="majorBidi" w:cstheme="majorBidi"/>
          <w:sz w:val="24"/>
          <w:szCs w:val="24"/>
        </w:rPr>
        <w:t xml:space="preserve">        </w:t>
      </w:r>
      <w:r w:rsidRPr="002A7859">
        <w:rPr>
          <w:rFonts w:asciiTheme="majorBidi" w:hAnsiTheme="majorBidi" w:cstheme="majorBidi"/>
          <w:sz w:val="24"/>
          <w:szCs w:val="24"/>
        </w:rPr>
        <w:t xml:space="preserve"> Li </w:t>
      </w:r>
      <w:r w:rsidRPr="002A7859">
        <w:rPr>
          <w:rFonts w:asciiTheme="majorBidi" w:hAnsiTheme="majorBidi" w:cstheme="majorBidi"/>
          <w:i/>
          <w:iCs/>
          <w:sz w:val="24"/>
          <w:szCs w:val="24"/>
        </w:rPr>
        <w:t>et al</w:t>
      </w:r>
      <w:r w:rsidRPr="002A7859">
        <w:rPr>
          <w:rFonts w:asciiTheme="majorBidi" w:hAnsiTheme="majorBidi" w:cstheme="majorBidi"/>
          <w:sz w:val="24"/>
          <w:szCs w:val="24"/>
        </w:rPr>
        <w:t xml:space="preserve">., 2024). </w:t>
      </w:r>
    </w:p>
    <w:p w14:paraId="0DDD2A85" w14:textId="77777777" w:rsidR="00A110A2" w:rsidRPr="002A7859" w:rsidRDefault="00A110A2" w:rsidP="00321FB8">
      <w:pPr>
        <w:jc w:val="center"/>
        <w:rPr>
          <w:rFonts w:asciiTheme="majorBidi" w:hAnsiTheme="majorBidi" w:cstheme="majorBidi"/>
          <w:b/>
          <w:bCs/>
          <w:sz w:val="24"/>
          <w:szCs w:val="24"/>
        </w:rPr>
      </w:pPr>
      <w:r w:rsidRPr="002A7859">
        <w:rPr>
          <w:rFonts w:asciiTheme="majorBidi" w:hAnsiTheme="majorBidi" w:cstheme="majorBidi"/>
          <w:b/>
          <w:bCs/>
          <w:noProof/>
          <w:sz w:val="24"/>
          <w:szCs w:val="24"/>
          <w:lang w:eastAsia="tr-TR"/>
        </w:rPr>
        <w:drawing>
          <wp:inline distT="0" distB="0" distL="0" distR="0" wp14:anchorId="4F5E499E" wp14:editId="6F3B1839">
            <wp:extent cx="5219700" cy="2162175"/>
            <wp:effectExtent l="114300" t="57150" r="95250" b="1619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ثلاثي.jpg"/>
                    <pic:cNvPicPr/>
                  </pic:nvPicPr>
                  <pic:blipFill>
                    <a:blip r:embed="rId8">
                      <a:extLst>
                        <a:ext uri="{28A0092B-C50C-407E-A947-70E740481C1C}">
                          <a14:useLocalDpi xmlns:a14="http://schemas.microsoft.com/office/drawing/2010/main" val="0"/>
                        </a:ext>
                      </a:extLst>
                    </a:blip>
                    <a:stretch>
                      <a:fillRect/>
                    </a:stretch>
                  </pic:blipFill>
                  <pic:spPr>
                    <a:xfrm>
                      <a:off x="0" y="0"/>
                      <a:ext cx="5224520" cy="216417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8B4F7F2" w14:textId="4096D822" w:rsidR="00FC407C" w:rsidRPr="002A7859" w:rsidRDefault="00FC407C" w:rsidP="00321FB8">
      <w:pPr>
        <w:jc w:val="both"/>
        <w:rPr>
          <w:rFonts w:asciiTheme="majorBidi" w:hAnsiTheme="majorBidi" w:cstheme="majorBidi"/>
          <w:sz w:val="24"/>
          <w:szCs w:val="24"/>
        </w:rPr>
      </w:pPr>
      <w:r w:rsidRPr="002A7859">
        <w:rPr>
          <w:rFonts w:asciiTheme="majorBidi" w:hAnsiTheme="majorBidi" w:cstheme="majorBidi"/>
          <w:sz w:val="24"/>
          <w:szCs w:val="24"/>
        </w:rPr>
        <w:t xml:space="preserve">Figure 2 : Steps of AgNps formation since A: </w:t>
      </w:r>
      <w:r w:rsidR="00FC31B5" w:rsidRPr="002A7859">
        <w:rPr>
          <w:rFonts w:asciiTheme="majorBidi" w:hAnsiTheme="majorBidi" w:cstheme="majorBidi"/>
          <w:sz w:val="24"/>
          <w:szCs w:val="24"/>
        </w:rPr>
        <w:t xml:space="preserve">Seedling </w:t>
      </w:r>
      <w:r w:rsidR="00F05594" w:rsidRPr="002A7859">
        <w:rPr>
          <w:rFonts w:asciiTheme="majorBidi" w:hAnsiTheme="majorBidi" w:cstheme="majorBidi"/>
          <w:sz w:val="24"/>
          <w:szCs w:val="24"/>
        </w:rPr>
        <w:t>S</w:t>
      </w:r>
      <w:r w:rsidRPr="002A7859">
        <w:rPr>
          <w:rFonts w:asciiTheme="majorBidi" w:hAnsiTheme="majorBidi" w:cstheme="majorBidi"/>
          <w:sz w:val="24"/>
          <w:szCs w:val="24"/>
        </w:rPr>
        <w:t>unflower oil , B: AgNO</w:t>
      </w:r>
      <w:r w:rsidRPr="002A7859">
        <w:rPr>
          <w:rFonts w:asciiTheme="majorBidi" w:hAnsiTheme="majorBidi" w:cstheme="majorBidi"/>
          <w:sz w:val="24"/>
          <w:szCs w:val="24"/>
          <w:vertAlign w:val="subscript"/>
        </w:rPr>
        <w:t xml:space="preserve">3 </w:t>
      </w:r>
      <w:r w:rsidRPr="002A7859">
        <w:rPr>
          <w:rFonts w:asciiTheme="majorBidi" w:hAnsiTheme="majorBidi" w:cstheme="majorBidi"/>
          <w:sz w:val="24"/>
          <w:szCs w:val="24"/>
        </w:rPr>
        <w:t xml:space="preserve"> </w:t>
      </w:r>
      <w:r w:rsidR="00F05594" w:rsidRPr="002A7859">
        <w:rPr>
          <w:rFonts w:asciiTheme="majorBidi" w:hAnsiTheme="majorBidi" w:cstheme="majorBidi"/>
          <w:sz w:val="24"/>
          <w:szCs w:val="24"/>
        </w:rPr>
        <w:t xml:space="preserve">solution </w:t>
      </w:r>
      <w:r w:rsidRPr="002A7859">
        <w:rPr>
          <w:rFonts w:asciiTheme="majorBidi" w:hAnsiTheme="majorBidi" w:cstheme="majorBidi"/>
          <w:sz w:val="24"/>
          <w:szCs w:val="24"/>
        </w:rPr>
        <w:t>and C : AgNPs</w:t>
      </w:r>
      <w:r w:rsidR="00F05594" w:rsidRPr="002A7859">
        <w:rPr>
          <w:rFonts w:asciiTheme="majorBidi" w:hAnsiTheme="majorBidi" w:cstheme="majorBidi"/>
          <w:sz w:val="24"/>
          <w:szCs w:val="24"/>
        </w:rPr>
        <w:t xml:space="preserve"> produced</w:t>
      </w:r>
      <w:r w:rsidR="00FC31B5" w:rsidRPr="002A7859">
        <w:rPr>
          <w:rFonts w:asciiTheme="majorBidi" w:hAnsiTheme="majorBidi" w:cstheme="majorBidi"/>
          <w:sz w:val="24"/>
          <w:szCs w:val="24"/>
        </w:rPr>
        <w:t xml:space="preserve"> after</w:t>
      </w:r>
      <w:r w:rsidR="000D5C97" w:rsidRPr="002A7859">
        <w:rPr>
          <w:rFonts w:asciiTheme="majorBidi" w:hAnsiTheme="majorBidi" w:cstheme="majorBidi"/>
          <w:sz w:val="24"/>
          <w:szCs w:val="24"/>
          <w:lang w:val="en-US"/>
        </w:rPr>
        <w:t xml:space="preserve"> 15-20 min</w:t>
      </w:r>
      <w:r w:rsidR="00622732" w:rsidRPr="002A7859">
        <w:rPr>
          <w:rFonts w:asciiTheme="majorBidi" w:hAnsiTheme="majorBidi" w:cstheme="majorBidi"/>
          <w:sz w:val="24"/>
          <w:szCs w:val="24"/>
          <w:lang w:val="en-US"/>
        </w:rPr>
        <w:t xml:space="preserve"> from mix A with B.</w:t>
      </w:r>
      <w:r w:rsidR="00FC31B5" w:rsidRPr="002A7859">
        <w:rPr>
          <w:rFonts w:asciiTheme="majorBidi" w:hAnsiTheme="majorBidi" w:cstheme="majorBidi"/>
          <w:sz w:val="24"/>
          <w:szCs w:val="24"/>
        </w:rPr>
        <w:t xml:space="preserve"> </w:t>
      </w:r>
    </w:p>
    <w:p w14:paraId="5198F1A1" w14:textId="78E886CF" w:rsidR="00A22E6F" w:rsidRPr="002A7859" w:rsidRDefault="00F05594" w:rsidP="00321FB8">
      <w:pPr>
        <w:ind w:left="360"/>
        <w:jc w:val="both"/>
        <w:rPr>
          <w:rFonts w:asciiTheme="majorBidi" w:hAnsiTheme="majorBidi" w:cstheme="majorBidi"/>
          <w:b/>
          <w:bCs/>
          <w:sz w:val="24"/>
          <w:szCs w:val="24"/>
        </w:rPr>
      </w:pPr>
      <w:r w:rsidRPr="002A7859">
        <w:rPr>
          <w:rFonts w:asciiTheme="majorBidi" w:hAnsiTheme="majorBidi" w:cstheme="majorBidi"/>
          <w:b/>
          <w:bCs/>
          <w:sz w:val="24"/>
          <w:szCs w:val="24"/>
        </w:rPr>
        <w:t xml:space="preserve">3.2.2 </w:t>
      </w:r>
      <w:r w:rsidR="00A22E6F" w:rsidRPr="002A7859">
        <w:rPr>
          <w:rFonts w:asciiTheme="majorBidi" w:hAnsiTheme="majorBidi" w:cstheme="majorBidi"/>
          <w:b/>
          <w:bCs/>
          <w:sz w:val="24"/>
          <w:szCs w:val="24"/>
        </w:rPr>
        <w:t>UV–</w:t>
      </w:r>
      <w:r w:rsidR="002352FA" w:rsidRPr="002A7859">
        <w:rPr>
          <w:rFonts w:asciiTheme="majorBidi" w:hAnsiTheme="majorBidi" w:cstheme="majorBidi"/>
          <w:b/>
          <w:bCs/>
          <w:sz w:val="24"/>
          <w:szCs w:val="24"/>
        </w:rPr>
        <w:t>V</w:t>
      </w:r>
      <w:r w:rsidR="00A22E6F" w:rsidRPr="002A7859">
        <w:rPr>
          <w:rFonts w:asciiTheme="majorBidi" w:hAnsiTheme="majorBidi" w:cstheme="majorBidi"/>
          <w:b/>
          <w:bCs/>
          <w:sz w:val="24"/>
          <w:szCs w:val="24"/>
        </w:rPr>
        <w:t xml:space="preserve">isible </w:t>
      </w:r>
      <w:r w:rsidR="002352FA" w:rsidRPr="002A7859">
        <w:rPr>
          <w:rFonts w:asciiTheme="majorBidi" w:hAnsiTheme="majorBidi" w:cstheme="majorBidi"/>
          <w:b/>
          <w:bCs/>
          <w:sz w:val="24"/>
          <w:szCs w:val="24"/>
        </w:rPr>
        <w:t>S</w:t>
      </w:r>
      <w:r w:rsidR="00A22E6F" w:rsidRPr="002A7859">
        <w:rPr>
          <w:rFonts w:asciiTheme="majorBidi" w:hAnsiTheme="majorBidi" w:cstheme="majorBidi"/>
          <w:b/>
          <w:bCs/>
          <w:sz w:val="24"/>
          <w:szCs w:val="24"/>
        </w:rPr>
        <w:t xml:space="preserve">pectroscopic </w:t>
      </w:r>
      <w:r w:rsidR="002352FA" w:rsidRPr="002A7859">
        <w:rPr>
          <w:rFonts w:asciiTheme="majorBidi" w:hAnsiTheme="majorBidi" w:cstheme="majorBidi"/>
          <w:b/>
          <w:bCs/>
          <w:sz w:val="24"/>
          <w:szCs w:val="24"/>
        </w:rPr>
        <w:t>C</w:t>
      </w:r>
      <w:r w:rsidR="00A22E6F" w:rsidRPr="002A7859">
        <w:rPr>
          <w:rFonts w:asciiTheme="majorBidi" w:hAnsiTheme="majorBidi" w:cstheme="majorBidi"/>
          <w:b/>
          <w:bCs/>
          <w:sz w:val="24"/>
          <w:szCs w:val="24"/>
        </w:rPr>
        <w:t>haracterization of AgNPs</w:t>
      </w:r>
    </w:p>
    <w:p w14:paraId="737A8AEC" w14:textId="019FDC2F" w:rsidR="00E376B7" w:rsidRPr="002A7859" w:rsidRDefault="00E376B7" w:rsidP="00321FB8">
      <w:pPr>
        <w:jc w:val="both"/>
        <w:rPr>
          <w:rFonts w:asciiTheme="majorBidi" w:hAnsiTheme="majorBidi" w:cstheme="majorBidi"/>
          <w:sz w:val="24"/>
          <w:szCs w:val="24"/>
        </w:rPr>
      </w:pPr>
      <w:r w:rsidRPr="002A7859">
        <w:rPr>
          <w:rFonts w:asciiTheme="majorBidi" w:hAnsiTheme="majorBidi" w:cstheme="majorBidi"/>
          <w:sz w:val="24"/>
          <w:szCs w:val="24"/>
        </w:rPr>
        <w:lastRenderedPageBreak/>
        <w:t>The formation of AgNPs was confirmed by a</w:t>
      </w:r>
      <w:r w:rsidR="000D5C97" w:rsidRPr="002A7859">
        <w:rPr>
          <w:rFonts w:asciiTheme="majorBidi" w:hAnsiTheme="majorBidi" w:cstheme="majorBidi"/>
          <w:sz w:val="24"/>
          <w:szCs w:val="24"/>
        </w:rPr>
        <w:t xml:space="preserve"> the above</w:t>
      </w:r>
      <w:r w:rsidRPr="002A7859">
        <w:rPr>
          <w:rFonts w:asciiTheme="majorBidi" w:hAnsiTheme="majorBidi" w:cstheme="majorBidi"/>
          <w:sz w:val="24"/>
          <w:szCs w:val="24"/>
        </w:rPr>
        <w:t xml:space="preserve"> distinct color change</w:t>
      </w:r>
      <w:r w:rsidR="00071599" w:rsidRPr="002A7859">
        <w:rPr>
          <w:rFonts w:asciiTheme="majorBidi" w:hAnsiTheme="majorBidi" w:cstheme="majorBidi"/>
          <w:sz w:val="24"/>
          <w:szCs w:val="24"/>
        </w:rPr>
        <w:t xml:space="preserve"> f</w:t>
      </w:r>
      <w:r w:rsidR="00F05594" w:rsidRPr="002A7859">
        <w:rPr>
          <w:rFonts w:asciiTheme="majorBidi" w:hAnsiTheme="majorBidi" w:cstheme="majorBidi"/>
          <w:sz w:val="24"/>
          <w:szCs w:val="24"/>
        </w:rPr>
        <w:t>rom colorless to yellow</w:t>
      </w:r>
      <w:r w:rsidR="00F05594" w:rsidRPr="002A7859">
        <w:rPr>
          <w:rFonts w:asciiTheme="majorBidi" w:hAnsiTheme="majorBidi" w:cstheme="majorBidi" w:hint="cs"/>
          <w:sz w:val="24"/>
          <w:szCs w:val="24"/>
          <w:rtl/>
        </w:rPr>
        <w:t xml:space="preserve"> </w:t>
      </w:r>
      <w:r w:rsidRPr="002A7859">
        <w:rPr>
          <w:rFonts w:asciiTheme="majorBidi" w:hAnsiTheme="majorBidi" w:cstheme="majorBidi"/>
          <w:sz w:val="24"/>
          <w:szCs w:val="24"/>
        </w:rPr>
        <w:t>, which is attributed to the excitation of surface plasmon vibrations (Iravani, 2011). UV–Vis spectra showed a characteristic peak in the range of 400–4</w:t>
      </w:r>
      <w:r w:rsidR="00C34575" w:rsidRPr="002A7859">
        <w:rPr>
          <w:rFonts w:asciiTheme="majorBidi" w:hAnsiTheme="majorBidi" w:cstheme="majorBidi"/>
          <w:sz w:val="24"/>
          <w:szCs w:val="24"/>
        </w:rPr>
        <w:t>4</w:t>
      </w:r>
      <w:r w:rsidRPr="002A7859">
        <w:rPr>
          <w:rFonts w:asciiTheme="majorBidi" w:hAnsiTheme="majorBidi" w:cstheme="majorBidi"/>
          <w:sz w:val="24"/>
          <w:szCs w:val="24"/>
        </w:rPr>
        <w:t>0 nm, consistent with prev</w:t>
      </w:r>
      <w:r w:rsidR="00A22E6F" w:rsidRPr="002A7859">
        <w:rPr>
          <w:rFonts w:asciiTheme="majorBidi" w:hAnsiTheme="majorBidi" w:cstheme="majorBidi"/>
          <w:sz w:val="24"/>
          <w:szCs w:val="24"/>
        </w:rPr>
        <w:t xml:space="preserve">ious studies (Rai </w:t>
      </w:r>
      <w:r w:rsidR="00A22E6F" w:rsidRPr="002A7859">
        <w:rPr>
          <w:rFonts w:asciiTheme="majorBidi" w:hAnsiTheme="majorBidi" w:cstheme="majorBidi"/>
          <w:i/>
          <w:iCs/>
          <w:sz w:val="24"/>
          <w:szCs w:val="24"/>
        </w:rPr>
        <w:t>et al.,</w:t>
      </w:r>
      <w:r w:rsidR="00A22E6F" w:rsidRPr="002A7859">
        <w:rPr>
          <w:rFonts w:asciiTheme="majorBidi" w:hAnsiTheme="majorBidi" w:cstheme="majorBidi"/>
          <w:sz w:val="24"/>
          <w:szCs w:val="24"/>
        </w:rPr>
        <w:t xml:space="preserve"> 2009) The absorbance values of  biosynthesis AgNPs solution were measured in the electromagnetic spectrum's visible area. The UV–Vis spectrum showed a prominent absorption peak at 440 nm</w:t>
      </w:r>
      <w:r w:rsidR="00071599" w:rsidRPr="002A7859">
        <w:rPr>
          <w:rFonts w:asciiTheme="majorBidi" w:hAnsiTheme="majorBidi" w:cstheme="majorBidi"/>
          <w:sz w:val="24"/>
          <w:szCs w:val="24"/>
        </w:rPr>
        <w:t xml:space="preserve"> for silver nanoparcticles</w:t>
      </w:r>
      <w:r w:rsidR="00A22E6F" w:rsidRPr="002A7859">
        <w:rPr>
          <w:rFonts w:asciiTheme="majorBidi" w:hAnsiTheme="majorBidi" w:cstheme="majorBidi"/>
          <w:sz w:val="24"/>
          <w:szCs w:val="24"/>
        </w:rPr>
        <w:t xml:space="preserve"> (Fig</w:t>
      </w:r>
      <w:r w:rsidR="00C34575" w:rsidRPr="002A7859">
        <w:rPr>
          <w:rFonts w:asciiTheme="majorBidi" w:hAnsiTheme="majorBidi" w:cstheme="majorBidi"/>
          <w:sz w:val="24"/>
          <w:szCs w:val="24"/>
        </w:rPr>
        <w:t>.3</w:t>
      </w:r>
      <w:r w:rsidR="00A22E6F" w:rsidRPr="002A7859">
        <w:rPr>
          <w:rFonts w:asciiTheme="majorBidi" w:hAnsiTheme="majorBidi" w:cstheme="majorBidi"/>
          <w:sz w:val="24"/>
          <w:szCs w:val="24"/>
        </w:rPr>
        <w:t>) .</w:t>
      </w:r>
    </w:p>
    <w:p w14:paraId="3F306CFB" w14:textId="77777777" w:rsidR="005A0272" w:rsidRPr="002A7859" w:rsidRDefault="005A0272" w:rsidP="00321FB8">
      <w:pPr>
        <w:jc w:val="center"/>
        <w:rPr>
          <w:rFonts w:asciiTheme="majorBidi" w:hAnsiTheme="majorBidi" w:cstheme="majorBidi"/>
          <w:sz w:val="24"/>
          <w:szCs w:val="24"/>
        </w:rPr>
      </w:pPr>
      <w:r w:rsidRPr="002A7859">
        <w:rPr>
          <w:rFonts w:asciiTheme="majorBidi" w:hAnsiTheme="majorBidi" w:cstheme="majorBidi"/>
          <w:noProof/>
          <w:sz w:val="24"/>
          <w:szCs w:val="24"/>
          <w:lang w:eastAsia="tr-TR"/>
        </w:rPr>
        <w:drawing>
          <wp:inline distT="0" distB="0" distL="0" distR="0" wp14:anchorId="491D3D24" wp14:editId="01BF606E">
            <wp:extent cx="3705225" cy="2076450"/>
            <wp:effectExtent l="95250" t="95250" r="104775" b="9525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تيجة2.PNG"/>
                    <pic:cNvPicPr/>
                  </pic:nvPicPr>
                  <pic:blipFill>
                    <a:blip r:embed="rId9">
                      <a:extLst>
                        <a:ext uri="{28A0092B-C50C-407E-A947-70E740481C1C}">
                          <a14:useLocalDpi xmlns:a14="http://schemas.microsoft.com/office/drawing/2010/main" val="0"/>
                        </a:ext>
                      </a:extLst>
                    </a:blip>
                    <a:stretch>
                      <a:fillRect/>
                    </a:stretch>
                  </pic:blipFill>
                  <pic:spPr>
                    <a:xfrm>
                      <a:off x="0" y="0"/>
                      <a:ext cx="3705742" cy="20767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FD1ACBB" w14:textId="77777777" w:rsidR="005A0272" w:rsidRPr="002A7859" w:rsidRDefault="005A0272" w:rsidP="00321FB8">
      <w:pPr>
        <w:jc w:val="both"/>
        <w:rPr>
          <w:rFonts w:asciiTheme="majorBidi" w:hAnsiTheme="majorBidi" w:cstheme="majorBidi"/>
          <w:b/>
          <w:bCs/>
          <w:sz w:val="24"/>
          <w:szCs w:val="24"/>
          <w:lang w:val="en-US"/>
        </w:rPr>
      </w:pPr>
      <w:r w:rsidRPr="002A7859">
        <w:rPr>
          <w:rFonts w:asciiTheme="majorBidi" w:hAnsiTheme="majorBidi" w:cstheme="majorBidi"/>
          <w:sz w:val="24"/>
          <w:szCs w:val="24"/>
        </w:rPr>
        <w:t xml:space="preserve">Figure </w:t>
      </w:r>
      <w:r w:rsidR="00450B28" w:rsidRPr="002A7859">
        <w:rPr>
          <w:rFonts w:asciiTheme="majorBidi" w:hAnsiTheme="majorBidi" w:cstheme="majorBidi"/>
          <w:sz w:val="24"/>
          <w:szCs w:val="24"/>
        </w:rPr>
        <w:t>3</w:t>
      </w:r>
      <w:r w:rsidRPr="002A7859">
        <w:rPr>
          <w:rFonts w:asciiTheme="majorBidi" w:hAnsiTheme="majorBidi" w:cstheme="majorBidi"/>
          <w:sz w:val="24"/>
          <w:szCs w:val="24"/>
        </w:rPr>
        <w:t xml:space="preserve">: UV–Vis spectrum analysis of silver nanoparticle </w:t>
      </w:r>
      <w:r w:rsidR="00C34575" w:rsidRPr="002A7859">
        <w:rPr>
          <w:rFonts w:asciiTheme="majorBidi" w:hAnsiTheme="majorBidi" w:cstheme="majorBidi"/>
          <w:sz w:val="24"/>
          <w:szCs w:val="24"/>
        </w:rPr>
        <w:t>synthesis</w:t>
      </w:r>
      <w:r w:rsidRPr="002A7859">
        <w:rPr>
          <w:rFonts w:asciiTheme="majorBidi" w:hAnsiTheme="majorBidi" w:cstheme="majorBidi"/>
          <w:sz w:val="24"/>
          <w:szCs w:val="24"/>
        </w:rPr>
        <w:t xml:space="preserve"> by sunflower seedlings oil compound citral at 440 nm</w:t>
      </w:r>
    </w:p>
    <w:p w14:paraId="69DC49B6" w14:textId="77777777" w:rsidR="005A0272" w:rsidRPr="002A7859" w:rsidRDefault="004B55E4" w:rsidP="00321FB8">
      <w:pPr>
        <w:ind w:left="360"/>
        <w:jc w:val="both"/>
        <w:rPr>
          <w:rFonts w:asciiTheme="majorBidi" w:hAnsiTheme="majorBidi" w:cstheme="majorBidi"/>
          <w:sz w:val="24"/>
          <w:szCs w:val="24"/>
          <w:lang w:val="en-US"/>
        </w:rPr>
      </w:pPr>
      <w:r w:rsidRPr="002A7859">
        <w:rPr>
          <w:rFonts w:ascii="Times New Roman" w:eastAsia="Calibri" w:hAnsi="Times New Roman" w:cs="Arial"/>
          <w:b/>
          <w:bCs/>
          <w:sz w:val="24"/>
          <w:szCs w:val="24"/>
          <w:lang w:val="en-US"/>
        </w:rPr>
        <w:t xml:space="preserve">3.2.3 </w:t>
      </w:r>
      <w:r w:rsidR="005A0272" w:rsidRPr="002A7859">
        <w:rPr>
          <w:rFonts w:ascii="Times New Roman" w:eastAsia="Calibri" w:hAnsi="Times New Roman" w:cs="Arial"/>
          <w:b/>
          <w:bCs/>
          <w:sz w:val="24"/>
          <w:szCs w:val="24"/>
          <w:lang w:val="en-US"/>
        </w:rPr>
        <w:t>Fourier transform infrared (FTIR) spectroscopy</w:t>
      </w:r>
    </w:p>
    <w:p w14:paraId="4304CBC5" w14:textId="3C91D530" w:rsidR="005A0272" w:rsidRPr="002A7859" w:rsidRDefault="005A0272" w:rsidP="00321FB8">
      <w:pPr>
        <w:jc w:val="both"/>
        <w:rPr>
          <w:rFonts w:asciiTheme="majorBidi" w:hAnsiTheme="majorBidi" w:cstheme="majorBidi"/>
          <w:sz w:val="24"/>
          <w:szCs w:val="24"/>
          <w:lang w:val="en-US"/>
        </w:rPr>
      </w:pPr>
      <w:r w:rsidRPr="002A7859">
        <w:rPr>
          <w:rFonts w:asciiTheme="majorBidi" w:hAnsiTheme="majorBidi" w:cstheme="majorBidi"/>
          <w:sz w:val="24"/>
          <w:szCs w:val="24"/>
          <w:lang w:val="en-US"/>
        </w:rPr>
        <w:t xml:space="preserve">FTIR analysis was used to determine the potential functional groups in the biomolecules present in sunflower oil and all the reaction tubes, as well as their function in the synthesis of </w:t>
      </w:r>
      <w:proofErr w:type="spellStart"/>
      <w:r w:rsidRPr="002A7859">
        <w:rPr>
          <w:rFonts w:asciiTheme="majorBidi" w:hAnsiTheme="majorBidi" w:cstheme="majorBidi"/>
          <w:sz w:val="24"/>
          <w:szCs w:val="24"/>
          <w:lang w:val="en-US"/>
        </w:rPr>
        <w:t>AgNPs</w:t>
      </w:r>
      <w:proofErr w:type="spellEnd"/>
      <w:r w:rsidRPr="002A7859">
        <w:rPr>
          <w:rFonts w:asciiTheme="majorBidi" w:hAnsiTheme="majorBidi" w:cstheme="majorBidi"/>
          <w:sz w:val="24"/>
          <w:szCs w:val="24"/>
          <w:lang w:val="en-US"/>
        </w:rPr>
        <w:t xml:space="preserve"> as coating agents for the biosynthesis of nanoparticles, such as phenol, alcohol, carboxylic acid, alkaloids, and terpenoids, which are in charge of stabilizing and reducing nanoparticles. The following functional groups were noted in the results</w:t>
      </w:r>
      <w:r w:rsidR="004B55E4" w:rsidRPr="002A7859">
        <w:rPr>
          <w:rFonts w:asciiTheme="majorBidi" w:hAnsiTheme="majorBidi" w:cstheme="majorBidi"/>
          <w:sz w:val="24"/>
          <w:szCs w:val="24"/>
          <w:lang w:val="en-US"/>
        </w:rPr>
        <w:t xml:space="preserve"> (Fig.</w:t>
      </w:r>
      <w:r w:rsidR="005D6D18" w:rsidRPr="002A7859">
        <w:rPr>
          <w:rFonts w:asciiTheme="majorBidi" w:hAnsiTheme="majorBidi" w:cstheme="majorBidi"/>
          <w:sz w:val="24"/>
          <w:szCs w:val="24"/>
          <w:lang w:val="en-US"/>
        </w:rPr>
        <w:t>4</w:t>
      </w:r>
      <w:r w:rsidR="004B55E4" w:rsidRPr="002A7859">
        <w:rPr>
          <w:rFonts w:asciiTheme="majorBidi" w:hAnsiTheme="majorBidi" w:cstheme="majorBidi"/>
          <w:sz w:val="24"/>
          <w:szCs w:val="24"/>
          <w:lang w:val="en-US"/>
        </w:rPr>
        <w:t xml:space="preserve">) </w:t>
      </w:r>
      <w:r w:rsidR="00B51B89" w:rsidRPr="002A7859">
        <w:rPr>
          <w:rFonts w:asciiTheme="majorBidi" w:hAnsiTheme="majorBidi" w:cstheme="majorBidi"/>
          <w:sz w:val="24"/>
          <w:szCs w:val="24"/>
          <w:lang w:val="en-US"/>
        </w:rPr>
        <w:t xml:space="preserve">as the </w:t>
      </w:r>
      <w:r w:rsidR="00425821" w:rsidRPr="002A7859">
        <w:rPr>
          <w:rFonts w:asciiTheme="majorBidi" w:hAnsiTheme="majorBidi" w:cstheme="majorBidi"/>
          <w:sz w:val="24"/>
          <w:szCs w:val="24"/>
          <w:lang w:val="en-US"/>
        </w:rPr>
        <w:t>following:</w:t>
      </w:r>
    </w:p>
    <w:p w14:paraId="60883599" w14:textId="50B1E597" w:rsidR="005A0272" w:rsidRPr="002A7859" w:rsidRDefault="0023265B" w:rsidP="00321FB8">
      <w:pPr>
        <w:pStyle w:val="ListParagraph"/>
        <w:numPr>
          <w:ilvl w:val="0"/>
          <w:numId w:val="23"/>
        </w:numPr>
        <w:tabs>
          <w:tab w:val="left" w:pos="400"/>
        </w:tabs>
        <w:spacing w:after="0"/>
        <w:jc w:val="both"/>
        <w:rPr>
          <w:rFonts w:ascii="Times New Roman" w:eastAsia="Calibri" w:hAnsi="Times New Roman" w:cs="Arial"/>
          <w:sz w:val="24"/>
          <w:szCs w:val="24"/>
          <w:lang w:val="en-US"/>
        </w:rPr>
      </w:pPr>
      <w:r w:rsidRPr="002A7859">
        <w:rPr>
          <w:rFonts w:ascii="Times New Roman" w:eastAsia="Calibri" w:hAnsi="Times New Roman" w:cs="Arial"/>
          <w:sz w:val="24"/>
          <w:szCs w:val="24"/>
          <w:lang w:val="en-US"/>
        </w:rPr>
        <w:t xml:space="preserve">In the </w:t>
      </w:r>
      <w:r w:rsidR="005A0272" w:rsidRPr="002A7859">
        <w:rPr>
          <w:rFonts w:ascii="Times New Roman" w:eastAsia="Calibri" w:hAnsi="Times New Roman" w:cs="Arial"/>
          <w:sz w:val="24"/>
          <w:szCs w:val="24"/>
          <w:lang w:val="en-US"/>
        </w:rPr>
        <w:t>range (3000–4000 cm⁻¹)</w:t>
      </w:r>
      <w:r w:rsidR="00321FB8" w:rsidRPr="002A7859">
        <w:rPr>
          <w:rFonts w:ascii="Times New Roman" w:eastAsia="Calibri" w:hAnsi="Times New Roman" w:cs="Arial"/>
          <w:sz w:val="24"/>
          <w:szCs w:val="24"/>
          <w:lang w:val="en-US"/>
        </w:rPr>
        <w:t xml:space="preserve">: </w:t>
      </w:r>
      <w:r w:rsidR="004B55E4" w:rsidRPr="002A7859">
        <w:rPr>
          <w:rFonts w:ascii="Times New Roman" w:eastAsia="Calibri" w:hAnsi="Times New Roman" w:cs="Arial"/>
          <w:sz w:val="24"/>
          <w:szCs w:val="24"/>
          <w:lang w:val="en-US"/>
        </w:rPr>
        <w:t xml:space="preserve">the </w:t>
      </w:r>
      <w:r w:rsidR="005A0272" w:rsidRPr="002A7859">
        <w:rPr>
          <w:rFonts w:ascii="Times New Roman" w:eastAsia="Calibri" w:hAnsi="Times New Roman" w:cs="Arial"/>
          <w:sz w:val="24"/>
          <w:szCs w:val="24"/>
          <w:lang w:val="en-US"/>
        </w:rPr>
        <w:t>3381 and 3232 cm⁻¹ to O–H vibrations (hydroxyl groups in phenols or sugars)</w:t>
      </w:r>
      <w:r w:rsidR="004B55E4" w:rsidRPr="002A7859">
        <w:rPr>
          <w:rFonts w:ascii="Times New Roman" w:eastAsia="Calibri" w:hAnsi="Times New Roman" w:cs="Arial"/>
          <w:sz w:val="24"/>
          <w:szCs w:val="24"/>
          <w:lang w:val="en-US"/>
        </w:rPr>
        <w:t xml:space="preserve"> found</w:t>
      </w:r>
      <w:r w:rsidR="005A0272" w:rsidRPr="002A7859">
        <w:rPr>
          <w:rFonts w:ascii="Times New Roman" w:eastAsia="Calibri" w:hAnsi="Times New Roman" w:cs="Arial"/>
          <w:sz w:val="24"/>
          <w:szCs w:val="24"/>
          <w:lang w:val="en-US"/>
        </w:rPr>
        <w:t xml:space="preserve"> Indicates the role of phenolic compounds</w:t>
      </w:r>
      <w:r w:rsidR="004B55E4" w:rsidRPr="002A7859">
        <w:rPr>
          <w:rFonts w:ascii="Times New Roman" w:eastAsia="Calibri" w:hAnsi="Times New Roman" w:cs="Arial"/>
          <w:sz w:val="24"/>
          <w:szCs w:val="24"/>
          <w:lang w:val="en-US"/>
        </w:rPr>
        <w:t xml:space="preserve"> in reduction and stabilization ,</w:t>
      </w:r>
      <w:r w:rsidR="005A0272" w:rsidRPr="002A7859">
        <w:rPr>
          <w:rFonts w:ascii="Times New Roman" w:eastAsia="Calibri" w:hAnsi="Times New Roman" w:cs="Arial"/>
          <w:sz w:val="24"/>
          <w:szCs w:val="24"/>
          <w:lang w:val="en-US"/>
        </w:rPr>
        <w:t xml:space="preserve">3060 cm⁻¹: Aromatic C–H vibrations </w:t>
      </w:r>
      <w:r w:rsidR="004B55E4" w:rsidRPr="002A7859">
        <w:rPr>
          <w:rFonts w:ascii="Times New Roman" w:eastAsia="Calibri" w:hAnsi="Times New Roman" w:cs="Arial"/>
          <w:sz w:val="24"/>
          <w:szCs w:val="24"/>
          <w:lang w:val="en-US"/>
        </w:rPr>
        <w:t>(from aromatic plant compounds),</w:t>
      </w:r>
      <w:r w:rsidR="005A0272" w:rsidRPr="002A7859">
        <w:rPr>
          <w:rFonts w:ascii="Times New Roman" w:eastAsia="Calibri" w:hAnsi="Times New Roman" w:cs="Arial"/>
          <w:sz w:val="24"/>
          <w:szCs w:val="24"/>
          <w:lang w:val="en-US"/>
        </w:rPr>
        <w:t>2933 and 2850 cm⁻¹: Aliphatic C–H vibrations (from sugars or proteins).</w:t>
      </w:r>
    </w:p>
    <w:p w14:paraId="647D256B" w14:textId="77777777" w:rsidR="005A0272" w:rsidRPr="002A7859" w:rsidRDefault="004B55E4" w:rsidP="00321FB8">
      <w:pPr>
        <w:pStyle w:val="ListParagraph"/>
        <w:numPr>
          <w:ilvl w:val="0"/>
          <w:numId w:val="23"/>
        </w:numPr>
        <w:tabs>
          <w:tab w:val="left" w:pos="400"/>
        </w:tabs>
        <w:spacing w:after="0"/>
        <w:jc w:val="both"/>
        <w:rPr>
          <w:rFonts w:ascii="Times New Roman" w:eastAsia="Calibri" w:hAnsi="Times New Roman" w:cs="Arial"/>
          <w:sz w:val="24"/>
          <w:szCs w:val="24"/>
          <w:lang w:val="en-US"/>
        </w:rPr>
      </w:pPr>
      <w:r w:rsidRPr="002A7859">
        <w:rPr>
          <w:rFonts w:ascii="Times New Roman" w:eastAsia="Calibri" w:hAnsi="Times New Roman" w:cs="Arial"/>
          <w:sz w:val="24"/>
          <w:szCs w:val="24"/>
          <w:lang w:val="en-US"/>
        </w:rPr>
        <w:t xml:space="preserve">In the </w:t>
      </w:r>
      <w:r w:rsidR="005A0272" w:rsidRPr="002A7859">
        <w:rPr>
          <w:rFonts w:ascii="Times New Roman" w:eastAsia="Calibri" w:hAnsi="Times New Roman" w:cs="Arial"/>
          <w:sz w:val="24"/>
          <w:szCs w:val="24"/>
          <w:lang w:val="en-US"/>
        </w:rPr>
        <w:t>range (</w:t>
      </w:r>
      <w:r w:rsidR="005D6D18" w:rsidRPr="002A7859">
        <w:rPr>
          <w:rFonts w:ascii="Times New Roman" w:eastAsia="Calibri" w:hAnsi="Times New Roman" w:cs="Arial"/>
          <w:sz w:val="24"/>
          <w:szCs w:val="24"/>
          <w:lang w:val="en-US"/>
        </w:rPr>
        <w:t>1500-</w:t>
      </w:r>
      <w:r w:rsidR="005A0272" w:rsidRPr="002A7859">
        <w:rPr>
          <w:rFonts w:ascii="Times New Roman" w:eastAsia="Calibri" w:hAnsi="Times New Roman" w:cs="Arial"/>
          <w:sz w:val="24"/>
          <w:szCs w:val="24"/>
          <w:lang w:val="en-US"/>
        </w:rPr>
        <w:t>1800</w:t>
      </w:r>
      <w:r w:rsidR="005D6D18" w:rsidRPr="002A7859">
        <w:rPr>
          <w:rFonts w:ascii="Times New Roman" w:eastAsia="Calibri" w:hAnsi="Times New Roman" w:cs="Arial"/>
          <w:sz w:val="24"/>
          <w:szCs w:val="24"/>
          <w:lang w:val="en-US"/>
        </w:rPr>
        <w:t xml:space="preserve"> </w:t>
      </w:r>
      <w:r w:rsidR="005A0272" w:rsidRPr="002A7859">
        <w:rPr>
          <w:rFonts w:ascii="Times New Roman" w:eastAsia="Calibri" w:hAnsi="Times New Roman" w:cs="Arial"/>
          <w:sz w:val="24"/>
          <w:szCs w:val="24"/>
          <w:lang w:val="en-US"/>
        </w:rPr>
        <w:t>cm⁻¹)</w:t>
      </w:r>
      <w:r w:rsidRPr="002A7859">
        <w:rPr>
          <w:rFonts w:ascii="Times New Roman" w:eastAsia="Calibri" w:hAnsi="Times New Roman" w:cs="Arial"/>
          <w:sz w:val="24"/>
          <w:szCs w:val="24"/>
          <w:lang w:val="en-US"/>
        </w:rPr>
        <w:t xml:space="preserve"> found the </w:t>
      </w:r>
      <w:r w:rsidR="005A0272" w:rsidRPr="002A7859">
        <w:rPr>
          <w:rFonts w:ascii="Times New Roman" w:eastAsia="Calibri" w:hAnsi="Times New Roman" w:cs="Arial"/>
          <w:sz w:val="24"/>
          <w:szCs w:val="24"/>
          <w:lang w:val="en-US"/>
        </w:rPr>
        <w:t>1718 cm⁻¹: C=O vibration (carbonyl in organic acids or aldehydes). Indicates the interaction of the carbonyl with the surf</w:t>
      </w:r>
      <w:r w:rsidRPr="002A7859">
        <w:rPr>
          <w:rFonts w:ascii="Times New Roman" w:eastAsia="Calibri" w:hAnsi="Times New Roman" w:cs="Arial"/>
          <w:sz w:val="24"/>
          <w:szCs w:val="24"/>
          <w:lang w:val="en-US"/>
        </w:rPr>
        <w:t>ace of the silver nanoparticles,</w:t>
      </w:r>
      <w:r w:rsidR="005A0272" w:rsidRPr="002A7859">
        <w:rPr>
          <w:rFonts w:ascii="Times New Roman" w:eastAsia="Calibri" w:hAnsi="Times New Roman" w:cs="Arial"/>
          <w:sz w:val="24"/>
          <w:szCs w:val="24"/>
          <w:lang w:val="en-US"/>
        </w:rPr>
        <w:t>1632 cm⁻¹: C=C vibration or amide bond (from proteins). Often indicates that plant proteins contributed to the particle encapsulation.</w:t>
      </w:r>
    </w:p>
    <w:p w14:paraId="301156DC" w14:textId="77777777" w:rsidR="005A0272" w:rsidRPr="002A7859" w:rsidRDefault="0024071B" w:rsidP="00321FB8">
      <w:pPr>
        <w:pStyle w:val="ListParagraph"/>
        <w:numPr>
          <w:ilvl w:val="0"/>
          <w:numId w:val="23"/>
        </w:numPr>
        <w:tabs>
          <w:tab w:val="left" w:pos="400"/>
        </w:tabs>
        <w:spacing w:after="0"/>
        <w:jc w:val="both"/>
        <w:rPr>
          <w:rFonts w:ascii="Times New Roman" w:eastAsia="Calibri" w:hAnsi="Times New Roman" w:cs="Arial"/>
          <w:sz w:val="24"/>
          <w:szCs w:val="24"/>
          <w:lang w:val="en-US"/>
        </w:rPr>
      </w:pPr>
      <w:r w:rsidRPr="002A7859">
        <w:rPr>
          <w:rFonts w:ascii="Times New Roman" w:eastAsia="Calibri" w:hAnsi="Times New Roman" w:cs="Arial"/>
          <w:sz w:val="24"/>
          <w:szCs w:val="24"/>
          <w:lang w:val="en-US"/>
        </w:rPr>
        <w:t xml:space="preserve">In the </w:t>
      </w:r>
      <w:r w:rsidR="005A0272" w:rsidRPr="002A7859">
        <w:rPr>
          <w:rFonts w:ascii="Times New Roman" w:eastAsia="Calibri" w:hAnsi="Times New Roman" w:cs="Arial"/>
          <w:sz w:val="24"/>
          <w:szCs w:val="24"/>
          <w:lang w:val="en-US"/>
        </w:rPr>
        <w:t>range (</w:t>
      </w:r>
      <w:r w:rsidR="005D6D18" w:rsidRPr="002A7859">
        <w:rPr>
          <w:rFonts w:ascii="Times New Roman" w:eastAsia="Calibri" w:hAnsi="Times New Roman" w:cs="Arial"/>
          <w:sz w:val="24"/>
          <w:szCs w:val="24"/>
          <w:lang w:val="en-US"/>
        </w:rPr>
        <w:t>1000-</w:t>
      </w:r>
      <w:r w:rsidR="005A0272" w:rsidRPr="002A7859">
        <w:rPr>
          <w:rFonts w:ascii="Times New Roman" w:eastAsia="Calibri" w:hAnsi="Times New Roman" w:cs="Arial"/>
          <w:sz w:val="24"/>
          <w:szCs w:val="24"/>
          <w:lang w:val="en-US"/>
        </w:rPr>
        <w:t>1400</w:t>
      </w:r>
      <w:r w:rsidR="002E3E4D" w:rsidRPr="002A7859">
        <w:rPr>
          <w:rFonts w:ascii="Times New Roman" w:eastAsia="Calibri" w:hAnsi="Times New Roman" w:cs="Arial"/>
          <w:sz w:val="24"/>
          <w:szCs w:val="24"/>
          <w:lang w:val="en-US"/>
        </w:rPr>
        <w:t xml:space="preserve"> </w:t>
      </w:r>
      <w:r w:rsidR="005A0272" w:rsidRPr="002A7859">
        <w:rPr>
          <w:rFonts w:ascii="Times New Roman" w:eastAsia="Calibri" w:hAnsi="Times New Roman" w:cs="Arial"/>
          <w:sz w:val="24"/>
          <w:szCs w:val="24"/>
          <w:lang w:val="en-US"/>
        </w:rPr>
        <w:t>cm⁻¹)</w:t>
      </w:r>
      <w:r w:rsidR="004B55E4" w:rsidRPr="002A7859">
        <w:rPr>
          <w:rFonts w:ascii="Times New Roman" w:eastAsia="Calibri" w:hAnsi="Times New Roman" w:cs="Arial"/>
          <w:sz w:val="24"/>
          <w:szCs w:val="24"/>
          <w:lang w:val="en-US"/>
        </w:rPr>
        <w:t xml:space="preserve"> found the </w:t>
      </w:r>
      <w:r w:rsidR="005A0272" w:rsidRPr="002A7859">
        <w:rPr>
          <w:rFonts w:ascii="Times New Roman" w:eastAsia="Calibri" w:hAnsi="Times New Roman" w:cs="Arial"/>
          <w:sz w:val="24"/>
          <w:szCs w:val="24"/>
          <w:rtl/>
          <w:lang w:val="en-US"/>
        </w:rPr>
        <w:t>1310</w:t>
      </w:r>
      <w:r w:rsidR="005A0272" w:rsidRPr="002A7859">
        <w:rPr>
          <w:rFonts w:ascii="Times New Roman" w:eastAsia="Calibri" w:hAnsi="Times New Roman" w:cs="Arial"/>
          <w:sz w:val="24"/>
          <w:szCs w:val="24"/>
          <w:lang w:val="en-US"/>
        </w:rPr>
        <w:t xml:space="preserve">–1101 cm⁻¹: C–O and C–N vibrations (sugars, proteins, flavonoids). These groups act as anchoring agents </w:t>
      </w:r>
      <w:r w:rsidR="004B55E4" w:rsidRPr="002A7859">
        <w:rPr>
          <w:rFonts w:ascii="Times New Roman" w:eastAsia="Calibri" w:hAnsi="Times New Roman" w:cs="Arial"/>
          <w:sz w:val="24"/>
          <w:szCs w:val="24"/>
          <w:lang w:val="en-US"/>
        </w:rPr>
        <w:t>for nanoparticles,</w:t>
      </w:r>
      <w:r w:rsidR="005A0272" w:rsidRPr="002A7859">
        <w:rPr>
          <w:rFonts w:ascii="Times New Roman" w:eastAsia="Calibri" w:hAnsi="Times New Roman" w:cs="Arial"/>
          <w:sz w:val="24"/>
          <w:szCs w:val="24"/>
          <w:rtl/>
          <w:lang w:val="en-US"/>
        </w:rPr>
        <w:t xml:space="preserve">1039 </w:t>
      </w:r>
      <w:r w:rsidR="005A0272" w:rsidRPr="002A7859">
        <w:rPr>
          <w:rFonts w:ascii="Times New Roman" w:eastAsia="Calibri" w:hAnsi="Times New Roman" w:cs="Arial"/>
          <w:sz w:val="24"/>
          <w:szCs w:val="24"/>
          <w:lang w:val="en-US"/>
        </w:rPr>
        <w:t>and 1025 cm⁻¹: C–O–C bonds (polysaccharides).</w:t>
      </w:r>
    </w:p>
    <w:p w14:paraId="243DF95C" w14:textId="77777777" w:rsidR="00A110A2" w:rsidRPr="002A7859" w:rsidRDefault="0024071B" w:rsidP="00321FB8">
      <w:pPr>
        <w:pStyle w:val="ListParagraph"/>
        <w:numPr>
          <w:ilvl w:val="0"/>
          <w:numId w:val="23"/>
        </w:numPr>
        <w:spacing w:after="0"/>
        <w:jc w:val="both"/>
        <w:rPr>
          <w:rFonts w:ascii="Times New Roman" w:eastAsia="Calibri" w:hAnsi="Times New Roman" w:cs="Arial"/>
          <w:sz w:val="24"/>
          <w:szCs w:val="24"/>
          <w:lang w:val="en-US"/>
        </w:rPr>
      </w:pPr>
      <w:r w:rsidRPr="002A7859">
        <w:rPr>
          <w:rFonts w:ascii="Times New Roman" w:eastAsia="Calibri" w:hAnsi="Times New Roman" w:cs="Arial"/>
          <w:sz w:val="24"/>
          <w:szCs w:val="24"/>
          <w:lang w:val="en-US"/>
        </w:rPr>
        <w:t xml:space="preserve">And in </w:t>
      </w:r>
      <w:r w:rsidR="005A0272" w:rsidRPr="002A7859">
        <w:rPr>
          <w:rFonts w:ascii="Times New Roman" w:eastAsia="Calibri" w:hAnsi="Times New Roman" w:cs="Arial"/>
          <w:sz w:val="24"/>
          <w:szCs w:val="24"/>
          <w:lang w:val="en-US"/>
        </w:rPr>
        <w:t>Lower band (1000–400 cm⁻¹)</w:t>
      </w:r>
      <w:r w:rsidR="004B55E4" w:rsidRPr="002A7859">
        <w:rPr>
          <w:rFonts w:ascii="Times New Roman" w:eastAsia="Calibri" w:hAnsi="Times New Roman" w:cs="Arial"/>
          <w:sz w:val="24"/>
          <w:szCs w:val="24"/>
          <w:lang w:val="en-US"/>
        </w:rPr>
        <w:t xml:space="preserve"> found the </w:t>
      </w:r>
      <w:r w:rsidR="005A0272" w:rsidRPr="002A7859">
        <w:rPr>
          <w:rFonts w:ascii="Times New Roman" w:eastAsia="Calibri" w:hAnsi="Times New Roman" w:cs="Arial"/>
          <w:sz w:val="24"/>
          <w:szCs w:val="24"/>
          <w:lang w:val="en-US"/>
        </w:rPr>
        <w:t>944–732 cm⁻¹: Aromatic C–H v</w:t>
      </w:r>
      <w:r w:rsidR="004B55E4" w:rsidRPr="002A7859">
        <w:rPr>
          <w:rFonts w:ascii="Times New Roman" w:eastAsia="Calibri" w:hAnsi="Times New Roman" w:cs="Arial"/>
          <w:sz w:val="24"/>
          <w:szCs w:val="24"/>
          <w:lang w:val="en-US"/>
        </w:rPr>
        <w:t>ibrations outside the C–H plane,</w:t>
      </w:r>
      <w:r w:rsidR="005A0272" w:rsidRPr="002A7859">
        <w:rPr>
          <w:rFonts w:ascii="Times New Roman" w:eastAsia="Calibri" w:hAnsi="Times New Roman" w:cs="Arial"/>
          <w:sz w:val="24"/>
          <w:szCs w:val="24"/>
          <w:lang w:val="en-US"/>
        </w:rPr>
        <w:t xml:space="preserve">598–462 cm⁻¹: Metal-organic bands, often </w:t>
      </w:r>
      <w:r w:rsidR="005A0272" w:rsidRPr="002A7859">
        <w:rPr>
          <w:rFonts w:ascii="Times New Roman" w:eastAsia="Calibri" w:hAnsi="Times New Roman" w:cs="Arial"/>
          <w:sz w:val="24"/>
          <w:szCs w:val="24"/>
          <w:lang w:val="en-US"/>
        </w:rPr>
        <w:lastRenderedPageBreak/>
        <w:t>associated with the interaction of silver with plant functional groups. These peaks confirm the formation of bonds between the surface of silver nanoparticles and biomolecules.</w:t>
      </w:r>
    </w:p>
    <w:p w14:paraId="7894042D" w14:textId="77777777" w:rsidR="00A110A2" w:rsidRPr="002A7859" w:rsidRDefault="00F7397D" w:rsidP="00321FB8">
      <w:pPr>
        <w:jc w:val="center"/>
        <w:rPr>
          <w:rFonts w:asciiTheme="majorBidi" w:hAnsiTheme="majorBidi" w:cstheme="majorBidi"/>
          <w:sz w:val="24"/>
          <w:szCs w:val="24"/>
          <w:lang w:val="en-US"/>
        </w:rPr>
      </w:pPr>
      <w:r w:rsidRPr="002A7859">
        <w:rPr>
          <w:noProof/>
          <w:sz w:val="24"/>
          <w:szCs w:val="24"/>
          <w:lang w:eastAsia="tr-TR"/>
        </w:rPr>
        <w:drawing>
          <wp:inline distT="0" distB="0" distL="0" distR="0" wp14:anchorId="25E300FA" wp14:editId="10A94653">
            <wp:extent cx="5486400" cy="2832735"/>
            <wp:effectExtent l="19050" t="19050" r="19050" b="24765"/>
            <wp:docPr id="38" name="صورة 675"/>
            <wp:cNvGraphicFramePr/>
            <a:graphic xmlns:a="http://schemas.openxmlformats.org/drawingml/2006/main">
              <a:graphicData uri="http://schemas.openxmlformats.org/drawingml/2006/picture">
                <pic:pic xmlns:pic="http://schemas.openxmlformats.org/drawingml/2006/picture">
                  <pic:nvPicPr>
                    <pic:cNvPr id="38" name="صورة 675"/>
                    <pic:cNvPicPr/>
                  </pic:nvPicPr>
                  <pic:blipFill>
                    <a:blip r:embed="rId10">
                      <a:extLst>
                        <a:ext uri="{28A0092B-C50C-407E-A947-70E740481C1C}">
                          <a14:useLocalDpi xmlns:a14="http://schemas.microsoft.com/office/drawing/2010/main" val="0"/>
                        </a:ext>
                      </a:extLst>
                    </a:blip>
                    <a:stretch>
                      <a:fillRect/>
                    </a:stretch>
                  </pic:blipFill>
                  <pic:spPr>
                    <a:xfrm>
                      <a:off x="0" y="0"/>
                      <a:ext cx="5486400" cy="2832735"/>
                    </a:xfrm>
                    <a:prstGeom prst="rect">
                      <a:avLst/>
                    </a:prstGeom>
                    <a:noFill/>
                    <a:ln>
                      <a:solidFill>
                        <a:schemeClr val="tx1"/>
                      </a:solidFill>
                    </a:ln>
                  </pic:spPr>
                </pic:pic>
              </a:graphicData>
            </a:graphic>
          </wp:inline>
        </w:drawing>
      </w:r>
    </w:p>
    <w:p w14:paraId="617136AB" w14:textId="70270F79" w:rsidR="00A110A2" w:rsidRPr="002A7859" w:rsidRDefault="00A110A2" w:rsidP="00425821">
      <w:pPr>
        <w:jc w:val="center"/>
        <w:rPr>
          <w:rFonts w:asciiTheme="majorBidi" w:hAnsiTheme="majorBidi" w:cstheme="majorBidi"/>
          <w:b/>
          <w:bCs/>
          <w:sz w:val="24"/>
          <w:szCs w:val="24"/>
        </w:rPr>
      </w:pPr>
      <w:r w:rsidRPr="002A7859">
        <w:rPr>
          <w:rFonts w:asciiTheme="majorBidi" w:hAnsiTheme="majorBidi" w:cstheme="majorBidi"/>
          <w:b/>
          <w:bCs/>
          <w:sz w:val="24"/>
          <w:szCs w:val="24"/>
        </w:rPr>
        <w:t>Fig</w:t>
      </w:r>
      <w:r w:rsidR="00425821" w:rsidRPr="002A7859">
        <w:rPr>
          <w:rFonts w:asciiTheme="majorBidi" w:hAnsiTheme="majorBidi" w:cstheme="majorBidi"/>
          <w:b/>
          <w:bCs/>
          <w:sz w:val="24"/>
          <w:szCs w:val="24"/>
        </w:rPr>
        <w:t>.</w:t>
      </w:r>
      <w:r w:rsidR="00450B28" w:rsidRPr="002A7859">
        <w:rPr>
          <w:rFonts w:asciiTheme="majorBidi" w:hAnsiTheme="majorBidi" w:cstheme="majorBidi"/>
          <w:b/>
          <w:bCs/>
          <w:sz w:val="24"/>
          <w:szCs w:val="24"/>
        </w:rPr>
        <w:t>4</w:t>
      </w:r>
      <w:r w:rsidRPr="002A7859">
        <w:rPr>
          <w:rFonts w:asciiTheme="majorBidi" w:hAnsiTheme="majorBidi" w:cstheme="majorBidi"/>
          <w:b/>
          <w:bCs/>
          <w:sz w:val="24"/>
          <w:szCs w:val="24"/>
        </w:rPr>
        <w:t xml:space="preserve">: FTIR spectrum of </w:t>
      </w:r>
      <w:r w:rsidR="00425821" w:rsidRPr="002A7859">
        <w:rPr>
          <w:rFonts w:asciiTheme="majorBidi" w:hAnsiTheme="majorBidi" w:cstheme="majorBidi"/>
          <w:b/>
          <w:bCs/>
          <w:sz w:val="24"/>
          <w:szCs w:val="24"/>
        </w:rPr>
        <w:t xml:space="preserve"> AgNPs </w:t>
      </w:r>
      <w:r w:rsidRPr="002A7859">
        <w:rPr>
          <w:rFonts w:asciiTheme="majorBidi" w:hAnsiTheme="majorBidi" w:cstheme="majorBidi"/>
          <w:b/>
          <w:bCs/>
          <w:sz w:val="24"/>
          <w:szCs w:val="24"/>
        </w:rPr>
        <w:t>dried powder synthesized by sunflower seedlings oil</w:t>
      </w:r>
    </w:p>
    <w:p w14:paraId="4F4B35EE" w14:textId="77777777" w:rsidR="00E376B7" w:rsidRPr="002A7859" w:rsidRDefault="002B6F75" w:rsidP="00321FB8">
      <w:pPr>
        <w:jc w:val="both"/>
        <w:rPr>
          <w:rFonts w:asciiTheme="majorBidi" w:hAnsiTheme="majorBidi" w:cstheme="majorBidi"/>
          <w:sz w:val="24"/>
          <w:szCs w:val="24"/>
          <w:lang w:val="en-US"/>
        </w:rPr>
      </w:pPr>
      <w:r w:rsidRPr="002A7859">
        <w:rPr>
          <w:rFonts w:asciiTheme="majorBidi" w:hAnsiTheme="majorBidi" w:cstheme="majorBidi"/>
          <w:sz w:val="24"/>
          <w:szCs w:val="24"/>
          <w:lang w:val="en-US"/>
        </w:rPr>
        <w:t xml:space="preserve"> </w:t>
      </w:r>
      <w:r w:rsidR="00E376B7" w:rsidRPr="002A7859">
        <w:rPr>
          <w:rFonts w:asciiTheme="majorBidi" w:hAnsiTheme="majorBidi" w:cstheme="majorBidi"/>
          <w:b/>
          <w:bCs/>
          <w:sz w:val="24"/>
          <w:szCs w:val="24"/>
        </w:rPr>
        <w:t>3.</w:t>
      </w:r>
      <w:r w:rsidR="00C14C59" w:rsidRPr="002A7859">
        <w:rPr>
          <w:rFonts w:asciiTheme="majorBidi" w:hAnsiTheme="majorBidi" w:cstheme="majorBidi"/>
          <w:b/>
          <w:bCs/>
          <w:sz w:val="24"/>
          <w:szCs w:val="24"/>
        </w:rPr>
        <w:t>3</w:t>
      </w:r>
      <w:r w:rsidR="00E376B7" w:rsidRPr="002A7859">
        <w:rPr>
          <w:rFonts w:asciiTheme="majorBidi" w:hAnsiTheme="majorBidi" w:cstheme="majorBidi"/>
          <w:b/>
          <w:bCs/>
          <w:sz w:val="24"/>
          <w:szCs w:val="24"/>
        </w:rPr>
        <w:t xml:space="preserve"> Effect of Biosynthesized AgNPs on Fungal Growth</w:t>
      </w:r>
    </w:p>
    <w:p w14:paraId="1360D650" w14:textId="39DEBF3F" w:rsidR="00E376B7" w:rsidRPr="002A7859" w:rsidRDefault="00E376B7" w:rsidP="00321FB8">
      <w:pPr>
        <w:jc w:val="both"/>
        <w:rPr>
          <w:rFonts w:asciiTheme="majorBidi" w:hAnsiTheme="majorBidi" w:cstheme="majorBidi"/>
          <w:sz w:val="24"/>
          <w:szCs w:val="24"/>
        </w:rPr>
      </w:pPr>
      <w:r w:rsidRPr="002A7859">
        <w:rPr>
          <w:rFonts w:asciiTheme="majorBidi" w:hAnsiTheme="majorBidi" w:cstheme="majorBidi"/>
          <w:sz w:val="24"/>
          <w:szCs w:val="24"/>
        </w:rPr>
        <w:t>The antifungal activity of biosynthesized silver nanoparticles (AgNPs)</w:t>
      </w:r>
      <w:r w:rsidR="00CA56EF" w:rsidRPr="002A7859">
        <w:rPr>
          <w:rFonts w:asciiTheme="majorBidi" w:hAnsiTheme="majorBidi" w:cstheme="majorBidi"/>
          <w:sz w:val="24"/>
          <w:szCs w:val="24"/>
        </w:rPr>
        <w:t xml:space="preserve"> concentration</w:t>
      </w:r>
      <w:r w:rsidRPr="002A7859">
        <w:rPr>
          <w:rFonts w:asciiTheme="majorBidi" w:hAnsiTheme="majorBidi" w:cstheme="majorBidi"/>
          <w:sz w:val="24"/>
          <w:szCs w:val="24"/>
        </w:rPr>
        <w:t xml:space="preserve"> was evaluated against </w:t>
      </w:r>
      <w:r w:rsidRPr="002A7859">
        <w:rPr>
          <w:rFonts w:asciiTheme="majorBidi" w:hAnsiTheme="majorBidi" w:cstheme="majorBidi"/>
          <w:i/>
          <w:iCs/>
          <w:sz w:val="24"/>
          <w:szCs w:val="24"/>
        </w:rPr>
        <w:t>Fusarium solani</w:t>
      </w:r>
      <w:r w:rsidRPr="002A7859">
        <w:rPr>
          <w:rFonts w:asciiTheme="majorBidi" w:hAnsiTheme="majorBidi" w:cstheme="majorBidi"/>
          <w:sz w:val="24"/>
          <w:szCs w:val="24"/>
        </w:rPr>
        <w:t xml:space="preserve">, </w:t>
      </w:r>
      <w:r w:rsidRPr="002A7859">
        <w:rPr>
          <w:rFonts w:asciiTheme="majorBidi" w:hAnsiTheme="majorBidi" w:cstheme="majorBidi"/>
          <w:i/>
          <w:iCs/>
          <w:sz w:val="24"/>
          <w:szCs w:val="24"/>
        </w:rPr>
        <w:t>Alternaria alternata</w:t>
      </w:r>
      <w:r w:rsidRPr="002A7859">
        <w:rPr>
          <w:rFonts w:asciiTheme="majorBidi" w:hAnsiTheme="majorBidi" w:cstheme="majorBidi"/>
          <w:sz w:val="24"/>
          <w:szCs w:val="24"/>
        </w:rPr>
        <w:t xml:space="preserve">, and </w:t>
      </w:r>
      <w:r w:rsidRPr="002A7859">
        <w:rPr>
          <w:rFonts w:asciiTheme="majorBidi" w:hAnsiTheme="majorBidi" w:cstheme="majorBidi"/>
          <w:i/>
          <w:iCs/>
          <w:sz w:val="24"/>
          <w:szCs w:val="24"/>
        </w:rPr>
        <w:t>Aspergillus niger</w:t>
      </w:r>
      <w:r w:rsidRPr="002A7859">
        <w:rPr>
          <w:rFonts w:asciiTheme="majorBidi" w:hAnsiTheme="majorBidi" w:cstheme="majorBidi"/>
          <w:sz w:val="24"/>
          <w:szCs w:val="24"/>
        </w:rPr>
        <w:t>. The results demonstrated a significant reduction in fungal growth in all treated groups compared to the control</w:t>
      </w:r>
      <w:r w:rsidR="00F7397D" w:rsidRPr="002A7859">
        <w:rPr>
          <w:rFonts w:asciiTheme="majorBidi" w:hAnsiTheme="majorBidi" w:cstheme="majorBidi"/>
          <w:sz w:val="24"/>
          <w:szCs w:val="24"/>
        </w:rPr>
        <w:t>(the same fungi typ</w:t>
      </w:r>
      <w:r w:rsidR="001C5C9E" w:rsidRPr="002A7859">
        <w:rPr>
          <w:rFonts w:asciiTheme="majorBidi" w:hAnsiTheme="majorBidi" w:cstheme="majorBidi"/>
          <w:sz w:val="24"/>
          <w:szCs w:val="24"/>
        </w:rPr>
        <w:t>es grown on PDA alone</w:t>
      </w:r>
      <w:r w:rsidR="000F12C0" w:rsidRPr="002A7859">
        <w:rPr>
          <w:rFonts w:asciiTheme="majorBidi" w:hAnsiTheme="majorBidi" w:cstheme="majorBidi"/>
          <w:sz w:val="24"/>
          <w:szCs w:val="24"/>
        </w:rPr>
        <w:t xml:space="preserve"> non</w:t>
      </w:r>
      <w:r w:rsidR="001C5C9E" w:rsidRPr="002A7859">
        <w:rPr>
          <w:rFonts w:asciiTheme="majorBidi" w:hAnsiTheme="majorBidi" w:cstheme="majorBidi"/>
          <w:sz w:val="24"/>
          <w:szCs w:val="24"/>
        </w:rPr>
        <w:t xml:space="preserve"> treated with the AgNPs ). </w:t>
      </w:r>
    </w:p>
    <w:p w14:paraId="050A6F4B" w14:textId="310BA49F" w:rsidR="00E376B7" w:rsidRPr="002A7859" w:rsidRDefault="00CA56EF" w:rsidP="00321FB8">
      <w:pPr>
        <w:jc w:val="both"/>
        <w:rPr>
          <w:rFonts w:asciiTheme="majorBidi" w:hAnsiTheme="majorBidi" w:cstheme="majorBidi"/>
          <w:sz w:val="24"/>
          <w:szCs w:val="24"/>
        </w:rPr>
      </w:pPr>
      <w:r w:rsidRPr="002A7859">
        <w:rPr>
          <w:rFonts w:asciiTheme="majorBidi" w:hAnsiTheme="majorBidi" w:cstheme="majorBidi"/>
          <w:sz w:val="24"/>
          <w:szCs w:val="24"/>
        </w:rPr>
        <w:t>In all fungal species cultures t</w:t>
      </w:r>
      <w:r w:rsidR="00E376B7" w:rsidRPr="002A7859">
        <w:rPr>
          <w:rFonts w:asciiTheme="majorBidi" w:hAnsiTheme="majorBidi" w:cstheme="majorBidi"/>
          <w:sz w:val="24"/>
          <w:szCs w:val="24"/>
        </w:rPr>
        <w:t xml:space="preserve">he highest inhibition rate was observed in treatments containing AgNPs </w:t>
      </w:r>
      <w:r w:rsidRPr="002A7859">
        <w:rPr>
          <w:rFonts w:asciiTheme="majorBidi" w:hAnsiTheme="majorBidi" w:cstheme="majorBidi"/>
          <w:sz w:val="24"/>
          <w:szCs w:val="24"/>
        </w:rPr>
        <w:t>at the concentration</w:t>
      </w:r>
      <w:r w:rsidR="00395B42" w:rsidRPr="002A7859">
        <w:rPr>
          <w:rFonts w:asciiTheme="majorBidi" w:hAnsiTheme="majorBidi" w:cstheme="majorBidi"/>
          <w:sz w:val="24"/>
          <w:szCs w:val="24"/>
        </w:rPr>
        <w:t xml:space="preserve"> 40%</w:t>
      </w:r>
      <w:r w:rsidR="00E376B7" w:rsidRPr="002A7859">
        <w:rPr>
          <w:rFonts w:asciiTheme="majorBidi" w:hAnsiTheme="majorBidi" w:cstheme="majorBidi"/>
          <w:sz w:val="24"/>
          <w:szCs w:val="24"/>
        </w:rPr>
        <w:t>, This suggests that although sunflower oil possesses inherent bioactive compounds with antifungal properties, the incorporation of AgNPs significantly enhances the inhibitory effect.</w:t>
      </w:r>
    </w:p>
    <w:p w14:paraId="7C5C3482" w14:textId="14E55ED1" w:rsidR="00E376B7" w:rsidRPr="002A7859" w:rsidRDefault="00817CA6" w:rsidP="00332F9A">
      <w:pPr>
        <w:jc w:val="both"/>
        <w:rPr>
          <w:rFonts w:asciiTheme="majorBidi" w:hAnsiTheme="majorBidi" w:cstheme="majorBidi"/>
          <w:sz w:val="24"/>
          <w:szCs w:val="24"/>
        </w:rPr>
      </w:pPr>
      <w:r w:rsidRPr="002A7859">
        <w:rPr>
          <w:rFonts w:asciiTheme="majorBidi" w:hAnsiTheme="majorBidi" w:cstheme="majorBidi"/>
          <w:sz w:val="24"/>
          <w:szCs w:val="24"/>
        </w:rPr>
        <w:t xml:space="preserve">In all tested fungal cultures, the inhibitory effect increased proportionally with increasing AgNPs concentration. In </w:t>
      </w:r>
      <w:r w:rsidRPr="002A7859">
        <w:rPr>
          <w:rFonts w:asciiTheme="majorBidi" w:hAnsiTheme="majorBidi" w:cstheme="majorBidi"/>
          <w:i/>
          <w:iCs/>
          <w:sz w:val="24"/>
          <w:szCs w:val="24"/>
        </w:rPr>
        <w:t>Fusarium solani</w:t>
      </w:r>
      <w:r w:rsidRPr="002A7859">
        <w:rPr>
          <w:rFonts w:asciiTheme="majorBidi" w:hAnsiTheme="majorBidi" w:cstheme="majorBidi"/>
          <w:sz w:val="24"/>
          <w:szCs w:val="24"/>
        </w:rPr>
        <w:t xml:space="preserve">, the inhibition rates reached 54%, 77%, and 100% at AgNPs concentrations of 10%, 20%, and 40%, respectively. Similarly, </w:t>
      </w:r>
      <w:r w:rsidRPr="002A7859">
        <w:rPr>
          <w:rFonts w:asciiTheme="majorBidi" w:hAnsiTheme="majorBidi" w:cstheme="majorBidi"/>
          <w:i/>
          <w:iCs/>
          <w:sz w:val="24"/>
          <w:szCs w:val="24"/>
        </w:rPr>
        <w:t xml:space="preserve">Aspergillus niger </w:t>
      </w:r>
      <w:r w:rsidRPr="002A7859">
        <w:rPr>
          <w:rFonts w:asciiTheme="majorBidi" w:hAnsiTheme="majorBidi" w:cstheme="majorBidi"/>
          <w:sz w:val="24"/>
          <w:szCs w:val="24"/>
        </w:rPr>
        <w:t xml:space="preserve">showed inhibition rates of 45%, 61%, and 100% </w:t>
      </w:r>
      <w:r w:rsidR="00D11F72" w:rsidRPr="002A7859">
        <w:rPr>
          <w:rFonts w:asciiTheme="majorBidi" w:hAnsiTheme="majorBidi" w:cstheme="majorBidi"/>
          <w:sz w:val="24"/>
          <w:szCs w:val="24"/>
        </w:rPr>
        <w:t>when treated with</w:t>
      </w:r>
      <w:r w:rsidRPr="002A7859">
        <w:rPr>
          <w:rFonts w:asciiTheme="majorBidi" w:hAnsiTheme="majorBidi" w:cstheme="majorBidi"/>
          <w:sz w:val="24"/>
          <w:szCs w:val="24"/>
        </w:rPr>
        <w:t xml:space="preserve"> the same concentrations</w:t>
      </w:r>
      <w:r w:rsidR="00D11F72" w:rsidRPr="002A7859">
        <w:rPr>
          <w:rFonts w:asciiTheme="majorBidi" w:hAnsiTheme="majorBidi" w:cstheme="majorBidi"/>
          <w:sz w:val="24"/>
          <w:szCs w:val="24"/>
        </w:rPr>
        <w:t xml:space="preserve"> of </w:t>
      </w:r>
      <w:r w:rsidRPr="002A7859">
        <w:rPr>
          <w:rFonts w:asciiTheme="majorBidi" w:hAnsiTheme="majorBidi" w:cstheme="majorBidi"/>
          <w:sz w:val="24"/>
          <w:szCs w:val="24"/>
        </w:rPr>
        <w:t xml:space="preserve">. </w:t>
      </w:r>
      <w:r w:rsidR="00061243" w:rsidRPr="002A7859">
        <w:rPr>
          <w:rFonts w:asciiTheme="majorBidi" w:hAnsiTheme="majorBidi" w:cstheme="majorBidi"/>
          <w:sz w:val="24"/>
          <w:szCs w:val="24"/>
        </w:rPr>
        <w:t xml:space="preserve">Whereas the </w:t>
      </w:r>
      <w:r w:rsidRPr="002A7859">
        <w:rPr>
          <w:rFonts w:asciiTheme="majorBidi" w:hAnsiTheme="majorBidi" w:cstheme="majorBidi"/>
          <w:i/>
          <w:iCs/>
          <w:sz w:val="24"/>
          <w:szCs w:val="24"/>
        </w:rPr>
        <w:t>Alternaria alternata</w:t>
      </w:r>
      <w:r w:rsidRPr="002A7859">
        <w:rPr>
          <w:rFonts w:asciiTheme="majorBidi" w:hAnsiTheme="majorBidi" w:cstheme="majorBidi"/>
          <w:sz w:val="24"/>
          <w:szCs w:val="24"/>
        </w:rPr>
        <w:t xml:space="preserve"> exhibited the highest sensitivity, where complete inhibition (100%) was achieved at all tested AgNPs concentrations (10%, 20%, and 40%). Meanwhile, sunflower oil alone (control treatment without nanoparticles) showed no inhibitory effect on fungal growth. </w:t>
      </w:r>
      <w:r w:rsidR="00332F9A" w:rsidRPr="00332F9A">
        <w:rPr>
          <w:rFonts w:asciiTheme="majorBidi" w:hAnsiTheme="majorBidi" w:cstheme="majorBidi"/>
          <w:sz w:val="24"/>
          <w:szCs w:val="24"/>
        </w:rPr>
        <w:t>These results validate the increased inhibitory capacity of silver nanoparticles made with sunflower oil by showing that the antifungal activity was highly dependent on AgNPs concentration and fungus species sensitivity.</w:t>
      </w:r>
      <w:r w:rsidR="00332F9A">
        <w:rPr>
          <w:rFonts w:asciiTheme="majorBidi" w:hAnsiTheme="majorBidi" w:cstheme="majorBidi" w:hint="cs"/>
          <w:sz w:val="24"/>
          <w:szCs w:val="24"/>
          <w:rtl/>
          <w:lang w:bidi="ar-IQ"/>
        </w:rPr>
        <w:t xml:space="preserve"> </w:t>
      </w:r>
      <w:r w:rsidR="00E376B7" w:rsidRPr="002A7859">
        <w:rPr>
          <w:rFonts w:asciiTheme="majorBidi" w:hAnsiTheme="majorBidi" w:cstheme="majorBidi"/>
          <w:sz w:val="24"/>
          <w:szCs w:val="24"/>
        </w:rPr>
        <w:t xml:space="preserve">(Rai </w:t>
      </w:r>
      <w:r w:rsidR="00E376B7" w:rsidRPr="002A7859">
        <w:rPr>
          <w:rFonts w:asciiTheme="majorBidi" w:hAnsiTheme="majorBidi" w:cstheme="majorBidi"/>
          <w:i/>
          <w:iCs/>
          <w:sz w:val="24"/>
          <w:szCs w:val="24"/>
        </w:rPr>
        <w:t>et al</w:t>
      </w:r>
      <w:r w:rsidR="00E376B7" w:rsidRPr="002A7859">
        <w:rPr>
          <w:rFonts w:asciiTheme="majorBidi" w:hAnsiTheme="majorBidi" w:cstheme="majorBidi"/>
          <w:sz w:val="24"/>
          <w:szCs w:val="24"/>
        </w:rPr>
        <w:t xml:space="preserve">., 2009; Hassan </w:t>
      </w:r>
      <w:r w:rsidR="00E376B7" w:rsidRPr="002A7859">
        <w:rPr>
          <w:rFonts w:asciiTheme="majorBidi" w:hAnsiTheme="majorBidi" w:cstheme="majorBidi"/>
          <w:i/>
          <w:iCs/>
          <w:sz w:val="24"/>
          <w:szCs w:val="24"/>
        </w:rPr>
        <w:t>et al</w:t>
      </w:r>
      <w:r w:rsidR="00E376B7" w:rsidRPr="002A7859">
        <w:rPr>
          <w:rFonts w:asciiTheme="majorBidi" w:hAnsiTheme="majorBidi" w:cstheme="majorBidi"/>
          <w:sz w:val="24"/>
          <w:szCs w:val="24"/>
        </w:rPr>
        <w:t>., 2021).</w:t>
      </w:r>
    </w:p>
    <w:p w14:paraId="00BF4F71" w14:textId="77777777" w:rsidR="00A51B07" w:rsidRPr="00A51B07" w:rsidRDefault="00A51B07" w:rsidP="00A51B07">
      <w:pPr>
        <w:jc w:val="both"/>
        <w:rPr>
          <w:rFonts w:asciiTheme="majorBidi" w:hAnsiTheme="majorBidi" w:cstheme="majorBidi"/>
          <w:sz w:val="24"/>
          <w:szCs w:val="24"/>
        </w:rPr>
      </w:pPr>
      <w:r w:rsidRPr="00A51B07">
        <w:rPr>
          <w:rFonts w:asciiTheme="majorBidi" w:hAnsiTheme="majorBidi" w:cstheme="majorBidi"/>
          <w:i/>
          <w:iCs/>
          <w:sz w:val="24"/>
          <w:szCs w:val="24"/>
        </w:rPr>
        <w:t>Fusarium</w:t>
      </w:r>
      <w:r w:rsidRPr="00A51B07">
        <w:rPr>
          <w:rFonts w:asciiTheme="majorBidi" w:hAnsiTheme="majorBidi" w:cstheme="majorBidi"/>
          <w:sz w:val="24"/>
          <w:szCs w:val="24"/>
        </w:rPr>
        <w:t xml:space="preserve"> and </w:t>
      </w:r>
      <w:r w:rsidRPr="00A51B07">
        <w:rPr>
          <w:rFonts w:asciiTheme="majorBidi" w:hAnsiTheme="majorBidi" w:cstheme="majorBidi"/>
          <w:i/>
          <w:iCs/>
          <w:sz w:val="24"/>
          <w:szCs w:val="24"/>
        </w:rPr>
        <w:t>Alternaria</w:t>
      </w:r>
      <w:r w:rsidRPr="00A51B07">
        <w:rPr>
          <w:rFonts w:asciiTheme="majorBidi" w:hAnsiTheme="majorBidi" w:cstheme="majorBidi"/>
          <w:sz w:val="24"/>
          <w:szCs w:val="24"/>
        </w:rPr>
        <w:t xml:space="preserve"> demonstrated the highest sensitivity to AgNP treatment among the studied fungus, which may be connected to variations in cell wall composition and metabolic activity. </w:t>
      </w:r>
      <w:r w:rsidRPr="00D57098">
        <w:rPr>
          <w:rFonts w:asciiTheme="majorBidi" w:hAnsiTheme="majorBidi" w:cstheme="majorBidi"/>
          <w:i/>
          <w:iCs/>
          <w:sz w:val="24"/>
          <w:szCs w:val="24"/>
        </w:rPr>
        <w:t>Aspergillus niger</w:t>
      </w:r>
      <w:r w:rsidRPr="00A51B07">
        <w:rPr>
          <w:rFonts w:asciiTheme="majorBidi" w:hAnsiTheme="majorBidi" w:cstheme="majorBidi"/>
          <w:sz w:val="24"/>
          <w:szCs w:val="24"/>
        </w:rPr>
        <w:t xml:space="preserve">, on the other hand, showed comparatively less susceptibility, </w:t>
      </w:r>
      <w:r w:rsidRPr="00A51B07">
        <w:rPr>
          <w:rFonts w:asciiTheme="majorBidi" w:hAnsiTheme="majorBidi" w:cstheme="majorBidi"/>
          <w:sz w:val="24"/>
          <w:szCs w:val="24"/>
        </w:rPr>
        <w:lastRenderedPageBreak/>
        <w:t>perhaps as a result of its robust adaptive mechanisms and greater tolerance to environmental stress.</w:t>
      </w:r>
    </w:p>
    <w:p w14:paraId="38DD5D00" w14:textId="39CA91E2" w:rsidR="00F46731" w:rsidRPr="002A7859" w:rsidRDefault="00D57098" w:rsidP="00D57098">
      <w:pPr>
        <w:jc w:val="both"/>
        <w:rPr>
          <w:rFonts w:asciiTheme="majorBidi" w:hAnsiTheme="majorBidi" w:cstheme="majorBidi"/>
          <w:sz w:val="24"/>
          <w:szCs w:val="24"/>
        </w:rPr>
      </w:pPr>
      <w:r w:rsidRPr="00D57098">
        <w:rPr>
          <w:rFonts w:asciiTheme="majorBidi" w:hAnsiTheme="majorBidi" w:cstheme="majorBidi"/>
          <w:sz w:val="24"/>
          <w:szCs w:val="24"/>
        </w:rPr>
        <w:t xml:space="preserve">In comparison to the control, the results showed a significant decrease in fungal growth in all treated samples (Fig. 5). AgNPs' higher antifungal activity was confirmed by their stronger inhibitory effects </w:t>
      </w:r>
      <w:r>
        <w:rPr>
          <w:rFonts w:asciiTheme="majorBidi" w:hAnsiTheme="majorBidi" w:cstheme="majorBidi"/>
          <w:sz w:val="24"/>
          <w:szCs w:val="24"/>
        </w:rPr>
        <w:t>compared to sunflower oil alone</w:t>
      </w:r>
      <w:r>
        <w:rPr>
          <w:rFonts w:asciiTheme="majorBidi" w:hAnsiTheme="majorBidi" w:cstheme="majorBidi" w:hint="cs"/>
          <w:sz w:val="24"/>
          <w:szCs w:val="24"/>
          <w:rtl/>
        </w:rPr>
        <w:t xml:space="preserve"> </w:t>
      </w:r>
      <w:r w:rsidR="00E135AF" w:rsidRPr="002A7859">
        <w:rPr>
          <w:rFonts w:asciiTheme="majorBidi" w:hAnsiTheme="majorBidi" w:cstheme="majorBidi"/>
          <w:sz w:val="24"/>
          <w:szCs w:val="24"/>
        </w:rPr>
        <w:t xml:space="preserve">(Hassan </w:t>
      </w:r>
      <w:r w:rsidR="00E135AF" w:rsidRPr="002A7859">
        <w:rPr>
          <w:rFonts w:asciiTheme="majorBidi" w:hAnsiTheme="majorBidi" w:cstheme="majorBidi"/>
          <w:i/>
          <w:iCs/>
          <w:sz w:val="24"/>
          <w:szCs w:val="24"/>
        </w:rPr>
        <w:t>et al.</w:t>
      </w:r>
      <w:r w:rsidR="00E135AF" w:rsidRPr="002A7859">
        <w:rPr>
          <w:rFonts w:asciiTheme="majorBidi" w:hAnsiTheme="majorBidi" w:cstheme="majorBidi"/>
          <w:sz w:val="24"/>
          <w:szCs w:val="24"/>
        </w:rPr>
        <w:t>, 2021).</w:t>
      </w:r>
      <w:r w:rsidR="00061243" w:rsidRPr="002A7859">
        <w:rPr>
          <w:rFonts w:asciiTheme="majorBidi" w:hAnsiTheme="majorBidi" w:cstheme="majorBidi"/>
          <w:sz w:val="24"/>
          <w:szCs w:val="24"/>
        </w:rPr>
        <w:t xml:space="preserve"> </w:t>
      </w:r>
      <w:r w:rsidR="00E135AF" w:rsidRPr="002A7859">
        <w:rPr>
          <w:rFonts w:asciiTheme="majorBidi" w:hAnsiTheme="majorBidi" w:cstheme="majorBidi"/>
          <w:sz w:val="24"/>
          <w:szCs w:val="24"/>
        </w:rPr>
        <w:t>The combination treatment showed a synergistic effect, likely due to the interaction between bioactive compounds in sunflower oil and the nanoparticles, enhancing membrane permeability and oxidative stress in fungal cells.</w:t>
      </w:r>
      <w:r w:rsidR="00F46731" w:rsidRPr="002A7859">
        <w:rPr>
          <w:rFonts w:asciiTheme="majorBidi" w:hAnsiTheme="majorBidi" w:cstheme="majorBidi"/>
          <w:sz w:val="24"/>
          <w:szCs w:val="24"/>
        </w:rPr>
        <w:t xml:space="preserve"> Furthermore, the decrease in toxin levels may be associated with oxidative stress induced by AgNPs, which affects the normal functioning of fungal cells and reduces their ability to synthesize toxic compounds (Bao </w:t>
      </w:r>
      <w:r w:rsidR="00F46731" w:rsidRPr="002A7859">
        <w:rPr>
          <w:rFonts w:asciiTheme="majorBidi" w:hAnsiTheme="majorBidi" w:cstheme="majorBidi"/>
          <w:i/>
          <w:iCs/>
          <w:sz w:val="24"/>
          <w:szCs w:val="24"/>
        </w:rPr>
        <w:t>et al</w:t>
      </w:r>
      <w:r w:rsidR="00F46731" w:rsidRPr="002A7859">
        <w:rPr>
          <w:rFonts w:asciiTheme="majorBidi" w:hAnsiTheme="majorBidi" w:cstheme="majorBidi"/>
          <w:sz w:val="24"/>
          <w:szCs w:val="24"/>
        </w:rPr>
        <w:t>.,2025).</w:t>
      </w:r>
    </w:p>
    <w:p w14:paraId="1F458997" w14:textId="26FCD515" w:rsidR="007A72CE" w:rsidRPr="002A7859" w:rsidRDefault="007A72CE" w:rsidP="00321FB8">
      <w:pPr>
        <w:jc w:val="both"/>
        <w:rPr>
          <w:rFonts w:asciiTheme="majorBidi" w:hAnsiTheme="majorBidi" w:cstheme="majorBidi"/>
          <w:sz w:val="24"/>
          <w:szCs w:val="24"/>
          <w:rtl/>
          <w:lang w:val="en-US"/>
        </w:rPr>
      </w:pPr>
      <w:r w:rsidRPr="002A7859">
        <w:rPr>
          <w:rFonts w:asciiTheme="majorBidi" w:hAnsiTheme="majorBidi" w:cstheme="majorBidi"/>
          <w:sz w:val="24"/>
          <w:szCs w:val="24"/>
        </w:rPr>
        <w:t xml:space="preserve">From the result we notic that the concentration 40% of Ag-NPs gived the highest inhibition to the growth of </w:t>
      </w:r>
      <w:r w:rsidR="006C1C2D" w:rsidRPr="002A7859">
        <w:rPr>
          <w:rFonts w:asciiTheme="majorBidi" w:hAnsiTheme="majorBidi" w:cstheme="majorBidi"/>
          <w:sz w:val="24"/>
          <w:szCs w:val="24"/>
        </w:rPr>
        <w:t>all the fungi studied</w:t>
      </w:r>
      <w:r w:rsidR="00061243" w:rsidRPr="002A7859">
        <w:rPr>
          <w:rFonts w:asciiTheme="majorBidi" w:hAnsiTheme="majorBidi" w:cstheme="majorBidi"/>
          <w:sz w:val="24"/>
          <w:szCs w:val="24"/>
        </w:rPr>
        <w:t xml:space="preserve"> </w:t>
      </w:r>
      <w:r w:rsidR="006C1C2D" w:rsidRPr="002A7859">
        <w:rPr>
          <w:rFonts w:asciiTheme="majorBidi" w:hAnsiTheme="majorBidi" w:cstheme="majorBidi"/>
          <w:sz w:val="24"/>
          <w:szCs w:val="24"/>
        </w:rPr>
        <w:t xml:space="preserve">and the inhibition rate decreas with the Ag-NPs concentration used (Table. 1) . </w:t>
      </w:r>
    </w:p>
    <w:p w14:paraId="49BC2F5C" w14:textId="0DC356E5"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lang w:val="en-US"/>
        </w:rPr>
        <w:t xml:space="preserve">Table.1 Inhibition rate </w:t>
      </w:r>
      <w:r w:rsidR="00061243" w:rsidRPr="002A7859">
        <w:rPr>
          <w:rFonts w:asciiTheme="majorBidi" w:hAnsiTheme="majorBidi" w:cstheme="majorBidi"/>
          <w:b/>
          <w:bCs/>
          <w:sz w:val="24"/>
          <w:szCs w:val="24"/>
          <w:lang w:val="en-US"/>
        </w:rPr>
        <w:t>the growth of</w:t>
      </w:r>
      <w:r w:rsidRPr="002A7859">
        <w:rPr>
          <w:rFonts w:asciiTheme="majorBidi" w:hAnsiTheme="majorBidi" w:cstheme="majorBidi"/>
          <w:b/>
          <w:bCs/>
          <w:sz w:val="24"/>
          <w:szCs w:val="24"/>
          <w:lang w:val="en-US"/>
        </w:rPr>
        <w:t xml:space="preserve"> fungal </w:t>
      </w:r>
      <w:r w:rsidR="00061243" w:rsidRPr="002A7859">
        <w:rPr>
          <w:rFonts w:asciiTheme="majorBidi" w:hAnsiTheme="majorBidi" w:cstheme="majorBidi"/>
          <w:b/>
          <w:bCs/>
          <w:sz w:val="24"/>
          <w:szCs w:val="24"/>
          <w:lang w:val="en-US"/>
        </w:rPr>
        <w:t>studied</w:t>
      </w:r>
      <w:r w:rsidRPr="002A7859">
        <w:rPr>
          <w:rFonts w:asciiTheme="majorBidi" w:hAnsiTheme="majorBidi" w:cstheme="majorBidi"/>
          <w:b/>
          <w:bCs/>
          <w:sz w:val="24"/>
          <w:szCs w:val="24"/>
          <w:lang w:val="en-US"/>
        </w:rPr>
        <w:t xml:space="preserve"> </w:t>
      </w:r>
      <w:proofErr w:type="gramStart"/>
      <w:r w:rsidRPr="002A7859">
        <w:rPr>
          <w:rFonts w:asciiTheme="majorBidi" w:hAnsiTheme="majorBidi" w:cstheme="majorBidi"/>
          <w:b/>
          <w:bCs/>
          <w:sz w:val="24"/>
          <w:szCs w:val="24"/>
          <w:lang w:val="en-US"/>
        </w:rPr>
        <w:t>types</w:t>
      </w:r>
      <w:r w:rsidR="00061243" w:rsidRPr="002A7859">
        <w:rPr>
          <w:rFonts w:asciiTheme="majorBidi" w:hAnsiTheme="majorBidi" w:cstheme="majorBidi"/>
          <w:b/>
          <w:bCs/>
          <w:sz w:val="24"/>
          <w:szCs w:val="24"/>
          <w:lang w:val="en-US"/>
        </w:rPr>
        <w:t xml:space="preserve"> </w:t>
      </w:r>
      <w:r w:rsidRPr="002A7859">
        <w:rPr>
          <w:rFonts w:asciiTheme="majorBidi" w:hAnsiTheme="majorBidi" w:cstheme="majorBidi"/>
          <w:b/>
          <w:bCs/>
          <w:sz w:val="24"/>
          <w:szCs w:val="24"/>
          <w:lang w:val="en-US"/>
        </w:rPr>
        <w:t xml:space="preserve"> by</w:t>
      </w:r>
      <w:proofErr w:type="gramEnd"/>
      <w:r w:rsidRPr="002A7859">
        <w:rPr>
          <w:rFonts w:asciiTheme="majorBidi" w:hAnsiTheme="majorBidi" w:cstheme="majorBidi"/>
          <w:b/>
          <w:bCs/>
          <w:sz w:val="24"/>
          <w:szCs w:val="24"/>
          <w:lang w:val="en-US"/>
        </w:rPr>
        <w:t xml:space="preserve"> Ag-NPs </w:t>
      </w:r>
      <w:proofErr w:type="spellStart"/>
      <w:r w:rsidRPr="002A7859">
        <w:rPr>
          <w:rFonts w:asciiTheme="majorBidi" w:hAnsiTheme="majorBidi" w:cstheme="majorBidi"/>
          <w:b/>
          <w:bCs/>
          <w:sz w:val="24"/>
          <w:szCs w:val="24"/>
          <w:lang w:val="en-US"/>
        </w:rPr>
        <w:t>Concetration</w:t>
      </w:r>
      <w:proofErr w:type="spellEnd"/>
      <w:r w:rsidRPr="002A7859">
        <w:rPr>
          <w:rFonts w:asciiTheme="majorBidi" w:hAnsiTheme="majorBidi" w:cstheme="majorBidi"/>
          <w:b/>
          <w:bCs/>
          <w:sz w:val="24"/>
          <w:szCs w:val="24"/>
          <w:lang w:val="en-US"/>
        </w:rPr>
        <w:t>.</w:t>
      </w:r>
    </w:p>
    <w:tbl>
      <w:tblPr>
        <w:bidiVisual/>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6"/>
        <w:gridCol w:w="2267"/>
        <w:gridCol w:w="2267"/>
      </w:tblGrid>
      <w:tr w:rsidR="00AF3C2E" w:rsidRPr="002A7859" w14:paraId="0FDABEC5" w14:textId="77777777" w:rsidTr="00AF3C2E">
        <w:trPr>
          <w:trHeight w:val="57"/>
        </w:trPr>
        <w:tc>
          <w:tcPr>
            <w:tcW w:w="12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80CD77" w14:textId="77777777" w:rsidR="00AF3C2E" w:rsidRPr="002A7859" w:rsidRDefault="00AF3C2E" w:rsidP="00061243">
            <w:pPr>
              <w:jc w:val="center"/>
              <w:rPr>
                <w:rFonts w:asciiTheme="majorBidi" w:hAnsiTheme="majorBidi" w:cstheme="majorBidi"/>
                <w:b/>
                <w:bCs/>
                <w:sz w:val="24"/>
                <w:szCs w:val="24"/>
                <w:rtl/>
                <w:lang w:val="en-US" w:bidi="ar-IQ"/>
              </w:rPr>
            </w:pPr>
            <w:r w:rsidRPr="002A7859">
              <w:rPr>
                <w:rFonts w:asciiTheme="majorBidi" w:hAnsiTheme="majorBidi" w:cstheme="majorBidi"/>
                <w:b/>
                <w:bCs/>
                <w:sz w:val="24"/>
                <w:szCs w:val="24"/>
                <w:lang w:val="en-US" w:bidi="ar-IQ"/>
              </w:rPr>
              <w:t>Inhibition rate</w:t>
            </w:r>
          </w:p>
          <w:p w14:paraId="61573DDF" w14:textId="77777777"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rtl/>
                <w:lang w:val="en-US" w:bidi="ar-IQ"/>
              </w:rPr>
              <w:t>(%)</w:t>
            </w:r>
          </w:p>
        </w:tc>
        <w:tc>
          <w:tcPr>
            <w:tcW w:w="12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ED8693" w14:textId="77777777"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lang w:val="en-US"/>
              </w:rPr>
              <w:t>Colony diameter</w:t>
            </w:r>
          </w:p>
          <w:p w14:paraId="3550AB31" w14:textId="77777777"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lang w:val="en-US"/>
              </w:rPr>
              <w:t>(mm)</w:t>
            </w:r>
          </w:p>
        </w:tc>
        <w:tc>
          <w:tcPr>
            <w:tcW w:w="12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43EF4" w14:textId="005420F2" w:rsidR="00AF3C2E" w:rsidRPr="002A7859" w:rsidRDefault="00AF3C2E" w:rsidP="00061243">
            <w:pPr>
              <w:jc w:val="center"/>
              <w:rPr>
                <w:rFonts w:asciiTheme="majorBidi" w:hAnsiTheme="majorBidi" w:cstheme="majorBidi"/>
                <w:b/>
                <w:bCs/>
                <w:sz w:val="24"/>
                <w:szCs w:val="24"/>
                <w:rtl/>
                <w:lang w:val="en-US" w:bidi="ar-IQ"/>
              </w:rPr>
            </w:pPr>
            <w:r w:rsidRPr="002A7859">
              <w:rPr>
                <w:rFonts w:asciiTheme="majorBidi" w:hAnsiTheme="majorBidi" w:cstheme="majorBidi"/>
                <w:b/>
                <w:bCs/>
                <w:sz w:val="24"/>
                <w:szCs w:val="24"/>
                <w:lang w:val="en-US"/>
              </w:rPr>
              <w:t>Ag-NPs</w:t>
            </w:r>
            <w:r w:rsidR="00061243" w:rsidRPr="002A7859">
              <w:rPr>
                <w:rFonts w:asciiTheme="majorBidi" w:hAnsiTheme="majorBidi" w:cstheme="majorBidi"/>
                <w:b/>
                <w:bCs/>
                <w:sz w:val="24"/>
                <w:szCs w:val="24"/>
                <w:lang w:val="en-US"/>
              </w:rPr>
              <w:t xml:space="preserve"> concentrations</w:t>
            </w:r>
          </w:p>
          <w:p w14:paraId="6DB013C5" w14:textId="77777777"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rtl/>
                <w:lang w:val="en-US" w:bidi="ar-IQ"/>
              </w:rPr>
              <w:t>(%)</w:t>
            </w:r>
          </w:p>
        </w:tc>
        <w:tc>
          <w:tcPr>
            <w:tcW w:w="12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35398" w14:textId="77777777"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lang w:val="en-US" w:bidi="ar-IQ"/>
              </w:rPr>
              <w:t>Type of fungi</w:t>
            </w:r>
          </w:p>
        </w:tc>
      </w:tr>
      <w:tr w:rsidR="00AF3C2E" w:rsidRPr="002A7859" w14:paraId="6D43A21C" w14:textId="77777777" w:rsidTr="00AF3C2E">
        <w:trPr>
          <w:trHeight w:val="57"/>
        </w:trPr>
        <w:tc>
          <w:tcPr>
            <w:tcW w:w="1250" w:type="pct"/>
            <w:tcBorders>
              <w:top w:val="single" w:sz="4" w:space="0" w:color="auto"/>
              <w:left w:val="single" w:sz="4" w:space="0" w:color="auto"/>
              <w:bottom w:val="single" w:sz="4" w:space="0" w:color="auto"/>
              <w:right w:val="single" w:sz="4" w:space="0" w:color="auto"/>
            </w:tcBorders>
            <w:vAlign w:val="center"/>
            <w:hideMark/>
          </w:tcPr>
          <w:p w14:paraId="55D54928"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lang w:val="en-US"/>
              </w:rPr>
              <w:t>0.0</w:t>
            </w:r>
          </w:p>
          <w:p w14:paraId="72646935"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54</w:t>
            </w:r>
          </w:p>
          <w:p w14:paraId="112502C1"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77</w:t>
            </w:r>
          </w:p>
          <w:p w14:paraId="53E75A30"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100</w:t>
            </w:r>
          </w:p>
        </w:tc>
        <w:tc>
          <w:tcPr>
            <w:tcW w:w="1250" w:type="pct"/>
            <w:tcBorders>
              <w:top w:val="single" w:sz="4" w:space="0" w:color="auto"/>
              <w:left w:val="single" w:sz="4" w:space="0" w:color="auto"/>
              <w:bottom w:val="single" w:sz="4" w:space="0" w:color="auto"/>
              <w:right w:val="single" w:sz="4" w:space="0" w:color="auto"/>
            </w:tcBorders>
            <w:vAlign w:val="center"/>
          </w:tcPr>
          <w:p w14:paraId="6D7BC67E"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5.6</w:t>
            </w:r>
          </w:p>
          <w:p w14:paraId="407AAE8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2.6</w:t>
            </w:r>
          </w:p>
          <w:p w14:paraId="3D87753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1.3</w:t>
            </w:r>
          </w:p>
          <w:p w14:paraId="10A9CECD"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0</w:t>
            </w:r>
          </w:p>
        </w:tc>
        <w:tc>
          <w:tcPr>
            <w:tcW w:w="1250" w:type="pct"/>
            <w:tcBorders>
              <w:top w:val="single" w:sz="4" w:space="0" w:color="auto"/>
              <w:left w:val="single" w:sz="4" w:space="0" w:color="auto"/>
              <w:bottom w:val="single" w:sz="4" w:space="0" w:color="auto"/>
              <w:right w:val="single" w:sz="4" w:space="0" w:color="auto"/>
            </w:tcBorders>
            <w:vAlign w:val="center"/>
          </w:tcPr>
          <w:p w14:paraId="5D6F4AF0"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 xml:space="preserve">0.0 </w:t>
            </w:r>
            <w:r w:rsidRPr="002A7859">
              <w:rPr>
                <w:rFonts w:asciiTheme="majorBidi" w:hAnsiTheme="majorBidi" w:cstheme="majorBidi"/>
                <w:sz w:val="24"/>
                <w:szCs w:val="24"/>
                <w:lang w:val="en-US" w:bidi="ar-IQ"/>
              </w:rPr>
              <w:t>(control)</w:t>
            </w:r>
          </w:p>
          <w:p w14:paraId="119AC96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10</w:t>
            </w:r>
          </w:p>
          <w:p w14:paraId="7A2E5E8B"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20</w:t>
            </w:r>
          </w:p>
          <w:p w14:paraId="5FEDF5AD"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40</w:t>
            </w:r>
          </w:p>
        </w:tc>
        <w:tc>
          <w:tcPr>
            <w:tcW w:w="1250" w:type="pct"/>
            <w:tcBorders>
              <w:top w:val="single" w:sz="4" w:space="0" w:color="auto"/>
              <w:left w:val="single" w:sz="4" w:space="0" w:color="auto"/>
              <w:bottom w:val="single" w:sz="4" w:space="0" w:color="auto"/>
              <w:right w:val="single" w:sz="4" w:space="0" w:color="auto"/>
            </w:tcBorders>
            <w:vAlign w:val="center"/>
          </w:tcPr>
          <w:p w14:paraId="46F6DF5D" w14:textId="0DD0F6F7" w:rsidR="00AF3C2E" w:rsidRPr="002A7859" w:rsidRDefault="00785732"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lang w:val="en-US" w:bidi="ar-IQ"/>
              </w:rPr>
              <w:t>Free of fungi</w:t>
            </w:r>
          </w:p>
          <w:p w14:paraId="07E3D3BF" w14:textId="77777777" w:rsidR="00AF3C2E" w:rsidRPr="002A7859" w:rsidRDefault="00AF3C2E" w:rsidP="00061243">
            <w:pPr>
              <w:jc w:val="center"/>
              <w:rPr>
                <w:rFonts w:asciiTheme="majorBidi" w:hAnsiTheme="majorBidi" w:cstheme="majorBidi"/>
                <w:i/>
                <w:iCs/>
                <w:sz w:val="24"/>
                <w:szCs w:val="24"/>
                <w:lang w:val="en-US"/>
              </w:rPr>
            </w:pPr>
            <w:r w:rsidRPr="002A7859">
              <w:rPr>
                <w:rFonts w:asciiTheme="majorBidi" w:hAnsiTheme="majorBidi" w:cstheme="majorBidi"/>
                <w:i/>
                <w:iCs/>
                <w:sz w:val="24"/>
                <w:szCs w:val="24"/>
                <w:lang w:val="en-US"/>
              </w:rPr>
              <w:t>Fusarium</w:t>
            </w:r>
          </w:p>
          <w:p w14:paraId="4A3EFB83" w14:textId="77777777" w:rsidR="00AF3C2E" w:rsidRPr="002A7859" w:rsidRDefault="00AF3C2E" w:rsidP="00061243">
            <w:pPr>
              <w:jc w:val="center"/>
              <w:rPr>
                <w:rFonts w:asciiTheme="majorBidi" w:hAnsiTheme="majorBidi" w:cstheme="majorBidi"/>
                <w:i/>
                <w:iCs/>
                <w:sz w:val="24"/>
                <w:szCs w:val="24"/>
                <w:lang w:val="en-US"/>
              </w:rPr>
            </w:pPr>
            <w:r w:rsidRPr="002A7859">
              <w:rPr>
                <w:rFonts w:asciiTheme="majorBidi" w:hAnsiTheme="majorBidi" w:cstheme="majorBidi"/>
                <w:i/>
                <w:iCs/>
                <w:sz w:val="24"/>
                <w:szCs w:val="24"/>
                <w:lang w:val="en-US"/>
              </w:rPr>
              <w:t>Solian</w:t>
            </w:r>
          </w:p>
        </w:tc>
      </w:tr>
      <w:tr w:rsidR="00AF3C2E" w:rsidRPr="002A7859" w14:paraId="1811E3E8" w14:textId="77777777" w:rsidTr="00AF3C2E">
        <w:trPr>
          <w:trHeight w:val="57"/>
        </w:trPr>
        <w:tc>
          <w:tcPr>
            <w:tcW w:w="1250" w:type="pct"/>
            <w:tcBorders>
              <w:top w:val="single" w:sz="4" w:space="0" w:color="auto"/>
              <w:left w:val="single" w:sz="4" w:space="0" w:color="auto"/>
              <w:bottom w:val="single" w:sz="4" w:space="0" w:color="auto"/>
              <w:right w:val="single" w:sz="4" w:space="0" w:color="auto"/>
            </w:tcBorders>
            <w:vAlign w:val="center"/>
            <w:hideMark/>
          </w:tcPr>
          <w:p w14:paraId="56AEFDFD"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lang w:val="en-US"/>
              </w:rPr>
              <w:t>0.0</w:t>
            </w:r>
          </w:p>
          <w:p w14:paraId="1252A975"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45</w:t>
            </w:r>
          </w:p>
          <w:p w14:paraId="083B991E"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61</w:t>
            </w:r>
          </w:p>
          <w:p w14:paraId="716DBC6F"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100</w:t>
            </w:r>
          </w:p>
        </w:tc>
        <w:tc>
          <w:tcPr>
            <w:tcW w:w="1250" w:type="pct"/>
            <w:tcBorders>
              <w:top w:val="single" w:sz="4" w:space="0" w:color="auto"/>
              <w:left w:val="single" w:sz="4" w:space="0" w:color="auto"/>
              <w:bottom w:val="single" w:sz="4" w:space="0" w:color="auto"/>
              <w:right w:val="single" w:sz="4" w:space="0" w:color="auto"/>
            </w:tcBorders>
            <w:vAlign w:val="center"/>
          </w:tcPr>
          <w:p w14:paraId="19E2D26E"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3.8</w:t>
            </w:r>
          </w:p>
          <w:p w14:paraId="2DAF9337"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2.1</w:t>
            </w:r>
          </w:p>
          <w:p w14:paraId="43AF62D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1.5</w:t>
            </w:r>
          </w:p>
          <w:p w14:paraId="3A70E033"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0</w:t>
            </w:r>
          </w:p>
        </w:tc>
        <w:tc>
          <w:tcPr>
            <w:tcW w:w="1250" w:type="pct"/>
            <w:tcBorders>
              <w:top w:val="single" w:sz="4" w:space="0" w:color="auto"/>
              <w:left w:val="single" w:sz="4" w:space="0" w:color="auto"/>
              <w:bottom w:val="single" w:sz="4" w:space="0" w:color="auto"/>
              <w:right w:val="single" w:sz="4" w:space="0" w:color="auto"/>
            </w:tcBorders>
            <w:vAlign w:val="center"/>
          </w:tcPr>
          <w:p w14:paraId="1755E08B"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 xml:space="preserve">0.0 </w:t>
            </w:r>
            <w:r w:rsidRPr="002A7859">
              <w:rPr>
                <w:rFonts w:asciiTheme="majorBidi" w:hAnsiTheme="majorBidi" w:cstheme="majorBidi"/>
                <w:sz w:val="24"/>
                <w:szCs w:val="24"/>
                <w:lang w:val="en-US" w:bidi="ar-IQ"/>
              </w:rPr>
              <w:t>(control)</w:t>
            </w:r>
          </w:p>
          <w:p w14:paraId="5493EA12"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10</w:t>
            </w:r>
          </w:p>
          <w:p w14:paraId="49878982"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20</w:t>
            </w:r>
          </w:p>
          <w:p w14:paraId="6FB31950"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40</w:t>
            </w:r>
          </w:p>
        </w:tc>
        <w:tc>
          <w:tcPr>
            <w:tcW w:w="1250" w:type="pct"/>
            <w:tcBorders>
              <w:top w:val="single" w:sz="4" w:space="0" w:color="auto"/>
              <w:left w:val="single" w:sz="4" w:space="0" w:color="auto"/>
              <w:bottom w:val="single" w:sz="4" w:space="0" w:color="auto"/>
              <w:right w:val="single" w:sz="4" w:space="0" w:color="auto"/>
            </w:tcBorders>
            <w:vAlign w:val="center"/>
          </w:tcPr>
          <w:p w14:paraId="44DF1124" w14:textId="77777777" w:rsidR="00AF3C2E" w:rsidRPr="002A7859" w:rsidRDefault="00AF3C2E" w:rsidP="00061243">
            <w:pPr>
              <w:jc w:val="center"/>
              <w:rPr>
                <w:rFonts w:asciiTheme="majorBidi" w:hAnsiTheme="majorBidi" w:cstheme="majorBidi"/>
                <w:i/>
                <w:iCs/>
                <w:sz w:val="24"/>
                <w:szCs w:val="24"/>
                <w:rtl/>
                <w:lang w:val="en-US" w:bidi="ar-IQ"/>
              </w:rPr>
            </w:pPr>
            <w:r w:rsidRPr="002A7859">
              <w:rPr>
                <w:rFonts w:asciiTheme="majorBidi" w:hAnsiTheme="majorBidi" w:cstheme="majorBidi"/>
                <w:i/>
                <w:iCs/>
                <w:sz w:val="24"/>
                <w:szCs w:val="24"/>
                <w:lang w:val="en-US"/>
              </w:rPr>
              <w:t>Aspergillus</w:t>
            </w:r>
          </w:p>
          <w:p w14:paraId="3CA16E51" w14:textId="77777777" w:rsidR="00AF3C2E" w:rsidRPr="002A7859" w:rsidRDefault="00AF3C2E" w:rsidP="00061243">
            <w:pPr>
              <w:jc w:val="center"/>
              <w:rPr>
                <w:rFonts w:asciiTheme="majorBidi" w:hAnsiTheme="majorBidi" w:cstheme="majorBidi"/>
                <w:i/>
                <w:iCs/>
                <w:sz w:val="24"/>
                <w:szCs w:val="24"/>
                <w:lang w:val="en-US"/>
              </w:rPr>
            </w:pPr>
            <w:r w:rsidRPr="002A7859">
              <w:rPr>
                <w:rFonts w:asciiTheme="majorBidi" w:hAnsiTheme="majorBidi" w:cstheme="majorBidi"/>
                <w:i/>
                <w:iCs/>
                <w:sz w:val="24"/>
                <w:szCs w:val="24"/>
                <w:lang w:val="en-US"/>
              </w:rPr>
              <w:t>Niger</w:t>
            </w:r>
          </w:p>
        </w:tc>
      </w:tr>
      <w:tr w:rsidR="00AF3C2E" w:rsidRPr="002A7859" w14:paraId="593A8EF0" w14:textId="77777777" w:rsidTr="00AF3C2E">
        <w:trPr>
          <w:trHeight w:val="57"/>
        </w:trPr>
        <w:tc>
          <w:tcPr>
            <w:tcW w:w="1250" w:type="pct"/>
            <w:tcBorders>
              <w:top w:val="single" w:sz="4" w:space="0" w:color="auto"/>
              <w:left w:val="single" w:sz="4" w:space="0" w:color="auto"/>
              <w:bottom w:val="single" w:sz="4" w:space="0" w:color="auto"/>
              <w:right w:val="single" w:sz="4" w:space="0" w:color="auto"/>
            </w:tcBorders>
            <w:vAlign w:val="center"/>
          </w:tcPr>
          <w:p w14:paraId="016103E4" w14:textId="4B3CD6CD" w:rsidR="00AF3C2E" w:rsidRPr="002A7859" w:rsidRDefault="00785732"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lang w:val="en-US" w:bidi="ar-IQ"/>
              </w:rPr>
              <w:t>0.0</w:t>
            </w:r>
          </w:p>
          <w:p w14:paraId="01DEF5A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100</w:t>
            </w:r>
          </w:p>
          <w:p w14:paraId="6183E25C"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100</w:t>
            </w:r>
          </w:p>
          <w:p w14:paraId="1B8FDA12"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100</w:t>
            </w:r>
          </w:p>
        </w:tc>
        <w:tc>
          <w:tcPr>
            <w:tcW w:w="1250" w:type="pct"/>
            <w:tcBorders>
              <w:top w:val="single" w:sz="4" w:space="0" w:color="auto"/>
              <w:left w:val="single" w:sz="4" w:space="0" w:color="auto"/>
              <w:bottom w:val="single" w:sz="4" w:space="0" w:color="auto"/>
              <w:right w:val="single" w:sz="4" w:space="0" w:color="auto"/>
            </w:tcBorders>
            <w:vAlign w:val="center"/>
          </w:tcPr>
          <w:p w14:paraId="78ADAC51"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4.2</w:t>
            </w:r>
          </w:p>
          <w:p w14:paraId="39B8A014"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0</w:t>
            </w:r>
          </w:p>
          <w:p w14:paraId="7AE1F475"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0</w:t>
            </w:r>
          </w:p>
          <w:p w14:paraId="496C1A80"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0</w:t>
            </w:r>
          </w:p>
        </w:tc>
        <w:tc>
          <w:tcPr>
            <w:tcW w:w="1250" w:type="pct"/>
            <w:tcBorders>
              <w:top w:val="single" w:sz="4" w:space="0" w:color="auto"/>
              <w:left w:val="single" w:sz="4" w:space="0" w:color="auto"/>
              <w:bottom w:val="single" w:sz="4" w:space="0" w:color="auto"/>
              <w:right w:val="single" w:sz="4" w:space="0" w:color="auto"/>
            </w:tcBorders>
            <w:vAlign w:val="center"/>
          </w:tcPr>
          <w:p w14:paraId="53416CDA"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 xml:space="preserve">0.0 </w:t>
            </w:r>
            <w:r w:rsidRPr="002A7859">
              <w:rPr>
                <w:rFonts w:asciiTheme="majorBidi" w:hAnsiTheme="majorBidi" w:cstheme="majorBidi"/>
                <w:sz w:val="24"/>
                <w:szCs w:val="24"/>
                <w:lang w:val="en-US" w:bidi="ar-IQ"/>
              </w:rPr>
              <w:t>(control)</w:t>
            </w:r>
          </w:p>
          <w:p w14:paraId="0FF9C48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10</w:t>
            </w:r>
          </w:p>
          <w:p w14:paraId="7BF661DC"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20</w:t>
            </w:r>
          </w:p>
          <w:p w14:paraId="361532CD"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40</w:t>
            </w:r>
          </w:p>
        </w:tc>
        <w:tc>
          <w:tcPr>
            <w:tcW w:w="1250" w:type="pct"/>
            <w:tcBorders>
              <w:top w:val="single" w:sz="4" w:space="0" w:color="auto"/>
              <w:left w:val="single" w:sz="4" w:space="0" w:color="auto"/>
              <w:bottom w:val="single" w:sz="4" w:space="0" w:color="auto"/>
              <w:right w:val="single" w:sz="4" w:space="0" w:color="auto"/>
            </w:tcBorders>
            <w:vAlign w:val="center"/>
          </w:tcPr>
          <w:p w14:paraId="664AC24E" w14:textId="77777777" w:rsidR="00AF3C2E" w:rsidRPr="002A7859" w:rsidRDefault="00AF3C2E" w:rsidP="00061243">
            <w:pPr>
              <w:jc w:val="center"/>
              <w:rPr>
                <w:rFonts w:asciiTheme="majorBidi" w:hAnsiTheme="majorBidi" w:cstheme="majorBidi"/>
                <w:i/>
                <w:iCs/>
                <w:sz w:val="24"/>
                <w:szCs w:val="24"/>
                <w:rtl/>
                <w:lang w:val="en-US" w:bidi="ar-IQ"/>
              </w:rPr>
            </w:pPr>
            <w:r w:rsidRPr="002A7859">
              <w:rPr>
                <w:rFonts w:asciiTheme="majorBidi" w:hAnsiTheme="majorBidi" w:cstheme="majorBidi"/>
                <w:i/>
                <w:iCs/>
                <w:sz w:val="24"/>
                <w:szCs w:val="24"/>
                <w:lang w:val="en-US"/>
              </w:rPr>
              <w:t>Alternaria</w:t>
            </w:r>
          </w:p>
          <w:p w14:paraId="5D0D1063" w14:textId="77777777" w:rsidR="00AF3C2E" w:rsidRPr="002A7859" w:rsidRDefault="00AF3C2E" w:rsidP="00061243">
            <w:pPr>
              <w:jc w:val="center"/>
              <w:rPr>
                <w:rFonts w:asciiTheme="majorBidi" w:hAnsiTheme="majorBidi" w:cstheme="majorBidi"/>
                <w:sz w:val="24"/>
                <w:szCs w:val="24"/>
                <w:lang w:val="en-US"/>
              </w:rPr>
            </w:pPr>
            <w:proofErr w:type="spellStart"/>
            <w:r w:rsidRPr="002A7859">
              <w:rPr>
                <w:rFonts w:asciiTheme="majorBidi" w:hAnsiTheme="majorBidi" w:cstheme="majorBidi"/>
                <w:i/>
                <w:iCs/>
                <w:sz w:val="24"/>
                <w:szCs w:val="24"/>
                <w:lang w:val="en-US"/>
              </w:rPr>
              <w:t>Alternata</w:t>
            </w:r>
            <w:proofErr w:type="spellEnd"/>
          </w:p>
        </w:tc>
      </w:tr>
    </w:tbl>
    <w:p w14:paraId="368A7963" w14:textId="77777777" w:rsidR="00AF3C2E" w:rsidRPr="002A7859" w:rsidRDefault="00AF3C2E" w:rsidP="00061243">
      <w:pPr>
        <w:jc w:val="center"/>
        <w:rPr>
          <w:rFonts w:asciiTheme="majorBidi" w:hAnsiTheme="majorBidi" w:cstheme="majorBidi"/>
          <w:sz w:val="24"/>
          <w:szCs w:val="24"/>
          <w:rtl/>
        </w:rPr>
      </w:pPr>
    </w:p>
    <w:p w14:paraId="795F8987" w14:textId="77777777" w:rsidR="00F74299" w:rsidRPr="002A7859" w:rsidRDefault="00F74299" w:rsidP="00321FB8">
      <w:pPr>
        <w:bidi/>
        <w:spacing w:before="100" w:beforeAutospacing="1" w:after="100" w:afterAutospacing="1"/>
        <w:jc w:val="both"/>
        <w:outlineLvl w:val="2"/>
        <w:rPr>
          <w:rFonts w:ascii="Simplified Arabic" w:eastAsia="Times New Roman" w:hAnsi="Simplified Arabic" w:cs="Simplified Arabic"/>
          <w:b/>
          <w:bCs/>
          <w:sz w:val="24"/>
          <w:szCs w:val="24"/>
          <w:rtl/>
          <w:lang w:eastAsia="tr-TR"/>
        </w:rPr>
      </w:pPr>
    </w:p>
    <w:tbl>
      <w:tblPr>
        <w:tblStyle w:val="TableGrid"/>
        <w:bidiVisual/>
        <w:tblW w:w="543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941"/>
        <w:gridCol w:w="2941"/>
        <w:gridCol w:w="2941"/>
      </w:tblGrid>
      <w:tr w:rsidR="000C2CA9" w:rsidRPr="000C2CA9" w14:paraId="01530424" w14:textId="77777777" w:rsidTr="003E182C">
        <w:trPr>
          <w:trHeight w:val="20"/>
          <w:jc w:val="center"/>
        </w:trPr>
        <w:tc>
          <w:tcPr>
            <w:tcW w:w="632" w:type="pct"/>
          </w:tcPr>
          <w:p w14:paraId="33EDA7E9" w14:textId="77777777" w:rsidR="000C2CA9" w:rsidRPr="000C2CA9" w:rsidRDefault="000C2CA9" w:rsidP="000C2CA9">
            <w:pPr>
              <w:bidi/>
              <w:spacing w:before="80" w:after="80"/>
              <w:rPr>
                <w:rFonts w:ascii="Times New Roman" w:hAnsi="Times New Roman" w:cs="Simplified Arabic"/>
                <w:b/>
                <w:bCs/>
                <w:i/>
                <w:iCs/>
                <w:sz w:val="24"/>
                <w:szCs w:val="24"/>
              </w:rPr>
            </w:pPr>
          </w:p>
        </w:tc>
        <w:tc>
          <w:tcPr>
            <w:tcW w:w="1456" w:type="pct"/>
            <w:hideMark/>
          </w:tcPr>
          <w:p w14:paraId="3F4F67C4" w14:textId="77777777" w:rsidR="000C2CA9" w:rsidRPr="000C2CA9" w:rsidRDefault="000C2CA9" w:rsidP="000C2CA9">
            <w:pPr>
              <w:bidi/>
              <w:spacing w:before="80" w:after="80"/>
              <w:rPr>
                <w:rFonts w:ascii="Times New Roman" w:hAnsi="Times New Roman" w:cs="Times New Roman"/>
                <w:b/>
                <w:bCs/>
                <w:i/>
                <w:iCs/>
                <w:sz w:val="24"/>
                <w:szCs w:val="24"/>
              </w:rPr>
            </w:pPr>
            <w:r w:rsidRPr="000C2CA9">
              <w:rPr>
                <w:rFonts w:ascii="Times New Roman" w:hAnsi="Times New Roman" w:cs="Times New Roman"/>
                <w:b/>
                <w:bCs/>
                <w:i/>
                <w:iCs/>
                <w:sz w:val="24"/>
                <w:szCs w:val="24"/>
              </w:rPr>
              <w:t>Aspergillus</w:t>
            </w:r>
          </w:p>
        </w:tc>
        <w:tc>
          <w:tcPr>
            <w:tcW w:w="1456" w:type="pct"/>
            <w:hideMark/>
          </w:tcPr>
          <w:p w14:paraId="644CA70A" w14:textId="77777777" w:rsidR="000C2CA9" w:rsidRPr="000C2CA9" w:rsidRDefault="000C2CA9" w:rsidP="000C2CA9">
            <w:pPr>
              <w:bidi/>
              <w:spacing w:before="80" w:after="80"/>
              <w:rPr>
                <w:rFonts w:ascii="Times New Roman" w:hAnsi="Times New Roman" w:cs="Times New Roman"/>
                <w:b/>
                <w:bCs/>
                <w:i/>
                <w:iCs/>
                <w:sz w:val="24"/>
                <w:szCs w:val="24"/>
              </w:rPr>
            </w:pPr>
            <w:r w:rsidRPr="000C2CA9">
              <w:rPr>
                <w:rFonts w:ascii="Times New Roman" w:hAnsi="Times New Roman" w:cs="Times New Roman"/>
                <w:b/>
                <w:bCs/>
                <w:i/>
                <w:iCs/>
                <w:sz w:val="24"/>
                <w:szCs w:val="24"/>
              </w:rPr>
              <w:t>Fusarium</w:t>
            </w:r>
          </w:p>
        </w:tc>
        <w:tc>
          <w:tcPr>
            <w:tcW w:w="1456" w:type="pct"/>
            <w:hideMark/>
          </w:tcPr>
          <w:p w14:paraId="6BB1067E" w14:textId="77777777" w:rsidR="000C2CA9" w:rsidRPr="000C2CA9" w:rsidRDefault="000C2CA9" w:rsidP="000C2CA9">
            <w:pPr>
              <w:bidi/>
              <w:spacing w:before="80" w:after="80"/>
              <w:rPr>
                <w:rFonts w:ascii="Times New Roman" w:hAnsi="Times New Roman" w:cs="Times New Roman"/>
                <w:b/>
                <w:bCs/>
                <w:i/>
                <w:iCs/>
                <w:sz w:val="24"/>
                <w:szCs w:val="24"/>
              </w:rPr>
            </w:pPr>
            <w:r w:rsidRPr="000C2CA9">
              <w:rPr>
                <w:rFonts w:ascii="Times New Roman" w:hAnsi="Times New Roman" w:cs="Times New Roman"/>
                <w:b/>
                <w:bCs/>
                <w:i/>
                <w:iCs/>
                <w:sz w:val="24"/>
                <w:szCs w:val="24"/>
              </w:rPr>
              <w:t>Alternaria</w:t>
            </w:r>
          </w:p>
        </w:tc>
      </w:tr>
      <w:tr w:rsidR="000C2CA9" w:rsidRPr="000C2CA9" w14:paraId="3C3D206B" w14:textId="77777777" w:rsidTr="003E182C">
        <w:trPr>
          <w:trHeight w:val="20"/>
          <w:jc w:val="center"/>
        </w:trPr>
        <w:tc>
          <w:tcPr>
            <w:tcW w:w="632" w:type="pct"/>
            <w:hideMark/>
          </w:tcPr>
          <w:p w14:paraId="68D29000" w14:textId="77777777" w:rsidR="000C2CA9" w:rsidRPr="000C2CA9" w:rsidRDefault="000C2CA9" w:rsidP="000C2CA9">
            <w:pPr>
              <w:rPr>
                <w:rFonts w:ascii="Times New Roman" w:hAnsi="Times New Roman" w:cs="Times New Roman"/>
                <w:b/>
                <w:bCs/>
                <w:kern w:val="2"/>
                <w:sz w:val="24"/>
                <w:szCs w:val="24"/>
                <w:lang w:val="en-GB"/>
                <w14:ligatures w14:val="standardContextual"/>
              </w:rPr>
            </w:pPr>
          </w:p>
          <w:p w14:paraId="70EB2F4F" w14:textId="77777777" w:rsidR="000C2CA9" w:rsidRPr="000C2CA9" w:rsidRDefault="000C2CA9" w:rsidP="000C2CA9">
            <w:pPr>
              <w:rPr>
                <w:rFonts w:ascii="Times New Roman" w:hAnsi="Times New Roman" w:cs="Times New Roman"/>
                <w:b/>
                <w:bCs/>
                <w:kern w:val="2"/>
                <w:sz w:val="24"/>
                <w:szCs w:val="24"/>
                <w:lang w:val="en-GB"/>
                <w14:ligatures w14:val="standardContextual"/>
              </w:rPr>
            </w:pPr>
          </w:p>
          <w:p w14:paraId="0982D0CE" w14:textId="77777777" w:rsidR="000C2CA9" w:rsidRPr="000C2CA9" w:rsidRDefault="000C2CA9" w:rsidP="000C2CA9">
            <w:pPr>
              <w:rPr>
                <w:rFonts w:ascii="Times New Roman" w:hAnsi="Times New Roman" w:cs="Times New Roman"/>
                <w:b/>
                <w:bCs/>
                <w:kern w:val="2"/>
                <w:sz w:val="24"/>
                <w:szCs w:val="24"/>
                <w:lang w:val="en-GB"/>
                <w14:ligatures w14:val="standardContextual"/>
              </w:rPr>
            </w:pPr>
            <w:r w:rsidRPr="000C2CA9">
              <w:rPr>
                <w:rFonts w:ascii="Times New Roman" w:hAnsi="Times New Roman" w:cs="Times New Roman"/>
                <w:b/>
                <w:bCs/>
                <w:kern w:val="2"/>
                <w:sz w:val="24"/>
                <w:szCs w:val="24"/>
                <w:lang w:val="en-GB"/>
                <w14:ligatures w14:val="standardContextual"/>
              </w:rPr>
              <w:t>Control A</w:t>
            </w:r>
          </w:p>
        </w:tc>
        <w:tc>
          <w:tcPr>
            <w:tcW w:w="1456" w:type="pct"/>
            <w:hideMark/>
          </w:tcPr>
          <w:p w14:paraId="7A911FE9"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350A26CE" wp14:editId="617F7CC8">
                  <wp:extent cx="1666875" cy="1457325"/>
                  <wp:effectExtent l="0" t="0" r="9525" b="9525"/>
                  <wp:docPr id="28" name="صورة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6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456" w:type="pct"/>
            <w:hideMark/>
          </w:tcPr>
          <w:p w14:paraId="2C822CE0"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72E2FD96" wp14:editId="09276A24">
                  <wp:extent cx="1666875" cy="1457325"/>
                  <wp:effectExtent l="0" t="0" r="9525" b="9525"/>
                  <wp:docPr id="27" name="صورة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5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456" w:type="pct"/>
            <w:hideMark/>
          </w:tcPr>
          <w:p w14:paraId="19005156"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481FAA4A" wp14:editId="01D4B01A">
                  <wp:extent cx="1666875" cy="1457325"/>
                  <wp:effectExtent l="0" t="0" r="9525" b="9525"/>
                  <wp:docPr id="26" name="صورة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r>
      <w:tr w:rsidR="000C2CA9" w:rsidRPr="000C2CA9" w14:paraId="00A19F85" w14:textId="77777777" w:rsidTr="003E182C">
        <w:trPr>
          <w:trHeight w:val="20"/>
          <w:jc w:val="center"/>
        </w:trPr>
        <w:tc>
          <w:tcPr>
            <w:tcW w:w="632" w:type="pct"/>
            <w:hideMark/>
          </w:tcPr>
          <w:p w14:paraId="101169FD" w14:textId="77777777" w:rsidR="000C2CA9" w:rsidRPr="000C2CA9" w:rsidRDefault="000C2CA9" w:rsidP="000C2CA9">
            <w:pPr>
              <w:rPr>
                <w:rFonts w:ascii="Times New Roman" w:hAnsi="Times New Roman" w:cs="Times New Roman"/>
                <w:b/>
                <w:bCs/>
                <w:kern w:val="2"/>
                <w:sz w:val="24"/>
                <w:szCs w:val="24"/>
                <w:lang w:val="en-GB"/>
                <w14:ligatures w14:val="standardContextual"/>
              </w:rPr>
            </w:pPr>
            <w:r w:rsidRPr="000C2CA9">
              <w:rPr>
                <w:rFonts w:ascii="Times New Roman" w:hAnsi="Times New Roman" w:cs="Times New Roman"/>
                <w:b/>
                <w:bCs/>
                <w:kern w:val="2"/>
                <w:sz w:val="24"/>
                <w:szCs w:val="24"/>
                <w:lang w:val="en-GB"/>
                <w14:ligatures w14:val="standardContextual"/>
              </w:rPr>
              <w:t>10% B</w:t>
            </w:r>
          </w:p>
        </w:tc>
        <w:tc>
          <w:tcPr>
            <w:tcW w:w="1456" w:type="pct"/>
            <w:hideMark/>
          </w:tcPr>
          <w:p w14:paraId="071BBC78"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57749967" wp14:editId="27F80C68">
                  <wp:extent cx="1666875" cy="1457325"/>
                  <wp:effectExtent l="0" t="0" r="9525" b="9525"/>
                  <wp:docPr id="25" name="صورة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6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456" w:type="pct"/>
            <w:hideMark/>
          </w:tcPr>
          <w:p w14:paraId="4E1A0BDA"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1201611F" wp14:editId="59F7AD1D">
                  <wp:extent cx="1666875" cy="1457325"/>
                  <wp:effectExtent l="0" t="0" r="9525" b="9525"/>
                  <wp:docPr id="24" name="صورة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58"/>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456" w:type="pct"/>
            <w:hideMark/>
          </w:tcPr>
          <w:p w14:paraId="5845963E"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0DB91CFC" wp14:editId="17941BB7">
                  <wp:extent cx="1666875" cy="1457325"/>
                  <wp:effectExtent l="0" t="0" r="9525" b="9525"/>
                  <wp:docPr id="23" name="صورة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r>
      <w:tr w:rsidR="000C2CA9" w:rsidRPr="000C2CA9" w14:paraId="4758EBEE" w14:textId="77777777" w:rsidTr="003E182C">
        <w:trPr>
          <w:trHeight w:val="20"/>
          <w:jc w:val="center"/>
        </w:trPr>
        <w:tc>
          <w:tcPr>
            <w:tcW w:w="632" w:type="pct"/>
            <w:hideMark/>
          </w:tcPr>
          <w:p w14:paraId="5371605F" w14:textId="77777777" w:rsidR="000C2CA9" w:rsidRPr="000C2CA9" w:rsidRDefault="000C2CA9" w:rsidP="000C2CA9">
            <w:pPr>
              <w:rPr>
                <w:rFonts w:ascii="Times New Roman" w:hAnsi="Times New Roman" w:cs="Times New Roman"/>
                <w:b/>
                <w:bCs/>
                <w:kern w:val="2"/>
                <w:sz w:val="24"/>
                <w:szCs w:val="24"/>
                <w:lang w:val="en-GB"/>
                <w14:ligatures w14:val="standardContextual"/>
              </w:rPr>
            </w:pPr>
            <w:r w:rsidRPr="000C2CA9">
              <w:rPr>
                <w:rFonts w:ascii="Times New Roman" w:hAnsi="Times New Roman" w:cs="Times New Roman"/>
                <w:b/>
                <w:bCs/>
                <w:kern w:val="2"/>
                <w:sz w:val="24"/>
                <w:szCs w:val="24"/>
                <w:lang w:val="en-GB"/>
                <w14:ligatures w14:val="standardContextual"/>
              </w:rPr>
              <w:t>20% C</w:t>
            </w:r>
          </w:p>
        </w:tc>
        <w:tc>
          <w:tcPr>
            <w:tcW w:w="1456" w:type="pct"/>
            <w:hideMark/>
          </w:tcPr>
          <w:p w14:paraId="3F8AF90D"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50C78F8E" wp14:editId="178D020B">
                  <wp:extent cx="1666875" cy="1457325"/>
                  <wp:effectExtent l="0" t="0" r="9525" b="9525"/>
                  <wp:docPr id="13" name="صورة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63"/>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456" w:type="pct"/>
            <w:hideMark/>
          </w:tcPr>
          <w:p w14:paraId="5181332D"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799FEBC9" wp14:editId="3C0E9C3F">
                  <wp:extent cx="1666875" cy="1457325"/>
                  <wp:effectExtent l="0" t="0" r="9525" b="9525"/>
                  <wp:docPr id="12" name="صورة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59"/>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456" w:type="pct"/>
            <w:hideMark/>
          </w:tcPr>
          <w:p w14:paraId="64951BD0"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410F88FE" wp14:editId="6783883E">
                  <wp:extent cx="1666875" cy="1457325"/>
                  <wp:effectExtent l="0" t="0" r="9525" b="9525"/>
                  <wp:docPr id="11" name="صورة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r>
      <w:tr w:rsidR="000C2CA9" w:rsidRPr="000C2CA9" w14:paraId="79044CFB" w14:textId="77777777" w:rsidTr="003E182C">
        <w:trPr>
          <w:trHeight w:val="20"/>
          <w:jc w:val="center"/>
        </w:trPr>
        <w:tc>
          <w:tcPr>
            <w:tcW w:w="632" w:type="pct"/>
            <w:hideMark/>
          </w:tcPr>
          <w:p w14:paraId="395FDC7B" w14:textId="77777777" w:rsidR="000C2CA9" w:rsidRPr="000C2CA9" w:rsidRDefault="000C2CA9" w:rsidP="000C2CA9">
            <w:pPr>
              <w:rPr>
                <w:rFonts w:ascii="Times New Roman" w:hAnsi="Times New Roman" w:cs="Times New Roman"/>
                <w:b/>
                <w:bCs/>
                <w:kern w:val="2"/>
                <w:sz w:val="24"/>
                <w:szCs w:val="24"/>
                <w:lang w:val="en-GB"/>
                <w14:ligatures w14:val="standardContextual"/>
              </w:rPr>
            </w:pPr>
            <w:r w:rsidRPr="000C2CA9">
              <w:rPr>
                <w:rFonts w:ascii="Times New Roman" w:hAnsi="Times New Roman" w:cs="Times New Roman"/>
                <w:b/>
                <w:bCs/>
                <w:kern w:val="2"/>
                <w:sz w:val="24"/>
                <w:szCs w:val="24"/>
                <w:lang w:val="en-GB"/>
                <w14:ligatures w14:val="standardContextual"/>
              </w:rPr>
              <w:t>40% D</w:t>
            </w:r>
          </w:p>
        </w:tc>
        <w:tc>
          <w:tcPr>
            <w:tcW w:w="1456" w:type="pct"/>
            <w:hideMark/>
          </w:tcPr>
          <w:p w14:paraId="2D9A3E6A"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10F1482F" wp14:editId="6741EF3B">
                  <wp:extent cx="1666875" cy="1457325"/>
                  <wp:effectExtent l="0" t="0" r="9525" b="9525"/>
                  <wp:docPr id="10" name="صورة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64"/>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456" w:type="pct"/>
            <w:hideMark/>
          </w:tcPr>
          <w:p w14:paraId="11593949"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0718A107" wp14:editId="3BB343EF">
                  <wp:extent cx="1666875" cy="1457325"/>
                  <wp:effectExtent l="0" t="0" r="9525" b="9525"/>
                  <wp:docPr id="7" name="صورة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60"/>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456" w:type="pct"/>
            <w:hideMark/>
          </w:tcPr>
          <w:p w14:paraId="26F751A7" w14:textId="77777777" w:rsidR="000C2CA9" w:rsidRPr="000C2CA9" w:rsidRDefault="000C2CA9" w:rsidP="000C2CA9">
            <w:pPr>
              <w:bidi/>
              <w:spacing w:before="80" w:after="80"/>
              <w:rPr>
                <w:rFonts w:ascii="Times New Roman" w:hAnsi="Times New Roman" w:cs="Simplified Arabic"/>
                <w:b/>
                <w:bCs/>
                <w:i/>
                <w:iCs/>
                <w:sz w:val="24"/>
                <w:szCs w:val="24"/>
              </w:rPr>
            </w:pPr>
            <w:r w:rsidRPr="000C2CA9">
              <w:rPr>
                <w:b/>
                <w:bCs/>
                <w:noProof/>
                <w:sz w:val="24"/>
                <w:szCs w:val="24"/>
                <w:lang w:eastAsia="tr-TR"/>
              </w:rPr>
              <w:drawing>
                <wp:inline distT="0" distB="0" distL="0" distR="0" wp14:anchorId="5A4C9426" wp14:editId="1E805115">
                  <wp:extent cx="1666875" cy="1457325"/>
                  <wp:effectExtent l="0" t="0" r="9525" b="9525"/>
                  <wp:docPr id="1"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56"/>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r>
    </w:tbl>
    <w:p w14:paraId="397CA6E5" w14:textId="77777777" w:rsidR="00B10295" w:rsidRPr="002A7859" w:rsidRDefault="00B10295" w:rsidP="00321FB8">
      <w:pPr>
        <w:jc w:val="center"/>
        <w:rPr>
          <w:rFonts w:ascii="Simplified Arabic" w:eastAsia="Times New Roman" w:hAnsi="Simplified Arabic" w:cs="Simplified Arabic"/>
          <w:b/>
          <w:bCs/>
          <w:sz w:val="24"/>
          <w:szCs w:val="24"/>
          <w:lang w:eastAsia="tr-TR"/>
        </w:rPr>
      </w:pPr>
    </w:p>
    <w:p w14:paraId="7E1B80D2" w14:textId="4049E057" w:rsidR="00B10295" w:rsidRPr="002A7859" w:rsidRDefault="00B10295" w:rsidP="00321FB8">
      <w:pPr>
        <w:bidi/>
        <w:spacing w:before="100" w:beforeAutospacing="1" w:after="100" w:afterAutospacing="1"/>
        <w:jc w:val="center"/>
        <w:outlineLvl w:val="2"/>
        <w:rPr>
          <w:rFonts w:asciiTheme="majorBidi" w:eastAsia="Times New Roman" w:hAnsiTheme="majorBidi" w:cstheme="majorBidi"/>
          <w:sz w:val="24"/>
          <w:szCs w:val="24"/>
          <w:lang w:eastAsia="tr-TR"/>
        </w:rPr>
      </w:pPr>
      <w:r w:rsidRPr="002A7859">
        <w:rPr>
          <w:rFonts w:asciiTheme="majorBidi" w:eastAsia="Times New Roman" w:hAnsiTheme="majorBidi" w:cstheme="majorBidi"/>
          <w:sz w:val="24"/>
          <w:szCs w:val="24"/>
          <w:lang w:eastAsia="tr-TR"/>
        </w:rPr>
        <w:t>Figure (</w:t>
      </w:r>
      <w:r w:rsidRPr="002A7859">
        <w:rPr>
          <w:rFonts w:asciiTheme="majorBidi" w:eastAsia="Times New Roman" w:hAnsiTheme="majorBidi" w:cstheme="majorBidi"/>
          <w:sz w:val="24"/>
          <w:szCs w:val="24"/>
          <w:lang w:val="en-US" w:eastAsia="tr-TR"/>
        </w:rPr>
        <w:t>5</w:t>
      </w:r>
      <w:r w:rsidRPr="002A7859">
        <w:rPr>
          <w:rFonts w:asciiTheme="majorBidi" w:eastAsia="Times New Roman" w:hAnsiTheme="majorBidi" w:cstheme="majorBidi"/>
          <w:sz w:val="24"/>
          <w:szCs w:val="24"/>
          <w:lang w:eastAsia="tr-TR"/>
        </w:rPr>
        <w:t>) illustrates the effect of different concentrations of AgNPs in inhibiting the</w:t>
      </w:r>
      <w:r w:rsidR="00785732" w:rsidRPr="002A7859">
        <w:rPr>
          <w:rFonts w:asciiTheme="majorBidi" w:eastAsia="Times New Roman" w:hAnsiTheme="majorBidi" w:cstheme="majorBidi"/>
          <w:sz w:val="24"/>
          <w:szCs w:val="24"/>
          <w:lang w:eastAsia="tr-TR"/>
        </w:rPr>
        <w:t xml:space="preserve"> growth of</w:t>
      </w:r>
      <w:r w:rsidRPr="002A7859">
        <w:rPr>
          <w:rFonts w:asciiTheme="majorBidi" w:eastAsia="Times New Roman" w:hAnsiTheme="majorBidi" w:cstheme="majorBidi"/>
          <w:sz w:val="24"/>
          <w:szCs w:val="24"/>
          <w:lang w:eastAsia="tr-TR"/>
        </w:rPr>
        <w:t xml:space="preserve"> studied fungi</w:t>
      </w:r>
    </w:p>
    <w:p w14:paraId="0029EC22" w14:textId="34D6692B" w:rsidR="00C211B5" w:rsidRPr="002A7859" w:rsidRDefault="00C211B5" w:rsidP="00785732">
      <w:pPr>
        <w:spacing w:before="100" w:beforeAutospacing="1" w:after="100" w:afterAutospacing="1"/>
        <w:outlineLvl w:val="2"/>
        <w:rPr>
          <w:rFonts w:asciiTheme="majorBidi" w:eastAsia="Times New Roman" w:hAnsiTheme="majorBidi" w:cstheme="majorBidi"/>
          <w:noProof/>
          <w:sz w:val="24"/>
          <w:szCs w:val="24"/>
          <w:lang w:eastAsia="tr-TR"/>
        </w:rPr>
      </w:pPr>
      <w:r w:rsidRPr="002A7859">
        <w:rPr>
          <w:rFonts w:asciiTheme="majorBidi" w:eastAsia="Times New Roman" w:hAnsiTheme="majorBidi" w:cstheme="majorBidi"/>
          <w:b/>
          <w:bCs/>
          <w:noProof/>
          <w:sz w:val="24"/>
          <w:szCs w:val="24"/>
          <w:lang w:eastAsia="tr-TR"/>
        </w:rPr>
        <w:t>A</w:t>
      </w:r>
      <w:r w:rsidRPr="002A7859">
        <w:rPr>
          <w:rFonts w:asciiTheme="majorBidi" w:eastAsia="Times New Roman" w:hAnsiTheme="majorBidi" w:cstheme="majorBidi"/>
          <w:noProof/>
          <w:sz w:val="24"/>
          <w:szCs w:val="24"/>
          <w:lang w:eastAsia="tr-TR"/>
        </w:rPr>
        <w:t xml:space="preserve">: </w:t>
      </w:r>
      <w:r w:rsidRPr="002A7859">
        <w:rPr>
          <w:rFonts w:asciiTheme="majorBidi" w:eastAsia="Times New Roman" w:hAnsiTheme="majorBidi" w:cstheme="majorBidi"/>
          <w:i/>
          <w:iCs/>
          <w:noProof/>
          <w:sz w:val="24"/>
          <w:szCs w:val="24"/>
          <w:lang w:eastAsia="tr-TR"/>
        </w:rPr>
        <w:t>Alternaria</w:t>
      </w:r>
      <w:r w:rsidR="00785732" w:rsidRPr="002A7859">
        <w:rPr>
          <w:rFonts w:asciiTheme="majorBidi" w:eastAsia="Times New Roman" w:hAnsiTheme="majorBidi" w:cstheme="majorBidi"/>
          <w:i/>
          <w:iCs/>
          <w:noProof/>
          <w:sz w:val="24"/>
          <w:szCs w:val="24"/>
          <w:lang w:eastAsia="tr-TR"/>
        </w:rPr>
        <w:t>,</w:t>
      </w:r>
      <w:r w:rsidRPr="002A7859">
        <w:rPr>
          <w:rFonts w:asciiTheme="majorBidi" w:eastAsia="Times New Roman" w:hAnsiTheme="majorBidi" w:cstheme="majorBidi"/>
          <w:i/>
          <w:iCs/>
          <w:noProof/>
          <w:sz w:val="24"/>
          <w:szCs w:val="24"/>
          <w:lang w:eastAsia="tr-TR"/>
        </w:rPr>
        <w:t xml:space="preserve"> Fusarium</w:t>
      </w:r>
      <w:r w:rsidR="00785732" w:rsidRPr="002A7859">
        <w:rPr>
          <w:rFonts w:asciiTheme="majorBidi" w:eastAsia="Times New Roman" w:hAnsiTheme="majorBidi" w:cstheme="majorBidi"/>
          <w:i/>
          <w:iCs/>
          <w:noProof/>
          <w:sz w:val="24"/>
          <w:szCs w:val="24"/>
          <w:lang w:eastAsia="tr-TR"/>
        </w:rPr>
        <w:t xml:space="preserve"> and</w:t>
      </w:r>
      <w:r w:rsidRPr="002A7859">
        <w:rPr>
          <w:rFonts w:asciiTheme="majorBidi" w:eastAsia="Times New Roman" w:hAnsiTheme="majorBidi" w:cstheme="majorBidi"/>
          <w:i/>
          <w:iCs/>
          <w:noProof/>
          <w:sz w:val="24"/>
          <w:szCs w:val="24"/>
          <w:lang w:eastAsia="tr-TR"/>
        </w:rPr>
        <w:t xml:space="preserve"> Aspergillus  </w:t>
      </w:r>
      <w:r w:rsidRPr="002A7859">
        <w:rPr>
          <w:rFonts w:asciiTheme="majorBidi" w:eastAsia="Times New Roman" w:hAnsiTheme="majorBidi" w:cstheme="majorBidi"/>
          <w:noProof/>
          <w:sz w:val="24"/>
          <w:szCs w:val="24"/>
          <w:lang w:eastAsia="tr-TR"/>
        </w:rPr>
        <w:t>growth on PDA alone,</w:t>
      </w:r>
    </w:p>
    <w:p w14:paraId="635480EF" w14:textId="2E66C978" w:rsidR="00C211B5" w:rsidRPr="002A7859" w:rsidRDefault="00C211B5" w:rsidP="00785732">
      <w:pPr>
        <w:spacing w:before="100" w:beforeAutospacing="1" w:after="100" w:afterAutospacing="1"/>
        <w:outlineLvl w:val="2"/>
        <w:rPr>
          <w:rFonts w:asciiTheme="majorBidi" w:eastAsia="Times New Roman" w:hAnsiTheme="majorBidi" w:cstheme="majorBidi"/>
          <w:noProof/>
          <w:sz w:val="24"/>
          <w:szCs w:val="24"/>
          <w:lang w:eastAsia="tr-TR"/>
        </w:rPr>
      </w:pPr>
      <w:r w:rsidRPr="002A7859">
        <w:rPr>
          <w:rFonts w:asciiTheme="majorBidi" w:eastAsia="Times New Roman" w:hAnsiTheme="majorBidi" w:cstheme="majorBidi"/>
          <w:b/>
          <w:bCs/>
          <w:noProof/>
          <w:sz w:val="24"/>
          <w:szCs w:val="24"/>
          <w:lang w:eastAsia="tr-TR"/>
        </w:rPr>
        <w:t>B</w:t>
      </w:r>
      <w:r w:rsidRPr="002A7859">
        <w:rPr>
          <w:rFonts w:asciiTheme="majorBidi" w:eastAsia="Times New Roman" w:hAnsiTheme="majorBidi" w:cstheme="majorBidi"/>
          <w:noProof/>
          <w:sz w:val="24"/>
          <w:szCs w:val="24"/>
          <w:lang w:eastAsia="tr-TR"/>
        </w:rPr>
        <w:t xml:space="preserve">: </w:t>
      </w:r>
      <w:r w:rsidRPr="002A7859">
        <w:rPr>
          <w:rFonts w:asciiTheme="majorBidi" w:eastAsia="Times New Roman" w:hAnsiTheme="majorBidi" w:cstheme="majorBidi"/>
          <w:i/>
          <w:iCs/>
          <w:noProof/>
          <w:sz w:val="24"/>
          <w:szCs w:val="24"/>
          <w:lang w:eastAsia="tr-TR"/>
        </w:rPr>
        <w:t>Alternaria</w:t>
      </w:r>
      <w:r w:rsidR="00785732" w:rsidRPr="002A7859">
        <w:rPr>
          <w:rFonts w:asciiTheme="majorBidi" w:eastAsia="Times New Roman" w:hAnsiTheme="majorBidi" w:cstheme="majorBidi"/>
          <w:i/>
          <w:iCs/>
          <w:noProof/>
          <w:sz w:val="24"/>
          <w:szCs w:val="24"/>
          <w:lang w:eastAsia="tr-TR"/>
        </w:rPr>
        <w:t>,</w:t>
      </w:r>
      <w:r w:rsidRPr="002A7859">
        <w:rPr>
          <w:rFonts w:asciiTheme="majorBidi" w:eastAsia="Times New Roman" w:hAnsiTheme="majorBidi" w:cstheme="majorBidi"/>
          <w:i/>
          <w:iCs/>
          <w:noProof/>
          <w:sz w:val="24"/>
          <w:szCs w:val="24"/>
          <w:lang w:eastAsia="tr-TR"/>
        </w:rPr>
        <w:t xml:space="preserve"> Fusarium</w:t>
      </w:r>
      <w:r w:rsidR="00785732" w:rsidRPr="002A7859">
        <w:rPr>
          <w:rFonts w:asciiTheme="majorBidi" w:eastAsia="Times New Roman" w:hAnsiTheme="majorBidi" w:cstheme="majorBidi"/>
          <w:i/>
          <w:iCs/>
          <w:noProof/>
          <w:sz w:val="24"/>
          <w:szCs w:val="24"/>
          <w:lang w:eastAsia="tr-TR"/>
        </w:rPr>
        <w:t xml:space="preserve"> and</w:t>
      </w:r>
      <w:r w:rsidRPr="002A7859">
        <w:rPr>
          <w:rFonts w:asciiTheme="majorBidi" w:eastAsia="Times New Roman" w:hAnsiTheme="majorBidi" w:cstheme="majorBidi"/>
          <w:i/>
          <w:iCs/>
          <w:noProof/>
          <w:sz w:val="24"/>
          <w:szCs w:val="24"/>
          <w:lang w:eastAsia="tr-TR"/>
        </w:rPr>
        <w:t xml:space="preserve"> Aspergillus</w:t>
      </w:r>
      <w:r w:rsidRPr="002A7859">
        <w:rPr>
          <w:rFonts w:asciiTheme="majorBidi" w:eastAsia="Times New Roman" w:hAnsiTheme="majorBidi" w:cstheme="majorBidi"/>
          <w:noProof/>
          <w:sz w:val="24"/>
          <w:szCs w:val="24"/>
          <w:lang w:eastAsia="tr-TR"/>
        </w:rPr>
        <w:t xml:space="preserve"> growth on PDA added with 10 % AgNPs</w:t>
      </w:r>
      <w:r w:rsidR="00785732" w:rsidRPr="002A7859">
        <w:rPr>
          <w:rFonts w:asciiTheme="majorBidi" w:eastAsia="Times New Roman" w:hAnsiTheme="majorBidi" w:cstheme="majorBidi"/>
          <w:noProof/>
          <w:sz w:val="24"/>
          <w:szCs w:val="24"/>
          <w:lang w:eastAsia="tr-TR"/>
        </w:rPr>
        <w:t xml:space="preserve">.  </w:t>
      </w:r>
    </w:p>
    <w:p w14:paraId="3BE32D96" w14:textId="5C245400" w:rsidR="00C211B5" w:rsidRPr="002A7859" w:rsidRDefault="00C211B5" w:rsidP="00785732">
      <w:pPr>
        <w:spacing w:before="100" w:beforeAutospacing="1" w:after="100" w:afterAutospacing="1"/>
        <w:outlineLvl w:val="2"/>
        <w:rPr>
          <w:rFonts w:asciiTheme="majorBidi" w:eastAsia="Times New Roman" w:hAnsiTheme="majorBidi" w:cstheme="majorBidi"/>
          <w:noProof/>
          <w:sz w:val="24"/>
          <w:szCs w:val="24"/>
          <w:lang w:eastAsia="tr-TR"/>
        </w:rPr>
      </w:pPr>
      <w:r w:rsidRPr="002A7859">
        <w:rPr>
          <w:rFonts w:asciiTheme="majorBidi" w:eastAsia="Times New Roman" w:hAnsiTheme="majorBidi" w:cstheme="majorBidi"/>
          <w:b/>
          <w:bCs/>
          <w:noProof/>
          <w:sz w:val="24"/>
          <w:szCs w:val="24"/>
          <w:lang w:eastAsia="tr-TR"/>
        </w:rPr>
        <w:t>C</w:t>
      </w:r>
      <w:r w:rsidRPr="002A7859">
        <w:rPr>
          <w:rFonts w:asciiTheme="majorBidi" w:eastAsia="Times New Roman" w:hAnsiTheme="majorBidi" w:cstheme="majorBidi"/>
          <w:noProof/>
          <w:sz w:val="24"/>
          <w:szCs w:val="24"/>
          <w:lang w:eastAsia="tr-TR"/>
        </w:rPr>
        <w:t>:</w:t>
      </w:r>
      <w:r w:rsidR="00785732" w:rsidRPr="002A7859">
        <w:rPr>
          <w:rFonts w:asciiTheme="majorBidi" w:eastAsia="Times New Roman" w:hAnsiTheme="majorBidi" w:cstheme="majorBidi"/>
          <w:i/>
          <w:iCs/>
          <w:noProof/>
          <w:sz w:val="24"/>
          <w:szCs w:val="24"/>
          <w:lang w:eastAsia="tr-TR"/>
        </w:rPr>
        <w:t>A</w:t>
      </w:r>
      <w:r w:rsidRPr="002A7859">
        <w:rPr>
          <w:rFonts w:asciiTheme="majorBidi" w:eastAsia="Times New Roman" w:hAnsiTheme="majorBidi" w:cstheme="majorBidi"/>
          <w:i/>
          <w:iCs/>
          <w:noProof/>
          <w:sz w:val="24"/>
          <w:szCs w:val="24"/>
          <w:lang w:eastAsia="tr-TR"/>
        </w:rPr>
        <w:t>lternaria</w:t>
      </w:r>
      <w:r w:rsidR="00785732" w:rsidRPr="002A7859">
        <w:rPr>
          <w:rFonts w:asciiTheme="majorBidi" w:eastAsia="Times New Roman" w:hAnsiTheme="majorBidi" w:cstheme="majorBidi"/>
          <w:i/>
          <w:iCs/>
          <w:noProof/>
          <w:sz w:val="24"/>
          <w:szCs w:val="24"/>
          <w:lang w:eastAsia="tr-TR"/>
        </w:rPr>
        <w:t>,</w:t>
      </w:r>
      <w:r w:rsidRPr="002A7859">
        <w:rPr>
          <w:rFonts w:asciiTheme="majorBidi" w:eastAsia="Times New Roman" w:hAnsiTheme="majorBidi" w:cstheme="majorBidi"/>
          <w:i/>
          <w:iCs/>
          <w:noProof/>
          <w:sz w:val="24"/>
          <w:szCs w:val="24"/>
          <w:lang w:eastAsia="tr-TR"/>
        </w:rPr>
        <w:t xml:space="preserve"> Fusarium</w:t>
      </w:r>
      <w:r w:rsidR="00785732" w:rsidRPr="002A7859">
        <w:rPr>
          <w:rFonts w:asciiTheme="majorBidi" w:eastAsia="Times New Roman" w:hAnsiTheme="majorBidi" w:cstheme="majorBidi"/>
          <w:i/>
          <w:iCs/>
          <w:noProof/>
          <w:sz w:val="24"/>
          <w:szCs w:val="24"/>
          <w:lang w:eastAsia="tr-TR"/>
        </w:rPr>
        <w:t xml:space="preserve"> and</w:t>
      </w:r>
      <w:r w:rsidRPr="002A7859">
        <w:rPr>
          <w:rFonts w:asciiTheme="majorBidi" w:eastAsia="Times New Roman" w:hAnsiTheme="majorBidi" w:cstheme="majorBidi"/>
          <w:i/>
          <w:iCs/>
          <w:noProof/>
          <w:sz w:val="24"/>
          <w:szCs w:val="24"/>
          <w:lang w:eastAsia="tr-TR"/>
        </w:rPr>
        <w:t xml:space="preserve"> Aspergillus </w:t>
      </w:r>
      <w:r w:rsidRPr="002A7859">
        <w:rPr>
          <w:rFonts w:asciiTheme="majorBidi" w:eastAsia="Times New Roman" w:hAnsiTheme="majorBidi" w:cstheme="majorBidi"/>
          <w:noProof/>
          <w:sz w:val="24"/>
          <w:szCs w:val="24"/>
          <w:lang w:eastAsia="tr-TR"/>
        </w:rPr>
        <w:t>growth on PDA added with 20 % AgNPs</w:t>
      </w:r>
      <w:r w:rsidR="00785732" w:rsidRPr="002A7859">
        <w:rPr>
          <w:rFonts w:asciiTheme="majorBidi" w:eastAsia="Times New Roman" w:hAnsiTheme="majorBidi" w:cstheme="majorBidi"/>
          <w:noProof/>
          <w:sz w:val="24"/>
          <w:szCs w:val="24"/>
          <w:lang w:eastAsia="tr-TR"/>
        </w:rPr>
        <w:t>.</w:t>
      </w:r>
    </w:p>
    <w:p w14:paraId="1558B6C6" w14:textId="384BBDF6" w:rsidR="00C211B5" w:rsidRPr="002A7859" w:rsidRDefault="00C211B5" w:rsidP="00785732">
      <w:pPr>
        <w:spacing w:before="100" w:beforeAutospacing="1" w:after="100" w:afterAutospacing="1"/>
        <w:outlineLvl w:val="2"/>
        <w:rPr>
          <w:rFonts w:asciiTheme="majorBidi" w:eastAsia="Times New Roman" w:hAnsiTheme="majorBidi" w:cstheme="majorBidi"/>
          <w:sz w:val="24"/>
          <w:szCs w:val="24"/>
          <w:rtl/>
          <w:lang w:eastAsia="tr-TR"/>
        </w:rPr>
      </w:pPr>
      <w:r w:rsidRPr="002A7859">
        <w:rPr>
          <w:rFonts w:asciiTheme="majorBidi" w:eastAsia="Times New Roman" w:hAnsiTheme="majorBidi" w:cstheme="majorBidi"/>
          <w:b/>
          <w:bCs/>
          <w:noProof/>
          <w:sz w:val="24"/>
          <w:szCs w:val="24"/>
          <w:lang w:eastAsia="tr-TR"/>
        </w:rPr>
        <w:t>D</w:t>
      </w:r>
      <w:r w:rsidRPr="002A7859">
        <w:rPr>
          <w:rFonts w:asciiTheme="majorBidi" w:eastAsia="Times New Roman" w:hAnsiTheme="majorBidi" w:cstheme="majorBidi"/>
          <w:noProof/>
          <w:sz w:val="24"/>
          <w:szCs w:val="24"/>
          <w:lang w:eastAsia="tr-TR"/>
        </w:rPr>
        <w:t xml:space="preserve">: </w:t>
      </w:r>
      <w:r w:rsidR="00785732" w:rsidRPr="002A7859">
        <w:rPr>
          <w:rFonts w:asciiTheme="majorBidi" w:eastAsia="Times New Roman" w:hAnsiTheme="majorBidi" w:cstheme="majorBidi"/>
          <w:i/>
          <w:iCs/>
          <w:noProof/>
          <w:sz w:val="24"/>
          <w:szCs w:val="24"/>
          <w:lang w:eastAsia="tr-TR"/>
        </w:rPr>
        <w:t>A</w:t>
      </w:r>
      <w:r w:rsidRPr="002A7859">
        <w:rPr>
          <w:rFonts w:asciiTheme="majorBidi" w:eastAsia="Times New Roman" w:hAnsiTheme="majorBidi" w:cstheme="majorBidi"/>
          <w:i/>
          <w:iCs/>
          <w:noProof/>
          <w:sz w:val="24"/>
          <w:szCs w:val="24"/>
          <w:lang w:eastAsia="tr-TR"/>
        </w:rPr>
        <w:t>lternaria</w:t>
      </w:r>
      <w:r w:rsidR="00785732" w:rsidRPr="002A7859">
        <w:rPr>
          <w:rFonts w:asciiTheme="majorBidi" w:eastAsia="Times New Roman" w:hAnsiTheme="majorBidi" w:cstheme="majorBidi"/>
          <w:i/>
          <w:iCs/>
          <w:noProof/>
          <w:sz w:val="24"/>
          <w:szCs w:val="24"/>
          <w:lang w:eastAsia="tr-TR"/>
        </w:rPr>
        <w:t>,</w:t>
      </w:r>
      <w:r w:rsidRPr="002A7859">
        <w:rPr>
          <w:rFonts w:asciiTheme="majorBidi" w:eastAsia="Times New Roman" w:hAnsiTheme="majorBidi" w:cstheme="majorBidi"/>
          <w:i/>
          <w:iCs/>
          <w:noProof/>
          <w:sz w:val="24"/>
          <w:szCs w:val="24"/>
          <w:lang w:eastAsia="tr-TR"/>
        </w:rPr>
        <w:t xml:space="preserve"> Fusarium</w:t>
      </w:r>
      <w:r w:rsidR="00785732" w:rsidRPr="002A7859">
        <w:rPr>
          <w:rFonts w:asciiTheme="majorBidi" w:eastAsia="Times New Roman" w:hAnsiTheme="majorBidi" w:cstheme="majorBidi"/>
          <w:i/>
          <w:iCs/>
          <w:noProof/>
          <w:sz w:val="24"/>
          <w:szCs w:val="24"/>
          <w:lang w:eastAsia="tr-TR"/>
        </w:rPr>
        <w:t xml:space="preserve"> and</w:t>
      </w:r>
      <w:r w:rsidRPr="002A7859">
        <w:rPr>
          <w:rFonts w:asciiTheme="majorBidi" w:eastAsia="Times New Roman" w:hAnsiTheme="majorBidi" w:cstheme="majorBidi"/>
          <w:i/>
          <w:iCs/>
          <w:noProof/>
          <w:sz w:val="24"/>
          <w:szCs w:val="24"/>
          <w:lang w:eastAsia="tr-TR"/>
        </w:rPr>
        <w:t xml:space="preserve"> Aspergillus </w:t>
      </w:r>
      <w:r w:rsidRPr="002A7859">
        <w:rPr>
          <w:rFonts w:asciiTheme="majorBidi" w:eastAsia="Times New Roman" w:hAnsiTheme="majorBidi" w:cstheme="majorBidi"/>
          <w:noProof/>
          <w:sz w:val="24"/>
          <w:szCs w:val="24"/>
          <w:lang w:eastAsia="tr-TR"/>
        </w:rPr>
        <w:t>growth on PDA added with 40 % AgNPs</w:t>
      </w:r>
      <w:r w:rsidR="00785732" w:rsidRPr="002A7859">
        <w:rPr>
          <w:rFonts w:asciiTheme="majorBidi" w:eastAsia="Times New Roman" w:hAnsiTheme="majorBidi" w:cstheme="majorBidi"/>
          <w:noProof/>
          <w:sz w:val="24"/>
          <w:szCs w:val="24"/>
          <w:lang w:eastAsia="tr-TR"/>
        </w:rPr>
        <w:t>.</w:t>
      </w:r>
    </w:p>
    <w:p w14:paraId="527F83D6" w14:textId="136B3C51"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lastRenderedPageBreak/>
        <w:t>3.</w:t>
      </w:r>
      <w:r w:rsidR="00E135AF" w:rsidRPr="002A7859">
        <w:rPr>
          <w:rFonts w:asciiTheme="majorBidi" w:hAnsiTheme="majorBidi" w:cstheme="majorBidi"/>
          <w:b/>
          <w:bCs/>
          <w:sz w:val="24"/>
          <w:szCs w:val="24"/>
        </w:rPr>
        <w:t>4</w:t>
      </w:r>
      <w:r w:rsidRPr="002A7859">
        <w:rPr>
          <w:rFonts w:asciiTheme="majorBidi" w:hAnsiTheme="majorBidi" w:cstheme="majorBidi"/>
          <w:b/>
          <w:bCs/>
          <w:sz w:val="24"/>
          <w:szCs w:val="24"/>
        </w:rPr>
        <w:t xml:space="preserve"> Effect </w:t>
      </w:r>
      <w:r w:rsidR="00672227" w:rsidRPr="002A7859">
        <w:rPr>
          <w:rFonts w:asciiTheme="majorBidi" w:hAnsiTheme="majorBidi" w:cstheme="majorBidi"/>
          <w:b/>
          <w:bCs/>
          <w:sz w:val="24"/>
          <w:szCs w:val="24"/>
        </w:rPr>
        <w:t xml:space="preserve">of Ag-NPs </w:t>
      </w:r>
      <w:r w:rsidRPr="002A7859">
        <w:rPr>
          <w:rFonts w:asciiTheme="majorBidi" w:hAnsiTheme="majorBidi" w:cstheme="majorBidi"/>
          <w:b/>
          <w:bCs/>
          <w:sz w:val="24"/>
          <w:szCs w:val="24"/>
        </w:rPr>
        <w:t>on Mycotoxin Production</w:t>
      </w:r>
    </w:p>
    <w:p w14:paraId="178ED096" w14:textId="77777777" w:rsidR="00EF3501" w:rsidRPr="00EF3501" w:rsidRDefault="006F6328" w:rsidP="00EF3501">
      <w:pPr>
        <w:jc w:val="both"/>
        <w:rPr>
          <w:rFonts w:asciiTheme="majorBidi" w:hAnsiTheme="majorBidi" w:cstheme="majorBidi"/>
          <w:sz w:val="24"/>
          <w:szCs w:val="24"/>
        </w:rPr>
      </w:pPr>
      <w:r w:rsidRPr="002A7859">
        <w:rPr>
          <w:rFonts w:asciiTheme="majorBidi" w:hAnsiTheme="majorBidi" w:cstheme="majorBidi"/>
          <w:sz w:val="24"/>
          <w:szCs w:val="24"/>
        </w:rPr>
        <w:t xml:space="preserve">The antifungal mechanism of AgNPs involves multiple pathways, including membrane disruption, ROS generation, and interaction with intracellular components (Rai </w:t>
      </w:r>
      <w:r w:rsidRPr="002A7859">
        <w:rPr>
          <w:rFonts w:asciiTheme="majorBidi" w:hAnsiTheme="majorBidi" w:cstheme="majorBidi"/>
          <w:i/>
          <w:iCs/>
          <w:sz w:val="24"/>
          <w:szCs w:val="24"/>
        </w:rPr>
        <w:t>et al.,</w:t>
      </w:r>
      <w:r w:rsidRPr="002A7859">
        <w:rPr>
          <w:rFonts w:asciiTheme="majorBidi" w:hAnsiTheme="majorBidi" w:cstheme="majorBidi"/>
          <w:sz w:val="24"/>
          <w:szCs w:val="24"/>
        </w:rPr>
        <w:t xml:space="preserve"> 2009). </w:t>
      </w:r>
      <w:r w:rsidR="00EF3501" w:rsidRPr="00EF3501">
        <w:rPr>
          <w:rFonts w:asciiTheme="majorBidi" w:hAnsiTheme="majorBidi" w:cstheme="majorBidi"/>
          <w:sz w:val="24"/>
          <w:szCs w:val="24"/>
        </w:rPr>
        <w:t>In addition to preventing fungal development, these systems also lessen the production of toxins, which is crucial for food safety.</w:t>
      </w:r>
    </w:p>
    <w:p w14:paraId="4BC10496" w14:textId="65442CE3" w:rsidR="00FF1FBD" w:rsidRPr="00EF3501" w:rsidRDefault="00EF3501" w:rsidP="000A61E3">
      <w:pPr>
        <w:jc w:val="both"/>
        <w:rPr>
          <w:rFonts w:asciiTheme="majorBidi" w:hAnsiTheme="majorBidi" w:cstheme="majorBidi"/>
          <w:sz w:val="24"/>
          <w:szCs w:val="24"/>
          <w:rtl/>
        </w:rPr>
      </w:pPr>
      <w:r w:rsidRPr="00EF3501">
        <w:rPr>
          <w:rFonts w:asciiTheme="majorBidi" w:hAnsiTheme="majorBidi" w:cstheme="majorBidi"/>
          <w:sz w:val="24"/>
          <w:szCs w:val="24"/>
        </w:rPr>
        <w:t>Because AgNPs can interfere with enzymatic pathways involved in toxin manufacture, a significant reduction in mycotoxin production was seen i</w:t>
      </w:r>
      <w:r>
        <w:rPr>
          <w:rFonts w:asciiTheme="majorBidi" w:hAnsiTheme="majorBidi" w:cstheme="majorBidi"/>
          <w:sz w:val="24"/>
          <w:szCs w:val="24"/>
        </w:rPr>
        <w:t>n all fungi treated with Ag-NPs</w:t>
      </w:r>
      <w:r>
        <w:rPr>
          <w:rFonts w:asciiTheme="majorBidi" w:hAnsiTheme="majorBidi" w:cstheme="majorBidi" w:hint="cs"/>
          <w:sz w:val="24"/>
          <w:szCs w:val="24"/>
          <w:rtl/>
        </w:rPr>
        <w:t xml:space="preserve"> </w:t>
      </w:r>
      <w:r w:rsidR="00E376B7" w:rsidRPr="002A7859">
        <w:rPr>
          <w:rFonts w:asciiTheme="majorBidi" w:hAnsiTheme="majorBidi" w:cstheme="majorBidi"/>
          <w:sz w:val="24"/>
          <w:szCs w:val="24"/>
        </w:rPr>
        <w:t xml:space="preserve">(Inbaia </w:t>
      </w:r>
      <w:r w:rsidR="00E376B7" w:rsidRPr="002A7859">
        <w:rPr>
          <w:rFonts w:asciiTheme="majorBidi" w:hAnsiTheme="majorBidi" w:cstheme="majorBidi"/>
          <w:i/>
          <w:iCs/>
          <w:sz w:val="24"/>
          <w:szCs w:val="24"/>
        </w:rPr>
        <w:t>et al</w:t>
      </w:r>
      <w:r w:rsidR="00E376B7" w:rsidRPr="002A7859">
        <w:rPr>
          <w:rFonts w:asciiTheme="majorBidi" w:hAnsiTheme="majorBidi" w:cstheme="majorBidi"/>
          <w:sz w:val="24"/>
          <w:szCs w:val="24"/>
        </w:rPr>
        <w:t xml:space="preserve">., 2022). </w:t>
      </w:r>
      <w:r w:rsidRPr="00EF3501">
        <w:rPr>
          <w:rFonts w:asciiTheme="majorBidi" w:hAnsiTheme="majorBidi" w:cstheme="majorBidi"/>
          <w:sz w:val="24"/>
          <w:szCs w:val="24"/>
        </w:rPr>
        <w:t>These results are consistent with earlier studies emphasizing the function of nanoparticles in prevent</w:t>
      </w:r>
      <w:r>
        <w:rPr>
          <w:rFonts w:asciiTheme="majorBidi" w:hAnsiTheme="majorBidi" w:cstheme="majorBidi"/>
          <w:sz w:val="24"/>
          <w:szCs w:val="24"/>
        </w:rPr>
        <w:t>ing fungal secondary metabolism</w:t>
      </w:r>
      <w:r>
        <w:rPr>
          <w:rFonts w:asciiTheme="majorBidi" w:hAnsiTheme="majorBidi" w:cstheme="majorBidi" w:hint="cs"/>
          <w:sz w:val="24"/>
          <w:szCs w:val="24"/>
          <w:rtl/>
        </w:rPr>
        <w:t xml:space="preserve"> </w:t>
      </w:r>
      <w:r w:rsidR="00B042C1" w:rsidRPr="002A7859">
        <w:rPr>
          <w:rFonts w:asciiTheme="majorBidi" w:hAnsiTheme="majorBidi" w:cstheme="majorBidi"/>
          <w:sz w:val="24"/>
          <w:szCs w:val="24"/>
          <w:lang w:val="en-US"/>
        </w:rPr>
        <w:t>(</w:t>
      </w:r>
      <w:r w:rsidR="00B042C1" w:rsidRPr="002A7859">
        <w:rPr>
          <w:rFonts w:asciiTheme="majorBidi" w:hAnsiTheme="majorBidi" w:cstheme="majorBidi"/>
          <w:sz w:val="24"/>
          <w:szCs w:val="24"/>
        </w:rPr>
        <w:t xml:space="preserve">Kah, </w:t>
      </w:r>
      <w:r w:rsidR="00B042C1" w:rsidRPr="002A7859">
        <w:rPr>
          <w:rFonts w:asciiTheme="majorBidi" w:hAnsiTheme="majorBidi" w:cstheme="majorBidi"/>
          <w:i/>
          <w:iCs/>
          <w:sz w:val="24"/>
          <w:szCs w:val="24"/>
        </w:rPr>
        <w:t>et al</w:t>
      </w:r>
      <w:r w:rsidR="00B042C1" w:rsidRPr="002A7859">
        <w:rPr>
          <w:rFonts w:asciiTheme="majorBidi" w:hAnsiTheme="majorBidi" w:cstheme="majorBidi"/>
          <w:sz w:val="24"/>
          <w:szCs w:val="24"/>
        </w:rPr>
        <w:t>., 2025)</w:t>
      </w:r>
      <w:r w:rsidR="0014579B" w:rsidRPr="002A7859">
        <w:rPr>
          <w:rFonts w:asciiTheme="majorBidi" w:hAnsiTheme="majorBidi" w:cstheme="majorBidi"/>
          <w:sz w:val="24"/>
          <w:szCs w:val="24"/>
          <w:lang w:val="en-US"/>
        </w:rPr>
        <w:t xml:space="preserve">. </w:t>
      </w:r>
      <w:r w:rsidRPr="00EF3501">
        <w:rPr>
          <w:rFonts w:asciiTheme="majorBidi" w:hAnsiTheme="majorBidi" w:cstheme="majorBidi"/>
          <w:sz w:val="24"/>
          <w:szCs w:val="24"/>
        </w:rPr>
        <w:t>The relationship between the production of fungal mycotoxins and the concentration of Ag-NPs was found by using HPLC analysis to identify the production of mycotoxins from all fungal studies, compare them with their standard toxins, and compare the control of all fungal types treated with the concentration of Ag-NPs under study.</w:t>
      </w:r>
      <w:r w:rsidR="0014579B" w:rsidRPr="002A7859">
        <w:rPr>
          <w:rFonts w:asciiTheme="majorBidi" w:hAnsiTheme="majorBidi" w:cstheme="majorBidi"/>
          <w:sz w:val="24"/>
          <w:szCs w:val="24"/>
          <w:lang w:val="en-US"/>
        </w:rPr>
        <w:t xml:space="preserve"> </w:t>
      </w:r>
      <w:r w:rsidR="000A61E3" w:rsidRPr="000A61E3">
        <w:rPr>
          <w:rFonts w:asciiTheme="majorBidi" w:hAnsiTheme="majorBidi" w:cstheme="majorBidi"/>
          <w:sz w:val="24"/>
          <w:szCs w:val="24"/>
        </w:rPr>
        <w:t>Mycotoxin concentrations were highest in the control group, while AgNP treatments clearly reduced toxin generation.</w:t>
      </w:r>
      <w:r w:rsidR="000A61E3">
        <w:rPr>
          <w:rFonts w:asciiTheme="majorBidi" w:hAnsiTheme="majorBidi" w:cstheme="majorBidi" w:hint="cs"/>
          <w:sz w:val="24"/>
          <w:szCs w:val="24"/>
          <w:rtl/>
          <w:lang w:bidi="ar-IQ"/>
        </w:rPr>
        <w:t xml:space="preserve"> </w:t>
      </w:r>
      <w:r w:rsidR="000A61E3" w:rsidRPr="000A61E3">
        <w:rPr>
          <w:rFonts w:asciiTheme="majorBidi" w:hAnsiTheme="majorBidi" w:cstheme="majorBidi"/>
          <w:sz w:val="24"/>
          <w:szCs w:val="24"/>
        </w:rPr>
        <w:t>This decrease in mycotoxin concentration implies that AgNPs disrupt the metabolic pathways involved in toxin manufacturing in addition to inhibiting fungal growth. Prior research has demonstrated that silver nanoparticles can interfere with enzymatic systems and block important regulatory genes involved in the syn</w:t>
      </w:r>
      <w:r w:rsidR="000A61E3">
        <w:rPr>
          <w:rFonts w:asciiTheme="majorBidi" w:hAnsiTheme="majorBidi" w:cstheme="majorBidi"/>
          <w:sz w:val="24"/>
          <w:szCs w:val="24"/>
        </w:rPr>
        <w:t>thesis of secondary metabolites</w:t>
      </w:r>
      <w:r w:rsidR="0014579B" w:rsidRPr="002A7859">
        <w:rPr>
          <w:rFonts w:asciiTheme="majorBidi" w:hAnsiTheme="majorBidi" w:cstheme="majorBidi"/>
          <w:sz w:val="24"/>
          <w:szCs w:val="24"/>
        </w:rPr>
        <w:t xml:space="preserve"> </w:t>
      </w:r>
      <w:r w:rsidR="00E376B7" w:rsidRPr="002A7859">
        <w:rPr>
          <w:rFonts w:asciiTheme="majorBidi" w:hAnsiTheme="majorBidi" w:cstheme="majorBidi"/>
          <w:sz w:val="24"/>
          <w:szCs w:val="24"/>
        </w:rPr>
        <w:t xml:space="preserve"> (Inbaia </w:t>
      </w:r>
      <w:r w:rsidR="00E376B7" w:rsidRPr="002A7859">
        <w:rPr>
          <w:rFonts w:asciiTheme="majorBidi" w:hAnsiTheme="majorBidi" w:cstheme="majorBidi"/>
          <w:i/>
          <w:iCs/>
          <w:sz w:val="24"/>
          <w:szCs w:val="24"/>
        </w:rPr>
        <w:t>et al.,</w:t>
      </w:r>
      <w:r w:rsidR="00E376B7" w:rsidRPr="002A7859">
        <w:rPr>
          <w:rFonts w:asciiTheme="majorBidi" w:hAnsiTheme="majorBidi" w:cstheme="majorBidi"/>
          <w:sz w:val="24"/>
          <w:szCs w:val="24"/>
        </w:rPr>
        <w:t xml:space="preserve"> 2022).</w:t>
      </w:r>
    </w:p>
    <w:p w14:paraId="46D9C6E9" w14:textId="146E0CBC" w:rsidR="00FF1FBD" w:rsidRPr="002A7859" w:rsidRDefault="000A61E3" w:rsidP="000A61E3">
      <w:pPr>
        <w:jc w:val="both"/>
        <w:rPr>
          <w:rFonts w:asciiTheme="majorBidi" w:hAnsiTheme="majorBidi" w:cstheme="majorBidi"/>
          <w:sz w:val="24"/>
          <w:szCs w:val="24"/>
        </w:rPr>
      </w:pPr>
      <w:r w:rsidRPr="000A61E3">
        <w:rPr>
          <w:rFonts w:asciiTheme="majorBidi" w:hAnsiTheme="majorBidi" w:cstheme="majorBidi"/>
          <w:sz w:val="24"/>
          <w:szCs w:val="24"/>
        </w:rPr>
        <w:t xml:space="preserve">The control sample of </w:t>
      </w:r>
      <w:r w:rsidRPr="000A61E3">
        <w:rPr>
          <w:rFonts w:asciiTheme="majorBidi" w:hAnsiTheme="majorBidi" w:cstheme="majorBidi"/>
          <w:i/>
          <w:iCs/>
          <w:sz w:val="24"/>
          <w:szCs w:val="24"/>
        </w:rPr>
        <w:t>Fusarium spp</w:t>
      </w:r>
      <w:r w:rsidRPr="000A61E3">
        <w:rPr>
          <w:rFonts w:asciiTheme="majorBidi" w:hAnsiTheme="majorBidi" w:cstheme="majorBidi"/>
          <w:sz w:val="24"/>
          <w:szCs w:val="24"/>
        </w:rPr>
        <w:t>., a recognized generator of Fumonisin B1 (FB1) (Fig. 6A), showed a clear peak with a retention time of 3.83 minutes with a peak area of 169,854.08 (Fig. 6B), according to the chromatographic analysis using high-performance liquid chromatography (HPLC). This outcome is consistent with the toxin's typical generatio</w:t>
      </w:r>
      <w:r>
        <w:rPr>
          <w:rFonts w:asciiTheme="majorBidi" w:hAnsiTheme="majorBidi" w:cstheme="majorBidi"/>
          <w:sz w:val="24"/>
          <w:szCs w:val="24"/>
        </w:rPr>
        <w:t>n under typical growth settings</w:t>
      </w:r>
      <w:r>
        <w:rPr>
          <w:rFonts w:asciiTheme="majorBidi" w:hAnsiTheme="majorBidi" w:cstheme="majorBidi" w:hint="cs"/>
          <w:sz w:val="24"/>
          <w:szCs w:val="24"/>
          <w:rtl/>
        </w:rPr>
        <w:t xml:space="preserve"> </w:t>
      </w:r>
      <w:r w:rsidR="00FF1FBD" w:rsidRPr="002A7859">
        <w:rPr>
          <w:rFonts w:asciiTheme="majorBidi" w:hAnsiTheme="majorBidi" w:cstheme="majorBidi"/>
          <w:sz w:val="24"/>
          <w:szCs w:val="24"/>
        </w:rPr>
        <w:t>(Fried and Duffy, 1996).</w:t>
      </w:r>
    </w:p>
    <w:p w14:paraId="48C29B3E" w14:textId="77777777" w:rsidR="000A61E3" w:rsidRPr="000A61E3" w:rsidRDefault="000A61E3" w:rsidP="000A61E3">
      <w:pPr>
        <w:jc w:val="both"/>
        <w:rPr>
          <w:rFonts w:asciiTheme="majorBidi" w:hAnsiTheme="majorBidi" w:cstheme="majorBidi"/>
          <w:sz w:val="24"/>
          <w:szCs w:val="24"/>
        </w:rPr>
      </w:pPr>
      <w:r w:rsidRPr="000A61E3">
        <w:rPr>
          <w:rFonts w:asciiTheme="majorBidi" w:hAnsiTheme="majorBidi" w:cstheme="majorBidi"/>
          <w:sz w:val="24"/>
          <w:szCs w:val="24"/>
        </w:rPr>
        <w:t xml:space="preserve">The peak area of </w:t>
      </w:r>
      <w:r w:rsidRPr="000A61E3">
        <w:rPr>
          <w:rFonts w:asciiTheme="majorBidi" w:hAnsiTheme="majorBidi" w:cstheme="majorBidi"/>
          <w:i/>
          <w:iCs/>
          <w:sz w:val="24"/>
          <w:szCs w:val="24"/>
        </w:rPr>
        <w:t>Fusarium</w:t>
      </w:r>
      <w:r w:rsidRPr="000A61E3">
        <w:rPr>
          <w:rFonts w:asciiTheme="majorBidi" w:hAnsiTheme="majorBidi" w:cstheme="majorBidi"/>
          <w:sz w:val="24"/>
          <w:szCs w:val="24"/>
        </w:rPr>
        <w:t xml:space="preserve"> </w:t>
      </w:r>
      <w:r w:rsidRPr="000A61E3">
        <w:rPr>
          <w:rFonts w:asciiTheme="majorBidi" w:hAnsiTheme="majorBidi" w:cstheme="majorBidi"/>
          <w:i/>
          <w:iCs/>
          <w:sz w:val="24"/>
          <w:szCs w:val="24"/>
        </w:rPr>
        <w:t>solani</w:t>
      </w:r>
      <w:r w:rsidRPr="000A61E3">
        <w:rPr>
          <w:rFonts w:asciiTheme="majorBidi" w:hAnsiTheme="majorBidi" w:cstheme="majorBidi"/>
          <w:sz w:val="24"/>
          <w:szCs w:val="24"/>
        </w:rPr>
        <w:t xml:space="preserve"> treated with biosynthesized silver nanoparticles at 10% concentration, on the other hand, was significantly reduced to 20,214.65, showing a considerable drop in FB1 concentration (Fig.6C). This decrease can be explained by the way that nanoparticles suppress fungal metabolic activity, especially the biosynthetic pathways that produce mycotoxins.</w:t>
      </w:r>
    </w:p>
    <w:p w14:paraId="32A288E7" w14:textId="2898EF91" w:rsidR="00FF1FBD" w:rsidRPr="002A7859" w:rsidRDefault="000A61E3" w:rsidP="000A61E3">
      <w:pPr>
        <w:jc w:val="both"/>
        <w:rPr>
          <w:rFonts w:asciiTheme="majorBidi" w:hAnsiTheme="majorBidi" w:cstheme="majorBidi"/>
          <w:sz w:val="24"/>
          <w:szCs w:val="24"/>
        </w:rPr>
      </w:pPr>
      <w:r w:rsidRPr="000A61E3">
        <w:rPr>
          <w:rFonts w:asciiTheme="majorBidi" w:hAnsiTheme="majorBidi" w:cstheme="majorBidi"/>
          <w:sz w:val="24"/>
          <w:szCs w:val="24"/>
        </w:rPr>
        <w:t>The capacity of AgNPs to disrupt gene expression or inhibit important enzymes involved in fumonisin production may be indicated by variations in peak intensity, including partial or total absence. This finding is in line with earlier studies showing how well nanoparticles inhib</w:t>
      </w:r>
      <w:r>
        <w:rPr>
          <w:rFonts w:asciiTheme="majorBidi" w:hAnsiTheme="majorBidi" w:cstheme="majorBidi"/>
          <w:sz w:val="24"/>
          <w:szCs w:val="24"/>
        </w:rPr>
        <w:t>it the generation of mycotoxins</w:t>
      </w:r>
      <w:r>
        <w:rPr>
          <w:rFonts w:asciiTheme="majorBidi" w:hAnsiTheme="majorBidi" w:cstheme="majorBidi" w:hint="cs"/>
          <w:sz w:val="24"/>
          <w:szCs w:val="24"/>
          <w:rtl/>
        </w:rPr>
        <w:t xml:space="preserve"> </w:t>
      </w:r>
      <w:r w:rsidR="00432D31" w:rsidRPr="002A7859">
        <w:rPr>
          <w:rFonts w:asciiTheme="majorBidi" w:hAnsiTheme="majorBidi" w:cstheme="majorBidi"/>
          <w:sz w:val="24"/>
          <w:szCs w:val="24"/>
        </w:rPr>
        <w:t>(</w:t>
      </w:r>
      <w:r w:rsidR="00432D31" w:rsidRPr="002A7859">
        <w:rPr>
          <w:rFonts w:asciiTheme="majorBidi" w:eastAsia="Times New Roman" w:hAnsiTheme="majorBidi" w:cstheme="majorBidi"/>
          <w:color w:val="0A0A0A"/>
          <w:sz w:val="24"/>
          <w:szCs w:val="24"/>
          <w:lang w:eastAsia="tr-TR"/>
        </w:rPr>
        <w:t xml:space="preserve">Wang </w:t>
      </w:r>
      <w:r w:rsidR="00432D31" w:rsidRPr="002A7859">
        <w:rPr>
          <w:rFonts w:asciiTheme="majorBidi" w:eastAsia="Times New Roman" w:hAnsiTheme="majorBidi" w:cstheme="majorBidi"/>
          <w:i/>
          <w:iCs/>
          <w:color w:val="0A0A0A"/>
          <w:sz w:val="24"/>
          <w:szCs w:val="24"/>
          <w:lang w:eastAsia="tr-TR"/>
        </w:rPr>
        <w:t>et al</w:t>
      </w:r>
      <w:r w:rsidR="00432D31" w:rsidRPr="002A7859">
        <w:rPr>
          <w:rFonts w:asciiTheme="majorBidi" w:eastAsia="Times New Roman" w:hAnsiTheme="majorBidi" w:cstheme="majorBidi"/>
          <w:color w:val="0A0A0A"/>
          <w:sz w:val="24"/>
          <w:szCs w:val="24"/>
          <w:lang w:eastAsia="tr-TR"/>
        </w:rPr>
        <w:t>., 2023).</w:t>
      </w:r>
    </w:p>
    <w:p w14:paraId="206AE2AE" w14:textId="494AE7FB" w:rsidR="00FF1FBD" w:rsidRPr="002A7859" w:rsidRDefault="000A61E3" w:rsidP="000A61E3">
      <w:pPr>
        <w:jc w:val="both"/>
        <w:rPr>
          <w:rFonts w:asciiTheme="majorBidi" w:hAnsiTheme="majorBidi" w:cstheme="majorBidi"/>
          <w:sz w:val="24"/>
          <w:szCs w:val="24"/>
        </w:rPr>
      </w:pPr>
      <w:r w:rsidRPr="000A61E3">
        <w:rPr>
          <w:rFonts w:asciiTheme="majorBidi" w:hAnsiTheme="majorBidi" w:cstheme="majorBidi"/>
          <w:sz w:val="24"/>
          <w:szCs w:val="24"/>
        </w:rPr>
        <w:t>Consequently, it can be said that treatment with nanoparticles significantly decreased the production of FB1, indicating their prospective use as antifung</w:t>
      </w:r>
      <w:r>
        <w:rPr>
          <w:rFonts w:asciiTheme="majorBidi" w:hAnsiTheme="majorBidi" w:cstheme="majorBidi"/>
          <w:sz w:val="24"/>
          <w:szCs w:val="24"/>
        </w:rPr>
        <w:t>al and anti-mycotoxigenic drugs</w:t>
      </w:r>
      <w:r>
        <w:rPr>
          <w:rFonts w:asciiTheme="majorBidi" w:hAnsiTheme="majorBidi" w:cstheme="majorBidi" w:hint="cs"/>
          <w:sz w:val="24"/>
          <w:szCs w:val="24"/>
          <w:rtl/>
        </w:rPr>
        <w:t xml:space="preserve"> </w:t>
      </w:r>
      <w:r w:rsidR="00FF1FBD" w:rsidRPr="002A7859">
        <w:rPr>
          <w:rFonts w:asciiTheme="majorBidi" w:hAnsiTheme="majorBidi" w:cstheme="majorBidi"/>
          <w:sz w:val="24"/>
          <w:szCs w:val="24"/>
        </w:rPr>
        <w:t xml:space="preserve">(Ndube </w:t>
      </w:r>
      <w:r w:rsidR="00FF1FBD" w:rsidRPr="002A7859">
        <w:rPr>
          <w:rFonts w:asciiTheme="majorBidi" w:hAnsiTheme="majorBidi" w:cstheme="majorBidi"/>
          <w:i/>
          <w:iCs/>
          <w:sz w:val="24"/>
          <w:szCs w:val="24"/>
        </w:rPr>
        <w:t>et al</w:t>
      </w:r>
      <w:r w:rsidR="00FF1FBD" w:rsidRPr="002A7859">
        <w:rPr>
          <w:rFonts w:asciiTheme="majorBidi" w:hAnsiTheme="majorBidi" w:cstheme="majorBidi"/>
          <w:sz w:val="24"/>
          <w:szCs w:val="24"/>
        </w:rPr>
        <w:t>., 2009).</w:t>
      </w:r>
    </w:p>
    <w:p w14:paraId="7C99624B" w14:textId="77777777" w:rsidR="00651105" w:rsidRPr="002A7859" w:rsidRDefault="00651105" w:rsidP="00321FB8">
      <w:pPr>
        <w:jc w:val="both"/>
        <w:rPr>
          <w:rFonts w:asciiTheme="majorBidi" w:hAnsiTheme="majorBidi" w:cstheme="majorBidi"/>
          <w:sz w:val="24"/>
          <w:szCs w:val="24"/>
        </w:rPr>
      </w:pPr>
    </w:p>
    <w:p w14:paraId="235CD979" w14:textId="77777777" w:rsidR="00651105" w:rsidRPr="002A7859" w:rsidRDefault="00DB3794" w:rsidP="00470455">
      <w:pPr>
        <w:jc w:val="center"/>
        <w:rPr>
          <w:rFonts w:asciiTheme="majorBidi" w:hAnsiTheme="majorBidi" w:cstheme="majorBidi"/>
          <w:sz w:val="24"/>
          <w:szCs w:val="24"/>
        </w:rPr>
      </w:pPr>
      <w:r w:rsidRPr="002A7859">
        <w:rPr>
          <w:noProof/>
          <w:sz w:val="24"/>
          <w:szCs w:val="24"/>
          <w:lang w:eastAsia="tr-TR"/>
        </w:rPr>
        <w:lastRenderedPageBreak/>
        <mc:AlternateContent>
          <mc:Choice Requires="wps">
            <w:drawing>
              <wp:anchor distT="0" distB="0" distL="114300" distR="114300" simplePos="0" relativeHeight="251656192" behindDoc="0" locked="0" layoutInCell="1" allowOverlap="1" wp14:anchorId="17780834" wp14:editId="082B534F">
                <wp:simplePos x="0" y="0"/>
                <wp:positionH relativeFrom="column">
                  <wp:posOffset>5783580</wp:posOffset>
                </wp:positionH>
                <wp:positionV relativeFrom="paragraph">
                  <wp:posOffset>40005</wp:posOffset>
                </wp:positionV>
                <wp:extent cx="409575" cy="371475"/>
                <wp:effectExtent l="0" t="0" r="28575" b="28575"/>
                <wp:wrapNone/>
                <wp:docPr id="35"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B976096" w14:textId="77777777" w:rsidR="00DB3794" w:rsidRPr="00DB3794" w:rsidRDefault="00DB3794" w:rsidP="00DB3794">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80834" id="مستطيل مستدير الزوايا 35" o:spid="_x0000_s1026" style="position:absolute;left:0;text-align:left;margin-left:455.4pt;margin-top:3.15pt;width:32.25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" fillcolor="white [3201]" strokecolor="#4f81bd [3204]" strokeweight="2pt">
                <v:textbox>
                  <w:txbxContent>
                    <w:p w14:paraId="7B976096" w14:textId="77777777" w:rsidR="00DB3794" w:rsidRPr="00DB3794" w:rsidRDefault="00DB3794" w:rsidP="00DB3794">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v:textbox>
              </v:roundrect>
            </w:pict>
          </mc:Fallback>
        </mc:AlternateContent>
      </w:r>
      <w:r w:rsidR="00651105" w:rsidRPr="002A7859">
        <w:rPr>
          <w:noProof/>
          <w:sz w:val="24"/>
          <w:szCs w:val="24"/>
          <w:lang w:eastAsia="tr-TR"/>
        </w:rPr>
        <w:drawing>
          <wp:inline distT="0" distB="0" distL="0" distR="0" wp14:anchorId="020D574E" wp14:editId="54DAF106">
            <wp:extent cx="5486400" cy="2832735"/>
            <wp:effectExtent l="19050" t="19050" r="19050" b="24765"/>
            <wp:docPr id="30" name="صورة 700"/>
            <wp:cNvGraphicFramePr/>
            <a:graphic xmlns:a="http://schemas.openxmlformats.org/drawingml/2006/main">
              <a:graphicData uri="http://schemas.openxmlformats.org/drawingml/2006/picture">
                <pic:pic xmlns:pic="http://schemas.openxmlformats.org/drawingml/2006/picture">
                  <pic:nvPicPr>
                    <pic:cNvPr id="22" name="صورة 700"/>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3C0FC51C" w14:textId="7E926B0D" w:rsidR="00651105" w:rsidRPr="002A7859" w:rsidRDefault="008E63D8" w:rsidP="008E63D8">
      <w:pPr>
        <w:jc w:val="center"/>
        <w:rPr>
          <w:rFonts w:asciiTheme="majorBidi" w:hAnsiTheme="majorBidi" w:cstheme="majorBidi"/>
          <w:sz w:val="24"/>
          <w:szCs w:val="24"/>
          <w:rtl/>
        </w:rPr>
      </w:pPr>
      <w:r w:rsidRPr="002A7859">
        <w:rPr>
          <w:noProof/>
          <w:sz w:val="24"/>
          <w:szCs w:val="24"/>
          <w:lang w:eastAsia="tr-TR"/>
        </w:rPr>
        <mc:AlternateContent>
          <mc:Choice Requires="wps">
            <w:drawing>
              <wp:anchor distT="0" distB="0" distL="114300" distR="114300" simplePos="0" relativeHeight="251649024" behindDoc="0" locked="0" layoutInCell="1" allowOverlap="1" wp14:anchorId="5221BD9E" wp14:editId="5C921253">
                <wp:simplePos x="0" y="0"/>
                <wp:positionH relativeFrom="column">
                  <wp:posOffset>5751830</wp:posOffset>
                </wp:positionH>
                <wp:positionV relativeFrom="paragraph">
                  <wp:posOffset>17780</wp:posOffset>
                </wp:positionV>
                <wp:extent cx="409575" cy="371475"/>
                <wp:effectExtent l="0" t="0" r="28575" b="28575"/>
                <wp:wrapNone/>
                <wp:docPr id="558977166"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CF6613B" w14:textId="7E978377" w:rsidR="008E63D8" w:rsidRPr="00DB3794" w:rsidRDefault="008E63D8" w:rsidP="008E63D8">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1BD9E" id="_x0000_s1027" style="position:absolute;left:0;text-align:left;margin-left:452.9pt;margin-top:1.4pt;width:32.2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cYWAIAAAIFAAAOAAAAZHJzL2Uyb0RvYy54bWysVE1v2zAMvQ/YfxB0Xx1n6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" fillcolor="white [3201]" strokecolor="#4f81bd [3204]" strokeweight="2pt">
                <v:textbox>
                  <w:txbxContent>
                    <w:p w14:paraId="6CF6613B" w14:textId="7E978377" w:rsidR="008E63D8" w:rsidRPr="00DB3794" w:rsidRDefault="008E63D8" w:rsidP="008E63D8">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v:textbox>
              </v:roundrect>
            </w:pict>
          </mc:Fallback>
        </mc:AlternateContent>
      </w:r>
      <w:r w:rsidR="00FA1B41" w:rsidRPr="002A7859">
        <w:rPr>
          <w:noProof/>
          <w:sz w:val="24"/>
          <w:szCs w:val="24"/>
          <w:lang w:eastAsia="tr-TR"/>
        </w:rPr>
        <mc:AlternateContent>
          <mc:Choice Requires="wps">
            <w:drawing>
              <wp:anchor distT="0" distB="0" distL="114300" distR="114300" simplePos="0" relativeHeight="251644928" behindDoc="0" locked="0" layoutInCell="1" allowOverlap="1" wp14:anchorId="6E5D5B08" wp14:editId="392F09A7">
                <wp:simplePos x="0" y="0"/>
                <wp:positionH relativeFrom="column">
                  <wp:posOffset>5738495</wp:posOffset>
                </wp:positionH>
                <wp:positionV relativeFrom="paragraph">
                  <wp:posOffset>19050</wp:posOffset>
                </wp:positionV>
                <wp:extent cx="409575" cy="333375"/>
                <wp:effectExtent l="0" t="0" r="28575" b="28575"/>
                <wp:wrapNone/>
                <wp:docPr id="36" name="مستطيل مستدير الزوايا 36"/>
                <wp:cNvGraphicFramePr/>
                <a:graphic xmlns:a="http://schemas.openxmlformats.org/drawingml/2006/main">
                  <a:graphicData uri="http://schemas.microsoft.com/office/word/2010/wordprocessingShape">
                    <wps:wsp>
                      <wps:cNvSpPr/>
                      <wps:spPr>
                        <a:xfrm>
                          <a:off x="0" y="0"/>
                          <a:ext cx="409575" cy="333375"/>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27F523FF" w14:textId="77777777" w:rsidR="00FA1B41" w:rsidRPr="00FA1B41" w:rsidRDefault="00FA1B41" w:rsidP="00FA1B41">
                            <w:pPr>
                              <w:jc w:val="center"/>
                              <w:rPr>
                                <w:rFonts w:asciiTheme="majorBidi" w:hAnsiTheme="majorBidi" w:cstheme="majorBidi"/>
                                <w:b/>
                                <w:bCs/>
                                <w:sz w:val="28"/>
                                <w:szCs w:val="28"/>
                                <w:lang w:val="en-US"/>
                              </w:rPr>
                            </w:pPr>
                            <w:r w:rsidRPr="00FA1B41">
                              <w:rPr>
                                <w:rFonts w:asciiTheme="majorBidi" w:hAnsiTheme="majorBidi" w:cstheme="majorBidi"/>
                                <w:b/>
                                <w:bCs/>
                                <w:sz w:val="28"/>
                                <w:szCs w:val="28"/>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5D5B08" id="مستطيل مستدير الزوايا 36" o:spid="_x0000_s1028" style="position:absolute;left:0;text-align:left;margin-left:451.85pt;margin-top:1.5pt;width:32.25pt;height:26.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" fillcolor="white [3201]" strokecolor="#8064a2 [3207]" strokeweight="2pt">
                <v:textbox>
                  <w:txbxContent>
                    <w:p w14:paraId="27F523FF" w14:textId="77777777" w:rsidR="00FA1B41" w:rsidRPr="00FA1B41" w:rsidRDefault="00FA1B41" w:rsidP="00FA1B41">
                      <w:pPr>
                        <w:jc w:val="center"/>
                        <w:rPr>
                          <w:rFonts w:asciiTheme="majorBidi" w:hAnsiTheme="majorBidi" w:cstheme="majorBidi"/>
                          <w:b/>
                          <w:bCs/>
                          <w:sz w:val="28"/>
                          <w:szCs w:val="28"/>
                          <w:lang w:val="en-US"/>
                        </w:rPr>
                      </w:pPr>
                      <w:r w:rsidRPr="00FA1B41">
                        <w:rPr>
                          <w:rFonts w:asciiTheme="majorBidi" w:hAnsiTheme="majorBidi" w:cstheme="majorBidi"/>
                          <w:b/>
                          <w:bCs/>
                          <w:sz w:val="28"/>
                          <w:szCs w:val="28"/>
                          <w:lang w:val="en-US"/>
                        </w:rPr>
                        <w:t>B</w:t>
                      </w:r>
                    </w:p>
                  </w:txbxContent>
                </v:textbox>
              </v:roundrect>
            </w:pict>
          </mc:Fallback>
        </mc:AlternateContent>
      </w:r>
      <w:r w:rsidR="00651105" w:rsidRPr="002A7859">
        <w:rPr>
          <w:noProof/>
          <w:sz w:val="24"/>
          <w:szCs w:val="24"/>
          <w:lang w:eastAsia="tr-TR"/>
        </w:rPr>
        <w:drawing>
          <wp:inline distT="0" distB="0" distL="0" distR="0" wp14:anchorId="7F8F88A6" wp14:editId="407A370D">
            <wp:extent cx="5486400" cy="2832735"/>
            <wp:effectExtent l="19050" t="19050" r="19050" b="24765"/>
            <wp:docPr id="32" name="صورة 701"/>
            <wp:cNvGraphicFramePr/>
            <a:graphic xmlns:a="http://schemas.openxmlformats.org/drawingml/2006/main">
              <a:graphicData uri="http://schemas.openxmlformats.org/drawingml/2006/picture">
                <pic:pic xmlns:pic="http://schemas.openxmlformats.org/drawingml/2006/picture">
                  <pic:nvPicPr>
                    <pic:cNvPr id="21" name="صورة 70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440987F5" w14:textId="65A1F524" w:rsidR="00FA7202" w:rsidRPr="002A7859" w:rsidRDefault="008E63D8" w:rsidP="008E63D8">
      <w:pPr>
        <w:bidi/>
        <w:jc w:val="center"/>
        <w:rPr>
          <w:rFonts w:asciiTheme="majorBidi" w:hAnsiTheme="majorBidi" w:cstheme="majorBidi"/>
          <w:noProof/>
          <w:sz w:val="24"/>
          <w:szCs w:val="24"/>
          <w:rtl/>
          <w:lang w:eastAsia="tr-TR"/>
        </w:rPr>
      </w:pPr>
      <w:r w:rsidRPr="002A7859">
        <w:rPr>
          <w:noProof/>
          <w:sz w:val="24"/>
          <w:szCs w:val="24"/>
          <w:lang w:eastAsia="tr-TR"/>
        </w:rPr>
        <mc:AlternateContent>
          <mc:Choice Requires="wps">
            <w:drawing>
              <wp:anchor distT="0" distB="0" distL="114300" distR="114300" simplePos="0" relativeHeight="251651072" behindDoc="0" locked="0" layoutInCell="1" allowOverlap="1" wp14:anchorId="7DF6DC73" wp14:editId="6AD5DF01">
                <wp:simplePos x="0" y="0"/>
                <wp:positionH relativeFrom="column">
                  <wp:posOffset>5751830</wp:posOffset>
                </wp:positionH>
                <wp:positionV relativeFrom="paragraph">
                  <wp:posOffset>19050</wp:posOffset>
                </wp:positionV>
                <wp:extent cx="409575" cy="371475"/>
                <wp:effectExtent l="0" t="0" r="28575" b="28575"/>
                <wp:wrapNone/>
                <wp:docPr id="112526978"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07ED3F6" w14:textId="1707AEEE" w:rsidR="008E63D8" w:rsidRPr="00DB3794" w:rsidRDefault="008E63D8" w:rsidP="008E63D8">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6DC73" id="_x0000_s1029" style="position:absolute;left:0;text-align:left;margin-left:452.9pt;margin-top:1.5pt;width:32.25pt;height:2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YWAIAAAIFAAAOAAAAZHJzL2Uyb0RvYy54bWysVE1v2zAMvQ/YfxB0Xx1n6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" fillcolor="white [3201]" strokecolor="#4f81bd [3204]" strokeweight="2pt">
                <v:textbox>
                  <w:txbxContent>
                    <w:p w14:paraId="307ED3F6" w14:textId="1707AEEE" w:rsidR="008E63D8" w:rsidRPr="00DB3794" w:rsidRDefault="008E63D8" w:rsidP="008E63D8">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v:textbox>
              </v:roundrect>
            </w:pict>
          </mc:Fallback>
        </mc:AlternateContent>
      </w:r>
      <w:r w:rsidR="00651105" w:rsidRPr="002A7859">
        <w:rPr>
          <w:noProof/>
          <w:sz w:val="24"/>
          <w:szCs w:val="24"/>
          <w:lang w:eastAsia="tr-TR"/>
        </w:rPr>
        <w:drawing>
          <wp:inline distT="0" distB="0" distL="0" distR="0" wp14:anchorId="58740AAD" wp14:editId="1146482A">
            <wp:extent cx="5486400" cy="2832735"/>
            <wp:effectExtent l="19050" t="19050" r="19050" b="24765"/>
            <wp:docPr id="33" name="صورة 702"/>
            <wp:cNvGraphicFramePr/>
            <a:graphic xmlns:a="http://schemas.openxmlformats.org/drawingml/2006/main">
              <a:graphicData uri="http://schemas.openxmlformats.org/drawingml/2006/picture">
                <pic:pic xmlns:pic="http://schemas.openxmlformats.org/drawingml/2006/picture">
                  <pic:nvPicPr>
                    <pic:cNvPr id="20" name="صورة 702"/>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3CB1921A" w14:textId="77777777" w:rsidR="00FA7202" w:rsidRPr="002A7859" w:rsidRDefault="00FA1B41" w:rsidP="00321FB8">
      <w:pPr>
        <w:jc w:val="both"/>
        <w:rPr>
          <w:rFonts w:asciiTheme="majorBidi" w:hAnsiTheme="majorBidi" w:cstheme="majorBidi"/>
          <w:noProof/>
          <w:sz w:val="24"/>
          <w:szCs w:val="24"/>
          <w:lang w:eastAsia="tr-TR"/>
        </w:rPr>
      </w:pPr>
      <w:r w:rsidRPr="002A7859">
        <w:rPr>
          <w:rFonts w:asciiTheme="majorBidi" w:hAnsiTheme="majorBidi" w:cstheme="majorBidi"/>
          <w:noProof/>
          <w:sz w:val="24"/>
          <w:szCs w:val="24"/>
          <w:lang w:eastAsia="tr-TR"/>
        </w:rPr>
        <w:lastRenderedPageBreak/>
        <w:t>Fig 6 : HPLC analysis for the FB1 toxin produced by :</w:t>
      </w:r>
    </w:p>
    <w:p w14:paraId="033ECFF5" w14:textId="5A131DE5" w:rsidR="00651105" w:rsidRPr="002A7859" w:rsidRDefault="00FA1B41" w:rsidP="00321FB8">
      <w:pPr>
        <w:jc w:val="both"/>
        <w:rPr>
          <w:rFonts w:asciiTheme="majorBidi" w:hAnsiTheme="majorBidi" w:cstheme="majorBidi"/>
          <w:noProof/>
          <w:sz w:val="24"/>
          <w:szCs w:val="24"/>
          <w:lang w:val="en-US" w:eastAsia="tr-TR"/>
        </w:rPr>
      </w:pPr>
      <w:r w:rsidRPr="002A7859">
        <w:rPr>
          <w:rFonts w:asciiTheme="majorBidi" w:hAnsiTheme="majorBidi" w:cstheme="majorBidi"/>
          <w:b/>
          <w:bCs/>
          <w:noProof/>
          <w:sz w:val="24"/>
          <w:szCs w:val="24"/>
          <w:lang w:eastAsia="tr-TR"/>
        </w:rPr>
        <w:t>A</w:t>
      </w:r>
      <w:r w:rsidRPr="002A7859">
        <w:rPr>
          <w:rFonts w:asciiTheme="majorBidi" w:hAnsiTheme="majorBidi" w:cstheme="majorBidi"/>
          <w:noProof/>
          <w:sz w:val="24"/>
          <w:szCs w:val="24"/>
          <w:lang w:eastAsia="tr-TR"/>
        </w:rPr>
        <w:t xml:space="preserve"> : standard FB1 toxic , </w:t>
      </w:r>
      <w:r w:rsidRPr="002A7859">
        <w:rPr>
          <w:rFonts w:asciiTheme="majorBidi" w:hAnsiTheme="majorBidi" w:cstheme="majorBidi"/>
          <w:b/>
          <w:bCs/>
          <w:noProof/>
          <w:sz w:val="24"/>
          <w:szCs w:val="24"/>
          <w:lang w:eastAsia="tr-TR"/>
        </w:rPr>
        <w:t>B</w:t>
      </w:r>
      <w:r w:rsidRPr="002A7859">
        <w:rPr>
          <w:rFonts w:asciiTheme="majorBidi" w:hAnsiTheme="majorBidi" w:cstheme="majorBidi"/>
          <w:noProof/>
          <w:sz w:val="24"/>
          <w:szCs w:val="24"/>
          <w:lang w:eastAsia="tr-TR"/>
        </w:rPr>
        <w:t xml:space="preserve"> : </w:t>
      </w:r>
      <w:r w:rsidRPr="002A7859">
        <w:rPr>
          <w:rFonts w:asciiTheme="majorBidi" w:hAnsiTheme="majorBidi" w:cstheme="majorBidi"/>
          <w:i/>
          <w:iCs/>
          <w:noProof/>
          <w:sz w:val="24"/>
          <w:szCs w:val="24"/>
          <w:lang w:eastAsia="tr-TR"/>
        </w:rPr>
        <w:t xml:space="preserve">Fusarium </w:t>
      </w:r>
      <w:r w:rsidR="008E63D8" w:rsidRPr="002A7859">
        <w:rPr>
          <w:rFonts w:asciiTheme="majorBidi" w:hAnsiTheme="majorBidi" w:cstheme="majorBidi"/>
          <w:i/>
          <w:iCs/>
          <w:noProof/>
          <w:sz w:val="24"/>
          <w:szCs w:val="24"/>
          <w:lang w:eastAsia="tr-TR"/>
        </w:rPr>
        <w:t>s</w:t>
      </w:r>
      <w:r w:rsidRPr="002A7859">
        <w:rPr>
          <w:rFonts w:asciiTheme="majorBidi" w:hAnsiTheme="majorBidi" w:cstheme="majorBidi"/>
          <w:i/>
          <w:iCs/>
          <w:noProof/>
          <w:sz w:val="24"/>
          <w:szCs w:val="24"/>
          <w:lang w:eastAsia="tr-TR"/>
        </w:rPr>
        <w:t>oli</w:t>
      </w:r>
      <w:r w:rsidR="00ED6787" w:rsidRPr="002A7859">
        <w:rPr>
          <w:rFonts w:asciiTheme="majorBidi" w:hAnsiTheme="majorBidi" w:cstheme="majorBidi"/>
          <w:i/>
          <w:iCs/>
          <w:noProof/>
          <w:sz w:val="24"/>
          <w:szCs w:val="24"/>
          <w:lang w:eastAsia="tr-TR"/>
        </w:rPr>
        <w:t>an</w:t>
      </w:r>
      <w:r w:rsidR="0032227E" w:rsidRPr="002A7859">
        <w:rPr>
          <w:rFonts w:asciiTheme="majorBidi" w:hAnsiTheme="majorBidi" w:cstheme="majorBidi"/>
          <w:noProof/>
          <w:sz w:val="24"/>
          <w:szCs w:val="24"/>
          <w:lang w:eastAsia="tr-TR"/>
        </w:rPr>
        <w:t xml:space="preserve"> on PDA alone , </w:t>
      </w:r>
      <w:r w:rsidR="0032227E" w:rsidRPr="002A7859">
        <w:rPr>
          <w:rFonts w:asciiTheme="majorBidi" w:hAnsiTheme="majorBidi" w:cstheme="majorBidi"/>
          <w:b/>
          <w:bCs/>
          <w:noProof/>
          <w:sz w:val="24"/>
          <w:szCs w:val="24"/>
          <w:lang w:eastAsia="tr-TR"/>
        </w:rPr>
        <w:t>C</w:t>
      </w:r>
      <w:r w:rsidR="0032227E" w:rsidRPr="002A7859">
        <w:rPr>
          <w:rFonts w:asciiTheme="majorBidi" w:hAnsiTheme="majorBidi" w:cstheme="majorBidi"/>
          <w:noProof/>
          <w:sz w:val="24"/>
          <w:szCs w:val="24"/>
          <w:lang w:eastAsia="tr-TR"/>
        </w:rPr>
        <w:t xml:space="preserve"> : </w:t>
      </w:r>
      <w:r w:rsidR="0032227E" w:rsidRPr="002A7859">
        <w:rPr>
          <w:rFonts w:asciiTheme="majorBidi" w:hAnsiTheme="majorBidi" w:cstheme="majorBidi"/>
          <w:i/>
          <w:iCs/>
          <w:noProof/>
          <w:sz w:val="24"/>
          <w:szCs w:val="24"/>
          <w:lang w:eastAsia="tr-TR"/>
        </w:rPr>
        <w:t>Fusarium</w:t>
      </w:r>
      <w:r w:rsidR="008E63D8" w:rsidRPr="002A7859">
        <w:rPr>
          <w:rFonts w:asciiTheme="majorBidi" w:hAnsiTheme="majorBidi" w:cstheme="majorBidi"/>
          <w:i/>
          <w:iCs/>
          <w:noProof/>
          <w:sz w:val="24"/>
          <w:szCs w:val="24"/>
          <w:lang w:eastAsia="tr-TR"/>
        </w:rPr>
        <w:t xml:space="preserve"> s</w:t>
      </w:r>
      <w:r w:rsidR="0032227E" w:rsidRPr="002A7859">
        <w:rPr>
          <w:rFonts w:asciiTheme="majorBidi" w:hAnsiTheme="majorBidi" w:cstheme="majorBidi"/>
          <w:i/>
          <w:iCs/>
          <w:noProof/>
          <w:sz w:val="24"/>
          <w:szCs w:val="24"/>
          <w:lang w:eastAsia="tr-TR"/>
        </w:rPr>
        <w:t>ol</w:t>
      </w:r>
      <w:r w:rsidR="00ED6787" w:rsidRPr="002A7859">
        <w:rPr>
          <w:rFonts w:asciiTheme="majorBidi" w:hAnsiTheme="majorBidi" w:cstheme="majorBidi"/>
          <w:i/>
          <w:iCs/>
          <w:noProof/>
          <w:sz w:val="24"/>
          <w:szCs w:val="24"/>
          <w:lang w:eastAsia="tr-TR"/>
        </w:rPr>
        <w:t>ian</w:t>
      </w:r>
      <w:r w:rsidR="0032227E" w:rsidRPr="002A7859">
        <w:rPr>
          <w:rFonts w:asciiTheme="majorBidi" w:hAnsiTheme="majorBidi" w:cstheme="majorBidi"/>
          <w:noProof/>
          <w:sz w:val="24"/>
          <w:szCs w:val="24"/>
          <w:lang w:eastAsia="tr-TR"/>
        </w:rPr>
        <w:t xml:space="preserve"> on PDA and treated with 10% Ag-NPs.</w:t>
      </w:r>
    </w:p>
    <w:p w14:paraId="1BBC9BAF" w14:textId="6AA819BA" w:rsidR="00FF1FBD" w:rsidRPr="002A7859" w:rsidRDefault="009220D8" w:rsidP="009220D8">
      <w:pPr>
        <w:jc w:val="both"/>
        <w:rPr>
          <w:rFonts w:asciiTheme="majorBidi" w:hAnsiTheme="majorBidi" w:cstheme="majorBidi"/>
          <w:sz w:val="24"/>
          <w:szCs w:val="24"/>
          <w:rtl/>
          <w:lang w:bidi="ar-IQ"/>
        </w:rPr>
      </w:pPr>
      <w:r w:rsidRPr="009220D8">
        <w:rPr>
          <w:rFonts w:asciiTheme="majorBidi" w:hAnsiTheme="majorBidi" w:cstheme="majorBidi"/>
          <w:sz w:val="24"/>
          <w:szCs w:val="24"/>
        </w:rPr>
        <w:t>High-performance liquid chromatography (HPLC) chromatographic examination of Aspergillus niger (Fig. 7A) revealed that the control sample showed a clear peak at a retention time of 7.80 minutes with a peak area of 3256.68 (Fig. 7B). This result indicates that under typical development conditions, this type of fungus produces this toxin.</w:t>
      </w:r>
    </w:p>
    <w:p w14:paraId="6B09A244" w14:textId="77777777" w:rsidR="009220D8" w:rsidRPr="009220D8" w:rsidRDefault="009220D8" w:rsidP="009220D8">
      <w:pPr>
        <w:jc w:val="both"/>
        <w:rPr>
          <w:rFonts w:asciiTheme="majorBidi" w:hAnsiTheme="majorBidi" w:cstheme="majorBidi"/>
          <w:sz w:val="24"/>
          <w:szCs w:val="24"/>
        </w:rPr>
      </w:pPr>
      <w:r w:rsidRPr="009220D8">
        <w:rPr>
          <w:rFonts w:asciiTheme="majorBidi" w:hAnsiTheme="majorBidi" w:cstheme="majorBidi"/>
          <w:sz w:val="24"/>
          <w:szCs w:val="24"/>
        </w:rPr>
        <w:t>The sample treated with biosynthesized silver nanoparticles, on the other hand, showed a discernible decrease in peak area to 1201.14 (Fig. 7C), suggesting a drop in aflatoxin content. This decrease can be explained by the way that nanoparticles suppress fungal metabolic activity, especially the biosynthetic pathways that produce mycotoxins.</w:t>
      </w:r>
    </w:p>
    <w:p w14:paraId="6C5B2B13" w14:textId="6BC2D48C" w:rsidR="00FF1FBD" w:rsidRPr="002A7859" w:rsidRDefault="009220D8" w:rsidP="009220D8">
      <w:pPr>
        <w:jc w:val="both"/>
        <w:rPr>
          <w:rFonts w:asciiTheme="majorBidi" w:hAnsiTheme="majorBidi" w:cstheme="majorBidi"/>
          <w:sz w:val="24"/>
          <w:szCs w:val="24"/>
        </w:rPr>
      </w:pPr>
      <w:r w:rsidRPr="009220D8">
        <w:rPr>
          <w:rFonts w:asciiTheme="majorBidi" w:hAnsiTheme="majorBidi" w:cstheme="majorBidi"/>
          <w:sz w:val="24"/>
          <w:szCs w:val="24"/>
        </w:rPr>
        <w:t>The capacity of nanoparticles to disrupt gene expression or inhibit important enzymes involved in aflatoxin manufacture may be indicated by the observed variations in peak intensity, including partial or total reduction. This finding is in line with other research showing how well nanoparticles inhib</w:t>
      </w:r>
      <w:r>
        <w:rPr>
          <w:rFonts w:asciiTheme="majorBidi" w:hAnsiTheme="majorBidi" w:cstheme="majorBidi"/>
          <w:sz w:val="24"/>
          <w:szCs w:val="24"/>
        </w:rPr>
        <w:t>it the generation of mycotoxins</w:t>
      </w:r>
      <w:r>
        <w:rPr>
          <w:rFonts w:asciiTheme="majorBidi" w:hAnsiTheme="majorBidi" w:cstheme="majorBidi" w:hint="cs"/>
          <w:sz w:val="24"/>
          <w:szCs w:val="24"/>
          <w:rtl/>
        </w:rPr>
        <w:t xml:space="preserve"> </w:t>
      </w:r>
      <w:r w:rsidR="00FF1FBD" w:rsidRPr="002A7859">
        <w:rPr>
          <w:rFonts w:asciiTheme="majorBidi" w:hAnsiTheme="majorBidi" w:cstheme="majorBidi"/>
          <w:sz w:val="24"/>
          <w:szCs w:val="24"/>
        </w:rPr>
        <w:t xml:space="preserve">(Liu </w:t>
      </w:r>
      <w:r w:rsidR="00FF1FBD" w:rsidRPr="002A7859">
        <w:rPr>
          <w:rFonts w:asciiTheme="majorBidi" w:hAnsiTheme="majorBidi" w:cstheme="majorBidi"/>
          <w:i/>
          <w:iCs/>
          <w:sz w:val="24"/>
          <w:szCs w:val="24"/>
        </w:rPr>
        <w:t>et al</w:t>
      </w:r>
      <w:r w:rsidR="00FF1FBD" w:rsidRPr="002A7859">
        <w:rPr>
          <w:rFonts w:asciiTheme="majorBidi" w:hAnsiTheme="majorBidi" w:cstheme="majorBidi"/>
          <w:sz w:val="24"/>
          <w:szCs w:val="24"/>
        </w:rPr>
        <w:t>., 2012).</w:t>
      </w:r>
    </w:p>
    <w:p w14:paraId="00905A70" w14:textId="77777777" w:rsidR="00FF1FBD" w:rsidRPr="002A7859" w:rsidRDefault="00FF1FBD" w:rsidP="00321FB8">
      <w:pPr>
        <w:jc w:val="both"/>
        <w:rPr>
          <w:rFonts w:asciiTheme="majorBidi" w:hAnsiTheme="majorBidi" w:cstheme="majorBidi"/>
          <w:sz w:val="24"/>
          <w:szCs w:val="24"/>
        </w:rPr>
      </w:pPr>
      <w:r w:rsidRPr="002A7859">
        <w:rPr>
          <w:rFonts w:asciiTheme="majorBidi" w:hAnsiTheme="majorBidi" w:cstheme="majorBidi"/>
          <w:sz w:val="24"/>
          <w:szCs w:val="24"/>
        </w:rPr>
        <w:t>Accordingly, it can be concluded that treatment with silver nanoparticles resulted in a significant reduction in aflatoxin production, highlighting their potential application as antifungal and anti-mycotoxigenic agents.</w:t>
      </w:r>
    </w:p>
    <w:p w14:paraId="3CEA28C5" w14:textId="35789A11" w:rsidR="00FF1FBD" w:rsidRPr="002A7859" w:rsidRDefault="007771B3" w:rsidP="007771B3">
      <w:pPr>
        <w:jc w:val="center"/>
        <w:rPr>
          <w:rFonts w:asciiTheme="majorBidi" w:hAnsiTheme="majorBidi" w:cstheme="majorBidi"/>
          <w:sz w:val="24"/>
          <w:szCs w:val="24"/>
        </w:rPr>
      </w:pPr>
      <w:r w:rsidRPr="002A7859">
        <w:rPr>
          <w:noProof/>
          <w:sz w:val="24"/>
          <w:szCs w:val="24"/>
          <w:lang w:eastAsia="tr-TR"/>
        </w:rPr>
        <mc:AlternateContent>
          <mc:Choice Requires="wps">
            <w:drawing>
              <wp:anchor distT="0" distB="0" distL="114300" distR="114300" simplePos="0" relativeHeight="251655168" behindDoc="0" locked="0" layoutInCell="1" allowOverlap="1" wp14:anchorId="3F846DDA" wp14:editId="29D915F0">
                <wp:simplePos x="0" y="0"/>
                <wp:positionH relativeFrom="column">
                  <wp:posOffset>5751830</wp:posOffset>
                </wp:positionH>
                <wp:positionV relativeFrom="paragraph">
                  <wp:posOffset>17145</wp:posOffset>
                </wp:positionV>
                <wp:extent cx="409575" cy="371475"/>
                <wp:effectExtent l="0" t="0" r="28575" b="28575"/>
                <wp:wrapNone/>
                <wp:docPr id="128943466"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F4E80A4" w14:textId="77777777" w:rsidR="007771B3" w:rsidRPr="00DB3794" w:rsidRDefault="007771B3" w:rsidP="007771B3">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46DDA" id="_x0000_s1030" style="position:absolute;left:0;text-align:left;margin-left:452.9pt;margin-top:1.35pt;width:32.25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3PWAIAAAIFAAAOAAAAZHJzL2Uyb0RvYy54bWysVE1v2zAMvQ/YfxB0Xx1n6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" fillcolor="white [3201]" strokecolor="#4f81bd [3204]" strokeweight="2pt">
                <v:textbox>
                  <w:txbxContent>
                    <w:p w14:paraId="4F4E80A4" w14:textId="77777777" w:rsidR="007771B3" w:rsidRPr="00DB3794" w:rsidRDefault="007771B3" w:rsidP="007771B3">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v:textbox>
              </v:roundrect>
            </w:pict>
          </mc:Fallback>
        </mc:AlternateContent>
      </w:r>
      <w:r w:rsidR="008E2B3E" w:rsidRPr="002A7859">
        <w:rPr>
          <w:noProof/>
          <w:sz w:val="24"/>
          <w:szCs w:val="24"/>
          <w:lang w:eastAsia="tr-TR"/>
        </w:rPr>
        <w:drawing>
          <wp:inline distT="0" distB="0" distL="0" distR="0" wp14:anchorId="56B41778" wp14:editId="6EBB4B59">
            <wp:extent cx="5486400" cy="2832735"/>
            <wp:effectExtent l="19050" t="19050" r="19050" b="24765"/>
            <wp:docPr id="39" name="صورة 703"/>
            <wp:cNvGraphicFramePr/>
            <a:graphic xmlns:a="http://schemas.openxmlformats.org/drawingml/2006/main">
              <a:graphicData uri="http://schemas.openxmlformats.org/drawingml/2006/picture">
                <pic:pic xmlns:pic="http://schemas.openxmlformats.org/drawingml/2006/picture">
                  <pic:nvPicPr>
                    <pic:cNvPr id="19" name="صورة 703"/>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7E2ADC3D" w14:textId="4779AE21" w:rsidR="008E2B3E" w:rsidRPr="002A7859" w:rsidRDefault="00031884" w:rsidP="00031884">
      <w:pPr>
        <w:jc w:val="center"/>
        <w:rPr>
          <w:rFonts w:asciiTheme="majorBidi" w:hAnsiTheme="majorBidi" w:cstheme="majorBidi"/>
          <w:sz w:val="24"/>
          <w:szCs w:val="24"/>
        </w:rPr>
      </w:pPr>
      <w:r w:rsidRPr="002A7859">
        <w:rPr>
          <w:noProof/>
          <w:sz w:val="24"/>
          <w:szCs w:val="24"/>
          <w:lang w:eastAsia="tr-TR"/>
        </w:rPr>
        <w:lastRenderedPageBreak/>
        <mc:AlternateContent>
          <mc:Choice Requires="wps">
            <w:drawing>
              <wp:anchor distT="0" distB="0" distL="114300" distR="114300" simplePos="0" relativeHeight="251660288" behindDoc="0" locked="0" layoutInCell="1" allowOverlap="1" wp14:anchorId="2D756E1F" wp14:editId="0127BD3E">
                <wp:simplePos x="0" y="0"/>
                <wp:positionH relativeFrom="column">
                  <wp:posOffset>5764530</wp:posOffset>
                </wp:positionH>
                <wp:positionV relativeFrom="paragraph">
                  <wp:posOffset>17780</wp:posOffset>
                </wp:positionV>
                <wp:extent cx="409575" cy="371475"/>
                <wp:effectExtent l="0" t="0" r="28575" b="28575"/>
                <wp:wrapNone/>
                <wp:docPr id="345494483"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2971A7D" w14:textId="046F74DA" w:rsidR="00031884" w:rsidRPr="00DB3794" w:rsidRDefault="00031884" w:rsidP="00031884">
                            <w:pPr>
                              <w:bidi/>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56E1F" id="_x0000_s1031" style="position:absolute;left:0;text-align:left;margin-left:453.9pt;margin-top:1.4pt;width:32.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VCVwIAAAIFAAAOAAAAZHJzL2Uyb0RvYy54bWysVE1v2zAMvQ/YfxB0Xx1n6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" fillcolor="white [3201]" strokecolor="#4f81bd [3204]" strokeweight="2pt">
                <v:textbox>
                  <w:txbxContent>
                    <w:p w14:paraId="12971A7D" w14:textId="046F74DA" w:rsidR="00031884" w:rsidRPr="00DB3794" w:rsidRDefault="00031884" w:rsidP="00031884">
                      <w:pPr>
                        <w:bidi/>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v:textbox>
              </v:roundrect>
            </w:pict>
          </mc:Fallback>
        </mc:AlternateContent>
      </w:r>
      <w:r w:rsidR="008E2B3E" w:rsidRPr="002A7859">
        <w:rPr>
          <w:noProof/>
          <w:sz w:val="24"/>
          <w:szCs w:val="24"/>
          <w:lang w:eastAsia="tr-TR"/>
        </w:rPr>
        <w:drawing>
          <wp:inline distT="0" distB="0" distL="0" distR="0" wp14:anchorId="69D13875" wp14:editId="221A0D12">
            <wp:extent cx="5486400" cy="2832735"/>
            <wp:effectExtent l="19050" t="19050" r="19050" b="24765"/>
            <wp:docPr id="40" name="صورة 1130740160"/>
            <wp:cNvGraphicFramePr/>
            <a:graphic xmlns:a="http://schemas.openxmlformats.org/drawingml/2006/main">
              <a:graphicData uri="http://schemas.openxmlformats.org/drawingml/2006/picture">
                <pic:pic xmlns:pic="http://schemas.openxmlformats.org/drawingml/2006/picture">
                  <pic:nvPicPr>
                    <pic:cNvPr id="18" name="صورة 113074016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4D501130" w14:textId="6735C440" w:rsidR="008E2B3E" w:rsidRPr="002A7859" w:rsidRDefault="00031884" w:rsidP="00031884">
      <w:pPr>
        <w:jc w:val="center"/>
        <w:rPr>
          <w:rFonts w:asciiTheme="majorBidi" w:hAnsiTheme="majorBidi" w:cstheme="majorBidi"/>
          <w:sz w:val="24"/>
          <w:szCs w:val="24"/>
        </w:rPr>
      </w:pPr>
      <w:r w:rsidRPr="002A7859">
        <w:rPr>
          <w:noProof/>
          <w:sz w:val="24"/>
          <w:szCs w:val="24"/>
          <w:lang w:eastAsia="tr-TR"/>
        </w:rPr>
        <mc:AlternateContent>
          <mc:Choice Requires="wps">
            <w:drawing>
              <wp:anchor distT="0" distB="0" distL="114300" distR="114300" simplePos="0" relativeHeight="251662336" behindDoc="0" locked="0" layoutInCell="1" allowOverlap="1" wp14:anchorId="75CD74F3" wp14:editId="6C93A832">
                <wp:simplePos x="0" y="0"/>
                <wp:positionH relativeFrom="column">
                  <wp:posOffset>5751830</wp:posOffset>
                </wp:positionH>
                <wp:positionV relativeFrom="paragraph">
                  <wp:posOffset>17780</wp:posOffset>
                </wp:positionV>
                <wp:extent cx="409575" cy="371475"/>
                <wp:effectExtent l="0" t="0" r="28575" b="28575"/>
                <wp:wrapNone/>
                <wp:docPr id="805142688"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EDB0BFB" w14:textId="25B93CA1" w:rsidR="00031884" w:rsidRPr="00DB3794" w:rsidRDefault="00031884" w:rsidP="00031884">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D74F3" id="_x0000_s1032" style="position:absolute;left:0;text-align:left;margin-left:452.9pt;margin-top:1.4pt;width:32.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" fillcolor="white [3201]" strokecolor="#4f81bd [3204]" strokeweight="2pt">
                <v:textbox>
                  <w:txbxContent>
                    <w:p w14:paraId="6EDB0BFB" w14:textId="25B93CA1" w:rsidR="00031884" w:rsidRPr="00DB3794" w:rsidRDefault="00031884" w:rsidP="00031884">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v:textbox>
              </v:roundrect>
            </w:pict>
          </mc:Fallback>
        </mc:AlternateContent>
      </w:r>
      <w:r w:rsidR="008E2B3E" w:rsidRPr="002A7859">
        <w:rPr>
          <w:noProof/>
          <w:sz w:val="24"/>
          <w:szCs w:val="24"/>
          <w:lang w:eastAsia="tr-TR"/>
        </w:rPr>
        <w:drawing>
          <wp:inline distT="0" distB="0" distL="0" distR="0" wp14:anchorId="5CCE4649" wp14:editId="14B6BEA4">
            <wp:extent cx="5486400" cy="2832735"/>
            <wp:effectExtent l="19050" t="19050" r="19050" b="24765"/>
            <wp:docPr id="41" name="صورة 1660479688"/>
            <wp:cNvGraphicFramePr/>
            <a:graphic xmlns:a="http://schemas.openxmlformats.org/drawingml/2006/main">
              <a:graphicData uri="http://schemas.openxmlformats.org/drawingml/2006/picture">
                <pic:pic xmlns:pic="http://schemas.openxmlformats.org/drawingml/2006/picture">
                  <pic:nvPicPr>
                    <pic:cNvPr id="10" name="صورة 1660479688"/>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13B03030" w14:textId="77777777" w:rsidR="008E2B3E" w:rsidRPr="002A7859" w:rsidRDefault="008E2B3E" w:rsidP="00321FB8">
      <w:pPr>
        <w:jc w:val="both"/>
        <w:rPr>
          <w:rFonts w:asciiTheme="majorBidi" w:hAnsiTheme="majorBidi" w:cstheme="majorBidi"/>
          <w:noProof/>
          <w:sz w:val="24"/>
          <w:szCs w:val="24"/>
          <w:lang w:eastAsia="tr-TR"/>
        </w:rPr>
      </w:pPr>
      <w:r w:rsidRPr="002A7859">
        <w:rPr>
          <w:rFonts w:asciiTheme="majorBidi" w:hAnsiTheme="majorBidi" w:cstheme="majorBidi"/>
          <w:noProof/>
          <w:sz w:val="24"/>
          <w:szCs w:val="24"/>
          <w:lang w:eastAsia="tr-TR"/>
        </w:rPr>
        <w:t xml:space="preserve">Fig </w:t>
      </w:r>
      <w:r w:rsidR="00353977" w:rsidRPr="002A7859">
        <w:rPr>
          <w:rFonts w:asciiTheme="majorBidi" w:hAnsiTheme="majorBidi" w:cstheme="majorBidi"/>
          <w:noProof/>
          <w:sz w:val="24"/>
          <w:szCs w:val="24"/>
          <w:lang w:eastAsia="tr-TR"/>
        </w:rPr>
        <w:t>7</w:t>
      </w:r>
      <w:r w:rsidRPr="002A7859">
        <w:rPr>
          <w:rFonts w:asciiTheme="majorBidi" w:hAnsiTheme="majorBidi" w:cstheme="majorBidi"/>
          <w:noProof/>
          <w:sz w:val="24"/>
          <w:szCs w:val="24"/>
          <w:lang w:eastAsia="tr-TR"/>
        </w:rPr>
        <w:t xml:space="preserve"> : HPLC analysis for the</w:t>
      </w:r>
      <w:r w:rsidR="00461B42" w:rsidRPr="002A7859">
        <w:rPr>
          <w:rFonts w:asciiTheme="majorBidi" w:hAnsiTheme="majorBidi" w:cstheme="majorBidi"/>
          <w:sz w:val="24"/>
          <w:szCs w:val="24"/>
        </w:rPr>
        <w:t xml:space="preserve"> </w:t>
      </w:r>
      <w:r w:rsidR="00461B42" w:rsidRPr="002A7859">
        <w:rPr>
          <w:rFonts w:asciiTheme="majorBidi" w:hAnsiTheme="majorBidi" w:cstheme="majorBidi"/>
          <w:noProof/>
          <w:sz w:val="24"/>
          <w:szCs w:val="24"/>
          <w:lang w:eastAsia="tr-TR"/>
        </w:rPr>
        <w:t xml:space="preserve">Aflatoxin </w:t>
      </w:r>
      <w:r w:rsidRPr="002A7859">
        <w:rPr>
          <w:rFonts w:asciiTheme="majorBidi" w:hAnsiTheme="majorBidi" w:cstheme="majorBidi"/>
          <w:noProof/>
          <w:sz w:val="24"/>
          <w:szCs w:val="24"/>
          <w:lang w:eastAsia="tr-TR"/>
        </w:rPr>
        <w:t>toxin produced by :</w:t>
      </w:r>
    </w:p>
    <w:p w14:paraId="69355B6E" w14:textId="1812B9AF" w:rsidR="008E2B3E" w:rsidRPr="002A7859" w:rsidRDefault="008E2B3E" w:rsidP="00321FB8">
      <w:pPr>
        <w:jc w:val="both"/>
        <w:rPr>
          <w:rFonts w:asciiTheme="majorBidi" w:hAnsiTheme="majorBidi" w:cstheme="majorBidi"/>
          <w:noProof/>
          <w:sz w:val="24"/>
          <w:szCs w:val="24"/>
          <w:rtl/>
          <w:lang w:eastAsia="tr-TR"/>
        </w:rPr>
      </w:pPr>
      <w:r w:rsidRPr="002A7859">
        <w:rPr>
          <w:rFonts w:asciiTheme="majorBidi" w:hAnsiTheme="majorBidi" w:cstheme="majorBidi"/>
          <w:noProof/>
          <w:sz w:val="24"/>
          <w:szCs w:val="24"/>
          <w:lang w:eastAsia="tr-TR"/>
        </w:rPr>
        <w:t xml:space="preserve">A : </w:t>
      </w:r>
      <w:r w:rsidR="00031884" w:rsidRPr="002A7859">
        <w:rPr>
          <w:rFonts w:asciiTheme="majorBidi" w:hAnsiTheme="majorBidi" w:cstheme="majorBidi"/>
          <w:noProof/>
          <w:sz w:val="24"/>
          <w:szCs w:val="24"/>
          <w:lang w:eastAsia="tr-TR"/>
        </w:rPr>
        <w:t>S</w:t>
      </w:r>
      <w:r w:rsidRPr="002A7859">
        <w:rPr>
          <w:rFonts w:asciiTheme="majorBidi" w:hAnsiTheme="majorBidi" w:cstheme="majorBidi"/>
          <w:noProof/>
          <w:sz w:val="24"/>
          <w:szCs w:val="24"/>
          <w:lang w:eastAsia="tr-TR"/>
        </w:rPr>
        <w:t xml:space="preserve">tandard </w:t>
      </w:r>
      <w:r w:rsidR="00461B42" w:rsidRPr="002A7859">
        <w:rPr>
          <w:rFonts w:asciiTheme="majorBidi" w:hAnsiTheme="majorBidi" w:cstheme="majorBidi"/>
          <w:noProof/>
          <w:sz w:val="24"/>
          <w:szCs w:val="24"/>
          <w:lang w:eastAsia="tr-TR"/>
        </w:rPr>
        <w:t>Aflatoxin</w:t>
      </w:r>
      <w:r w:rsidRPr="002A7859">
        <w:rPr>
          <w:rFonts w:asciiTheme="majorBidi" w:hAnsiTheme="majorBidi" w:cstheme="majorBidi"/>
          <w:noProof/>
          <w:sz w:val="24"/>
          <w:szCs w:val="24"/>
          <w:lang w:eastAsia="tr-TR"/>
        </w:rPr>
        <w:t xml:space="preserve"> toxic , B : </w:t>
      </w:r>
      <w:r w:rsidR="00461B42" w:rsidRPr="002A7859">
        <w:rPr>
          <w:rFonts w:asciiTheme="majorBidi" w:hAnsiTheme="majorBidi" w:cstheme="majorBidi"/>
          <w:i/>
          <w:iCs/>
          <w:noProof/>
          <w:sz w:val="24"/>
          <w:szCs w:val="24"/>
          <w:lang w:eastAsia="tr-TR"/>
        </w:rPr>
        <w:t>Aspergillus niger</w:t>
      </w:r>
      <w:r w:rsidR="00461B42" w:rsidRPr="002A7859">
        <w:rPr>
          <w:rFonts w:asciiTheme="majorBidi" w:hAnsiTheme="majorBidi" w:cstheme="majorBidi"/>
          <w:noProof/>
          <w:sz w:val="24"/>
          <w:szCs w:val="24"/>
          <w:lang w:eastAsia="tr-TR"/>
        </w:rPr>
        <w:t xml:space="preserve"> </w:t>
      </w:r>
      <w:r w:rsidRPr="002A7859">
        <w:rPr>
          <w:rFonts w:asciiTheme="majorBidi" w:hAnsiTheme="majorBidi" w:cstheme="majorBidi"/>
          <w:noProof/>
          <w:sz w:val="24"/>
          <w:szCs w:val="24"/>
          <w:lang w:eastAsia="tr-TR"/>
        </w:rPr>
        <w:t xml:space="preserve">on PDA alone , C : </w:t>
      </w:r>
      <w:r w:rsidR="00461B42" w:rsidRPr="002A7859">
        <w:rPr>
          <w:rFonts w:asciiTheme="majorBidi" w:hAnsiTheme="majorBidi" w:cstheme="majorBidi"/>
          <w:i/>
          <w:iCs/>
          <w:noProof/>
          <w:sz w:val="24"/>
          <w:szCs w:val="24"/>
          <w:lang w:eastAsia="tr-TR"/>
        </w:rPr>
        <w:t>Aspergillus niger</w:t>
      </w:r>
      <w:r w:rsidR="00461B42" w:rsidRPr="002A7859">
        <w:rPr>
          <w:rFonts w:asciiTheme="majorBidi" w:hAnsiTheme="majorBidi" w:cstheme="majorBidi"/>
          <w:noProof/>
          <w:sz w:val="24"/>
          <w:szCs w:val="24"/>
          <w:lang w:eastAsia="tr-TR"/>
        </w:rPr>
        <w:t xml:space="preserve"> </w:t>
      </w:r>
      <w:r w:rsidRPr="002A7859">
        <w:rPr>
          <w:rFonts w:asciiTheme="majorBidi" w:hAnsiTheme="majorBidi" w:cstheme="majorBidi"/>
          <w:noProof/>
          <w:sz w:val="24"/>
          <w:szCs w:val="24"/>
          <w:lang w:eastAsia="tr-TR"/>
        </w:rPr>
        <w:t>on PDA</w:t>
      </w:r>
      <w:r w:rsidR="00142630" w:rsidRPr="002A7859">
        <w:rPr>
          <w:rFonts w:asciiTheme="majorBidi" w:hAnsiTheme="majorBidi" w:cstheme="majorBidi"/>
          <w:noProof/>
          <w:sz w:val="24"/>
          <w:szCs w:val="24"/>
          <w:lang w:eastAsia="tr-TR"/>
        </w:rPr>
        <w:t xml:space="preserve"> and treated with 10% </w:t>
      </w:r>
      <w:r w:rsidRPr="002A7859">
        <w:rPr>
          <w:rFonts w:asciiTheme="majorBidi" w:hAnsiTheme="majorBidi" w:cstheme="majorBidi"/>
          <w:noProof/>
          <w:sz w:val="24"/>
          <w:szCs w:val="24"/>
          <w:lang w:eastAsia="tr-TR"/>
        </w:rPr>
        <w:t>Ag-NPs.</w:t>
      </w:r>
    </w:p>
    <w:p w14:paraId="36E8F717" w14:textId="491150AB" w:rsidR="00A80B7E" w:rsidRPr="002A7859" w:rsidRDefault="00A80B7E" w:rsidP="00321FB8">
      <w:pPr>
        <w:jc w:val="both"/>
        <w:rPr>
          <w:rFonts w:asciiTheme="majorBidi" w:hAnsiTheme="majorBidi" w:cstheme="majorBidi"/>
          <w:sz w:val="24"/>
          <w:szCs w:val="24"/>
        </w:rPr>
      </w:pPr>
      <w:r w:rsidRPr="002A7859">
        <w:rPr>
          <w:rFonts w:asciiTheme="majorBidi" w:hAnsiTheme="majorBidi" w:cstheme="majorBidi"/>
          <w:sz w:val="24"/>
          <w:szCs w:val="24"/>
        </w:rPr>
        <w:t xml:space="preserve">The chromatographic analysis using high performance liquid chromatography (HPLC) </w:t>
      </w:r>
      <w:r w:rsidR="00E52DBB" w:rsidRPr="002A7859">
        <w:rPr>
          <w:rFonts w:asciiTheme="majorBidi" w:hAnsiTheme="majorBidi" w:cstheme="majorBidi"/>
          <w:sz w:val="24"/>
          <w:szCs w:val="24"/>
        </w:rPr>
        <w:t xml:space="preserve">(Fig.8A)  </w:t>
      </w:r>
      <w:r w:rsidRPr="002A7859">
        <w:rPr>
          <w:rFonts w:asciiTheme="majorBidi" w:hAnsiTheme="majorBidi" w:cstheme="majorBidi"/>
          <w:sz w:val="24"/>
          <w:szCs w:val="24"/>
        </w:rPr>
        <w:t xml:space="preserve">showed a clear peak at the retention time of 3.88 min and a peak area of 25698.08 for the control sample of </w:t>
      </w:r>
      <w:r w:rsidRPr="002A7859">
        <w:rPr>
          <w:rFonts w:asciiTheme="majorBidi" w:hAnsiTheme="majorBidi" w:cstheme="majorBidi"/>
          <w:i/>
          <w:iCs/>
          <w:sz w:val="24"/>
          <w:szCs w:val="24"/>
        </w:rPr>
        <w:t xml:space="preserve">Alternaria </w:t>
      </w:r>
      <w:r w:rsidR="003278AA" w:rsidRPr="002A7859">
        <w:rPr>
          <w:rFonts w:asciiTheme="majorBidi" w:hAnsiTheme="majorBidi" w:cstheme="majorBidi"/>
          <w:i/>
          <w:iCs/>
          <w:sz w:val="24"/>
          <w:szCs w:val="24"/>
        </w:rPr>
        <w:t>a</w:t>
      </w:r>
      <w:r w:rsidRPr="002A7859">
        <w:rPr>
          <w:rFonts w:asciiTheme="majorBidi" w:hAnsiTheme="majorBidi" w:cstheme="majorBidi"/>
          <w:i/>
          <w:iCs/>
          <w:sz w:val="24"/>
          <w:szCs w:val="24"/>
        </w:rPr>
        <w:t>lternata</w:t>
      </w:r>
      <w:r w:rsidRPr="002A7859">
        <w:rPr>
          <w:rFonts w:asciiTheme="majorBidi" w:hAnsiTheme="majorBidi" w:cstheme="majorBidi"/>
          <w:sz w:val="24"/>
          <w:szCs w:val="24"/>
        </w:rPr>
        <w:t xml:space="preserve"> a known producer of alternariol</w:t>
      </w:r>
      <w:r w:rsidR="00E52DBB" w:rsidRPr="002A7859">
        <w:rPr>
          <w:rFonts w:asciiTheme="majorBidi" w:hAnsiTheme="majorBidi" w:cstheme="majorBidi"/>
          <w:sz w:val="24"/>
          <w:szCs w:val="24"/>
        </w:rPr>
        <w:t xml:space="preserve"> (Fig.8B) </w:t>
      </w:r>
      <w:r w:rsidRPr="002A7859">
        <w:rPr>
          <w:rFonts w:asciiTheme="majorBidi" w:hAnsiTheme="majorBidi" w:cstheme="majorBidi"/>
          <w:sz w:val="24"/>
          <w:szCs w:val="24"/>
        </w:rPr>
        <w:t>.</w:t>
      </w:r>
    </w:p>
    <w:p w14:paraId="225BF5D0" w14:textId="0664818D" w:rsidR="00FF1FBD" w:rsidRPr="002A7859" w:rsidRDefault="00FF1FBD" w:rsidP="00321FB8">
      <w:pPr>
        <w:jc w:val="both"/>
        <w:rPr>
          <w:rFonts w:asciiTheme="majorBidi" w:hAnsiTheme="majorBidi" w:cstheme="majorBidi"/>
          <w:sz w:val="24"/>
          <w:szCs w:val="24"/>
        </w:rPr>
      </w:pPr>
      <w:r w:rsidRPr="002A7859">
        <w:rPr>
          <w:rFonts w:asciiTheme="majorBidi" w:hAnsiTheme="majorBidi" w:cstheme="majorBidi"/>
          <w:sz w:val="24"/>
          <w:szCs w:val="24"/>
        </w:rPr>
        <w:t>In contrast, the sample treated with biosynthesized silver nanoparticles showed a noticeable reduction in peak area to 9652.05, indicating a significant decrease in alternariol concentration</w:t>
      </w:r>
      <w:r w:rsidR="00E52DBB" w:rsidRPr="002A7859">
        <w:rPr>
          <w:rFonts w:asciiTheme="majorBidi" w:hAnsiTheme="majorBidi" w:cstheme="majorBidi"/>
          <w:sz w:val="24"/>
          <w:szCs w:val="24"/>
        </w:rPr>
        <w:t xml:space="preserve"> (Fig.8C)</w:t>
      </w:r>
      <w:r w:rsidRPr="002A7859">
        <w:rPr>
          <w:rFonts w:asciiTheme="majorBidi" w:hAnsiTheme="majorBidi" w:cstheme="majorBidi"/>
          <w:sz w:val="24"/>
          <w:szCs w:val="24"/>
        </w:rPr>
        <w:t>. This reduction can be attributed to the inhibitory effect of nanoparticles on fungal metabolic activity, particularly the biosynthetic pathways responsible for mycotoxin production.</w:t>
      </w:r>
    </w:p>
    <w:p w14:paraId="3CF1F8D7" w14:textId="77777777" w:rsidR="00FF1FBD" w:rsidRPr="002A7859" w:rsidRDefault="00A80B7E" w:rsidP="00321FB8">
      <w:pPr>
        <w:jc w:val="both"/>
        <w:rPr>
          <w:rFonts w:asciiTheme="majorBidi" w:hAnsiTheme="majorBidi" w:cstheme="majorBidi"/>
          <w:sz w:val="24"/>
          <w:szCs w:val="24"/>
        </w:rPr>
      </w:pPr>
      <w:r w:rsidRPr="002A7859">
        <w:rPr>
          <w:rFonts w:asciiTheme="majorBidi" w:hAnsiTheme="majorBidi" w:cstheme="majorBidi"/>
          <w:sz w:val="24"/>
          <w:szCs w:val="24"/>
        </w:rPr>
        <w:lastRenderedPageBreak/>
        <w:t xml:space="preserve">The reduction in peak intensity observed in the present study (either partial or significant decrease) suggests that nanoparticles may interfere with the gene expression or inhibit the key enzymes involved in alternariol biosynthesis. This finding is consistent with previous studies emphasizing the role of nanoparticles in suppressing fungal toxin production                      </w:t>
      </w:r>
      <w:r w:rsidR="00FF1FBD" w:rsidRPr="002A7859">
        <w:rPr>
          <w:rFonts w:asciiTheme="majorBidi" w:hAnsiTheme="majorBidi" w:cstheme="majorBidi"/>
          <w:sz w:val="24"/>
          <w:szCs w:val="24"/>
        </w:rPr>
        <w:t>(</w:t>
      </w:r>
      <w:r w:rsidR="00C55C43" w:rsidRPr="002A7859">
        <w:rPr>
          <w:rFonts w:asciiTheme="majorBidi" w:hAnsiTheme="majorBidi" w:cstheme="majorBidi"/>
          <w:sz w:val="24"/>
          <w:szCs w:val="24"/>
        </w:rPr>
        <w:t xml:space="preserve">Wang </w:t>
      </w:r>
      <w:r w:rsidR="00C55C43" w:rsidRPr="002A7859">
        <w:rPr>
          <w:rFonts w:asciiTheme="majorBidi" w:hAnsiTheme="majorBidi" w:cstheme="majorBidi"/>
          <w:i/>
          <w:iCs/>
          <w:sz w:val="24"/>
          <w:szCs w:val="24"/>
        </w:rPr>
        <w:t xml:space="preserve">et al., </w:t>
      </w:r>
      <w:r w:rsidR="00C55C43" w:rsidRPr="002A7859">
        <w:rPr>
          <w:rFonts w:asciiTheme="majorBidi" w:hAnsiTheme="majorBidi" w:cstheme="majorBidi"/>
          <w:sz w:val="24"/>
          <w:szCs w:val="24"/>
        </w:rPr>
        <w:t>2023</w:t>
      </w:r>
      <w:r w:rsidR="00FF1FBD" w:rsidRPr="002A7859">
        <w:rPr>
          <w:rFonts w:asciiTheme="majorBidi" w:hAnsiTheme="majorBidi" w:cstheme="majorBidi"/>
          <w:sz w:val="24"/>
          <w:szCs w:val="24"/>
        </w:rPr>
        <w:t>).</w:t>
      </w:r>
    </w:p>
    <w:p w14:paraId="29E42680" w14:textId="45FB2473" w:rsidR="00FF1FBD" w:rsidRPr="002A7859" w:rsidRDefault="009220D8" w:rsidP="009220D8">
      <w:pPr>
        <w:jc w:val="both"/>
        <w:rPr>
          <w:rFonts w:asciiTheme="majorBidi" w:hAnsiTheme="majorBidi" w:cstheme="majorBidi"/>
          <w:sz w:val="24"/>
          <w:szCs w:val="24"/>
          <w:rtl/>
          <w:lang w:bidi="ar-IQ"/>
        </w:rPr>
      </w:pPr>
      <w:r w:rsidRPr="009220D8">
        <w:rPr>
          <w:rFonts w:asciiTheme="majorBidi" w:hAnsiTheme="majorBidi" w:cstheme="majorBidi"/>
          <w:sz w:val="24"/>
          <w:szCs w:val="24"/>
        </w:rPr>
        <w:t>Thus, alternariol synthesis was significantly reduced after treatment with silver nanoparticles, indicating their potential use as antifungal and anti-mycotoxigenic drugs.</w:t>
      </w:r>
    </w:p>
    <w:p w14:paraId="30A5C089" w14:textId="61D2C65A" w:rsidR="00B32A22" w:rsidRPr="002A7859" w:rsidRDefault="00CD7DDE" w:rsidP="00CD7DDE">
      <w:pPr>
        <w:jc w:val="center"/>
        <w:rPr>
          <w:rFonts w:asciiTheme="majorBidi" w:hAnsiTheme="majorBidi" w:cstheme="majorBidi"/>
          <w:sz w:val="24"/>
          <w:szCs w:val="24"/>
        </w:rPr>
      </w:pPr>
      <w:r w:rsidRPr="002A7859">
        <w:rPr>
          <w:noProof/>
          <w:sz w:val="24"/>
          <w:szCs w:val="24"/>
          <w:lang w:eastAsia="tr-TR"/>
        </w:rPr>
        <mc:AlternateContent>
          <mc:Choice Requires="wps">
            <w:drawing>
              <wp:anchor distT="0" distB="0" distL="114300" distR="114300" simplePos="0" relativeHeight="251664384" behindDoc="0" locked="0" layoutInCell="1" allowOverlap="1" wp14:anchorId="6EA215EE" wp14:editId="77A87A9A">
                <wp:simplePos x="0" y="0"/>
                <wp:positionH relativeFrom="column">
                  <wp:posOffset>5745480</wp:posOffset>
                </wp:positionH>
                <wp:positionV relativeFrom="paragraph">
                  <wp:posOffset>17780</wp:posOffset>
                </wp:positionV>
                <wp:extent cx="409575" cy="371475"/>
                <wp:effectExtent l="0" t="0" r="28575" b="28575"/>
                <wp:wrapNone/>
                <wp:docPr id="1968448105"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F934912" w14:textId="77777777" w:rsidR="00CD7DDE" w:rsidRPr="00DB3794" w:rsidRDefault="00CD7DDE" w:rsidP="00CD7DDE">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215EE" id="_x0000_s1033" style="position:absolute;left:0;text-align:left;margin-left:452.4pt;margin-top:1.4pt;width:32.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" fillcolor="white [3201]" strokecolor="#4f81bd [3204]" strokeweight="2pt">
                <v:textbox>
                  <w:txbxContent>
                    <w:p w14:paraId="4F934912" w14:textId="77777777" w:rsidR="00CD7DDE" w:rsidRPr="00DB3794" w:rsidRDefault="00CD7DDE" w:rsidP="00CD7DDE">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v:textbox>
              </v:roundrect>
            </w:pict>
          </mc:Fallback>
        </mc:AlternateContent>
      </w:r>
      <w:r w:rsidR="00B32A22" w:rsidRPr="002A7859">
        <w:rPr>
          <w:noProof/>
          <w:sz w:val="24"/>
          <w:szCs w:val="24"/>
          <w:lang w:eastAsia="tr-TR"/>
        </w:rPr>
        <w:drawing>
          <wp:inline distT="0" distB="0" distL="0" distR="0" wp14:anchorId="630A09B5" wp14:editId="6E1061E7">
            <wp:extent cx="5486400" cy="2832735"/>
            <wp:effectExtent l="19050" t="19050" r="19050" b="24765"/>
            <wp:docPr id="45" name="صورة 1660479689"/>
            <wp:cNvGraphicFramePr/>
            <a:graphic xmlns:a="http://schemas.openxmlformats.org/drawingml/2006/main">
              <a:graphicData uri="http://schemas.openxmlformats.org/drawingml/2006/picture">
                <pic:pic xmlns:pic="http://schemas.openxmlformats.org/drawingml/2006/picture">
                  <pic:nvPicPr>
                    <pic:cNvPr id="9" name="صورة 1660479689"/>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61D81EE9" w14:textId="59B418F3" w:rsidR="00B32A22" w:rsidRPr="002A7859" w:rsidRDefault="00460EE0" w:rsidP="00460EE0">
      <w:pPr>
        <w:jc w:val="center"/>
        <w:rPr>
          <w:rFonts w:asciiTheme="majorBidi" w:hAnsiTheme="majorBidi" w:cstheme="majorBidi"/>
          <w:sz w:val="24"/>
          <w:szCs w:val="24"/>
        </w:rPr>
      </w:pPr>
      <w:r w:rsidRPr="002A7859">
        <w:rPr>
          <w:noProof/>
          <w:sz w:val="24"/>
          <w:szCs w:val="24"/>
          <w:lang w:eastAsia="tr-TR"/>
        </w:rPr>
        <mc:AlternateContent>
          <mc:Choice Requires="wps">
            <w:drawing>
              <wp:anchor distT="0" distB="0" distL="114300" distR="114300" simplePos="0" relativeHeight="251666432" behindDoc="0" locked="0" layoutInCell="1" allowOverlap="1" wp14:anchorId="1FD3CCFE" wp14:editId="157455AB">
                <wp:simplePos x="0" y="0"/>
                <wp:positionH relativeFrom="column">
                  <wp:posOffset>5751830</wp:posOffset>
                </wp:positionH>
                <wp:positionV relativeFrom="paragraph">
                  <wp:posOffset>19050</wp:posOffset>
                </wp:positionV>
                <wp:extent cx="409575" cy="371475"/>
                <wp:effectExtent l="0" t="0" r="28575" b="28575"/>
                <wp:wrapNone/>
                <wp:docPr id="1446348033"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5BF791A" w14:textId="23C575B5" w:rsidR="00460EE0" w:rsidRPr="00DB3794" w:rsidRDefault="00460EE0" w:rsidP="00460EE0">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D3CCFE" id="_x0000_s1034" style="position:absolute;left:0;text-align:left;margin-left:452.9pt;margin-top:1.5pt;width:32.2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ogWAIAAAIFAAAOAAAAZHJzL2Uyb0RvYy54bWysVE1v2zAMvQ/YfxB0Xx1n6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" fillcolor="white [3201]" strokecolor="#4f81bd [3204]" strokeweight="2pt">
                <v:textbox>
                  <w:txbxContent>
                    <w:p w14:paraId="15BF791A" w14:textId="23C575B5" w:rsidR="00460EE0" w:rsidRPr="00DB3794" w:rsidRDefault="00460EE0" w:rsidP="00460EE0">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v:textbox>
              </v:roundrect>
            </w:pict>
          </mc:Fallback>
        </mc:AlternateContent>
      </w:r>
      <w:r w:rsidR="00B32A22" w:rsidRPr="002A7859">
        <w:rPr>
          <w:noProof/>
          <w:sz w:val="24"/>
          <w:szCs w:val="24"/>
          <w:lang w:eastAsia="tr-TR"/>
        </w:rPr>
        <w:drawing>
          <wp:inline distT="0" distB="0" distL="0" distR="0" wp14:anchorId="38EC771D" wp14:editId="6D2DF6A5">
            <wp:extent cx="5486400" cy="2832735"/>
            <wp:effectExtent l="19050" t="19050" r="19050" b="24765"/>
            <wp:docPr id="8" name="صورة 1660479691"/>
            <wp:cNvGraphicFramePr/>
            <a:graphic xmlns:a="http://schemas.openxmlformats.org/drawingml/2006/main">
              <a:graphicData uri="http://schemas.openxmlformats.org/drawingml/2006/picture">
                <pic:pic xmlns:pic="http://schemas.openxmlformats.org/drawingml/2006/picture">
                  <pic:nvPicPr>
                    <pic:cNvPr id="8" name="صورة 166047969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3B26B400" w14:textId="5A409C67" w:rsidR="00FA7202" w:rsidRPr="002A7859" w:rsidRDefault="00460EE0" w:rsidP="00460EE0">
      <w:pPr>
        <w:jc w:val="center"/>
        <w:rPr>
          <w:rFonts w:asciiTheme="majorBidi" w:hAnsiTheme="majorBidi" w:cstheme="majorBidi"/>
          <w:sz w:val="24"/>
          <w:szCs w:val="24"/>
        </w:rPr>
      </w:pPr>
      <w:r w:rsidRPr="002A7859">
        <w:rPr>
          <w:noProof/>
          <w:sz w:val="24"/>
          <w:szCs w:val="24"/>
          <w:lang w:eastAsia="tr-TR"/>
        </w:rPr>
        <w:lastRenderedPageBreak/>
        <mc:AlternateContent>
          <mc:Choice Requires="wps">
            <w:drawing>
              <wp:anchor distT="0" distB="0" distL="114300" distR="114300" simplePos="0" relativeHeight="251670528" behindDoc="0" locked="0" layoutInCell="1" allowOverlap="1" wp14:anchorId="7BBCF4A7" wp14:editId="2B072E01">
                <wp:simplePos x="0" y="0"/>
                <wp:positionH relativeFrom="column">
                  <wp:posOffset>5758180</wp:posOffset>
                </wp:positionH>
                <wp:positionV relativeFrom="paragraph">
                  <wp:posOffset>19685</wp:posOffset>
                </wp:positionV>
                <wp:extent cx="409575" cy="371475"/>
                <wp:effectExtent l="0" t="0" r="28575" b="28575"/>
                <wp:wrapNone/>
                <wp:docPr id="1545742636"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547B03A" w14:textId="215726AD" w:rsidR="00460EE0" w:rsidRPr="00DB3794" w:rsidRDefault="00460EE0" w:rsidP="00460EE0">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BCF4A7" id="_x0000_s1035" style="position:absolute;left:0;text-align:left;margin-left:453.4pt;margin-top:1.55pt;width:32.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" fillcolor="white [3201]" strokecolor="#4f81bd [3204]" strokeweight="2pt">
                <v:textbox>
                  <w:txbxContent>
                    <w:p w14:paraId="7547B03A" w14:textId="215726AD" w:rsidR="00460EE0" w:rsidRPr="00DB3794" w:rsidRDefault="00460EE0" w:rsidP="00460EE0">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v:textbox>
              </v:roundrect>
            </w:pict>
          </mc:Fallback>
        </mc:AlternateContent>
      </w:r>
      <w:r w:rsidR="00B32A22" w:rsidRPr="002A7859">
        <w:rPr>
          <w:noProof/>
          <w:sz w:val="24"/>
          <w:szCs w:val="24"/>
          <w:lang w:eastAsia="tr-TR"/>
        </w:rPr>
        <w:drawing>
          <wp:inline distT="0" distB="0" distL="0" distR="0" wp14:anchorId="6FE78080" wp14:editId="0A7CEAC8">
            <wp:extent cx="5486400" cy="2832735"/>
            <wp:effectExtent l="19050" t="19050" r="19050" b="24765"/>
            <wp:docPr id="46" name="صورة 1660479705"/>
            <wp:cNvGraphicFramePr/>
            <a:graphic xmlns:a="http://schemas.openxmlformats.org/drawingml/2006/main">
              <a:graphicData uri="http://schemas.openxmlformats.org/drawingml/2006/picture">
                <pic:pic xmlns:pic="http://schemas.openxmlformats.org/drawingml/2006/picture">
                  <pic:nvPicPr>
                    <pic:cNvPr id="7" name="صورة 1660479705"/>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56D4384B" w14:textId="77777777" w:rsidR="00E37ED8" w:rsidRPr="002A7859" w:rsidRDefault="00E37ED8" w:rsidP="00321FB8">
      <w:pPr>
        <w:jc w:val="both"/>
        <w:rPr>
          <w:rFonts w:asciiTheme="majorBidi" w:hAnsiTheme="majorBidi" w:cstheme="majorBidi"/>
          <w:noProof/>
          <w:sz w:val="24"/>
          <w:szCs w:val="24"/>
          <w:lang w:eastAsia="tr-TR"/>
        </w:rPr>
      </w:pPr>
      <w:r w:rsidRPr="002A7859">
        <w:rPr>
          <w:rFonts w:asciiTheme="majorBidi" w:hAnsiTheme="majorBidi" w:cstheme="majorBidi"/>
          <w:noProof/>
          <w:sz w:val="24"/>
          <w:szCs w:val="24"/>
          <w:lang w:eastAsia="tr-TR"/>
        </w:rPr>
        <w:t xml:space="preserve">Fig </w:t>
      </w:r>
      <w:r w:rsidR="00136060" w:rsidRPr="002A7859">
        <w:rPr>
          <w:rFonts w:asciiTheme="majorBidi" w:hAnsiTheme="majorBidi" w:cstheme="majorBidi"/>
          <w:noProof/>
          <w:sz w:val="24"/>
          <w:szCs w:val="24"/>
          <w:lang w:eastAsia="tr-TR"/>
        </w:rPr>
        <w:t>8</w:t>
      </w:r>
      <w:r w:rsidRPr="002A7859">
        <w:rPr>
          <w:rFonts w:asciiTheme="majorBidi" w:hAnsiTheme="majorBidi" w:cstheme="majorBidi"/>
          <w:noProof/>
          <w:sz w:val="24"/>
          <w:szCs w:val="24"/>
          <w:lang w:eastAsia="tr-TR"/>
        </w:rPr>
        <w:t xml:space="preserve"> : HPLC analysis for the</w:t>
      </w:r>
      <w:r w:rsidRPr="002A7859">
        <w:rPr>
          <w:rFonts w:asciiTheme="majorBidi" w:hAnsiTheme="majorBidi" w:cstheme="majorBidi"/>
          <w:sz w:val="24"/>
          <w:szCs w:val="24"/>
        </w:rPr>
        <w:t xml:space="preserve"> </w:t>
      </w:r>
      <w:r w:rsidRPr="002A7859">
        <w:rPr>
          <w:rFonts w:asciiTheme="majorBidi" w:hAnsiTheme="majorBidi" w:cstheme="majorBidi"/>
          <w:noProof/>
          <w:sz w:val="24"/>
          <w:szCs w:val="24"/>
          <w:lang w:eastAsia="tr-TR"/>
        </w:rPr>
        <w:t>Aflatoxin toxin produced by :</w:t>
      </w:r>
    </w:p>
    <w:p w14:paraId="26807C59" w14:textId="3754BB55" w:rsidR="00E37ED8" w:rsidRPr="002A7859" w:rsidRDefault="00E37ED8" w:rsidP="00321FB8">
      <w:pPr>
        <w:jc w:val="both"/>
        <w:rPr>
          <w:rFonts w:asciiTheme="majorBidi" w:hAnsiTheme="majorBidi" w:cstheme="majorBidi"/>
          <w:noProof/>
          <w:sz w:val="24"/>
          <w:szCs w:val="24"/>
          <w:lang w:val="en-US" w:eastAsia="tr-TR"/>
        </w:rPr>
      </w:pPr>
      <w:r w:rsidRPr="002A7859">
        <w:rPr>
          <w:rFonts w:asciiTheme="majorBidi" w:hAnsiTheme="majorBidi" w:cstheme="majorBidi"/>
          <w:noProof/>
          <w:sz w:val="24"/>
          <w:szCs w:val="24"/>
          <w:lang w:eastAsia="tr-TR"/>
        </w:rPr>
        <w:t xml:space="preserve">A : standard Aflatoxin toxic , B : </w:t>
      </w:r>
      <w:r w:rsidRPr="002A7859">
        <w:rPr>
          <w:rFonts w:asciiTheme="majorBidi" w:hAnsiTheme="majorBidi" w:cstheme="majorBidi"/>
          <w:i/>
          <w:iCs/>
          <w:noProof/>
          <w:sz w:val="24"/>
          <w:szCs w:val="24"/>
          <w:lang w:val="en-US" w:eastAsia="tr-TR"/>
        </w:rPr>
        <w:t>Alternaria</w:t>
      </w:r>
      <w:r w:rsidRPr="002A7859">
        <w:rPr>
          <w:rFonts w:asciiTheme="majorBidi" w:hAnsiTheme="majorBidi" w:cstheme="majorBidi"/>
          <w:i/>
          <w:iCs/>
          <w:noProof/>
          <w:sz w:val="24"/>
          <w:szCs w:val="24"/>
          <w:lang w:val="en-US" w:eastAsia="tr-TR" w:bidi="ar-IQ"/>
        </w:rPr>
        <w:t xml:space="preserve"> </w:t>
      </w:r>
      <w:r w:rsidR="00460EE0" w:rsidRPr="002A7859">
        <w:rPr>
          <w:rFonts w:asciiTheme="majorBidi" w:hAnsiTheme="majorBidi" w:cstheme="majorBidi"/>
          <w:i/>
          <w:iCs/>
          <w:noProof/>
          <w:sz w:val="24"/>
          <w:szCs w:val="24"/>
          <w:lang w:val="en-US" w:eastAsia="tr-TR" w:bidi="ar-IQ"/>
        </w:rPr>
        <w:t>a</w:t>
      </w:r>
      <w:r w:rsidRPr="002A7859">
        <w:rPr>
          <w:rFonts w:asciiTheme="majorBidi" w:hAnsiTheme="majorBidi" w:cstheme="majorBidi"/>
          <w:i/>
          <w:iCs/>
          <w:noProof/>
          <w:sz w:val="24"/>
          <w:szCs w:val="24"/>
          <w:lang w:val="en-US" w:eastAsia="tr-TR"/>
        </w:rPr>
        <w:t>lternata</w:t>
      </w:r>
      <w:r w:rsidRPr="002A7859">
        <w:rPr>
          <w:rFonts w:asciiTheme="majorBidi" w:hAnsiTheme="majorBidi" w:cstheme="majorBidi"/>
          <w:noProof/>
          <w:sz w:val="24"/>
          <w:szCs w:val="24"/>
          <w:lang w:eastAsia="tr-TR"/>
        </w:rPr>
        <w:t xml:space="preserve"> on PDA alone , C : </w:t>
      </w:r>
      <w:r w:rsidRPr="002A7859">
        <w:rPr>
          <w:rFonts w:asciiTheme="majorBidi" w:hAnsiTheme="majorBidi" w:cstheme="majorBidi"/>
          <w:i/>
          <w:iCs/>
          <w:noProof/>
          <w:sz w:val="24"/>
          <w:szCs w:val="24"/>
          <w:lang w:val="en-US" w:eastAsia="tr-TR"/>
        </w:rPr>
        <w:t>Alternaria</w:t>
      </w:r>
      <w:r w:rsidRPr="002A7859">
        <w:rPr>
          <w:rFonts w:asciiTheme="majorBidi" w:hAnsiTheme="majorBidi" w:cstheme="majorBidi"/>
          <w:i/>
          <w:iCs/>
          <w:noProof/>
          <w:sz w:val="24"/>
          <w:szCs w:val="24"/>
          <w:lang w:val="en-US" w:eastAsia="tr-TR" w:bidi="ar-IQ"/>
        </w:rPr>
        <w:t xml:space="preserve"> </w:t>
      </w:r>
      <w:r w:rsidR="00460EE0" w:rsidRPr="002A7859">
        <w:rPr>
          <w:rFonts w:asciiTheme="majorBidi" w:hAnsiTheme="majorBidi" w:cstheme="majorBidi"/>
          <w:i/>
          <w:iCs/>
          <w:noProof/>
          <w:sz w:val="24"/>
          <w:szCs w:val="24"/>
          <w:lang w:val="en-US" w:eastAsia="tr-TR" w:bidi="ar-IQ"/>
        </w:rPr>
        <w:t>a</w:t>
      </w:r>
      <w:r w:rsidRPr="002A7859">
        <w:rPr>
          <w:rFonts w:asciiTheme="majorBidi" w:hAnsiTheme="majorBidi" w:cstheme="majorBidi"/>
          <w:i/>
          <w:iCs/>
          <w:noProof/>
          <w:sz w:val="24"/>
          <w:szCs w:val="24"/>
          <w:lang w:val="en-US" w:eastAsia="tr-TR"/>
        </w:rPr>
        <w:t>lternata</w:t>
      </w:r>
      <w:r w:rsidRPr="002A7859">
        <w:rPr>
          <w:rFonts w:asciiTheme="majorBidi" w:hAnsiTheme="majorBidi" w:cstheme="majorBidi"/>
          <w:i/>
          <w:iCs/>
          <w:noProof/>
          <w:sz w:val="24"/>
          <w:szCs w:val="24"/>
          <w:lang w:eastAsia="tr-TR"/>
        </w:rPr>
        <w:t xml:space="preserve"> </w:t>
      </w:r>
      <w:r w:rsidRPr="002A7859">
        <w:rPr>
          <w:rFonts w:asciiTheme="majorBidi" w:hAnsiTheme="majorBidi" w:cstheme="majorBidi"/>
          <w:noProof/>
          <w:sz w:val="24"/>
          <w:szCs w:val="24"/>
          <w:lang w:eastAsia="tr-TR"/>
        </w:rPr>
        <w:t>on PDA and treated with 10% Ag-NPs.</w:t>
      </w:r>
    </w:p>
    <w:p w14:paraId="4ED5C20C"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5. Conclusion</w:t>
      </w:r>
    </w:p>
    <w:p w14:paraId="798216AE" w14:textId="4564D0F7" w:rsidR="00E376B7" w:rsidRDefault="00D42E67" w:rsidP="00D42E67">
      <w:pPr>
        <w:jc w:val="both"/>
        <w:rPr>
          <w:rFonts w:asciiTheme="majorBidi" w:hAnsiTheme="majorBidi" w:cstheme="majorBidi"/>
          <w:sz w:val="24"/>
          <w:szCs w:val="24"/>
        </w:rPr>
      </w:pPr>
      <w:r w:rsidRPr="00D42E67">
        <w:rPr>
          <w:rFonts w:asciiTheme="majorBidi" w:hAnsiTheme="majorBidi" w:cstheme="majorBidi"/>
          <w:sz w:val="24"/>
          <w:szCs w:val="24"/>
        </w:rPr>
        <w:t>Strong antifungal action and effective reduction of mycotoxin formation were demonstrated by biosynthesized silver nanoparticles made from sunflower oil. In terms of agricultural and food safety, this environmentally friendly method presents a viable substitute for chemical fungicides.</w:t>
      </w:r>
    </w:p>
    <w:p w14:paraId="4C9EB3E3" w14:textId="77777777" w:rsidR="00132B3D" w:rsidRPr="002A7859" w:rsidRDefault="00132B3D" w:rsidP="00D42E67">
      <w:pPr>
        <w:jc w:val="both"/>
        <w:rPr>
          <w:rFonts w:asciiTheme="majorBidi" w:hAnsiTheme="majorBidi" w:cstheme="majorBidi"/>
          <w:sz w:val="24"/>
          <w:szCs w:val="24"/>
          <w:rtl/>
          <w:lang w:bidi="ar-IQ"/>
        </w:rPr>
      </w:pPr>
    </w:p>
    <w:p w14:paraId="48809C2E" w14:textId="48979D6B" w:rsidR="00EE60AA" w:rsidRPr="00132B3D" w:rsidRDefault="009D5440" w:rsidP="00EE60AA">
      <w:pPr>
        <w:jc w:val="both"/>
        <w:rPr>
          <w:rFonts w:asciiTheme="majorBidi" w:hAnsiTheme="majorBidi" w:cstheme="majorBidi"/>
          <w:b/>
          <w:bCs/>
          <w:sz w:val="24"/>
          <w:szCs w:val="24"/>
          <w:lang w:val="en-GB" w:bidi="ar-IQ"/>
        </w:rPr>
      </w:pPr>
      <w:r w:rsidRPr="002A7859">
        <w:rPr>
          <w:rFonts w:asciiTheme="majorBidi" w:hAnsiTheme="majorBidi" w:cstheme="majorBidi"/>
          <w:b/>
          <w:bCs/>
          <w:sz w:val="24"/>
          <w:szCs w:val="24"/>
        </w:rPr>
        <w:t xml:space="preserve">6. References </w:t>
      </w:r>
    </w:p>
    <w:p w14:paraId="5DB648BA" w14:textId="77777777" w:rsidR="00EE60AA" w:rsidRPr="002A7859"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 xml:space="preserve">Adeleke, B. S., Ayangbenro, A. S., &amp; Babalola, O. O. (2022). </w:t>
      </w:r>
      <w:r w:rsidRPr="005F2B82">
        <w:rPr>
          <w:rFonts w:asciiTheme="majorBidi" w:hAnsiTheme="majorBidi" w:cstheme="majorBidi"/>
          <w:i/>
          <w:iCs/>
          <w:sz w:val="24"/>
          <w:szCs w:val="24"/>
        </w:rPr>
        <w:t>In vitro</w:t>
      </w:r>
      <w:r w:rsidRPr="002A7859">
        <w:rPr>
          <w:rFonts w:asciiTheme="majorBidi" w:hAnsiTheme="majorBidi" w:cstheme="majorBidi"/>
          <w:sz w:val="24"/>
          <w:szCs w:val="24"/>
        </w:rPr>
        <w:t xml:space="preserve"> screening of sunflower associated endophytic bacteria with plant growth-promoting traits. </w:t>
      </w:r>
      <w:r w:rsidRPr="002A7859">
        <w:rPr>
          <w:rFonts w:asciiTheme="majorBidi" w:hAnsiTheme="majorBidi" w:cstheme="majorBidi"/>
          <w:i/>
          <w:iCs/>
          <w:sz w:val="24"/>
          <w:szCs w:val="24"/>
        </w:rPr>
        <w:t>Frontiers in Sustainable Food Systems, 6</w:t>
      </w:r>
      <w:r w:rsidRPr="002A7859">
        <w:rPr>
          <w:rFonts w:asciiTheme="majorBidi" w:hAnsiTheme="majorBidi" w:cstheme="majorBidi"/>
          <w:sz w:val="24"/>
          <w:szCs w:val="24"/>
        </w:rPr>
        <w:t>, Article 903114.</w:t>
      </w:r>
    </w:p>
    <w:p w14:paraId="3510FA49" w14:textId="77777777" w:rsidR="00EE60AA" w:rsidRPr="002A7859"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 xml:space="preserve">Akkaya, M. (2018). Sunflower oil composition and health effects. </w:t>
      </w:r>
      <w:r w:rsidRPr="002A7859">
        <w:rPr>
          <w:rFonts w:asciiTheme="majorBidi" w:hAnsiTheme="majorBidi" w:cstheme="majorBidi"/>
          <w:i/>
          <w:iCs/>
          <w:sz w:val="24"/>
          <w:szCs w:val="24"/>
        </w:rPr>
        <w:t>Journal of Food Science</w:t>
      </w:r>
      <w:r w:rsidRPr="002A7859">
        <w:rPr>
          <w:rFonts w:asciiTheme="majorBidi" w:hAnsiTheme="majorBidi" w:cstheme="majorBidi"/>
          <w:sz w:val="24"/>
          <w:szCs w:val="24"/>
        </w:rPr>
        <w:t>, 83(5), 1234–1242.</w:t>
      </w:r>
    </w:p>
    <w:p w14:paraId="675E9FE1" w14:textId="77777777" w:rsidR="00EE60AA"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 xml:space="preserve">Al-Hajjar, S. (2015). Oil extraction techniques. </w:t>
      </w:r>
      <w:r w:rsidRPr="002A7859">
        <w:rPr>
          <w:rFonts w:asciiTheme="majorBidi" w:hAnsiTheme="majorBidi" w:cstheme="majorBidi"/>
          <w:i/>
          <w:iCs/>
          <w:sz w:val="24"/>
          <w:szCs w:val="24"/>
        </w:rPr>
        <w:t>Journal of Agricultural Chemistry</w:t>
      </w:r>
      <w:r w:rsidRPr="002A7859">
        <w:rPr>
          <w:rFonts w:asciiTheme="majorBidi" w:hAnsiTheme="majorBidi" w:cstheme="majorBidi"/>
          <w:sz w:val="24"/>
          <w:szCs w:val="24"/>
        </w:rPr>
        <w:t>, 10(2), 45–52.</w:t>
      </w:r>
    </w:p>
    <w:p w14:paraId="34286104" w14:textId="77777777" w:rsidR="00EE60AA"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Bao, X., Wang, Y., &amp; Chen, L. (2025). Silver nanoparticles: Toxicity and inhibitory effects against Aflatoxins. </w:t>
      </w:r>
      <w:r w:rsidRPr="002A7859">
        <w:rPr>
          <w:rFonts w:asciiTheme="majorBidi" w:hAnsiTheme="majorBidi" w:cstheme="majorBidi"/>
          <w:i/>
          <w:iCs/>
          <w:sz w:val="24"/>
          <w:szCs w:val="24"/>
        </w:rPr>
        <w:t>Plant Science Today</w:t>
      </w:r>
      <w:r w:rsidRPr="002A7859">
        <w:rPr>
          <w:rFonts w:asciiTheme="majorBidi" w:hAnsiTheme="majorBidi" w:cstheme="majorBidi"/>
          <w:sz w:val="24"/>
          <w:szCs w:val="24"/>
        </w:rPr>
        <w:t>, 12(1).</w:t>
      </w:r>
    </w:p>
    <w:p w14:paraId="0C1EADF9" w14:textId="77777777" w:rsidR="00EE60AA" w:rsidRPr="002A7859"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lastRenderedPageBreak/>
        <w:t>Bao, Y., Lin, L., &amp; Chen, L. (2021). Green synthesis of nanoparticles: Current developments and limitations. </w:t>
      </w:r>
      <w:r w:rsidRPr="002A7859">
        <w:rPr>
          <w:rFonts w:asciiTheme="majorBidi" w:hAnsiTheme="majorBidi" w:cstheme="majorBidi"/>
          <w:i/>
          <w:iCs/>
          <w:sz w:val="24"/>
          <w:szCs w:val="24"/>
        </w:rPr>
        <w:t>Environmental Nanotechnology, Monitoring &amp; Management</w:t>
      </w:r>
      <w:r w:rsidRPr="002A7859">
        <w:rPr>
          <w:rFonts w:asciiTheme="majorBidi" w:hAnsiTheme="majorBidi" w:cstheme="majorBidi"/>
          <w:sz w:val="24"/>
          <w:szCs w:val="24"/>
        </w:rPr>
        <w:t>, </w:t>
      </w:r>
      <w:r w:rsidRPr="002A7859">
        <w:rPr>
          <w:rFonts w:asciiTheme="majorBidi" w:hAnsiTheme="majorBidi" w:cstheme="majorBidi"/>
          <w:i/>
          <w:iCs/>
          <w:sz w:val="24"/>
          <w:szCs w:val="24"/>
        </w:rPr>
        <w:t>15</w:t>
      </w:r>
      <w:r w:rsidRPr="002A7859">
        <w:rPr>
          <w:rFonts w:asciiTheme="majorBidi" w:hAnsiTheme="majorBidi" w:cstheme="majorBidi"/>
          <w:sz w:val="24"/>
          <w:szCs w:val="24"/>
        </w:rPr>
        <w:t>, 100437. doi.org.</w:t>
      </w:r>
    </w:p>
    <w:p w14:paraId="1004E2EE" w14:textId="77777777" w:rsidR="00EE60AA" w:rsidRPr="002A7859" w:rsidRDefault="00EE60AA" w:rsidP="00510867">
      <w:pPr>
        <w:spacing w:before="80" w:after="80" w:line="360" w:lineRule="auto"/>
        <w:ind w:left="720" w:hanging="720"/>
        <w:jc w:val="lowKashida"/>
        <w:rPr>
          <w:rFonts w:asciiTheme="majorBidi" w:hAnsiTheme="majorBidi" w:cstheme="majorBidi"/>
          <w:sz w:val="24"/>
          <w:szCs w:val="24"/>
          <w:rtl/>
        </w:rPr>
      </w:pPr>
      <w:r w:rsidRPr="002A7859">
        <w:rPr>
          <w:rFonts w:asciiTheme="majorBidi" w:hAnsiTheme="majorBidi" w:cstheme="majorBidi"/>
          <w:sz w:val="24"/>
          <w:szCs w:val="24"/>
        </w:rPr>
        <w:t>Bhat, R., Rai, R. V., &amp; Karim, A. A. (2010). Mycotoxins in food and feed: Present status and future concerns. </w:t>
      </w:r>
      <w:r w:rsidRPr="002A7859">
        <w:rPr>
          <w:rFonts w:asciiTheme="majorBidi" w:hAnsiTheme="majorBidi" w:cstheme="majorBidi"/>
          <w:i/>
          <w:iCs/>
          <w:sz w:val="24"/>
          <w:szCs w:val="24"/>
        </w:rPr>
        <w:t>Food Control</w:t>
      </w:r>
      <w:r w:rsidRPr="002A7859">
        <w:rPr>
          <w:rFonts w:asciiTheme="majorBidi" w:hAnsiTheme="majorBidi" w:cstheme="majorBidi"/>
          <w:sz w:val="24"/>
          <w:szCs w:val="24"/>
        </w:rPr>
        <w:t>, </w:t>
      </w:r>
      <w:r w:rsidRPr="002A7859">
        <w:rPr>
          <w:rFonts w:asciiTheme="majorBidi" w:hAnsiTheme="majorBidi" w:cstheme="majorBidi"/>
          <w:i/>
          <w:iCs/>
          <w:sz w:val="24"/>
          <w:szCs w:val="24"/>
        </w:rPr>
        <w:t>21</w:t>
      </w:r>
      <w:r w:rsidRPr="002A7859">
        <w:rPr>
          <w:rFonts w:asciiTheme="majorBidi" w:hAnsiTheme="majorBidi" w:cstheme="majorBidi"/>
          <w:sz w:val="24"/>
          <w:szCs w:val="24"/>
        </w:rPr>
        <w:t xml:space="preserve">(4), 443–450. </w:t>
      </w:r>
    </w:p>
    <w:p w14:paraId="26828427" w14:textId="77777777" w:rsidR="00EE60AA" w:rsidRDefault="00EE60AA" w:rsidP="00510867">
      <w:pPr>
        <w:spacing w:before="80" w:after="80" w:line="360" w:lineRule="auto"/>
        <w:ind w:left="720" w:hanging="720"/>
        <w:jc w:val="lowKashida"/>
        <w:rPr>
          <w:rFonts w:asciiTheme="majorBidi" w:hAnsiTheme="majorBidi" w:cstheme="majorBidi"/>
          <w:sz w:val="24"/>
          <w:szCs w:val="24"/>
        </w:rPr>
      </w:pPr>
      <w:r w:rsidRPr="00583440">
        <w:rPr>
          <w:rFonts w:asciiTheme="majorBidi" w:hAnsiTheme="majorBidi" w:cstheme="majorBidi"/>
          <w:sz w:val="24"/>
          <w:szCs w:val="24"/>
        </w:rPr>
        <w:t>Fried, M., &amp; Duffy, P. E. (1996). Adherence of </w:t>
      </w:r>
      <w:r w:rsidRPr="00583440">
        <w:rPr>
          <w:rFonts w:asciiTheme="majorBidi" w:hAnsiTheme="majorBidi" w:cstheme="majorBidi"/>
          <w:i/>
          <w:iCs/>
          <w:sz w:val="24"/>
          <w:szCs w:val="24"/>
        </w:rPr>
        <w:t>Plasmodium falciparum</w:t>
      </w:r>
      <w:r w:rsidRPr="00583440">
        <w:rPr>
          <w:rFonts w:asciiTheme="majorBidi" w:hAnsiTheme="majorBidi" w:cstheme="majorBidi"/>
          <w:sz w:val="24"/>
          <w:szCs w:val="24"/>
        </w:rPr>
        <w:t> to chondroitin sulfate A in the human placenta. </w:t>
      </w:r>
      <w:r w:rsidRPr="00583440">
        <w:rPr>
          <w:rFonts w:asciiTheme="majorBidi" w:hAnsiTheme="majorBidi" w:cstheme="majorBidi"/>
          <w:i/>
          <w:iCs/>
          <w:sz w:val="24"/>
          <w:szCs w:val="24"/>
        </w:rPr>
        <w:t>Science</w:t>
      </w:r>
      <w:r w:rsidRPr="00583440">
        <w:rPr>
          <w:rFonts w:asciiTheme="majorBidi" w:hAnsiTheme="majorBidi" w:cstheme="majorBidi"/>
          <w:sz w:val="24"/>
          <w:szCs w:val="24"/>
        </w:rPr>
        <w:t>, </w:t>
      </w:r>
      <w:r w:rsidRPr="00583440">
        <w:rPr>
          <w:rFonts w:asciiTheme="majorBidi" w:hAnsiTheme="majorBidi" w:cstheme="majorBidi"/>
          <w:i/>
          <w:iCs/>
          <w:sz w:val="24"/>
          <w:szCs w:val="24"/>
        </w:rPr>
        <w:t>272</w:t>
      </w:r>
      <w:r w:rsidRPr="00583440">
        <w:rPr>
          <w:rFonts w:asciiTheme="majorBidi" w:hAnsiTheme="majorBidi" w:cstheme="majorBidi"/>
          <w:sz w:val="24"/>
          <w:szCs w:val="24"/>
        </w:rPr>
        <w:t>(5267), 1502-1504.</w:t>
      </w:r>
    </w:p>
    <w:p w14:paraId="78148EC7" w14:textId="77777777" w:rsidR="00EE60AA"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Hassan, S., Jalal, J., Al-Abodi, E. E., &amp; Ahmed, K. (2021). Silver nanoparticles as antifungal agents against </w:t>
      </w:r>
      <w:r w:rsidRPr="002A7859">
        <w:rPr>
          <w:rFonts w:asciiTheme="majorBidi" w:hAnsiTheme="majorBidi" w:cstheme="majorBidi"/>
          <w:i/>
          <w:iCs/>
          <w:sz w:val="24"/>
          <w:szCs w:val="24"/>
        </w:rPr>
        <w:t>Aspergillus flavus</w:t>
      </w:r>
      <w:r w:rsidRPr="002A7859">
        <w:rPr>
          <w:rFonts w:asciiTheme="majorBidi" w:hAnsiTheme="majorBidi" w:cstheme="majorBidi"/>
          <w:sz w:val="24"/>
          <w:szCs w:val="24"/>
        </w:rPr>
        <w:t> and their impact on aflatoxin B1 production. </w:t>
      </w:r>
      <w:r w:rsidRPr="002A7859">
        <w:rPr>
          <w:rFonts w:asciiTheme="majorBidi" w:hAnsiTheme="majorBidi" w:cstheme="majorBidi"/>
          <w:i/>
          <w:iCs/>
          <w:sz w:val="24"/>
          <w:szCs w:val="24"/>
        </w:rPr>
        <w:t>Food Control</w:t>
      </w:r>
      <w:r w:rsidRPr="002A7859">
        <w:rPr>
          <w:rFonts w:asciiTheme="majorBidi" w:hAnsiTheme="majorBidi" w:cstheme="majorBidi"/>
          <w:sz w:val="24"/>
          <w:szCs w:val="24"/>
        </w:rPr>
        <w:t>, </w:t>
      </w:r>
      <w:r w:rsidRPr="002A7859">
        <w:rPr>
          <w:rFonts w:asciiTheme="majorBidi" w:hAnsiTheme="majorBidi" w:cstheme="majorBidi"/>
          <w:i/>
          <w:iCs/>
          <w:sz w:val="24"/>
          <w:szCs w:val="24"/>
        </w:rPr>
        <w:t>125</w:t>
      </w:r>
      <w:r w:rsidRPr="002A7859">
        <w:rPr>
          <w:rFonts w:asciiTheme="majorBidi" w:hAnsiTheme="majorBidi" w:cstheme="majorBidi"/>
          <w:sz w:val="24"/>
          <w:szCs w:val="24"/>
        </w:rPr>
        <w:t xml:space="preserve">, 107982. </w:t>
      </w:r>
    </w:p>
    <w:p w14:paraId="47B6547D" w14:textId="77777777" w:rsidR="00EE60AA"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Inbaia, S. B., Al-Thani, R. F., &amp; Al-Naimi, S. I. (2022). Antimicrobial Activity of Silver Nanoparticles against Fungi and Mycotoxins. </w:t>
      </w:r>
      <w:r w:rsidRPr="002A7859">
        <w:rPr>
          <w:rFonts w:asciiTheme="majorBidi" w:hAnsiTheme="majorBidi" w:cstheme="majorBidi"/>
          <w:i/>
          <w:iCs/>
          <w:sz w:val="24"/>
          <w:szCs w:val="24"/>
        </w:rPr>
        <w:t>Toxins</w:t>
      </w:r>
      <w:r w:rsidRPr="002A7859">
        <w:rPr>
          <w:rFonts w:asciiTheme="majorBidi" w:hAnsiTheme="majorBidi" w:cstheme="majorBidi"/>
          <w:sz w:val="24"/>
          <w:szCs w:val="24"/>
        </w:rPr>
        <w:t>, </w:t>
      </w:r>
      <w:r w:rsidRPr="002A7859">
        <w:rPr>
          <w:rFonts w:asciiTheme="majorBidi" w:hAnsiTheme="majorBidi" w:cstheme="majorBidi"/>
          <w:i/>
          <w:iCs/>
          <w:sz w:val="24"/>
          <w:szCs w:val="24"/>
        </w:rPr>
        <w:t>14</w:t>
      </w:r>
      <w:r w:rsidRPr="002A7859">
        <w:rPr>
          <w:rFonts w:asciiTheme="majorBidi" w:hAnsiTheme="majorBidi" w:cstheme="majorBidi"/>
          <w:sz w:val="24"/>
          <w:szCs w:val="24"/>
        </w:rPr>
        <w:t xml:space="preserve">(3), 156. </w:t>
      </w:r>
    </w:p>
    <w:p w14:paraId="38D42457" w14:textId="77777777" w:rsidR="00EE60AA" w:rsidRPr="002A7859"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 xml:space="preserve">Iravani, S. (2011). Green synthesis of metal nanoparticles. </w:t>
      </w:r>
      <w:r w:rsidRPr="002A7859">
        <w:rPr>
          <w:rFonts w:asciiTheme="majorBidi" w:hAnsiTheme="majorBidi" w:cstheme="majorBidi"/>
          <w:i/>
          <w:iCs/>
          <w:sz w:val="24"/>
          <w:szCs w:val="24"/>
        </w:rPr>
        <w:t>Green Chemistry</w:t>
      </w:r>
      <w:r w:rsidRPr="002A7859">
        <w:rPr>
          <w:rFonts w:asciiTheme="majorBidi" w:hAnsiTheme="majorBidi" w:cstheme="majorBidi"/>
          <w:sz w:val="24"/>
          <w:szCs w:val="24"/>
        </w:rPr>
        <w:t>, 13, 2638–2650.</w:t>
      </w:r>
    </w:p>
    <w:p w14:paraId="3D82EAC8" w14:textId="77777777" w:rsidR="00EE60AA" w:rsidRDefault="00EE60AA" w:rsidP="00510867">
      <w:pPr>
        <w:spacing w:before="80" w:after="80" w:line="360" w:lineRule="auto"/>
        <w:ind w:left="720" w:hanging="720"/>
        <w:jc w:val="lowKashida"/>
        <w:rPr>
          <w:rFonts w:asciiTheme="majorBidi" w:eastAsia="Times New Roman" w:hAnsiTheme="majorBidi" w:cstheme="majorBidi"/>
          <w:color w:val="0A0A0A"/>
          <w:sz w:val="24"/>
          <w:szCs w:val="24"/>
          <w:lang w:eastAsia="tr-TR"/>
        </w:rPr>
      </w:pPr>
      <w:r w:rsidRPr="007A7989">
        <w:rPr>
          <w:rFonts w:asciiTheme="majorBidi" w:eastAsia="Times New Roman" w:hAnsiTheme="majorBidi" w:cstheme="majorBidi"/>
          <w:color w:val="0A0A0A"/>
          <w:sz w:val="24"/>
          <w:szCs w:val="24"/>
          <w:lang w:eastAsia="tr-TR"/>
        </w:rPr>
        <w:t>Jagtap, U. B</w:t>
      </w:r>
      <w:r w:rsidRPr="007A7989">
        <w:rPr>
          <w:rFonts w:asciiTheme="majorBidi" w:eastAsia="Times New Roman" w:hAnsiTheme="majorBidi" w:cstheme="majorBidi"/>
          <w:color w:val="0A0A0A"/>
          <w:sz w:val="24"/>
          <w:szCs w:val="24"/>
          <w:rtl/>
          <w:lang w:eastAsia="tr-TR"/>
        </w:rPr>
        <w:t xml:space="preserve">., &amp; </w:t>
      </w:r>
      <w:r w:rsidRPr="007A7989">
        <w:rPr>
          <w:rFonts w:asciiTheme="majorBidi" w:eastAsia="Times New Roman" w:hAnsiTheme="majorBidi" w:cstheme="majorBidi"/>
          <w:color w:val="0A0A0A"/>
          <w:sz w:val="24"/>
          <w:szCs w:val="24"/>
          <w:lang w:eastAsia="tr-TR"/>
        </w:rPr>
        <w:t>Bapat, V. A. (2021). Spectroscopic characterization of nanoparticles synthesized using plant extracts. In</w:t>
      </w:r>
      <w:r w:rsidRPr="007A7989">
        <w:rPr>
          <w:rFonts w:asciiTheme="majorBidi" w:eastAsia="Times New Roman" w:hAnsiTheme="majorBidi" w:cstheme="majorBidi"/>
          <w:color w:val="0A0A0A"/>
          <w:sz w:val="24"/>
          <w:szCs w:val="24"/>
          <w:rtl/>
          <w:lang w:eastAsia="tr-TR"/>
        </w:rPr>
        <w:t> </w:t>
      </w:r>
      <w:r w:rsidRPr="007A7989">
        <w:rPr>
          <w:rFonts w:asciiTheme="majorBidi" w:eastAsia="Times New Roman" w:hAnsiTheme="majorBidi" w:cstheme="majorBidi"/>
          <w:i/>
          <w:iCs/>
          <w:color w:val="0A0A0A"/>
          <w:sz w:val="24"/>
          <w:szCs w:val="24"/>
          <w:lang w:eastAsia="tr-TR"/>
        </w:rPr>
        <w:t>Nanoparticles in Medicine and Healthcare</w:t>
      </w:r>
      <w:r w:rsidRPr="007A7989">
        <w:rPr>
          <w:rFonts w:asciiTheme="majorBidi" w:eastAsia="Times New Roman" w:hAnsiTheme="majorBidi" w:cstheme="majorBidi"/>
          <w:color w:val="0A0A0A"/>
          <w:sz w:val="24"/>
          <w:szCs w:val="24"/>
          <w:rtl/>
          <w:lang w:eastAsia="tr-TR"/>
        </w:rPr>
        <w:t> (</w:t>
      </w:r>
      <w:r w:rsidRPr="007A7989">
        <w:rPr>
          <w:rFonts w:asciiTheme="majorBidi" w:eastAsia="Times New Roman" w:hAnsiTheme="majorBidi" w:cstheme="majorBidi"/>
          <w:color w:val="0A0A0A"/>
          <w:sz w:val="24"/>
          <w:szCs w:val="24"/>
          <w:lang w:eastAsia="tr-TR"/>
        </w:rPr>
        <w:t xml:space="preserve">pp. 115-135). Academic Press. </w:t>
      </w:r>
    </w:p>
    <w:p w14:paraId="6275D7F1" w14:textId="77777777" w:rsidR="00EE60AA" w:rsidRDefault="00EE60AA" w:rsidP="00510867">
      <w:pPr>
        <w:spacing w:before="80" w:after="80" w:line="360" w:lineRule="auto"/>
        <w:ind w:left="720" w:hanging="720"/>
        <w:jc w:val="lowKashida"/>
        <w:rPr>
          <w:rFonts w:asciiTheme="majorBidi" w:eastAsia="Times New Roman" w:hAnsiTheme="majorBidi" w:cstheme="majorBidi"/>
          <w:color w:val="0A0A0A"/>
          <w:sz w:val="24"/>
          <w:szCs w:val="24"/>
          <w:lang w:eastAsia="tr-TR"/>
        </w:rPr>
      </w:pPr>
      <w:r w:rsidRPr="002A7859">
        <w:rPr>
          <w:rFonts w:asciiTheme="majorBidi" w:eastAsia="Times New Roman" w:hAnsiTheme="majorBidi" w:cstheme="majorBidi"/>
          <w:color w:val="0A0A0A"/>
          <w:sz w:val="24"/>
          <w:szCs w:val="24"/>
          <w:lang w:eastAsia="tr-TR"/>
        </w:rPr>
        <w:t>Kah, G., Adelusi, O. A., Gbashi, S., Awafong, P. M., &amp; Njobeh, P. B. (2025). Antifungal and antimycotoxin activity of plant-synthesized silver nanoparticles (AgNPs): A novel approach to combat food contamination. </w:t>
      </w:r>
      <w:r w:rsidRPr="002A7859">
        <w:rPr>
          <w:rFonts w:asciiTheme="majorBidi" w:eastAsia="Times New Roman" w:hAnsiTheme="majorBidi" w:cstheme="majorBidi"/>
          <w:i/>
          <w:iCs/>
          <w:color w:val="0A0A0A"/>
          <w:sz w:val="24"/>
          <w:szCs w:val="24"/>
          <w:lang w:eastAsia="tr-TR"/>
        </w:rPr>
        <w:t>Food Microbiology</w:t>
      </w:r>
      <w:r w:rsidRPr="002A7859">
        <w:rPr>
          <w:rFonts w:asciiTheme="majorBidi" w:eastAsia="Times New Roman" w:hAnsiTheme="majorBidi" w:cstheme="majorBidi"/>
          <w:color w:val="0A0A0A"/>
          <w:sz w:val="24"/>
          <w:szCs w:val="24"/>
          <w:lang w:eastAsia="tr-TR"/>
        </w:rPr>
        <w:t xml:space="preserve">, 135, Article 104979. </w:t>
      </w:r>
    </w:p>
    <w:p w14:paraId="5DEA17DC" w14:textId="77777777" w:rsidR="00EE60AA"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 xml:space="preserve">Lawrence, D. P., Rotondo, F., &amp; Gannibal, P. B. (2016). Biodiversity and taxonomy of the genus Alternaria. Studies in Mycology, 85, 29–60. </w:t>
      </w:r>
    </w:p>
    <w:p w14:paraId="78A22E8E" w14:textId="77777777" w:rsidR="00EE60AA"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Li, X., Li, R., Wang, X., &amp; Zhang, Y. (2024). Bioactive compounds, antioxidant activities and flavor profiles of sunflower oil processed by different techniques: A review. </w:t>
      </w:r>
      <w:r w:rsidRPr="002A7859">
        <w:rPr>
          <w:rFonts w:asciiTheme="majorBidi" w:hAnsiTheme="majorBidi" w:cstheme="majorBidi"/>
          <w:i/>
          <w:iCs/>
          <w:sz w:val="24"/>
          <w:szCs w:val="24"/>
        </w:rPr>
        <w:t>Food Chemistry</w:t>
      </w:r>
      <w:r w:rsidRPr="002A7859">
        <w:rPr>
          <w:rFonts w:asciiTheme="majorBidi" w:hAnsiTheme="majorBidi" w:cstheme="majorBidi"/>
          <w:sz w:val="24"/>
          <w:szCs w:val="24"/>
        </w:rPr>
        <w:t>, </w:t>
      </w:r>
      <w:r w:rsidRPr="002A7859">
        <w:rPr>
          <w:rFonts w:asciiTheme="majorBidi" w:hAnsiTheme="majorBidi" w:cstheme="majorBidi"/>
          <w:i/>
          <w:iCs/>
          <w:sz w:val="24"/>
          <w:szCs w:val="24"/>
        </w:rPr>
        <w:t>430</w:t>
      </w:r>
      <w:r w:rsidRPr="002A7859">
        <w:rPr>
          <w:rFonts w:asciiTheme="majorBidi" w:hAnsiTheme="majorBidi" w:cstheme="majorBidi"/>
          <w:sz w:val="24"/>
          <w:szCs w:val="24"/>
        </w:rPr>
        <w:t>, 137021.</w:t>
      </w:r>
    </w:p>
    <w:p w14:paraId="00E10369" w14:textId="77777777" w:rsidR="00EE60AA" w:rsidRPr="002A7859"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 xml:space="preserve">Liu, L., Jin, H., Sun, L., Ma, S., &amp; Lin, R. (2012). Determination of aflatoxins in medicinal herbs by high-performance liquid chromatography–tandem mass spectrometry. </w:t>
      </w:r>
      <w:r w:rsidRPr="002A7859">
        <w:rPr>
          <w:rFonts w:asciiTheme="majorBidi" w:hAnsiTheme="majorBidi" w:cstheme="majorBidi"/>
          <w:i/>
          <w:iCs/>
          <w:sz w:val="24"/>
          <w:szCs w:val="24"/>
        </w:rPr>
        <w:t>Phytochemical Analysis, 23</w:t>
      </w:r>
      <w:r w:rsidRPr="002A7859">
        <w:rPr>
          <w:rFonts w:asciiTheme="majorBidi" w:hAnsiTheme="majorBidi" w:cstheme="majorBidi"/>
          <w:sz w:val="24"/>
          <w:szCs w:val="24"/>
        </w:rPr>
        <w:t xml:space="preserve">(5), 469–476. </w:t>
      </w:r>
    </w:p>
    <w:p w14:paraId="534C9681" w14:textId="77777777" w:rsidR="00EE60AA"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Murashige, T. and Skoog, F. (1962) A Revised Medium for Rapid Growth and Bio Assays with Tobacco Tissue Cultures. Plant Physiology, 15, 473-497.</w:t>
      </w:r>
    </w:p>
    <w:p w14:paraId="3C36B805" w14:textId="77777777" w:rsidR="00EE60AA" w:rsidRDefault="00EE60AA" w:rsidP="00510867">
      <w:pPr>
        <w:spacing w:before="80" w:after="80" w:line="360" w:lineRule="auto"/>
        <w:ind w:left="720" w:hanging="720"/>
        <w:jc w:val="lowKashida"/>
        <w:rPr>
          <w:rFonts w:asciiTheme="majorBidi" w:eastAsia="Times New Roman" w:hAnsiTheme="majorBidi" w:cstheme="majorBidi"/>
          <w:color w:val="0A0A0A"/>
          <w:sz w:val="24"/>
          <w:szCs w:val="24"/>
          <w:lang w:eastAsia="tr-TR"/>
        </w:rPr>
      </w:pPr>
      <w:r w:rsidRPr="002A7859">
        <w:rPr>
          <w:rFonts w:asciiTheme="majorBidi" w:eastAsia="Times New Roman" w:hAnsiTheme="majorBidi" w:cstheme="majorBidi"/>
          <w:color w:val="0A0A0A"/>
          <w:sz w:val="24"/>
          <w:szCs w:val="24"/>
          <w:lang w:eastAsia="tr-TR"/>
        </w:rPr>
        <w:t>Ndube, N., van der Westhuizen, L., &amp; Shephard, G. S. (2009). Determination of fumonisins in maize by HPLC with ultraviolet detection of </w:t>
      </w:r>
      <w:r w:rsidRPr="002A7859">
        <w:rPr>
          <w:rFonts w:asciiTheme="majorBidi" w:eastAsia="Times New Roman" w:hAnsiTheme="majorBidi" w:cstheme="majorBidi"/>
          <w:i/>
          <w:iCs/>
          <w:color w:val="0A0A0A"/>
          <w:sz w:val="24"/>
          <w:szCs w:val="24"/>
          <w:lang w:eastAsia="tr-TR"/>
        </w:rPr>
        <w:t>o</w:t>
      </w:r>
      <w:r w:rsidRPr="002A7859">
        <w:rPr>
          <w:rFonts w:asciiTheme="majorBidi" w:eastAsia="Times New Roman" w:hAnsiTheme="majorBidi" w:cstheme="majorBidi"/>
          <w:color w:val="0A0A0A"/>
          <w:sz w:val="24"/>
          <w:szCs w:val="24"/>
          <w:lang w:eastAsia="tr-TR"/>
        </w:rPr>
        <w:t>-phthaldialdehyde derivatives. </w:t>
      </w:r>
      <w:r w:rsidRPr="002A7859">
        <w:rPr>
          <w:rFonts w:asciiTheme="majorBidi" w:eastAsia="Times New Roman" w:hAnsiTheme="majorBidi" w:cstheme="majorBidi"/>
          <w:i/>
          <w:iCs/>
          <w:color w:val="0A0A0A"/>
          <w:sz w:val="24"/>
          <w:szCs w:val="24"/>
          <w:lang w:eastAsia="tr-TR"/>
        </w:rPr>
        <w:t>Mycotoxin Research</w:t>
      </w:r>
      <w:r w:rsidRPr="002A7859">
        <w:rPr>
          <w:rFonts w:asciiTheme="majorBidi" w:eastAsia="Times New Roman" w:hAnsiTheme="majorBidi" w:cstheme="majorBidi"/>
          <w:color w:val="0A0A0A"/>
          <w:sz w:val="24"/>
          <w:szCs w:val="24"/>
          <w:lang w:eastAsia="tr-TR"/>
        </w:rPr>
        <w:t xml:space="preserve">, 25(4), 225–228. </w:t>
      </w:r>
    </w:p>
    <w:p w14:paraId="1A3E5F00" w14:textId="77777777" w:rsidR="00EE60AA"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lastRenderedPageBreak/>
        <w:t>Rai, M., Yadav, A., &amp; Gade, A. (2009). Silver nanoparticles as a new generation of antimicrobials. </w:t>
      </w:r>
      <w:r w:rsidRPr="002A7859">
        <w:rPr>
          <w:rFonts w:asciiTheme="majorBidi" w:hAnsiTheme="majorBidi" w:cstheme="majorBidi"/>
          <w:i/>
          <w:iCs/>
          <w:sz w:val="24"/>
          <w:szCs w:val="24"/>
        </w:rPr>
        <w:t>Biotechnology Advances</w:t>
      </w:r>
      <w:r w:rsidRPr="002A7859">
        <w:rPr>
          <w:rFonts w:asciiTheme="majorBidi" w:hAnsiTheme="majorBidi" w:cstheme="majorBidi"/>
          <w:sz w:val="24"/>
          <w:szCs w:val="24"/>
        </w:rPr>
        <w:t>, </w:t>
      </w:r>
      <w:r w:rsidRPr="002A7859">
        <w:rPr>
          <w:rFonts w:asciiTheme="majorBidi" w:hAnsiTheme="majorBidi" w:cstheme="majorBidi"/>
          <w:i/>
          <w:iCs/>
          <w:sz w:val="24"/>
          <w:szCs w:val="24"/>
        </w:rPr>
        <w:t>27</w:t>
      </w:r>
      <w:r w:rsidRPr="002A7859">
        <w:rPr>
          <w:rFonts w:asciiTheme="majorBidi" w:hAnsiTheme="majorBidi" w:cstheme="majorBidi"/>
          <w:sz w:val="24"/>
          <w:szCs w:val="24"/>
        </w:rPr>
        <w:t xml:space="preserve">(1), 76–83. </w:t>
      </w:r>
    </w:p>
    <w:p w14:paraId="65CF4BE7" w14:textId="77777777" w:rsidR="00EE60AA" w:rsidRDefault="00EE60AA" w:rsidP="00510867">
      <w:pPr>
        <w:spacing w:before="80" w:after="80" w:line="360" w:lineRule="auto"/>
        <w:ind w:left="720" w:hanging="720"/>
        <w:jc w:val="lowKashida"/>
        <w:rPr>
          <w:rFonts w:asciiTheme="majorBidi" w:eastAsia="Times New Roman" w:hAnsiTheme="majorBidi" w:cstheme="majorBidi"/>
          <w:color w:val="0A0A0A"/>
          <w:sz w:val="24"/>
          <w:szCs w:val="24"/>
          <w:lang w:eastAsia="tr-TR"/>
        </w:rPr>
      </w:pPr>
      <w:r w:rsidRPr="002A7859">
        <w:rPr>
          <w:rFonts w:asciiTheme="majorBidi" w:eastAsia="Times New Roman" w:hAnsiTheme="majorBidi" w:cstheme="majorBidi"/>
          <w:color w:val="0A0A0A"/>
          <w:sz w:val="24"/>
          <w:szCs w:val="24"/>
          <w:lang w:eastAsia="tr-TR"/>
        </w:rPr>
        <w:t>Rico, C. M., Majumdar, S., Duarte-Gardea, M., Peralta-Videa, J. R., &amp; Gardea-Torresdey, J. L. (2011). Interaction of nanoparticles with edible plants and their possible implications in the food chain. </w:t>
      </w:r>
      <w:r w:rsidRPr="002A7859">
        <w:rPr>
          <w:rFonts w:asciiTheme="majorBidi" w:eastAsia="Times New Roman" w:hAnsiTheme="majorBidi" w:cstheme="majorBidi"/>
          <w:i/>
          <w:iCs/>
          <w:color w:val="0A0A0A"/>
          <w:sz w:val="24"/>
          <w:szCs w:val="24"/>
          <w:lang w:eastAsia="tr-TR"/>
        </w:rPr>
        <w:t>Journal of Agricultural and Food Chemistry</w:t>
      </w:r>
      <w:r w:rsidRPr="002A7859">
        <w:rPr>
          <w:rFonts w:asciiTheme="majorBidi" w:eastAsia="Times New Roman" w:hAnsiTheme="majorBidi" w:cstheme="majorBidi"/>
          <w:color w:val="0A0A0A"/>
          <w:sz w:val="24"/>
          <w:szCs w:val="24"/>
          <w:lang w:eastAsia="tr-TR"/>
        </w:rPr>
        <w:t>, </w:t>
      </w:r>
      <w:r w:rsidRPr="002A7859">
        <w:rPr>
          <w:rFonts w:asciiTheme="majorBidi" w:eastAsia="Times New Roman" w:hAnsiTheme="majorBidi" w:cstheme="majorBidi"/>
          <w:i/>
          <w:iCs/>
          <w:color w:val="0A0A0A"/>
          <w:sz w:val="24"/>
          <w:szCs w:val="24"/>
          <w:lang w:eastAsia="tr-TR"/>
        </w:rPr>
        <w:t>59</w:t>
      </w:r>
      <w:r w:rsidRPr="002A7859">
        <w:rPr>
          <w:rFonts w:asciiTheme="majorBidi" w:eastAsia="Times New Roman" w:hAnsiTheme="majorBidi" w:cstheme="majorBidi"/>
          <w:color w:val="0A0A0A"/>
          <w:sz w:val="24"/>
          <w:szCs w:val="24"/>
          <w:lang w:eastAsia="tr-TR"/>
        </w:rPr>
        <w:t xml:space="preserve">(8), 3485–3498. </w:t>
      </w:r>
    </w:p>
    <w:p w14:paraId="5C9FD301" w14:textId="77777777" w:rsidR="00EE60AA" w:rsidRPr="002A7859"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 xml:space="preserve">Shafey, A. (2020). Green synthesis of nanoparticles. </w:t>
      </w:r>
      <w:r w:rsidRPr="002A7859">
        <w:rPr>
          <w:rFonts w:asciiTheme="majorBidi" w:hAnsiTheme="majorBidi" w:cstheme="majorBidi"/>
          <w:i/>
          <w:iCs/>
          <w:sz w:val="24"/>
          <w:szCs w:val="24"/>
        </w:rPr>
        <w:t>Green Chemistry Letters</w:t>
      </w:r>
      <w:r w:rsidRPr="002A7859">
        <w:rPr>
          <w:rFonts w:asciiTheme="majorBidi" w:hAnsiTheme="majorBidi" w:cstheme="majorBidi"/>
          <w:sz w:val="24"/>
          <w:szCs w:val="24"/>
        </w:rPr>
        <w:t>, 13(2), 123–140.</w:t>
      </w:r>
    </w:p>
    <w:p w14:paraId="7A6EB164" w14:textId="77777777" w:rsidR="00EE60AA" w:rsidRPr="003C3800" w:rsidRDefault="00EE60AA" w:rsidP="00510867">
      <w:pPr>
        <w:spacing w:before="80" w:after="80" w:line="360" w:lineRule="auto"/>
        <w:ind w:left="720" w:hanging="720"/>
        <w:jc w:val="lowKashida"/>
        <w:rPr>
          <w:rFonts w:asciiTheme="majorBidi" w:hAnsiTheme="majorBidi" w:cstheme="majorBidi"/>
          <w:sz w:val="24"/>
          <w:szCs w:val="24"/>
        </w:rPr>
      </w:pPr>
      <w:r w:rsidRPr="003C3800">
        <w:rPr>
          <w:rFonts w:asciiTheme="majorBidi" w:hAnsiTheme="majorBidi" w:cstheme="majorBidi"/>
          <w:sz w:val="24"/>
          <w:szCs w:val="24"/>
        </w:rPr>
        <w:t xml:space="preserve">Villarino, M., Melgarejo, P., &amp; De Cal, A. (2019). Characterization of </w:t>
      </w:r>
      <w:r w:rsidRPr="003C3800">
        <w:rPr>
          <w:rFonts w:asciiTheme="majorBidi" w:hAnsiTheme="majorBidi" w:cstheme="majorBidi"/>
          <w:i/>
          <w:iCs/>
          <w:sz w:val="24"/>
          <w:szCs w:val="24"/>
        </w:rPr>
        <w:t>Fusarium solani</w:t>
      </w:r>
      <w:r w:rsidRPr="003C3800">
        <w:rPr>
          <w:rFonts w:asciiTheme="majorBidi" w:hAnsiTheme="majorBidi" w:cstheme="majorBidi"/>
          <w:sz w:val="24"/>
          <w:szCs w:val="24"/>
        </w:rPr>
        <w:t xml:space="preserve"> populations associated with wilt and root rot of strawberry plants in Spain. Phytopathology, 109(6), 1084–1095. </w:t>
      </w:r>
    </w:p>
    <w:p w14:paraId="039835FA" w14:textId="36A80F2F" w:rsidR="00EE60AA" w:rsidRPr="003C3800" w:rsidRDefault="00EE60AA" w:rsidP="00510867">
      <w:pPr>
        <w:spacing w:before="80" w:after="80" w:line="360" w:lineRule="auto"/>
        <w:ind w:left="720" w:hanging="720"/>
        <w:jc w:val="lowKashida"/>
        <w:rPr>
          <w:rFonts w:asciiTheme="majorBidi" w:hAnsiTheme="majorBidi" w:cstheme="majorBidi"/>
          <w:sz w:val="24"/>
          <w:szCs w:val="24"/>
        </w:rPr>
      </w:pPr>
      <w:r w:rsidRPr="003C3800">
        <w:rPr>
          <w:rFonts w:asciiTheme="majorBidi" w:hAnsiTheme="majorBidi" w:cstheme="majorBidi"/>
          <w:sz w:val="24"/>
          <w:szCs w:val="24"/>
        </w:rPr>
        <w:t>Vivaldo-Lima, E., Hernández-Hortelano, E</w:t>
      </w:r>
      <w:r w:rsidRPr="003C3800">
        <w:rPr>
          <w:rFonts w:asciiTheme="majorBidi" w:hAnsiTheme="majorBidi" w:cstheme="majorBidi"/>
          <w:sz w:val="24"/>
          <w:szCs w:val="24"/>
          <w:rtl/>
        </w:rPr>
        <w:t xml:space="preserve">., &amp; </w:t>
      </w:r>
      <w:r w:rsidRPr="003C3800">
        <w:rPr>
          <w:rFonts w:asciiTheme="majorBidi" w:hAnsiTheme="majorBidi" w:cstheme="majorBidi"/>
          <w:sz w:val="24"/>
          <w:szCs w:val="24"/>
        </w:rPr>
        <w:t>Morales-García, C. (2017). Multiscale computational fluid dynamics–population balance model coupled system to simulate liquid–liquid suspension polymerization in a stirred vessel</w:t>
      </w:r>
      <w:r w:rsidRPr="003C3800">
        <w:rPr>
          <w:rFonts w:asciiTheme="majorBidi" w:hAnsiTheme="majorBidi" w:cstheme="majorBidi"/>
          <w:sz w:val="24"/>
          <w:szCs w:val="24"/>
          <w:rtl/>
        </w:rPr>
        <w:t>. </w:t>
      </w:r>
      <w:r w:rsidRPr="003C3800">
        <w:rPr>
          <w:rFonts w:asciiTheme="majorBidi" w:hAnsiTheme="majorBidi" w:cstheme="majorBidi"/>
          <w:i/>
          <w:iCs/>
          <w:sz w:val="24"/>
          <w:szCs w:val="24"/>
        </w:rPr>
        <w:t>Industrial</w:t>
      </w:r>
      <w:r w:rsidRPr="003C3800">
        <w:rPr>
          <w:rFonts w:asciiTheme="majorBidi" w:hAnsiTheme="majorBidi" w:cstheme="majorBidi"/>
          <w:i/>
          <w:iCs/>
          <w:sz w:val="24"/>
          <w:szCs w:val="24"/>
          <w:rtl/>
        </w:rPr>
        <w:t xml:space="preserve"> &amp; </w:t>
      </w:r>
      <w:r w:rsidRPr="003C3800">
        <w:rPr>
          <w:rFonts w:asciiTheme="majorBidi" w:hAnsiTheme="majorBidi" w:cstheme="majorBidi"/>
          <w:i/>
          <w:iCs/>
          <w:sz w:val="24"/>
          <w:szCs w:val="24"/>
        </w:rPr>
        <w:t>Engineering Chemistry Research</w:t>
      </w:r>
      <w:r w:rsidR="00510867">
        <w:rPr>
          <w:rFonts w:asciiTheme="majorBidi" w:hAnsiTheme="majorBidi" w:cstheme="majorBidi" w:hint="cs"/>
          <w:sz w:val="24"/>
          <w:szCs w:val="24"/>
          <w:rtl/>
        </w:rPr>
        <w:t>.</w:t>
      </w:r>
      <w:r w:rsidRPr="003C3800">
        <w:rPr>
          <w:rFonts w:asciiTheme="majorBidi" w:hAnsiTheme="majorBidi" w:cstheme="majorBidi"/>
          <w:sz w:val="24"/>
          <w:szCs w:val="24"/>
          <w:rtl/>
        </w:rPr>
        <w:t> </w:t>
      </w:r>
      <w:r w:rsidRPr="003C3800">
        <w:rPr>
          <w:rFonts w:asciiTheme="majorBidi" w:hAnsiTheme="majorBidi" w:cstheme="majorBidi"/>
          <w:i/>
          <w:iCs/>
          <w:sz w:val="24"/>
          <w:szCs w:val="24"/>
          <w:rtl/>
        </w:rPr>
        <w:t>56</w:t>
      </w:r>
      <w:r w:rsidRPr="003C3800">
        <w:rPr>
          <w:rFonts w:asciiTheme="majorBidi" w:hAnsiTheme="majorBidi" w:cstheme="majorBidi"/>
          <w:sz w:val="24"/>
          <w:szCs w:val="24"/>
          <w:rtl/>
        </w:rPr>
        <w:t xml:space="preserve">(16), 4668-4681. </w:t>
      </w:r>
    </w:p>
    <w:p w14:paraId="015B79FC" w14:textId="77777777" w:rsidR="00EE60AA" w:rsidRDefault="00EE60AA" w:rsidP="00510867">
      <w:pPr>
        <w:spacing w:before="80" w:after="80" w:line="360" w:lineRule="auto"/>
        <w:ind w:left="720" w:hanging="720"/>
        <w:jc w:val="lowKashida"/>
        <w:rPr>
          <w:rFonts w:asciiTheme="majorBidi" w:eastAsia="Times New Roman" w:hAnsiTheme="majorBidi" w:cstheme="majorBidi"/>
          <w:color w:val="0A0A0A"/>
          <w:sz w:val="24"/>
          <w:szCs w:val="24"/>
          <w:lang w:eastAsia="tr-TR"/>
        </w:rPr>
      </w:pPr>
      <w:r w:rsidRPr="003C3800">
        <w:rPr>
          <w:rFonts w:asciiTheme="majorBidi" w:eastAsia="Times New Roman" w:hAnsiTheme="majorBidi" w:cstheme="majorBidi"/>
          <w:color w:val="0A0A0A"/>
          <w:sz w:val="24"/>
          <w:szCs w:val="24"/>
          <w:lang w:eastAsia="tr-TR"/>
        </w:rPr>
        <w:t>Wang, J., Wang, Y., Zhang, X., Feng, Y., Wang, W., &amp; Li, L. (2023).Antifungal mechanisms of silver nanoparticles on mycotoxin biosynthetic genes and secondary metabolism in filamentous fungi. </w:t>
      </w:r>
      <w:r w:rsidRPr="003C3800">
        <w:rPr>
          <w:rFonts w:asciiTheme="majorBidi" w:eastAsia="Times New Roman" w:hAnsiTheme="majorBidi" w:cstheme="majorBidi"/>
          <w:i/>
          <w:iCs/>
          <w:color w:val="0A0A0A"/>
          <w:sz w:val="24"/>
          <w:szCs w:val="24"/>
          <w:lang w:eastAsia="tr-TR"/>
        </w:rPr>
        <w:t>iScience</w:t>
      </w:r>
      <w:r w:rsidRPr="003C3800">
        <w:rPr>
          <w:rFonts w:asciiTheme="majorBidi" w:eastAsia="Times New Roman" w:hAnsiTheme="majorBidi" w:cstheme="majorBidi"/>
          <w:color w:val="0A0A0A"/>
          <w:sz w:val="24"/>
          <w:szCs w:val="24"/>
          <w:lang w:eastAsia="tr-TR"/>
        </w:rPr>
        <w:t xml:space="preserve">, 26(1), Article 105936. </w:t>
      </w:r>
    </w:p>
    <w:p w14:paraId="2D637AEF" w14:textId="77777777" w:rsidR="00EE60AA" w:rsidRDefault="00EE60AA" w:rsidP="00510867">
      <w:pPr>
        <w:spacing w:before="80" w:after="80" w:line="360" w:lineRule="auto"/>
        <w:ind w:left="720" w:hanging="720"/>
        <w:jc w:val="lowKashida"/>
        <w:rPr>
          <w:rFonts w:asciiTheme="majorBidi" w:hAnsiTheme="majorBidi" w:cstheme="majorBidi"/>
          <w:sz w:val="24"/>
          <w:szCs w:val="24"/>
        </w:rPr>
      </w:pPr>
      <w:r w:rsidRPr="002A7859">
        <w:rPr>
          <w:rFonts w:asciiTheme="majorBidi" w:hAnsiTheme="majorBidi" w:cstheme="majorBidi"/>
          <w:sz w:val="24"/>
          <w:szCs w:val="24"/>
        </w:rPr>
        <w:t>Widatalla, H. A., Yassin, L. F., Alrasheid, A. A., Ahmed, S. A. R., Widdatallah, M. O., Eltilib, S. H., &amp; Mohamed, A. A. (2022). Green synthesis of silver nanoparticles using green tea leaf extract, characterization and evaluation of antimicrobial activity. Nanoscale Advances, 4(3), 911-915.</w:t>
      </w:r>
    </w:p>
    <w:p w14:paraId="5C6FFA1E" w14:textId="77777777" w:rsidR="00EE60AA" w:rsidRPr="002A7859" w:rsidRDefault="00EE60AA" w:rsidP="00510867">
      <w:pPr>
        <w:spacing w:before="80" w:after="80" w:line="360" w:lineRule="auto"/>
        <w:ind w:left="720" w:hanging="720"/>
        <w:jc w:val="lowKashida"/>
        <w:rPr>
          <w:rFonts w:asciiTheme="majorBidi" w:hAnsiTheme="majorBidi" w:cstheme="majorBidi"/>
          <w:sz w:val="24"/>
          <w:szCs w:val="24"/>
          <w:rtl/>
        </w:rPr>
      </w:pPr>
      <w:r w:rsidRPr="002A7859">
        <w:rPr>
          <w:rFonts w:asciiTheme="majorBidi" w:hAnsiTheme="majorBidi" w:cstheme="majorBidi"/>
          <w:sz w:val="24"/>
          <w:szCs w:val="24"/>
        </w:rPr>
        <w:t xml:space="preserve">Zain, M. (2011). Impact of mycotoxins. </w:t>
      </w:r>
      <w:r w:rsidRPr="002A7859">
        <w:rPr>
          <w:rFonts w:asciiTheme="majorBidi" w:hAnsiTheme="majorBidi" w:cstheme="majorBidi"/>
          <w:i/>
          <w:iCs/>
          <w:sz w:val="24"/>
          <w:szCs w:val="24"/>
        </w:rPr>
        <w:t>Comprehensive Reviews in Food Science</w:t>
      </w:r>
      <w:r w:rsidRPr="002A7859">
        <w:rPr>
          <w:rFonts w:asciiTheme="majorBidi" w:hAnsiTheme="majorBidi" w:cstheme="majorBidi"/>
          <w:sz w:val="24"/>
          <w:szCs w:val="24"/>
        </w:rPr>
        <w:t>, 10(5), 333–350.</w:t>
      </w:r>
    </w:p>
    <w:p w14:paraId="2BD5A58F" w14:textId="77777777" w:rsidR="009B4059" w:rsidRPr="002A7859" w:rsidRDefault="009B4059" w:rsidP="00510867">
      <w:pPr>
        <w:bidi/>
        <w:spacing w:before="80" w:after="80" w:line="360" w:lineRule="auto"/>
        <w:ind w:left="720" w:hanging="720"/>
        <w:jc w:val="lowKashida"/>
        <w:rPr>
          <w:rFonts w:asciiTheme="majorBidi" w:hAnsiTheme="majorBidi" w:cstheme="majorBidi"/>
          <w:sz w:val="24"/>
          <w:szCs w:val="24"/>
        </w:rPr>
      </w:pPr>
    </w:p>
    <w:sectPr w:rsidR="009B4059" w:rsidRPr="002A7859" w:rsidSect="00175178">
      <w:headerReference w:type="even" r:id="rId32"/>
      <w:headerReference w:type="default" r:id="rId33"/>
      <w:footerReference w:type="even" r:id="rId34"/>
      <w:footerReference w:type="default" r:id="rId35"/>
      <w:headerReference w:type="first" r:id="rId36"/>
      <w:footerReference w:type="first" r:id="rId37"/>
      <w:pgSz w:w="11906" w:h="16838" w:code="9"/>
      <w:pgMar w:top="1411" w:right="1699"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20AE" w14:textId="77777777" w:rsidR="00ED0DC4" w:rsidRDefault="00ED0DC4" w:rsidP="00907235">
      <w:pPr>
        <w:spacing w:after="0" w:line="240" w:lineRule="auto"/>
      </w:pPr>
      <w:r>
        <w:separator/>
      </w:r>
    </w:p>
  </w:endnote>
  <w:endnote w:type="continuationSeparator" w:id="0">
    <w:p w14:paraId="52E1DB40" w14:textId="77777777" w:rsidR="00ED0DC4" w:rsidRDefault="00ED0DC4" w:rsidP="0090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29D1" w14:textId="77777777" w:rsidR="00132B3D" w:rsidRDefault="00132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145101"/>
      <w:docPartObj>
        <w:docPartGallery w:val="Page Numbers (Bottom of Page)"/>
        <w:docPartUnique/>
      </w:docPartObj>
    </w:sdtPr>
    <w:sdtEndPr>
      <w:rPr>
        <w:noProof/>
      </w:rPr>
    </w:sdtEndPr>
    <w:sdtContent>
      <w:p w14:paraId="1BFF79EB" w14:textId="29B01C49" w:rsidR="00907235" w:rsidRDefault="00907235">
        <w:pPr>
          <w:pStyle w:val="Footer"/>
          <w:jc w:val="center"/>
        </w:pPr>
        <w:r>
          <w:fldChar w:fldCharType="begin"/>
        </w:r>
        <w:r>
          <w:instrText xml:space="preserve"> PAGE   \* MERGEFORMAT </w:instrText>
        </w:r>
        <w:r>
          <w:fldChar w:fldCharType="separate"/>
        </w:r>
        <w:r w:rsidR="00510867">
          <w:rPr>
            <w:noProof/>
          </w:rPr>
          <w:t>1</w:t>
        </w:r>
        <w:r w:rsidR="00510867">
          <w:rPr>
            <w:noProof/>
          </w:rPr>
          <w:t>7</w:t>
        </w:r>
        <w:r>
          <w:rPr>
            <w:noProof/>
          </w:rPr>
          <w:fldChar w:fldCharType="end"/>
        </w:r>
      </w:p>
    </w:sdtContent>
  </w:sdt>
  <w:p w14:paraId="0D8376B0" w14:textId="77777777" w:rsidR="00907235" w:rsidRDefault="00907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D89F" w14:textId="77777777" w:rsidR="00132B3D" w:rsidRDefault="00132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016D" w14:textId="77777777" w:rsidR="00ED0DC4" w:rsidRDefault="00ED0DC4" w:rsidP="00907235">
      <w:pPr>
        <w:spacing w:after="0" w:line="240" w:lineRule="auto"/>
      </w:pPr>
      <w:r>
        <w:separator/>
      </w:r>
    </w:p>
  </w:footnote>
  <w:footnote w:type="continuationSeparator" w:id="0">
    <w:p w14:paraId="5AF131F6" w14:textId="77777777" w:rsidR="00ED0DC4" w:rsidRDefault="00ED0DC4" w:rsidP="00907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58AE" w14:textId="5F9236D5" w:rsidR="00132B3D" w:rsidRDefault="00132B3D">
    <w:pPr>
      <w:pStyle w:val="Header"/>
    </w:pPr>
    <w:r>
      <w:rPr>
        <w:noProof/>
      </w:rPr>
      <w:pict w14:anchorId="552DF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76532" o:spid="_x0000_s1026" type="#_x0000_t136" style="position:absolute;margin-left:0;margin-top:0;width:537.85pt;height:101.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D755" w14:textId="0C291110" w:rsidR="00132B3D" w:rsidRDefault="00132B3D">
    <w:pPr>
      <w:pStyle w:val="Header"/>
    </w:pPr>
    <w:r>
      <w:rPr>
        <w:noProof/>
      </w:rPr>
      <w:pict w14:anchorId="0C574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76533" o:spid="_x0000_s1027" type="#_x0000_t136" style="position:absolute;margin-left:0;margin-top:0;width:537.85pt;height:101.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A271" w14:textId="7F9C8430" w:rsidR="00132B3D" w:rsidRDefault="00132B3D">
    <w:pPr>
      <w:pStyle w:val="Header"/>
    </w:pPr>
    <w:r>
      <w:rPr>
        <w:noProof/>
      </w:rPr>
      <w:pict w14:anchorId="2D5DB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76531" o:spid="_x0000_s1025" type="#_x0000_t136" style="position:absolute;margin-left:0;margin-top:0;width:537.85pt;height:101.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200"/>
    <w:multiLevelType w:val="multilevel"/>
    <w:tmpl w:val="97B8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71BBB"/>
    <w:multiLevelType w:val="multilevel"/>
    <w:tmpl w:val="3C7C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80501"/>
    <w:multiLevelType w:val="multilevel"/>
    <w:tmpl w:val="2FE4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D26A7"/>
    <w:multiLevelType w:val="hybridMultilevel"/>
    <w:tmpl w:val="E794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23A6E"/>
    <w:multiLevelType w:val="multilevel"/>
    <w:tmpl w:val="993E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E261E"/>
    <w:multiLevelType w:val="hybridMultilevel"/>
    <w:tmpl w:val="1F6CF0A8"/>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3AF06CA"/>
    <w:multiLevelType w:val="multilevel"/>
    <w:tmpl w:val="26A6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A00E7"/>
    <w:multiLevelType w:val="multilevel"/>
    <w:tmpl w:val="B6C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4427E"/>
    <w:multiLevelType w:val="multilevel"/>
    <w:tmpl w:val="407A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25A41"/>
    <w:multiLevelType w:val="hybridMultilevel"/>
    <w:tmpl w:val="DDA2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C687B"/>
    <w:multiLevelType w:val="hybridMultilevel"/>
    <w:tmpl w:val="F210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E62F3"/>
    <w:multiLevelType w:val="hybridMultilevel"/>
    <w:tmpl w:val="C49E5EC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456F06C1"/>
    <w:multiLevelType w:val="multilevel"/>
    <w:tmpl w:val="781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45D31"/>
    <w:multiLevelType w:val="multilevel"/>
    <w:tmpl w:val="B0D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82B8A"/>
    <w:multiLevelType w:val="multilevel"/>
    <w:tmpl w:val="F25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50BE7"/>
    <w:multiLevelType w:val="hybridMultilevel"/>
    <w:tmpl w:val="8CAE52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DE92F7F"/>
    <w:multiLevelType w:val="multilevel"/>
    <w:tmpl w:val="CEA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64890"/>
    <w:multiLevelType w:val="multilevel"/>
    <w:tmpl w:val="0B48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33AEC"/>
    <w:multiLevelType w:val="multilevel"/>
    <w:tmpl w:val="5AE0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FC4B36"/>
    <w:multiLevelType w:val="hybridMultilevel"/>
    <w:tmpl w:val="78EECDD2"/>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5F592DE8"/>
    <w:multiLevelType w:val="hybridMultilevel"/>
    <w:tmpl w:val="B460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A6148"/>
    <w:multiLevelType w:val="multilevel"/>
    <w:tmpl w:val="95BE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55108"/>
    <w:multiLevelType w:val="multilevel"/>
    <w:tmpl w:val="D3C27A12"/>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119383">
    <w:abstractNumId w:val="2"/>
  </w:num>
  <w:num w:numId="2" w16cid:durableId="1363287900">
    <w:abstractNumId w:val="0"/>
  </w:num>
  <w:num w:numId="3" w16cid:durableId="288825902">
    <w:abstractNumId w:val="14"/>
  </w:num>
  <w:num w:numId="4" w16cid:durableId="268316376">
    <w:abstractNumId w:val="4"/>
  </w:num>
  <w:num w:numId="5" w16cid:durableId="915866775">
    <w:abstractNumId w:val="13"/>
  </w:num>
  <w:num w:numId="6" w16cid:durableId="283122665">
    <w:abstractNumId w:val="21"/>
  </w:num>
  <w:num w:numId="7" w16cid:durableId="714963179">
    <w:abstractNumId w:val="16"/>
  </w:num>
  <w:num w:numId="8" w16cid:durableId="669019578">
    <w:abstractNumId w:val="8"/>
  </w:num>
  <w:num w:numId="9" w16cid:durableId="325478314">
    <w:abstractNumId w:val="12"/>
  </w:num>
  <w:num w:numId="10" w16cid:durableId="967977753">
    <w:abstractNumId w:val="22"/>
  </w:num>
  <w:num w:numId="11" w16cid:durableId="1681391867">
    <w:abstractNumId w:val="7"/>
  </w:num>
  <w:num w:numId="12" w16cid:durableId="1809322180">
    <w:abstractNumId w:val="6"/>
  </w:num>
  <w:num w:numId="13" w16cid:durableId="404838635">
    <w:abstractNumId w:val="1"/>
  </w:num>
  <w:num w:numId="14" w16cid:durableId="1224483332">
    <w:abstractNumId w:val="18"/>
  </w:num>
  <w:num w:numId="15" w16cid:durableId="1891914951">
    <w:abstractNumId w:val="11"/>
  </w:num>
  <w:num w:numId="16" w16cid:durableId="230388248">
    <w:abstractNumId w:val="15"/>
  </w:num>
  <w:num w:numId="17" w16cid:durableId="588928613">
    <w:abstractNumId w:val="19"/>
  </w:num>
  <w:num w:numId="18" w16cid:durableId="1905527535">
    <w:abstractNumId w:val="3"/>
  </w:num>
  <w:num w:numId="19" w16cid:durableId="105736021">
    <w:abstractNumId w:val="9"/>
  </w:num>
  <w:num w:numId="20" w16cid:durableId="977497562">
    <w:abstractNumId w:val="20"/>
  </w:num>
  <w:num w:numId="21" w16cid:durableId="1093624335">
    <w:abstractNumId w:val="10"/>
  </w:num>
  <w:num w:numId="22" w16cid:durableId="1785803002">
    <w:abstractNumId w:val="17"/>
  </w:num>
  <w:num w:numId="23" w16cid:durableId="1672876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B2D"/>
    <w:rsid w:val="00017638"/>
    <w:rsid w:val="00031884"/>
    <w:rsid w:val="00041D60"/>
    <w:rsid w:val="000536EA"/>
    <w:rsid w:val="00061243"/>
    <w:rsid w:val="000613D9"/>
    <w:rsid w:val="00071599"/>
    <w:rsid w:val="000862CE"/>
    <w:rsid w:val="000A61E3"/>
    <w:rsid w:val="000B6E80"/>
    <w:rsid w:val="000C1987"/>
    <w:rsid w:val="000C2CA9"/>
    <w:rsid w:val="000D5C97"/>
    <w:rsid w:val="000D7109"/>
    <w:rsid w:val="000F12C0"/>
    <w:rsid w:val="000F4EA5"/>
    <w:rsid w:val="00107B0A"/>
    <w:rsid w:val="001131AA"/>
    <w:rsid w:val="0011784E"/>
    <w:rsid w:val="001217D7"/>
    <w:rsid w:val="00125AFD"/>
    <w:rsid w:val="00132B3D"/>
    <w:rsid w:val="00136060"/>
    <w:rsid w:val="00142630"/>
    <w:rsid w:val="0014579B"/>
    <w:rsid w:val="00157FD9"/>
    <w:rsid w:val="00170ED0"/>
    <w:rsid w:val="00175178"/>
    <w:rsid w:val="001767D2"/>
    <w:rsid w:val="001932E6"/>
    <w:rsid w:val="001C2710"/>
    <w:rsid w:val="001C5C9E"/>
    <w:rsid w:val="001D281A"/>
    <w:rsid w:val="001D422F"/>
    <w:rsid w:val="00212D1A"/>
    <w:rsid w:val="0023265B"/>
    <w:rsid w:val="002352FA"/>
    <w:rsid w:val="0024071B"/>
    <w:rsid w:val="002453A0"/>
    <w:rsid w:val="00285A99"/>
    <w:rsid w:val="00292622"/>
    <w:rsid w:val="0029706D"/>
    <w:rsid w:val="002A7859"/>
    <w:rsid w:val="002B2B2D"/>
    <w:rsid w:val="002B6F75"/>
    <w:rsid w:val="002C3EAA"/>
    <w:rsid w:val="002E176A"/>
    <w:rsid w:val="002E3E4D"/>
    <w:rsid w:val="00321FB8"/>
    <w:rsid w:val="0032227E"/>
    <w:rsid w:val="003246E0"/>
    <w:rsid w:val="003278AA"/>
    <w:rsid w:val="0033239B"/>
    <w:rsid w:val="00332F9A"/>
    <w:rsid w:val="003346AC"/>
    <w:rsid w:val="003367B4"/>
    <w:rsid w:val="00353977"/>
    <w:rsid w:val="00374FFD"/>
    <w:rsid w:val="00383778"/>
    <w:rsid w:val="00395B42"/>
    <w:rsid w:val="00395CB2"/>
    <w:rsid w:val="003B4DEB"/>
    <w:rsid w:val="003C3800"/>
    <w:rsid w:val="003D3673"/>
    <w:rsid w:val="003E2D04"/>
    <w:rsid w:val="00412765"/>
    <w:rsid w:val="00416B24"/>
    <w:rsid w:val="00425821"/>
    <w:rsid w:val="0043109D"/>
    <w:rsid w:val="00432D31"/>
    <w:rsid w:val="00450B28"/>
    <w:rsid w:val="00453082"/>
    <w:rsid w:val="00457488"/>
    <w:rsid w:val="004574C7"/>
    <w:rsid w:val="00460B68"/>
    <w:rsid w:val="00460EE0"/>
    <w:rsid w:val="00461B42"/>
    <w:rsid w:val="00470455"/>
    <w:rsid w:val="00493A10"/>
    <w:rsid w:val="004B55E4"/>
    <w:rsid w:val="004B7481"/>
    <w:rsid w:val="004B7C94"/>
    <w:rsid w:val="004C03F3"/>
    <w:rsid w:val="00506832"/>
    <w:rsid w:val="00507034"/>
    <w:rsid w:val="00510867"/>
    <w:rsid w:val="005200FF"/>
    <w:rsid w:val="005278B5"/>
    <w:rsid w:val="00532F46"/>
    <w:rsid w:val="00540B92"/>
    <w:rsid w:val="005503A0"/>
    <w:rsid w:val="005521AC"/>
    <w:rsid w:val="005638D2"/>
    <w:rsid w:val="00563FB9"/>
    <w:rsid w:val="00565B39"/>
    <w:rsid w:val="00570DD1"/>
    <w:rsid w:val="005711FE"/>
    <w:rsid w:val="00582B76"/>
    <w:rsid w:val="00583440"/>
    <w:rsid w:val="005A0272"/>
    <w:rsid w:val="005A1B8E"/>
    <w:rsid w:val="005C07F3"/>
    <w:rsid w:val="005D342A"/>
    <w:rsid w:val="005D6D18"/>
    <w:rsid w:val="005F2B82"/>
    <w:rsid w:val="005F4853"/>
    <w:rsid w:val="005F7E79"/>
    <w:rsid w:val="00606C24"/>
    <w:rsid w:val="00612682"/>
    <w:rsid w:val="00622732"/>
    <w:rsid w:val="00626E84"/>
    <w:rsid w:val="00651105"/>
    <w:rsid w:val="006541FC"/>
    <w:rsid w:val="00672227"/>
    <w:rsid w:val="00681BBE"/>
    <w:rsid w:val="006972BB"/>
    <w:rsid w:val="006A5481"/>
    <w:rsid w:val="006C03B9"/>
    <w:rsid w:val="006C1C2D"/>
    <w:rsid w:val="006F32E3"/>
    <w:rsid w:val="006F5DF8"/>
    <w:rsid w:val="006F6328"/>
    <w:rsid w:val="00715D49"/>
    <w:rsid w:val="007236CF"/>
    <w:rsid w:val="00727666"/>
    <w:rsid w:val="00744463"/>
    <w:rsid w:val="00747D6A"/>
    <w:rsid w:val="00753BF9"/>
    <w:rsid w:val="00755B10"/>
    <w:rsid w:val="007771B3"/>
    <w:rsid w:val="00781BCB"/>
    <w:rsid w:val="00783323"/>
    <w:rsid w:val="00785732"/>
    <w:rsid w:val="007A72CE"/>
    <w:rsid w:val="007A7989"/>
    <w:rsid w:val="007B1E8A"/>
    <w:rsid w:val="007B4760"/>
    <w:rsid w:val="007C3DF8"/>
    <w:rsid w:val="007C514A"/>
    <w:rsid w:val="007C5ADF"/>
    <w:rsid w:val="007C6CE3"/>
    <w:rsid w:val="007D1395"/>
    <w:rsid w:val="007D5B2A"/>
    <w:rsid w:val="007E68C9"/>
    <w:rsid w:val="007E7909"/>
    <w:rsid w:val="00815079"/>
    <w:rsid w:val="00816BE5"/>
    <w:rsid w:val="00817CA6"/>
    <w:rsid w:val="00850AA4"/>
    <w:rsid w:val="00854C62"/>
    <w:rsid w:val="00873DCF"/>
    <w:rsid w:val="008959C1"/>
    <w:rsid w:val="008B4E2F"/>
    <w:rsid w:val="008C1BE6"/>
    <w:rsid w:val="008E2B3E"/>
    <w:rsid w:val="008E5126"/>
    <w:rsid w:val="008E63D8"/>
    <w:rsid w:val="008E6B3E"/>
    <w:rsid w:val="008F70D3"/>
    <w:rsid w:val="008F7149"/>
    <w:rsid w:val="00907235"/>
    <w:rsid w:val="009220D8"/>
    <w:rsid w:val="009241FD"/>
    <w:rsid w:val="0093402A"/>
    <w:rsid w:val="00946120"/>
    <w:rsid w:val="009B4059"/>
    <w:rsid w:val="009C68F0"/>
    <w:rsid w:val="009C7CE4"/>
    <w:rsid w:val="009D146B"/>
    <w:rsid w:val="009D1DAE"/>
    <w:rsid w:val="009D5440"/>
    <w:rsid w:val="009F1E6E"/>
    <w:rsid w:val="009F3863"/>
    <w:rsid w:val="00A110A2"/>
    <w:rsid w:val="00A22E6F"/>
    <w:rsid w:val="00A50DFB"/>
    <w:rsid w:val="00A5118C"/>
    <w:rsid w:val="00A51B07"/>
    <w:rsid w:val="00A67985"/>
    <w:rsid w:val="00A722EB"/>
    <w:rsid w:val="00A80B7E"/>
    <w:rsid w:val="00A903CA"/>
    <w:rsid w:val="00A92167"/>
    <w:rsid w:val="00AC167F"/>
    <w:rsid w:val="00AD7DD9"/>
    <w:rsid w:val="00AE322E"/>
    <w:rsid w:val="00AF314C"/>
    <w:rsid w:val="00AF3C2E"/>
    <w:rsid w:val="00AF7B5B"/>
    <w:rsid w:val="00B01924"/>
    <w:rsid w:val="00B03736"/>
    <w:rsid w:val="00B042C1"/>
    <w:rsid w:val="00B10295"/>
    <w:rsid w:val="00B176F7"/>
    <w:rsid w:val="00B32A22"/>
    <w:rsid w:val="00B4330F"/>
    <w:rsid w:val="00B51B89"/>
    <w:rsid w:val="00B52C45"/>
    <w:rsid w:val="00B6296A"/>
    <w:rsid w:val="00B64662"/>
    <w:rsid w:val="00B760FB"/>
    <w:rsid w:val="00BD381F"/>
    <w:rsid w:val="00BF0EED"/>
    <w:rsid w:val="00BF1CDE"/>
    <w:rsid w:val="00BF6DC2"/>
    <w:rsid w:val="00C14C59"/>
    <w:rsid w:val="00C211B5"/>
    <w:rsid w:val="00C34575"/>
    <w:rsid w:val="00C55C43"/>
    <w:rsid w:val="00C55CCD"/>
    <w:rsid w:val="00CA56EF"/>
    <w:rsid w:val="00CC1C22"/>
    <w:rsid w:val="00CD7DDE"/>
    <w:rsid w:val="00CE6C47"/>
    <w:rsid w:val="00CF6AE2"/>
    <w:rsid w:val="00CF6C13"/>
    <w:rsid w:val="00D078B2"/>
    <w:rsid w:val="00D11F72"/>
    <w:rsid w:val="00D42E67"/>
    <w:rsid w:val="00D43B8E"/>
    <w:rsid w:val="00D470DE"/>
    <w:rsid w:val="00D56159"/>
    <w:rsid w:val="00D563D6"/>
    <w:rsid w:val="00D57098"/>
    <w:rsid w:val="00D75814"/>
    <w:rsid w:val="00D937A1"/>
    <w:rsid w:val="00DB3794"/>
    <w:rsid w:val="00DB3D83"/>
    <w:rsid w:val="00DD2F10"/>
    <w:rsid w:val="00DE1250"/>
    <w:rsid w:val="00E04506"/>
    <w:rsid w:val="00E0568D"/>
    <w:rsid w:val="00E135AF"/>
    <w:rsid w:val="00E376B7"/>
    <w:rsid w:val="00E37ED8"/>
    <w:rsid w:val="00E52DBB"/>
    <w:rsid w:val="00E80738"/>
    <w:rsid w:val="00E8671E"/>
    <w:rsid w:val="00E92A9A"/>
    <w:rsid w:val="00EA0E4C"/>
    <w:rsid w:val="00EA7AC8"/>
    <w:rsid w:val="00EC54D2"/>
    <w:rsid w:val="00ED0DC4"/>
    <w:rsid w:val="00ED6787"/>
    <w:rsid w:val="00EE60AA"/>
    <w:rsid w:val="00EF3501"/>
    <w:rsid w:val="00EF5B43"/>
    <w:rsid w:val="00F05594"/>
    <w:rsid w:val="00F3234F"/>
    <w:rsid w:val="00F341AE"/>
    <w:rsid w:val="00F3690D"/>
    <w:rsid w:val="00F44DB8"/>
    <w:rsid w:val="00F46731"/>
    <w:rsid w:val="00F55301"/>
    <w:rsid w:val="00F7397D"/>
    <w:rsid w:val="00F74299"/>
    <w:rsid w:val="00F864A4"/>
    <w:rsid w:val="00F957BA"/>
    <w:rsid w:val="00FA1B41"/>
    <w:rsid w:val="00FA6511"/>
    <w:rsid w:val="00FA7202"/>
    <w:rsid w:val="00FB652B"/>
    <w:rsid w:val="00FC31B5"/>
    <w:rsid w:val="00FC407C"/>
    <w:rsid w:val="00FF1FB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C30DF"/>
  <w15:docId w15:val="{ADD22AB9-113F-4C22-9907-FE427F7E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D60"/>
    <w:rPr>
      <w:rFonts w:ascii="Tahoma" w:hAnsi="Tahoma" w:cs="Tahoma"/>
      <w:sz w:val="16"/>
      <w:szCs w:val="16"/>
    </w:rPr>
  </w:style>
  <w:style w:type="paragraph" w:styleId="ListParagraph">
    <w:name w:val="List Paragraph"/>
    <w:basedOn w:val="Normal"/>
    <w:uiPriority w:val="34"/>
    <w:qFormat/>
    <w:rsid w:val="007D5B2A"/>
    <w:pPr>
      <w:ind w:left="720"/>
      <w:contextualSpacing/>
    </w:pPr>
  </w:style>
  <w:style w:type="character" w:styleId="Hyperlink">
    <w:name w:val="Hyperlink"/>
    <w:basedOn w:val="DefaultParagraphFont"/>
    <w:uiPriority w:val="99"/>
    <w:unhideWhenUsed/>
    <w:rsid w:val="007236CF"/>
    <w:rPr>
      <w:color w:val="0000FF" w:themeColor="hyperlink"/>
      <w:u w:val="single"/>
    </w:rPr>
  </w:style>
  <w:style w:type="character" w:styleId="Strong">
    <w:name w:val="Strong"/>
    <w:basedOn w:val="DefaultParagraphFont"/>
    <w:uiPriority w:val="22"/>
    <w:qFormat/>
    <w:rsid w:val="00412765"/>
    <w:rPr>
      <w:b/>
      <w:bCs/>
    </w:rPr>
  </w:style>
  <w:style w:type="character" w:styleId="Emphasis">
    <w:name w:val="Emphasis"/>
    <w:basedOn w:val="DefaultParagraphFont"/>
    <w:uiPriority w:val="20"/>
    <w:qFormat/>
    <w:rsid w:val="00412765"/>
    <w:rPr>
      <w:i/>
      <w:iCs/>
    </w:rPr>
  </w:style>
  <w:style w:type="table" w:styleId="TableGrid">
    <w:name w:val="Table Grid"/>
    <w:basedOn w:val="TableNormal"/>
    <w:uiPriority w:val="59"/>
    <w:rsid w:val="00F74299"/>
    <w:pPr>
      <w:spacing w:after="0" w:line="240" w:lineRule="auto"/>
    </w:pPr>
    <w:rPr>
      <w:rFonts w:ascii="Calibri" w:eastAsia="Calibri"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6C24"/>
    <w:rPr>
      <w:sz w:val="16"/>
      <w:szCs w:val="16"/>
    </w:rPr>
  </w:style>
  <w:style w:type="paragraph" w:styleId="CommentText">
    <w:name w:val="annotation text"/>
    <w:basedOn w:val="Normal"/>
    <w:link w:val="CommentTextChar"/>
    <w:uiPriority w:val="99"/>
    <w:semiHidden/>
    <w:unhideWhenUsed/>
    <w:rsid w:val="00606C24"/>
    <w:pPr>
      <w:spacing w:line="240" w:lineRule="auto"/>
    </w:pPr>
    <w:rPr>
      <w:sz w:val="20"/>
      <w:szCs w:val="20"/>
    </w:rPr>
  </w:style>
  <w:style w:type="character" w:customStyle="1" w:styleId="CommentTextChar">
    <w:name w:val="Comment Text Char"/>
    <w:basedOn w:val="DefaultParagraphFont"/>
    <w:link w:val="CommentText"/>
    <w:uiPriority w:val="99"/>
    <w:semiHidden/>
    <w:rsid w:val="00606C24"/>
    <w:rPr>
      <w:sz w:val="20"/>
      <w:szCs w:val="20"/>
    </w:rPr>
  </w:style>
  <w:style w:type="paragraph" w:styleId="CommentSubject">
    <w:name w:val="annotation subject"/>
    <w:basedOn w:val="CommentText"/>
    <w:next w:val="CommentText"/>
    <w:link w:val="CommentSubjectChar"/>
    <w:uiPriority w:val="99"/>
    <w:semiHidden/>
    <w:unhideWhenUsed/>
    <w:rsid w:val="00606C24"/>
    <w:rPr>
      <w:b/>
      <w:bCs/>
    </w:rPr>
  </w:style>
  <w:style w:type="character" w:customStyle="1" w:styleId="CommentSubjectChar">
    <w:name w:val="Comment Subject Char"/>
    <w:basedOn w:val="CommentTextChar"/>
    <w:link w:val="CommentSubject"/>
    <w:uiPriority w:val="99"/>
    <w:semiHidden/>
    <w:rsid w:val="00606C24"/>
    <w:rPr>
      <w:b/>
      <w:bCs/>
      <w:sz w:val="20"/>
      <w:szCs w:val="20"/>
    </w:rPr>
  </w:style>
  <w:style w:type="paragraph" w:styleId="HTMLPreformatted">
    <w:name w:val="HTML Preformatted"/>
    <w:basedOn w:val="Normal"/>
    <w:link w:val="HTMLPreformattedChar"/>
    <w:uiPriority w:val="99"/>
    <w:semiHidden/>
    <w:unhideWhenUsed/>
    <w:rsid w:val="001131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31AA"/>
    <w:rPr>
      <w:rFonts w:ascii="Consolas" w:hAnsi="Consolas"/>
      <w:sz w:val="20"/>
      <w:szCs w:val="20"/>
    </w:rPr>
  </w:style>
  <w:style w:type="character" w:customStyle="1" w:styleId="UnresolvedMention1">
    <w:name w:val="Unresolved Mention1"/>
    <w:basedOn w:val="DefaultParagraphFont"/>
    <w:uiPriority w:val="99"/>
    <w:semiHidden/>
    <w:unhideWhenUsed/>
    <w:rsid w:val="001131AA"/>
    <w:rPr>
      <w:color w:val="605E5C"/>
      <w:shd w:val="clear" w:color="auto" w:fill="E1DFDD"/>
    </w:rPr>
  </w:style>
  <w:style w:type="paragraph" w:styleId="Header">
    <w:name w:val="header"/>
    <w:basedOn w:val="Normal"/>
    <w:link w:val="HeaderChar"/>
    <w:uiPriority w:val="99"/>
    <w:unhideWhenUsed/>
    <w:rsid w:val="009072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7235"/>
  </w:style>
  <w:style w:type="paragraph" w:styleId="Footer">
    <w:name w:val="footer"/>
    <w:basedOn w:val="Normal"/>
    <w:link w:val="FooterChar"/>
    <w:uiPriority w:val="99"/>
    <w:unhideWhenUsed/>
    <w:rsid w:val="009072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7235"/>
  </w:style>
  <w:style w:type="character" w:styleId="UnresolvedMention">
    <w:name w:val="Unresolved Mention"/>
    <w:basedOn w:val="DefaultParagraphFont"/>
    <w:uiPriority w:val="99"/>
    <w:semiHidden/>
    <w:unhideWhenUsed/>
    <w:rsid w:val="00B17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927">
      <w:bodyDiv w:val="1"/>
      <w:marLeft w:val="0"/>
      <w:marRight w:val="0"/>
      <w:marTop w:val="0"/>
      <w:marBottom w:val="0"/>
      <w:divBdr>
        <w:top w:val="none" w:sz="0" w:space="0" w:color="auto"/>
        <w:left w:val="none" w:sz="0" w:space="0" w:color="auto"/>
        <w:bottom w:val="none" w:sz="0" w:space="0" w:color="auto"/>
        <w:right w:val="none" w:sz="0" w:space="0" w:color="auto"/>
      </w:divBdr>
    </w:div>
    <w:div w:id="26377092">
      <w:bodyDiv w:val="1"/>
      <w:marLeft w:val="0"/>
      <w:marRight w:val="0"/>
      <w:marTop w:val="0"/>
      <w:marBottom w:val="0"/>
      <w:divBdr>
        <w:top w:val="none" w:sz="0" w:space="0" w:color="auto"/>
        <w:left w:val="none" w:sz="0" w:space="0" w:color="auto"/>
        <w:bottom w:val="none" w:sz="0" w:space="0" w:color="auto"/>
        <w:right w:val="none" w:sz="0" w:space="0" w:color="auto"/>
      </w:divBdr>
    </w:div>
    <w:div w:id="44379912">
      <w:bodyDiv w:val="1"/>
      <w:marLeft w:val="0"/>
      <w:marRight w:val="0"/>
      <w:marTop w:val="0"/>
      <w:marBottom w:val="0"/>
      <w:divBdr>
        <w:top w:val="none" w:sz="0" w:space="0" w:color="auto"/>
        <w:left w:val="none" w:sz="0" w:space="0" w:color="auto"/>
        <w:bottom w:val="none" w:sz="0" w:space="0" w:color="auto"/>
        <w:right w:val="none" w:sz="0" w:space="0" w:color="auto"/>
      </w:divBdr>
    </w:div>
    <w:div w:id="102918050">
      <w:bodyDiv w:val="1"/>
      <w:marLeft w:val="0"/>
      <w:marRight w:val="0"/>
      <w:marTop w:val="0"/>
      <w:marBottom w:val="0"/>
      <w:divBdr>
        <w:top w:val="none" w:sz="0" w:space="0" w:color="auto"/>
        <w:left w:val="none" w:sz="0" w:space="0" w:color="auto"/>
        <w:bottom w:val="none" w:sz="0" w:space="0" w:color="auto"/>
        <w:right w:val="none" w:sz="0" w:space="0" w:color="auto"/>
      </w:divBdr>
    </w:div>
    <w:div w:id="123234397">
      <w:bodyDiv w:val="1"/>
      <w:marLeft w:val="0"/>
      <w:marRight w:val="0"/>
      <w:marTop w:val="0"/>
      <w:marBottom w:val="0"/>
      <w:divBdr>
        <w:top w:val="none" w:sz="0" w:space="0" w:color="auto"/>
        <w:left w:val="none" w:sz="0" w:space="0" w:color="auto"/>
        <w:bottom w:val="none" w:sz="0" w:space="0" w:color="auto"/>
        <w:right w:val="none" w:sz="0" w:space="0" w:color="auto"/>
      </w:divBdr>
    </w:div>
    <w:div w:id="156267466">
      <w:bodyDiv w:val="1"/>
      <w:marLeft w:val="0"/>
      <w:marRight w:val="0"/>
      <w:marTop w:val="0"/>
      <w:marBottom w:val="0"/>
      <w:divBdr>
        <w:top w:val="none" w:sz="0" w:space="0" w:color="auto"/>
        <w:left w:val="none" w:sz="0" w:space="0" w:color="auto"/>
        <w:bottom w:val="none" w:sz="0" w:space="0" w:color="auto"/>
        <w:right w:val="none" w:sz="0" w:space="0" w:color="auto"/>
      </w:divBdr>
    </w:div>
    <w:div w:id="170074407">
      <w:bodyDiv w:val="1"/>
      <w:marLeft w:val="0"/>
      <w:marRight w:val="0"/>
      <w:marTop w:val="0"/>
      <w:marBottom w:val="0"/>
      <w:divBdr>
        <w:top w:val="none" w:sz="0" w:space="0" w:color="auto"/>
        <w:left w:val="none" w:sz="0" w:space="0" w:color="auto"/>
        <w:bottom w:val="none" w:sz="0" w:space="0" w:color="auto"/>
        <w:right w:val="none" w:sz="0" w:space="0" w:color="auto"/>
      </w:divBdr>
      <w:divsChild>
        <w:div w:id="1280185055">
          <w:marLeft w:val="0"/>
          <w:marRight w:val="0"/>
          <w:marTop w:val="0"/>
          <w:marBottom w:val="0"/>
          <w:divBdr>
            <w:top w:val="none" w:sz="0" w:space="0" w:color="auto"/>
            <w:left w:val="none" w:sz="0" w:space="0" w:color="auto"/>
            <w:bottom w:val="none" w:sz="0" w:space="0" w:color="auto"/>
            <w:right w:val="none" w:sz="0" w:space="0" w:color="auto"/>
          </w:divBdr>
          <w:divsChild>
            <w:div w:id="2048798241">
              <w:marLeft w:val="0"/>
              <w:marRight w:val="0"/>
              <w:marTop w:val="0"/>
              <w:marBottom w:val="0"/>
              <w:divBdr>
                <w:top w:val="none" w:sz="0" w:space="0" w:color="auto"/>
                <w:left w:val="none" w:sz="0" w:space="0" w:color="auto"/>
                <w:bottom w:val="none" w:sz="0" w:space="0" w:color="auto"/>
                <w:right w:val="none" w:sz="0" w:space="0" w:color="auto"/>
              </w:divBdr>
              <w:divsChild>
                <w:div w:id="1192957296">
                  <w:marLeft w:val="0"/>
                  <w:marRight w:val="0"/>
                  <w:marTop w:val="0"/>
                  <w:marBottom w:val="0"/>
                  <w:divBdr>
                    <w:top w:val="none" w:sz="0" w:space="0" w:color="auto"/>
                    <w:left w:val="none" w:sz="0" w:space="0" w:color="auto"/>
                    <w:bottom w:val="none" w:sz="0" w:space="0" w:color="auto"/>
                    <w:right w:val="none" w:sz="0" w:space="0" w:color="auto"/>
                  </w:divBdr>
                  <w:divsChild>
                    <w:div w:id="1573740232">
                      <w:marLeft w:val="0"/>
                      <w:marRight w:val="0"/>
                      <w:marTop w:val="0"/>
                      <w:marBottom w:val="0"/>
                      <w:divBdr>
                        <w:top w:val="none" w:sz="0" w:space="0" w:color="auto"/>
                        <w:left w:val="none" w:sz="0" w:space="0" w:color="auto"/>
                        <w:bottom w:val="none" w:sz="0" w:space="0" w:color="auto"/>
                        <w:right w:val="none" w:sz="0" w:space="0" w:color="auto"/>
                      </w:divBdr>
                      <w:divsChild>
                        <w:div w:id="884021816">
                          <w:marLeft w:val="0"/>
                          <w:marRight w:val="0"/>
                          <w:marTop w:val="0"/>
                          <w:marBottom w:val="0"/>
                          <w:divBdr>
                            <w:top w:val="none" w:sz="0" w:space="0" w:color="auto"/>
                            <w:left w:val="none" w:sz="0" w:space="0" w:color="auto"/>
                            <w:bottom w:val="none" w:sz="0" w:space="0" w:color="auto"/>
                            <w:right w:val="none" w:sz="0" w:space="0" w:color="auto"/>
                          </w:divBdr>
                          <w:divsChild>
                            <w:div w:id="1463302636">
                              <w:marLeft w:val="0"/>
                              <w:marRight w:val="0"/>
                              <w:marTop w:val="0"/>
                              <w:marBottom w:val="0"/>
                              <w:divBdr>
                                <w:top w:val="none" w:sz="0" w:space="0" w:color="auto"/>
                                <w:left w:val="none" w:sz="0" w:space="0" w:color="auto"/>
                                <w:bottom w:val="none" w:sz="0" w:space="0" w:color="auto"/>
                                <w:right w:val="none" w:sz="0" w:space="0" w:color="auto"/>
                              </w:divBdr>
                              <w:divsChild>
                                <w:div w:id="1081949160">
                                  <w:marLeft w:val="0"/>
                                  <w:marRight w:val="0"/>
                                  <w:marTop w:val="0"/>
                                  <w:marBottom w:val="0"/>
                                  <w:divBdr>
                                    <w:top w:val="none" w:sz="0" w:space="0" w:color="auto"/>
                                    <w:left w:val="none" w:sz="0" w:space="0" w:color="auto"/>
                                    <w:bottom w:val="none" w:sz="0" w:space="0" w:color="auto"/>
                                    <w:right w:val="none" w:sz="0" w:space="0" w:color="auto"/>
                                  </w:divBdr>
                                  <w:divsChild>
                                    <w:div w:id="12366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2188">
      <w:bodyDiv w:val="1"/>
      <w:marLeft w:val="0"/>
      <w:marRight w:val="0"/>
      <w:marTop w:val="0"/>
      <w:marBottom w:val="0"/>
      <w:divBdr>
        <w:top w:val="none" w:sz="0" w:space="0" w:color="auto"/>
        <w:left w:val="none" w:sz="0" w:space="0" w:color="auto"/>
        <w:bottom w:val="none" w:sz="0" w:space="0" w:color="auto"/>
        <w:right w:val="none" w:sz="0" w:space="0" w:color="auto"/>
      </w:divBdr>
    </w:div>
    <w:div w:id="188303553">
      <w:bodyDiv w:val="1"/>
      <w:marLeft w:val="0"/>
      <w:marRight w:val="0"/>
      <w:marTop w:val="0"/>
      <w:marBottom w:val="0"/>
      <w:divBdr>
        <w:top w:val="none" w:sz="0" w:space="0" w:color="auto"/>
        <w:left w:val="none" w:sz="0" w:space="0" w:color="auto"/>
        <w:bottom w:val="none" w:sz="0" w:space="0" w:color="auto"/>
        <w:right w:val="none" w:sz="0" w:space="0" w:color="auto"/>
      </w:divBdr>
    </w:div>
    <w:div w:id="227691683">
      <w:bodyDiv w:val="1"/>
      <w:marLeft w:val="0"/>
      <w:marRight w:val="0"/>
      <w:marTop w:val="0"/>
      <w:marBottom w:val="0"/>
      <w:divBdr>
        <w:top w:val="none" w:sz="0" w:space="0" w:color="auto"/>
        <w:left w:val="none" w:sz="0" w:space="0" w:color="auto"/>
        <w:bottom w:val="none" w:sz="0" w:space="0" w:color="auto"/>
        <w:right w:val="none" w:sz="0" w:space="0" w:color="auto"/>
      </w:divBdr>
    </w:div>
    <w:div w:id="241330540">
      <w:bodyDiv w:val="1"/>
      <w:marLeft w:val="0"/>
      <w:marRight w:val="0"/>
      <w:marTop w:val="0"/>
      <w:marBottom w:val="0"/>
      <w:divBdr>
        <w:top w:val="none" w:sz="0" w:space="0" w:color="auto"/>
        <w:left w:val="none" w:sz="0" w:space="0" w:color="auto"/>
        <w:bottom w:val="none" w:sz="0" w:space="0" w:color="auto"/>
        <w:right w:val="none" w:sz="0" w:space="0" w:color="auto"/>
      </w:divBdr>
    </w:div>
    <w:div w:id="271211790">
      <w:bodyDiv w:val="1"/>
      <w:marLeft w:val="0"/>
      <w:marRight w:val="0"/>
      <w:marTop w:val="0"/>
      <w:marBottom w:val="0"/>
      <w:divBdr>
        <w:top w:val="none" w:sz="0" w:space="0" w:color="auto"/>
        <w:left w:val="none" w:sz="0" w:space="0" w:color="auto"/>
        <w:bottom w:val="none" w:sz="0" w:space="0" w:color="auto"/>
        <w:right w:val="none" w:sz="0" w:space="0" w:color="auto"/>
      </w:divBdr>
    </w:div>
    <w:div w:id="323704531">
      <w:bodyDiv w:val="1"/>
      <w:marLeft w:val="0"/>
      <w:marRight w:val="0"/>
      <w:marTop w:val="0"/>
      <w:marBottom w:val="0"/>
      <w:divBdr>
        <w:top w:val="none" w:sz="0" w:space="0" w:color="auto"/>
        <w:left w:val="none" w:sz="0" w:space="0" w:color="auto"/>
        <w:bottom w:val="none" w:sz="0" w:space="0" w:color="auto"/>
        <w:right w:val="none" w:sz="0" w:space="0" w:color="auto"/>
      </w:divBdr>
    </w:div>
    <w:div w:id="342170644">
      <w:bodyDiv w:val="1"/>
      <w:marLeft w:val="0"/>
      <w:marRight w:val="0"/>
      <w:marTop w:val="0"/>
      <w:marBottom w:val="0"/>
      <w:divBdr>
        <w:top w:val="none" w:sz="0" w:space="0" w:color="auto"/>
        <w:left w:val="none" w:sz="0" w:space="0" w:color="auto"/>
        <w:bottom w:val="none" w:sz="0" w:space="0" w:color="auto"/>
        <w:right w:val="none" w:sz="0" w:space="0" w:color="auto"/>
      </w:divBdr>
    </w:div>
    <w:div w:id="399256026">
      <w:bodyDiv w:val="1"/>
      <w:marLeft w:val="0"/>
      <w:marRight w:val="0"/>
      <w:marTop w:val="0"/>
      <w:marBottom w:val="0"/>
      <w:divBdr>
        <w:top w:val="none" w:sz="0" w:space="0" w:color="auto"/>
        <w:left w:val="none" w:sz="0" w:space="0" w:color="auto"/>
        <w:bottom w:val="none" w:sz="0" w:space="0" w:color="auto"/>
        <w:right w:val="none" w:sz="0" w:space="0" w:color="auto"/>
      </w:divBdr>
    </w:div>
    <w:div w:id="401217846">
      <w:bodyDiv w:val="1"/>
      <w:marLeft w:val="0"/>
      <w:marRight w:val="0"/>
      <w:marTop w:val="0"/>
      <w:marBottom w:val="0"/>
      <w:divBdr>
        <w:top w:val="none" w:sz="0" w:space="0" w:color="auto"/>
        <w:left w:val="none" w:sz="0" w:space="0" w:color="auto"/>
        <w:bottom w:val="none" w:sz="0" w:space="0" w:color="auto"/>
        <w:right w:val="none" w:sz="0" w:space="0" w:color="auto"/>
      </w:divBdr>
    </w:div>
    <w:div w:id="452135089">
      <w:bodyDiv w:val="1"/>
      <w:marLeft w:val="0"/>
      <w:marRight w:val="0"/>
      <w:marTop w:val="0"/>
      <w:marBottom w:val="0"/>
      <w:divBdr>
        <w:top w:val="none" w:sz="0" w:space="0" w:color="auto"/>
        <w:left w:val="none" w:sz="0" w:space="0" w:color="auto"/>
        <w:bottom w:val="none" w:sz="0" w:space="0" w:color="auto"/>
        <w:right w:val="none" w:sz="0" w:space="0" w:color="auto"/>
      </w:divBdr>
    </w:div>
    <w:div w:id="477378211">
      <w:bodyDiv w:val="1"/>
      <w:marLeft w:val="0"/>
      <w:marRight w:val="0"/>
      <w:marTop w:val="0"/>
      <w:marBottom w:val="0"/>
      <w:divBdr>
        <w:top w:val="none" w:sz="0" w:space="0" w:color="auto"/>
        <w:left w:val="none" w:sz="0" w:space="0" w:color="auto"/>
        <w:bottom w:val="none" w:sz="0" w:space="0" w:color="auto"/>
        <w:right w:val="none" w:sz="0" w:space="0" w:color="auto"/>
      </w:divBdr>
    </w:div>
    <w:div w:id="537199783">
      <w:bodyDiv w:val="1"/>
      <w:marLeft w:val="0"/>
      <w:marRight w:val="0"/>
      <w:marTop w:val="0"/>
      <w:marBottom w:val="0"/>
      <w:divBdr>
        <w:top w:val="none" w:sz="0" w:space="0" w:color="auto"/>
        <w:left w:val="none" w:sz="0" w:space="0" w:color="auto"/>
        <w:bottom w:val="none" w:sz="0" w:space="0" w:color="auto"/>
        <w:right w:val="none" w:sz="0" w:space="0" w:color="auto"/>
      </w:divBdr>
    </w:div>
    <w:div w:id="573780038">
      <w:bodyDiv w:val="1"/>
      <w:marLeft w:val="0"/>
      <w:marRight w:val="0"/>
      <w:marTop w:val="0"/>
      <w:marBottom w:val="0"/>
      <w:divBdr>
        <w:top w:val="none" w:sz="0" w:space="0" w:color="auto"/>
        <w:left w:val="none" w:sz="0" w:space="0" w:color="auto"/>
        <w:bottom w:val="none" w:sz="0" w:space="0" w:color="auto"/>
        <w:right w:val="none" w:sz="0" w:space="0" w:color="auto"/>
      </w:divBdr>
    </w:div>
    <w:div w:id="598753339">
      <w:bodyDiv w:val="1"/>
      <w:marLeft w:val="0"/>
      <w:marRight w:val="0"/>
      <w:marTop w:val="0"/>
      <w:marBottom w:val="0"/>
      <w:divBdr>
        <w:top w:val="none" w:sz="0" w:space="0" w:color="auto"/>
        <w:left w:val="none" w:sz="0" w:space="0" w:color="auto"/>
        <w:bottom w:val="none" w:sz="0" w:space="0" w:color="auto"/>
        <w:right w:val="none" w:sz="0" w:space="0" w:color="auto"/>
      </w:divBdr>
    </w:div>
    <w:div w:id="607464820">
      <w:bodyDiv w:val="1"/>
      <w:marLeft w:val="0"/>
      <w:marRight w:val="0"/>
      <w:marTop w:val="0"/>
      <w:marBottom w:val="0"/>
      <w:divBdr>
        <w:top w:val="none" w:sz="0" w:space="0" w:color="auto"/>
        <w:left w:val="none" w:sz="0" w:space="0" w:color="auto"/>
        <w:bottom w:val="none" w:sz="0" w:space="0" w:color="auto"/>
        <w:right w:val="none" w:sz="0" w:space="0" w:color="auto"/>
      </w:divBdr>
      <w:divsChild>
        <w:div w:id="787431276">
          <w:marLeft w:val="0"/>
          <w:marRight w:val="0"/>
          <w:marTop w:val="0"/>
          <w:marBottom w:val="0"/>
          <w:divBdr>
            <w:top w:val="none" w:sz="0" w:space="0" w:color="auto"/>
            <w:left w:val="none" w:sz="0" w:space="0" w:color="auto"/>
            <w:bottom w:val="none" w:sz="0" w:space="0" w:color="auto"/>
            <w:right w:val="none" w:sz="0" w:space="0" w:color="auto"/>
          </w:divBdr>
        </w:div>
      </w:divsChild>
    </w:div>
    <w:div w:id="629942183">
      <w:bodyDiv w:val="1"/>
      <w:marLeft w:val="0"/>
      <w:marRight w:val="0"/>
      <w:marTop w:val="0"/>
      <w:marBottom w:val="0"/>
      <w:divBdr>
        <w:top w:val="none" w:sz="0" w:space="0" w:color="auto"/>
        <w:left w:val="none" w:sz="0" w:space="0" w:color="auto"/>
        <w:bottom w:val="none" w:sz="0" w:space="0" w:color="auto"/>
        <w:right w:val="none" w:sz="0" w:space="0" w:color="auto"/>
      </w:divBdr>
      <w:divsChild>
        <w:div w:id="182280480">
          <w:marLeft w:val="0"/>
          <w:marRight w:val="0"/>
          <w:marTop w:val="0"/>
          <w:marBottom w:val="0"/>
          <w:divBdr>
            <w:top w:val="none" w:sz="0" w:space="0" w:color="auto"/>
            <w:left w:val="none" w:sz="0" w:space="0" w:color="auto"/>
            <w:bottom w:val="none" w:sz="0" w:space="0" w:color="auto"/>
            <w:right w:val="none" w:sz="0" w:space="0" w:color="auto"/>
          </w:divBdr>
          <w:divsChild>
            <w:div w:id="428820512">
              <w:marLeft w:val="0"/>
              <w:marRight w:val="0"/>
              <w:marTop w:val="0"/>
              <w:marBottom w:val="0"/>
              <w:divBdr>
                <w:top w:val="none" w:sz="0" w:space="0" w:color="auto"/>
                <w:left w:val="none" w:sz="0" w:space="0" w:color="auto"/>
                <w:bottom w:val="none" w:sz="0" w:space="0" w:color="auto"/>
                <w:right w:val="none" w:sz="0" w:space="0" w:color="auto"/>
              </w:divBdr>
              <w:divsChild>
                <w:div w:id="1694182374">
                  <w:marLeft w:val="0"/>
                  <w:marRight w:val="0"/>
                  <w:marTop w:val="0"/>
                  <w:marBottom w:val="0"/>
                  <w:divBdr>
                    <w:top w:val="none" w:sz="0" w:space="0" w:color="auto"/>
                    <w:left w:val="none" w:sz="0" w:space="0" w:color="auto"/>
                    <w:bottom w:val="none" w:sz="0" w:space="0" w:color="auto"/>
                    <w:right w:val="none" w:sz="0" w:space="0" w:color="auto"/>
                  </w:divBdr>
                </w:div>
                <w:div w:id="956983065">
                  <w:marLeft w:val="0"/>
                  <w:marRight w:val="0"/>
                  <w:marTop w:val="0"/>
                  <w:marBottom w:val="0"/>
                  <w:divBdr>
                    <w:top w:val="none" w:sz="0" w:space="0" w:color="auto"/>
                    <w:left w:val="none" w:sz="0" w:space="0" w:color="auto"/>
                    <w:bottom w:val="none" w:sz="0" w:space="0" w:color="auto"/>
                    <w:right w:val="none" w:sz="0" w:space="0" w:color="auto"/>
                  </w:divBdr>
                </w:div>
                <w:div w:id="10731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75732">
      <w:bodyDiv w:val="1"/>
      <w:marLeft w:val="0"/>
      <w:marRight w:val="0"/>
      <w:marTop w:val="0"/>
      <w:marBottom w:val="0"/>
      <w:divBdr>
        <w:top w:val="none" w:sz="0" w:space="0" w:color="auto"/>
        <w:left w:val="none" w:sz="0" w:space="0" w:color="auto"/>
        <w:bottom w:val="none" w:sz="0" w:space="0" w:color="auto"/>
        <w:right w:val="none" w:sz="0" w:space="0" w:color="auto"/>
      </w:divBdr>
      <w:divsChild>
        <w:div w:id="1099642718">
          <w:marLeft w:val="0"/>
          <w:marRight w:val="0"/>
          <w:marTop w:val="0"/>
          <w:marBottom w:val="0"/>
          <w:divBdr>
            <w:top w:val="none" w:sz="0" w:space="0" w:color="auto"/>
            <w:left w:val="none" w:sz="0" w:space="0" w:color="auto"/>
            <w:bottom w:val="none" w:sz="0" w:space="0" w:color="auto"/>
            <w:right w:val="none" w:sz="0" w:space="0" w:color="auto"/>
          </w:divBdr>
          <w:divsChild>
            <w:div w:id="2023891208">
              <w:marLeft w:val="0"/>
              <w:marRight w:val="0"/>
              <w:marTop w:val="0"/>
              <w:marBottom w:val="0"/>
              <w:divBdr>
                <w:top w:val="none" w:sz="0" w:space="0" w:color="auto"/>
                <w:left w:val="none" w:sz="0" w:space="0" w:color="auto"/>
                <w:bottom w:val="none" w:sz="0" w:space="0" w:color="auto"/>
                <w:right w:val="none" w:sz="0" w:space="0" w:color="auto"/>
              </w:divBdr>
              <w:divsChild>
                <w:div w:id="1762602642">
                  <w:marLeft w:val="0"/>
                  <w:marRight w:val="0"/>
                  <w:marTop w:val="0"/>
                  <w:marBottom w:val="0"/>
                  <w:divBdr>
                    <w:top w:val="none" w:sz="0" w:space="0" w:color="auto"/>
                    <w:left w:val="none" w:sz="0" w:space="0" w:color="auto"/>
                    <w:bottom w:val="none" w:sz="0" w:space="0" w:color="auto"/>
                    <w:right w:val="none" w:sz="0" w:space="0" w:color="auto"/>
                  </w:divBdr>
                </w:div>
                <w:div w:id="521479236">
                  <w:marLeft w:val="0"/>
                  <w:marRight w:val="0"/>
                  <w:marTop w:val="0"/>
                  <w:marBottom w:val="0"/>
                  <w:divBdr>
                    <w:top w:val="none" w:sz="0" w:space="0" w:color="auto"/>
                    <w:left w:val="none" w:sz="0" w:space="0" w:color="auto"/>
                    <w:bottom w:val="none" w:sz="0" w:space="0" w:color="auto"/>
                    <w:right w:val="none" w:sz="0" w:space="0" w:color="auto"/>
                  </w:divBdr>
                </w:div>
                <w:div w:id="2772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06727">
      <w:bodyDiv w:val="1"/>
      <w:marLeft w:val="0"/>
      <w:marRight w:val="0"/>
      <w:marTop w:val="0"/>
      <w:marBottom w:val="0"/>
      <w:divBdr>
        <w:top w:val="none" w:sz="0" w:space="0" w:color="auto"/>
        <w:left w:val="none" w:sz="0" w:space="0" w:color="auto"/>
        <w:bottom w:val="none" w:sz="0" w:space="0" w:color="auto"/>
        <w:right w:val="none" w:sz="0" w:space="0" w:color="auto"/>
      </w:divBdr>
      <w:divsChild>
        <w:div w:id="1095318670">
          <w:marLeft w:val="0"/>
          <w:marRight w:val="0"/>
          <w:marTop w:val="0"/>
          <w:marBottom w:val="0"/>
          <w:divBdr>
            <w:top w:val="none" w:sz="0" w:space="0" w:color="auto"/>
            <w:left w:val="none" w:sz="0" w:space="0" w:color="auto"/>
            <w:bottom w:val="none" w:sz="0" w:space="0" w:color="auto"/>
            <w:right w:val="none" w:sz="0" w:space="0" w:color="auto"/>
          </w:divBdr>
          <w:divsChild>
            <w:div w:id="909852575">
              <w:marLeft w:val="0"/>
              <w:marRight w:val="0"/>
              <w:marTop w:val="0"/>
              <w:marBottom w:val="0"/>
              <w:divBdr>
                <w:top w:val="none" w:sz="0" w:space="0" w:color="auto"/>
                <w:left w:val="none" w:sz="0" w:space="0" w:color="auto"/>
                <w:bottom w:val="none" w:sz="0" w:space="0" w:color="auto"/>
                <w:right w:val="none" w:sz="0" w:space="0" w:color="auto"/>
              </w:divBdr>
              <w:divsChild>
                <w:div w:id="937250299">
                  <w:marLeft w:val="0"/>
                  <w:marRight w:val="0"/>
                  <w:marTop w:val="0"/>
                  <w:marBottom w:val="0"/>
                  <w:divBdr>
                    <w:top w:val="none" w:sz="0" w:space="0" w:color="auto"/>
                    <w:left w:val="none" w:sz="0" w:space="0" w:color="auto"/>
                    <w:bottom w:val="none" w:sz="0" w:space="0" w:color="auto"/>
                    <w:right w:val="none" w:sz="0" w:space="0" w:color="auto"/>
                  </w:divBdr>
                  <w:divsChild>
                    <w:div w:id="454720092">
                      <w:marLeft w:val="0"/>
                      <w:marRight w:val="0"/>
                      <w:marTop w:val="0"/>
                      <w:marBottom w:val="0"/>
                      <w:divBdr>
                        <w:top w:val="none" w:sz="0" w:space="0" w:color="auto"/>
                        <w:left w:val="none" w:sz="0" w:space="0" w:color="auto"/>
                        <w:bottom w:val="none" w:sz="0" w:space="0" w:color="auto"/>
                        <w:right w:val="none" w:sz="0" w:space="0" w:color="auto"/>
                      </w:divBdr>
                      <w:divsChild>
                        <w:div w:id="1885602243">
                          <w:marLeft w:val="0"/>
                          <w:marRight w:val="0"/>
                          <w:marTop w:val="0"/>
                          <w:marBottom w:val="0"/>
                          <w:divBdr>
                            <w:top w:val="none" w:sz="0" w:space="0" w:color="auto"/>
                            <w:left w:val="none" w:sz="0" w:space="0" w:color="auto"/>
                            <w:bottom w:val="none" w:sz="0" w:space="0" w:color="auto"/>
                            <w:right w:val="none" w:sz="0" w:space="0" w:color="auto"/>
                          </w:divBdr>
                          <w:divsChild>
                            <w:div w:id="682511682">
                              <w:marLeft w:val="0"/>
                              <w:marRight w:val="0"/>
                              <w:marTop w:val="0"/>
                              <w:marBottom w:val="0"/>
                              <w:divBdr>
                                <w:top w:val="none" w:sz="0" w:space="0" w:color="auto"/>
                                <w:left w:val="none" w:sz="0" w:space="0" w:color="auto"/>
                                <w:bottom w:val="none" w:sz="0" w:space="0" w:color="auto"/>
                                <w:right w:val="none" w:sz="0" w:space="0" w:color="auto"/>
                              </w:divBdr>
                              <w:divsChild>
                                <w:div w:id="1337807498">
                                  <w:marLeft w:val="0"/>
                                  <w:marRight w:val="0"/>
                                  <w:marTop w:val="0"/>
                                  <w:marBottom w:val="0"/>
                                  <w:divBdr>
                                    <w:top w:val="none" w:sz="0" w:space="0" w:color="auto"/>
                                    <w:left w:val="none" w:sz="0" w:space="0" w:color="auto"/>
                                    <w:bottom w:val="none" w:sz="0" w:space="0" w:color="auto"/>
                                    <w:right w:val="none" w:sz="0" w:space="0" w:color="auto"/>
                                  </w:divBdr>
                                  <w:divsChild>
                                    <w:div w:id="7207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553835">
      <w:bodyDiv w:val="1"/>
      <w:marLeft w:val="0"/>
      <w:marRight w:val="0"/>
      <w:marTop w:val="0"/>
      <w:marBottom w:val="0"/>
      <w:divBdr>
        <w:top w:val="none" w:sz="0" w:space="0" w:color="auto"/>
        <w:left w:val="none" w:sz="0" w:space="0" w:color="auto"/>
        <w:bottom w:val="none" w:sz="0" w:space="0" w:color="auto"/>
        <w:right w:val="none" w:sz="0" w:space="0" w:color="auto"/>
      </w:divBdr>
      <w:divsChild>
        <w:div w:id="361631921">
          <w:marLeft w:val="0"/>
          <w:marRight w:val="0"/>
          <w:marTop w:val="0"/>
          <w:marBottom w:val="0"/>
          <w:divBdr>
            <w:top w:val="none" w:sz="0" w:space="0" w:color="auto"/>
            <w:left w:val="none" w:sz="0" w:space="0" w:color="auto"/>
            <w:bottom w:val="none" w:sz="0" w:space="0" w:color="auto"/>
            <w:right w:val="none" w:sz="0" w:space="0" w:color="auto"/>
          </w:divBdr>
          <w:divsChild>
            <w:div w:id="413207163">
              <w:marLeft w:val="0"/>
              <w:marRight w:val="0"/>
              <w:marTop w:val="0"/>
              <w:marBottom w:val="0"/>
              <w:divBdr>
                <w:top w:val="none" w:sz="0" w:space="0" w:color="auto"/>
                <w:left w:val="none" w:sz="0" w:space="0" w:color="auto"/>
                <w:bottom w:val="none" w:sz="0" w:space="0" w:color="auto"/>
                <w:right w:val="none" w:sz="0" w:space="0" w:color="auto"/>
              </w:divBdr>
              <w:divsChild>
                <w:div w:id="1557468245">
                  <w:marLeft w:val="0"/>
                  <w:marRight w:val="0"/>
                  <w:marTop w:val="0"/>
                  <w:marBottom w:val="0"/>
                  <w:divBdr>
                    <w:top w:val="none" w:sz="0" w:space="0" w:color="auto"/>
                    <w:left w:val="none" w:sz="0" w:space="0" w:color="auto"/>
                    <w:bottom w:val="none" w:sz="0" w:space="0" w:color="auto"/>
                    <w:right w:val="none" w:sz="0" w:space="0" w:color="auto"/>
                  </w:divBdr>
                  <w:divsChild>
                    <w:div w:id="1178933135">
                      <w:marLeft w:val="0"/>
                      <w:marRight w:val="0"/>
                      <w:marTop w:val="0"/>
                      <w:marBottom w:val="0"/>
                      <w:divBdr>
                        <w:top w:val="none" w:sz="0" w:space="0" w:color="auto"/>
                        <w:left w:val="none" w:sz="0" w:space="0" w:color="auto"/>
                        <w:bottom w:val="none" w:sz="0" w:space="0" w:color="auto"/>
                        <w:right w:val="none" w:sz="0" w:space="0" w:color="auto"/>
                      </w:divBdr>
                      <w:divsChild>
                        <w:div w:id="96487874">
                          <w:marLeft w:val="0"/>
                          <w:marRight w:val="0"/>
                          <w:marTop w:val="0"/>
                          <w:marBottom w:val="0"/>
                          <w:divBdr>
                            <w:top w:val="none" w:sz="0" w:space="0" w:color="auto"/>
                            <w:left w:val="none" w:sz="0" w:space="0" w:color="auto"/>
                            <w:bottom w:val="none" w:sz="0" w:space="0" w:color="auto"/>
                            <w:right w:val="none" w:sz="0" w:space="0" w:color="auto"/>
                          </w:divBdr>
                          <w:divsChild>
                            <w:div w:id="773094325">
                              <w:marLeft w:val="0"/>
                              <w:marRight w:val="0"/>
                              <w:marTop w:val="0"/>
                              <w:marBottom w:val="0"/>
                              <w:divBdr>
                                <w:top w:val="none" w:sz="0" w:space="0" w:color="auto"/>
                                <w:left w:val="none" w:sz="0" w:space="0" w:color="auto"/>
                                <w:bottom w:val="none" w:sz="0" w:space="0" w:color="auto"/>
                                <w:right w:val="none" w:sz="0" w:space="0" w:color="auto"/>
                              </w:divBdr>
                              <w:divsChild>
                                <w:div w:id="1368412363">
                                  <w:marLeft w:val="0"/>
                                  <w:marRight w:val="0"/>
                                  <w:marTop w:val="0"/>
                                  <w:marBottom w:val="0"/>
                                  <w:divBdr>
                                    <w:top w:val="none" w:sz="0" w:space="0" w:color="auto"/>
                                    <w:left w:val="none" w:sz="0" w:space="0" w:color="auto"/>
                                    <w:bottom w:val="none" w:sz="0" w:space="0" w:color="auto"/>
                                    <w:right w:val="none" w:sz="0" w:space="0" w:color="auto"/>
                                  </w:divBdr>
                                  <w:divsChild>
                                    <w:div w:id="9843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16671">
          <w:marLeft w:val="0"/>
          <w:marRight w:val="0"/>
          <w:marTop w:val="240"/>
          <w:marBottom w:val="0"/>
          <w:divBdr>
            <w:top w:val="none" w:sz="0" w:space="0" w:color="auto"/>
            <w:left w:val="none" w:sz="0" w:space="0" w:color="auto"/>
            <w:bottom w:val="none" w:sz="0" w:space="0" w:color="auto"/>
            <w:right w:val="none" w:sz="0" w:space="0" w:color="auto"/>
          </w:divBdr>
          <w:divsChild>
            <w:div w:id="1484656606">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722364072">
      <w:bodyDiv w:val="1"/>
      <w:marLeft w:val="0"/>
      <w:marRight w:val="0"/>
      <w:marTop w:val="0"/>
      <w:marBottom w:val="0"/>
      <w:divBdr>
        <w:top w:val="none" w:sz="0" w:space="0" w:color="auto"/>
        <w:left w:val="none" w:sz="0" w:space="0" w:color="auto"/>
        <w:bottom w:val="none" w:sz="0" w:space="0" w:color="auto"/>
        <w:right w:val="none" w:sz="0" w:space="0" w:color="auto"/>
      </w:divBdr>
    </w:div>
    <w:div w:id="731776169">
      <w:bodyDiv w:val="1"/>
      <w:marLeft w:val="0"/>
      <w:marRight w:val="0"/>
      <w:marTop w:val="0"/>
      <w:marBottom w:val="0"/>
      <w:divBdr>
        <w:top w:val="none" w:sz="0" w:space="0" w:color="auto"/>
        <w:left w:val="none" w:sz="0" w:space="0" w:color="auto"/>
        <w:bottom w:val="none" w:sz="0" w:space="0" w:color="auto"/>
        <w:right w:val="none" w:sz="0" w:space="0" w:color="auto"/>
      </w:divBdr>
    </w:div>
    <w:div w:id="776677794">
      <w:bodyDiv w:val="1"/>
      <w:marLeft w:val="0"/>
      <w:marRight w:val="0"/>
      <w:marTop w:val="0"/>
      <w:marBottom w:val="0"/>
      <w:divBdr>
        <w:top w:val="none" w:sz="0" w:space="0" w:color="auto"/>
        <w:left w:val="none" w:sz="0" w:space="0" w:color="auto"/>
        <w:bottom w:val="none" w:sz="0" w:space="0" w:color="auto"/>
        <w:right w:val="none" w:sz="0" w:space="0" w:color="auto"/>
      </w:divBdr>
    </w:div>
    <w:div w:id="788474782">
      <w:bodyDiv w:val="1"/>
      <w:marLeft w:val="0"/>
      <w:marRight w:val="0"/>
      <w:marTop w:val="0"/>
      <w:marBottom w:val="0"/>
      <w:divBdr>
        <w:top w:val="none" w:sz="0" w:space="0" w:color="auto"/>
        <w:left w:val="none" w:sz="0" w:space="0" w:color="auto"/>
        <w:bottom w:val="none" w:sz="0" w:space="0" w:color="auto"/>
        <w:right w:val="none" w:sz="0" w:space="0" w:color="auto"/>
      </w:divBdr>
    </w:div>
    <w:div w:id="835877867">
      <w:bodyDiv w:val="1"/>
      <w:marLeft w:val="0"/>
      <w:marRight w:val="0"/>
      <w:marTop w:val="0"/>
      <w:marBottom w:val="0"/>
      <w:divBdr>
        <w:top w:val="none" w:sz="0" w:space="0" w:color="auto"/>
        <w:left w:val="none" w:sz="0" w:space="0" w:color="auto"/>
        <w:bottom w:val="none" w:sz="0" w:space="0" w:color="auto"/>
        <w:right w:val="none" w:sz="0" w:space="0" w:color="auto"/>
      </w:divBdr>
      <w:divsChild>
        <w:div w:id="604190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276993">
      <w:bodyDiv w:val="1"/>
      <w:marLeft w:val="0"/>
      <w:marRight w:val="0"/>
      <w:marTop w:val="0"/>
      <w:marBottom w:val="0"/>
      <w:divBdr>
        <w:top w:val="none" w:sz="0" w:space="0" w:color="auto"/>
        <w:left w:val="none" w:sz="0" w:space="0" w:color="auto"/>
        <w:bottom w:val="none" w:sz="0" w:space="0" w:color="auto"/>
        <w:right w:val="none" w:sz="0" w:space="0" w:color="auto"/>
      </w:divBdr>
    </w:div>
    <w:div w:id="867379272">
      <w:bodyDiv w:val="1"/>
      <w:marLeft w:val="0"/>
      <w:marRight w:val="0"/>
      <w:marTop w:val="0"/>
      <w:marBottom w:val="0"/>
      <w:divBdr>
        <w:top w:val="none" w:sz="0" w:space="0" w:color="auto"/>
        <w:left w:val="none" w:sz="0" w:space="0" w:color="auto"/>
        <w:bottom w:val="none" w:sz="0" w:space="0" w:color="auto"/>
        <w:right w:val="none" w:sz="0" w:space="0" w:color="auto"/>
      </w:divBdr>
    </w:div>
    <w:div w:id="894580914">
      <w:bodyDiv w:val="1"/>
      <w:marLeft w:val="0"/>
      <w:marRight w:val="0"/>
      <w:marTop w:val="0"/>
      <w:marBottom w:val="0"/>
      <w:divBdr>
        <w:top w:val="none" w:sz="0" w:space="0" w:color="auto"/>
        <w:left w:val="none" w:sz="0" w:space="0" w:color="auto"/>
        <w:bottom w:val="none" w:sz="0" w:space="0" w:color="auto"/>
        <w:right w:val="none" w:sz="0" w:space="0" w:color="auto"/>
      </w:divBdr>
    </w:div>
    <w:div w:id="910507726">
      <w:bodyDiv w:val="1"/>
      <w:marLeft w:val="0"/>
      <w:marRight w:val="0"/>
      <w:marTop w:val="0"/>
      <w:marBottom w:val="0"/>
      <w:divBdr>
        <w:top w:val="none" w:sz="0" w:space="0" w:color="auto"/>
        <w:left w:val="none" w:sz="0" w:space="0" w:color="auto"/>
        <w:bottom w:val="none" w:sz="0" w:space="0" w:color="auto"/>
        <w:right w:val="none" w:sz="0" w:space="0" w:color="auto"/>
      </w:divBdr>
    </w:div>
    <w:div w:id="924847034">
      <w:bodyDiv w:val="1"/>
      <w:marLeft w:val="0"/>
      <w:marRight w:val="0"/>
      <w:marTop w:val="0"/>
      <w:marBottom w:val="0"/>
      <w:divBdr>
        <w:top w:val="none" w:sz="0" w:space="0" w:color="auto"/>
        <w:left w:val="none" w:sz="0" w:space="0" w:color="auto"/>
        <w:bottom w:val="none" w:sz="0" w:space="0" w:color="auto"/>
        <w:right w:val="none" w:sz="0" w:space="0" w:color="auto"/>
      </w:divBdr>
      <w:divsChild>
        <w:div w:id="591859455">
          <w:marLeft w:val="0"/>
          <w:marRight w:val="0"/>
          <w:marTop w:val="0"/>
          <w:marBottom w:val="0"/>
          <w:divBdr>
            <w:top w:val="none" w:sz="0" w:space="0" w:color="auto"/>
            <w:left w:val="none" w:sz="0" w:space="0" w:color="auto"/>
            <w:bottom w:val="none" w:sz="0" w:space="0" w:color="auto"/>
            <w:right w:val="none" w:sz="0" w:space="0" w:color="auto"/>
          </w:divBdr>
          <w:divsChild>
            <w:div w:id="918708492">
              <w:marLeft w:val="0"/>
              <w:marRight w:val="0"/>
              <w:marTop w:val="0"/>
              <w:marBottom w:val="0"/>
              <w:divBdr>
                <w:top w:val="none" w:sz="0" w:space="0" w:color="auto"/>
                <w:left w:val="none" w:sz="0" w:space="0" w:color="auto"/>
                <w:bottom w:val="none" w:sz="0" w:space="0" w:color="auto"/>
                <w:right w:val="none" w:sz="0" w:space="0" w:color="auto"/>
              </w:divBdr>
              <w:divsChild>
                <w:div w:id="1179154048">
                  <w:marLeft w:val="0"/>
                  <w:marRight w:val="0"/>
                  <w:marTop w:val="0"/>
                  <w:marBottom w:val="0"/>
                  <w:divBdr>
                    <w:top w:val="none" w:sz="0" w:space="0" w:color="auto"/>
                    <w:left w:val="none" w:sz="0" w:space="0" w:color="auto"/>
                    <w:bottom w:val="none" w:sz="0" w:space="0" w:color="auto"/>
                    <w:right w:val="none" w:sz="0" w:space="0" w:color="auto"/>
                  </w:divBdr>
                  <w:divsChild>
                    <w:div w:id="1439985880">
                      <w:marLeft w:val="0"/>
                      <w:marRight w:val="0"/>
                      <w:marTop w:val="0"/>
                      <w:marBottom w:val="0"/>
                      <w:divBdr>
                        <w:top w:val="none" w:sz="0" w:space="0" w:color="auto"/>
                        <w:left w:val="none" w:sz="0" w:space="0" w:color="auto"/>
                        <w:bottom w:val="none" w:sz="0" w:space="0" w:color="auto"/>
                        <w:right w:val="none" w:sz="0" w:space="0" w:color="auto"/>
                      </w:divBdr>
                      <w:divsChild>
                        <w:div w:id="1550342226">
                          <w:marLeft w:val="0"/>
                          <w:marRight w:val="0"/>
                          <w:marTop w:val="0"/>
                          <w:marBottom w:val="0"/>
                          <w:divBdr>
                            <w:top w:val="none" w:sz="0" w:space="0" w:color="auto"/>
                            <w:left w:val="none" w:sz="0" w:space="0" w:color="auto"/>
                            <w:bottom w:val="none" w:sz="0" w:space="0" w:color="auto"/>
                            <w:right w:val="none" w:sz="0" w:space="0" w:color="auto"/>
                          </w:divBdr>
                          <w:divsChild>
                            <w:div w:id="989938715">
                              <w:marLeft w:val="0"/>
                              <w:marRight w:val="0"/>
                              <w:marTop w:val="0"/>
                              <w:marBottom w:val="0"/>
                              <w:divBdr>
                                <w:top w:val="none" w:sz="0" w:space="0" w:color="auto"/>
                                <w:left w:val="none" w:sz="0" w:space="0" w:color="auto"/>
                                <w:bottom w:val="none" w:sz="0" w:space="0" w:color="auto"/>
                                <w:right w:val="none" w:sz="0" w:space="0" w:color="auto"/>
                              </w:divBdr>
                              <w:divsChild>
                                <w:div w:id="252587526">
                                  <w:marLeft w:val="0"/>
                                  <w:marRight w:val="0"/>
                                  <w:marTop w:val="0"/>
                                  <w:marBottom w:val="0"/>
                                  <w:divBdr>
                                    <w:top w:val="none" w:sz="0" w:space="0" w:color="auto"/>
                                    <w:left w:val="none" w:sz="0" w:space="0" w:color="auto"/>
                                    <w:bottom w:val="none" w:sz="0" w:space="0" w:color="auto"/>
                                    <w:right w:val="none" w:sz="0" w:space="0" w:color="auto"/>
                                  </w:divBdr>
                                  <w:divsChild>
                                    <w:div w:id="10322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981482">
          <w:marLeft w:val="0"/>
          <w:marRight w:val="0"/>
          <w:marTop w:val="240"/>
          <w:marBottom w:val="0"/>
          <w:divBdr>
            <w:top w:val="none" w:sz="0" w:space="0" w:color="auto"/>
            <w:left w:val="none" w:sz="0" w:space="0" w:color="auto"/>
            <w:bottom w:val="none" w:sz="0" w:space="0" w:color="auto"/>
            <w:right w:val="none" w:sz="0" w:space="0" w:color="auto"/>
          </w:divBdr>
          <w:divsChild>
            <w:div w:id="1189291682">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980572083">
      <w:bodyDiv w:val="1"/>
      <w:marLeft w:val="0"/>
      <w:marRight w:val="0"/>
      <w:marTop w:val="0"/>
      <w:marBottom w:val="0"/>
      <w:divBdr>
        <w:top w:val="none" w:sz="0" w:space="0" w:color="auto"/>
        <w:left w:val="none" w:sz="0" w:space="0" w:color="auto"/>
        <w:bottom w:val="none" w:sz="0" w:space="0" w:color="auto"/>
        <w:right w:val="none" w:sz="0" w:space="0" w:color="auto"/>
      </w:divBdr>
    </w:div>
    <w:div w:id="996760008">
      <w:bodyDiv w:val="1"/>
      <w:marLeft w:val="0"/>
      <w:marRight w:val="0"/>
      <w:marTop w:val="0"/>
      <w:marBottom w:val="0"/>
      <w:divBdr>
        <w:top w:val="none" w:sz="0" w:space="0" w:color="auto"/>
        <w:left w:val="none" w:sz="0" w:space="0" w:color="auto"/>
        <w:bottom w:val="none" w:sz="0" w:space="0" w:color="auto"/>
        <w:right w:val="none" w:sz="0" w:space="0" w:color="auto"/>
      </w:divBdr>
    </w:div>
    <w:div w:id="1002126199">
      <w:bodyDiv w:val="1"/>
      <w:marLeft w:val="0"/>
      <w:marRight w:val="0"/>
      <w:marTop w:val="0"/>
      <w:marBottom w:val="0"/>
      <w:divBdr>
        <w:top w:val="none" w:sz="0" w:space="0" w:color="auto"/>
        <w:left w:val="none" w:sz="0" w:space="0" w:color="auto"/>
        <w:bottom w:val="none" w:sz="0" w:space="0" w:color="auto"/>
        <w:right w:val="none" w:sz="0" w:space="0" w:color="auto"/>
      </w:divBdr>
    </w:div>
    <w:div w:id="1030029484">
      <w:bodyDiv w:val="1"/>
      <w:marLeft w:val="0"/>
      <w:marRight w:val="0"/>
      <w:marTop w:val="0"/>
      <w:marBottom w:val="0"/>
      <w:divBdr>
        <w:top w:val="none" w:sz="0" w:space="0" w:color="auto"/>
        <w:left w:val="none" w:sz="0" w:space="0" w:color="auto"/>
        <w:bottom w:val="none" w:sz="0" w:space="0" w:color="auto"/>
        <w:right w:val="none" w:sz="0" w:space="0" w:color="auto"/>
      </w:divBdr>
    </w:div>
    <w:div w:id="1074468497">
      <w:bodyDiv w:val="1"/>
      <w:marLeft w:val="0"/>
      <w:marRight w:val="0"/>
      <w:marTop w:val="0"/>
      <w:marBottom w:val="0"/>
      <w:divBdr>
        <w:top w:val="none" w:sz="0" w:space="0" w:color="auto"/>
        <w:left w:val="none" w:sz="0" w:space="0" w:color="auto"/>
        <w:bottom w:val="none" w:sz="0" w:space="0" w:color="auto"/>
        <w:right w:val="none" w:sz="0" w:space="0" w:color="auto"/>
      </w:divBdr>
    </w:div>
    <w:div w:id="1103185137">
      <w:bodyDiv w:val="1"/>
      <w:marLeft w:val="0"/>
      <w:marRight w:val="0"/>
      <w:marTop w:val="0"/>
      <w:marBottom w:val="0"/>
      <w:divBdr>
        <w:top w:val="none" w:sz="0" w:space="0" w:color="auto"/>
        <w:left w:val="none" w:sz="0" w:space="0" w:color="auto"/>
        <w:bottom w:val="none" w:sz="0" w:space="0" w:color="auto"/>
        <w:right w:val="none" w:sz="0" w:space="0" w:color="auto"/>
      </w:divBdr>
      <w:divsChild>
        <w:div w:id="1138886141">
          <w:marLeft w:val="0"/>
          <w:marRight w:val="0"/>
          <w:marTop w:val="0"/>
          <w:marBottom w:val="0"/>
          <w:divBdr>
            <w:top w:val="none" w:sz="0" w:space="0" w:color="auto"/>
            <w:left w:val="none" w:sz="0" w:space="0" w:color="auto"/>
            <w:bottom w:val="none" w:sz="0" w:space="0" w:color="auto"/>
            <w:right w:val="none" w:sz="0" w:space="0" w:color="auto"/>
          </w:divBdr>
        </w:div>
      </w:divsChild>
    </w:div>
    <w:div w:id="1186358602">
      <w:bodyDiv w:val="1"/>
      <w:marLeft w:val="0"/>
      <w:marRight w:val="0"/>
      <w:marTop w:val="0"/>
      <w:marBottom w:val="0"/>
      <w:divBdr>
        <w:top w:val="none" w:sz="0" w:space="0" w:color="auto"/>
        <w:left w:val="none" w:sz="0" w:space="0" w:color="auto"/>
        <w:bottom w:val="none" w:sz="0" w:space="0" w:color="auto"/>
        <w:right w:val="none" w:sz="0" w:space="0" w:color="auto"/>
      </w:divBdr>
      <w:divsChild>
        <w:div w:id="1399933575">
          <w:marLeft w:val="0"/>
          <w:marRight w:val="0"/>
          <w:marTop w:val="0"/>
          <w:marBottom w:val="0"/>
          <w:divBdr>
            <w:top w:val="none" w:sz="0" w:space="0" w:color="auto"/>
            <w:left w:val="none" w:sz="0" w:space="0" w:color="auto"/>
            <w:bottom w:val="none" w:sz="0" w:space="0" w:color="auto"/>
            <w:right w:val="none" w:sz="0" w:space="0" w:color="auto"/>
          </w:divBdr>
        </w:div>
      </w:divsChild>
    </w:div>
    <w:div w:id="1187255583">
      <w:bodyDiv w:val="1"/>
      <w:marLeft w:val="0"/>
      <w:marRight w:val="0"/>
      <w:marTop w:val="0"/>
      <w:marBottom w:val="0"/>
      <w:divBdr>
        <w:top w:val="none" w:sz="0" w:space="0" w:color="auto"/>
        <w:left w:val="none" w:sz="0" w:space="0" w:color="auto"/>
        <w:bottom w:val="none" w:sz="0" w:space="0" w:color="auto"/>
        <w:right w:val="none" w:sz="0" w:space="0" w:color="auto"/>
      </w:divBdr>
      <w:divsChild>
        <w:div w:id="1441687184">
          <w:marLeft w:val="0"/>
          <w:marRight w:val="0"/>
          <w:marTop w:val="0"/>
          <w:marBottom w:val="0"/>
          <w:divBdr>
            <w:top w:val="none" w:sz="0" w:space="0" w:color="auto"/>
            <w:left w:val="none" w:sz="0" w:space="0" w:color="auto"/>
            <w:bottom w:val="none" w:sz="0" w:space="0" w:color="auto"/>
            <w:right w:val="none" w:sz="0" w:space="0" w:color="auto"/>
          </w:divBdr>
          <w:divsChild>
            <w:div w:id="491603061">
              <w:marLeft w:val="0"/>
              <w:marRight w:val="0"/>
              <w:marTop w:val="0"/>
              <w:marBottom w:val="0"/>
              <w:divBdr>
                <w:top w:val="none" w:sz="0" w:space="0" w:color="auto"/>
                <w:left w:val="none" w:sz="0" w:space="0" w:color="auto"/>
                <w:bottom w:val="none" w:sz="0" w:space="0" w:color="auto"/>
                <w:right w:val="none" w:sz="0" w:space="0" w:color="auto"/>
              </w:divBdr>
              <w:divsChild>
                <w:div w:id="1812598876">
                  <w:marLeft w:val="0"/>
                  <w:marRight w:val="0"/>
                  <w:marTop w:val="0"/>
                  <w:marBottom w:val="0"/>
                  <w:divBdr>
                    <w:top w:val="none" w:sz="0" w:space="0" w:color="auto"/>
                    <w:left w:val="none" w:sz="0" w:space="0" w:color="auto"/>
                    <w:bottom w:val="none" w:sz="0" w:space="0" w:color="auto"/>
                    <w:right w:val="none" w:sz="0" w:space="0" w:color="auto"/>
                  </w:divBdr>
                  <w:divsChild>
                    <w:div w:id="245774866">
                      <w:marLeft w:val="0"/>
                      <w:marRight w:val="0"/>
                      <w:marTop w:val="0"/>
                      <w:marBottom w:val="0"/>
                      <w:divBdr>
                        <w:top w:val="none" w:sz="0" w:space="0" w:color="auto"/>
                        <w:left w:val="none" w:sz="0" w:space="0" w:color="auto"/>
                        <w:bottom w:val="none" w:sz="0" w:space="0" w:color="auto"/>
                        <w:right w:val="none" w:sz="0" w:space="0" w:color="auto"/>
                      </w:divBdr>
                      <w:divsChild>
                        <w:div w:id="684481116">
                          <w:marLeft w:val="0"/>
                          <w:marRight w:val="0"/>
                          <w:marTop w:val="0"/>
                          <w:marBottom w:val="0"/>
                          <w:divBdr>
                            <w:top w:val="none" w:sz="0" w:space="0" w:color="auto"/>
                            <w:left w:val="none" w:sz="0" w:space="0" w:color="auto"/>
                            <w:bottom w:val="none" w:sz="0" w:space="0" w:color="auto"/>
                            <w:right w:val="none" w:sz="0" w:space="0" w:color="auto"/>
                          </w:divBdr>
                          <w:divsChild>
                            <w:div w:id="1612663147">
                              <w:marLeft w:val="0"/>
                              <w:marRight w:val="0"/>
                              <w:marTop w:val="0"/>
                              <w:marBottom w:val="0"/>
                              <w:divBdr>
                                <w:top w:val="none" w:sz="0" w:space="0" w:color="auto"/>
                                <w:left w:val="none" w:sz="0" w:space="0" w:color="auto"/>
                                <w:bottom w:val="none" w:sz="0" w:space="0" w:color="auto"/>
                                <w:right w:val="none" w:sz="0" w:space="0" w:color="auto"/>
                              </w:divBdr>
                              <w:divsChild>
                                <w:div w:id="591621046">
                                  <w:marLeft w:val="0"/>
                                  <w:marRight w:val="0"/>
                                  <w:marTop w:val="0"/>
                                  <w:marBottom w:val="0"/>
                                  <w:divBdr>
                                    <w:top w:val="none" w:sz="0" w:space="0" w:color="auto"/>
                                    <w:left w:val="none" w:sz="0" w:space="0" w:color="auto"/>
                                    <w:bottom w:val="none" w:sz="0" w:space="0" w:color="auto"/>
                                    <w:right w:val="none" w:sz="0" w:space="0" w:color="auto"/>
                                  </w:divBdr>
                                  <w:divsChild>
                                    <w:div w:id="13592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208612">
      <w:bodyDiv w:val="1"/>
      <w:marLeft w:val="0"/>
      <w:marRight w:val="0"/>
      <w:marTop w:val="0"/>
      <w:marBottom w:val="0"/>
      <w:divBdr>
        <w:top w:val="none" w:sz="0" w:space="0" w:color="auto"/>
        <w:left w:val="none" w:sz="0" w:space="0" w:color="auto"/>
        <w:bottom w:val="none" w:sz="0" w:space="0" w:color="auto"/>
        <w:right w:val="none" w:sz="0" w:space="0" w:color="auto"/>
      </w:divBdr>
    </w:div>
    <w:div w:id="1250039074">
      <w:bodyDiv w:val="1"/>
      <w:marLeft w:val="0"/>
      <w:marRight w:val="0"/>
      <w:marTop w:val="0"/>
      <w:marBottom w:val="0"/>
      <w:divBdr>
        <w:top w:val="none" w:sz="0" w:space="0" w:color="auto"/>
        <w:left w:val="none" w:sz="0" w:space="0" w:color="auto"/>
        <w:bottom w:val="none" w:sz="0" w:space="0" w:color="auto"/>
        <w:right w:val="none" w:sz="0" w:space="0" w:color="auto"/>
      </w:divBdr>
    </w:div>
    <w:div w:id="1252474065">
      <w:bodyDiv w:val="1"/>
      <w:marLeft w:val="0"/>
      <w:marRight w:val="0"/>
      <w:marTop w:val="0"/>
      <w:marBottom w:val="0"/>
      <w:divBdr>
        <w:top w:val="none" w:sz="0" w:space="0" w:color="auto"/>
        <w:left w:val="none" w:sz="0" w:space="0" w:color="auto"/>
        <w:bottom w:val="none" w:sz="0" w:space="0" w:color="auto"/>
        <w:right w:val="none" w:sz="0" w:space="0" w:color="auto"/>
      </w:divBdr>
    </w:div>
    <w:div w:id="1310281910">
      <w:bodyDiv w:val="1"/>
      <w:marLeft w:val="0"/>
      <w:marRight w:val="0"/>
      <w:marTop w:val="0"/>
      <w:marBottom w:val="0"/>
      <w:divBdr>
        <w:top w:val="none" w:sz="0" w:space="0" w:color="auto"/>
        <w:left w:val="none" w:sz="0" w:space="0" w:color="auto"/>
        <w:bottom w:val="none" w:sz="0" w:space="0" w:color="auto"/>
        <w:right w:val="none" w:sz="0" w:space="0" w:color="auto"/>
      </w:divBdr>
    </w:div>
    <w:div w:id="1347243867">
      <w:bodyDiv w:val="1"/>
      <w:marLeft w:val="0"/>
      <w:marRight w:val="0"/>
      <w:marTop w:val="0"/>
      <w:marBottom w:val="0"/>
      <w:divBdr>
        <w:top w:val="none" w:sz="0" w:space="0" w:color="auto"/>
        <w:left w:val="none" w:sz="0" w:space="0" w:color="auto"/>
        <w:bottom w:val="none" w:sz="0" w:space="0" w:color="auto"/>
        <w:right w:val="none" w:sz="0" w:space="0" w:color="auto"/>
      </w:divBdr>
      <w:divsChild>
        <w:div w:id="491531376">
          <w:marLeft w:val="0"/>
          <w:marRight w:val="0"/>
          <w:marTop w:val="0"/>
          <w:marBottom w:val="0"/>
          <w:divBdr>
            <w:top w:val="none" w:sz="0" w:space="0" w:color="auto"/>
            <w:left w:val="none" w:sz="0" w:space="0" w:color="auto"/>
            <w:bottom w:val="none" w:sz="0" w:space="0" w:color="auto"/>
            <w:right w:val="none" w:sz="0" w:space="0" w:color="auto"/>
          </w:divBdr>
          <w:divsChild>
            <w:div w:id="1973632705">
              <w:marLeft w:val="0"/>
              <w:marRight w:val="0"/>
              <w:marTop w:val="0"/>
              <w:marBottom w:val="0"/>
              <w:divBdr>
                <w:top w:val="none" w:sz="0" w:space="0" w:color="auto"/>
                <w:left w:val="none" w:sz="0" w:space="0" w:color="auto"/>
                <w:bottom w:val="none" w:sz="0" w:space="0" w:color="auto"/>
                <w:right w:val="none" w:sz="0" w:space="0" w:color="auto"/>
              </w:divBdr>
              <w:divsChild>
                <w:div w:id="2111660656">
                  <w:marLeft w:val="0"/>
                  <w:marRight w:val="0"/>
                  <w:marTop w:val="0"/>
                  <w:marBottom w:val="0"/>
                  <w:divBdr>
                    <w:top w:val="none" w:sz="0" w:space="0" w:color="auto"/>
                    <w:left w:val="none" w:sz="0" w:space="0" w:color="auto"/>
                    <w:bottom w:val="none" w:sz="0" w:space="0" w:color="auto"/>
                    <w:right w:val="none" w:sz="0" w:space="0" w:color="auto"/>
                  </w:divBdr>
                  <w:divsChild>
                    <w:div w:id="721253477">
                      <w:marLeft w:val="0"/>
                      <w:marRight w:val="0"/>
                      <w:marTop w:val="0"/>
                      <w:marBottom w:val="0"/>
                      <w:divBdr>
                        <w:top w:val="none" w:sz="0" w:space="0" w:color="auto"/>
                        <w:left w:val="none" w:sz="0" w:space="0" w:color="auto"/>
                        <w:bottom w:val="none" w:sz="0" w:space="0" w:color="auto"/>
                        <w:right w:val="none" w:sz="0" w:space="0" w:color="auto"/>
                      </w:divBdr>
                      <w:divsChild>
                        <w:div w:id="1002243824">
                          <w:marLeft w:val="0"/>
                          <w:marRight w:val="0"/>
                          <w:marTop w:val="0"/>
                          <w:marBottom w:val="0"/>
                          <w:divBdr>
                            <w:top w:val="none" w:sz="0" w:space="0" w:color="auto"/>
                            <w:left w:val="none" w:sz="0" w:space="0" w:color="auto"/>
                            <w:bottom w:val="none" w:sz="0" w:space="0" w:color="auto"/>
                            <w:right w:val="none" w:sz="0" w:space="0" w:color="auto"/>
                          </w:divBdr>
                          <w:divsChild>
                            <w:div w:id="1283925276">
                              <w:marLeft w:val="0"/>
                              <w:marRight w:val="0"/>
                              <w:marTop w:val="0"/>
                              <w:marBottom w:val="0"/>
                              <w:divBdr>
                                <w:top w:val="none" w:sz="0" w:space="0" w:color="auto"/>
                                <w:left w:val="none" w:sz="0" w:space="0" w:color="auto"/>
                                <w:bottom w:val="none" w:sz="0" w:space="0" w:color="auto"/>
                                <w:right w:val="none" w:sz="0" w:space="0" w:color="auto"/>
                              </w:divBdr>
                              <w:divsChild>
                                <w:div w:id="1241797356">
                                  <w:marLeft w:val="0"/>
                                  <w:marRight w:val="0"/>
                                  <w:marTop w:val="0"/>
                                  <w:marBottom w:val="0"/>
                                  <w:divBdr>
                                    <w:top w:val="none" w:sz="0" w:space="0" w:color="auto"/>
                                    <w:left w:val="none" w:sz="0" w:space="0" w:color="auto"/>
                                    <w:bottom w:val="none" w:sz="0" w:space="0" w:color="auto"/>
                                    <w:right w:val="none" w:sz="0" w:space="0" w:color="auto"/>
                                  </w:divBdr>
                                  <w:divsChild>
                                    <w:div w:id="20590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087891">
      <w:bodyDiv w:val="1"/>
      <w:marLeft w:val="0"/>
      <w:marRight w:val="0"/>
      <w:marTop w:val="0"/>
      <w:marBottom w:val="0"/>
      <w:divBdr>
        <w:top w:val="none" w:sz="0" w:space="0" w:color="auto"/>
        <w:left w:val="none" w:sz="0" w:space="0" w:color="auto"/>
        <w:bottom w:val="none" w:sz="0" w:space="0" w:color="auto"/>
        <w:right w:val="none" w:sz="0" w:space="0" w:color="auto"/>
      </w:divBdr>
      <w:divsChild>
        <w:div w:id="610287959">
          <w:marLeft w:val="0"/>
          <w:marRight w:val="0"/>
          <w:marTop w:val="0"/>
          <w:marBottom w:val="0"/>
          <w:divBdr>
            <w:top w:val="none" w:sz="0" w:space="0" w:color="auto"/>
            <w:left w:val="none" w:sz="0" w:space="0" w:color="auto"/>
            <w:bottom w:val="none" w:sz="0" w:space="0" w:color="auto"/>
            <w:right w:val="none" w:sz="0" w:space="0" w:color="auto"/>
          </w:divBdr>
        </w:div>
      </w:divsChild>
    </w:div>
    <w:div w:id="1395545418">
      <w:bodyDiv w:val="1"/>
      <w:marLeft w:val="0"/>
      <w:marRight w:val="0"/>
      <w:marTop w:val="0"/>
      <w:marBottom w:val="0"/>
      <w:divBdr>
        <w:top w:val="none" w:sz="0" w:space="0" w:color="auto"/>
        <w:left w:val="none" w:sz="0" w:space="0" w:color="auto"/>
        <w:bottom w:val="none" w:sz="0" w:space="0" w:color="auto"/>
        <w:right w:val="none" w:sz="0" w:space="0" w:color="auto"/>
      </w:divBdr>
    </w:div>
    <w:div w:id="1412461463">
      <w:bodyDiv w:val="1"/>
      <w:marLeft w:val="0"/>
      <w:marRight w:val="0"/>
      <w:marTop w:val="0"/>
      <w:marBottom w:val="0"/>
      <w:divBdr>
        <w:top w:val="none" w:sz="0" w:space="0" w:color="auto"/>
        <w:left w:val="none" w:sz="0" w:space="0" w:color="auto"/>
        <w:bottom w:val="none" w:sz="0" w:space="0" w:color="auto"/>
        <w:right w:val="none" w:sz="0" w:space="0" w:color="auto"/>
      </w:divBdr>
      <w:divsChild>
        <w:div w:id="772671184">
          <w:marLeft w:val="0"/>
          <w:marRight w:val="0"/>
          <w:marTop w:val="0"/>
          <w:marBottom w:val="0"/>
          <w:divBdr>
            <w:top w:val="none" w:sz="0" w:space="0" w:color="auto"/>
            <w:left w:val="none" w:sz="0" w:space="0" w:color="auto"/>
            <w:bottom w:val="none" w:sz="0" w:space="0" w:color="auto"/>
            <w:right w:val="none" w:sz="0" w:space="0" w:color="auto"/>
          </w:divBdr>
        </w:div>
      </w:divsChild>
    </w:div>
    <w:div w:id="1413889367">
      <w:bodyDiv w:val="1"/>
      <w:marLeft w:val="0"/>
      <w:marRight w:val="0"/>
      <w:marTop w:val="0"/>
      <w:marBottom w:val="0"/>
      <w:divBdr>
        <w:top w:val="none" w:sz="0" w:space="0" w:color="auto"/>
        <w:left w:val="none" w:sz="0" w:space="0" w:color="auto"/>
        <w:bottom w:val="none" w:sz="0" w:space="0" w:color="auto"/>
        <w:right w:val="none" w:sz="0" w:space="0" w:color="auto"/>
      </w:divBdr>
    </w:div>
    <w:div w:id="1457405671">
      <w:bodyDiv w:val="1"/>
      <w:marLeft w:val="0"/>
      <w:marRight w:val="0"/>
      <w:marTop w:val="0"/>
      <w:marBottom w:val="0"/>
      <w:divBdr>
        <w:top w:val="none" w:sz="0" w:space="0" w:color="auto"/>
        <w:left w:val="none" w:sz="0" w:space="0" w:color="auto"/>
        <w:bottom w:val="none" w:sz="0" w:space="0" w:color="auto"/>
        <w:right w:val="none" w:sz="0" w:space="0" w:color="auto"/>
      </w:divBdr>
    </w:div>
    <w:div w:id="1500341875">
      <w:bodyDiv w:val="1"/>
      <w:marLeft w:val="0"/>
      <w:marRight w:val="0"/>
      <w:marTop w:val="0"/>
      <w:marBottom w:val="0"/>
      <w:divBdr>
        <w:top w:val="none" w:sz="0" w:space="0" w:color="auto"/>
        <w:left w:val="none" w:sz="0" w:space="0" w:color="auto"/>
        <w:bottom w:val="none" w:sz="0" w:space="0" w:color="auto"/>
        <w:right w:val="none" w:sz="0" w:space="0" w:color="auto"/>
      </w:divBdr>
    </w:div>
    <w:div w:id="1572041781">
      <w:bodyDiv w:val="1"/>
      <w:marLeft w:val="0"/>
      <w:marRight w:val="0"/>
      <w:marTop w:val="0"/>
      <w:marBottom w:val="0"/>
      <w:divBdr>
        <w:top w:val="none" w:sz="0" w:space="0" w:color="auto"/>
        <w:left w:val="none" w:sz="0" w:space="0" w:color="auto"/>
        <w:bottom w:val="none" w:sz="0" w:space="0" w:color="auto"/>
        <w:right w:val="none" w:sz="0" w:space="0" w:color="auto"/>
      </w:divBdr>
    </w:div>
    <w:div w:id="1596328603">
      <w:bodyDiv w:val="1"/>
      <w:marLeft w:val="0"/>
      <w:marRight w:val="0"/>
      <w:marTop w:val="0"/>
      <w:marBottom w:val="0"/>
      <w:divBdr>
        <w:top w:val="none" w:sz="0" w:space="0" w:color="auto"/>
        <w:left w:val="none" w:sz="0" w:space="0" w:color="auto"/>
        <w:bottom w:val="none" w:sz="0" w:space="0" w:color="auto"/>
        <w:right w:val="none" w:sz="0" w:space="0" w:color="auto"/>
      </w:divBdr>
    </w:div>
    <w:div w:id="1683120652">
      <w:bodyDiv w:val="1"/>
      <w:marLeft w:val="0"/>
      <w:marRight w:val="0"/>
      <w:marTop w:val="0"/>
      <w:marBottom w:val="0"/>
      <w:divBdr>
        <w:top w:val="none" w:sz="0" w:space="0" w:color="auto"/>
        <w:left w:val="none" w:sz="0" w:space="0" w:color="auto"/>
        <w:bottom w:val="none" w:sz="0" w:space="0" w:color="auto"/>
        <w:right w:val="none" w:sz="0" w:space="0" w:color="auto"/>
      </w:divBdr>
    </w:div>
    <w:div w:id="1696342743">
      <w:bodyDiv w:val="1"/>
      <w:marLeft w:val="0"/>
      <w:marRight w:val="0"/>
      <w:marTop w:val="0"/>
      <w:marBottom w:val="0"/>
      <w:divBdr>
        <w:top w:val="none" w:sz="0" w:space="0" w:color="auto"/>
        <w:left w:val="none" w:sz="0" w:space="0" w:color="auto"/>
        <w:bottom w:val="none" w:sz="0" w:space="0" w:color="auto"/>
        <w:right w:val="none" w:sz="0" w:space="0" w:color="auto"/>
      </w:divBdr>
    </w:div>
    <w:div w:id="1716811113">
      <w:bodyDiv w:val="1"/>
      <w:marLeft w:val="0"/>
      <w:marRight w:val="0"/>
      <w:marTop w:val="0"/>
      <w:marBottom w:val="0"/>
      <w:divBdr>
        <w:top w:val="none" w:sz="0" w:space="0" w:color="auto"/>
        <w:left w:val="none" w:sz="0" w:space="0" w:color="auto"/>
        <w:bottom w:val="none" w:sz="0" w:space="0" w:color="auto"/>
        <w:right w:val="none" w:sz="0" w:space="0" w:color="auto"/>
      </w:divBdr>
    </w:div>
    <w:div w:id="1743678636">
      <w:bodyDiv w:val="1"/>
      <w:marLeft w:val="0"/>
      <w:marRight w:val="0"/>
      <w:marTop w:val="0"/>
      <w:marBottom w:val="0"/>
      <w:divBdr>
        <w:top w:val="none" w:sz="0" w:space="0" w:color="auto"/>
        <w:left w:val="none" w:sz="0" w:space="0" w:color="auto"/>
        <w:bottom w:val="none" w:sz="0" w:space="0" w:color="auto"/>
        <w:right w:val="none" w:sz="0" w:space="0" w:color="auto"/>
      </w:divBdr>
    </w:div>
    <w:div w:id="1757820309">
      <w:bodyDiv w:val="1"/>
      <w:marLeft w:val="0"/>
      <w:marRight w:val="0"/>
      <w:marTop w:val="0"/>
      <w:marBottom w:val="0"/>
      <w:divBdr>
        <w:top w:val="none" w:sz="0" w:space="0" w:color="auto"/>
        <w:left w:val="none" w:sz="0" w:space="0" w:color="auto"/>
        <w:bottom w:val="none" w:sz="0" w:space="0" w:color="auto"/>
        <w:right w:val="none" w:sz="0" w:space="0" w:color="auto"/>
      </w:divBdr>
    </w:div>
    <w:div w:id="1760252134">
      <w:bodyDiv w:val="1"/>
      <w:marLeft w:val="0"/>
      <w:marRight w:val="0"/>
      <w:marTop w:val="0"/>
      <w:marBottom w:val="0"/>
      <w:divBdr>
        <w:top w:val="none" w:sz="0" w:space="0" w:color="auto"/>
        <w:left w:val="none" w:sz="0" w:space="0" w:color="auto"/>
        <w:bottom w:val="none" w:sz="0" w:space="0" w:color="auto"/>
        <w:right w:val="none" w:sz="0" w:space="0" w:color="auto"/>
      </w:divBdr>
    </w:div>
    <w:div w:id="1763841192">
      <w:bodyDiv w:val="1"/>
      <w:marLeft w:val="0"/>
      <w:marRight w:val="0"/>
      <w:marTop w:val="0"/>
      <w:marBottom w:val="0"/>
      <w:divBdr>
        <w:top w:val="none" w:sz="0" w:space="0" w:color="auto"/>
        <w:left w:val="none" w:sz="0" w:space="0" w:color="auto"/>
        <w:bottom w:val="none" w:sz="0" w:space="0" w:color="auto"/>
        <w:right w:val="none" w:sz="0" w:space="0" w:color="auto"/>
      </w:divBdr>
    </w:div>
    <w:div w:id="1766463140">
      <w:bodyDiv w:val="1"/>
      <w:marLeft w:val="0"/>
      <w:marRight w:val="0"/>
      <w:marTop w:val="0"/>
      <w:marBottom w:val="0"/>
      <w:divBdr>
        <w:top w:val="none" w:sz="0" w:space="0" w:color="auto"/>
        <w:left w:val="none" w:sz="0" w:space="0" w:color="auto"/>
        <w:bottom w:val="none" w:sz="0" w:space="0" w:color="auto"/>
        <w:right w:val="none" w:sz="0" w:space="0" w:color="auto"/>
      </w:divBdr>
    </w:div>
    <w:div w:id="1855341022">
      <w:bodyDiv w:val="1"/>
      <w:marLeft w:val="0"/>
      <w:marRight w:val="0"/>
      <w:marTop w:val="0"/>
      <w:marBottom w:val="0"/>
      <w:divBdr>
        <w:top w:val="none" w:sz="0" w:space="0" w:color="auto"/>
        <w:left w:val="none" w:sz="0" w:space="0" w:color="auto"/>
        <w:bottom w:val="none" w:sz="0" w:space="0" w:color="auto"/>
        <w:right w:val="none" w:sz="0" w:space="0" w:color="auto"/>
      </w:divBdr>
    </w:div>
    <w:div w:id="1885677266">
      <w:bodyDiv w:val="1"/>
      <w:marLeft w:val="0"/>
      <w:marRight w:val="0"/>
      <w:marTop w:val="0"/>
      <w:marBottom w:val="0"/>
      <w:divBdr>
        <w:top w:val="none" w:sz="0" w:space="0" w:color="auto"/>
        <w:left w:val="none" w:sz="0" w:space="0" w:color="auto"/>
        <w:bottom w:val="none" w:sz="0" w:space="0" w:color="auto"/>
        <w:right w:val="none" w:sz="0" w:space="0" w:color="auto"/>
      </w:divBdr>
    </w:div>
    <w:div w:id="1930236673">
      <w:bodyDiv w:val="1"/>
      <w:marLeft w:val="0"/>
      <w:marRight w:val="0"/>
      <w:marTop w:val="0"/>
      <w:marBottom w:val="0"/>
      <w:divBdr>
        <w:top w:val="none" w:sz="0" w:space="0" w:color="auto"/>
        <w:left w:val="none" w:sz="0" w:space="0" w:color="auto"/>
        <w:bottom w:val="none" w:sz="0" w:space="0" w:color="auto"/>
        <w:right w:val="none" w:sz="0" w:space="0" w:color="auto"/>
      </w:divBdr>
    </w:div>
    <w:div w:id="1937664006">
      <w:bodyDiv w:val="1"/>
      <w:marLeft w:val="0"/>
      <w:marRight w:val="0"/>
      <w:marTop w:val="0"/>
      <w:marBottom w:val="0"/>
      <w:divBdr>
        <w:top w:val="none" w:sz="0" w:space="0" w:color="auto"/>
        <w:left w:val="none" w:sz="0" w:space="0" w:color="auto"/>
        <w:bottom w:val="none" w:sz="0" w:space="0" w:color="auto"/>
        <w:right w:val="none" w:sz="0" w:space="0" w:color="auto"/>
      </w:divBdr>
    </w:div>
    <w:div w:id="1981953678">
      <w:bodyDiv w:val="1"/>
      <w:marLeft w:val="0"/>
      <w:marRight w:val="0"/>
      <w:marTop w:val="0"/>
      <w:marBottom w:val="0"/>
      <w:divBdr>
        <w:top w:val="none" w:sz="0" w:space="0" w:color="auto"/>
        <w:left w:val="none" w:sz="0" w:space="0" w:color="auto"/>
        <w:bottom w:val="none" w:sz="0" w:space="0" w:color="auto"/>
        <w:right w:val="none" w:sz="0" w:space="0" w:color="auto"/>
      </w:divBdr>
    </w:div>
    <w:div w:id="1985314660">
      <w:bodyDiv w:val="1"/>
      <w:marLeft w:val="0"/>
      <w:marRight w:val="0"/>
      <w:marTop w:val="0"/>
      <w:marBottom w:val="0"/>
      <w:divBdr>
        <w:top w:val="none" w:sz="0" w:space="0" w:color="auto"/>
        <w:left w:val="none" w:sz="0" w:space="0" w:color="auto"/>
        <w:bottom w:val="none" w:sz="0" w:space="0" w:color="auto"/>
        <w:right w:val="none" w:sz="0" w:space="0" w:color="auto"/>
      </w:divBdr>
      <w:divsChild>
        <w:div w:id="243611525">
          <w:marLeft w:val="0"/>
          <w:marRight w:val="0"/>
          <w:marTop w:val="0"/>
          <w:marBottom w:val="0"/>
          <w:divBdr>
            <w:top w:val="none" w:sz="0" w:space="0" w:color="auto"/>
            <w:left w:val="none" w:sz="0" w:space="0" w:color="auto"/>
            <w:bottom w:val="none" w:sz="0" w:space="0" w:color="auto"/>
            <w:right w:val="none" w:sz="0" w:space="0" w:color="auto"/>
          </w:divBdr>
          <w:divsChild>
            <w:div w:id="1170171167">
              <w:marLeft w:val="0"/>
              <w:marRight w:val="0"/>
              <w:marTop w:val="0"/>
              <w:marBottom w:val="0"/>
              <w:divBdr>
                <w:top w:val="none" w:sz="0" w:space="0" w:color="auto"/>
                <w:left w:val="none" w:sz="0" w:space="0" w:color="auto"/>
                <w:bottom w:val="none" w:sz="0" w:space="0" w:color="auto"/>
                <w:right w:val="none" w:sz="0" w:space="0" w:color="auto"/>
              </w:divBdr>
              <w:divsChild>
                <w:div w:id="1680499553">
                  <w:marLeft w:val="0"/>
                  <w:marRight w:val="0"/>
                  <w:marTop w:val="0"/>
                  <w:marBottom w:val="0"/>
                  <w:divBdr>
                    <w:top w:val="none" w:sz="0" w:space="0" w:color="auto"/>
                    <w:left w:val="none" w:sz="0" w:space="0" w:color="auto"/>
                    <w:bottom w:val="none" w:sz="0" w:space="0" w:color="auto"/>
                    <w:right w:val="none" w:sz="0" w:space="0" w:color="auto"/>
                  </w:divBdr>
                </w:div>
                <w:div w:id="742340433">
                  <w:marLeft w:val="0"/>
                  <w:marRight w:val="0"/>
                  <w:marTop w:val="0"/>
                  <w:marBottom w:val="0"/>
                  <w:divBdr>
                    <w:top w:val="none" w:sz="0" w:space="0" w:color="auto"/>
                    <w:left w:val="none" w:sz="0" w:space="0" w:color="auto"/>
                    <w:bottom w:val="none" w:sz="0" w:space="0" w:color="auto"/>
                    <w:right w:val="none" w:sz="0" w:space="0" w:color="auto"/>
                  </w:divBdr>
                </w:div>
                <w:div w:id="10032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954561">
      <w:bodyDiv w:val="1"/>
      <w:marLeft w:val="0"/>
      <w:marRight w:val="0"/>
      <w:marTop w:val="0"/>
      <w:marBottom w:val="0"/>
      <w:divBdr>
        <w:top w:val="none" w:sz="0" w:space="0" w:color="auto"/>
        <w:left w:val="none" w:sz="0" w:space="0" w:color="auto"/>
        <w:bottom w:val="none" w:sz="0" w:space="0" w:color="auto"/>
        <w:right w:val="none" w:sz="0" w:space="0" w:color="auto"/>
      </w:divBdr>
    </w:div>
    <w:div w:id="2052919634">
      <w:bodyDiv w:val="1"/>
      <w:marLeft w:val="0"/>
      <w:marRight w:val="0"/>
      <w:marTop w:val="0"/>
      <w:marBottom w:val="0"/>
      <w:divBdr>
        <w:top w:val="none" w:sz="0" w:space="0" w:color="auto"/>
        <w:left w:val="none" w:sz="0" w:space="0" w:color="auto"/>
        <w:bottom w:val="none" w:sz="0" w:space="0" w:color="auto"/>
        <w:right w:val="none" w:sz="0" w:space="0" w:color="auto"/>
      </w:divBdr>
    </w:div>
    <w:div w:id="2082556926">
      <w:bodyDiv w:val="1"/>
      <w:marLeft w:val="0"/>
      <w:marRight w:val="0"/>
      <w:marTop w:val="0"/>
      <w:marBottom w:val="0"/>
      <w:divBdr>
        <w:top w:val="none" w:sz="0" w:space="0" w:color="auto"/>
        <w:left w:val="none" w:sz="0" w:space="0" w:color="auto"/>
        <w:bottom w:val="none" w:sz="0" w:space="0" w:color="auto"/>
        <w:right w:val="none" w:sz="0" w:space="0" w:color="auto"/>
      </w:divBdr>
    </w:div>
    <w:div w:id="20839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theme" Target="theme/theme1.xml"/><Relationship Id="rId21" Type="http://schemas.openxmlformats.org/officeDocument/2006/relationships/image" Target="media/image15.jpeg"/><Relationship Id="rId34"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oter" Target="footer2.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17</Pages>
  <Words>4226</Words>
  <Characters>24094</Characters>
  <Application>Microsoft Office Word</Application>
  <DocSecurity>0</DocSecurity>
  <Lines>200</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dc:creator>
  <cp:lastModifiedBy>SDI 1084</cp:lastModifiedBy>
  <cp:revision>15</cp:revision>
  <dcterms:created xsi:type="dcterms:W3CDTF">2026-05-28T07:56:00Z</dcterms:created>
  <dcterms:modified xsi:type="dcterms:W3CDTF">2026-05-30T12:12:00Z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222668742</vt:i4>
  </property>
</Properties>
</file>