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38A51" w14:textId="77777777" w:rsidR="001574BA" w:rsidRPr="001574BA" w:rsidRDefault="001574BA" w:rsidP="001574BA">
      <w:pPr>
        <w:spacing w:before="100" w:beforeAutospacing="1" w:after="100" w:afterAutospacing="1" w:line="240" w:lineRule="auto"/>
        <w:outlineLvl w:val="1"/>
        <w:rPr>
          <w:rFonts w:ascii="Times New Roman" w:eastAsia="Times New Roman" w:hAnsi="Times New Roman" w:cs="Times New Roman"/>
          <w:b/>
          <w:bCs/>
          <w:i/>
          <w:iCs/>
          <w:sz w:val="36"/>
          <w:szCs w:val="36"/>
          <w:u w:val="single"/>
          <w:lang w:val="en-US" w:eastAsia="en-GB"/>
        </w:rPr>
      </w:pPr>
      <w:r w:rsidRPr="001574BA">
        <w:rPr>
          <w:rFonts w:ascii="Times New Roman" w:eastAsia="Times New Roman" w:hAnsi="Times New Roman" w:cs="Times New Roman"/>
          <w:b/>
          <w:bCs/>
          <w:i/>
          <w:iCs/>
          <w:sz w:val="36"/>
          <w:szCs w:val="36"/>
          <w:u w:val="single"/>
          <w:lang w:val="en-US" w:eastAsia="en-GB"/>
        </w:rPr>
        <w:t>Review Article</w:t>
      </w:r>
    </w:p>
    <w:p w14:paraId="1E2DD484" w14:textId="77777777" w:rsidR="00C93EFA" w:rsidRPr="00C93EFA" w:rsidRDefault="00C93EFA" w:rsidP="00C93EFA">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C93EFA">
        <w:rPr>
          <w:rFonts w:ascii="Times New Roman" w:eastAsia="Times New Roman" w:hAnsi="Times New Roman" w:cs="Times New Roman"/>
          <w:b/>
          <w:bCs/>
          <w:sz w:val="36"/>
          <w:szCs w:val="36"/>
          <w:lang w:eastAsia="en-GB"/>
        </w:rPr>
        <w:t>The Evolution of Software Containerization: Docker's Impact on DevOps and Microservices Architecture</w:t>
      </w:r>
    </w:p>
    <w:p w14:paraId="5F3E8CB1" w14:textId="77777777" w:rsidR="00C93EFA" w:rsidRPr="00C93EFA" w:rsidRDefault="00C93EFA" w:rsidP="00C93EF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93EFA">
        <w:rPr>
          <w:rFonts w:ascii="Times New Roman" w:eastAsia="Times New Roman" w:hAnsi="Times New Roman" w:cs="Times New Roman"/>
          <w:b/>
          <w:bCs/>
          <w:sz w:val="27"/>
          <w:szCs w:val="27"/>
          <w:lang w:eastAsia="en-GB"/>
        </w:rPr>
        <w:t>Abstract</w:t>
      </w:r>
    </w:p>
    <w:p w14:paraId="7DA839BD"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Software containerization has changed how applications are built, packaged, deployed and operated, and Docker has been the principal force behind that change. This article presents a critical narrative review of the academic literature on the technical foundations of containerization, its orchestration through platforms such as Kubernetes, and its relationship with two closely associated movements in contemporary software engineering: DevOps and microservices architecture. The review traces the conceptual line from hypervisor-based virtualization to lightweight, operating-system-level isolation, then examines the empirical evidence on performance, resource efficiency, security and organisational adoption. Particular attention falls on how container technology has served as an enabling substrate for continuous integration and delivery pipelines, for the decomposition of monolithic systems into independently deployable services, and for the extension of cloud-native practice into edge, Internet of Things and serverless settings. The review also engages critically with contested claims in this literature, including the durability of reported performance advantages, the persistence of security and supply-chain risk, and the uneven evidence base behind many widely repeated benefits of DevOps and microservices adoption. The synthesis suggests that Docker's importance lies less in any single technical innovation than in its function as a standardising artefact that lowered the practical threshold for adopting distributed, service-oriented and automation-intensive delivery models. The article closes by identifying gaps in empirical rigour, a shortage of longitudinal and industrial-scale studies, and promising directions including container security taxonomies, AI-assisted operations and the convergence of serverless and container paradigms.</w:t>
      </w:r>
    </w:p>
    <w:p w14:paraId="39BC06E4"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b/>
          <w:bCs/>
          <w:sz w:val="24"/>
          <w:szCs w:val="24"/>
          <w:lang w:eastAsia="en-GB"/>
        </w:rPr>
        <w:t>Keywords:</w:t>
      </w:r>
      <w:r w:rsidRPr="00C93EFA">
        <w:rPr>
          <w:rFonts w:ascii="Times New Roman" w:eastAsia="Times New Roman" w:hAnsi="Times New Roman" w:cs="Times New Roman"/>
          <w:sz w:val="24"/>
          <w:szCs w:val="24"/>
          <w:lang w:eastAsia="en-GB"/>
        </w:rPr>
        <w:t xml:space="preserve"> containerization; Docker; DevOps; microservices architecture; Kubernetes; cloud-native computing; continuous integration and delivery; container security</w:t>
      </w:r>
    </w:p>
    <w:p w14:paraId="7D611CC9" w14:textId="77777777" w:rsidR="00C93EFA" w:rsidRPr="00C93EFA" w:rsidRDefault="00C93EFA" w:rsidP="00C93EF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93EFA">
        <w:rPr>
          <w:rFonts w:ascii="Times New Roman" w:eastAsia="Times New Roman" w:hAnsi="Times New Roman" w:cs="Times New Roman"/>
          <w:b/>
          <w:bCs/>
          <w:sz w:val="27"/>
          <w:szCs w:val="27"/>
          <w:lang w:eastAsia="en-GB"/>
        </w:rPr>
        <w:t>1. Introduction</w:t>
      </w:r>
    </w:p>
    <w:p w14:paraId="119A418F"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1.1 The Pre-Container Era: Virtualization and the Limits of the Hypervisor Model</w:t>
      </w:r>
    </w:p>
    <w:p w14:paraId="65D1CC36"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For much of the first decade of large-scale cloud computing, server virtualization built on hypervisors was the dominant way of dividing physical infrastructure among multiple workloads. Hypervisor-based virtual machines (VMs) emulate a complete hardware environment, so that several guest operating systems can run side by side on one physical host while remaining mutually isolated (Pearce et al., 2013). That isolation has long been prized for the strength of its security boundary, but it carries a structural cost: every VM duplicates a full guest kernel, a set of device drivers, and an independent memory footprint, all of which limit density and slow provisioning (Bhardwaj &amp; Krishna, 2021). As cloud workloads diversified to include high-performance computing, large-scale data analytics and geographically distributed applications, it became reasonable to ask whether the hypervisor model could scale down efficiently enough to match the granularity that frequently redeployed modern services demanded (</w:t>
      </w:r>
      <w:proofErr w:type="spellStart"/>
      <w:r w:rsidRPr="00C93EFA">
        <w:rPr>
          <w:rFonts w:ascii="Times New Roman" w:eastAsia="Times New Roman" w:hAnsi="Times New Roman" w:cs="Times New Roman"/>
          <w:sz w:val="24"/>
          <w:szCs w:val="24"/>
          <w:lang w:eastAsia="en-GB"/>
        </w:rPr>
        <w:t>Casalicchio</w:t>
      </w:r>
      <w:proofErr w:type="spellEnd"/>
      <w:r w:rsidRPr="00C93EFA">
        <w:rPr>
          <w:rFonts w:ascii="Times New Roman" w:eastAsia="Times New Roman" w:hAnsi="Times New Roman" w:cs="Times New Roman"/>
          <w:sz w:val="24"/>
          <w:szCs w:val="24"/>
          <w:lang w:eastAsia="en-GB"/>
        </w:rPr>
        <w:t xml:space="preserve"> &amp; Iannucci, 2020). It was against this </w:t>
      </w:r>
      <w:r w:rsidRPr="00C93EFA">
        <w:rPr>
          <w:rFonts w:ascii="Times New Roman" w:eastAsia="Times New Roman" w:hAnsi="Times New Roman" w:cs="Times New Roman"/>
          <w:sz w:val="24"/>
          <w:szCs w:val="24"/>
          <w:lang w:eastAsia="en-GB"/>
        </w:rPr>
        <w:lastRenderedPageBreak/>
        <w:t>backdrop that operating-system-level virtualization — isolation enforced through kernel namespaces and control groups rather than emulated hardware — began to draw serious academic and industrial interest as a lighter alternative.</w:t>
      </w:r>
    </w:p>
    <w:p w14:paraId="3C941579"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1.2 Docker and the Containerization Turn</w:t>
      </w:r>
    </w:p>
    <w:p w14:paraId="1808A557"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Docker did not invent operating-system-level virtualization, but it standardised and popularised it in a way earlier Linux container technologies had not managed, chiefly by pairing kernel isolation primitives with a portable image format and a simple build-and-distribute workflow (Bentaleb et al., 2022). The effect was that a container could bundle an application together with its runtime dependencies into a single, versioned artefact that behaved consistently from a developer's laptop through to production infrastructure. Practitioner surveys suggest that this portability, more than any single performance characteristic, is what developers most often cite as their reason for adopting Docker and companion tools such as Docker Compose (Reis et al., 2022). The subsequent growth of container registries, base images and </w:t>
      </w:r>
      <w:proofErr w:type="spellStart"/>
      <w:r w:rsidRPr="00C93EFA">
        <w:rPr>
          <w:rFonts w:ascii="Times New Roman" w:eastAsia="Times New Roman" w:hAnsi="Times New Roman" w:cs="Times New Roman"/>
          <w:sz w:val="24"/>
          <w:szCs w:val="24"/>
          <w:lang w:eastAsia="en-GB"/>
        </w:rPr>
        <w:t>Dockerfile</w:t>
      </w:r>
      <w:proofErr w:type="spellEnd"/>
      <w:r w:rsidRPr="00C93EFA">
        <w:rPr>
          <w:rFonts w:ascii="Times New Roman" w:eastAsia="Times New Roman" w:hAnsi="Times New Roman" w:cs="Times New Roman"/>
          <w:sz w:val="24"/>
          <w:szCs w:val="24"/>
          <w:lang w:eastAsia="en-GB"/>
        </w:rPr>
        <w:t>-authoring conventions created an ecosystem whose quality characteristics — image size, layering discipline, dependency pinning, security posture — have themselves become objects of study (Rosa et al., 2023). Reviews of the wider container literature describe this period as one in which containerization moved from a niche systems-research topic to the default deployment unit across cloud, edge and high-performance computing settings (Pahl et al., 2019).</w:t>
      </w:r>
    </w:p>
    <w:p w14:paraId="1EBBC10A"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1.3 The Conceptual Convergence of Containers, DevOps, and Microservices</w:t>
      </w:r>
    </w:p>
    <w:p w14:paraId="23E96C95"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Containerization did not mature in isolation. It developed alongside, and in close conceptual partnership with, two other movements: DevOps, understood as a collaborative effort to automate and accelerate the delivery of reliable software (Leite et al., 2019), and microservices architecture, an approach to system design in which an application is decomposed into a set of small, independently deployable services (Di Francesco et al., 2019). The relationship between these three phenomena is better described as mutually reinforcing than strictly causal. Containers offer a packaging unit well suited to the granularity of microservices, while the automation ethos of DevOps depends on artefacts — container images among them — that can be built, tested and promoted through a pipeline with minimal manual intervention. Industrial case studies of migration to microservices repeatedly cite containerization as one of the technical enablers that made the architectural style operationally workable (</w:t>
      </w:r>
      <w:proofErr w:type="spellStart"/>
      <w:r w:rsidRPr="00C93EFA">
        <w:rPr>
          <w:rFonts w:ascii="Times New Roman" w:eastAsia="Times New Roman" w:hAnsi="Times New Roman" w:cs="Times New Roman"/>
          <w:sz w:val="24"/>
          <w:szCs w:val="24"/>
          <w:lang w:eastAsia="en-GB"/>
        </w:rPr>
        <w:t>Balalaie</w:t>
      </w:r>
      <w:proofErr w:type="spellEnd"/>
      <w:r w:rsidRPr="00C93EFA">
        <w:rPr>
          <w:rFonts w:ascii="Times New Roman" w:eastAsia="Times New Roman" w:hAnsi="Times New Roman" w:cs="Times New Roman"/>
          <w:sz w:val="24"/>
          <w:szCs w:val="24"/>
          <w:lang w:eastAsia="en-GB"/>
        </w:rPr>
        <w:t xml:space="preserve"> et al., 2018). At the same time, the literature warns against treating this convergence as inevitable or universally beneficial: it contains numerous accounts of organisations that adopted containers, microservices or DevOps practices without realising the gains they expected, and a strand of research has emerged specifically to catalogue the resulting pains alongside the gains (Soldani et al., 2018).</w:t>
      </w:r>
    </w:p>
    <w:p w14:paraId="4CF762B3"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1.4 Scope and Objectives of This Review</w:t>
      </w:r>
    </w:p>
    <w:p w14:paraId="49924D4F"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This review addresses three interlocking questions. First, what does the peer-reviewed literature establish about the technical characteristics of container-based virtualization, including its performance relative to hypervisor-based alternatives and its orchestration through platforms such as Kubernetes? Second, how has containerization, exemplified by Docker, interacted empirically with the adoption and practice of DevOps, particularly with respect to continuous integration and delivery? Third, what does the evidence say about the design, migration and operational consequences of microservices architecture, and how does </w:t>
      </w:r>
      <w:r w:rsidRPr="00C93EFA">
        <w:rPr>
          <w:rFonts w:ascii="Times New Roman" w:eastAsia="Times New Roman" w:hAnsi="Times New Roman" w:cs="Times New Roman"/>
          <w:sz w:val="24"/>
          <w:szCs w:val="24"/>
          <w:lang w:eastAsia="en-GB"/>
        </w:rPr>
        <w:lastRenderedPageBreak/>
        <w:t>container technology mediate those consequences, including with respect to security and governance? The review is bounded to peer-reviewed journal literature in software engineering, cloud computing and adjacent computer science sub-disciplines, and it deliberately seeks out points of empirical agreement, points of contestation, and gaps where the evidence remains thin. The aim is not to produce an implementation guide or a technology comparison of the kind found in practitioner literature, but to synthesise and critically appraise what the scholarly record permits one to conclude about Docker's part in reshaping software delivery practice.</w:t>
      </w:r>
    </w:p>
    <w:p w14:paraId="0CACB934" w14:textId="77777777" w:rsidR="00C93EFA" w:rsidRPr="00C93EFA" w:rsidRDefault="00C93EFA" w:rsidP="00C93EF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93EFA">
        <w:rPr>
          <w:rFonts w:ascii="Times New Roman" w:eastAsia="Times New Roman" w:hAnsi="Times New Roman" w:cs="Times New Roman"/>
          <w:b/>
          <w:bCs/>
          <w:sz w:val="27"/>
          <w:szCs w:val="27"/>
          <w:lang w:eastAsia="en-GB"/>
        </w:rPr>
        <w:t>2. Methods for Literature Selection</w:t>
      </w:r>
    </w:p>
    <w:p w14:paraId="5949A9C6"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This review follows a narrative rather than a systematic review methodology. A fully systematic review — with a pre-registered protocol, exhaustive search strings and formal quality-scoring of every retrieved record — suits narrowly defined empirical questions that lend themselves to quantitative synthesis. The subject matter here spans technical performance evaluation, organisational adoption research, architectural design science and security taxonomy, a breadth better served by a narrative synthesis able to connect findings across sub-literatures that rarely cite one another directly. This choice follows established guidance on review typologies, which distinguishes the critical narrative review — oriented towards conceptual synthesis and the identification of consensus and disagreement — from systematic and mapping reviews oriented towards exhaustive enumeration of a tightly scoped evidence base (Grant &amp; Booth, 2009). The search and selection process below was nonetheless conducted with a documented and reproducible structure, even though it does not claim the exhaustiveness of a formal systematic review.</w:t>
      </w:r>
    </w:p>
    <w:p w14:paraId="7A02FF5F"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The principal general-purpose databases searched were Web of Science, Scopus, Google Scholar and PubMed, the last included chiefly to capture cross-disciplinary methodological literature on review conduct rather than substantive computing content. These were supplemented by field-specific indexing resources commonly used in software engineering and computing research: the ACM Digital Library index, the IEEE Xplore index, the SpringerLink computer science collection, the ScienceDirect computer science and engineering collection, DBLP, and the DOAJ index of open-access journals, the last being useful for identifying peer-reviewed open-access venues such as those in the Springer Journal of Cloud Computing series. Search strings combined the core technological terms ("container*" OR "containerization" OR "containerisation" OR "Docker") with terms denoting the surrounding socio-technical phenomena ("DevOps" OR "continuous integration" OR "continuous delivery" OR "continuous deployment") and with terms denoting architectural style ("microservice*" OR "service-oriented architecture"), connected with Boolean operators adapted to each index's syntax. Supplementary searches paired "container*" with "Kubernetes," "orchestration," "security," "vulnerability," "serverless" and "edge computing" to ensure adequate coverage of the orchestration and security sub-literatures.</w:t>
      </w:r>
    </w:p>
    <w:p w14:paraId="600BD5AC"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The search privileged the period from 2013, the year of Docker's public release and a convenient marker for the onset of mainstream container adoption, through to a cut-off in early May 2026, the most recent point at which indexing could reasonably be regarded as complete at the time of writing. A small number of classic studies on hypervisor-based virtualization predating this window were retained where they supply conceptual grounding the subsequent container-specific literature depends on. Records were restricted to English-language publications, given the predominance of English-language venues in this sub-field </w:t>
      </w:r>
      <w:r w:rsidRPr="00C93EFA">
        <w:rPr>
          <w:rFonts w:ascii="Times New Roman" w:eastAsia="Times New Roman" w:hAnsi="Times New Roman" w:cs="Times New Roman"/>
          <w:sz w:val="24"/>
          <w:szCs w:val="24"/>
          <w:lang w:eastAsia="en-GB"/>
        </w:rPr>
        <w:lastRenderedPageBreak/>
        <w:t>and the practical constraints of appraisal. Inclusion was limited to peer-reviewed journal articles; conference proceedings, book chapters, theses, pre-prints, trade-press articles and vendor white papers were excluded from the formal evidence base, although a small number of pre-print or proceedings items encountered while searching were used only to corroborate findings already evidenced by an included journal article and do not themselves appear in the reference list. Where multiple databases returned the same record, duplicates were identified by digital object identifier and title-author matching and resolved to a single citation. Screening proceeded in two passes: an initial title-and-abstract pass excluding records manifestly outside scope (studies of container technology in domains such as shipping logistics, for instance, which share terminology but not subject matter), followed by a full-text pass in which retained records were assessed for methodological transparency, clarity of reported findings, and relevance to the review's three guiding questions. Influential studies — identified through a combination of citation count, frequency of co-citation with other retained records, and explicit recommendation in survey and mapping articles already included — were prioritised for close reading and are disproportionately represented in the synthesis that follows, consistent with the convention in narrative reviews of weighting attention towards work that has demonstrably shaped a field's trajectory rather than treating every retrieved record as equally salient.</w:t>
      </w:r>
    </w:p>
    <w:p w14:paraId="4111128F" w14:textId="77777777" w:rsidR="00C93EFA" w:rsidRPr="00C93EFA" w:rsidRDefault="00C93EFA" w:rsidP="00C93EF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93EFA">
        <w:rPr>
          <w:rFonts w:ascii="Times New Roman" w:eastAsia="Times New Roman" w:hAnsi="Times New Roman" w:cs="Times New Roman"/>
          <w:b/>
          <w:bCs/>
          <w:sz w:val="27"/>
          <w:szCs w:val="27"/>
          <w:lang w:eastAsia="en-GB"/>
        </w:rPr>
        <w:t>3. Theoretical and Technical Foundations of Containerization</w:t>
      </w:r>
    </w:p>
    <w:p w14:paraId="4701C114"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3.1 Virtualization versus Containerization: Architectural Distinctions</w:t>
      </w:r>
    </w:p>
    <w:p w14:paraId="295900E5"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The conceptual distinction between hypervisor-based and container-based virtualization rests on the layer at which isolation is enforced. Hypervisors interpose a virtual machine monitor between guest operating systems and physical hardware, presenting each guest with what looks like dedicated hardware and so permitting heterogeneous operating systems to coexist on shared infrastructure (Pearce et al., 2013). Containers, by contrast, share a single host kernel and achieve isolation through kernel-level constructs — namespaces, which partition the visibility of processes, networking and file systems, and control groups, which bound the resources each container may consume (Bhardwaj &amp; Krishna, 2021). This architectural choice carries direct consequences: containers can be instantiated far faster than virtual machines can be booted, and they typically need substantially less memory and storage, since they avoid duplicating an entire guest kernel and its associated services (</w:t>
      </w:r>
      <w:proofErr w:type="spellStart"/>
      <w:r w:rsidRPr="00C93EFA">
        <w:rPr>
          <w:rFonts w:ascii="Times New Roman" w:eastAsia="Times New Roman" w:hAnsi="Times New Roman" w:cs="Times New Roman"/>
          <w:sz w:val="24"/>
          <w:szCs w:val="24"/>
          <w:lang w:eastAsia="en-GB"/>
        </w:rPr>
        <w:t>Casalicchio</w:t>
      </w:r>
      <w:proofErr w:type="spellEnd"/>
      <w:r w:rsidRPr="00C93EFA">
        <w:rPr>
          <w:rFonts w:ascii="Times New Roman" w:eastAsia="Times New Roman" w:hAnsi="Times New Roman" w:cs="Times New Roman"/>
          <w:sz w:val="24"/>
          <w:szCs w:val="24"/>
          <w:lang w:eastAsia="en-GB"/>
        </w:rPr>
        <w:t xml:space="preserve"> &amp; Iannucci, 2020). The trade-off is a narrower isolation boundary: a vulnerability in the shared host kernel can, in principle, compromise every container running on top of it, a concern that recurs throughout the security literature discussed in Section 7.</w:t>
      </w:r>
    </w:p>
    <w:p w14:paraId="568428DB"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Surveys that map this literature consistently organise the field around the isolation-versus-efficiency trade-off, while also noting that the practical distinction has blurred somewhat with the emergence of hybrid approaches that combine lightweight virtual machines with container-like interfaces specifically to recover stronger isolation without fully reverting to traditional hypervisor overheads (Bentaleb et al., 2022). Reviews of cloud container technologies situate Docker within this landscape as the technology that, more than any predecessor, turned container images into a portable, shareable unit of software distribution rather than merely a host-local mechanism for process isolation (Pahl et al., 2019). This shift in emphasis — from isolation mechanism to distributable artefact — is arguably the single most consequential move in the containerization literature, because it is precisely this property that later allowed containers to function as the substrate for continuous delivery pipelines and for the granular service boundaries characteristic of microservices architecture.</w:t>
      </w:r>
    </w:p>
    <w:p w14:paraId="27204755"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lastRenderedPageBreak/>
        <w:t>3.2 Docker's Engineering Model: Images, Layers, and Isolation Primitives</w:t>
      </w:r>
    </w:p>
    <w:p w14:paraId="1C5D3F54"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Docker's engineering model rests on three elements: a layered, copy-on-write image format that expresses incremental changes as new layers stacked on a shared base; a declarative build specification, the </w:t>
      </w:r>
      <w:proofErr w:type="spellStart"/>
      <w:r w:rsidRPr="00C93EFA">
        <w:rPr>
          <w:rFonts w:ascii="Times New Roman" w:eastAsia="Times New Roman" w:hAnsi="Times New Roman" w:cs="Times New Roman"/>
          <w:sz w:val="24"/>
          <w:szCs w:val="24"/>
          <w:lang w:eastAsia="en-GB"/>
        </w:rPr>
        <w:t>Dockerfile</w:t>
      </w:r>
      <w:proofErr w:type="spellEnd"/>
      <w:r w:rsidRPr="00C93EFA">
        <w:rPr>
          <w:rFonts w:ascii="Times New Roman" w:eastAsia="Times New Roman" w:hAnsi="Times New Roman" w:cs="Times New Roman"/>
          <w:sz w:val="24"/>
          <w:szCs w:val="24"/>
          <w:lang w:eastAsia="en-GB"/>
        </w:rPr>
        <w:t xml:space="preserve">, from which images are constructed; and a runtime that maps these images onto kernel namespaces and control groups at the point of execution. The layering model has drawn particular empirical scrutiny, because how developers compose </w:t>
      </w:r>
      <w:proofErr w:type="spellStart"/>
      <w:r w:rsidRPr="00C93EFA">
        <w:rPr>
          <w:rFonts w:ascii="Times New Roman" w:eastAsia="Times New Roman" w:hAnsi="Times New Roman" w:cs="Times New Roman"/>
          <w:sz w:val="24"/>
          <w:szCs w:val="24"/>
          <w:lang w:eastAsia="en-GB"/>
        </w:rPr>
        <w:t>Dockerfiles</w:t>
      </w:r>
      <w:proofErr w:type="spellEnd"/>
      <w:r w:rsidRPr="00C93EFA">
        <w:rPr>
          <w:rFonts w:ascii="Times New Roman" w:eastAsia="Times New Roman" w:hAnsi="Times New Roman" w:cs="Times New Roman"/>
          <w:sz w:val="24"/>
          <w:szCs w:val="24"/>
          <w:lang w:eastAsia="en-GB"/>
        </w:rPr>
        <w:t xml:space="preserve"> materially affects image size, build reproducibility and the surface area exposed to vulnerability. Work examining the criteria developers apply when choosing a base image to extend identifies two broad families of quality concern: configuration-related features tied to the structure and content of the </w:t>
      </w:r>
      <w:proofErr w:type="spellStart"/>
      <w:r w:rsidRPr="00C93EFA">
        <w:rPr>
          <w:rFonts w:ascii="Times New Roman" w:eastAsia="Times New Roman" w:hAnsi="Times New Roman" w:cs="Times New Roman"/>
          <w:sz w:val="24"/>
          <w:szCs w:val="24"/>
          <w:lang w:eastAsia="en-GB"/>
        </w:rPr>
        <w:t>Dockerfile</w:t>
      </w:r>
      <w:proofErr w:type="spellEnd"/>
      <w:r w:rsidRPr="00C93EFA">
        <w:rPr>
          <w:rFonts w:ascii="Times New Roman" w:eastAsia="Times New Roman" w:hAnsi="Times New Roman" w:cs="Times New Roman"/>
          <w:sz w:val="24"/>
          <w:szCs w:val="24"/>
          <w:lang w:eastAsia="en-GB"/>
        </w:rPr>
        <w:t xml:space="preserve"> itself, and image-related features tied to the resulting artefact's size, layer count and community provenance (Rosa et al., 2023). This split matters because it shows that quality in the Docker ecosystem is not a single attribute but a composite of authoring discipline and downstream artefact characteristics — a distinction with practical implications for how organisations govern their internal image catalogues.</w:t>
      </w:r>
    </w:p>
    <w:p w14:paraId="40533CE0"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Taxonomic surveys situate Docker's isolation primitives — namespaces for process, network, mount, user and inter-process communication isolation, and control groups for bounding CPU, memory and I/O consumption — within a broader comparative framework that also takes in alternative container engines and orchestration-adjacent runtimes, while noting that the performance metrics most often reported (startup latency, memory footprint, throughput under load) vary considerably with workload type and the maturity of the specific runtime under test (Bentaleb et al., 2022). A systematic literature review of container maintenance practices, synthesising findings across a substantial body of primary studies, reports that the largest single concentration of research effort addresses container scheduling techniques, accounting for roughly two-fifths of the studies reviewed, with performance evaluation, security measures and image detection processes each accounting for smaller but still substantial shares (Malhotra et al., 2024). This distribution is itself informative: it suggests that once Docker's basic engineering model had stabilised, academic interest shifted quickly towards the operational concerns of running containers at scale — precisely the orchestration and security territory examined in Sections 4 and 7.</w:t>
      </w:r>
    </w:p>
    <w:p w14:paraId="54534287"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Developer-facing empirical work corroborates the practical weight of these engineering choices. A survey of practitioners authoring Docker and Docker Compose specifications found that developers frequently struggle with multi-container composition, dependency ordering and the upkeep of configuration files as systems evolve — difficulties not fully anticipated by the comparatively simple conceptual model that introductory documentation tends to present (Reis et al., 2022). This gap between conceptual simplicity and operational complexity is a theme that recurs throughout the literature reviewed in this article, and it is one of the more consistent findings to emerge from practitioner-oriented empirical work on container technology.</w:t>
      </w:r>
    </w:p>
    <w:p w14:paraId="192C1720"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3.3 Performance and Resource Efficiency: The Empirical Record</w:t>
      </w:r>
    </w:p>
    <w:p w14:paraId="4B7FF78C"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The performance case for containers relative to virtual machines has been examined extensively, and the empirical record, while broadly favourable to containers, is more nuanced than popular accounts sometimes suggest. An early and influential comparison of container-based technologies for cloud deployment found negligible overhead on memory utilisation and CPU consumption when containers were set against bare-metal execution, but identified measurable overheads in input-output operations and other interactions with the </w:t>
      </w:r>
      <w:r w:rsidRPr="00C93EFA">
        <w:rPr>
          <w:rFonts w:ascii="Times New Roman" w:eastAsia="Times New Roman" w:hAnsi="Times New Roman" w:cs="Times New Roman"/>
          <w:sz w:val="24"/>
          <w:szCs w:val="24"/>
          <w:lang w:eastAsia="en-GB"/>
        </w:rPr>
        <w:lastRenderedPageBreak/>
        <w:t>underlying operating system, particularly under storage-intensive workloads (</w:t>
      </w:r>
      <w:proofErr w:type="spellStart"/>
      <w:r w:rsidRPr="00C93EFA">
        <w:rPr>
          <w:rFonts w:ascii="Times New Roman" w:eastAsia="Times New Roman" w:hAnsi="Times New Roman" w:cs="Times New Roman"/>
          <w:sz w:val="24"/>
          <w:szCs w:val="24"/>
          <w:lang w:eastAsia="en-GB"/>
        </w:rPr>
        <w:t>Kozhirbayev</w:t>
      </w:r>
      <w:proofErr w:type="spellEnd"/>
      <w:r w:rsidRPr="00C93EFA">
        <w:rPr>
          <w:rFonts w:ascii="Times New Roman" w:eastAsia="Times New Roman" w:hAnsi="Times New Roman" w:cs="Times New Roman"/>
          <w:sz w:val="24"/>
          <w:szCs w:val="24"/>
          <w:lang w:eastAsia="en-GB"/>
        </w:rPr>
        <w:t xml:space="preserve"> &amp; Sinnott, 2017). This pattern — near-native performance for compute-bound tasks, more variable behaviour for I/O-bound tasks — has been replicated in subsequent work on specific application classes. A study evaluating containers and virtual machines running a distributed database workload concurrently found that Docker containers carried lower overhead than a comparable VMware-based deployment, with performance approaching a non-virtualised baseline, although the size of the advantage depended on how many instances were co-located and the resulting contention for shared resources (</w:t>
      </w:r>
      <w:proofErr w:type="spellStart"/>
      <w:r w:rsidRPr="00C93EFA">
        <w:rPr>
          <w:rFonts w:ascii="Times New Roman" w:eastAsia="Times New Roman" w:hAnsi="Times New Roman" w:cs="Times New Roman"/>
          <w:sz w:val="24"/>
          <w:szCs w:val="24"/>
          <w:lang w:eastAsia="en-GB"/>
        </w:rPr>
        <w:t>Shirinbab</w:t>
      </w:r>
      <w:proofErr w:type="spellEnd"/>
      <w:r w:rsidRPr="00C93EFA">
        <w:rPr>
          <w:rFonts w:ascii="Times New Roman" w:eastAsia="Times New Roman" w:hAnsi="Times New Roman" w:cs="Times New Roman"/>
          <w:sz w:val="24"/>
          <w:szCs w:val="24"/>
          <w:lang w:eastAsia="en-GB"/>
        </w:rPr>
        <w:t xml:space="preserve"> et al., 2020).</w:t>
      </w:r>
    </w:p>
    <w:p w14:paraId="0748964C"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More recent experimental work has extended this comparison to the increasingly common scenario in which containers run on top of virtual machines rather than directly on bare metal, a configuration typical of public cloud infrastructure-as-a-service offerings. This work found that the choice of containerization platform and its associated storage driver materially affects input-output performance — differences attributable, for example, to whether the container runtime uses an overlay file system or an alternative storage backend — and it additionally noted that security-oriented design choices, such as defaulting to non-root container execution, can themselves carry a measurable performance cost (</w:t>
      </w:r>
      <w:proofErr w:type="spellStart"/>
      <w:r w:rsidRPr="00C93EFA">
        <w:rPr>
          <w:rFonts w:ascii="Times New Roman" w:eastAsia="Times New Roman" w:hAnsi="Times New Roman" w:cs="Times New Roman"/>
          <w:sz w:val="24"/>
          <w:szCs w:val="24"/>
          <w:lang w:eastAsia="en-GB"/>
        </w:rPr>
        <w:t>Aqasizade</w:t>
      </w:r>
      <w:proofErr w:type="spellEnd"/>
      <w:r w:rsidRPr="00C93EFA">
        <w:rPr>
          <w:rFonts w:ascii="Times New Roman" w:eastAsia="Times New Roman" w:hAnsi="Times New Roman" w:cs="Times New Roman"/>
          <w:sz w:val="24"/>
          <w:szCs w:val="24"/>
          <w:lang w:eastAsia="en-GB"/>
        </w:rPr>
        <w:t xml:space="preserve"> et al., 2025). Taken together, this body of work supports a qualified rather than unconditional claim: containers generally offer superior density and faster provisioning than hypervisor-based virtual machines, but the size of any given performance advantage is workload-dependent, sensitive to the specific runtime and storage driver in use, and not spread evenly across the resource dimensions that matter to operators. Broader reviews of the virtualization-to-containerization transition reach a similar conclusion, cautioning that performance claims drawn from a narrow set of benchmarks should not be generalised without regard for the heterogeneity of production workloads (Bhardwaj &amp; Krishna, 2021).</w:t>
      </w:r>
    </w:p>
    <w:p w14:paraId="06BA8C53"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Table 1 sets out the principal performance dimensions examined in this literature, the general direction of the reported findings, and the qualifications attached to each.</w:t>
      </w:r>
    </w:p>
    <w:p w14:paraId="3DA5EDCC"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b/>
          <w:bCs/>
          <w:sz w:val="24"/>
          <w:szCs w:val="24"/>
          <w:lang w:eastAsia="en-GB"/>
        </w:rPr>
        <w:t>Table 1. Reported performance characteristics of containers relative to hypervisor-based virtual machines</w:t>
      </w:r>
    </w:p>
    <w:tbl>
      <w:tblPr>
        <w:tblStyle w:val="TableGrid"/>
        <w:tblW w:w="0" w:type="auto"/>
        <w:tblLook w:val="04A0" w:firstRow="1" w:lastRow="0" w:firstColumn="1" w:lastColumn="0" w:noHBand="0" w:noVBand="1"/>
      </w:tblPr>
      <w:tblGrid>
        <w:gridCol w:w="2730"/>
        <w:gridCol w:w="2877"/>
        <w:gridCol w:w="3635"/>
      </w:tblGrid>
      <w:tr w:rsidR="00C93EFA" w:rsidRPr="00C93EFA" w14:paraId="71CB8E51" w14:textId="77777777" w:rsidTr="00EA47D4">
        <w:tc>
          <w:tcPr>
            <w:tcW w:w="0" w:type="auto"/>
            <w:hideMark/>
          </w:tcPr>
          <w:p w14:paraId="21A073F1" w14:textId="77777777" w:rsidR="00C93EFA" w:rsidRPr="00C93EFA" w:rsidRDefault="00C93EFA" w:rsidP="00C93EFA">
            <w:pPr>
              <w:jc w:val="center"/>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Performance dimension</w:t>
            </w:r>
          </w:p>
        </w:tc>
        <w:tc>
          <w:tcPr>
            <w:tcW w:w="0" w:type="auto"/>
            <w:hideMark/>
          </w:tcPr>
          <w:p w14:paraId="238CAD4F" w14:textId="77777777" w:rsidR="00C93EFA" w:rsidRPr="00C93EFA" w:rsidRDefault="00C93EFA" w:rsidP="00C93EFA">
            <w:pPr>
              <w:jc w:val="center"/>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General direction of findings</w:t>
            </w:r>
          </w:p>
        </w:tc>
        <w:tc>
          <w:tcPr>
            <w:tcW w:w="0" w:type="auto"/>
            <w:hideMark/>
          </w:tcPr>
          <w:p w14:paraId="66E1717C" w14:textId="77777777" w:rsidR="00C93EFA" w:rsidRPr="00C93EFA" w:rsidRDefault="00C93EFA" w:rsidP="00C93EFA">
            <w:pPr>
              <w:jc w:val="center"/>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Principal qualification reported</w:t>
            </w:r>
          </w:p>
        </w:tc>
      </w:tr>
      <w:tr w:rsidR="00C93EFA" w:rsidRPr="00C93EFA" w14:paraId="7ABBBCCB" w14:textId="77777777" w:rsidTr="00EA47D4">
        <w:tc>
          <w:tcPr>
            <w:tcW w:w="0" w:type="auto"/>
            <w:hideMark/>
          </w:tcPr>
          <w:p w14:paraId="291FA553"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CPU utilisation</w:t>
            </w:r>
          </w:p>
        </w:tc>
        <w:tc>
          <w:tcPr>
            <w:tcW w:w="0" w:type="auto"/>
            <w:hideMark/>
          </w:tcPr>
          <w:p w14:paraId="3E162A35"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Near-native performance; minimal overhead</w:t>
            </w:r>
          </w:p>
        </w:tc>
        <w:tc>
          <w:tcPr>
            <w:tcW w:w="0" w:type="auto"/>
            <w:hideMark/>
          </w:tcPr>
          <w:p w14:paraId="735E10E9"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Convergence with VM performance under heavy multi-tenant contention</w:t>
            </w:r>
          </w:p>
        </w:tc>
      </w:tr>
      <w:tr w:rsidR="00C93EFA" w:rsidRPr="00C93EFA" w14:paraId="194DC28C" w14:textId="77777777" w:rsidTr="00EA47D4">
        <w:tc>
          <w:tcPr>
            <w:tcW w:w="0" w:type="auto"/>
            <w:hideMark/>
          </w:tcPr>
          <w:p w14:paraId="0F46A538"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Memory footprint</w:t>
            </w:r>
          </w:p>
        </w:tc>
        <w:tc>
          <w:tcPr>
            <w:tcW w:w="0" w:type="auto"/>
            <w:hideMark/>
          </w:tcPr>
          <w:p w14:paraId="243D175C"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Substantially lower than VMs</w:t>
            </w:r>
          </w:p>
        </w:tc>
        <w:tc>
          <w:tcPr>
            <w:tcW w:w="0" w:type="auto"/>
            <w:hideMark/>
          </w:tcPr>
          <w:p w14:paraId="56B5D8DF"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Advantage narrows when many containers share a host under load</w:t>
            </w:r>
          </w:p>
        </w:tc>
      </w:tr>
      <w:tr w:rsidR="00C93EFA" w:rsidRPr="00C93EFA" w14:paraId="7FC722B7" w14:textId="77777777" w:rsidTr="00EA47D4">
        <w:tc>
          <w:tcPr>
            <w:tcW w:w="0" w:type="auto"/>
            <w:hideMark/>
          </w:tcPr>
          <w:p w14:paraId="572D3F0A"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Provisioning/startup latency</w:t>
            </w:r>
          </w:p>
        </w:tc>
        <w:tc>
          <w:tcPr>
            <w:tcW w:w="0" w:type="auto"/>
            <w:hideMark/>
          </w:tcPr>
          <w:p w14:paraId="7DD835BA"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Markedly faster container instantiation</w:t>
            </w:r>
          </w:p>
        </w:tc>
        <w:tc>
          <w:tcPr>
            <w:tcW w:w="0" w:type="auto"/>
            <w:hideMark/>
          </w:tcPr>
          <w:p w14:paraId="6A920B44"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Latency increases with image size and layer count</w:t>
            </w:r>
          </w:p>
        </w:tc>
      </w:tr>
      <w:tr w:rsidR="00C93EFA" w:rsidRPr="00C93EFA" w14:paraId="153185F2" w14:textId="77777777" w:rsidTr="00EA47D4">
        <w:tc>
          <w:tcPr>
            <w:tcW w:w="0" w:type="auto"/>
            <w:hideMark/>
          </w:tcPr>
          <w:p w14:paraId="158BBFB8"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Input-output and storage throughput</w:t>
            </w:r>
          </w:p>
        </w:tc>
        <w:tc>
          <w:tcPr>
            <w:tcW w:w="0" w:type="auto"/>
            <w:hideMark/>
          </w:tcPr>
          <w:p w14:paraId="2D46A56D"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More variable; overhead observed in several studies</w:t>
            </w:r>
          </w:p>
        </w:tc>
        <w:tc>
          <w:tcPr>
            <w:tcW w:w="0" w:type="auto"/>
            <w:hideMark/>
          </w:tcPr>
          <w:p w14:paraId="0A450730"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Sensitive to storage driver and runtime selection</w:t>
            </w:r>
          </w:p>
        </w:tc>
      </w:tr>
      <w:tr w:rsidR="00C93EFA" w:rsidRPr="00C93EFA" w14:paraId="50AF2939" w14:textId="77777777" w:rsidTr="00EA47D4">
        <w:tc>
          <w:tcPr>
            <w:tcW w:w="0" w:type="auto"/>
            <w:hideMark/>
          </w:tcPr>
          <w:p w14:paraId="27EC4FA9"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Network throughput</w:t>
            </w:r>
          </w:p>
        </w:tc>
        <w:tc>
          <w:tcPr>
            <w:tcW w:w="0" w:type="auto"/>
            <w:hideMark/>
          </w:tcPr>
          <w:p w14:paraId="2FB8C975"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Generally comparable to native performance</w:t>
            </w:r>
          </w:p>
        </w:tc>
        <w:tc>
          <w:tcPr>
            <w:tcW w:w="0" w:type="auto"/>
            <w:hideMark/>
          </w:tcPr>
          <w:p w14:paraId="5F1556C8"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Differs across hypervisor combinations and container engines</w:t>
            </w:r>
          </w:p>
        </w:tc>
      </w:tr>
    </w:tbl>
    <w:p w14:paraId="6ACD3F21"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i/>
          <w:iCs/>
          <w:sz w:val="24"/>
          <w:szCs w:val="24"/>
          <w:lang w:eastAsia="en-GB"/>
        </w:rPr>
        <w:t xml:space="preserve">Sources: </w:t>
      </w:r>
      <w:proofErr w:type="spellStart"/>
      <w:r w:rsidRPr="00C93EFA">
        <w:rPr>
          <w:rFonts w:ascii="Times New Roman" w:eastAsia="Times New Roman" w:hAnsi="Times New Roman" w:cs="Times New Roman"/>
          <w:i/>
          <w:iCs/>
          <w:sz w:val="24"/>
          <w:szCs w:val="24"/>
          <w:lang w:eastAsia="en-GB"/>
        </w:rPr>
        <w:t>Kozhirbayev</w:t>
      </w:r>
      <w:proofErr w:type="spellEnd"/>
      <w:r w:rsidRPr="00C93EFA">
        <w:rPr>
          <w:rFonts w:ascii="Times New Roman" w:eastAsia="Times New Roman" w:hAnsi="Times New Roman" w:cs="Times New Roman"/>
          <w:i/>
          <w:iCs/>
          <w:sz w:val="24"/>
          <w:szCs w:val="24"/>
          <w:lang w:eastAsia="en-GB"/>
        </w:rPr>
        <w:t xml:space="preserve"> and Sinnott (2017); </w:t>
      </w:r>
      <w:proofErr w:type="spellStart"/>
      <w:r w:rsidRPr="00C93EFA">
        <w:rPr>
          <w:rFonts w:ascii="Times New Roman" w:eastAsia="Times New Roman" w:hAnsi="Times New Roman" w:cs="Times New Roman"/>
          <w:i/>
          <w:iCs/>
          <w:sz w:val="24"/>
          <w:szCs w:val="24"/>
          <w:lang w:eastAsia="en-GB"/>
        </w:rPr>
        <w:t>Shirinbab</w:t>
      </w:r>
      <w:proofErr w:type="spellEnd"/>
      <w:r w:rsidRPr="00C93EFA">
        <w:rPr>
          <w:rFonts w:ascii="Times New Roman" w:eastAsia="Times New Roman" w:hAnsi="Times New Roman" w:cs="Times New Roman"/>
          <w:i/>
          <w:iCs/>
          <w:sz w:val="24"/>
          <w:szCs w:val="24"/>
          <w:lang w:eastAsia="en-GB"/>
        </w:rPr>
        <w:t xml:space="preserve"> et al. (2020); </w:t>
      </w:r>
      <w:proofErr w:type="spellStart"/>
      <w:r w:rsidRPr="00C93EFA">
        <w:rPr>
          <w:rFonts w:ascii="Times New Roman" w:eastAsia="Times New Roman" w:hAnsi="Times New Roman" w:cs="Times New Roman"/>
          <w:i/>
          <w:iCs/>
          <w:sz w:val="24"/>
          <w:szCs w:val="24"/>
          <w:lang w:eastAsia="en-GB"/>
        </w:rPr>
        <w:t>Aqasizade</w:t>
      </w:r>
      <w:proofErr w:type="spellEnd"/>
      <w:r w:rsidRPr="00C93EFA">
        <w:rPr>
          <w:rFonts w:ascii="Times New Roman" w:eastAsia="Times New Roman" w:hAnsi="Times New Roman" w:cs="Times New Roman"/>
          <w:i/>
          <w:iCs/>
          <w:sz w:val="24"/>
          <w:szCs w:val="24"/>
          <w:lang w:eastAsia="en-GB"/>
        </w:rPr>
        <w:t xml:space="preserve"> et al. (2025); Bhardwaj and Krishna (2021).</w:t>
      </w:r>
    </w:p>
    <w:p w14:paraId="5EFBC382"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lastRenderedPageBreak/>
        <w:t>The table illustrates a pattern that recurs throughout this review: container technology delivers consistent, well-evidenced advantages in resource density and provisioning speed, while its advantages in storage and network performance are more conditional, hinging on implementation choices that are themselves the subject of ongoing comparative research. This nuance tends to be flattened in non-academic accounts of containerization, which often treat "lighter than a virtual machine" as an unqualified property rather than a workload-dependent empirical finding.</w:t>
      </w:r>
    </w:p>
    <w:p w14:paraId="7B882911" w14:textId="77777777" w:rsidR="00C93EFA" w:rsidRPr="00C93EFA" w:rsidRDefault="00C93EFA" w:rsidP="00C93EF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93EFA">
        <w:rPr>
          <w:rFonts w:ascii="Times New Roman" w:eastAsia="Times New Roman" w:hAnsi="Times New Roman" w:cs="Times New Roman"/>
          <w:b/>
          <w:bCs/>
          <w:sz w:val="27"/>
          <w:szCs w:val="27"/>
          <w:lang w:eastAsia="en-GB"/>
        </w:rPr>
        <w:t>4. Container Orchestration and the Cloud-Native Ecosystem</w:t>
      </w:r>
    </w:p>
    <w:p w14:paraId="319C5F06"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4.1 The Rise of Kubernetes and the Orchestration Layer</w:t>
      </w:r>
    </w:p>
    <w:p w14:paraId="56F627BE"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A single container, however efficiently packaged, does not by itself solve the problem of running a distributed application reliably across a fleet of machines. That is the problem orchestration platforms address, and Kubernetes has become the de facto standard at this layer of the cloud-native stack. Bibliometric analysis of the academic literature on container orchestration documents a marked and sustained rise in publication volume on Kubernetes from the mid-2010s onward, reflecting its consolidation as the reference orchestrator against which alternatives are typically benchmarked (Carrión, 2022a). The reasons for this consolidation are partly technical and partly path-dependent: once a critical mass of tooling, documentation and operator expertise had accumulated around Kubernetes, the cost of adopting an alternative orchestrator rose correspondingly — a dynamic the bibliometric record captures indirectly, through the sheer concentration of subsequent research effort on Kubernetes-specific concerns rather than on orchestration in the abstract.</w:t>
      </w:r>
    </w:p>
    <w:p w14:paraId="3C5F9790"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Reviews of cloud container technologies more broadly situate orchestration as the natural extension of the container abstraction, taken up once organisations moved beyond running isolated containers towards operating fleets of interdependent services, with orchestration responsible for placement, networking, health monitoring and reconciling a system's actual state with its declared desired state (Pahl et al., 2019). This reconciliation-based model, in which an orchestrator continuously works to bring a cluster into line with a specification, represents a further methodological convergence with DevOps practice, since it operationalises the principle of treating infrastructure configuration as a versioned, machine-readable artefact rather than as a sequence of manually executed administrative actions.</w:t>
      </w:r>
    </w:p>
    <w:p w14:paraId="3A464C99"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4.2 Scheduling, Resource Management, and Autoscaling</w:t>
      </w:r>
    </w:p>
    <w:p w14:paraId="35F568E4"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Within the orchestration layer, scheduling — assigning containerised workloads to physical or virtual nodes — has drawn a disproportionate share of academic attention relative to other orchestration concerns. A comprehensive review of Kubernetes scheduling research classifies the published algorithms into four broad categories: generic scheduling approaches that extend or replace the default Kubernetes scheduler with alternative heuristics; multi-objective optimisation-based scheduling that balances competing goals such as load balance, energy consumption and service-level compliance; artificial-intelligence-focused scheduling that applies machine learning or reinforcement learning to placement decisions; and autoscaling-enabled scheduling that couples placement with dynamic adjustment of the number of running replicas (</w:t>
      </w:r>
      <w:proofErr w:type="spellStart"/>
      <w:r w:rsidRPr="00C93EFA">
        <w:rPr>
          <w:rFonts w:ascii="Times New Roman" w:eastAsia="Times New Roman" w:hAnsi="Times New Roman" w:cs="Times New Roman"/>
          <w:sz w:val="24"/>
          <w:szCs w:val="24"/>
          <w:lang w:eastAsia="en-GB"/>
        </w:rPr>
        <w:t>Senjab</w:t>
      </w:r>
      <w:proofErr w:type="spellEnd"/>
      <w:r w:rsidRPr="00C93EFA">
        <w:rPr>
          <w:rFonts w:ascii="Times New Roman" w:eastAsia="Times New Roman" w:hAnsi="Times New Roman" w:cs="Times New Roman"/>
          <w:sz w:val="24"/>
          <w:szCs w:val="24"/>
          <w:lang w:eastAsia="en-GB"/>
        </w:rPr>
        <w:t xml:space="preserve"> et al., 2023). This taxonomy is corroborated by an independent review that develops its own classification of Kubernetes scheduling research covering the literature published between 2016 and 2022, and which identifies a persistent gap between the sophistication of proposed academic scheduling algorithms and the comparatively </w:t>
      </w:r>
      <w:r w:rsidRPr="00C93EFA">
        <w:rPr>
          <w:rFonts w:ascii="Times New Roman" w:eastAsia="Times New Roman" w:hAnsi="Times New Roman" w:cs="Times New Roman"/>
          <w:sz w:val="24"/>
          <w:szCs w:val="24"/>
          <w:lang w:eastAsia="en-GB"/>
        </w:rPr>
        <w:lastRenderedPageBreak/>
        <w:t>conservative defaults still used in most production deployments, attributing this gap partly to the absence of standardised benchmarks that would let practitioners compare alternative schedulers with confidence (Carrión, 2022b).</w:t>
      </w:r>
    </w:p>
    <w:p w14:paraId="22C5CE78"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The practical consequences of this scheduling research are most visible in resource-constrained or latency-sensitive deployment contexts, where a poor placement decision is amplified. Systematic reviews of container maintenance note that scheduling research interacts closely with the security and performance evaluation literatures discussed elsewhere in this article, since scheduling decisions affect not only throughput and latency but also the blast radius of any single compromised container, given that co-location policy determines which workloads share a kernel and, in many deployments, a network segment (Malhotra et al., 2024).</w:t>
      </w:r>
    </w:p>
    <w:p w14:paraId="198E8AB1"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4.3 Extending Containers to the Edge, IoT, and Serverless Computing</w:t>
      </w:r>
    </w:p>
    <w:p w14:paraId="0C6B6B84"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The orchestration model developed for data-centre-scale Kubernetes deployments has been progressively adapted to more constrained environments, including edge computing nodes and Internet of Things gateways, where compute, memory and network connectivity are all markedly more limited than in a centralised cloud. Empirical evaluation of orchestration tools designed for, or adapted to, edge environments finds that existing platforms differ considerably in how well they accommodate intermittently connected remote devices, and in how flexibly their scheduling logic can be tuned to edge-specific quality-of-service priorities; the authors caution that most supporting evidence in this sub-field has historically come from closed-network simulation rather than from deployment on genuine edge hardware (Čilić et al., 2023). This caution matters because it indicates that the orchestration literature, mature as it is in the centralised-cloud context, remains comparatively immature with respect to the heterogeneous, resource-constrained settings into which container technology is now being extended.</w:t>
      </w:r>
    </w:p>
    <w:p w14:paraId="100857CF"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A parallel extension has occurred towards serverless computing, where containers frequently serve as the underlying execution sandbox for ephemeral function invocations, even though the programming model presented to developers abstracts away explicit container management. A large-scale systematic survey of the serverless computing literature, reviewing 275 research papers published between 2016 and 2020, finds that scalability and the removal of server-side management responsibility are the most consistently reported advantages, while cold-start latency, vendor lock-in and the difficulty of testing distributed, event-driven applications composed of many small functions remain persistent and only partly resolved challenges (Hassan et al., 2021). A complementary systematic review focused specifically on serverless computing in Internet of Things contexts identifies a similar tension between the operational simplicity that serverless platforms promise and the latency and connectivity constraints typical of IoT deployments (Cassel et al., 2022). A further systematic review of the wider serverless literature corroborates this picture of a maturing but still fragmented research area, noting that much published work addresses narrow technical sub-problems — reducing cold-start latency, improving resource isolation between co-located functions — without yet converging on a unified architectural consensus (Wen et al., 2023).</w:t>
      </w:r>
    </w:p>
    <w:p w14:paraId="2B1D6429"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Table 2 brings together the principal orchestration-related technology categories discussed in this section, together with their characteristic deployment context and the central challenge most consistently identified for each in the literature reviewed.</w:t>
      </w:r>
    </w:p>
    <w:p w14:paraId="21984912"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b/>
          <w:bCs/>
          <w:sz w:val="24"/>
          <w:szCs w:val="24"/>
          <w:lang w:eastAsia="en-GB"/>
        </w:rPr>
        <w:lastRenderedPageBreak/>
        <w:t>Table 2. Container orchestration and its extensions across deployment contexts</w:t>
      </w:r>
    </w:p>
    <w:tbl>
      <w:tblPr>
        <w:tblStyle w:val="TableGrid"/>
        <w:tblW w:w="0" w:type="auto"/>
        <w:tblLook w:val="04A0" w:firstRow="1" w:lastRow="0" w:firstColumn="1" w:lastColumn="0" w:noHBand="0" w:noVBand="1"/>
      </w:tblPr>
      <w:tblGrid>
        <w:gridCol w:w="3144"/>
        <w:gridCol w:w="2697"/>
        <w:gridCol w:w="3401"/>
      </w:tblGrid>
      <w:tr w:rsidR="00C93EFA" w:rsidRPr="00C93EFA" w14:paraId="556CF795" w14:textId="77777777" w:rsidTr="0091620F">
        <w:tc>
          <w:tcPr>
            <w:tcW w:w="0" w:type="auto"/>
            <w:hideMark/>
          </w:tcPr>
          <w:p w14:paraId="6A37F8A6" w14:textId="77777777" w:rsidR="00C93EFA" w:rsidRPr="00C93EFA" w:rsidRDefault="00C93EFA" w:rsidP="00C93EFA">
            <w:pPr>
              <w:jc w:val="center"/>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Orchestration category</w:t>
            </w:r>
          </w:p>
        </w:tc>
        <w:tc>
          <w:tcPr>
            <w:tcW w:w="0" w:type="auto"/>
            <w:hideMark/>
          </w:tcPr>
          <w:p w14:paraId="004AF298" w14:textId="77777777" w:rsidR="00C93EFA" w:rsidRPr="00C93EFA" w:rsidRDefault="00C93EFA" w:rsidP="00C93EFA">
            <w:pPr>
              <w:jc w:val="center"/>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Characteristic deployment context</w:t>
            </w:r>
          </w:p>
        </w:tc>
        <w:tc>
          <w:tcPr>
            <w:tcW w:w="0" w:type="auto"/>
            <w:hideMark/>
          </w:tcPr>
          <w:p w14:paraId="56494F1D" w14:textId="77777777" w:rsidR="00C93EFA" w:rsidRPr="00C93EFA" w:rsidRDefault="00C93EFA" w:rsidP="00C93EFA">
            <w:pPr>
              <w:jc w:val="center"/>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Central challenge identified in the literature</w:t>
            </w:r>
          </w:p>
        </w:tc>
      </w:tr>
      <w:tr w:rsidR="00C93EFA" w:rsidRPr="00C93EFA" w14:paraId="4E6DC7BF" w14:textId="77777777" w:rsidTr="0091620F">
        <w:tc>
          <w:tcPr>
            <w:tcW w:w="0" w:type="auto"/>
            <w:hideMark/>
          </w:tcPr>
          <w:p w14:paraId="5062F482"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Centralised cluster orchestration (Kubernetes and analogues)</w:t>
            </w:r>
          </w:p>
        </w:tc>
        <w:tc>
          <w:tcPr>
            <w:tcW w:w="0" w:type="auto"/>
            <w:hideMark/>
          </w:tcPr>
          <w:p w14:paraId="7F4AEFD9"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Data-centre and public cloud</w:t>
            </w:r>
          </w:p>
        </w:tc>
        <w:tc>
          <w:tcPr>
            <w:tcW w:w="0" w:type="auto"/>
            <w:hideMark/>
          </w:tcPr>
          <w:p w14:paraId="78E042C0"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Scheduling sophistication outpacing standardised benchmarking and production defaults</w:t>
            </w:r>
          </w:p>
        </w:tc>
      </w:tr>
      <w:tr w:rsidR="00C93EFA" w:rsidRPr="00C93EFA" w14:paraId="5D4CFF7A" w14:textId="77777777" w:rsidTr="0091620F">
        <w:tc>
          <w:tcPr>
            <w:tcW w:w="0" w:type="auto"/>
            <w:hideMark/>
          </w:tcPr>
          <w:p w14:paraId="6494B7F0"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AI- and optimisation-based scheduling</w:t>
            </w:r>
          </w:p>
        </w:tc>
        <w:tc>
          <w:tcPr>
            <w:tcW w:w="0" w:type="auto"/>
            <w:hideMark/>
          </w:tcPr>
          <w:p w14:paraId="38614BF4"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Large, heterogeneous clusters with competing objectives</w:t>
            </w:r>
          </w:p>
        </w:tc>
        <w:tc>
          <w:tcPr>
            <w:tcW w:w="0" w:type="auto"/>
            <w:hideMark/>
          </w:tcPr>
          <w:p w14:paraId="07AB9A59"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Balancing multiple objectives without added operational complexity</w:t>
            </w:r>
          </w:p>
        </w:tc>
      </w:tr>
      <w:tr w:rsidR="00C93EFA" w:rsidRPr="00C93EFA" w14:paraId="53AD2497" w14:textId="77777777" w:rsidTr="0091620F">
        <w:tc>
          <w:tcPr>
            <w:tcW w:w="0" w:type="auto"/>
            <w:hideMark/>
          </w:tcPr>
          <w:p w14:paraId="6DF1DF88"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Edge and fog orchestration</w:t>
            </w:r>
          </w:p>
        </w:tc>
        <w:tc>
          <w:tcPr>
            <w:tcW w:w="0" w:type="auto"/>
            <w:hideMark/>
          </w:tcPr>
          <w:p w14:paraId="73195A0A"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Resource-constrained, intermittently connected nodes</w:t>
            </w:r>
          </w:p>
        </w:tc>
        <w:tc>
          <w:tcPr>
            <w:tcW w:w="0" w:type="auto"/>
            <w:hideMark/>
          </w:tcPr>
          <w:p w14:paraId="2EA038BB"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Limited validation on genuine edge hardware versus simulation</w:t>
            </w:r>
          </w:p>
        </w:tc>
      </w:tr>
      <w:tr w:rsidR="00C93EFA" w:rsidRPr="00C93EFA" w14:paraId="6D1822E2" w14:textId="77777777" w:rsidTr="0091620F">
        <w:tc>
          <w:tcPr>
            <w:tcW w:w="0" w:type="auto"/>
            <w:hideMark/>
          </w:tcPr>
          <w:p w14:paraId="346199B6"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Serverless/function-as-a-service platforms</w:t>
            </w:r>
          </w:p>
        </w:tc>
        <w:tc>
          <w:tcPr>
            <w:tcW w:w="0" w:type="auto"/>
            <w:hideMark/>
          </w:tcPr>
          <w:p w14:paraId="1F52A154"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Event-driven, bursty workloads</w:t>
            </w:r>
          </w:p>
        </w:tc>
        <w:tc>
          <w:tcPr>
            <w:tcW w:w="0" w:type="auto"/>
            <w:hideMark/>
          </w:tcPr>
          <w:p w14:paraId="4003CE8F"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Cold-start latency and constrained suitability for real-time tasks</w:t>
            </w:r>
          </w:p>
        </w:tc>
      </w:tr>
      <w:tr w:rsidR="00C93EFA" w:rsidRPr="00C93EFA" w14:paraId="1286EF7D" w14:textId="77777777" w:rsidTr="0091620F">
        <w:tc>
          <w:tcPr>
            <w:tcW w:w="0" w:type="auto"/>
            <w:hideMark/>
          </w:tcPr>
          <w:p w14:paraId="51FF1742"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Serverless for IoT</w:t>
            </w:r>
          </w:p>
        </w:tc>
        <w:tc>
          <w:tcPr>
            <w:tcW w:w="0" w:type="auto"/>
            <w:hideMark/>
          </w:tcPr>
          <w:p w14:paraId="422C3331"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Latency- and connectivity-constrained device networks</w:t>
            </w:r>
          </w:p>
        </w:tc>
        <w:tc>
          <w:tcPr>
            <w:tcW w:w="0" w:type="auto"/>
            <w:hideMark/>
          </w:tcPr>
          <w:p w14:paraId="34B4AE13"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Mismatch between serverless abstractions and real-time requirements</w:t>
            </w:r>
          </w:p>
        </w:tc>
      </w:tr>
    </w:tbl>
    <w:p w14:paraId="5D9E470E"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i/>
          <w:iCs/>
          <w:sz w:val="24"/>
          <w:szCs w:val="24"/>
          <w:lang w:eastAsia="en-GB"/>
        </w:rPr>
        <w:t xml:space="preserve">Sources: Carrión (2022a, 2022b); </w:t>
      </w:r>
      <w:proofErr w:type="spellStart"/>
      <w:r w:rsidRPr="00C93EFA">
        <w:rPr>
          <w:rFonts w:ascii="Times New Roman" w:eastAsia="Times New Roman" w:hAnsi="Times New Roman" w:cs="Times New Roman"/>
          <w:i/>
          <w:iCs/>
          <w:sz w:val="24"/>
          <w:szCs w:val="24"/>
          <w:lang w:eastAsia="en-GB"/>
        </w:rPr>
        <w:t>Senjab</w:t>
      </w:r>
      <w:proofErr w:type="spellEnd"/>
      <w:r w:rsidRPr="00C93EFA">
        <w:rPr>
          <w:rFonts w:ascii="Times New Roman" w:eastAsia="Times New Roman" w:hAnsi="Times New Roman" w:cs="Times New Roman"/>
          <w:i/>
          <w:iCs/>
          <w:sz w:val="24"/>
          <w:szCs w:val="24"/>
          <w:lang w:eastAsia="en-GB"/>
        </w:rPr>
        <w:t xml:space="preserve"> et al. (2023); Čilić et al. (2023); Hassan et al. (2021); Cassel et al. (2022); Wen et al. (2023).</w:t>
      </w:r>
    </w:p>
    <w:p w14:paraId="1C18CA37"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What emerges from this body of work is a layered picture of orchestration maturity: the centralised, cloud-resident use of Kubernetes is comparatively well studied and operationally proven, whereas its extension towards the edge, and its conceptual cousin in serverless computing, remain active and unsettled research frontiers in which evidence quality lags the pace of platform innovation.</w:t>
      </w:r>
    </w:p>
    <w:p w14:paraId="7E12698E" w14:textId="77777777" w:rsidR="00C93EFA" w:rsidRPr="00C93EFA" w:rsidRDefault="00C93EFA" w:rsidP="00C93EF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93EFA">
        <w:rPr>
          <w:rFonts w:ascii="Times New Roman" w:eastAsia="Times New Roman" w:hAnsi="Times New Roman" w:cs="Times New Roman"/>
          <w:b/>
          <w:bCs/>
          <w:sz w:val="27"/>
          <w:szCs w:val="27"/>
          <w:lang w:eastAsia="en-GB"/>
        </w:rPr>
        <w:t>5. Docker, DevOps, and the Transformation of Software Delivery</w:t>
      </w:r>
    </w:p>
    <w:p w14:paraId="23687B07"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5.1 DevOps as Socio-Technical Practice: Concepts and Contested Definitions</w:t>
      </w:r>
    </w:p>
    <w:p w14:paraId="7A447A8E"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DevOps is often defined, in the absence of a single authoritative specification, as a collaborative, multidisciplinary organisational effort to automate the continuous delivery of new software while preserving correctness and reliability (Leite et al., 2019). This definitional looseness has practical consequences for the research literature, because studies of "DevOps adoption" or "DevOps practices" do not always operationalise the term in the same way, which complicates comparison across studies. A systematic mapping of the DevOps literature with respect to software quality finds that empirical studies tend to cluster around a recognisable set of practices — continuous integration, automated testing, infrastructure as code, continuous monitoring — even where authors' overarching definitions of DevOps differ, suggesting the practice cluster is more stable across the literature than the conceptual label attached to it (Mishra &amp; </w:t>
      </w:r>
      <w:proofErr w:type="spellStart"/>
      <w:r w:rsidRPr="00C93EFA">
        <w:rPr>
          <w:rFonts w:ascii="Times New Roman" w:eastAsia="Times New Roman" w:hAnsi="Times New Roman" w:cs="Times New Roman"/>
          <w:sz w:val="24"/>
          <w:szCs w:val="24"/>
          <w:lang w:eastAsia="en-GB"/>
        </w:rPr>
        <w:t>Otaiwi</w:t>
      </w:r>
      <w:proofErr w:type="spellEnd"/>
      <w:r w:rsidRPr="00C93EFA">
        <w:rPr>
          <w:rFonts w:ascii="Times New Roman" w:eastAsia="Times New Roman" w:hAnsi="Times New Roman" w:cs="Times New Roman"/>
          <w:sz w:val="24"/>
          <w:szCs w:val="24"/>
          <w:lang w:eastAsia="en-GB"/>
        </w:rPr>
        <w:t>, 2020). A systematic literature review constructing a benefits dependency network for DevOps reaches a related conclusion: the causal pathways connecting specific DevOps practices to organisational benefits, such as shorter lead times or more frequent deployment, are asserted considerably more often than they are rigorously demonstrated, with many primary studies relying on practitioner testimony rather than controlled comparison (Jabbari et al., 2018).</w:t>
      </w:r>
    </w:p>
    <w:p w14:paraId="301E9093"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lastRenderedPageBreak/>
        <w:t>A more recent systematic literature review mapping DevOps capabilities onto the life-cycle phases defined by the IEEE 2675-2021 DevOps standard represents an attempt to impose greater conceptual order on this previously fragmented terrain, organising the literature against an externally validated standard rather than relying solely on definitions internal to individual primary studies. It finds capability coverage markedly uneven across life-cycle phases, with build and deployment automation considerably better represented in the literature than the cultural and measurement capabilities the standard also specifies (Amaro et al., 2025). This unevenness fits a broader pattern visible across the DevOps literature reviewed here, in which the technically tractable dimensions of DevOps — pipeline automation, build tooling, deployment mechanics — have received disproportionate empirical attention relative to the organisational and cultural dimensions that practitioners and researchers alike often identify as the harder, and more consequential, side of DevOps transformation.</w:t>
      </w:r>
    </w:p>
    <w:p w14:paraId="1F9D1BF7"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5.2 Empirical Evidence on DevOps Adoption, Culture, and Outcomes</w:t>
      </w:r>
    </w:p>
    <w:p w14:paraId="69468DEC"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Case-study evidence on DevOps adoption in practice reinforces how central organisational and cultural factors are. A multiple case study of five companies engaged in web application and service development found that successful DevOps implementation depended as much on cross-functional collaboration norms and shared incident-response practices as on any specific toolchain; the twenty-six practitioners interviewed across these cases described technical automation as a necessary but insufficient condition for the benefits commonly attributed to DevOps (</w:t>
      </w:r>
      <w:proofErr w:type="spellStart"/>
      <w:r w:rsidRPr="00C93EFA">
        <w:rPr>
          <w:rFonts w:ascii="Times New Roman" w:eastAsia="Times New Roman" w:hAnsi="Times New Roman" w:cs="Times New Roman"/>
          <w:sz w:val="24"/>
          <w:szCs w:val="24"/>
          <w:lang w:eastAsia="en-GB"/>
        </w:rPr>
        <w:t>Lwakatare</w:t>
      </w:r>
      <w:proofErr w:type="spellEnd"/>
      <w:r w:rsidRPr="00C93EFA">
        <w:rPr>
          <w:rFonts w:ascii="Times New Roman" w:eastAsia="Times New Roman" w:hAnsi="Times New Roman" w:cs="Times New Roman"/>
          <w:sz w:val="24"/>
          <w:szCs w:val="24"/>
          <w:lang w:eastAsia="en-GB"/>
        </w:rPr>
        <w:t xml:space="preserve"> et al., 2019). A grounded-theory study examining successful DevOps adoption across fifteen companies similarly built a theoretical model in which incremental, learning-oriented adoption pathways were associated with more durable success than wholesale, top-down transformation programmes, a finding subsequently validated through a focus-group-based case study (Luz et al., 2019). A systematic literature review focused specifically on critical success factors for DevOps adoption supports this organisational emphasis, identifying leadership commitment, shared measurement practices and incremental rollout as recurring success factors, while noting that the evidence for many of these factors remains predominantly qualitative and drawn from a relatively small number of well-documented organisational contexts (Azad &amp; </w:t>
      </w:r>
      <w:proofErr w:type="spellStart"/>
      <w:r w:rsidRPr="00C93EFA">
        <w:rPr>
          <w:rFonts w:ascii="Times New Roman" w:eastAsia="Times New Roman" w:hAnsi="Times New Roman" w:cs="Times New Roman"/>
          <w:sz w:val="24"/>
          <w:szCs w:val="24"/>
          <w:lang w:eastAsia="en-GB"/>
        </w:rPr>
        <w:t>Hyrynsalmi</w:t>
      </w:r>
      <w:proofErr w:type="spellEnd"/>
      <w:r w:rsidRPr="00C93EFA">
        <w:rPr>
          <w:rFonts w:ascii="Times New Roman" w:eastAsia="Times New Roman" w:hAnsi="Times New Roman" w:cs="Times New Roman"/>
          <w:sz w:val="24"/>
          <w:szCs w:val="24"/>
          <w:lang w:eastAsia="en-GB"/>
        </w:rPr>
        <w:t>, 2023).</w:t>
      </w:r>
    </w:p>
    <w:p w14:paraId="52BF839B"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A complementary strand of research has sought to develop and validate metrics capable of operationalising DevOps maturity, partly in response to the observation that qualitative case-study evidence, while rich, does not readily support comparison across organisations or over time. A systematic literature review undertaken to identify such metrics catalogued thirty-two distinct metrics drawn from fifty-seven primary studies, spanning categories such as deployment frequency, lead time for changes, mean time to recovery and change failure rate, while observing that few organisations report measuring more than a small subset of these consistently — which limits how comparable reported adoption outcomes really are across the wider DevOps literature (Kumar et al., 2025). A further systematic mapping review examining the integration of DevOps with the Capability Maturity Model Integration framework finds a similarly emergent rather than settled body of work, concluding that formal maturity-model integration with DevOps is still more often proposed conceptually than empirically validated at scale (Rajab &amp; </w:t>
      </w:r>
      <w:proofErr w:type="spellStart"/>
      <w:r w:rsidRPr="00C93EFA">
        <w:rPr>
          <w:rFonts w:ascii="Times New Roman" w:eastAsia="Times New Roman" w:hAnsi="Times New Roman" w:cs="Times New Roman"/>
          <w:sz w:val="24"/>
          <w:szCs w:val="24"/>
          <w:lang w:eastAsia="en-GB"/>
        </w:rPr>
        <w:t>Alnoukari</w:t>
      </w:r>
      <w:proofErr w:type="spellEnd"/>
      <w:r w:rsidRPr="00C93EFA">
        <w:rPr>
          <w:rFonts w:ascii="Times New Roman" w:eastAsia="Times New Roman" w:hAnsi="Times New Roman" w:cs="Times New Roman"/>
          <w:sz w:val="24"/>
          <w:szCs w:val="24"/>
          <w:lang w:eastAsia="en-GB"/>
        </w:rPr>
        <w:t xml:space="preserve">, 2025). </w:t>
      </w:r>
      <w:proofErr w:type="gramStart"/>
      <w:r w:rsidRPr="00C93EFA">
        <w:rPr>
          <w:rFonts w:ascii="Times New Roman" w:eastAsia="Times New Roman" w:hAnsi="Times New Roman" w:cs="Times New Roman"/>
          <w:sz w:val="24"/>
          <w:szCs w:val="24"/>
          <w:lang w:eastAsia="en-GB"/>
        </w:rPr>
        <w:t>A further review surveys quality-aware DevOps research</w:t>
      </w:r>
      <w:proofErr w:type="gramEnd"/>
      <w:r w:rsidRPr="00C93EFA">
        <w:rPr>
          <w:rFonts w:ascii="Times New Roman" w:eastAsia="Times New Roman" w:hAnsi="Times New Roman" w:cs="Times New Roman"/>
          <w:sz w:val="24"/>
          <w:szCs w:val="24"/>
          <w:lang w:eastAsia="en-GB"/>
        </w:rPr>
        <w:t xml:space="preserve"> across the full delivery life cycle — architectural design, infrastructure as code, continuous integration and delivery, testing and verification, and runtime management — and singles out artificial-intelligence-assisted operations, including </w:t>
      </w:r>
      <w:r w:rsidRPr="00C93EFA">
        <w:rPr>
          <w:rFonts w:ascii="Times New Roman" w:eastAsia="Times New Roman" w:hAnsi="Times New Roman" w:cs="Times New Roman"/>
          <w:sz w:val="24"/>
          <w:szCs w:val="24"/>
          <w:lang w:eastAsia="en-GB"/>
        </w:rPr>
        <w:lastRenderedPageBreak/>
        <w:t>AI applied to DevOps tasks and DevOps practices tailored to AI software itself, as a nascent but rapidly growing sub-area (</w:t>
      </w:r>
      <w:proofErr w:type="spellStart"/>
      <w:r w:rsidRPr="00C93EFA">
        <w:rPr>
          <w:rFonts w:ascii="Times New Roman" w:eastAsia="Times New Roman" w:hAnsi="Times New Roman" w:cs="Times New Roman"/>
          <w:sz w:val="24"/>
          <w:szCs w:val="24"/>
          <w:lang w:eastAsia="en-GB"/>
        </w:rPr>
        <w:t>Alnafessah</w:t>
      </w:r>
      <w:proofErr w:type="spellEnd"/>
      <w:r w:rsidRPr="00C93EFA">
        <w:rPr>
          <w:rFonts w:ascii="Times New Roman" w:eastAsia="Times New Roman" w:hAnsi="Times New Roman" w:cs="Times New Roman"/>
          <w:sz w:val="24"/>
          <w:szCs w:val="24"/>
          <w:lang w:eastAsia="en-GB"/>
        </w:rPr>
        <w:t xml:space="preserve"> et al., 2021).</w:t>
      </w:r>
    </w:p>
    <w:p w14:paraId="1828A83A"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5.3 Container-Enabled Continuous Integration and Delivery</w:t>
      </w:r>
    </w:p>
    <w:p w14:paraId="6ACA8785"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Containers intersect with DevOps practice most directly through continuous integration and continuous delivery pipelines, where a container image frequently serves as the canonical, immutable artefact built once and then promoted unchanged through successive testing and deployment stages. This "build once, deploy everywhere" pattern addresses a long-standing source of deployment failure, in which discrepancies between development, testing and production environments produced defects that were hard to reproduce and diagnose. An interview-based study of continuous integration and delivery practice in the demanding context of cyber-physical systems development, spanning ten organisations across eight industrial domains and subsequently validated through a survey of fifty-five professional developers, found that organisations with a limited prior culture of continuous-integration practice tended to adopt pipelines that automated only the most readily mechanisable tasks, leaving more complex integration and hardware-in-the-loop testing manual — a pattern the authors attribute principally to gaps in practitioner knowledge rather than to fundamental limits of available container-based tooling (Zampetti et al., 2023).</w:t>
      </w:r>
    </w:p>
    <w:p w14:paraId="76BDD9F9"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This finding is consistent with the broader pattern noted in Section 5.1, in which the technically automatable components of a delivery pipeline are taken up more readily than the organisational learning needed to use that automation to full effect. Reviews of the DevOps literature converge on continuous integration and continuous delivery as the practice cluster with the strongest and most consistent empirical support, while cautioning that this strength partly reflects how much easier it is to measure pipeline-level outcomes, such as build frequency or lead time, than the more diffuse cultural and organisational outcomes DevOps proponents also claim (Mishra &amp; </w:t>
      </w:r>
      <w:proofErr w:type="spellStart"/>
      <w:r w:rsidRPr="00C93EFA">
        <w:rPr>
          <w:rFonts w:ascii="Times New Roman" w:eastAsia="Times New Roman" w:hAnsi="Times New Roman" w:cs="Times New Roman"/>
          <w:sz w:val="24"/>
          <w:szCs w:val="24"/>
          <w:lang w:eastAsia="en-GB"/>
        </w:rPr>
        <w:t>Otaiwi</w:t>
      </w:r>
      <w:proofErr w:type="spellEnd"/>
      <w:r w:rsidRPr="00C93EFA">
        <w:rPr>
          <w:rFonts w:ascii="Times New Roman" w:eastAsia="Times New Roman" w:hAnsi="Times New Roman" w:cs="Times New Roman"/>
          <w:sz w:val="24"/>
          <w:szCs w:val="24"/>
          <w:lang w:eastAsia="en-GB"/>
        </w:rPr>
        <w:t>, 2020).</w:t>
      </w:r>
    </w:p>
    <w:p w14:paraId="6C600B95"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Table 3 draws together the empirical findings on DevOps adoption discussed in this section, organised by the level at which each finding is pitched.</w:t>
      </w:r>
    </w:p>
    <w:p w14:paraId="3BA94326"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b/>
          <w:bCs/>
          <w:sz w:val="24"/>
          <w:szCs w:val="24"/>
          <w:lang w:eastAsia="en-GB"/>
        </w:rPr>
        <w:t>Table 3. Empirical findings on DevOps adoption, organised by level of analysis</w:t>
      </w:r>
    </w:p>
    <w:tbl>
      <w:tblPr>
        <w:tblStyle w:val="TableGrid"/>
        <w:tblW w:w="0" w:type="auto"/>
        <w:tblLook w:val="04A0" w:firstRow="1" w:lastRow="0" w:firstColumn="1" w:lastColumn="0" w:noHBand="0" w:noVBand="1"/>
      </w:tblPr>
      <w:tblGrid>
        <w:gridCol w:w="2429"/>
        <w:gridCol w:w="3969"/>
        <w:gridCol w:w="2844"/>
      </w:tblGrid>
      <w:tr w:rsidR="00C93EFA" w:rsidRPr="00C93EFA" w14:paraId="6ECF22AA" w14:textId="77777777" w:rsidTr="0091620F">
        <w:tc>
          <w:tcPr>
            <w:tcW w:w="0" w:type="auto"/>
            <w:hideMark/>
          </w:tcPr>
          <w:p w14:paraId="6781D18F" w14:textId="77777777" w:rsidR="00C93EFA" w:rsidRPr="00C93EFA" w:rsidRDefault="00C93EFA" w:rsidP="00C93EFA">
            <w:pPr>
              <w:jc w:val="center"/>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Level of analysis</w:t>
            </w:r>
          </w:p>
        </w:tc>
        <w:tc>
          <w:tcPr>
            <w:tcW w:w="0" w:type="auto"/>
            <w:hideMark/>
          </w:tcPr>
          <w:p w14:paraId="7A514319" w14:textId="77777777" w:rsidR="00C93EFA" w:rsidRPr="00C93EFA" w:rsidRDefault="00C93EFA" w:rsidP="00C93EFA">
            <w:pPr>
              <w:jc w:val="center"/>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Principal empirical finding</w:t>
            </w:r>
          </w:p>
        </w:tc>
        <w:tc>
          <w:tcPr>
            <w:tcW w:w="0" w:type="auto"/>
            <w:hideMark/>
          </w:tcPr>
          <w:p w14:paraId="1A88025B" w14:textId="77777777" w:rsidR="00C93EFA" w:rsidRPr="00C93EFA" w:rsidRDefault="00C93EFA" w:rsidP="00C93EFA">
            <w:pPr>
              <w:jc w:val="center"/>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Strength of supporting evidence</w:t>
            </w:r>
          </w:p>
        </w:tc>
      </w:tr>
      <w:tr w:rsidR="00C93EFA" w:rsidRPr="00C93EFA" w14:paraId="58B384FE" w14:textId="77777777" w:rsidTr="0091620F">
        <w:tc>
          <w:tcPr>
            <w:tcW w:w="0" w:type="auto"/>
            <w:hideMark/>
          </w:tcPr>
          <w:p w14:paraId="1B71CA26"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Pipeline/technical</w:t>
            </w:r>
          </w:p>
        </w:tc>
        <w:tc>
          <w:tcPr>
            <w:tcW w:w="0" w:type="auto"/>
            <w:hideMark/>
          </w:tcPr>
          <w:p w14:paraId="7764C6FA"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Container images function as immutable, portable artefacts that reduce environment-related deployment failures</w:t>
            </w:r>
          </w:p>
        </w:tc>
        <w:tc>
          <w:tcPr>
            <w:tcW w:w="0" w:type="auto"/>
            <w:hideMark/>
          </w:tcPr>
          <w:p w14:paraId="70326758"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Strong; well replicated across case studies and surveys</w:t>
            </w:r>
          </w:p>
        </w:tc>
      </w:tr>
      <w:tr w:rsidR="00C93EFA" w:rsidRPr="00C93EFA" w14:paraId="433DBC57" w14:textId="77777777" w:rsidTr="0091620F">
        <w:tc>
          <w:tcPr>
            <w:tcW w:w="0" w:type="auto"/>
            <w:hideMark/>
          </w:tcPr>
          <w:p w14:paraId="7A01DF02"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Organisational/cultural</w:t>
            </w:r>
          </w:p>
        </w:tc>
        <w:tc>
          <w:tcPr>
            <w:tcW w:w="0" w:type="auto"/>
            <w:hideMark/>
          </w:tcPr>
          <w:p w14:paraId="34D54EA8"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Cross-functional collaboration and incremental adoption pathways associate with more durable success than wholesale transformation</w:t>
            </w:r>
          </w:p>
        </w:tc>
        <w:tc>
          <w:tcPr>
            <w:tcW w:w="0" w:type="auto"/>
            <w:hideMark/>
          </w:tcPr>
          <w:p w14:paraId="7637517A"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Moderate; predominantly qualitative, drawn from a limited set of documented contexts</w:t>
            </w:r>
          </w:p>
        </w:tc>
      </w:tr>
      <w:tr w:rsidR="00C93EFA" w:rsidRPr="00C93EFA" w14:paraId="3F439A28" w14:textId="77777777" w:rsidTr="0091620F">
        <w:tc>
          <w:tcPr>
            <w:tcW w:w="0" w:type="auto"/>
            <w:hideMark/>
          </w:tcPr>
          <w:p w14:paraId="326F3BBC"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Measurement</w:t>
            </w:r>
          </w:p>
        </w:tc>
        <w:tc>
          <w:tcPr>
            <w:tcW w:w="0" w:type="auto"/>
            <w:hideMark/>
          </w:tcPr>
          <w:p w14:paraId="705364E0"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A recognised but inconsistently applied set of metrics exists for DevOps maturity (e.g. deployment frequency, lead time, recovery time)</w:t>
            </w:r>
          </w:p>
        </w:tc>
        <w:tc>
          <w:tcPr>
            <w:tcW w:w="0" w:type="auto"/>
            <w:hideMark/>
          </w:tcPr>
          <w:p w14:paraId="4A51CD73"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Moderate; metric catalogues are well developed but consistent measurement is uneven</w:t>
            </w:r>
          </w:p>
        </w:tc>
      </w:tr>
      <w:tr w:rsidR="00C93EFA" w:rsidRPr="00C93EFA" w14:paraId="645EDE83" w14:textId="77777777" w:rsidTr="0091620F">
        <w:tc>
          <w:tcPr>
            <w:tcW w:w="0" w:type="auto"/>
            <w:hideMark/>
          </w:tcPr>
          <w:p w14:paraId="1F7DC128"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Standards alignment</w:t>
            </w:r>
          </w:p>
        </w:tc>
        <w:tc>
          <w:tcPr>
            <w:tcW w:w="0" w:type="auto"/>
            <w:hideMark/>
          </w:tcPr>
          <w:p w14:paraId="3667E017"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Mapping of practice onto formal standards (e.g. IEEE 2675-2021) </w:t>
            </w:r>
            <w:r w:rsidRPr="00C93EFA">
              <w:rPr>
                <w:rFonts w:ascii="Times New Roman" w:eastAsia="Times New Roman" w:hAnsi="Times New Roman" w:cs="Times New Roman"/>
                <w:sz w:val="24"/>
                <w:szCs w:val="24"/>
                <w:lang w:eastAsia="en-GB"/>
              </w:rPr>
              <w:lastRenderedPageBreak/>
              <w:t>reveals uneven capability coverage, particularly in cultural and measurement domains</w:t>
            </w:r>
          </w:p>
        </w:tc>
        <w:tc>
          <w:tcPr>
            <w:tcW w:w="0" w:type="auto"/>
            <w:hideMark/>
          </w:tcPr>
          <w:p w14:paraId="4A0CB3E9"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lastRenderedPageBreak/>
              <w:t>Emerging; few studies to date</w:t>
            </w:r>
          </w:p>
        </w:tc>
      </w:tr>
    </w:tbl>
    <w:p w14:paraId="268B44DF"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i/>
          <w:iCs/>
          <w:sz w:val="24"/>
          <w:szCs w:val="24"/>
          <w:lang w:eastAsia="en-GB"/>
        </w:rPr>
        <w:t xml:space="preserve">Sources: </w:t>
      </w:r>
      <w:proofErr w:type="spellStart"/>
      <w:r w:rsidRPr="00C93EFA">
        <w:rPr>
          <w:rFonts w:ascii="Times New Roman" w:eastAsia="Times New Roman" w:hAnsi="Times New Roman" w:cs="Times New Roman"/>
          <w:i/>
          <w:iCs/>
          <w:sz w:val="24"/>
          <w:szCs w:val="24"/>
          <w:lang w:eastAsia="en-GB"/>
        </w:rPr>
        <w:t>Lwakatare</w:t>
      </w:r>
      <w:proofErr w:type="spellEnd"/>
      <w:r w:rsidRPr="00C93EFA">
        <w:rPr>
          <w:rFonts w:ascii="Times New Roman" w:eastAsia="Times New Roman" w:hAnsi="Times New Roman" w:cs="Times New Roman"/>
          <w:i/>
          <w:iCs/>
          <w:sz w:val="24"/>
          <w:szCs w:val="24"/>
          <w:lang w:eastAsia="en-GB"/>
        </w:rPr>
        <w:t xml:space="preserve"> et al. (2019); Luz et al. (2019); Azad and </w:t>
      </w:r>
      <w:proofErr w:type="spellStart"/>
      <w:r w:rsidRPr="00C93EFA">
        <w:rPr>
          <w:rFonts w:ascii="Times New Roman" w:eastAsia="Times New Roman" w:hAnsi="Times New Roman" w:cs="Times New Roman"/>
          <w:i/>
          <w:iCs/>
          <w:sz w:val="24"/>
          <w:szCs w:val="24"/>
          <w:lang w:eastAsia="en-GB"/>
        </w:rPr>
        <w:t>Hyrynsalmi</w:t>
      </w:r>
      <w:proofErr w:type="spellEnd"/>
      <w:r w:rsidRPr="00C93EFA">
        <w:rPr>
          <w:rFonts w:ascii="Times New Roman" w:eastAsia="Times New Roman" w:hAnsi="Times New Roman" w:cs="Times New Roman"/>
          <w:i/>
          <w:iCs/>
          <w:sz w:val="24"/>
          <w:szCs w:val="24"/>
          <w:lang w:eastAsia="en-GB"/>
        </w:rPr>
        <w:t xml:space="preserve"> (2023); Kumar et al. (2025); Amaro et al. (2025); Jabbari et al. (2018).</w:t>
      </w:r>
    </w:p>
    <w:p w14:paraId="47DDED76"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Read across these four rows, the table points to a consistent asymmetry in the DevOps evidence base: confidence is highest where outcomes are narrowly and mechanically defined, and lowest where outcomes depend on sustained organisational change that is harder to observe and harder still to attribute cleanly to any one practice.</w:t>
      </w:r>
    </w:p>
    <w:p w14:paraId="27EBA887" w14:textId="77777777" w:rsidR="00C93EFA" w:rsidRPr="00C93EFA" w:rsidRDefault="00C93EFA" w:rsidP="00C93EF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93EFA">
        <w:rPr>
          <w:rFonts w:ascii="Times New Roman" w:eastAsia="Times New Roman" w:hAnsi="Times New Roman" w:cs="Times New Roman"/>
          <w:b/>
          <w:bCs/>
          <w:sz w:val="27"/>
          <w:szCs w:val="27"/>
          <w:lang w:eastAsia="en-GB"/>
        </w:rPr>
        <w:t>6. Microservices Architecture: Design, Migration, and Operational Challenges</w:t>
      </w:r>
    </w:p>
    <w:p w14:paraId="16AD02A9"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6.1 Architectural Principles and the Decomposition Problem</w:t>
      </w:r>
    </w:p>
    <w:p w14:paraId="064BC90B"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Microservices architecture organises a system as a collection of small, independently deployable services, each typically owned by a single team and communicating with other services through lightweight, language-agnostic mechanisms such as HTTP-based APIs. A systematic mapping study of the academic literature on architecting with microservices, extending an earlier mapping exercise to cover more than one hundred primary studies, finds that the central and most persistently unresolved technical question in this literature is decomposition: how a system's functional boundaries should be identified and translated into discrete service boundaries (Di Francesco et al., 2019). The same study observes that evaluation research — work that tests proposed decomposition or design approaches against real industrial systems rather than illustrative examples — remains rare relative to the volume of conceptual and prescriptive work, a finding the authors interpret as limiting how readily academic microservices research transfers into industrial practice.</w:t>
      </w:r>
    </w:p>
    <w:p w14:paraId="246C4E97"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Industrial experience reports support the centrality of the decomposition problem from a practitioner's vantage point. An analysis extracting common migration patterns from a small number of detailed industrial migration projects identifies recurring architectural moves common across these migrations, including the staged extraction of services from a monolith and the introduction of intermediary components to mediate between legacy code and newly extracted services, while noting that the sequencing and pacing of these moves varied considerably depending on each organisation's risk tolerance and existing operational maturity (</w:t>
      </w:r>
      <w:proofErr w:type="spellStart"/>
      <w:r w:rsidRPr="00C93EFA">
        <w:rPr>
          <w:rFonts w:ascii="Times New Roman" w:eastAsia="Times New Roman" w:hAnsi="Times New Roman" w:cs="Times New Roman"/>
          <w:sz w:val="24"/>
          <w:szCs w:val="24"/>
          <w:lang w:eastAsia="en-GB"/>
        </w:rPr>
        <w:t>Balalaie</w:t>
      </w:r>
      <w:proofErr w:type="spellEnd"/>
      <w:r w:rsidRPr="00C93EFA">
        <w:rPr>
          <w:rFonts w:ascii="Times New Roman" w:eastAsia="Times New Roman" w:hAnsi="Times New Roman" w:cs="Times New Roman"/>
          <w:sz w:val="24"/>
          <w:szCs w:val="24"/>
          <w:lang w:eastAsia="en-GB"/>
        </w:rPr>
        <w:t xml:space="preserve"> et al., 2018). This pattern-based account matters because it suggests that, for all the diversity of academic decomposition methods on offer, industrial migrations in practice converge on a comparatively small repertoire of pragmatic, incremental strategies.</w:t>
      </w:r>
    </w:p>
    <w:p w14:paraId="6A0FB50B"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6.2 Migration Drivers, Barriers, and Organisational Consequences</w:t>
      </w:r>
    </w:p>
    <w:p w14:paraId="77A15E0E"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The drivers cited for migrating from monolithic to microservices architectures recur across the literature with notable consistency: improved scalability, the ability to deploy and update services independently, and the freedom for different teams to choose technology stacks suited to their own service. A framework developed to assess organisational readiness for this transition draws these drivers together alongside a parallel set of risks, including the distributed-systems complexity that the monolith did not previously have to contend with, and concludes that organisations frequently underestimate the operational overhead — particularly around monitoring, data consistency and inter-service network reliability — that </w:t>
      </w:r>
      <w:r w:rsidRPr="00C93EFA">
        <w:rPr>
          <w:rFonts w:ascii="Times New Roman" w:eastAsia="Times New Roman" w:hAnsi="Times New Roman" w:cs="Times New Roman"/>
          <w:sz w:val="24"/>
          <w:szCs w:val="24"/>
          <w:lang w:eastAsia="en-GB"/>
        </w:rPr>
        <w:lastRenderedPageBreak/>
        <w:t>a successful migration requires (Auer et al., 2021). A systematic literature review surveying the broader landscape of microservices challenges and proposed solutions identifies similar themes, while observing that proposed solutions in the academic literature considerably outnumber empirically validated ones, leaving practitioners to rely substantially on heuristic and experience-based guidance rather than evidence-based prescription (Söylemez et al., 2022).</w:t>
      </w:r>
    </w:p>
    <w:p w14:paraId="04A230FB"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The grey literature has itself become an object of formal academic study, on the premise that much of the most current and operationally specific knowledge about microservices circulates first through practitioner blogs, conference talks and technical reports rather than through peer-reviewed venues. A systematic grey literature review that analyses this practitioner discourse identifies a consistent pattern in which development and operational activities are reported as the architectural stages that gain the most from microservices adoption: independent teams can build, test, deploy and scale their own services without coordinating releases with unrelated parts of the system. Difficulties in maintaining consistency across a multiplicity of independently evolving data stores recur, by contrast, as one of the most frequently reported pains (Soldani et al., 2018). A subsequent exploratory study targeting practitioners specifically drawn from "mature" teams with at least two years of microservices experience, comprising interviews with twenty-one practitioners and a follow-up survey of thirty-seven respondents across thirty-seven companies, found that experienced teams frequently deviate from commonly published "standard" advice once they have accumulated enough operational experience, adapting prescriptive guidance to their own organisational and technical context rather than applying it uniformly (Wang et al., 2021). This finding carries an important methodological implication for the literature as a whole: guidance synthesised mainly from early-adopter or less experienced practitioner accounts may not generalise to organisations with substantial operational maturity, a caveat that complicates any straightforward reading of the pains-and-gains literature as a stable, universally applicable inventory.</w:t>
      </w:r>
    </w:p>
    <w:p w14:paraId="5D3DC441"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6.3 Testing, Monitoring, and Quality Assurance in Microservice Systems</w:t>
      </w:r>
    </w:p>
    <w:p w14:paraId="259EDEDC"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The distributed nature of microservices architecture complicates testing and monitoring relative to monolithic systems, since failures can arise from the interaction of independently developed and independently evolving services rather than from any single component in isolation. A mixed-methods study combining a survey of one hundred and six practitioners with six follow-up interviews investigated how organisations design, monitor and test microservice systems in practice, finding that integration testing across service boundaries and runtime monitoring of inter-service communication are seen by practitioners as considerably more difficult than unit-level testing of individual services, and that tooling support for these distributed concerns lags tooling support for single-service development tasks (Waseem et al., 2021). The same study reports that practitioners frequently rely on a combination of automated health checks and manually curated dashboards to compensate for the absence of mature, integrated observability tooling — a workaround the authors characterise as a symptom of immature tooling rather than a deliberate or preferred practice.</w:t>
      </w:r>
    </w:p>
    <w:p w14:paraId="5AD87151"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These findings on testing and monitoring connect directly back to the container-orchestration literature discussed in Section 4, since the scheduling, networking and lifecycle-management decisions made by an orchestration platform directly shape what observability data is available to operators and how readily a failure can be traced to a specific service instance. The literature thus suggests that the operational challenges of microservices architecture </w:t>
      </w:r>
      <w:r w:rsidRPr="00C93EFA">
        <w:rPr>
          <w:rFonts w:ascii="Times New Roman" w:eastAsia="Times New Roman" w:hAnsi="Times New Roman" w:cs="Times New Roman"/>
          <w:sz w:val="24"/>
          <w:szCs w:val="24"/>
          <w:lang w:eastAsia="en-GB"/>
        </w:rPr>
        <w:lastRenderedPageBreak/>
        <w:t>cannot be fully understood apart from the container orchestration substrate on which microservices are typically deployed, which reinforces this review's broader argument that containerization, DevOps practice and microservices architecture form an interdependent rather than separable set of phenomena.</w:t>
      </w:r>
    </w:p>
    <w:p w14:paraId="3C8010A2"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Table 4 summarises the principal pains and gains reported across the migration and operational literature discussed in this section.</w:t>
      </w:r>
    </w:p>
    <w:p w14:paraId="180AF963"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b/>
          <w:bCs/>
          <w:sz w:val="24"/>
          <w:szCs w:val="24"/>
          <w:lang w:eastAsia="en-GB"/>
        </w:rPr>
        <w:t>Table 4. Reported pains and gains of microservices adoption and migration</w:t>
      </w:r>
    </w:p>
    <w:tbl>
      <w:tblPr>
        <w:tblStyle w:val="TableGrid"/>
        <w:tblW w:w="0" w:type="auto"/>
        <w:tblLook w:val="04A0" w:firstRow="1" w:lastRow="0" w:firstColumn="1" w:lastColumn="0" w:noHBand="0" w:noVBand="1"/>
      </w:tblPr>
      <w:tblGrid>
        <w:gridCol w:w="1913"/>
        <w:gridCol w:w="3794"/>
        <w:gridCol w:w="3535"/>
      </w:tblGrid>
      <w:tr w:rsidR="00C93EFA" w:rsidRPr="00C93EFA" w14:paraId="2F9E7CE1" w14:textId="77777777" w:rsidTr="0091620F">
        <w:tc>
          <w:tcPr>
            <w:tcW w:w="0" w:type="auto"/>
            <w:hideMark/>
          </w:tcPr>
          <w:p w14:paraId="780DF8F8" w14:textId="77777777" w:rsidR="00C93EFA" w:rsidRPr="00C93EFA" w:rsidRDefault="00C93EFA" w:rsidP="00C93EFA">
            <w:pPr>
              <w:jc w:val="center"/>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Domain</w:t>
            </w:r>
          </w:p>
        </w:tc>
        <w:tc>
          <w:tcPr>
            <w:tcW w:w="0" w:type="auto"/>
            <w:hideMark/>
          </w:tcPr>
          <w:p w14:paraId="4B15302A" w14:textId="77777777" w:rsidR="00C93EFA" w:rsidRPr="00C93EFA" w:rsidRDefault="00C93EFA" w:rsidP="00C93EFA">
            <w:pPr>
              <w:jc w:val="center"/>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Principal reported gain</w:t>
            </w:r>
          </w:p>
        </w:tc>
        <w:tc>
          <w:tcPr>
            <w:tcW w:w="0" w:type="auto"/>
            <w:hideMark/>
          </w:tcPr>
          <w:p w14:paraId="06E58EA8" w14:textId="77777777" w:rsidR="00C93EFA" w:rsidRPr="00C93EFA" w:rsidRDefault="00C93EFA" w:rsidP="00C93EFA">
            <w:pPr>
              <w:jc w:val="center"/>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Principal reported pain</w:t>
            </w:r>
          </w:p>
        </w:tc>
      </w:tr>
      <w:tr w:rsidR="00C93EFA" w:rsidRPr="00C93EFA" w14:paraId="370E9EF0" w14:textId="77777777" w:rsidTr="0091620F">
        <w:tc>
          <w:tcPr>
            <w:tcW w:w="0" w:type="auto"/>
            <w:hideMark/>
          </w:tcPr>
          <w:p w14:paraId="6E297FE7"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Development</w:t>
            </w:r>
          </w:p>
        </w:tc>
        <w:tc>
          <w:tcPr>
            <w:tcW w:w="0" w:type="auto"/>
            <w:hideMark/>
          </w:tcPr>
          <w:p w14:paraId="491CBBA6"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Independent, parallel development by autonomous teams; technology-stack freedom</w:t>
            </w:r>
          </w:p>
        </w:tc>
        <w:tc>
          <w:tcPr>
            <w:tcW w:w="0" w:type="auto"/>
            <w:hideMark/>
          </w:tcPr>
          <w:p w14:paraId="6E57BD86"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Increased cognitive overhead in managing many small codebases</w:t>
            </w:r>
          </w:p>
        </w:tc>
      </w:tr>
      <w:tr w:rsidR="00C93EFA" w:rsidRPr="00C93EFA" w14:paraId="34206F38" w14:textId="77777777" w:rsidTr="0091620F">
        <w:tc>
          <w:tcPr>
            <w:tcW w:w="0" w:type="auto"/>
            <w:hideMark/>
          </w:tcPr>
          <w:p w14:paraId="46F42E56"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Deployment</w:t>
            </w:r>
          </w:p>
        </w:tc>
        <w:tc>
          <w:tcPr>
            <w:tcW w:w="0" w:type="auto"/>
            <w:hideMark/>
          </w:tcPr>
          <w:p w14:paraId="20A26838"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Independent </w:t>
            </w:r>
            <w:proofErr w:type="spellStart"/>
            <w:r w:rsidRPr="00C93EFA">
              <w:rPr>
                <w:rFonts w:ascii="Times New Roman" w:eastAsia="Times New Roman" w:hAnsi="Times New Roman" w:cs="Times New Roman"/>
                <w:sz w:val="24"/>
                <w:szCs w:val="24"/>
                <w:lang w:eastAsia="en-GB"/>
              </w:rPr>
              <w:t>deployability</w:t>
            </w:r>
            <w:proofErr w:type="spellEnd"/>
            <w:r w:rsidRPr="00C93EFA">
              <w:rPr>
                <w:rFonts w:ascii="Times New Roman" w:eastAsia="Times New Roman" w:hAnsi="Times New Roman" w:cs="Times New Roman"/>
                <w:sz w:val="24"/>
                <w:szCs w:val="24"/>
                <w:lang w:eastAsia="en-GB"/>
              </w:rPr>
              <w:t xml:space="preserve"> and scaling of individual services</w:t>
            </w:r>
          </w:p>
        </w:tc>
        <w:tc>
          <w:tcPr>
            <w:tcW w:w="0" w:type="auto"/>
            <w:hideMark/>
          </w:tcPr>
          <w:p w14:paraId="1184F10E"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Greater orchestration and pipeline complexity</w:t>
            </w:r>
          </w:p>
        </w:tc>
      </w:tr>
      <w:tr w:rsidR="00C93EFA" w:rsidRPr="00C93EFA" w14:paraId="28597EE7" w14:textId="77777777" w:rsidTr="0091620F">
        <w:tc>
          <w:tcPr>
            <w:tcW w:w="0" w:type="auto"/>
            <w:hideMark/>
          </w:tcPr>
          <w:p w14:paraId="5B57759C"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Data management</w:t>
            </w:r>
          </w:p>
        </w:tc>
        <w:tc>
          <w:tcPr>
            <w:tcW w:w="0" w:type="auto"/>
            <w:hideMark/>
          </w:tcPr>
          <w:p w14:paraId="4547B957"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Service-aligned data ownership</w:t>
            </w:r>
          </w:p>
        </w:tc>
        <w:tc>
          <w:tcPr>
            <w:tcW w:w="0" w:type="auto"/>
            <w:hideMark/>
          </w:tcPr>
          <w:p w14:paraId="6B9E0603"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Difficulty maintaining cross-service data consistency</w:t>
            </w:r>
          </w:p>
        </w:tc>
      </w:tr>
      <w:tr w:rsidR="00C93EFA" w:rsidRPr="00C93EFA" w14:paraId="15E40390" w14:textId="77777777" w:rsidTr="0091620F">
        <w:tc>
          <w:tcPr>
            <w:tcW w:w="0" w:type="auto"/>
            <w:hideMark/>
          </w:tcPr>
          <w:p w14:paraId="0C662748"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Testing and monitoring</w:t>
            </w:r>
          </w:p>
        </w:tc>
        <w:tc>
          <w:tcPr>
            <w:tcW w:w="0" w:type="auto"/>
            <w:hideMark/>
          </w:tcPr>
          <w:p w14:paraId="45FDB3F2"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Finer-grained fault isolation in principle</w:t>
            </w:r>
          </w:p>
        </w:tc>
        <w:tc>
          <w:tcPr>
            <w:tcW w:w="0" w:type="auto"/>
            <w:hideMark/>
          </w:tcPr>
          <w:p w14:paraId="30ED2CFF"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Immature tooling for cross-service integration testing and observability</w:t>
            </w:r>
          </w:p>
        </w:tc>
      </w:tr>
      <w:tr w:rsidR="00C93EFA" w:rsidRPr="00C93EFA" w14:paraId="68037763" w14:textId="77777777" w:rsidTr="0091620F">
        <w:tc>
          <w:tcPr>
            <w:tcW w:w="0" w:type="auto"/>
            <w:hideMark/>
          </w:tcPr>
          <w:p w14:paraId="67696561"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Organisational</w:t>
            </w:r>
          </w:p>
        </w:tc>
        <w:tc>
          <w:tcPr>
            <w:tcW w:w="0" w:type="auto"/>
            <w:hideMark/>
          </w:tcPr>
          <w:p w14:paraId="516331AC"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Alignment of team boundaries with service boundaries</w:t>
            </w:r>
          </w:p>
        </w:tc>
        <w:tc>
          <w:tcPr>
            <w:tcW w:w="0" w:type="auto"/>
            <w:hideMark/>
          </w:tcPr>
          <w:p w14:paraId="657581DA"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Underestimated operational overhead during migration</w:t>
            </w:r>
          </w:p>
        </w:tc>
      </w:tr>
    </w:tbl>
    <w:p w14:paraId="68080015"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i/>
          <w:iCs/>
          <w:sz w:val="24"/>
          <w:szCs w:val="24"/>
          <w:lang w:eastAsia="en-GB"/>
        </w:rPr>
        <w:t>Sources: Soldani et al. (2018); Wang et al. (2021); Auer et al. (2021); Söylemez et al. (2022); Waseem et al. (2021).</w:t>
      </w:r>
    </w:p>
    <w:p w14:paraId="15F80DC8"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The pattern visible across the table is that microservices tend to redistribute effort rather than remove it: gains concentrated in development and deployment are matched by new burdens in data management and observability, a trade-off that tends to become more visible, not less, as a system matures and its service count grows.</w:t>
      </w:r>
    </w:p>
    <w:p w14:paraId="68357790" w14:textId="77777777" w:rsidR="00C93EFA" w:rsidRPr="00C93EFA" w:rsidRDefault="00C93EFA" w:rsidP="00C93EF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93EFA">
        <w:rPr>
          <w:rFonts w:ascii="Times New Roman" w:eastAsia="Times New Roman" w:hAnsi="Times New Roman" w:cs="Times New Roman"/>
          <w:b/>
          <w:bCs/>
          <w:sz w:val="27"/>
          <w:szCs w:val="27"/>
          <w:lang w:eastAsia="en-GB"/>
        </w:rPr>
        <w:t>7. Security, Governance, and Risk in Containerized Environments</w:t>
      </w:r>
    </w:p>
    <w:p w14:paraId="6638BB35"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7.1 The Container Attack Surface: A Taxonomic View</w:t>
      </w:r>
    </w:p>
    <w:p w14:paraId="2972CFAD"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The shared-kernel architecture that gives containers their efficiency advantage also narrows their isolation boundary relative to hypervisor-based virtual machines, and this trade-off has motivated a substantial and increasingly systematic security literature. A comprehensive container security survey analysing more than two hundred documented container-related vulnerabilities classifies these into forty-seven distinct exploit types spanning eleven attack vectors, ranging from container-escape techniques that exploit kernel or runtime flaws to allow a process to break out of its isolation boundary, through to supply-chain attacks that introduce malicious content into images before they are ever deployed (Jarkas et al., 2025). The scale of this taxonomy is itself informative: it indicates that container security is not reducible to a handful of well-understood failure modes but constitutes a genuinely broad and still-expanding attack surface, a conclusion reinforced by the authors' own observation that academic research on container security has historically leaned towards theoretical treatment of specific vulnerability classes rather than the kind of empirically grounded, comprehensive taxonomy practitioners need to prioritise defensive investment (Jarkas et al., 2025).</w:t>
      </w:r>
    </w:p>
    <w:p w14:paraId="3495D725"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lastRenderedPageBreak/>
        <w:t>A systematic literature review of container maintenance practices situates security measures as one of four principal phases of container lifecycle management, alongside scheduling, performance evaluation and image-related processes, and reports that security-focused studies form a substantial minority of the broader maintenance literature, concentrated particularly around image vulnerability scanning and runtime anomaly detection (Malhotra et al., 2024). This concentration suggests a research community more comfortable addressing security at the point of image construction and at the point of runtime monitoring than at the orchestration layer itself, even though orchestration-layer misconfiguration — overly permissive network policies, inadequate isolation between co-scheduled workloads — features prominently among the practical concerns raised elsewhere in the container security literature.</w:t>
      </w:r>
    </w:p>
    <w:p w14:paraId="736B823A"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7.2 Image Provenance, Supply-Chain Governance, and Compliance</w:t>
      </w:r>
    </w:p>
    <w:p w14:paraId="7E6FD876"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Because Docker images are frequently built by extending a publicly available base image, the provenance and maintenance discipline of that base image becomes a governance concern for every organisation that depends on it. Research examining the criteria that influence developers' choice of base image finds that quality signals such as community maintenance activity, transparent versioning and a demonstrated absence of known vulnerabilities materially influence adoption decisions, but also finds that many developers lack reliable, low-effort means of assessing these signals at the point of selection, relying instead on informal reputation or popularity as a proxy for trustworthiness (Rosa et al., 2023). This reliance on informal proxies represents a governance gap with direct security implications, since popularity and security posture are not the same thing, and a widely used but poorly maintained image can propagate vulnerabilities across a very large number of downstream deployments.</w:t>
      </w:r>
    </w:p>
    <w:p w14:paraId="23D02E90"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The developer-survey literature on </w:t>
      </w:r>
      <w:proofErr w:type="spellStart"/>
      <w:r w:rsidRPr="00C93EFA">
        <w:rPr>
          <w:rFonts w:ascii="Times New Roman" w:eastAsia="Times New Roman" w:hAnsi="Times New Roman" w:cs="Times New Roman"/>
          <w:sz w:val="24"/>
          <w:szCs w:val="24"/>
          <w:lang w:eastAsia="en-GB"/>
        </w:rPr>
        <w:t>Dockerfile</w:t>
      </w:r>
      <w:proofErr w:type="spellEnd"/>
      <w:r w:rsidRPr="00C93EFA">
        <w:rPr>
          <w:rFonts w:ascii="Times New Roman" w:eastAsia="Times New Roman" w:hAnsi="Times New Roman" w:cs="Times New Roman"/>
          <w:sz w:val="24"/>
          <w:szCs w:val="24"/>
          <w:lang w:eastAsia="en-GB"/>
        </w:rPr>
        <w:t xml:space="preserve"> and Docker Compose authoring practice points to a related governance difficulty: as multi-container specifications evolve, configuration can drift away from what is actually running in production, making it harder for an organisation to maintain an accurate, current inventory of its deployed software components (Reis et al., 2022). These findings together suggest that container supply-chain governance remains an area where practitioner need outpaces the maturity of both tooling and organisational process, notwithstanding the technical sophistication that has otherwise accumulated around image building and distribution.</w:t>
      </w:r>
    </w:p>
    <w:p w14:paraId="0497225B"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7.3 Mitigation Strategies and the Limits of Current Practice</w:t>
      </w:r>
    </w:p>
    <w:p w14:paraId="350DC0F2"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The mitigation strategies proposed across the security literature reviewed here can be organised loosely by the lifecycle stage they target: build-time strategies, such as automated vulnerability scanning of images before registry publication and the use of minimal base images to reduce attack surface; deployment-time strategies, such as enforcing least-privilege execution contexts and restricting which sensitive host resources may be mounted into a container; and runtime strategies, such as continuous monitoring for anomalous system-call patterns indicative of an in-progress container escape. Broader reviews of container technology adoption across high-performance computing, large-scale data analytics and geographically distributed application contexts note that the maturity of these mitigations varies considerably by deployment context, with build-time and deployment-time controls comparatively well established in mainstream cloud settings but less consistently applied at the edge and in fog deployments, where resource constraints can discourage the use of more </w:t>
      </w:r>
      <w:r w:rsidRPr="00C93EFA">
        <w:rPr>
          <w:rFonts w:ascii="Times New Roman" w:eastAsia="Times New Roman" w:hAnsi="Times New Roman" w:cs="Times New Roman"/>
          <w:sz w:val="24"/>
          <w:szCs w:val="24"/>
          <w:lang w:eastAsia="en-GB"/>
        </w:rPr>
        <w:lastRenderedPageBreak/>
        <w:t>computationally expensive scanning or monitoring tools (</w:t>
      </w:r>
      <w:proofErr w:type="spellStart"/>
      <w:r w:rsidRPr="00C93EFA">
        <w:rPr>
          <w:rFonts w:ascii="Times New Roman" w:eastAsia="Times New Roman" w:hAnsi="Times New Roman" w:cs="Times New Roman"/>
          <w:sz w:val="24"/>
          <w:szCs w:val="24"/>
          <w:lang w:eastAsia="en-GB"/>
        </w:rPr>
        <w:t>Casalicchio</w:t>
      </w:r>
      <w:proofErr w:type="spellEnd"/>
      <w:r w:rsidRPr="00C93EFA">
        <w:rPr>
          <w:rFonts w:ascii="Times New Roman" w:eastAsia="Times New Roman" w:hAnsi="Times New Roman" w:cs="Times New Roman"/>
          <w:sz w:val="24"/>
          <w:szCs w:val="24"/>
          <w:lang w:eastAsia="en-GB"/>
        </w:rPr>
        <w:t xml:space="preserve"> &amp; Iannucci, 2020). This unevenness echoes the broader pattern noted in Section 4.3, in which the extension of container and orchestration practice beyond the centralised cloud consistently lags the maturity already achieved within it.</w:t>
      </w:r>
    </w:p>
    <w:p w14:paraId="6BAFCD1E"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Notwithstanding the considerable technical sophistication evident in the recent security literature, several limitations recur. First, much of the evidence base remains weighted towards retrospective vulnerability cataloguing rather than prospective evaluation of how well a given mitigation performs under realistic production conditions. Second, the rapid evolution of container runtimes and orchestration platforms means vulnerability taxonomies risk dating relatively quickly, a concern the authors of the most comprehensive recent taxonomic work explicitly acknowledge (Jarkas et al., 2025). Third, foundational virtualization security scholarship, while predating the container-specific literature, still offers conceptually relevant cautions — particularly around the difficulty of achieving complete isolation guarantees in any shared-kernel or shared-hypervisor environment — that the container-specific literature has not always fully absorbed into its own framing of risk (Pearce et al., 2013).</w:t>
      </w:r>
    </w:p>
    <w:p w14:paraId="525CE37F"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Table 5 summarises the principal categories of container security risk identified across this literature, together with the lifecycle stage at which mitigation is typically applied.</w:t>
      </w:r>
    </w:p>
    <w:p w14:paraId="509052AE"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b/>
          <w:bCs/>
          <w:sz w:val="24"/>
          <w:szCs w:val="24"/>
          <w:lang w:eastAsia="en-GB"/>
        </w:rPr>
        <w:t>Table 5. A taxonomic summary of container security risk and corresponding mitigation focus</w:t>
      </w:r>
    </w:p>
    <w:tbl>
      <w:tblPr>
        <w:tblStyle w:val="TableGrid"/>
        <w:tblW w:w="0" w:type="auto"/>
        <w:tblLook w:val="04A0" w:firstRow="1" w:lastRow="0" w:firstColumn="1" w:lastColumn="0" w:noHBand="0" w:noVBand="1"/>
      </w:tblPr>
      <w:tblGrid>
        <w:gridCol w:w="2578"/>
        <w:gridCol w:w="3730"/>
        <w:gridCol w:w="2934"/>
      </w:tblGrid>
      <w:tr w:rsidR="00C93EFA" w:rsidRPr="00C93EFA" w14:paraId="5972DDCD" w14:textId="77777777" w:rsidTr="0091620F">
        <w:tc>
          <w:tcPr>
            <w:tcW w:w="0" w:type="auto"/>
            <w:hideMark/>
          </w:tcPr>
          <w:p w14:paraId="4BC0CB5B" w14:textId="77777777" w:rsidR="00C93EFA" w:rsidRPr="00C93EFA" w:rsidRDefault="00C93EFA" w:rsidP="00C93EFA">
            <w:pPr>
              <w:jc w:val="center"/>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Risk category</w:t>
            </w:r>
          </w:p>
        </w:tc>
        <w:tc>
          <w:tcPr>
            <w:tcW w:w="0" w:type="auto"/>
            <w:hideMark/>
          </w:tcPr>
          <w:p w14:paraId="3E463C59" w14:textId="77777777" w:rsidR="00C93EFA" w:rsidRPr="00C93EFA" w:rsidRDefault="00C93EFA" w:rsidP="00C93EFA">
            <w:pPr>
              <w:jc w:val="center"/>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Representative concern</w:t>
            </w:r>
          </w:p>
        </w:tc>
        <w:tc>
          <w:tcPr>
            <w:tcW w:w="0" w:type="auto"/>
            <w:hideMark/>
          </w:tcPr>
          <w:p w14:paraId="2785F774" w14:textId="77777777" w:rsidR="00C93EFA" w:rsidRPr="00C93EFA" w:rsidRDefault="00C93EFA" w:rsidP="00C93EFA">
            <w:pPr>
              <w:jc w:val="center"/>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Typical mitigation lifecycle stage</w:t>
            </w:r>
          </w:p>
        </w:tc>
      </w:tr>
      <w:tr w:rsidR="00C93EFA" w:rsidRPr="00C93EFA" w14:paraId="1A5442A3" w14:textId="77777777" w:rsidTr="0091620F">
        <w:tc>
          <w:tcPr>
            <w:tcW w:w="0" w:type="auto"/>
            <w:hideMark/>
          </w:tcPr>
          <w:p w14:paraId="26B3F850"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Container escape / kernel exploitation</w:t>
            </w:r>
          </w:p>
        </w:tc>
        <w:tc>
          <w:tcPr>
            <w:tcW w:w="0" w:type="auto"/>
            <w:hideMark/>
          </w:tcPr>
          <w:p w14:paraId="6149CBAF"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Shared-kernel vulnerabilities permitting cross-container compromise</w:t>
            </w:r>
          </w:p>
        </w:tc>
        <w:tc>
          <w:tcPr>
            <w:tcW w:w="0" w:type="auto"/>
            <w:hideMark/>
          </w:tcPr>
          <w:p w14:paraId="6717E25F"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Runtime monitoring; minimal-privilege configuration</w:t>
            </w:r>
          </w:p>
        </w:tc>
      </w:tr>
      <w:tr w:rsidR="00C93EFA" w:rsidRPr="00C93EFA" w14:paraId="78114435" w14:textId="77777777" w:rsidTr="0091620F">
        <w:tc>
          <w:tcPr>
            <w:tcW w:w="0" w:type="auto"/>
            <w:hideMark/>
          </w:tcPr>
          <w:p w14:paraId="2D8D1ED0"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Image supply-chain risk</w:t>
            </w:r>
          </w:p>
        </w:tc>
        <w:tc>
          <w:tcPr>
            <w:tcW w:w="0" w:type="auto"/>
            <w:hideMark/>
          </w:tcPr>
          <w:p w14:paraId="19E3E2DD"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Vulnerable or poorly maintained base images propagated downstream</w:t>
            </w:r>
          </w:p>
        </w:tc>
        <w:tc>
          <w:tcPr>
            <w:tcW w:w="0" w:type="auto"/>
            <w:hideMark/>
          </w:tcPr>
          <w:p w14:paraId="5682EED5"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Build-time scanning; provenance verification</w:t>
            </w:r>
          </w:p>
        </w:tc>
      </w:tr>
      <w:tr w:rsidR="00C93EFA" w:rsidRPr="00C93EFA" w14:paraId="502AF77A" w14:textId="77777777" w:rsidTr="0091620F">
        <w:tc>
          <w:tcPr>
            <w:tcW w:w="0" w:type="auto"/>
            <w:hideMark/>
          </w:tcPr>
          <w:p w14:paraId="4972957F"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Misconfiguration</w:t>
            </w:r>
          </w:p>
        </w:tc>
        <w:tc>
          <w:tcPr>
            <w:tcW w:w="0" w:type="auto"/>
            <w:hideMark/>
          </w:tcPr>
          <w:p w14:paraId="4BDE06DF"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Overly permissive network policy or excessive container privilege</w:t>
            </w:r>
          </w:p>
        </w:tc>
        <w:tc>
          <w:tcPr>
            <w:tcW w:w="0" w:type="auto"/>
            <w:hideMark/>
          </w:tcPr>
          <w:p w14:paraId="1FBA7BC5"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Deployment-time policy enforcement</w:t>
            </w:r>
          </w:p>
        </w:tc>
      </w:tr>
      <w:tr w:rsidR="00C93EFA" w:rsidRPr="00C93EFA" w14:paraId="3B057AB1" w14:textId="77777777" w:rsidTr="0091620F">
        <w:tc>
          <w:tcPr>
            <w:tcW w:w="0" w:type="auto"/>
            <w:hideMark/>
          </w:tcPr>
          <w:p w14:paraId="1B64E508"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Orchestration-layer risk</w:t>
            </w:r>
          </w:p>
        </w:tc>
        <w:tc>
          <w:tcPr>
            <w:tcW w:w="0" w:type="auto"/>
            <w:hideMark/>
          </w:tcPr>
          <w:p w14:paraId="08B311FE"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Scheduling or co-location decisions that increase compromise blast radius</w:t>
            </w:r>
          </w:p>
        </w:tc>
        <w:tc>
          <w:tcPr>
            <w:tcW w:w="0" w:type="auto"/>
            <w:hideMark/>
          </w:tcPr>
          <w:p w14:paraId="58C5E595"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Orchestration-aware scheduling and isolation policy</w:t>
            </w:r>
          </w:p>
        </w:tc>
      </w:tr>
      <w:tr w:rsidR="00C93EFA" w:rsidRPr="00C93EFA" w14:paraId="2863E5B2" w14:textId="77777777" w:rsidTr="0091620F">
        <w:tc>
          <w:tcPr>
            <w:tcW w:w="0" w:type="auto"/>
            <w:hideMark/>
          </w:tcPr>
          <w:p w14:paraId="5C40B1EA"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Edge/resource-constrained risk</w:t>
            </w:r>
          </w:p>
        </w:tc>
        <w:tc>
          <w:tcPr>
            <w:tcW w:w="0" w:type="auto"/>
            <w:hideMark/>
          </w:tcPr>
          <w:p w14:paraId="38F64124"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Reduced applicability of computationally expensive controls</w:t>
            </w:r>
          </w:p>
        </w:tc>
        <w:tc>
          <w:tcPr>
            <w:tcW w:w="0" w:type="auto"/>
            <w:hideMark/>
          </w:tcPr>
          <w:p w14:paraId="5A2DC177"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Lightweight, context-adapted mitigation tooling</w:t>
            </w:r>
          </w:p>
        </w:tc>
      </w:tr>
    </w:tbl>
    <w:p w14:paraId="1B6FB3FC"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i/>
          <w:iCs/>
          <w:sz w:val="24"/>
          <w:szCs w:val="24"/>
          <w:lang w:eastAsia="en-GB"/>
        </w:rPr>
        <w:t xml:space="preserve">Sources: Jarkas et al. (2025); Malhotra et al. (2024); </w:t>
      </w:r>
      <w:proofErr w:type="spellStart"/>
      <w:r w:rsidRPr="00C93EFA">
        <w:rPr>
          <w:rFonts w:ascii="Times New Roman" w:eastAsia="Times New Roman" w:hAnsi="Times New Roman" w:cs="Times New Roman"/>
          <w:i/>
          <w:iCs/>
          <w:sz w:val="24"/>
          <w:szCs w:val="24"/>
          <w:lang w:eastAsia="en-GB"/>
        </w:rPr>
        <w:t>Casalicchio</w:t>
      </w:r>
      <w:proofErr w:type="spellEnd"/>
      <w:r w:rsidRPr="00C93EFA">
        <w:rPr>
          <w:rFonts w:ascii="Times New Roman" w:eastAsia="Times New Roman" w:hAnsi="Times New Roman" w:cs="Times New Roman"/>
          <w:i/>
          <w:iCs/>
          <w:sz w:val="24"/>
          <w:szCs w:val="24"/>
          <w:lang w:eastAsia="en-GB"/>
        </w:rPr>
        <w:t xml:space="preserve"> and Iannucci (2020); Rosa et al. (2023); Pearce et al. (2013).</w:t>
      </w:r>
    </w:p>
    <w:p w14:paraId="2758879E"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The progression down the table also hints at an implicit hierarchy of maturity in current practice: mitigation is furthest advanced at the build stage, where automated scanning has become close to routine, and least advanced at the edge, where the computational cost of more comprehensive defence is often judged too high to bear.</w:t>
      </w:r>
    </w:p>
    <w:p w14:paraId="0A576D4D" w14:textId="77777777" w:rsidR="00C93EFA" w:rsidRPr="00C93EFA" w:rsidRDefault="00C93EFA" w:rsidP="00C93EF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93EFA">
        <w:rPr>
          <w:rFonts w:ascii="Times New Roman" w:eastAsia="Times New Roman" w:hAnsi="Times New Roman" w:cs="Times New Roman"/>
          <w:b/>
          <w:bCs/>
          <w:sz w:val="27"/>
          <w:szCs w:val="27"/>
          <w:lang w:eastAsia="en-GB"/>
        </w:rPr>
        <w:lastRenderedPageBreak/>
        <w:t>8. Critical Synthesis: Docker's Broader Impact on Software Engineering Practice</w:t>
      </w:r>
    </w:p>
    <w:p w14:paraId="5708DF97"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8.1 Economic and Organisational Implications</w:t>
      </w:r>
    </w:p>
    <w:p w14:paraId="0A767BAD"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Taken as a whole, the literature surveyed in this review supports the view that Docker's main contribution to software engineering practice has been less a single technical breakthrough than a standardising and coordinating effect. By offering a sufficiently simple and sufficiently portable packaging format, Docker lowered the threshold at which organisations of varying scale and technical sophistication could adopt practices — continuous integration, independently deployable services, infrastructure as code — previously associated chiefly with the largest and most well-resourced technology firms. The case-study and survey literature on DevOps adoption consistently treats the availability of mature, standardised tooling as a precondition for organisational change, even as the same literature insists tooling alone is not enough without accompanying cultural and process change (</w:t>
      </w:r>
      <w:proofErr w:type="spellStart"/>
      <w:r w:rsidRPr="00C93EFA">
        <w:rPr>
          <w:rFonts w:ascii="Times New Roman" w:eastAsia="Times New Roman" w:hAnsi="Times New Roman" w:cs="Times New Roman"/>
          <w:sz w:val="24"/>
          <w:szCs w:val="24"/>
          <w:lang w:eastAsia="en-GB"/>
        </w:rPr>
        <w:t>Lwakatare</w:t>
      </w:r>
      <w:proofErr w:type="spellEnd"/>
      <w:r w:rsidRPr="00C93EFA">
        <w:rPr>
          <w:rFonts w:ascii="Times New Roman" w:eastAsia="Times New Roman" w:hAnsi="Times New Roman" w:cs="Times New Roman"/>
          <w:sz w:val="24"/>
          <w:szCs w:val="24"/>
          <w:lang w:eastAsia="en-GB"/>
        </w:rPr>
        <w:t xml:space="preserve"> et al., 2019; Luz et al., 2019). Read alongside the DevOps capability-mapping literature, which finds cultural and measurement capabilities consistently under-represented relative to technical automation capabilities (Amaro et al., 2025), this suggests that the economic value Docker has delivered to the software industry has been realised unevenly: organisations that paired containerization with genuine organisational investment appear, on the qualitative evidence available, to have captured the benefits considerably more reliably than those that treated containerization as a purely technical substitution for prior deployment mechanisms.</w:t>
      </w:r>
    </w:p>
    <w:p w14:paraId="7E734AD3"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8.2 Contested Claims and Gaps in the Evidence Base</w:t>
      </w:r>
    </w:p>
    <w:p w14:paraId="280A7C96"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Several claims that circulate widely in practitioner discourse hold up only partially once set against the empirical literature reviewed here. The claim that containers are unambiguously faster and more efficient than virtual machines is well supported for compute-bound workloads but considerably more conditional for storage- and network-intensive ones, where reported overheads persist and vary by runtime and storage driver (</w:t>
      </w:r>
      <w:proofErr w:type="spellStart"/>
      <w:r w:rsidRPr="00C93EFA">
        <w:rPr>
          <w:rFonts w:ascii="Times New Roman" w:eastAsia="Times New Roman" w:hAnsi="Times New Roman" w:cs="Times New Roman"/>
          <w:sz w:val="24"/>
          <w:szCs w:val="24"/>
          <w:lang w:eastAsia="en-GB"/>
        </w:rPr>
        <w:t>Kozhirbayev</w:t>
      </w:r>
      <w:proofErr w:type="spellEnd"/>
      <w:r w:rsidRPr="00C93EFA">
        <w:rPr>
          <w:rFonts w:ascii="Times New Roman" w:eastAsia="Times New Roman" w:hAnsi="Times New Roman" w:cs="Times New Roman"/>
          <w:sz w:val="24"/>
          <w:szCs w:val="24"/>
          <w:lang w:eastAsia="en-GB"/>
        </w:rPr>
        <w:t xml:space="preserve"> &amp; Sinnott, 2017; </w:t>
      </w:r>
      <w:proofErr w:type="spellStart"/>
      <w:r w:rsidRPr="00C93EFA">
        <w:rPr>
          <w:rFonts w:ascii="Times New Roman" w:eastAsia="Times New Roman" w:hAnsi="Times New Roman" w:cs="Times New Roman"/>
          <w:sz w:val="24"/>
          <w:szCs w:val="24"/>
          <w:lang w:eastAsia="en-GB"/>
        </w:rPr>
        <w:t>Aqasizade</w:t>
      </w:r>
      <w:proofErr w:type="spellEnd"/>
      <w:r w:rsidRPr="00C93EFA">
        <w:rPr>
          <w:rFonts w:ascii="Times New Roman" w:eastAsia="Times New Roman" w:hAnsi="Times New Roman" w:cs="Times New Roman"/>
          <w:sz w:val="24"/>
          <w:szCs w:val="24"/>
          <w:lang w:eastAsia="en-GB"/>
        </w:rPr>
        <w:t xml:space="preserve"> et al., 2025). The claim that microservices architecture reliably speeds up delivery and improves scalability is backed by a substantial body of practitioner-reported gains, but the same literature documents an almost equally substantial body of reported pains, particularly around data consistency, operational complexity and underestimated migration overhead, with experienced practitioners reporting that they routinely depart from generic published guidance once they have enough operational maturity (Soldani et al., 2018; Wang et al., 2021). The claim that DevOps practices straightforwardly translate into better organisational performance is supported with the greatest confidence at the level of pipeline-specific metrics, such as deployment frequency, but with considerably less confidence at the level of broader organisational outcomes, where the evidence remains predominantly qualitative, drawn from a limited number of well-documented case organisations, and not always disentangled from the influence of other change initiatives happening at the same time (Jabbari et al., 2018; Azad &amp; </w:t>
      </w:r>
      <w:proofErr w:type="spellStart"/>
      <w:r w:rsidRPr="00C93EFA">
        <w:rPr>
          <w:rFonts w:ascii="Times New Roman" w:eastAsia="Times New Roman" w:hAnsi="Times New Roman" w:cs="Times New Roman"/>
          <w:sz w:val="24"/>
          <w:szCs w:val="24"/>
          <w:lang w:eastAsia="en-GB"/>
        </w:rPr>
        <w:t>Hyrynsalmi</w:t>
      </w:r>
      <w:proofErr w:type="spellEnd"/>
      <w:r w:rsidRPr="00C93EFA">
        <w:rPr>
          <w:rFonts w:ascii="Times New Roman" w:eastAsia="Times New Roman" w:hAnsi="Times New Roman" w:cs="Times New Roman"/>
          <w:sz w:val="24"/>
          <w:szCs w:val="24"/>
          <w:lang w:eastAsia="en-GB"/>
        </w:rPr>
        <w:t>, 2023).</w:t>
      </w:r>
    </w:p>
    <w:p w14:paraId="355A4AC1"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A further and more structural gap concerns the time horizon of the available evidence. Most of the empirical studies reviewed here are cross-sectional, capturing organisational practice or technical performance at a single point in time rather than tracking change over an extended period, which limits the field's capacity to distinguish durable transformation from passing enthusiasm. Much of the practitioner-survey literature, while methodologically careful within its own scope, also draws on convenience samples of organisations willing to take part in </w:t>
      </w:r>
      <w:r w:rsidRPr="00C93EFA">
        <w:rPr>
          <w:rFonts w:ascii="Times New Roman" w:eastAsia="Times New Roman" w:hAnsi="Times New Roman" w:cs="Times New Roman"/>
          <w:sz w:val="24"/>
          <w:szCs w:val="24"/>
          <w:lang w:eastAsia="en-GB"/>
        </w:rPr>
        <w:lastRenderedPageBreak/>
        <w:t>research — a limitation acknowledged explicitly in several of the studies that inform this review's account of DevOps and microservices adoption most directly (</w:t>
      </w:r>
      <w:proofErr w:type="spellStart"/>
      <w:r w:rsidRPr="00C93EFA">
        <w:rPr>
          <w:rFonts w:ascii="Times New Roman" w:eastAsia="Times New Roman" w:hAnsi="Times New Roman" w:cs="Times New Roman"/>
          <w:sz w:val="24"/>
          <w:szCs w:val="24"/>
          <w:lang w:eastAsia="en-GB"/>
        </w:rPr>
        <w:t>Lwakatare</w:t>
      </w:r>
      <w:proofErr w:type="spellEnd"/>
      <w:r w:rsidRPr="00C93EFA">
        <w:rPr>
          <w:rFonts w:ascii="Times New Roman" w:eastAsia="Times New Roman" w:hAnsi="Times New Roman" w:cs="Times New Roman"/>
          <w:sz w:val="24"/>
          <w:szCs w:val="24"/>
          <w:lang w:eastAsia="en-GB"/>
        </w:rPr>
        <w:t xml:space="preserve"> et al., 2019; Waseem et al., 2021).</w:t>
      </w:r>
    </w:p>
    <w:p w14:paraId="63F293CB"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8.3 Emerging Directions: Serverless Containers, Edge-Native Operations, and AI-Assisted DevOps</w:t>
      </w:r>
    </w:p>
    <w:p w14:paraId="6C1CD019"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Three directions seem, on the basis of the literature reviewed, likely to shape the next phase of research in this field. The first is the continued convergence of container and serverless paradigms, in which the operational simplicity serverless platforms offer developers is increasingly delivered through container-based execution sandboxes hidden beneath an abstraction layer that conceals explicit container management; the systematic reviews of serverless computing surveyed in Section 4.3 indicate that this convergence is already well under way but that its security, latency and testing implications remain only partly understood (Hassan et al., 2021; Wen et al., 2023). The second is the extension of container orchestration into genuinely resource-constrained edge and Internet of Things contexts, where the evidence base, as noted in Sections 4.3 and 7.3, currently lags well behind the maturity achieved in centralised cloud deployments, and where validation on authentic rather than simulated edge hardware remains comparatively scarce (Čilić et al., 2023; Cassel et al., 2022). The third is the application of artificial-intelligence-assisted techniques to DevOps and orchestration tasks — predictive scheduling, automated anomaly detection, AI-supported quality engineering across the delivery life cycle — an area several recent reviews describe as nascent but expanding rapidly, and one that intersects directly with the scheduling and security taxonomies discussed in Sections 4.2 and 7.1 (</w:t>
      </w:r>
      <w:proofErr w:type="spellStart"/>
      <w:r w:rsidRPr="00C93EFA">
        <w:rPr>
          <w:rFonts w:ascii="Times New Roman" w:eastAsia="Times New Roman" w:hAnsi="Times New Roman" w:cs="Times New Roman"/>
          <w:sz w:val="24"/>
          <w:szCs w:val="24"/>
          <w:lang w:eastAsia="en-GB"/>
        </w:rPr>
        <w:t>Alnafessah</w:t>
      </w:r>
      <w:proofErr w:type="spellEnd"/>
      <w:r w:rsidRPr="00C93EFA">
        <w:rPr>
          <w:rFonts w:ascii="Times New Roman" w:eastAsia="Times New Roman" w:hAnsi="Times New Roman" w:cs="Times New Roman"/>
          <w:sz w:val="24"/>
          <w:szCs w:val="24"/>
          <w:lang w:eastAsia="en-GB"/>
        </w:rPr>
        <w:t xml:space="preserve"> et al., 2021; </w:t>
      </w:r>
      <w:proofErr w:type="spellStart"/>
      <w:r w:rsidRPr="00C93EFA">
        <w:rPr>
          <w:rFonts w:ascii="Times New Roman" w:eastAsia="Times New Roman" w:hAnsi="Times New Roman" w:cs="Times New Roman"/>
          <w:sz w:val="24"/>
          <w:szCs w:val="24"/>
          <w:lang w:eastAsia="en-GB"/>
        </w:rPr>
        <w:t>Senjab</w:t>
      </w:r>
      <w:proofErr w:type="spellEnd"/>
      <w:r w:rsidRPr="00C93EFA">
        <w:rPr>
          <w:rFonts w:ascii="Times New Roman" w:eastAsia="Times New Roman" w:hAnsi="Times New Roman" w:cs="Times New Roman"/>
          <w:sz w:val="24"/>
          <w:szCs w:val="24"/>
          <w:lang w:eastAsia="en-GB"/>
        </w:rPr>
        <w:t xml:space="preserve"> et al., 2023). Across all three directions, the literature reviewed here suggests that empirical rigour — longitudinal study designs in particular, and validation beyond simulated or convenience-sampled settings — will need to keep pace with the rate of technological change if the research record is to give practitioners reliably generalisable guidance rather than a continually refreshed inventory of point-in-time case evidence.</w:t>
      </w:r>
    </w:p>
    <w:p w14:paraId="28684ADE" w14:textId="77777777" w:rsidR="00C93EFA" w:rsidRPr="00C93EFA" w:rsidRDefault="00C93EFA" w:rsidP="00C93EF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93EFA">
        <w:rPr>
          <w:rFonts w:ascii="Times New Roman" w:eastAsia="Times New Roman" w:hAnsi="Times New Roman" w:cs="Times New Roman"/>
          <w:b/>
          <w:bCs/>
          <w:sz w:val="27"/>
          <w:szCs w:val="27"/>
          <w:lang w:eastAsia="en-GB"/>
        </w:rPr>
        <w:t>9. Conclusions</w:t>
      </w:r>
    </w:p>
    <w:p w14:paraId="440CDCD2"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This review has traced the path of software containerization from its conceptual origins in operating-system-level virtualization through to its current position as the substrate underpinning much of contemporary cloud-native software delivery. Docker's distinctive contribution was to standardise the container image as a portable, versioned and broadly shareable artefact, a move that lowered the practical barrier to adopting distributed, automation-intensive delivery models across organisations of widely varying scale and technical sophistication. The literature reviewed here indicates that containers deliver consistent and well-evidenced advantages in provisioning speed and resource density relative to hypervisor-based virtual machines, while their advantages in storage and network performance remain more conditional and workload-dependent than is often assumed in practitioner discourse. Container orchestration, exemplified by Kubernetes, has matured into a substantial and increasingly specialised research field in its own right, though this maturity is markedly more pronounced in centralised cloud deployments than in edge, Internet of Things or serverless contexts, where the empirical evidence base remains comparatively thin. The relationship between containerization and DevOps practice is best described as mutually enabling rather than strictly causal: containers provide a convenient packaging unit for automated delivery pipelines, but the organisational and cultural transformation DevOps proponents associate with durable performance improvement depends on factors considerably </w:t>
      </w:r>
      <w:r w:rsidRPr="00C93EFA">
        <w:rPr>
          <w:rFonts w:ascii="Times New Roman" w:eastAsia="Times New Roman" w:hAnsi="Times New Roman" w:cs="Times New Roman"/>
          <w:sz w:val="24"/>
          <w:szCs w:val="24"/>
          <w:lang w:eastAsia="en-GB"/>
        </w:rPr>
        <w:lastRenderedPageBreak/>
        <w:t xml:space="preserve">broader than tooling alone — a conclusion that recurs across the case-study, survey and systematic-review literature examined throughout this article. Microservices architecture, similarly, offers genuine and well-documented gains in independent </w:t>
      </w:r>
      <w:proofErr w:type="spellStart"/>
      <w:r w:rsidRPr="00C93EFA">
        <w:rPr>
          <w:rFonts w:ascii="Times New Roman" w:eastAsia="Times New Roman" w:hAnsi="Times New Roman" w:cs="Times New Roman"/>
          <w:sz w:val="24"/>
          <w:szCs w:val="24"/>
          <w:lang w:eastAsia="en-GB"/>
        </w:rPr>
        <w:t>deployability</w:t>
      </w:r>
      <w:proofErr w:type="spellEnd"/>
      <w:r w:rsidRPr="00C93EFA">
        <w:rPr>
          <w:rFonts w:ascii="Times New Roman" w:eastAsia="Times New Roman" w:hAnsi="Times New Roman" w:cs="Times New Roman"/>
          <w:sz w:val="24"/>
          <w:szCs w:val="24"/>
          <w:lang w:eastAsia="en-GB"/>
        </w:rPr>
        <w:t xml:space="preserve"> and team autonomy, balanced against persistent and incompletely resolved challenges in data consistency, cross-service testing and operational overhead, with experienced practitioners reporting that they routinely depart from generic published guidance as their own operational maturity grows. Security and governance </w:t>
      </w:r>
      <w:proofErr w:type="gramStart"/>
      <w:r w:rsidRPr="00C93EFA">
        <w:rPr>
          <w:rFonts w:ascii="Times New Roman" w:eastAsia="Times New Roman" w:hAnsi="Times New Roman" w:cs="Times New Roman"/>
          <w:sz w:val="24"/>
          <w:szCs w:val="24"/>
          <w:lang w:eastAsia="en-GB"/>
        </w:rPr>
        <w:t>concerns</w:t>
      </w:r>
      <w:proofErr w:type="gramEnd"/>
      <w:r w:rsidRPr="00C93EFA">
        <w:rPr>
          <w:rFonts w:ascii="Times New Roman" w:eastAsia="Times New Roman" w:hAnsi="Times New Roman" w:cs="Times New Roman"/>
          <w:sz w:val="24"/>
          <w:szCs w:val="24"/>
          <w:lang w:eastAsia="en-GB"/>
        </w:rPr>
        <w:t xml:space="preserve"> specific to the shared-kernel architecture of containers form an active and expanding research area, with recent taxonomic work cataloguing a substantial and varied attack surface that existing mitigation practice addresses only partially and unevenly across deployment contexts. Taken together, the evidence supports the conclusion that Docker's significance for software engineering lies primarily in its role as a coordinating and standardising technology that made previously specialist practices more broadly accessible, rather than in any single, unconditionally superior technical property, and that the research community's task going forward is to close the gap between the pace of technological change in this space and the slower, harder-won accumulation of rigorous, longitudinal and context-diverse empirical evidence.</w:t>
      </w:r>
    </w:p>
    <w:p w14:paraId="3C804AA4" w14:textId="77777777" w:rsidR="00C93EFA" w:rsidRPr="00C93EFA" w:rsidRDefault="00C93EFA" w:rsidP="00C93EF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93EFA">
        <w:rPr>
          <w:rFonts w:ascii="Times New Roman" w:eastAsia="Times New Roman" w:hAnsi="Times New Roman" w:cs="Times New Roman"/>
          <w:b/>
          <w:bCs/>
          <w:sz w:val="27"/>
          <w:szCs w:val="27"/>
          <w:lang w:eastAsia="en-GB"/>
        </w:rPr>
        <w:t>10. Limitations</w:t>
      </w:r>
    </w:p>
    <w:p w14:paraId="20BC5411" w14:textId="77777777" w:rsid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This review is subject to several limitations that should temper the confidence placed in its conclusions. The narrative methodology adopted, while well suited to synthesising a heterogeneous and rapidly evolving literature, does not offer the exhaustive, protocol-driven coverage a formal systematic review would provide, and it is possible that relevant studies meeting the stated inclusion criteria were not identified, or were identified but not retained for close reading. The exclusion of conference proceedings, which make up a substantial share of published software engineering research and are especially prominent in fast-moving sub-areas such as container security and orchestration scheduling, means this review may understate the very latest technical developments in those areas, since in computer science conference publication often precedes journal publication by a considerable interval. Restricting the search to English-language sources may have introduced a degree of geographic and institutional bias, given that container and DevOps research is conducted across a globally distributed research community that publishes in multiple languages. The heavy reliance on secondary synthesis — drawing extensively on existing systematic reviews, mapping studies and surveys rather than on independent re-analysis of primary data — means this review inherits whatever limitations and biases are present in those underlying secondary sources, including their own sampling choices and the particular framing each survey's authors brought to their synthesis. Finally, this is a field that continues to move quickly, and developments in container runtimes, orchestration platforms and DevOps tooling that postdate the literature search cut-off applied here are not reflected in the analysis, a constraint inherent to any review of a fast-moving technical domain.</w:t>
      </w:r>
    </w:p>
    <w:p w14:paraId="46E4CBB2" w14:textId="77777777" w:rsidR="009A2105" w:rsidRPr="000839CE" w:rsidRDefault="009A2105" w:rsidP="009A2105">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5267426E" w14:textId="77777777" w:rsidR="009A2105" w:rsidRPr="000839CE" w:rsidRDefault="009A2105" w:rsidP="009A2105">
      <w:pPr>
        <w:spacing w:after="0" w:line="240" w:lineRule="auto"/>
        <w:rPr>
          <w:rFonts w:ascii="Times New Roman" w:hAnsi="Times New Roman" w:cs="Times New Roman"/>
        </w:rPr>
      </w:pPr>
    </w:p>
    <w:p w14:paraId="5E6C5CD6" w14:textId="77777777" w:rsidR="009A2105" w:rsidRPr="000839CE" w:rsidRDefault="009A2105" w:rsidP="009A2105">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B138511" w14:textId="77777777" w:rsidR="009A2105" w:rsidRPr="00C93EFA" w:rsidRDefault="009A2105" w:rsidP="00C93EFA">
      <w:pPr>
        <w:spacing w:before="100" w:beforeAutospacing="1" w:after="100" w:afterAutospacing="1" w:line="240" w:lineRule="auto"/>
        <w:rPr>
          <w:rFonts w:ascii="Times New Roman" w:eastAsia="Times New Roman" w:hAnsi="Times New Roman" w:cs="Times New Roman"/>
          <w:sz w:val="24"/>
          <w:szCs w:val="24"/>
          <w:lang w:eastAsia="en-GB"/>
        </w:rPr>
      </w:pPr>
    </w:p>
    <w:p w14:paraId="73F1C586" w14:textId="77777777" w:rsidR="00C93EFA" w:rsidRPr="00C93EFA" w:rsidRDefault="00C93EFA" w:rsidP="00C93EF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93EFA">
        <w:rPr>
          <w:rFonts w:ascii="Times New Roman" w:eastAsia="Times New Roman" w:hAnsi="Times New Roman" w:cs="Times New Roman"/>
          <w:b/>
          <w:bCs/>
          <w:sz w:val="27"/>
          <w:szCs w:val="27"/>
          <w:lang w:eastAsia="en-GB"/>
        </w:rPr>
        <w:t>References</w:t>
      </w:r>
    </w:p>
    <w:p w14:paraId="1D338C1C"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proofErr w:type="spellStart"/>
      <w:r w:rsidRPr="00EA47D4">
        <w:rPr>
          <w:rFonts w:ascii="Times New Roman" w:hAnsi="Times New Roman" w:cs="Times New Roman"/>
          <w:sz w:val="24"/>
          <w:szCs w:val="24"/>
        </w:rPr>
        <w:t>Alnafessah</w:t>
      </w:r>
      <w:proofErr w:type="spellEnd"/>
      <w:r w:rsidRPr="00EA47D4">
        <w:rPr>
          <w:rFonts w:ascii="Times New Roman" w:hAnsi="Times New Roman" w:cs="Times New Roman"/>
          <w:sz w:val="24"/>
          <w:szCs w:val="24"/>
        </w:rPr>
        <w:t xml:space="preserve">, A., </w:t>
      </w:r>
      <w:proofErr w:type="spellStart"/>
      <w:r w:rsidRPr="00EA47D4">
        <w:rPr>
          <w:rFonts w:ascii="Times New Roman" w:hAnsi="Times New Roman" w:cs="Times New Roman"/>
          <w:sz w:val="24"/>
          <w:szCs w:val="24"/>
        </w:rPr>
        <w:t>Gias</w:t>
      </w:r>
      <w:proofErr w:type="spellEnd"/>
      <w:r w:rsidRPr="00EA47D4">
        <w:rPr>
          <w:rFonts w:ascii="Times New Roman" w:hAnsi="Times New Roman" w:cs="Times New Roman"/>
          <w:sz w:val="24"/>
          <w:szCs w:val="24"/>
        </w:rPr>
        <w:t xml:space="preserve">, A. U., Wang, R., Zhu, L., Casale, G., &amp; </w:t>
      </w:r>
      <w:proofErr w:type="spellStart"/>
      <w:r w:rsidRPr="00EA47D4">
        <w:rPr>
          <w:rFonts w:ascii="Times New Roman" w:hAnsi="Times New Roman" w:cs="Times New Roman"/>
          <w:sz w:val="24"/>
          <w:szCs w:val="24"/>
        </w:rPr>
        <w:t>Filieri</w:t>
      </w:r>
      <w:proofErr w:type="spellEnd"/>
      <w:r w:rsidRPr="00EA47D4">
        <w:rPr>
          <w:rFonts w:ascii="Times New Roman" w:hAnsi="Times New Roman" w:cs="Times New Roman"/>
          <w:sz w:val="24"/>
          <w:szCs w:val="24"/>
        </w:rPr>
        <w:t>, A. (2021). Quality-aware DevOps research: Where do we stand? IEEE Access, 9, 44476–44489. https://doi.org/10.1109/ACCESS.2021.3064867</w:t>
      </w:r>
    </w:p>
    <w:p w14:paraId="5D92CD56"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r w:rsidRPr="00EA47D4">
        <w:rPr>
          <w:rFonts w:ascii="Times New Roman" w:hAnsi="Times New Roman" w:cs="Times New Roman"/>
          <w:sz w:val="24"/>
          <w:szCs w:val="24"/>
        </w:rPr>
        <w:t>Amaro, R., Pereira, R., &amp; Mira da Silva, M. (2025). Mapping DevOps capabilities to the software life cycle: A systematic literature review. Information and Software Technology, 177, Article 107583. https://doi.org/10.1016/j.infsof.2024.107583</w:t>
      </w:r>
    </w:p>
    <w:p w14:paraId="63DC3ACD"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proofErr w:type="spellStart"/>
      <w:r w:rsidRPr="00EA47D4">
        <w:rPr>
          <w:rFonts w:ascii="Times New Roman" w:hAnsi="Times New Roman" w:cs="Times New Roman"/>
          <w:sz w:val="24"/>
          <w:szCs w:val="24"/>
        </w:rPr>
        <w:t>Aqasizade</w:t>
      </w:r>
      <w:proofErr w:type="spellEnd"/>
      <w:r w:rsidRPr="00EA47D4">
        <w:rPr>
          <w:rFonts w:ascii="Times New Roman" w:hAnsi="Times New Roman" w:cs="Times New Roman"/>
          <w:sz w:val="24"/>
          <w:szCs w:val="24"/>
        </w:rPr>
        <w:t xml:space="preserve">, H., </w:t>
      </w:r>
      <w:proofErr w:type="spellStart"/>
      <w:r w:rsidRPr="00EA47D4">
        <w:rPr>
          <w:rFonts w:ascii="Times New Roman" w:hAnsi="Times New Roman" w:cs="Times New Roman"/>
          <w:sz w:val="24"/>
          <w:szCs w:val="24"/>
        </w:rPr>
        <w:t>Ataie</w:t>
      </w:r>
      <w:proofErr w:type="spellEnd"/>
      <w:r w:rsidRPr="00EA47D4">
        <w:rPr>
          <w:rFonts w:ascii="Times New Roman" w:hAnsi="Times New Roman" w:cs="Times New Roman"/>
          <w:sz w:val="24"/>
          <w:szCs w:val="24"/>
        </w:rPr>
        <w:t>, E., &amp; Bastam, M. (2025). Experimental assessment of containers running on top of virtual machines. IET Networks, 14(1), Article e12138. https://doi.org/10.1049/ntw2.12138</w:t>
      </w:r>
    </w:p>
    <w:p w14:paraId="12C8AD28"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r w:rsidRPr="00EA47D4">
        <w:rPr>
          <w:rFonts w:ascii="Times New Roman" w:hAnsi="Times New Roman" w:cs="Times New Roman"/>
          <w:sz w:val="24"/>
          <w:szCs w:val="24"/>
        </w:rPr>
        <w:t>Auer, F., Lenarduzzi, V., Felderer, M., &amp; Taibi, D. (2021). From monolithic systems to microservices: An assessment framework. Information and Software Technology, 137, Article 106600. https://doi.org/10.1016/j.infsof.2021.106600</w:t>
      </w:r>
    </w:p>
    <w:p w14:paraId="37A7937A"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r w:rsidRPr="00EA47D4">
        <w:rPr>
          <w:rFonts w:ascii="Times New Roman" w:hAnsi="Times New Roman" w:cs="Times New Roman"/>
          <w:sz w:val="24"/>
          <w:szCs w:val="24"/>
        </w:rPr>
        <w:t xml:space="preserve">Azad, N., &amp; </w:t>
      </w:r>
      <w:proofErr w:type="spellStart"/>
      <w:r w:rsidRPr="00EA47D4">
        <w:rPr>
          <w:rFonts w:ascii="Times New Roman" w:hAnsi="Times New Roman" w:cs="Times New Roman"/>
          <w:sz w:val="24"/>
          <w:szCs w:val="24"/>
        </w:rPr>
        <w:t>Hyrynsalmi</w:t>
      </w:r>
      <w:proofErr w:type="spellEnd"/>
      <w:r w:rsidRPr="00EA47D4">
        <w:rPr>
          <w:rFonts w:ascii="Times New Roman" w:hAnsi="Times New Roman" w:cs="Times New Roman"/>
          <w:sz w:val="24"/>
          <w:szCs w:val="24"/>
        </w:rPr>
        <w:t>, S. (2023). DevOps critical success factors: A systematic literature review. Information and Software Technology, 157, Article 107150. https://doi.org/10.1016/j.infsof.2023.107150</w:t>
      </w:r>
    </w:p>
    <w:p w14:paraId="32D16EC9"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proofErr w:type="spellStart"/>
      <w:r w:rsidRPr="00EA47D4">
        <w:rPr>
          <w:rFonts w:ascii="Times New Roman" w:hAnsi="Times New Roman" w:cs="Times New Roman"/>
          <w:sz w:val="24"/>
          <w:szCs w:val="24"/>
        </w:rPr>
        <w:t>Balalaie</w:t>
      </w:r>
      <w:proofErr w:type="spellEnd"/>
      <w:r w:rsidRPr="00EA47D4">
        <w:rPr>
          <w:rFonts w:ascii="Times New Roman" w:hAnsi="Times New Roman" w:cs="Times New Roman"/>
          <w:sz w:val="24"/>
          <w:szCs w:val="24"/>
        </w:rPr>
        <w:t xml:space="preserve">, A., </w:t>
      </w:r>
      <w:proofErr w:type="spellStart"/>
      <w:r w:rsidRPr="00EA47D4">
        <w:rPr>
          <w:rFonts w:ascii="Times New Roman" w:hAnsi="Times New Roman" w:cs="Times New Roman"/>
          <w:sz w:val="24"/>
          <w:szCs w:val="24"/>
        </w:rPr>
        <w:t>Heydarnoori</w:t>
      </w:r>
      <w:proofErr w:type="spellEnd"/>
      <w:r w:rsidRPr="00EA47D4">
        <w:rPr>
          <w:rFonts w:ascii="Times New Roman" w:hAnsi="Times New Roman" w:cs="Times New Roman"/>
          <w:sz w:val="24"/>
          <w:szCs w:val="24"/>
        </w:rPr>
        <w:t>, A., Jamshidi, P., Tamburri, D. A., &amp; Lynn, T. (2018). Microservices migration patterns. Software: Practice and Experience, 48(11), 2019–2042. https://doi.org/10.1002/spe.2608</w:t>
      </w:r>
    </w:p>
    <w:p w14:paraId="2793E917"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r w:rsidRPr="00EA47D4">
        <w:rPr>
          <w:rFonts w:ascii="Times New Roman" w:hAnsi="Times New Roman" w:cs="Times New Roman"/>
          <w:sz w:val="24"/>
          <w:szCs w:val="24"/>
        </w:rPr>
        <w:t xml:space="preserve">Bentaleb, O., </w:t>
      </w:r>
      <w:proofErr w:type="spellStart"/>
      <w:r w:rsidRPr="00EA47D4">
        <w:rPr>
          <w:rFonts w:ascii="Times New Roman" w:hAnsi="Times New Roman" w:cs="Times New Roman"/>
          <w:sz w:val="24"/>
          <w:szCs w:val="24"/>
        </w:rPr>
        <w:t>Belloum</w:t>
      </w:r>
      <w:proofErr w:type="spellEnd"/>
      <w:r w:rsidRPr="00EA47D4">
        <w:rPr>
          <w:rFonts w:ascii="Times New Roman" w:hAnsi="Times New Roman" w:cs="Times New Roman"/>
          <w:sz w:val="24"/>
          <w:szCs w:val="24"/>
        </w:rPr>
        <w:t>, A. S. Z., Sebaa, A., &amp; El-</w:t>
      </w:r>
      <w:proofErr w:type="spellStart"/>
      <w:r w:rsidRPr="00EA47D4">
        <w:rPr>
          <w:rFonts w:ascii="Times New Roman" w:hAnsi="Times New Roman" w:cs="Times New Roman"/>
          <w:sz w:val="24"/>
          <w:szCs w:val="24"/>
        </w:rPr>
        <w:t>Maouhab</w:t>
      </w:r>
      <w:proofErr w:type="spellEnd"/>
      <w:r w:rsidRPr="00EA47D4">
        <w:rPr>
          <w:rFonts w:ascii="Times New Roman" w:hAnsi="Times New Roman" w:cs="Times New Roman"/>
          <w:sz w:val="24"/>
          <w:szCs w:val="24"/>
        </w:rPr>
        <w:t>, A. (2022). Containerization technologies: Taxonomies, applications and challenges. The Journal of Supercomputing, 78(1), 1144–1181. https://doi.org/10.1007/s11227-021-03914-1</w:t>
      </w:r>
    </w:p>
    <w:p w14:paraId="7061E98D"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r w:rsidRPr="00EA47D4">
        <w:rPr>
          <w:rFonts w:ascii="Times New Roman" w:hAnsi="Times New Roman" w:cs="Times New Roman"/>
          <w:sz w:val="24"/>
          <w:szCs w:val="24"/>
        </w:rPr>
        <w:t>Bhardwaj, A., &amp; Krishna, C. R. (2021). Virtualization in cloud computing: Moving from hypervisor to containerization—A survey. Arabian Journal for Science and Engineering, 46(9), 8585–8601. https://doi.org/10.1007/s13369-021-05553-3</w:t>
      </w:r>
    </w:p>
    <w:p w14:paraId="7749AA06"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r w:rsidRPr="00EA47D4">
        <w:rPr>
          <w:rFonts w:ascii="Times New Roman" w:hAnsi="Times New Roman" w:cs="Times New Roman"/>
          <w:sz w:val="24"/>
          <w:szCs w:val="24"/>
        </w:rPr>
        <w:t>Carrión, C. (2022a). Kubernetes as a standard container orchestrator: A bibliometric analysis. Journal of Grid Computing, 20, Article 42. https://doi.org/10.1007/s10723-022-09629-8</w:t>
      </w:r>
    </w:p>
    <w:p w14:paraId="600CA648"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r w:rsidRPr="00EA47D4">
        <w:rPr>
          <w:rFonts w:ascii="Times New Roman" w:hAnsi="Times New Roman" w:cs="Times New Roman"/>
          <w:sz w:val="24"/>
          <w:szCs w:val="24"/>
        </w:rPr>
        <w:t>Carrión, C. (2022b). Kubernetes scheduling: Taxonomy, ongoing issues and challenges. ACM Computing Surveys, 55(7), Article 138, 1–37. https://doi.org/10.1145/3539606</w:t>
      </w:r>
    </w:p>
    <w:p w14:paraId="60540CF8"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proofErr w:type="spellStart"/>
      <w:r w:rsidRPr="00EA47D4">
        <w:rPr>
          <w:rFonts w:ascii="Times New Roman" w:hAnsi="Times New Roman" w:cs="Times New Roman"/>
          <w:sz w:val="24"/>
          <w:szCs w:val="24"/>
        </w:rPr>
        <w:t>Casalicchio</w:t>
      </w:r>
      <w:proofErr w:type="spellEnd"/>
      <w:r w:rsidRPr="00EA47D4">
        <w:rPr>
          <w:rFonts w:ascii="Times New Roman" w:hAnsi="Times New Roman" w:cs="Times New Roman"/>
          <w:sz w:val="24"/>
          <w:szCs w:val="24"/>
        </w:rPr>
        <w:t>, E., &amp; Iannucci, S. (2020). The state-of-the-art in container technologies: Application, orchestration and security. Concurrency and Computation: Practice and Experience, 32(17), Article e5668. https://doi.org/10.1002/cpe.5668</w:t>
      </w:r>
    </w:p>
    <w:p w14:paraId="138266C1"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r w:rsidRPr="00EA47D4">
        <w:rPr>
          <w:rFonts w:ascii="Times New Roman" w:hAnsi="Times New Roman" w:cs="Times New Roman"/>
          <w:sz w:val="24"/>
          <w:szCs w:val="24"/>
        </w:rPr>
        <w:t>Cassel, G. A. S., Rodrigues, V. F., da Rosa Righi, R., Bez, M. R., Nepomuceno, A. C., &amp; André da Costa, C. (2022). Serverless computing for Internet of Things: A systematic literature review. Future Generation Computer Systems, 128, 299–316. https://doi.org/10.1016/j.future.2021.10.020</w:t>
      </w:r>
    </w:p>
    <w:p w14:paraId="0CACB9BB"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r w:rsidRPr="00EA47D4">
        <w:rPr>
          <w:rFonts w:ascii="Times New Roman" w:hAnsi="Times New Roman" w:cs="Times New Roman"/>
          <w:sz w:val="24"/>
          <w:szCs w:val="24"/>
        </w:rPr>
        <w:lastRenderedPageBreak/>
        <w:t xml:space="preserve">Čilić, I., </w:t>
      </w:r>
      <w:proofErr w:type="spellStart"/>
      <w:r w:rsidRPr="00EA47D4">
        <w:rPr>
          <w:rFonts w:ascii="Times New Roman" w:hAnsi="Times New Roman" w:cs="Times New Roman"/>
          <w:sz w:val="24"/>
          <w:szCs w:val="24"/>
        </w:rPr>
        <w:t>Krivić</w:t>
      </w:r>
      <w:proofErr w:type="spellEnd"/>
      <w:r w:rsidRPr="00EA47D4">
        <w:rPr>
          <w:rFonts w:ascii="Times New Roman" w:hAnsi="Times New Roman" w:cs="Times New Roman"/>
          <w:sz w:val="24"/>
          <w:szCs w:val="24"/>
        </w:rPr>
        <w:t xml:space="preserve">, P., Podnar Žarko, I., &amp; </w:t>
      </w:r>
      <w:proofErr w:type="spellStart"/>
      <w:r w:rsidRPr="00EA47D4">
        <w:rPr>
          <w:rFonts w:ascii="Times New Roman" w:hAnsi="Times New Roman" w:cs="Times New Roman"/>
          <w:sz w:val="24"/>
          <w:szCs w:val="24"/>
        </w:rPr>
        <w:t>Kušek</w:t>
      </w:r>
      <w:proofErr w:type="spellEnd"/>
      <w:r w:rsidRPr="00EA47D4">
        <w:rPr>
          <w:rFonts w:ascii="Times New Roman" w:hAnsi="Times New Roman" w:cs="Times New Roman"/>
          <w:sz w:val="24"/>
          <w:szCs w:val="24"/>
        </w:rPr>
        <w:t>, M. (2023). Performance evaluation of container orchestration tools in edge computing environments. Sensors, 23(8), Article 4008. https://doi.org/10.3390/s23084008</w:t>
      </w:r>
    </w:p>
    <w:p w14:paraId="595DF693"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r w:rsidRPr="00EA47D4">
        <w:rPr>
          <w:rFonts w:ascii="Times New Roman" w:hAnsi="Times New Roman" w:cs="Times New Roman"/>
          <w:sz w:val="24"/>
          <w:szCs w:val="24"/>
        </w:rPr>
        <w:t>Di Francesco, P., Lago, P., &amp; Malavolta, I. (2019). Architecting with microservices: A systematic mapping study. Journal of Systems and Software, 150, 77–97. https://doi.org/10.1016/j.jss.2019.01.001</w:t>
      </w:r>
    </w:p>
    <w:p w14:paraId="04C955B9"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r w:rsidRPr="00EA47D4">
        <w:rPr>
          <w:rFonts w:ascii="Times New Roman" w:hAnsi="Times New Roman" w:cs="Times New Roman"/>
          <w:sz w:val="24"/>
          <w:szCs w:val="24"/>
        </w:rPr>
        <w:t>Grant, M. J., &amp; Booth, A. (2009). A typology of reviews: An analysis of 14 review types and associated methodologies. Health Information &amp; Libraries Journal, 26(2), 91–108. https://doi.org/10.1111/j.1471-1842.2009.00848.x</w:t>
      </w:r>
    </w:p>
    <w:p w14:paraId="3AEA5866"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r w:rsidRPr="00EA47D4">
        <w:rPr>
          <w:rFonts w:ascii="Times New Roman" w:hAnsi="Times New Roman" w:cs="Times New Roman"/>
          <w:sz w:val="24"/>
          <w:szCs w:val="24"/>
        </w:rPr>
        <w:t>Hassan, H. B., Barakat, S. A., &amp; Sarhan, Q. I. (2021). Survey on serverless computing. Journal of Cloud Computing, 10(1), Article 39. https://doi.org/10.1186/s13677-021-00253-7</w:t>
      </w:r>
    </w:p>
    <w:p w14:paraId="4B4E11C1"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r w:rsidRPr="00EA47D4">
        <w:rPr>
          <w:rFonts w:ascii="Times New Roman" w:hAnsi="Times New Roman" w:cs="Times New Roman"/>
          <w:sz w:val="24"/>
          <w:szCs w:val="24"/>
        </w:rPr>
        <w:t>Jabbari, R., bin Ali, N., Petersen, K., &amp; Tanveer, B. (2018). Towards a benefits dependency network for DevOps based on a systematic literature review. Journal of Software: Evolution and Process, 30(11), Article e1957. https://doi.org/10.1002/smr.1957</w:t>
      </w:r>
    </w:p>
    <w:p w14:paraId="0D0BE4A5"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r w:rsidRPr="00EA47D4">
        <w:rPr>
          <w:rFonts w:ascii="Times New Roman" w:hAnsi="Times New Roman" w:cs="Times New Roman"/>
          <w:sz w:val="24"/>
          <w:szCs w:val="24"/>
        </w:rPr>
        <w:t xml:space="preserve">Jarkas, O., Ko, R. K. L., Dong, N., &amp; Mahmud, R. (2025). A container security survey: Exploits, attacks, and </w:t>
      </w:r>
      <w:proofErr w:type="spellStart"/>
      <w:r w:rsidRPr="00EA47D4">
        <w:rPr>
          <w:rFonts w:ascii="Times New Roman" w:hAnsi="Times New Roman" w:cs="Times New Roman"/>
          <w:sz w:val="24"/>
          <w:szCs w:val="24"/>
        </w:rPr>
        <w:t>defenses</w:t>
      </w:r>
      <w:proofErr w:type="spellEnd"/>
      <w:r w:rsidRPr="00EA47D4">
        <w:rPr>
          <w:rFonts w:ascii="Times New Roman" w:hAnsi="Times New Roman" w:cs="Times New Roman"/>
          <w:sz w:val="24"/>
          <w:szCs w:val="24"/>
        </w:rPr>
        <w:t>. ACM Computing Surveys, 57(7), Article 170, 1–36. https://doi.org/10.1145/3715001</w:t>
      </w:r>
    </w:p>
    <w:p w14:paraId="1C4F4504"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proofErr w:type="spellStart"/>
      <w:r w:rsidRPr="00EA47D4">
        <w:rPr>
          <w:rFonts w:ascii="Times New Roman" w:hAnsi="Times New Roman" w:cs="Times New Roman"/>
          <w:sz w:val="24"/>
          <w:szCs w:val="24"/>
        </w:rPr>
        <w:t>Kozhirbayev</w:t>
      </w:r>
      <w:proofErr w:type="spellEnd"/>
      <w:r w:rsidRPr="00EA47D4">
        <w:rPr>
          <w:rFonts w:ascii="Times New Roman" w:hAnsi="Times New Roman" w:cs="Times New Roman"/>
          <w:sz w:val="24"/>
          <w:szCs w:val="24"/>
        </w:rPr>
        <w:t>, Z., &amp; Sinnott, R. O. (2017). A performance comparison of container-based technologies for the cloud. Future Generation Computer Systems, 68, 175–182. https://doi.org/10.1016/j.future.2016.08.025</w:t>
      </w:r>
    </w:p>
    <w:p w14:paraId="28177156"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r w:rsidRPr="00EA47D4">
        <w:rPr>
          <w:rFonts w:ascii="Times New Roman" w:hAnsi="Times New Roman" w:cs="Times New Roman"/>
          <w:sz w:val="24"/>
          <w:szCs w:val="24"/>
        </w:rPr>
        <w:t xml:space="preserve">Kumar, A., Nadeem, M., &amp; Shameem, M. (2025). A systematic literature review for investigating DevOps metrics to implement in software development organizations. Journal of Software: Evolution and Process, 37(1), Article e2733. https://doi.org/10.1002/smr.2733 </w:t>
      </w:r>
    </w:p>
    <w:p w14:paraId="2663C3A4"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r w:rsidRPr="00EA47D4">
        <w:rPr>
          <w:rFonts w:ascii="Times New Roman" w:hAnsi="Times New Roman" w:cs="Times New Roman"/>
          <w:sz w:val="24"/>
          <w:szCs w:val="24"/>
        </w:rPr>
        <w:t xml:space="preserve">Leite, L., Rocha, C., Kon, F., </w:t>
      </w:r>
      <w:proofErr w:type="spellStart"/>
      <w:r w:rsidRPr="00EA47D4">
        <w:rPr>
          <w:rFonts w:ascii="Times New Roman" w:hAnsi="Times New Roman" w:cs="Times New Roman"/>
          <w:sz w:val="24"/>
          <w:szCs w:val="24"/>
        </w:rPr>
        <w:t>Milojicic</w:t>
      </w:r>
      <w:proofErr w:type="spellEnd"/>
      <w:r w:rsidRPr="00EA47D4">
        <w:rPr>
          <w:rFonts w:ascii="Times New Roman" w:hAnsi="Times New Roman" w:cs="Times New Roman"/>
          <w:sz w:val="24"/>
          <w:szCs w:val="24"/>
        </w:rPr>
        <w:t xml:space="preserve">, D., &amp; Meirelles, P. (2019). A survey of DevOps concepts and challenges. ACM Computing Surveys, 52(6), Article 127, 1–35. https://doi.org/10.1145/3359981 </w:t>
      </w:r>
    </w:p>
    <w:p w14:paraId="5C55246C"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r w:rsidRPr="00EA47D4">
        <w:rPr>
          <w:rFonts w:ascii="Times New Roman" w:hAnsi="Times New Roman" w:cs="Times New Roman"/>
          <w:sz w:val="24"/>
          <w:szCs w:val="24"/>
        </w:rPr>
        <w:t xml:space="preserve">Luz, W. P., Pinto, G., &amp; Bonifácio, R. (2019). Adopting DevOps in the real world: A theory, a model, and a case study. Journal of Systems and Software, 157, Article 110384. https://doi.org/10.1016/j.jss.2019.07.083 </w:t>
      </w:r>
    </w:p>
    <w:p w14:paraId="496325C4"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proofErr w:type="spellStart"/>
      <w:r w:rsidRPr="00EA47D4">
        <w:rPr>
          <w:rFonts w:ascii="Times New Roman" w:hAnsi="Times New Roman" w:cs="Times New Roman"/>
          <w:sz w:val="24"/>
          <w:szCs w:val="24"/>
        </w:rPr>
        <w:t>Lwakatare</w:t>
      </w:r>
      <w:proofErr w:type="spellEnd"/>
      <w:r w:rsidRPr="00EA47D4">
        <w:rPr>
          <w:rFonts w:ascii="Times New Roman" w:hAnsi="Times New Roman" w:cs="Times New Roman"/>
          <w:sz w:val="24"/>
          <w:szCs w:val="24"/>
        </w:rPr>
        <w:t xml:space="preserve">, L. E., </w:t>
      </w:r>
      <w:proofErr w:type="spellStart"/>
      <w:r w:rsidRPr="00EA47D4">
        <w:rPr>
          <w:rFonts w:ascii="Times New Roman" w:hAnsi="Times New Roman" w:cs="Times New Roman"/>
          <w:sz w:val="24"/>
          <w:szCs w:val="24"/>
        </w:rPr>
        <w:t>Kilamo</w:t>
      </w:r>
      <w:proofErr w:type="spellEnd"/>
      <w:r w:rsidRPr="00EA47D4">
        <w:rPr>
          <w:rFonts w:ascii="Times New Roman" w:hAnsi="Times New Roman" w:cs="Times New Roman"/>
          <w:sz w:val="24"/>
          <w:szCs w:val="24"/>
        </w:rPr>
        <w:t xml:space="preserve">, T., Karvonen, T., Sauvola, T., Heikkilä, V., Itkonen, J., Kuvaja, P., Mikkonen, T., </w:t>
      </w:r>
      <w:proofErr w:type="spellStart"/>
      <w:r w:rsidRPr="00EA47D4">
        <w:rPr>
          <w:rFonts w:ascii="Times New Roman" w:hAnsi="Times New Roman" w:cs="Times New Roman"/>
          <w:sz w:val="24"/>
          <w:szCs w:val="24"/>
        </w:rPr>
        <w:t>Oivo</w:t>
      </w:r>
      <w:proofErr w:type="spellEnd"/>
      <w:r w:rsidRPr="00EA47D4">
        <w:rPr>
          <w:rFonts w:ascii="Times New Roman" w:hAnsi="Times New Roman" w:cs="Times New Roman"/>
          <w:sz w:val="24"/>
          <w:szCs w:val="24"/>
        </w:rPr>
        <w:t xml:space="preserve">, M., &amp; Lassenius, C. (2019). DevOps in practice: A multiple case study of five companies. Information and Software Technology, 114, 217–230. https://doi.org/10.1016/j.infsof.2019.06.010 </w:t>
      </w:r>
    </w:p>
    <w:p w14:paraId="7BACA492"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r w:rsidRPr="00EA47D4">
        <w:rPr>
          <w:rFonts w:ascii="Times New Roman" w:hAnsi="Times New Roman" w:cs="Times New Roman"/>
          <w:sz w:val="24"/>
          <w:szCs w:val="24"/>
        </w:rPr>
        <w:t xml:space="preserve">Malhotra, R., Bansal, A., &amp; </w:t>
      </w:r>
      <w:proofErr w:type="spellStart"/>
      <w:r w:rsidRPr="00EA47D4">
        <w:rPr>
          <w:rFonts w:ascii="Times New Roman" w:hAnsi="Times New Roman" w:cs="Times New Roman"/>
          <w:sz w:val="24"/>
          <w:szCs w:val="24"/>
        </w:rPr>
        <w:t>Kessentini</w:t>
      </w:r>
      <w:proofErr w:type="spellEnd"/>
      <w:r w:rsidRPr="00EA47D4">
        <w:rPr>
          <w:rFonts w:ascii="Times New Roman" w:hAnsi="Times New Roman" w:cs="Times New Roman"/>
          <w:sz w:val="24"/>
          <w:szCs w:val="24"/>
        </w:rPr>
        <w:t xml:space="preserve">, M. (2024). A systematic literature review on maintenance of software containers. ACM Computing Surveys, 56(8), Article 193, 1–38. https://doi.org/10.1145/3645092 </w:t>
      </w:r>
    </w:p>
    <w:p w14:paraId="2932631C"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r w:rsidRPr="00EA47D4">
        <w:rPr>
          <w:rFonts w:ascii="Times New Roman" w:hAnsi="Times New Roman" w:cs="Times New Roman"/>
          <w:sz w:val="24"/>
          <w:szCs w:val="24"/>
        </w:rPr>
        <w:t xml:space="preserve">Mishra, A., &amp; </w:t>
      </w:r>
      <w:proofErr w:type="spellStart"/>
      <w:r w:rsidRPr="00EA47D4">
        <w:rPr>
          <w:rFonts w:ascii="Times New Roman" w:hAnsi="Times New Roman" w:cs="Times New Roman"/>
          <w:sz w:val="24"/>
          <w:szCs w:val="24"/>
        </w:rPr>
        <w:t>Otaiwi</w:t>
      </w:r>
      <w:proofErr w:type="spellEnd"/>
      <w:r w:rsidRPr="00EA47D4">
        <w:rPr>
          <w:rFonts w:ascii="Times New Roman" w:hAnsi="Times New Roman" w:cs="Times New Roman"/>
          <w:sz w:val="24"/>
          <w:szCs w:val="24"/>
        </w:rPr>
        <w:t xml:space="preserve">, Z. (2020). DevOps and software quality: A systematic mapping. Computer Science Review, 38, Article 100308. https://doi.org/10.1016/j.cosrev.2020.100308 </w:t>
      </w:r>
    </w:p>
    <w:p w14:paraId="0D10FC92"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r w:rsidRPr="00EA47D4">
        <w:rPr>
          <w:rFonts w:ascii="Times New Roman" w:hAnsi="Times New Roman" w:cs="Times New Roman"/>
          <w:sz w:val="24"/>
          <w:szCs w:val="24"/>
        </w:rPr>
        <w:lastRenderedPageBreak/>
        <w:t xml:space="preserve">Pahl, C., </w:t>
      </w:r>
      <w:proofErr w:type="spellStart"/>
      <w:r w:rsidRPr="00EA47D4">
        <w:rPr>
          <w:rFonts w:ascii="Times New Roman" w:hAnsi="Times New Roman" w:cs="Times New Roman"/>
          <w:sz w:val="24"/>
          <w:szCs w:val="24"/>
        </w:rPr>
        <w:t>Brogi</w:t>
      </w:r>
      <w:proofErr w:type="spellEnd"/>
      <w:r w:rsidRPr="00EA47D4">
        <w:rPr>
          <w:rFonts w:ascii="Times New Roman" w:hAnsi="Times New Roman" w:cs="Times New Roman"/>
          <w:sz w:val="24"/>
          <w:szCs w:val="24"/>
        </w:rPr>
        <w:t xml:space="preserve">, A., Soldani, J., &amp; Jamshidi, P. (2019). Cloud container technologies: A state-of-the-art review. IEEE Transactions on Cloud Computing, 7(3), 677–692. https://doi.org/10.1109/TCC.2017.2702586 </w:t>
      </w:r>
    </w:p>
    <w:p w14:paraId="5FB626E2"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r w:rsidRPr="00EA47D4">
        <w:rPr>
          <w:rFonts w:ascii="Times New Roman" w:hAnsi="Times New Roman" w:cs="Times New Roman"/>
          <w:sz w:val="24"/>
          <w:szCs w:val="24"/>
        </w:rPr>
        <w:t xml:space="preserve">Pearce, M., </w:t>
      </w:r>
      <w:proofErr w:type="spellStart"/>
      <w:r w:rsidRPr="00EA47D4">
        <w:rPr>
          <w:rFonts w:ascii="Times New Roman" w:hAnsi="Times New Roman" w:cs="Times New Roman"/>
          <w:sz w:val="24"/>
          <w:szCs w:val="24"/>
        </w:rPr>
        <w:t>Zeadally</w:t>
      </w:r>
      <w:proofErr w:type="spellEnd"/>
      <w:r w:rsidRPr="00EA47D4">
        <w:rPr>
          <w:rFonts w:ascii="Times New Roman" w:hAnsi="Times New Roman" w:cs="Times New Roman"/>
          <w:sz w:val="24"/>
          <w:szCs w:val="24"/>
        </w:rPr>
        <w:t xml:space="preserve">, S., &amp; Hunt, R. (2013). Virtualization: Issues, security threats, and solutions. ACM Computing Surveys, 45(2), Article 17, 1–39. https://doi.org/10.1145/2431211.2431216 </w:t>
      </w:r>
    </w:p>
    <w:p w14:paraId="69FE8EA1"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r w:rsidRPr="00EA47D4">
        <w:rPr>
          <w:rFonts w:ascii="Times New Roman" w:hAnsi="Times New Roman" w:cs="Times New Roman"/>
          <w:sz w:val="24"/>
          <w:szCs w:val="24"/>
        </w:rPr>
        <w:t xml:space="preserve">Rajab, R., &amp; </w:t>
      </w:r>
      <w:proofErr w:type="spellStart"/>
      <w:r w:rsidRPr="00EA47D4">
        <w:rPr>
          <w:rFonts w:ascii="Times New Roman" w:hAnsi="Times New Roman" w:cs="Times New Roman"/>
          <w:sz w:val="24"/>
          <w:szCs w:val="24"/>
        </w:rPr>
        <w:t>Alnoukari</w:t>
      </w:r>
      <w:proofErr w:type="spellEnd"/>
      <w:r w:rsidRPr="00EA47D4">
        <w:rPr>
          <w:rFonts w:ascii="Times New Roman" w:hAnsi="Times New Roman" w:cs="Times New Roman"/>
          <w:sz w:val="24"/>
          <w:szCs w:val="24"/>
        </w:rPr>
        <w:t xml:space="preserve">, M. (2025). DevOps integration with capability model maturity integration: A systematic mapping review. IEEE Access, 13, 31829–31841. https://doi.org/10.1109/ACCESS.2025.3542630 </w:t>
      </w:r>
    </w:p>
    <w:p w14:paraId="65B2B138"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r w:rsidRPr="00EA47D4">
        <w:rPr>
          <w:rFonts w:ascii="Times New Roman" w:hAnsi="Times New Roman" w:cs="Times New Roman"/>
          <w:sz w:val="24"/>
          <w:szCs w:val="24"/>
        </w:rPr>
        <w:t xml:space="preserve">Reis, D., Piedade, B., Correia, F. F., Dias, J. P., &amp; Aguiar, A. (2022). Developing Docker and Docker-Compose specifications: A developers’ survey. IEEE Access, 10, 2318–2329. https://doi.org/10.1109/ACCESS.2021.3137671 </w:t>
      </w:r>
    </w:p>
    <w:p w14:paraId="13459F6B"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r w:rsidRPr="00EA47D4">
        <w:rPr>
          <w:rFonts w:ascii="Times New Roman" w:hAnsi="Times New Roman" w:cs="Times New Roman"/>
          <w:sz w:val="24"/>
          <w:szCs w:val="24"/>
        </w:rPr>
        <w:t xml:space="preserve">Rosa, G., Scalabrino, S., Bavota, G., &amp; Oliveto, R. (2023). What quality aspects influence the adoption of Docker images? ACM Transactions on Software Engineering and Methodology, 32(6), Article 142, 1–30. https://doi.org/10.1145/3603111 </w:t>
      </w:r>
    </w:p>
    <w:p w14:paraId="710178D3"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proofErr w:type="spellStart"/>
      <w:r w:rsidRPr="00EA47D4">
        <w:rPr>
          <w:rFonts w:ascii="Times New Roman" w:hAnsi="Times New Roman" w:cs="Times New Roman"/>
          <w:sz w:val="24"/>
          <w:szCs w:val="24"/>
        </w:rPr>
        <w:t>Senjab</w:t>
      </w:r>
      <w:proofErr w:type="spellEnd"/>
      <w:r w:rsidRPr="00EA47D4">
        <w:rPr>
          <w:rFonts w:ascii="Times New Roman" w:hAnsi="Times New Roman" w:cs="Times New Roman"/>
          <w:sz w:val="24"/>
          <w:szCs w:val="24"/>
        </w:rPr>
        <w:t xml:space="preserve">, K., Abbas, S., Ahmed, N., &amp; Khan, A. U. R. (2023). A survey of Kubernetes scheduling algorithms. Journal of Cloud Computing, 12, Article 87. https://doi.org/10.1186/s13677-023-00471-1 </w:t>
      </w:r>
    </w:p>
    <w:p w14:paraId="60853641"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proofErr w:type="spellStart"/>
      <w:r w:rsidRPr="00EA47D4">
        <w:rPr>
          <w:rFonts w:ascii="Times New Roman" w:hAnsi="Times New Roman" w:cs="Times New Roman"/>
          <w:sz w:val="24"/>
          <w:szCs w:val="24"/>
        </w:rPr>
        <w:t>Shirinbab</w:t>
      </w:r>
      <w:proofErr w:type="spellEnd"/>
      <w:r w:rsidRPr="00EA47D4">
        <w:rPr>
          <w:rFonts w:ascii="Times New Roman" w:hAnsi="Times New Roman" w:cs="Times New Roman"/>
          <w:sz w:val="24"/>
          <w:szCs w:val="24"/>
        </w:rPr>
        <w:t xml:space="preserve">, S., Lundberg, L., &amp; </w:t>
      </w:r>
      <w:proofErr w:type="spellStart"/>
      <w:r w:rsidRPr="00EA47D4">
        <w:rPr>
          <w:rFonts w:ascii="Times New Roman" w:hAnsi="Times New Roman" w:cs="Times New Roman"/>
          <w:sz w:val="24"/>
          <w:szCs w:val="24"/>
        </w:rPr>
        <w:t>Casalicchio</w:t>
      </w:r>
      <w:proofErr w:type="spellEnd"/>
      <w:r w:rsidRPr="00EA47D4">
        <w:rPr>
          <w:rFonts w:ascii="Times New Roman" w:hAnsi="Times New Roman" w:cs="Times New Roman"/>
          <w:sz w:val="24"/>
          <w:szCs w:val="24"/>
        </w:rPr>
        <w:t xml:space="preserve">, E. (2020). Performance evaluation of containers and virtual machines when running Cassandra workload concurrently. Concurrency and Computation: Practice and Experience, 32(17), Article e5693. https://doi.org/10.1002/cpe.5693 </w:t>
      </w:r>
    </w:p>
    <w:p w14:paraId="717F4256"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r w:rsidRPr="00EA47D4">
        <w:rPr>
          <w:rFonts w:ascii="Times New Roman" w:hAnsi="Times New Roman" w:cs="Times New Roman"/>
          <w:sz w:val="24"/>
          <w:szCs w:val="24"/>
        </w:rPr>
        <w:t xml:space="preserve">Soldani, J., Tamburri, D. A., &amp; van den Heuvel, W.-J. (2018). The pains and gains of microservices: A systematic grey literature review. Journal of Systems and Software, 146, 215–232. https://doi.org/10.1016/j.jss.2018.09.082 </w:t>
      </w:r>
    </w:p>
    <w:p w14:paraId="3A20DE92"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r w:rsidRPr="00EA47D4">
        <w:rPr>
          <w:rFonts w:ascii="Times New Roman" w:hAnsi="Times New Roman" w:cs="Times New Roman"/>
          <w:sz w:val="24"/>
          <w:szCs w:val="24"/>
        </w:rPr>
        <w:t xml:space="preserve">Söylemez, M., </w:t>
      </w:r>
      <w:proofErr w:type="spellStart"/>
      <w:r w:rsidRPr="00EA47D4">
        <w:rPr>
          <w:rFonts w:ascii="Times New Roman" w:hAnsi="Times New Roman" w:cs="Times New Roman"/>
          <w:sz w:val="24"/>
          <w:szCs w:val="24"/>
        </w:rPr>
        <w:t>Tekinerdogan</w:t>
      </w:r>
      <w:proofErr w:type="spellEnd"/>
      <w:r w:rsidRPr="00EA47D4">
        <w:rPr>
          <w:rFonts w:ascii="Times New Roman" w:hAnsi="Times New Roman" w:cs="Times New Roman"/>
          <w:sz w:val="24"/>
          <w:szCs w:val="24"/>
        </w:rPr>
        <w:t xml:space="preserve">, B., &amp; </w:t>
      </w:r>
      <w:proofErr w:type="spellStart"/>
      <w:r w:rsidRPr="00EA47D4">
        <w:rPr>
          <w:rFonts w:ascii="Times New Roman" w:hAnsi="Times New Roman" w:cs="Times New Roman"/>
          <w:sz w:val="24"/>
          <w:szCs w:val="24"/>
        </w:rPr>
        <w:t>Kolukısa</w:t>
      </w:r>
      <w:proofErr w:type="spellEnd"/>
      <w:r w:rsidRPr="00EA47D4">
        <w:rPr>
          <w:rFonts w:ascii="Times New Roman" w:hAnsi="Times New Roman" w:cs="Times New Roman"/>
          <w:sz w:val="24"/>
          <w:szCs w:val="24"/>
        </w:rPr>
        <w:t xml:space="preserve"> Tarhan, A. (2022). Challenges and solution directions of microservice architectures: A systematic literature review. Applied Sciences, 12(11), Article 5507. https://doi.org/10.3390/app12115507 </w:t>
      </w:r>
    </w:p>
    <w:p w14:paraId="1A074E4C"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r w:rsidRPr="00EA47D4">
        <w:rPr>
          <w:rFonts w:ascii="Times New Roman" w:hAnsi="Times New Roman" w:cs="Times New Roman"/>
          <w:sz w:val="24"/>
          <w:szCs w:val="24"/>
        </w:rPr>
        <w:t xml:space="preserve">Wang, Y., Kadiyala, H., &amp; Rubin, J. (2021). Promises and challenges of microservices: An exploratory study. Empirical Software Engineering, 26(4), Article 63. https://doi.org/10.1007/s10664-020-09910-y </w:t>
      </w:r>
    </w:p>
    <w:p w14:paraId="2553897C"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r w:rsidRPr="00EA47D4">
        <w:rPr>
          <w:rFonts w:ascii="Times New Roman" w:hAnsi="Times New Roman" w:cs="Times New Roman"/>
          <w:sz w:val="24"/>
          <w:szCs w:val="24"/>
        </w:rPr>
        <w:t xml:space="preserve">Waseem, M., Liang, P., Shahin, M., Di Salle, A., &amp; Márquez, G. (2021). Design, monitoring, and testing of microservices systems: The practitioners’ perspective. Journal of Systems and Software, 182, Article 111061. https://doi.org/10.1016/j.jss.2021.111061 </w:t>
      </w:r>
    </w:p>
    <w:p w14:paraId="10CE25A7" w14:textId="77777777" w:rsidR="00EA47D4" w:rsidRPr="00EA47D4" w:rsidRDefault="00EA47D4" w:rsidP="00EA47D4">
      <w:pPr>
        <w:spacing w:before="100" w:beforeAutospacing="1" w:after="100" w:afterAutospacing="1" w:line="240" w:lineRule="auto"/>
        <w:rPr>
          <w:rFonts w:ascii="Times New Roman" w:hAnsi="Times New Roman" w:cs="Times New Roman"/>
          <w:sz w:val="24"/>
          <w:szCs w:val="24"/>
        </w:rPr>
      </w:pPr>
      <w:r w:rsidRPr="00EA47D4">
        <w:rPr>
          <w:rFonts w:ascii="Times New Roman" w:hAnsi="Times New Roman" w:cs="Times New Roman"/>
          <w:sz w:val="24"/>
          <w:szCs w:val="24"/>
        </w:rPr>
        <w:t xml:space="preserve">Wen, J., Chen, Z., Jin, X., &amp; Liu, X. (2023). Rise of the planet of serverless computing: A systematic review. ACM Transactions on Software Engineering and Methodology, 32(5), Article 131, 1–61. https://doi.org/10.1145/3579643 </w:t>
      </w:r>
    </w:p>
    <w:p w14:paraId="4F8735B5" w14:textId="77777777" w:rsidR="004841B3" w:rsidRPr="00EA47D4" w:rsidRDefault="00EA47D4" w:rsidP="00EA47D4">
      <w:pPr>
        <w:spacing w:before="100" w:beforeAutospacing="1" w:after="100" w:afterAutospacing="1" w:line="240" w:lineRule="auto"/>
        <w:rPr>
          <w:rFonts w:ascii="Times New Roman" w:eastAsia="Times New Roman" w:hAnsi="Times New Roman" w:cs="Times New Roman"/>
          <w:sz w:val="24"/>
          <w:szCs w:val="24"/>
          <w:lang w:eastAsia="en-GB"/>
        </w:rPr>
      </w:pPr>
      <w:r w:rsidRPr="00EA47D4">
        <w:rPr>
          <w:rFonts w:ascii="Times New Roman" w:hAnsi="Times New Roman" w:cs="Times New Roman"/>
          <w:sz w:val="24"/>
          <w:szCs w:val="24"/>
        </w:rPr>
        <w:lastRenderedPageBreak/>
        <w:t xml:space="preserve">Zampetti, F., Tamburri, D. A., Panichella, S., Panichella, A., Canfora, G., &amp; Di Penta, M. (2023). Continuous integration and delivery practices for cyber-physical systems: An interview-based study. ACM Transactions on Software Engineering and Methodology, 32(3), Article 73, 1–44. https://doi.org/10.1145/3571854 </w:t>
      </w:r>
    </w:p>
    <w:sectPr w:rsidR="004841B3" w:rsidRPr="00EA47D4" w:rsidSect="004841B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EB801" w14:textId="77777777" w:rsidR="00E14E0B" w:rsidRDefault="00E14E0B" w:rsidP="0091620F">
      <w:pPr>
        <w:spacing w:after="0" w:line="240" w:lineRule="auto"/>
      </w:pPr>
      <w:r>
        <w:separator/>
      </w:r>
    </w:p>
  </w:endnote>
  <w:endnote w:type="continuationSeparator" w:id="0">
    <w:p w14:paraId="267AFCFA" w14:textId="77777777" w:rsidR="00E14E0B" w:rsidRDefault="00E14E0B" w:rsidP="00916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A26BE" w14:textId="77777777" w:rsidR="00151062" w:rsidRDefault="001510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1CD1C" w14:textId="77777777" w:rsidR="00151062" w:rsidRDefault="001510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56D8B" w14:textId="77777777" w:rsidR="00151062" w:rsidRDefault="001510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02544" w14:textId="77777777" w:rsidR="00E14E0B" w:rsidRDefault="00E14E0B" w:rsidP="0091620F">
      <w:pPr>
        <w:spacing w:after="0" w:line="240" w:lineRule="auto"/>
      </w:pPr>
      <w:r>
        <w:separator/>
      </w:r>
    </w:p>
  </w:footnote>
  <w:footnote w:type="continuationSeparator" w:id="0">
    <w:p w14:paraId="76C2AE50" w14:textId="77777777" w:rsidR="00E14E0B" w:rsidRDefault="00E14E0B" w:rsidP="009162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F48E7" w14:textId="5AE3AB16" w:rsidR="00151062" w:rsidRDefault="00151062">
    <w:pPr>
      <w:pStyle w:val="Header"/>
    </w:pPr>
    <w:r>
      <w:rPr>
        <w:noProof/>
      </w:rPr>
      <w:pict w14:anchorId="2F0E83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69701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BA338" w14:textId="290BDDDB" w:rsidR="00151062" w:rsidRDefault="00151062">
    <w:pPr>
      <w:pStyle w:val="Header"/>
    </w:pPr>
    <w:r>
      <w:rPr>
        <w:noProof/>
      </w:rPr>
      <w:pict w14:anchorId="027A4D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69701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6C60" w14:textId="20F8893D" w:rsidR="00151062" w:rsidRDefault="00151062">
    <w:pPr>
      <w:pStyle w:val="Header"/>
    </w:pPr>
    <w:r>
      <w:rPr>
        <w:noProof/>
      </w:rPr>
      <w:pict w14:anchorId="7DB4ED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69701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A1833"/>
    <w:multiLevelType w:val="multilevel"/>
    <w:tmpl w:val="30C8B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231BC2"/>
    <w:multiLevelType w:val="hybridMultilevel"/>
    <w:tmpl w:val="19F67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31740532">
    <w:abstractNumId w:val="1"/>
  </w:num>
  <w:num w:numId="2" w16cid:durableId="2114470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93EFA"/>
    <w:rsid w:val="00151062"/>
    <w:rsid w:val="001574BA"/>
    <w:rsid w:val="004841B3"/>
    <w:rsid w:val="005B5348"/>
    <w:rsid w:val="00602D2C"/>
    <w:rsid w:val="0091620F"/>
    <w:rsid w:val="009A2105"/>
    <w:rsid w:val="00BE2CEA"/>
    <w:rsid w:val="00C80BF1"/>
    <w:rsid w:val="00C93EFA"/>
    <w:rsid w:val="00CE36F6"/>
    <w:rsid w:val="00D40FB3"/>
    <w:rsid w:val="00E14E0B"/>
    <w:rsid w:val="00EA47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4079D"/>
  <w15:docId w15:val="{95D48DF8-5BC3-4CF7-A3E0-488EEA126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C93EF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C93EF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C93EFA"/>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93EF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C93EFA"/>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C93EFA"/>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C93E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93EFA"/>
    <w:rPr>
      <w:b/>
      <w:bCs/>
    </w:rPr>
  </w:style>
  <w:style w:type="character" w:styleId="Emphasis">
    <w:name w:val="Emphasis"/>
    <w:basedOn w:val="DefaultParagraphFont"/>
    <w:uiPriority w:val="20"/>
    <w:qFormat/>
    <w:rsid w:val="00C93EFA"/>
    <w:rPr>
      <w:i/>
      <w:iCs/>
    </w:rPr>
  </w:style>
  <w:style w:type="character" w:styleId="Hyperlink">
    <w:name w:val="Hyperlink"/>
    <w:basedOn w:val="DefaultParagraphFont"/>
    <w:uiPriority w:val="99"/>
    <w:semiHidden/>
    <w:unhideWhenUsed/>
    <w:rsid w:val="00C93EFA"/>
    <w:rPr>
      <w:color w:val="0000FF"/>
      <w:u w:val="single"/>
    </w:rPr>
  </w:style>
  <w:style w:type="paragraph" w:styleId="ListParagraph">
    <w:name w:val="List Paragraph"/>
    <w:basedOn w:val="Normal"/>
    <w:uiPriority w:val="34"/>
    <w:qFormat/>
    <w:rsid w:val="00EA47D4"/>
    <w:pPr>
      <w:ind w:left="720"/>
      <w:contextualSpacing/>
    </w:pPr>
  </w:style>
  <w:style w:type="paragraph" w:styleId="NormalWeb">
    <w:name w:val="Normal (Web)"/>
    <w:basedOn w:val="Normal"/>
    <w:uiPriority w:val="99"/>
    <w:semiHidden/>
    <w:unhideWhenUsed/>
    <w:rsid w:val="00EA47D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EA47D4"/>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EA47D4"/>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EA47D4"/>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EA47D4"/>
    <w:rPr>
      <w:rFonts w:ascii="Arial" w:eastAsia="Times New Roman" w:hAnsi="Arial" w:cs="Arial"/>
      <w:vanish/>
      <w:sz w:val="16"/>
      <w:szCs w:val="16"/>
      <w:lang w:eastAsia="en-GB"/>
    </w:rPr>
  </w:style>
  <w:style w:type="table" w:styleId="TableGrid">
    <w:name w:val="Table Grid"/>
    <w:basedOn w:val="TableNormal"/>
    <w:uiPriority w:val="59"/>
    <w:rsid w:val="00EA4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62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20F"/>
  </w:style>
  <w:style w:type="paragraph" w:styleId="Footer">
    <w:name w:val="footer"/>
    <w:basedOn w:val="Normal"/>
    <w:link w:val="FooterChar"/>
    <w:uiPriority w:val="99"/>
    <w:unhideWhenUsed/>
    <w:rsid w:val="009162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2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33937">
      <w:bodyDiv w:val="1"/>
      <w:marLeft w:val="0"/>
      <w:marRight w:val="0"/>
      <w:marTop w:val="0"/>
      <w:marBottom w:val="0"/>
      <w:divBdr>
        <w:top w:val="none" w:sz="0" w:space="0" w:color="auto"/>
        <w:left w:val="none" w:sz="0" w:space="0" w:color="auto"/>
        <w:bottom w:val="none" w:sz="0" w:space="0" w:color="auto"/>
        <w:right w:val="none" w:sz="0" w:space="0" w:color="auto"/>
      </w:divBdr>
      <w:divsChild>
        <w:div w:id="1347320764">
          <w:marLeft w:val="0"/>
          <w:marRight w:val="0"/>
          <w:marTop w:val="0"/>
          <w:marBottom w:val="0"/>
          <w:divBdr>
            <w:top w:val="none" w:sz="0" w:space="0" w:color="auto"/>
            <w:left w:val="none" w:sz="0" w:space="0" w:color="auto"/>
            <w:bottom w:val="none" w:sz="0" w:space="0" w:color="auto"/>
            <w:right w:val="none" w:sz="0" w:space="0" w:color="auto"/>
          </w:divBdr>
        </w:div>
        <w:div w:id="317341463">
          <w:marLeft w:val="0"/>
          <w:marRight w:val="0"/>
          <w:marTop w:val="0"/>
          <w:marBottom w:val="0"/>
          <w:divBdr>
            <w:top w:val="none" w:sz="0" w:space="0" w:color="auto"/>
            <w:left w:val="none" w:sz="0" w:space="0" w:color="auto"/>
            <w:bottom w:val="none" w:sz="0" w:space="0" w:color="auto"/>
            <w:right w:val="none" w:sz="0" w:space="0" w:color="auto"/>
          </w:divBdr>
        </w:div>
        <w:div w:id="1887794941">
          <w:marLeft w:val="0"/>
          <w:marRight w:val="0"/>
          <w:marTop w:val="0"/>
          <w:marBottom w:val="0"/>
          <w:divBdr>
            <w:top w:val="none" w:sz="0" w:space="0" w:color="auto"/>
            <w:left w:val="none" w:sz="0" w:space="0" w:color="auto"/>
            <w:bottom w:val="none" w:sz="0" w:space="0" w:color="auto"/>
            <w:right w:val="none" w:sz="0" w:space="0" w:color="auto"/>
          </w:divBdr>
        </w:div>
        <w:div w:id="99421065">
          <w:marLeft w:val="0"/>
          <w:marRight w:val="0"/>
          <w:marTop w:val="0"/>
          <w:marBottom w:val="0"/>
          <w:divBdr>
            <w:top w:val="none" w:sz="0" w:space="0" w:color="auto"/>
            <w:left w:val="none" w:sz="0" w:space="0" w:color="auto"/>
            <w:bottom w:val="none" w:sz="0" w:space="0" w:color="auto"/>
            <w:right w:val="none" w:sz="0" w:space="0" w:color="auto"/>
          </w:divBdr>
        </w:div>
        <w:div w:id="404568288">
          <w:marLeft w:val="0"/>
          <w:marRight w:val="0"/>
          <w:marTop w:val="0"/>
          <w:marBottom w:val="0"/>
          <w:divBdr>
            <w:top w:val="none" w:sz="0" w:space="0" w:color="auto"/>
            <w:left w:val="none" w:sz="0" w:space="0" w:color="auto"/>
            <w:bottom w:val="none" w:sz="0" w:space="0" w:color="auto"/>
            <w:right w:val="none" w:sz="0" w:space="0" w:color="auto"/>
          </w:divBdr>
        </w:div>
      </w:divsChild>
    </w:div>
    <w:div w:id="655383601">
      <w:bodyDiv w:val="1"/>
      <w:marLeft w:val="0"/>
      <w:marRight w:val="0"/>
      <w:marTop w:val="0"/>
      <w:marBottom w:val="0"/>
      <w:divBdr>
        <w:top w:val="none" w:sz="0" w:space="0" w:color="auto"/>
        <w:left w:val="none" w:sz="0" w:space="0" w:color="auto"/>
        <w:bottom w:val="none" w:sz="0" w:space="0" w:color="auto"/>
        <w:right w:val="none" w:sz="0" w:space="0" w:color="auto"/>
      </w:divBdr>
      <w:divsChild>
        <w:div w:id="844055948">
          <w:marLeft w:val="0"/>
          <w:marRight w:val="0"/>
          <w:marTop w:val="0"/>
          <w:marBottom w:val="0"/>
          <w:divBdr>
            <w:top w:val="none" w:sz="0" w:space="0" w:color="auto"/>
            <w:left w:val="none" w:sz="0" w:space="0" w:color="auto"/>
            <w:bottom w:val="none" w:sz="0" w:space="0" w:color="auto"/>
            <w:right w:val="none" w:sz="0" w:space="0" w:color="auto"/>
          </w:divBdr>
          <w:divsChild>
            <w:div w:id="1519731444">
              <w:marLeft w:val="0"/>
              <w:marRight w:val="0"/>
              <w:marTop w:val="0"/>
              <w:marBottom w:val="0"/>
              <w:divBdr>
                <w:top w:val="none" w:sz="0" w:space="0" w:color="auto"/>
                <w:left w:val="none" w:sz="0" w:space="0" w:color="auto"/>
                <w:bottom w:val="none" w:sz="0" w:space="0" w:color="auto"/>
                <w:right w:val="none" w:sz="0" w:space="0" w:color="auto"/>
              </w:divBdr>
              <w:divsChild>
                <w:div w:id="1750076115">
                  <w:marLeft w:val="0"/>
                  <w:marRight w:val="0"/>
                  <w:marTop w:val="0"/>
                  <w:marBottom w:val="0"/>
                  <w:divBdr>
                    <w:top w:val="none" w:sz="0" w:space="0" w:color="auto"/>
                    <w:left w:val="none" w:sz="0" w:space="0" w:color="auto"/>
                    <w:bottom w:val="none" w:sz="0" w:space="0" w:color="auto"/>
                    <w:right w:val="none" w:sz="0" w:space="0" w:color="auto"/>
                  </w:divBdr>
                  <w:divsChild>
                    <w:div w:id="1991211359">
                      <w:marLeft w:val="0"/>
                      <w:marRight w:val="0"/>
                      <w:marTop w:val="0"/>
                      <w:marBottom w:val="0"/>
                      <w:divBdr>
                        <w:top w:val="none" w:sz="0" w:space="0" w:color="auto"/>
                        <w:left w:val="none" w:sz="0" w:space="0" w:color="auto"/>
                        <w:bottom w:val="none" w:sz="0" w:space="0" w:color="auto"/>
                        <w:right w:val="none" w:sz="0" w:space="0" w:color="auto"/>
                      </w:divBdr>
                      <w:divsChild>
                        <w:div w:id="1307778887">
                          <w:marLeft w:val="0"/>
                          <w:marRight w:val="0"/>
                          <w:marTop w:val="0"/>
                          <w:marBottom w:val="0"/>
                          <w:divBdr>
                            <w:top w:val="none" w:sz="0" w:space="0" w:color="auto"/>
                            <w:left w:val="none" w:sz="0" w:space="0" w:color="auto"/>
                            <w:bottom w:val="none" w:sz="0" w:space="0" w:color="auto"/>
                            <w:right w:val="none" w:sz="0" w:space="0" w:color="auto"/>
                          </w:divBdr>
                          <w:divsChild>
                            <w:div w:id="699432841">
                              <w:marLeft w:val="0"/>
                              <w:marRight w:val="0"/>
                              <w:marTop w:val="0"/>
                              <w:marBottom w:val="0"/>
                              <w:divBdr>
                                <w:top w:val="none" w:sz="0" w:space="0" w:color="auto"/>
                                <w:left w:val="none" w:sz="0" w:space="0" w:color="auto"/>
                                <w:bottom w:val="none" w:sz="0" w:space="0" w:color="auto"/>
                                <w:right w:val="none" w:sz="0" w:space="0" w:color="auto"/>
                              </w:divBdr>
                              <w:divsChild>
                                <w:div w:id="952711516">
                                  <w:marLeft w:val="0"/>
                                  <w:marRight w:val="0"/>
                                  <w:marTop w:val="0"/>
                                  <w:marBottom w:val="0"/>
                                  <w:divBdr>
                                    <w:top w:val="none" w:sz="0" w:space="0" w:color="auto"/>
                                    <w:left w:val="none" w:sz="0" w:space="0" w:color="auto"/>
                                    <w:bottom w:val="none" w:sz="0" w:space="0" w:color="auto"/>
                                    <w:right w:val="none" w:sz="0" w:space="0" w:color="auto"/>
                                  </w:divBdr>
                                  <w:divsChild>
                                    <w:div w:id="548567760">
                                      <w:marLeft w:val="0"/>
                                      <w:marRight w:val="0"/>
                                      <w:marTop w:val="0"/>
                                      <w:marBottom w:val="0"/>
                                      <w:divBdr>
                                        <w:top w:val="none" w:sz="0" w:space="0" w:color="auto"/>
                                        <w:left w:val="none" w:sz="0" w:space="0" w:color="auto"/>
                                        <w:bottom w:val="none" w:sz="0" w:space="0" w:color="auto"/>
                                        <w:right w:val="none" w:sz="0" w:space="0" w:color="auto"/>
                                      </w:divBdr>
                                      <w:divsChild>
                                        <w:div w:id="792942118">
                                          <w:marLeft w:val="0"/>
                                          <w:marRight w:val="0"/>
                                          <w:marTop w:val="0"/>
                                          <w:marBottom w:val="0"/>
                                          <w:divBdr>
                                            <w:top w:val="none" w:sz="0" w:space="0" w:color="auto"/>
                                            <w:left w:val="none" w:sz="0" w:space="0" w:color="auto"/>
                                            <w:bottom w:val="none" w:sz="0" w:space="0" w:color="auto"/>
                                            <w:right w:val="none" w:sz="0" w:space="0" w:color="auto"/>
                                          </w:divBdr>
                                          <w:divsChild>
                                            <w:div w:id="170690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2874715">
          <w:marLeft w:val="0"/>
          <w:marRight w:val="0"/>
          <w:marTop w:val="0"/>
          <w:marBottom w:val="0"/>
          <w:divBdr>
            <w:top w:val="none" w:sz="0" w:space="0" w:color="auto"/>
            <w:left w:val="none" w:sz="0" w:space="0" w:color="auto"/>
            <w:bottom w:val="none" w:sz="0" w:space="0" w:color="auto"/>
            <w:right w:val="none" w:sz="0" w:space="0" w:color="auto"/>
          </w:divBdr>
          <w:divsChild>
            <w:div w:id="1451048174">
              <w:marLeft w:val="0"/>
              <w:marRight w:val="0"/>
              <w:marTop w:val="0"/>
              <w:marBottom w:val="0"/>
              <w:divBdr>
                <w:top w:val="none" w:sz="0" w:space="0" w:color="auto"/>
                <w:left w:val="none" w:sz="0" w:space="0" w:color="auto"/>
                <w:bottom w:val="none" w:sz="0" w:space="0" w:color="auto"/>
                <w:right w:val="none" w:sz="0" w:space="0" w:color="auto"/>
              </w:divBdr>
              <w:divsChild>
                <w:div w:id="1486315582">
                  <w:marLeft w:val="0"/>
                  <w:marRight w:val="0"/>
                  <w:marTop w:val="0"/>
                  <w:marBottom w:val="0"/>
                  <w:divBdr>
                    <w:top w:val="none" w:sz="0" w:space="0" w:color="auto"/>
                    <w:left w:val="none" w:sz="0" w:space="0" w:color="auto"/>
                    <w:bottom w:val="none" w:sz="0" w:space="0" w:color="auto"/>
                    <w:right w:val="none" w:sz="0" w:space="0" w:color="auto"/>
                  </w:divBdr>
                  <w:divsChild>
                    <w:div w:id="838154973">
                      <w:marLeft w:val="0"/>
                      <w:marRight w:val="0"/>
                      <w:marTop w:val="0"/>
                      <w:marBottom w:val="0"/>
                      <w:divBdr>
                        <w:top w:val="none" w:sz="0" w:space="0" w:color="auto"/>
                        <w:left w:val="none" w:sz="0" w:space="0" w:color="auto"/>
                        <w:bottom w:val="none" w:sz="0" w:space="0" w:color="auto"/>
                        <w:right w:val="none" w:sz="0" w:space="0" w:color="auto"/>
                      </w:divBdr>
                      <w:divsChild>
                        <w:div w:id="1276867567">
                          <w:marLeft w:val="0"/>
                          <w:marRight w:val="0"/>
                          <w:marTop w:val="0"/>
                          <w:marBottom w:val="0"/>
                          <w:divBdr>
                            <w:top w:val="none" w:sz="0" w:space="0" w:color="auto"/>
                            <w:left w:val="none" w:sz="0" w:space="0" w:color="auto"/>
                            <w:bottom w:val="none" w:sz="0" w:space="0" w:color="auto"/>
                            <w:right w:val="none" w:sz="0" w:space="0" w:color="auto"/>
                          </w:divBdr>
                          <w:divsChild>
                            <w:div w:id="670256482">
                              <w:marLeft w:val="0"/>
                              <w:marRight w:val="0"/>
                              <w:marTop w:val="0"/>
                              <w:marBottom w:val="0"/>
                              <w:divBdr>
                                <w:top w:val="none" w:sz="0" w:space="0" w:color="auto"/>
                                <w:left w:val="none" w:sz="0" w:space="0" w:color="auto"/>
                                <w:bottom w:val="none" w:sz="0" w:space="0" w:color="auto"/>
                                <w:right w:val="none" w:sz="0" w:space="0" w:color="auto"/>
                              </w:divBdr>
                              <w:divsChild>
                                <w:div w:id="908226876">
                                  <w:marLeft w:val="0"/>
                                  <w:marRight w:val="0"/>
                                  <w:marTop w:val="0"/>
                                  <w:marBottom w:val="0"/>
                                  <w:divBdr>
                                    <w:top w:val="none" w:sz="0" w:space="0" w:color="auto"/>
                                    <w:left w:val="none" w:sz="0" w:space="0" w:color="auto"/>
                                    <w:bottom w:val="none" w:sz="0" w:space="0" w:color="auto"/>
                                    <w:right w:val="none" w:sz="0" w:space="0" w:color="auto"/>
                                  </w:divBdr>
                                  <w:divsChild>
                                    <w:div w:id="1216426829">
                                      <w:marLeft w:val="0"/>
                                      <w:marRight w:val="0"/>
                                      <w:marTop w:val="0"/>
                                      <w:marBottom w:val="0"/>
                                      <w:divBdr>
                                        <w:top w:val="none" w:sz="0" w:space="0" w:color="auto"/>
                                        <w:left w:val="none" w:sz="0" w:space="0" w:color="auto"/>
                                        <w:bottom w:val="none" w:sz="0" w:space="0" w:color="auto"/>
                                        <w:right w:val="none" w:sz="0" w:space="0" w:color="auto"/>
                                      </w:divBdr>
                                      <w:divsChild>
                                        <w:div w:id="979699190">
                                          <w:marLeft w:val="0"/>
                                          <w:marRight w:val="0"/>
                                          <w:marTop w:val="0"/>
                                          <w:marBottom w:val="0"/>
                                          <w:divBdr>
                                            <w:top w:val="none" w:sz="0" w:space="0" w:color="auto"/>
                                            <w:left w:val="none" w:sz="0" w:space="0" w:color="auto"/>
                                            <w:bottom w:val="none" w:sz="0" w:space="0" w:color="auto"/>
                                            <w:right w:val="none" w:sz="0" w:space="0" w:color="auto"/>
                                          </w:divBdr>
                                          <w:divsChild>
                                            <w:div w:id="2122264758">
                                              <w:marLeft w:val="0"/>
                                              <w:marRight w:val="0"/>
                                              <w:marTop w:val="0"/>
                                              <w:marBottom w:val="0"/>
                                              <w:divBdr>
                                                <w:top w:val="none" w:sz="0" w:space="0" w:color="auto"/>
                                                <w:left w:val="none" w:sz="0" w:space="0" w:color="auto"/>
                                                <w:bottom w:val="none" w:sz="0" w:space="0" w:color="auto"/>
                                                <w:right w:val="none" w:sz="0" w:space="0" w:color="auto"/>
                                              </w:divBdr>
                                              <w:divsChild>
                                                <w:div w:id="1485392521">
                                                  <w:marLeft w:val="0"/>
                                                  <w:marRight w:val="0"/>
                                                  <w:marTop w:val="0"/>
                                                  <w:marBottom w:val="0"/>
                                                  <w:divBdr>
                                                    <w:top w:val="none" w:sz="0" w:space="0" w:color="auto"/>
                                                    <w:left w:val="none" w:sz="0" w:space="0" w:color="auto"/>
                                                    <w:bottom w:val="none" w:sz="0" w:space="0" w:color="auto"/>
                                                    <w:right w:val="none" w:sz="0" w:space="0" w:color="auto"/>
                                                  </w:divBdr>
                                                  <w:divsChild>
                                                    <w:div w:id="90540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6376500">
      <w:bodyDiv w:val="1"/>
      <w:marLeft w:val="0"/>
      <w:marRight w:val="0"/>
      <w:marTop w:val="0"/>
      <w:marBottom w:val="0"/>
      <w:divBdr>
        <w:top w:val="none" w:sz="0" w:space="0" w:color="auto"/>
        <w:left w:val="none" w:sz="0" w:space="0" w:color="auto"/>
        <w:bottom w:val="none" w:sz="0" w:space="0" w:color="auto"/>
        <w:right w:val="none" w:sz="0" w:space="0" w:color="auto"/>
      </w:divBdr>
      <w:divsChild>
        <w:div w:id="1375040192">
          <w:marLeft w:val="0"/>
          <w:marRight w:val="0"/>
          <w:marTop w:val="0"/>
          <w:marBottom w:val="0"/>
          <w:divBdr>
            <w:top w:val="none" w:sz="0" w:space="0" w:color="auto"/>
            <w:left w:val="none" w:sz="0" w:space="0" w:color="auto"/>
            <w:bottom w:val="none" w:sz="0" w:space="0" w:color="auto"/>
            <w:right w:val="none" w:sz="0" w:space="0" w:color="auto"/>
          </w:divBdr>
          <w:divsChild>
            <w:div w:id="1992832303">
              <w:marLeft w:val="0"/>
              <w:marRight w:val="0"/>
              <w:marTop w:val="0"/>
              <w:marBottom w:val="0"/>
              <w:divBdr>
                <w:top w:val="none" w:sz="0" w:space="0" w:color="auto"/>
                <w:left w:val="none" w:sz="0" w:space="0" w:color="auto"/>
                <w:bottom w:val="none" w:sz="0" w:space="0" w:color="auto"/>
                <w:right w:val="none" w:sz="0" w:space="0" w:color="auto"/>
              </w:divBdr>
              <w:divsChild>
                <w:div w:id="2036492869">
                  <w:marLeft w:val="0"/>
                  <w:marRight w:val="0"/>
                  <w:marTop w:val="0"/>
                  <w:marBottom w:val="0"/>
                  <w:divBdr>
                    <w:top w:val="none" w:sz="0" w:space="0" w:color="auto"/>
                    <w:left w:val="none" w:sz="0" w:space="0" w:color="auto"/>
                    <w:bottom w:val="none" w:sz="0" w:space="0" w:color="auto"/>
                    <w:right w:val="none" w:sz="0" w:space="0" w:color="auto"/>
                  </w:divBdr>
                  <w:divsChild>
                    <w:div w:id="1954095880">
                      <w:marLeft w:val="0"/>
                      <w:marRight w:val="0"/>
                      <w:marTop w:val="0"/>
                      <w:marBottom w:val="0"/>
                      <w:divBdr>
                        <w:top w:val="none" w:sz="0" w:space="0" w:color="auto"/>
                        <w:left w:val="none" w:sz="0" w:space="0" w:color="auto"/>
                        <w:bottom w:val="none" w:sz="0" w:space="0" w:color="auto"/>
                        <w:right w:val="none" w:sz="0" w:space="0" w:color="auto"/>
                      </w:divBdr>
                      <w:divsChild>
                        <w:div w:id="1423331183">
                          <w:marLeft w:val="0"/>
                          <w:marRight w:val="0"/>
                          <w:marTop w:val="0"/>
                          <w:marBottom w:val="0"/>
                          <w:divBdr>
                            <w:top w:val="none" w:sz="0" w:space="0" w:color="auto"/>
                            <w:left w:val="none" w:sz="0" w:space="0" w:color="auto"/>
                            <w:bottom w:val="none" w:sz="0" w:space="0" w:color="auto"/>
                            <w:right w:val="none" w:sz="0" w:space="0" w:color="auto"/>
                          </w:divBdr>
                          <w:divsChild>
                            <w:div w:id="1445690325">
                              <w:marLeft w:val="0"/>
                              <w:marRight w:val="0"/>
                              <w:marTop w:val="0"/>
                              <w:marBottom w:val="0"/>
                              <w:divBdr>
                                <w:top w:val="none" w:sz="0" w:space="0" w:color="auto"/>
                                <w:left w:val="none" w:sz="0" w:space="0" w:color="auto"/>
                                <w:bottom w:val="none" w:sz="0" w:space="0" w:color="auto"/>
                                <w:right w:val="none" w:sz="0" w:space="0" w:color="auto"/>
                              </w:divBdr>
                              <w:divsChild>
                                <w:div w:id="1460487385">
                                  <w:marLeft w:val="0"/>
                                  <w:marRight w:val="0"/>
                                  <w:marTop w:val="0"/>
                                  <w:marBottom w:val="0"/>
                                  <w:divBdr>
                                    <w:top w:val="none" w:sz="0" w:space="0" w:color="auto"/>
                                    <w:left w:val="none" w:sz="0" w:space="0" w:color="auto"/>
                                    <w:bottom w:val="none" w:sz="0" w:space="0" w:color="auto"/>
                                    <w:right w:val="none" w:sz="0" w:space="0" w:color="auto"/>
                                  </w:divBdr>
                                  <w:divsChild>
                                    <w:div w:id="2572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23</Pages>
  <Words>11522</Words>
  <Characters>65680</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1084</cp:lastModifiedBy>
  <cp:revision>8</cp:revision>
  <dcterms:created xsi:type="dcterms:W3CDTF">2026-06-21T11:35:00Z</dcterms:created>
  <dcterms:modified xsi:type="dcterms:W3CDTF">2026-06-22T09:51:00Z</dcterms:modified>
</cp:coreProperties>
</file>