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F953" w14:textId="77777777" w:rsidR="002E4C7E" w:rsidRPr="002E4C7E" w:rsidRDefault="002E4C7E" w:rsidP="002E4C7E">
      <w:pPr>
        <w:spacing w:before="100" w:beforeAutospacing="1" w:after="100" w:afterAutospacing="1" w:line="240" w:lineRule="auto"/>
        <w:rPr>
          <w:rFonts w:ascii="Times New Roman" w:eastAsia="Times New Roman" w:hAnsi="Times New Roman" w:cs="Times New Roman"/>
          <w:b/>
          <w:bCs/>
          <w:i/>
          <w:iCs/>
          <w:kern w:val="0"/>
          <w:sz w:val="28"/>
          <w:szCs w:val="28"/>
          <w:u w:val="single"/>
          <w:lang w:val="en-US" w:eastAsia="en-IN"/>
          <w14:ligatures w14:val="none"/>
        </w:rPr>
      </w:pPr>
      <w:r w:rsidRPr="002E4C7E">
        <w:rPr>
          <w:rFonts w:ascii="Times New Roman" w:eastAsia="Times New Roman" w:hAnsi="Times New Roman" w:cs="Times New Roman"/>
          <w:b/>
          <w:bCs/>
          <w:i/>
          <w:iCs/>
          <w:kern w:val="0"/>
          <w:sz w:val="28"/>
          <w:szCs w:val="28"/>
          <w:u w:val="single"/>
          <w:lang w:val="en-US" w:eastAsia="en-IN"/>
          <w14:ligatures w14:val="none"/>
        </w:rPr>
        <w:t>Review Article</w:t>
      </w:r>
    </w:p>
    <w:p w14:paraId="722BCF38" w14:textId="77777777" w:rsidR="00326748" w:rsidRDefault="00326748" w:rsidP="00326748">
      <w:pPr>
        <w:spacing w:before="100" w:beforeAutospacing="1" w:after="100" w:afterAutospacing="1" w:line="240" w:lineRule="auto"/>
        <w:rPr>
          <w:rFonts w:ascii="Times New Roman" w:eastAsia="Times New Roman" w:hAnsi="Times New Roman" w:cs="Times New Roman"/>
          <w:b/>
          <w:bCs/>
          <w:kern w:val="0"/>
          <w:sz w:val="28"/>
          <w:szCs w:val="28"/>
          <w:lang w:eastAsia="en-IN"/>
          <w14:ligatures w14:val="none"/>
        </w:rPr>
      </w:pPr>
      <w:r w:rsidRPr="000B2AE0">
        <w:rPr>
          <w:rFonts w:ascii="Times New Roman" w:eastAsia="Times New Roman" w:hAnsi="Times New Roman" w:cs="Times New Roman"/>
          <w:b/>
          <w:bCs/>
          <w:kern w:val="0"/>
          <w:sz w:val="28"/>
          <w:szCs w:val="28"/>
          <w:lang w:eastAsia="en-IN"/>
          <w14:ligatures w14:val="none"/>
        </w:rPr>
        <w:t>Commercialisation of Traditional Agriculture in Mountain Areas: Implications for Sustainability, Livelihood, and Agroecological Resilience</w:t>
      </w:r>
    </w:p>
    <w:p w14:paraId="3F9E50E6" w14:textId="77777777" w:rsidR="008057A0" w:rsidRPr="000B2AE0" w:rsidRDefault="008057A0" w:rsidP="00326748">
      <w:pPr>
        <w:spacing w:before="100" w:beforeAutospacing="1" w:after="100" w:afterAutospacing="1" w:line="240" w:lineRule="auto"/>
        <w:rPr>
          <w:rFonts w:ascii="Times New Roman" w:eastAsia="Times New Roman" w:hAnsi="Times New Roman" w:cs="Times New Roman"/>
          <w:b/>
          <w:bCs/>
          <w:kern w:val="0"/>
          <w:sz w:val="28"/>
          <w:szCs w:val="28"/>
          <w:lang w:eastAsia="en-IN"/>
          <w14:ligatures w14:val="none"/>
        </w:rPr>
      </w:pPr>
    </w:p>
    <w:p w14:paraId="05DFA330" w14:textId="7F61E465"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Abstract</w:t>
      </w:r>
    </w:p>
    <w:p w14:paraId="6F841A1D"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Mountain areas support approximately 13% of the world's population and harbour extraordinary agrobiodiversity, with traditional farming systems that have evolved over millennia in response to steep terrain, variable climate, and fragile soils. Across the Hindu Kush-Himalayas, the Andes, the European Alps, and montane regions of sub-Saharan Africa, growing market integration and deliberate commercialisation policies are restructuring these farming systems in ways that simultaneously generate short-term livelihood gains and erode the ecological and cultural foundations upon which long-term agricultural resilience depends. This article offers a critical review of the literature on the commercialisation of traditional mountain agriculture, examining its implications for ecological sustainability, rural livelihoods, and agroecological resilience. Drawing on peer-reviewed research and authoritative institutional assessments published predominantly between 2015 and 2026, the review traces the principal drivers of commercialisation, assesses sustainability trade-offs including agrobiodiversity loss, soil degradation, and heightened climate vulnerability, and evaluates livelihood outcomes with particular attention to food security, income diversification, and gender equity. The review further analyses the threats to agroecological resilience embedded in the transition towards market-oriented agriculture and identifies evidence-based pathways for achieving more equitable and sustainable outcomes. The analysis reveals that commercialisation trajectories remain deeply contested: they can open routes to improved household incomes while simultaneously diminishing the adaptive capacity that makes mountain farming systems distinctive and irreplaceable. The article concludes by articulating policy principles for governing the commercialisation transition in ways that preserve both ecological integrity and the cultural knowledge systems embedded in traditional mountain agriculture.</w:t>
      </w:r>
    </w:p>
    <w:p w14:paraId="39EAB4C9"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Keywords:</w:t>
      </w:r>
      <w:r w:rsidRPr="00326748">
        <w:rPr>
          <w:rFonts w:ascii="Times New Roman" w:eastAsia="Times New Roman" w:hAnsi="Times New Roman" w:cs="Times New Roman"/>
          <w:kern w:val="0"/>
          <w:sz w:val="24"/>
          <w:szCs w:val="24"/>
          <w:lang w:eastAsia="en-IN"/>
          <w14:ligatures w14:val="none"/>
        </w:rPr>
        <w:t xml:space="preserve"> mountain agriculture; commercialisation; agroecological resilience; agrobiodiversity; traditional farming systems; sustainability; rural livelihoods; food security</w:t>
      </w:r>
    </w:p>
    <w:p w14:paraId="644CD20B"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1. Introduction</w:t>
      </w:r>
    </w:p>
    <w:p w14:paraId="7222E1CF"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1.1 Background and Context</w:t>
      </w:r>
    </w:p>
    <w:p w14:paraId="3F3DBF08"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Mountain ecosystems cover roughly 27% of the Earth's terrestrial surface and are home to diverse communities whose agricultural practices represent some of the most sophisticated and site-specific adaptations in human history (Körner et al., 2017). From the terraced fields of the Himalayas to the diverse polycultures of the Andean altiplano, traditional mountain farming systems have not merely persisted under challenging conditions; they have actively shaped landscapes, conserved biodiversity, and sustained human populations over centuries of ecological constraint. These systems are characterised by their integration of crops, livestock, forests, and water management within multi-functional landscapes, and they </w:t>
      </w:r>
      <w:r w:rsidRPr="00326748">
        <w:rPr>
          <w:rFonts w:ascii="Times New Roman" w:eastAsia="Times New Roman" w:hAnsi="Times New Roman" w:cs="Times New Roman"/>
          <w:kern w:val="0"/>
          <w:sz w:val="24"/>
          <w:szCs w:val="24"/>
          <w:lang w:eastAsia="en-IN"/>
          <w14:ligatures w14:val="none"/>
        </w:rPr>
        <w:lastRenderedPageBreak/>
        <w:t>depend critically on place-based ecological knowledge accumulated across generations (Berkes et al., 2000; Zimmerer, 2010).</w:t>
      </w:r>
    </w:p>
    <w:p w14:paraId="3ED6610F"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Over recent decades, however, these farming systems have been subjected to intensifying pressure to commercialise—to shift from largely subsistence-oriented or locally traded food production towards specialised, market-integrated commodity production. This transition has been driven by a complex convergence of forces, including infrastructure development, government agricultural modernisation policies, the expansion of supermarket supply chains into rural and remote markets, demographic change, and increasing connectivity through digital and transport networks (Barrett, 2008; Lambin &amp; </w:t>
      </w:r>
      <w:proofErr w:type="spellStart"/>
      <w:r w:rsidRPr="00326748">
        <w:rPr>
          <w:rFonts w:ascii="Times New Roman" w:eastAsia="Times New Roman" w:hAnsi="Times New Roman" w:cs="Times New Roman"/>
          <w:kern w:val="0"/>
          <w:sz w:val="24"/>
          <w:szCs w:val="24"/>
          <w:lang w:eastAsia="en-IN"/>
          <w14:ligatures w14:val="none"/>
        </w:rPr>
        <w:t>Meyfroidt</w:t>
      </w:r>
      <w:proofErr w:type="spellEnd"/>
      <w:r w:rsidRPr="00326748">
        <w:rPr>
          <w:rFonts w:ascii="Times New Roman" w:eastAsia="Times New Roman" w:hAnsi="Times New Roman" w:cs="Times New Roman"/>
          <w:kern w:val="0"/>
          <w:sz w:val="24"/>
          <w:szCs w:val="24"/>
          <w:lang w:eastAsia="en-IN"/>
          <w14:ligatures w14:val="none"/>
        </w:rPr>
        <w:t>, 2011). The pace and depth of this transition vary considerably across regions and mountain contexts, but its implications for the ecological foundations, livelihood trajectories, and adaptive capacities of mountain communities are increasingly well-documented in the academic literature.</w:t>
      </w:r>
    </w:p>
    <w:p w14:paraId="41565D68" w14:textId="660155F4"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tension at the core of mountain agricultural commercialisation is not simply economic. It involves fundamental questions about the governance of biodiversity, the distribution of risks and benefits within rural societies, the resilience of agri-food systems under climate stress, and the legitimacy of different knowledge systems in shaping land-use decisions. Mountain areas are recognised as particularly sensitive to climate change, with warming rates in many high-altitude zones exceeding the global average (Immerzeel et al., 2020; IPCC, 2022), and this context lends additional urgency to questions about whether commercialisation reinforces or undermines the adaptive capacity of farming communities. The significance of mountain water systems for downstream populations—Immerzeel et al. (2020) demonstrated </w:t>
      </w:r>
      <w:proofErr w:type="gramStart"/>
      <w:r w:rsidRPr="00326748">
        <w:rPr>
          <w:rFonts w:ascii="Times New Roman" w:eastAsia="Times New Roman" w:hAnsi="Times New Roman" w:cs="Times New Roman"/>
          <w:kern w:val="0"/>
          <w:sz w:val="24"/>
          <w:szCs w:val="24"/>
          <w:lang w:eastAsia="en-IN"/>
          <w14:ligatures w14:val="none"/>
        </w:rPr>
        <w:t xml:space="preserve">that </w:t>
      </w:r>
      <w:r w:rsidR="0005537E" w:rsidRPr="0005537E">
        <w:rPr>
          <w:rFonts w:ascii="Times New Roman" w:eastAsia="Times New Roman" w:hAnsi="Times New Roman" w:cs="Times New Roman"/>
          <w:kern w:val="0"/>
          <w:sz w:val="24"/>
          <w:szCs w:val="24"/>
          <w:lang w:eastAsia="en-IN"/>
          <w14:ligatures w14:val="none"/>
        </w:rPr>
        <w:t xml:space="preserve"> more</w:t>
      </w:r>
      <w:proofErr w:type="gramEnd"/>
      <w:r w:rsidR="0005537E" w:rsidRPr="0005537E">
        <w:rPr>
          <w:rFonts w:ascii="Times New Roman" w:eastAsia="Times New Roman" w:hAnsi="Times New Roman" w:cs="Times New Roman"/>
          <w:kern w:val="0"/>
          <w:sz w:val="24"/>
          <w:szCs w:val="24"/>
          <w:lang w:eastAsia="en-IN"/>
          <w14:ligatures w14:val="none"/>
        </w:rPr>
        <w:t xml:space="preserve"> than 1.9 billion people living in or immediately downstream of mountains are highly dependent on mountain water towers</w:t>
      </w:r>
      <w:r w:rsidRPr="00326748">
        <w:rPr>
          <w:rFonts w:ascii="Times New Roman" w:eastAsia="Times New Roman" w:hAnsi="Times New Roman" w:cs="Times New Roman"/>
          <w:kern w:val="0"/>
          <w:sz w:val="24"/>
          <w:szCs w:val="24"/>
          <w:lang w:eastAsia="en-IN"/>
          <w14:ligatures w14:val="none"/>
        </w:rPr>
        <w:t>—means that the sustainability consequences of land use transitions in mountain farming are not confined to mountain communities alone but have cascading implications for food and water security at regional and global scales.</w:t>
      </w:r>
    </w:p>
    <w:p w14:paraId="294A3A45"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1.2 Key Conceptual Definitions</w:t>
      </w:r>
    </w:p>
    <w:p w14:paraId="1FAA3A97"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For the purposes of this review, commercialisation of agriculture refers to the process by which farming households increase their engagement in market transactions, both by purchasing farm inputs and by selling a growing proportion of their output (Barrett, 2008). This encompasses a spectrum from partial market participation among predominantly subsistence households to full commodity specialisation and value chain integration. Traditional agriculture is understood here as the constellation of farming practices, seed-keeping systems, crop-livestock integration strategies, and land management techniques that have evolved over extended periods within specific mountain </w:t>
      </w:r>
      <w:proofErr w:type="spellStart"/>
      <w:r w:rsidRPr="00326748">
        <w:rPr>
          <w:rFonts w:ascii="Times New Roman" w:eastAsia="Times New Roman" w:hAnsi="Times New Roman" w:cs="Times New Roman"/>
          <w:kern w:val="0"/>
          <w:sz w:val="24"/>
          <w:szCs w:val="24"/>
          <w:lang w:eastAsia="en-IN"/>
          <w14:ligatures w14:val="none"/>
        </w:rPr>
        <w:t>agro</w:t>
      </w:r>
      <w:proofErr w:type="spellEnd"/>
      <w:r w:rsidRPr="00326748">
        <w:rPr>
          <w:rFonts w:ascii="Times New Roman" w:eastAsia="Times New Roman" w:hAnsi="Times New Roman" w:cs="Times New Roman"/>
          <w:kern w:val="0"/>
          <w:sz w:val="24"/>
          <w:szCs w:val="24"/>
          <w:lang w:eastAsia="en-IN"/>
          <w14:ligatures w14:val="none"/>
        </w:rPr>
        <w:t>-ecological zones, and which are transmitted largely through informal knowledge systems and community governance structures (Berkes et al., 2000).</w:t>
      </w:r>
    </w:p>
    <w:p w14:paraId="60967E4E"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Agroecological resilience refers to the capacity of an agricultural system to withstand shocks and stresses, adapt to changing conditions, and transform into more desirable states, while continuing to provide food, livelihood, and ecological services (Folke et al., 2010; Walker et al., 2004). This concept integrates ecological resilience theory with social and institutional dimensions, recognising that the adaptive capacity of farming systems is inseparable from the social networks, knowledge systems, and governance arrangements that support them (Altieri et al., 2015). Sustainability, as employed in this review, encompasses the three classical dimensions—ecological, economic, and social—but the analysis emphasises their </w:t>
      </w:r>
      <w:r w:rsidRPr="00326748">
        <w:rPr>
          <w:rFonts w:ascii="Times New Roman" w:eastAsia="Times New Roman" w:hAnsi="Times New Roman" w:cs="Times New Roman"/>
          <w:kern w:val="0"/>
          <w:sz w:val="24"/>
          <w:szCs w:val="24"/>
          <w:lang w:eastAsia="en-IN"/>
          <w14:ligatures w14:val="none"/>
        </w:rPr>
        <w:lastRenderedPageBreak/>
        <w:t>interdependence and the specific ways in which commercialisation can generate trade-offs between these dimensions within mountain contexts.</w:t>
      </w:r>
    </w:p>
    <w:p w14:paraId="0878732C"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1.3 Scope and Objectives</w:t>
      </w:r>
    </w:p>
    <w:p w14:paraId="0FE703A1"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This review focuses on the commercialisation of traditional agriculture in mountain areas across multiple world regions, with particular attention to empirical evidence from the Hindu Kush-Himalayan region, the Andes, the European Alps, and montane zones of sub-Saharan Africa. The review addresses three interrelated objectives. First, it maps the drivers and dynamics of agricultural commercialisation in mountain areas, identifying the key forces shaping the pace and character of the transition. Second, it critically evaluates the sustainability and livelihood implications of this transition, considering both the opportunities and the risks embedded in market integration. Third, it assesses the implications for agroecological resilience and identifies pathways and policy frameworks that could support a more sustainable and equitable form of commercialisation. The review does not attempt a formal meta-analysis of quantitative outcomes but instead synthesises conceptual and empirical insights across diverse mountain contexts in order to identify common patterns, critical uncertainties, and areas where the evidence base remains incomplete.</w:t>
      </w:r>
    </w:p>
    <w:p w14:paraId="3477432C"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2. Methods for Literature Selection</w:t>
      </w:r>
    </w:p>
    <w:p w14:paraId="5E58BFC1" w14:textId="65DC2F24"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literature for this review was identified through a </w:t>
      </w:r>
      <w:r w:rsidR="00534086" w:rsidRPr="00534086">
        <w:rPr>
          <w:rFonts w:ascii="Times New Roman" w:eastAsia="Times New Roman" w:hAnsi="Times New Roman" w:cs="Times New Roman"/>
          <w:kern w:val="0"/>
          <w:sz w:val="24"/>
          <w:szCs w:val="24"/>
          <w:lang w:eastAsia="en-IN"/>
          <w14:ligatures w14:val="none"/>
        </w:rPr>
        <w:t>structured narrative search</w:t>
      </w:r>
      <w:r w:rsidR="00534086">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of multiple academic databases, including Web of Science, Scopus, Google Scholar, and PubMed. In addition, given the specific geographical, disciplinary, and institutional character of mountain agriculture research, five field-specific databases and repositories were consulted: the CAB Abstracts database, which provides comprehensive coverage of agricultural and environmental science literature; the AGRIS database maintained by the Food and Agriculture Organization of the United Nations for global agricultural literature; the GEOBASE database covering geographical and environmental sciences; the Environmental Sciences and Pollution Management database maintained by EBSCO; and the Mountain Research Initiative database, which aggregates research outputs specific to mountain ecosystems and human-environment interactions. Institutional repositories maintained by the International Centre for Integrated Mountain Development (ICIMOD), the FAO, the Intergovernmental Panel on Climate Change (IPCC), and the United Nations Environment Programme (UNEP) were also consulted for authoritative reports meeting institutional criteria.</w:t>
      </w:r>
    </w:p>
    <w:p w14:paraId="0DC147FA"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primary literature search covered the period from January 2015 to 29 May 2026. The year 2015 was selected as the start date because it marked the adoption of the United Nations Sustainable Development Goals, which significantly restructured both the research agenda and the policy discourse surrounding mountain agriculture, traditional knowledge systems, and sustainable rural development. This framing also coincides with a measurable intensification of empirical research on smallholder market integration, agrobiodiversity loss, and climate adaptation in mountain areas following the publication of landmark assessments on food systems sustainability and planetary boundaries. Classic and foundational references published before 2015 were retained where they represented seminal conceptual contributions to agroecological resilience theory, smallholder market participation, and traditional ecological knowledge; these are clearly supplementary to, rather than substitutes for, the core recent literature.</w:t>
      </w:r>
    </w:p>
    <w:p w14:paraId="4AF2F4C5"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Search strings were constructed using combinations of the following terms and their synonyms, applied across title, abstract, and keyword fields: ("mountain agriculture" OR "highland farming" OR "alpine agriculture") AND ("commercialisation" OR "market integration" OR "value chain"); ("traditional farming systems" OR "indigenous agriculture" OR "smallholder farming") AND ("mountain" OR "highland" OR "hill") AND ("sustainability" OR "resilience" OR "livelihood"); ("agrobiodiversity" OR "crop diversity" OR "traditional varieties") AND ("mountain" OR "Himalaya" OR "Andes" OR "Alps"); ("agroecology" OR "agroecological resilience") AND ("mountain" OR "highland") AND ("climate change" OR "adaptation"); and ("food security" OR "nutritional outcomes") AND ("mountain farming" OR "commercialisation" OR "market integration"). Boolean operators were employed throughout and searches were refined iteratively to balance specificity with comprehensiveness.</w:t>
      </w:r>
    </w:p>
    <w:p w14:paraId="65A5172F"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Inclusion criteria required sources to be published in peer-reviewed academic journals or to constitute authoritative institutional reports from recognised bodies such as the FAO, IPCC, ICIMOD, World Bank, or equivalent. Studies were included if they addressed at least one of the three focal themes—sustainability, livelihood, or agroecological resilience—in relation to mountain or highland farming contexts. Articles published in English were prioritised; however, English-language summaries of non-English studies were considered where their empirical content was directly relevant. Books, conference papers, grey literature, trade publications, pre-prints, and non-peer-reviewed sources were excluded.</w:t>
      </w:r>
    </w:p>
    <w:p w14:paraId="09775C51"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A narrative rather than systematic quantitative review approach was adopted for this study. This decision reflects the interdisciplinary and geographically diverse character of the evidence base, which spans agroecology, rural sociology, development economics, and earth system science. A formal systematic review or meta-analysis would require comparable outcome measures across studies, which is not achievable given the heterogeneity of methodological approaches, geographical contexts, and conceptual frameworks employed in the available literature. The narrative review approach is well suited to synthesising theoretical and empirical insights across diverse disciplinary traditions and is widely recognised as an appropriate methodology for conceptually complex, interdisciplinary research fields (Snyder, 2019). Duplicate records were removed during initial screening, after which abstracts were assessed for relevance against the inclusion criteria. Full-text review was applied to all papers passing abstract screening. The final body of literature reviewed includes the most current and methodologically rigorous studies available, supplemented by foundational classic contributions.</w:t>
      </w:r>
    </w:p>
    <w:p w14:paraId="527A4229"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3. Mountain Agriculture: Characteristics, Significance, and Traditional Foundations</w:t>
      </w:r>
    </w:p>
    <w:p w14:paraId="37490805"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3.1 Global Distribution and Ecological Significance of Mountain Farming Systems</w:t>
      </w:r>
    </w:p>
    <w:p w14:paraId="07C57B97" w14:textId="613287C3"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Mountains cover approximately 27% of the Earth's terrestrial surface and are home to roughly 13% of the global human population (Körner et al., 2017). </w:t>
      </w:r>
      <w:r w:rsidR="006F268D" w:rsidRPr="006F268D">
        <w:rPr>
          <w:rFonts w:ascii="Times New Roman" w:eastAsia="Times New Roman" w:hAnsi="Times New Roman" w:cs="Times New Roman"/>
          <w:kern w:val="0"/>
          <w:sz w:val="24"/>
          <w:szCs w:val="24"/>
          <w:lang w:eastAsia="en-IN"/>
          <w14:ligatures w14:val="none"/>
        </w:rPr>
        <w:t xml:space="preserve">Recent geospatial standardisation further strengthens this framing: the Global Mountain Biodiversity Assessment inventory delineates 8,616 mountain </w:t>
      </w:r>
      <w:r w:rsidR="0005537E" w:rsidRPr="0005537E">
        <w:rPr>
          <w:rFonts w:ascii="Times New Roman" w:eastAsia="Times New Roman" w:hAnsi="Times New Roman" w:cs="Times New Roman"/>
          <w:kern w:val="0"/>
          <w:sz w:val="24"/>
          <w:szCs w:val="24"/>
          <w:lang w:eastAsia="en-IN"/>
          <w14:ligatures w14:val="none"/>
        </w:rPr>
        <w:t xml:space="preserve">massifs </w:t>
      </w:r>
      <w:r w:rsidR="006F268D" w:rsidRPr="006F268D">
        <w:rPr>
          <w:rFonts w:ascii="Times New Roman" w:eastAsia="Times New Roman" w:hAnsi="Times New Roman" w:cs="Times New Roman"/>
          <w:kern w:val="0"/>
          <w:sz w:val="24"/>
          <w:szCs w:val="24"/>
          <w:lang w:eastAsia="en-IN"/>
          <w14:ligatures w14:val="none"/>
        </w:rPr>
        <w:t>and provides a transparent basis for comparing mountain social–ecological systems across scales (</w:t>
      </w:r>
      <w:proofErr w:type="spellStart"/>
      <w:r w:rsidR="006F268D" w:rsidRPr="006F268D">
        <w:rPr>
          <w:rFonts w:ascii="Times New Roman" w:eastAsia="Times New Roman" w:hAnsi="Times New Roman" w:cs="Times New Roman"/>
          <w:kern w:val="0"/>
          <w:sz w:val="24"/>
          <w:szCs w:val="24"/>
          <w:lang w:eastAsia="en-IN"/>
          <w14:ligatures w14:val="none"/>
        </w:rPr>
        <w:t>Snethlage</w:t>
      </w:r>
      <w:proofErr w:type="spellEnd"/>
      <w:r w:rsidR="006F268D" w:rsidRPr="006F268D">
        <w:rPr>
          <w:rFonts w:ascii="Times New Roman" w:eastAsia="Times New Roman" w:hAnsi="Times New Roman" w:cs="Times New Roman"/>
          <w:kern w:val="0"/>
          <w:sz w:val="24"/>
          <w:szCs w:val="24"/>
          <w:lang w:eastAsia="en-IN"/>
          <w14:ligatures w14:val="none"/>
        </w:rPr>
        <w:t xml:space="preserve"> et al., 2022).</w:t>
      </w:r>
      <w:r w:rsidR="006F268D">
        <w:rPr>
          <w:rFonts w:ascii="Times New Roman" w:eastAsia="Times New Roman" w:hAnsi="Times New Roman" w:cs="Times New Roman"/>
          <w:kern w:val="0"/>
          <w:sz w:val="24"/>
          <w:szCs w:val="24"/>
          <w:lang w:eastAsia="en-IN"/>
          <w14:ligatures w14:val="none"/>
        </w:rPr>
        <w:t xml:space="preserve"> </w:t>
      </w:r>
      <w:r w:rsidR="004D298C" w:rsidRPr="004D298C">
        <w:rPr>
          <w:rFonts w:ascii="Times New Roman" w:eastAsia="Times New Roman" w:hAnsi="Times New Roman" w:cs="Times New Roman"/>
          <w:kern w:val="0"/>
          <w:sz w:val="24"/>
          <w:szCs w:val="24"/>
          <w:lang w:eastAsia="en-IN"/>
          <w14:ligatures w14:val="none"/>
        </w:rPr>
        <w:t>Their</w:t>
      </w:r>
      <w:r w:rsidR="004D298C">
        <w:rPr>
          <w:rFonts w:ascii="Times New Roman" w:eastAsia="Times New Roman" w:hAnsi="Times New Roman" w:cs="Times New Roman"/>
          <w:kern w:val="0"/>
          <w:sz w:val="24"/>
          <w:szCs w:val="24"/>
          <w:lang w:eastAsia="en-IN"/>
          <w14:ligatures w14:val="none"/>
        </w:rPr>
        <w:t xml:space="preserve"> </w:t>
      </w:r>
      <w:r w:rsidR="006F268D" w:rsidRPr="006F268D">
        <w:rPr>
          <w:rFonts w:ascii="Times New Roman" w:eastAsia="Times New Roman" w:hAnsi="Times New Roman" w:cs="Times New Roman"/>
          <w:kern w:val="0"/>
          <w:sz w:val="24"/>
          <w:szCs w:val="24"/>
          <w:lang w:eastAsia="en-IN"/>
          <w14:ligatures w14:val="none"/>
        </w:rPr>
        <w:t>significance</w:t>
      </w:r>
      <w:r w:rsidR="006F268D">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 xml:space="preserve">extends far beyond their demographic share, however: mountain ecosystems supply freshwater to approximately half of humanity through the rivers they feed, harbour extraordinary levels of endemic biodiversity, and serve as refugia for wild crop relatives and </w:t>
      </w:r>
      <w:r w:rsidRPr="00326748">
        <w:rPr>
          <w:rFonts w:ascii="Times New Roman" w:eastAsia="Times New Roman" w:hAnsi="Times New Roman" w:cs="Times New Roman"/>
          <w:kern w:val="0"/>
          <w:sz w:val="24"/>
          <w:szCs w:val="24"/>
          <w:lang w:eastAsia="en-IN"/>
          <w14:ligatures w14:val="none"/>
        </w:rPr>
        <w:lastRenderedPageBreak/>
        <w:t>domesticated plant varieties of global agricultural importance (Immerzeel et al., 2020; Wester et al., 2019). The Hindu Kush-Himalayan (HKH) region alone—spanning eight countries from Afghanistan to Myanmar—encompasses highly diverse agricultural systems that sustain approximately 240 million mountain inhabitants while providing downstream ecosystem services to populations numbering in the billions (Wester et al., 2019</w:t>
      </w:r>
      <w:r w:rsidR="004D298C" w:rsidRPr="004D298C">
        <w:rPr>
          <w:rFonts w:ascii="Times New Roman" w:eastAsia="Times New Roman" w:hAnsi="Times New Roman" w:cs="Times New Roman"/>
          <w:kern w:val="0"/>
          <w:sz w:val="24"/>
          <w:szCs w:val="24"/>
          <w:lang w:eastAsia="en-IN"/>
          <w14:ligatures w14:val="none"/>
        </w:rPr>
        <w:t>)</w:t>
      </w:r>
      <w:r w:rsidRPr="00326748">
        <w:rPr>
          <w:rFonts w:ascii="Times New Roman" w:eastAsia="Times New Roman" w:hAnsi="Times New Roman" w:cs="Times New Roman"/>
          <w:kern w:val="0"/>
          <w:sz w:val="24"/>
          <w:szCs w:val="24"/>
          <w:lang w:eastAsia="en-IN"/>
          <w14:ligatures w14:val="none"/>
        </w:rPr>
        <w:t>.</w:t>
      </w:r>
    </w:p>
    <w:p w14:paraId="3E23062E"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Despite their ecological and social significance, mountain farming systems are poorly represented in global agricultural statistics and policy frameworks, which have historically been dominated by lowland, high-input agriculture. Lowder et al. (2016) estimated that more than 84% of the world's farms are smallholdings of less than two hectares, and the overwhelming majority of mountain farms fall within this category, operating under severe constraints of terrain, climate variability, market distance, and infrastructure deficit. The fragmented and micro-scale character of mountain agricultural landscapes has, paradoxically, supported extraordinary levels of crop diversity and landscape heterogeneity, which represent a critical heritage for global food system resilience (Zimmerer, 2010; Garibaldi et al., 2017). This heritage is not merely historical in character; it constitutes a living, dynamic reservoir of biological and cultural adaptation that retains immediate practical relevance for food system sustainability under contemporary climate change.</w:t>
      </w:r>
    </w:p>
    <w:p w14:paraId="60B0E0A2"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3.2 Traditional Farming Practices and Agroecological Foundations</w:t>
      </w:r>
    </w:p>
    <w:p w14:paraId="7CA6A374"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Traditional mountain farming systems are fundamentally agroecological in their logic. They rely on the manipulation of ecological processes—nutrient cycling, biological pest control, soil conservation, water regulation—rather than on external chemical inputs, and they are adapted to the specific micro-ecological conditions that vary sharply with altitude, aspect, and slope position (Altieri et al., 2015). The terraced field systems of the Himalayas represent centuries of accumulated engineering knowledge that simultaneously manages water, prevents erosion, and creates diverse microclimatic conditions for varied crop assemblages. In the Andes, the </w:t>
      </w:r>
      <w:proofErr w:type="spellStart"/>
      <w:r w:rsidRPr="00326748">
        <w:rPr>
          <w:rFonts w:ascii="Times New Roman" w:eastAsia="Times New Roman" w:hAnsi="Times New Roman" w:cs="Times New Roman"/>
          <w:kern w:val="0"/>
          <w:sz w:val="24"/>
          <w:szCs w:val="24"/>
          <w:lang w:eastAsia="en-IN"/>
          <w14:ligatures w14:val="none"/>
        </w:rPr>
        <w:t>camellones</w:t>
      </w:r>
      <w:proofErr w:type="spellEnd"/>
      <w:r w:rsidRPr="00326748">
        <w:rPr>
          <w:rFonts w:ascii="Times New Roman" w:eastAsia="Times New Roman" w:hAnsi="Times New Roman" w:cs="Times New Roman"/>
          <w:kern w:val="0"/>
          <w:sz w:val="24"/>
          <w:szCs w:val="24"/>
          <w:lang w:eastAsia="en-IN"/>
          <w14:ligatures w14:val="none"/>
        </w:rPr>
        <w:t xml:space="preserve"> (raised field systems) of the altiplano and the vertically integrated crop-livestock systems spanning different ecological floors reflect similar principles of place-based ecological management (Zimmerer, 2010). Jodha (2000) argued that the persistence of these systems over centuries in conditions that would defeat modern high-input agriculture is itself evidence of their ecological intelligence—an intelligence that tends to become visible only when the systems collapse.</w:t>
      </w:r>
    </w:p>
    <w:p w14:paraId="1FD99BF8" w14:textId="23F3EBF2"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Multi-cropping and intercropping practices within these systems are not merely expressions of traditional habit; they embody sophisticated ecological reasoning. The mixing of multiple varieties of the same crop, or of different crops, within a single field creates heterogeneity that buffers against climate variability, reduces pest pressure, and maintains soil fertility through complementary rooting depths and nutrient dynamics (Lin, 2011; Altieri et al., 2015). In the HKH region, studies document the simultaneous cultivation of dozens of </w:t>
      </w:r>
      <w:proofErr w:type="gramStart"/>
      <w:r w:rsidRPr="00326748">
        <w:rPr>
          <w:rFonts w:ascii="Times New Roman" w:eastAsia="Times New Roman" w:hAnsi="Times New Roman" w:cs="Times New Roman"/>
          <w:kern w:val="0"/>
          <w:sz w:val="24"/>
          <w:szCs w:val="24"/>
          <w:lang w:eastAsia="en-IN"/>
          <w14:ligatures w14:val="none"/>
        </w:rPr>
        <w:t>rice</w:t>
      </w:r>
      <w:proofErr w:type="gramEnd"/>
      <w:r w:rsidRPr="00326748">
        <w:rPr>
          <w:rFonts w:ascii="Times New Roman" w:eastAsia="Times New Roman" w:hAnsi="Times New Roman" w:cs="Times New Roman"/>
          <w:kern w:val="0"/>
          <w:sz w:val="24"/>
          <w:szCs w:val="24"/>
          <w:lang w:eastAsia="en-IN"/>
          <w14:ligatures w14:val="none"/>
        </w:rPr>
        <w:t xml:space="preserve"> or maize landraces within single villages, each valued for specific culinary, cultural, or agronomic properties and representing a reserve of genetic diversity for future adaptation (Wester et al., 2019; Adhikari et al., 2017). This diversity is not incidentally maintained but is actively managed through seed selection, exchange, and in some cases ritual practices that integrate ecological knowledge with cultural identity and community solidarity.</w:t>
      </w:r>
      <w:r w:rsidR="00F83CBF">
        <w:rPr>
          <w:rFonts w:ascii="Times New Roman" w:eastAsia="Times New Roman" w:hAnsi="Times New Roman" w:cs="Times New Roman"/>
          <w:kern w:val="0"/>
          <w:sz w:val="24"/>
          <w:szCs w:val="24"/>
          <w:lang w:eastAsia="en-IN"/>
          <w14:ligatures w14:val="none"/>
        </w:rPr>
        <w:t xml:space="preserve"> </w:t>
      </w:r>
      <w:r w:rsidR="00F83CBF" w:rsidRPr="00F83CBF">
        <w:rPr>
          <w:rFonts w:ascii="Times New Roman" w:eastAsia="Times New Roman" w:hAnsi="Times New Roman" w:cs="Times New Roman"/>
          <w:kern w:val="0"/>
          <w:sz w:val="24"/>
          <w:szCs w:val="24"/>
          <w:lang w:eastAsia="en-IN"/>
          <w14:ligatures w14:val="none"/>
        </w:rPr>
        <w:t xml:space="preserve">Evidence from Northeast Indian jhum landscapes adds an Eastern Himalayan example: where fallow periods remain adequate, shifting-cultivation mosaics can support </w:t>
      </w:r>
      <w:proofErr w:type="spellStart"/>
      <w:r w:rsidR="00F83CBF" w:rsidRPr="00F83CBF">
        <w:rPr>
          <w:rFonts w:ascii="Times New Roman" w:eastAsia="Times New Roman" w:hAnsi="Times New Roman" w:cs="Times New Roman"/>
          <w:kern w:val="0"/>
          <w:sz w:val="24"/>
          <w:szCs w:val="24"/>
          <w:lang w:eastAsia="en-IN"/>
          <w14:ligatures w14:val="none"/>
        </w:rPr>
        <w:t>agro</w:t>
      </w:r>
      <w:proofErr w:type="spellEnd"/>
      <w:r w:rsidR="00F83CBF" w:rsidRPr="00F83CBF">
        <w:rPr>
          <w:rFonts w:ascii="Times New Roman" w:eastAsia="Times New Roman" w:hAnsi="Times New Roman" w:cs="Times New Roman"/>
          <w:kern w:val="0"/>
          <w:sz w:val="24"/>
          <w:szCs w:val="24"/>
          <w:lang w:eastAsia="en-IN"/>
          <w14:ligatures w14:val="none"/>
        </w:rPr>
        <w:t>-biodiversity, carbon storage, food security, and livelihood resilience, whereas shortened fallows and land pressure are associated with soil loss and biodiversity decline (</w:t>
      </w:r>
      <w:proofErr w:type="spellStart"/>
      <w:r w:rsidR="00F83CBF" w:rsidRPr="00F83CBF">
        <w:rPr>
          <w:rFonts w:ascii="Times New Roman" w:eastAsia="Times New Roman" w:hAnsi="Times New Roman" w:cs="Times New Roman"/>
          <w:kern w:val="0"/>
          <w:sz w:val="24"/>
          <w:szCs w:val="24"/>
          <w:lang w:eastAsia="en-IN"/>
          <w14:ligatures w14:val="none"/>
        </w:rPr>
        <w:t>Lungleng</w:t>
      </w:r>
      <w:proofErr w:type="spellEnd"/>
      <w:r w:rsidR="00F83CBF" w:rsidRPr="00F83CBF">
        <w:rPr>
          <w:rFonts w:ascii="Times New Roman" w:eastAsia="Times New Roman" w:hAnsi="Times New Roman" w:cs="Times New Roman"/>
          <w:kern w:val="0"/>
          <w:sz w:val="24"/>
          <w:szCs w:val="24"/>
          <w:lang w:eastAsia="en-IN"/>
          <w14:ligatures w14:val="none"/>
        </w:rPr>
        <w:t xml:space="preserve"> &amp; </w:t>
      </w:r>
      <w:proofErr w:type="spellStart"/>
      <w:r w:rsidR="00F83CBF" w:rsidRPr="00F83CBF">
        <w:rPr>
          <w:rFonts w:ascii="Times New Roman" w:eastAsia="Times New Roman" w:hAnsi="Times New Roman" w:cs="Times New Roman"/>
          <w:kern w:val="0"/>
          <w:sz w:val="24"/>
          <w:szCs w:val="24"/>
          <w:lang w:eastAsia="en-IN"/>
          <w14:ligatures w14:val="none"/>
        </w:rPr>
        <w:t>Shimrah</w:t>
      </w:r>
      <w:proofErr w:type="spellEnd"/>
      <w:r w:rsidR="00F83CBF" w:rsidRPr="00F83CBF">
        <w:rPr>
          <w:rFonts w:ascii="Times New Roman" w:eastAsia="Times New Roman" w:hAnsi="Times New Roman" w:cs="Times New Roman"/>
          <w:kern w:val="0"/>
          <w:sz w:val="24"/>
          <w:szCs w:val="24"/>
          <w:lang w:eastAsia="en-IN"/>
          <w14:ligatures w14:val="none"/>
        </w:rPr>
        <w:t>, 2026).</w:t>
      </w:r>
    </w:p>
    <w:p w14:paraId="7A413243"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lastRenderedPageBreak/>
        <w:t>3.3 Agrobiodiversity and Traditional Ecological Knowledge in Mountain Contexts</w:t>
      </w:r>
    </w:p>
    <w:p w14:paraId="323224E2" w14:textId="7BEE2943"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agrobiodiversity maintained in mountain farming systems constitutes one of humanity's most important biological resources. Mountain regions serve as primary centres of crop origin and diversification, and the landraces conserved in farmers' fields represent evolutionary reservoirs of adaptive traits—drought tolerance, pest resistance, nutritional quality—that are irreplaceable by any </w:t>
      </w:r>
      <w:proofErr w:type="gramStart"/>
      <w:r w:rsidRPr="00326748">
        <w:rPr>
          <w:rFonts w:ascii="Times New Roman" w:eastAsia="Times New Roman" w:hAnsi="Times New Roman" w:cs="Times New Roman"/>
          <w:kern w:val="0"/>
          <w:sz w:val="24"/>
          <w:szCs w:val="24"/>
          <w:lang w:eastAsia="en-IN"/>
          <w14:ligatures w14:val="none"/>
        </w:rPr>
        <w:t>ex situ</w:t>
      </w:r>
      <w:proofErr w:type="gramEnd"/>
      <w:r w:rsidRPr="00326748">
        <w:rPr>
          <w:rFonts w:ascii="Times New Roman" w:eastAsia="Times New Roman" w:hAnsi="Times New Roman" w:cs="Times New Roman"/>
          <w:kern w:val="0"/>
          <w:sz w:val="24"/>
          <w:szCs w:val="24"/>
          <w:lang w:eastAsia="en-IN"/>
          <w14:ligatures w14:val="none"/>
        </w:rPr>
        <w:t xml:space="preserve"> conservation strategy alone (Zimmerer, 2010; Garibaldi et al., 2017). </w:t>
      </w:r>
      <w:r w:rsidR="00A122BB" w:rsidRPr="00A122BB">
        <w:rPr>
          <w:rFonts w:ascii="Times New Roman" w:eastAsia="Times New Roman" w:hAnsi="Times New Roman" w:cs="Times New Roman"/>
          <w:kern w:val="0"/>
          <w:sz w:val="24"/>
          <w:szCs w:val="24"/>
          <w:lang w:eastAsia="en-IN"/>
          <w14:ligatures w14:val="none"/>
        </w:rPr>
        <w:t xml:space="preserve">Empirical characterisation of 29 traditional crop landraces from the northwest Indian Himalayas similarly shows substantial </w:t>
      </w:r>
      <w:proofErr w:type="spellStart"/>
      <w:r w:rsidR="00A122BB" w:rsidRPr="00A122BB">
        <w:rPr>
          <w:rFonts w:ascii="Times New Roman" w:eastAsia="Times New Roman" w:hAnsi="Times New Roman" w:cs="Times New Roman"/>
          <w:kern w:val="0"/>
          <w:sz w:val="24"/>
          <w:szCs w:val="24"/>
          <w:lang w:eastAsia="en-IN"/>
          <w14:ligatures w14:val="none"/>
        </w:rPr>
        <w:t>agro</w:t>
      </w:r>
      <w:proofErr w:type="spellEnd"/>
      <w:r w:rsidR="00A122BB" w:rsidRPr="00A122BB">
        <w:rPr>
          <w:rFonts w:ascii="Times New Roman" w:eastAsia="Times New Roman" w:hAnsi="Times New Roman" w:cs="Times New Roman"/>
          <w:kern w:val="0"/>
          <w:sz w:val="24"/>
          <w:szCs w:val="24"/>
          <w:lang w:eastAsia="en-IN"/>
          <w14:ligatures w14:val="none"/>
        </w:rPr>
        <w:t>-morphological and nutritional variation, reinforcing the argument that in situ landrace conservation can support both future crop improvement and nutritional security (Malhotra et al., 2022)</w:t>
      </w:r>
      <w:r w:rsidR="006F268D">
        <w:rPr>
          <w:rFonts w:ascii="Times New Roman" w:eastAsia="Times New Roman" w:hAnsi="Times New Roman" w:cs="Times New Roman"/>
          <w:kern w:val="0"/>
          <w:sz w:val="24"/>
          <w:szCs w:val="24"/>
          <w:lang w:eastAsia="en-IN"/>
          <w14:ligatures w14:val="none"/>
        </w:rPr>
        <w:t>.</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The connection between this agrobiodiversity and local ecological knowledge systems is intimate and bidirectional: farmers maintain diversity because they understand its value through lived experience, and their knowledge systems are in turn shaped and validated by the ecological responses of diverse crop assemblages over time.</w:t>
      </w:r>
    </w:p>
    <w:p w14:paraId="48BDC559"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Traditional ecological knowledge (TEK) in mountain farming encompasses not only knowledge of specific plant varieties but also understanding of soil types and their management, timing of agricultural operations in relation to local climate indicators, integrated water management, and the functional integration of forests and common lands into the farming system (Berkes et al., 2000). This knowledge is characteristically distributed across communities, is gender-differentiated, and is transmitted through informal learning, shared practice, and community institutions that give it social legitimacy. Its loss is therefore not merely a cultural event but an ecological one, reducing the community's capacity to manage agricultural systems adaptively and to respond to novel climatic or market pressures. Berkes et al. (2000) described this dynamic in terms of the rediscovery of traditional ecological knowledge as adaptive management—a recognition that what formal science sometimes frames as innovation has often been practised by indigenous and traditional communities for generations.</w:t>
      </w:r>
    </w:p>
    <w:p w14:paraId="3348B99B"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Research on organic and biodiversity-friendly farming has further demonstrated the wider ecological benefits of the low-external-input, high-diversity management practices characteristic of traditional mountain agriculture. Bengtsson et al. (2005) found in a comprehensive meta-analysis that organic and traditional farming approaches consistently support higher species richness than conventional farming, with effects particularly pronounced for plant diversity—a finding directly relevant to the agrobiodiversity conservation functions of mountain farming systems.</w:t>
      </w:r>
    </w:p>
    <w:p w14:paraId="080533B9"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Table 1 summarises the principal characteristics and agroecological features of traditional farming systems in four major mountain regions. The distinctions across regions are instructive, but common patterns are equally evident: high crop diversity, integration of livestock and crop production, reliance on traditional ecological knowledge, and a degree of historical market isolation that has insulated these systems from external shocks while also limiting income opportunities for resident communities.</w:t>
      </w:r>
    </w:p>
    <w:p w14:paraId="4A9DED77" w14:textId="20BA3A9B" w:rsidR="00326748" w:rsidRDefault="00326748" w:rsidP="00326748">
      <w:pPr>
        <w:spacing w:after="0" w:line="240" w:lineRule="auto"/>
        <w:rPr>
          <w:rFonts w:ascii="Times New Roman" w:eastAsia="Times New Roman" w:hAnsi="Times New Roman" w:cs="Times New Roman"/>
          <w:kern w:val="0"/>
          <w:sz w:val="24"/>
          <w:szCs w:val="24"/>
          <w:lang w:eastAsia="en-IN"/>
          <w14:ligatures w14:val="none"/>
        </w:rPr>
      </w:pPr>
    </w:p>
    <w:p w14:paraId="43B43991"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57E78B7C"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4BE2E8EE"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60C942C4"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19158A38"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2307F395"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599FFE8B"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787ECB2F"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18D5274D"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10E76FAB"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1F132A57" w14:textId="77777777" w:rsidR="00A122BB" w:rsidRPr="00326748"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27ABBCFB"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1: Key Characteristics and Agroecological Features of Traditional Farming Systems in Major Mountain Regions</w:t>
      </w:r>
    </w:p>
    <w:tbl>
      <w:tblPr>
        <w:tblStyle w:val="TableGrid"/>
        <w:tblW w:w="0" w:type="auto"/>
        <w:tblLook w:val="04A0" w:firstRow="1" w:lastRow="0" w:firstColumn="1" w:lastColumn="0" w:noHBand="0" w:noVBand="1"/>
      </w:tblPr>
      <w:tblGrid>
        <w:gridCol w:w="1719"/>
        <w:gridCol w:w="1756"/>
        <w:gridCol w:w="1832"/>
        <w:gridCol w:w="1772"/>
        <w:gridCol w:w="2163"/>
      </w:tblGrid>
      <w:tr w:rsidR="00A122BB" w14:paraId="4E5FB008" w14:textId="77777777" w:rsidTr="00C83150">
        <w:tc>
          <w:tcPr>
            <w:tcW w:w="1719" w:type="dxa"/>
            <w:vAlign w:val="center"/>
          </w:tcPr>
          <w:p w14:paraId="3C55D52A"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Region</w:t>
            </w:r>
          </w:p>
        </w:tc>
        <w:tc>
          <w:tcPr>
            <w:tcW w:w="1756" w:type="dxa"/>
            <w:vAlign w:val="center"/>
          </w:tcPr>
          <w:p w14:paraId="43DF8247"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Key Crops and Livestock</w:t>
            </w:r>
          </w:p>
        </w:tc>
        <w:tc>
          <w:tcPr>
            <w:tcW w:w="1832" w:type="dxa"/>
            <w:vAlign w:val="center"/>
          </w:tcPr>
          <w:p w14:paraId="7095A559"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Agroecological Features</w:t>
            </w:r>
          </w:p>
        </w:tc>
        <w:tc>
          <w:tcPr>
            <w:tcW w:w="1772" w:type="dxa"/>
            <w:vAlign w:val="center"/>
          </w:tcPr>
          <w:p w14:paraId="37F53314"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Primary Livelihood Strategy</w:t>
            </w:r>
          </w:p>
        </w:tc>
        <w:tc>
          <w:tcPr>
            <w:tcW w:w="2163" w:type="dxa"/>
            <w:vAlign w:val="center"/>
          </w:tcPr>
          <w:p w14:paraId="54B567E5"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State of Commercialisation</w:t>
            </w:r>
          </w:p>
        </w:tc>
      </w:tr>
      <w:tr w:rsidR="00A122BB" w14:paraId="27C9C0F3" w14:textId="77777777" w:rsidTr="00C83150">
        <w:tc>
          <w:tcPr>
            <w:tcW w:w="1719" w:type="dxa"/>
            <w:vAlign w:val="center"/>
          </w:tcPr>
          <w:p w14:paraId="47F0F5B4" w14:textId="77777777" w:rsidR="00A122BB" w:rsidRDefault="00A122BB" w:rsidP="00C83150">
            <w:r w:rsidRPr="00326748">
              <w:rPr>
                <w:rFonts w:ascii="Times New Roman" w:eastAsia="Times New Roman" w:hAnsi="Times New Roman" w:cs="Times New Roman"/>
                <w:kern w:val="0"/>
                <w:sz w:val="24"/>
                <w:szCs w:val="24"/>
                <w:lang w:eastAsia="en-IN"/>
                <w14:ligatures w14:val="none"/>
              </w:rPr>
              <w:t>Hindu Kush-Himalayas</w:t>
            </w:r>
          </w:p>
        </w:tc>
        <w:tc>
          <w:tcPr>
            <w:tcW w:w="1756" w:type="dxa"/>
            <w:vAlign w:val="center"/>
          </w:tcPr>
          <w:p w14:paraId="020EC938" w14:textId="77777777" w:rsidR="00A122BB" w:rsidRDefault="00A122BB" w:rsidP="00C83150">
            <w:r w:rsidRPr="00326748">
              <w:rPr>
                <w:rFonts w:ascii="Times New Roman" w:eastAsia="Times New Roman" w:hAnsi="Times New Roman" w:cs="Times New Roman"/>
                <w:kern w:val="0"/>
                <w:sz w:val="24"/>
                <w:szCs w:val="24"/>
                <w:lang w:eastAsia="en-IN"/>
                <w14:ligatures w14:val="none"/>
              </w:rPr>
              <w:t>Rice, wheat, maize, millet, buckwheat, legumes; cattle, yak</w:t>
            </w:r>
          </w:p>
        </w:tc>
        <w:tc>
          <w:tcPr>
            <w:tcW w:w="1832" w:type="dxa"/>
            <w:vAlign w:val="center"/>
          </w:tcPr>
          <w:p w14:paraId="0C4A201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Terrace farming, crop-livestock integration, altitude-based zonation</w:t>
            </w:r>
          </w:p>
        </w:tc>
        <w:tc>
          <w:tcPr>
            <w:tcW w:w="1772" w:type="dxa"/>
            <w:vAlign w:val="center"/>
          </w:tcPr>
          <w:p w14:paraId="12BEF047" w14:textId="77777777" w:rsidR="00A122BB" w:rsidRDefault="00A122BB" w:rsidP="00C83150">
            <w:r w:rsidRPr="00326748">
              <w:rPr>
                <w:rFonts w:ascii="Times New Roman" w:eastAsia="Times New Roman" w:hAnsi="Times New Roman" w:cs="Times New Roman"/>
                <w:kern w:val="0"/>
                <w:sz w:val="24"/>
                <w:szCs w:val="24"/>
                <w:lang w:eastAsia="en-IN"/>
                <w14:ligatures w14:val="none"/>
              </w:rPr>
              <w:t>Subsistence with limited market participation</w:t>
            </w:r>
          </w:p>
        </w:tc>
        <w:tc>
          <w:tcPr>
            <w:tcW w:w="2163" w:type="dxa"/>
            <w:vAlign w:val="center"/>
          </w:tcPr>
          <w:p w14:paraId="421481F1" w14:textId="77777777" w:rsidR="00A122BB" w:rsidRDefault="00A122BB" w:rsidP="00C83150">
            <w:r w:rsidRPr="00326748">
              <w:rPr>
                <w:rFonts w:ascii="Times New Roman" w:eastAsia="Times New Roman" w:hAnsi="Times New Roman" w:cs="Times New Roman"/>
                <w:kern w:val="0"/>
                <w:sz w:val="24"/>
                <w:szCs w:val="24"/>
                <w:lang w:eastAsia="en-IN"/>
                <w14:ligatures w14:val="none"/>
              </w:rPr>
              <w:t>Rapidly increasing; cash crops include apple, cardamom, saffron</w:t>
            </w:r>
          </w:p>
        </w:tc>
      </w:tr>
      <w:tr w:rsidR="00A122BB" w14:paraId="69C318FC" w14:textId="77777777" w:rsidTr="00C83150">
        <w:tc>
          <w:tcPr>
            <w:tcW w:w="1719" w:type="dxa"/>
            <w:vAlign w:val="center"/>
          </w:tcPr>
          <w:p w14:paraId="01FBE387" w14:textId="77777777" w:rsidR="00A122BB" w:rsidRDefault="00A122BB" w:rsidP="00C83150">
            <w:r w:rsidRPr="00326748">
              <w:rPr>
                <w:rFonts w:ascii="Times New Roman" w:eastAsia="Times New Roman" w:hAnsi="Times New Roman" w:cs="Times New Roman"/>
                <w:kern w:val="0"/>
                <w:sz w:val="24"/>
                <w:szCs w:val="24"/>
                <w:lang w:eastAsia="en-IN"/>
                <w14:ligatures w14:val="none"/>
              </w:rPr>
              <w:t>Andean Highlands (South America)</w:t>
            </w:r>
          </w:p>
        </w:tc>
        <w:tc>
          <w:tcPr>
            <w:tcW w:w="1756" w:type="dxa"/>
            <w:vAlign w:val="center"/>
          </w:tcPr>
          <w:p w14:paraId="37545CD4" w14:textId="77777777" w:rsidR="00A122BB" w:rsidRDefault="00A122BB" w:rsidP="00C83150">
            <w:r w:rsidRPr="00326748">
              <w:rPr>
                <w:rFonts w:ascii="Times New Roman" w:eastAsia="Times New Roman" w:hAnsi="Times New Roman" w:cs="Times New Roman"/>
                <w:kern w:val="0"/>
                <w:sz w:val="24"/>
                <w:szCs w:val="24"/>
                <w:lang w:eastAsia="en-IN"/>
                <w14:ligatures w14:val="none"/>
              </w:rPr>
              <w:t>Potato, quinoa, maize, beans, diverse Andean root crops; llama, alpaca</w:t>
            </w:r>
          </w:p>
        </w:tc>
        <w:tc>
          <w:tcPr>
            <w:tcW w:w="1832" w:type="dxa"/>
            <w:vAlign w:val="center"/>
          </w:tcPr>
          <w:p w14:paraId="3A79FFFE" w14:textId="77777777" w:rsidR="00A122BB" w:rsidRDefault="00A122BB" w:rsidP="00C83150">
            <w:r w:rsidRPr="00326748">
              <w:rPr>
                <w:rFonts w:ascii="Times New Roman" w:eastAsia="Times New Roman" w:hAnsi="Times New Roman" w:cs="Times New Roman"/>
                <w:kern w:val="0"/>
                <w:sz w:val="24"/>
                <w:szCs w:val="24"/>
                <w:lang w:eastAsia="en-IN"/>
                <w14:ligatures w14:val="none"/>
              </w:rPr>
              <w:t>Raised field systems, vertical ecology (</w:t>
            </w:r>
            <w:proofErr w:type="spellStart"/>
            <w:r w:rsidRPr="00326748">
              <w:rPr>
                <w:rFonts w:ascii="Times New Roman" w:eastAsia="Times New Roman" w:hAnsi="Times New Roman" w:cs="Times New Roman"/>
                <w:kern w:val="0"/>
                <w:sz w:val="24"/>
                <w:szCs w:val="24"/>
                <w:lang w:eastAsia="en-IN"/>
                <w14:ligatures w14:val="none"/>
              </w:rPr>
              <w:t>pisos</w:t>
            </w:r>
            <w:proofErr w:type="spellEnd"/>
            <w:r w:rsidRPr="00326748">
              <w:rPr>
                <w:rFonts w:ascii="Times New Roman" w:eastAsia="Times New Roman" w:hAnsi="Times New Roman" w:cs="Times New Roman"/>
                <w:kern w:val="0"/>
                <w:sz w:val="24"/>
                <w:szCs w:val="24"/>
                <w:lang w:eastAsia="en-IN"/>
                <w14:ligatures w14:val="none"/>
              </w:rPr>
              <w:t xml:space="preserve"> </w:t>
            </w:r>
            <w:proofErr w:type="spellStart"/>
            <w:r w:rsidRPr="00326748">
              <w:rPr>
                <w:rFonts w:ascii="Times New Roman" w:eastAsia="Times New Roman" w:hAnsi="Times New Roman" w:cs="Times New Roman"/>
                <w:kern w:val="0"/>
                <w:sz w:val="24"/>
                <w:szCs w:val="24"/>
                <w:lang w:eastAsia="en-IN"/>
                <w14:ligatures w14:val="none"/>
              </w:rPr>
              <w:t>ecológicos</w:t>
            </w:r>
            <w:proofErr w:type="spellEnd"/>
            <w:r w:rsidRPr="00326748">
              <w:rPr>
                <w:rFonts w:ascii="Times New Roman" w:eastAsia="Times New Roman" w:hAnsi="Times New Roman" w:cs="Times New Roman"/>
                <w:kern w:val="0"/>
                <w:sz w:val="24"/>
                <w:szCs w:val="24"/>
                <w:lang w:eastAsia="en-IN"/>
                <w14:ligatures w14:val="none"/>
              </w:rPr>
              <w:t>), diverse landraces</w:t>
            </w:r>
          </w:p>
        </w:tc>
        <w:tc>
          <w:tcPr>
            <w:tcW w:w="1772" w:type="dxa"/>
            <w:vAlign w:val="center"/>
          </w:tcPr>
          <w:p w14:paraId="755E8EFC" w14:textId="77777777" w:rsidR="00A122BB" w:rsidRDefault="00A122BB" w:rsidP="00C83150">
            <w:r w:rsidRPr="00326748">
              <w:rPr>
                <w:rFonts w:ascii="Times New Roman" w:eastAsia="Times New Roman" w:hAnsi="Times New Roman" w:cs="Times New Roman"/>
                <w:kern w:val="0"/>
                <w:sz w:val="24"/>
                <w:szCs w:val="24"/>
                <w:lang w:eastAsia="en-IN"/>
                <w14:ligatures w14:val="none"/>
              </w:rPr>
              <w:t>Subsistence and communal, growing export orientation</w:t>
            </w:r>
          </w:p>
        </w:tc>
        <w:tc>
          <w:tcPr>
            <w:tcW w:w="2163" w:type="dxa"/>
            <w:vAlign w:val="center"/>
          </w:tcPr>
          <w:p w14:paraId="47A03FF9" w14:textId="77777777" w:rsidR="00A122BB" w:rsidRDefault="00A122BB" w:rsidP="00C83150">
            <w:r w:rsidRPr="00326748">
              <w:rPr>
                <w:rFonts w:ascii="Times New Roman" w:eastAsia="Times New Roman" w:hAnsi="Times New Roman" w:cs="Times New Roman"/>
                <w:kern w:val="0"/>
                <w:sz w:val="24"/>
                <w:szCs w:val="24"/>
                <w:lang w:eastAsia="en-IN"/>
                <w14:ligatures w14:val="none"/>
              </w:rPr>
              <w:t>Growing export market for quinoa and heritage potato varieties</w:t>
            </w:r>
          </w:p>
        </w:tc>
      </w:tr>
      <w:tr w:rsidR="00A122BB" w14:paraId="6560E6DB" w14:textId="77777777" w:rsidTr="00C83150">
        <w:tc>
          <w:tcPr>
            <w:tcW w:w="1719" w:type="dxa"/>
            <w:vAlign w:val="center"/>
          </w:tcPr>
          <w:p w14:paraId="7CA25A1A" w14:textId="77777777" w:rsidR="00A122BB" w:rsidRDefault="00A122BB" w:rsidP="00C83150">
            <w:r w:rsidRPr="00326748">
              <w:rPr>
                <w:rFonts w:ascii="Times New Roman" w:eastAsia="Times New Roman" w:hAnsi="Times New Roman" w:cs="Times New Roman"/>
                <w:kern w:val="0"/>
                <w:sz w:val="24"/>
                <w:szCs w:val="24"/>
                <w:lang w:eastAsia="en-IN"/>
                <w14:ligatures w14:val="none"/>
              </w:rPr>
              <w:t>European Alps</w:t>
            </w:r>
          </w:p>
        </w:tc>
        <w:tc>
          <w:tcPr>
            <w:tcW w:w="1756" w:type="dxa"/>
            <w:vAlign w:val="center"/>
          </w:tcPr>
          <w:p w14:paraId="7B67A07C" w14:textId="77777777" w:rsidR="00A122BB" w:rsidRDefault="00A122BB" w:rsidP="00C83150">
            <w:r w:rsidRPr="00326748">
              <w:rPr>
                <w:rFonts w:ascii="Times New Roman" w:eastAsia="Times New Roman" w:hAnsi="Times New Roman" w:cs="Times New Roman"/>
                <w:kern w:val="0"/>
                <w:sz w:val="24"/>
                <w:szCs w:val="24"/>
                <w:lang w:eastAsia="en-IN"/>
                <w14:ligatures w14:val="none"/>
              </w:rPr>
              <w:t>Cereals, potatoes, fruit, forage crops; dairy cattle</w:t>
            </w:r>
          </w:p>
        </w:tc>
        <w:tc>
          <w:tcPr>
            <w:tcW w:w="1832" w:type="dxa"/>
            <w:vAlign w:val="center"/>
          </w:tcPr>
          <w:p w14:paraId="5184BDCA" w14:textId="77777777" w:rsidR="00A122BB" w:rsidRDefault="00A122BB" w:rsidP="00C83150">
            <w:r w:rsidRPr="00326748">
              <w:rPr>
                <w:rFonts w:ascii="Times New Roman" w:eastAsia="Times New Roman" w:hAnsi="Times New Roman" w:cs="Times New Roman"/>
                <w:kern w:val="0"/>
                <w:sz w:val="24"/>
                <w:szCs w:val="24"/>
                <w:lang w:eastAsia="en-IN"/>
                <w14:ligatures w14:val="none"/>
              </w:rPr>
              <w:t>Alpine transhumance, hay meadow systems, diverse grasslands</w:t>
            </w:r>
          </w:p>
        </w:tc>
        <w:tc>
          <w:tcPr>
            <w:tcW w:w="1772" w:type="dxa"/>
            <w:vAlign w:val="center"/>
          </w:tcPr>
          <w:p w14:paraId="6C71DB40" w14:textId="77777777" w:rsidR="00A122BB" w:rsidRDefault="00A122BB" w:rsidP="00C83150">
            <w:r w:rsidRPr="00326748">
              <w:rPr>
                <w:rFonts w:ascii="Times New Roman" w:eastAsia="Times New Roman" w:hAnsi="Times New Roman" w:cs="Times New Roman"/>
                <w:kern w:val="0"/>
                <w:sz w:val="24"/>
                <w:szCs w:val="24"/>
                <w:lang w:eastAsia="en-IN"/>
                <w14:ligatures w14:val="none"/>
              </w:rPr>
              <w:t xml:space="preserve">Declining subsistence, shifting to </w:t>
            </w:r>
            <w:proofErr w:type="spellStart"/>
            <w:r w:rsidRPr="00326748">
              <w:rPr>
                <w:rFonts w:ascii="Times New Roman" w:eastAsia="Times New Roman" w:hAnsi="Times New Roman" w:cs="Times New Roman"/>
                <w:kern w:val="0"/>
                <w:sz w:val="24"/>
                <w:szCs w:val="24"/>
                <w:lang w:eastAsia="en-IN"/>
                <w14:ligatures w14:val="none"/>
              </w:rPr>
              <w:t>agro</w:t>
            </w:r>
            <w:proofErr w:type="spellEnd"/>
            <w:r w:rsidRPr="00326748">
              <w:rPr>
                <w:rFonts w:ascii="Times New Roman" w:eastAsia="Times New Roman" w:hAnsi="Times New Roman" w:cs="Times New Roman"/>
                <w:kern w:val="0"/>
                <w:sz w:val="24"/>
                <w:szCs w:val="24"/>
                <w:lang w:eastAsia="en-IN"/>
                <w14:ligatures w14:val="none"/>
              </w:rPr>
              <w:t>-tourism</w:t>
            </w:r>
          </w:p>
        </w:tc>
        <w:tc>
          <w:tcPr>
            <w:tcW w:w="2163" w:type="dxa"/>
            <w:vAlign w:val="center"/>
          </w:tcPr>
          <w:p w14:paraId="66F52387" w14:textId="77777777" w:rsidR="00A122BB" w:rsidRDefault="00A122BB" w:rsidP="00C83150">
            <w:r w:rsidRPr="00326748">
              <w:rPr>
                <w:rFonts w:ascii="Times New Roman" w:eastAsia="Times New Roman" w:hAnsi="Times New Roman" w:cs="Times New Roman"/>
                <w:kern w:val="0"/>
                <w:sz w:val="24"/>
                <w:szCs w:val="24"/>
                <w:lang w:eastAsia="en-IN"/>
                <w14:ligatures w14:val="none"/>
              </w:rPr>
              <w:t>Highly commercialised; traditional systems residually maintained</w:t>
            </w:r>
          </w:p>
        </w:tc>
      </w:tr>
      <w:tr w:rsidR="00A122BB" w14:paraId="5186C8EB" w14:textId="77777777" w:rsidTr="00C83150">
        <w:tc>
          <w:tcPr>
            <w:tcW w:w="1719" w:type="dxa"/>
            <w:vAlign w:val="center"/>
          </w:tcPr>
          <w:p w14:paraId="51854037" w14:textId="77777777" w:rsidR="00A122BB" w:rsidRDefault="00A122BB" w:rsidP="00C83150">
            <w:r w:rsidRPr="00326748">
              <w:rPr>
                <w:rFonts w:ascii="Times New Roman" w:eastAsia="Times New Roman" w:hAnsi="Times New Roman" w:cs="Times New Roman"/>
                <w:kern w:val="0"/>
                <w:sz w:val="24"/>
                <w:szCs w:val="24"/>
                <w:lang w:eastAsia="en-IN"/>
                <w14:ligatures w14:val="none"/>
              </w:rPr>
              <w:t>Montane Sub-Saharan Africa</w:t>
            </w:r>
          </w:p>
        </w:tc>
        <w:tc>
          <w:tcPr>
            <w:tcW w:w="1756" w:type="dxa"/>
            <w:vAlign w:val="center"/>
          </w:tcPr>
          <w:p w14:paraId="7FFD63F4" w14:textId="77777777" w:rsidR="00A122BB" w:rsidRDefault="00A122BB" w:rsidP="00C83150">
            <w:r w:rsidRPr="00326748">
              <w:rPr>
                <w:rFonts w:ascii="Times New Roman" w:eastAsia="Times New Roman" w:hAnsi="Times New Roman" w:cs="Times New Roman"/>
                <w:kern w:val="0"/>
                <w:sz w:val="24"/>
                <w:szCs w:val="24"/>
                <w:lang w:eastAsia="en-IN"/>
                <w14:ligatures w14:val="none"/>
              </w:rPr>
              <w:t xml:space="preserve">Sorghum, millet, teff, yam, banana, </w:t>
            </w:r>
            <w:proofErr w:type="spellStart"/>
            <w:r w:rsidRPr="00326748">
              <w:rPr>
                <w:rFonts w:ascii="Times New Roman" w:eastAsia="Times New Roman" w:hAnsi="Times New Roman" w:cs="Times New Roman"/>
                <w:kern w:val="0"/>
                <w:sz w:val="24"/>
                <w:szCs w:val="24"/>
                <w:lang w:eastAsia="en-IN"/>
                <w14:ligatures w14:val="none"/>
              </w:rPr>
              <w:t>enset</w:t>
            </w:r>
            <w:proofErr w:type="spellEnd"/>
            <w:r w:rsidRPr="00326748">
              <w:rPr>
                <w:rFonts w:ascii="Times New Roman" w:eastAsia="Times New Roman" w:hAnsi="Times New Roman" w:cs="Times New Roman"/>
                <w:kern w:val="0"/>
                <w:sz w:val="24"/>
                <w:szCs w:val="24"/>
                <w:lang w:eastAsia="en-IN"/>
                <w14:ligatures w14:val="none"/>
              </w:rPr>
              <w:t>; small ruminants</w:t>
            </w:r>
          </w:p>
        </w:tc>
        <w:tc>
          <w:tcPr>
            <w:tcW w:w="1832" w:type="dxa"/>
            <w:vAlign w:val="center"/>
          </w:tcPr>
          <w:p w14:paraId="36F09003" w14:textId="77777777" w:rsidR="00A122BB" w:rsidRDefault="00A122BB" w:rsidP="00C83150">
            <w:r w:rsidRPr="00326748">
              <w:rPr>
                <w:rFonts w:ascii="Times New Roman" w:eastAsia="Times New Roman" w:hAnsi="Times New Roman" w:cs="Times New Roman"/>
                <w:kern w:val="0"/>
                <w:sz w:val="24"/>
                <w:szCs w:val="24"/>
                <w:lang w:eastAsia="en-IN"/>
                <w14:ligatures w14:val="none"/>
              </w:rPr>
              <w:t xml:space="preserve">Intercropping, </w:t>
            </w:r>
            <w:proofErr w:type="spellStart"/>
            <w:r w:rsidRPr="00326748">
              <w:rPr>
                <w:rFonts w:ascii="Times New Roman" w:eastAsia="Times New Roman" w:hAnsi="Times New Roman" w:cs="Times New Roman"/>
                <w:kern w:val="0"/>
                <w:sz w:val="24"/>
                <w:szCs w:val="24"/>
                <w:lang w:eastAsia="en-IN"/>
                <w14:ligatures w14:val="none"/>
              </w:rPr>
              <w:t>homegardens</w:t>
            </w:r>
            <w:proofErr w:type="spellEnd"/>
            <w:r w:rsidRPr="00326748">
              <w:rPr>
                <w:rFonts w:ascii="Times New Roman" w:eastAsia="Times New Roman" w:hAnsi="Times New Roman" w:cs="Times New Roman"/>
                <w:kern w:val="0"/>
                <w:sz w:val="24"/>
                <w:szCs w:val="24"/>
                <w:lang w:eastAsia="en-IN"/>
                <w14:ligatures w14:val="none"/>
              </w:rPr>
              <w:t>, communal water management</w:t>
            </w:r>
          </w:p>
        </w:tc>
        <w:tc>
          <w:tcPr>
            <w:tcW w:w="1772" w:type="dxa"/>
            <w:vAlign w:val="center"/>
          </w:tcPr>
          <w:p w14:paraId="45D18D0B" w14:textId="77777777" w:rsidR="00A122BB" w:rsidRDefault="00A122BB" w:rsidP="00C83150">
            <w:r w:rsidRPr="00326748">
              <w:rPr>
                <w:rFonts w:ascii="Times New Roman" w:eastAsia="Times New Roman" w:hAnsi="Times New Roman" w:cs="Times New Roman"/>
                <w:kern w:val="0"/>
                <w:sz w:val="24"/>
                <w:szCs w:val="24"/>
                <w:lang w:eastAsia="en-IN"/>
                <w14:ligatures w14:val="none"/>
              </w:rPr>
              <w:t>Subsistence, supplemented by market sales</w:t>
            </w:r>
          </w:p>
        </w:tc>
        <w:tc>
          <w:tcPr>
            <w:tcW w:w="2163" w:type="dxa"/>
            <w:vAlign w:val="center"/>
          </w:tcPr>
          <w:p w14:paraId="131CC38E" w14:textId="77777777" w:rsidR="00A122BB" w:rsidRDefault="00A122BB" w:rsidP="00C83150">
            <w:r w:rsidRPr="00326748">
              <w:rPr>
                <w:rFonts w:ascii="Times New Roman" w:eastAsia="Times New Roman" w:hAnsi="Times New Roman" w:cs="Times New Roman"/>
                <w:kern w:val="0"/>
                <w:sz w:val="24"/>
                <w:szCs w:val="24"/>
                <w:lang w:eastAsia="en-IN"/>
                <w14:ligatures w14:val="none"/>
              </w:rPr>
              <w:t>Uneven; significant variation by country, altitude, and crop</w:t>
            </w:r>
          </w:p>
        </w:tc>
      </w:tr>
    </w:tbl>
    <w:p w14:paraId="5B43E13E"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t>Sources: Körner et al. (2017); Wester et al. (2019); Zimmerer (2010); Rasul &amp; Hussain (2015); Adhikari et al. (2017); Schirpke et al. (2017)</w:t>
      </w:r>
    </w:p>
    <w:p w14:paraId="61AF89E4"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review of traditional farming characteristics reveals that despite significant regional variation in crop assemblages and livelihood strategies, mountain farming systems share a fundamentally agroecological character that is closely tied to place-specific ecological and cultural knowledge. This character is precisely what is most vulnerable to disruption under commercialisation pressures—a theme developed in detail in subsequent sections.</w:t>
      </w:r>
    </w:p>
    <w:p w14:paraId="7D031AA7"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4. Drivers and Dynamics of Agricultural Commercialisation in Mountain Areas</w:t>
      </w:r>
    </w:p>
    <w:p w14:paraId="7B227A4A"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4.1 Economic and Market Integration Drivers</w:t>
      </w:r>
    </w:p>
    <w:p w14:paraId="74BA7260"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The commercialisation of mountain agriculture is rarely a simple, linear transition driven by a single force. Rather, it emerges from the interaction of multiple economic, policy, and technological drivers operating at different spatial and temporal scales. At the household level, the primary economic driver is the aspiration to generate cash income sufficient to cover the costs of goods and services—education, healthcare, and manufactured goods—that are not produced within the farm system (Barrett, 2008). As infrastructure improvements reduce the transaction costs of market participation, previously isolated mountain communities gain both access to input markets and the ability to reach commodity markets, making specialisation increasingly viable and, from a short-term income perspective, attractive for risk-tolerant households.</w:t>
      </w:r>
    </w:p>
    <w:p w14:paraId="2FC2B2B4" w14:textId="4A4C7B00"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At the regional and global scale, the expansion of commodity value chains for high-value mountain products has created significant pull factors for commercialisation. The global quinoa boom of the 2000s and 2010s drew Andean highland farmers into international commodity markets with considerable speed; the rapid expansion of cardamom and ginger cultivation in the HKH region reflects similar dynamics (Wester et al., 2019; Rasul &amp; Hussain, 2015). In both cases, the initial price signals that incentivised adoption led to rapid crop specialisation and reductions in cropping system diversity, even as they generated income gains for early adopters. </w:t>
      </w:r>
      <w:r w:rsidR="00A122BB" w:rsidRPr="00A122BB">
        <w:rPr>
          <w:rFonts w:ascii="Times New Roman" w:eastAsia="Times New Roman" w:hAnsi="Times New Roman" w:cs="Times New Roman"/>
          <w:kern w:val="0"/>
          <w:sz w:val="24"/>
          <w:szCs w:val="24"/>
          <w:lang w:eastAsia="en-IN"/>
          <w14:ligatures w14:val="none"/>
        </w:rPr>
        <w:t>A qualitative study of cardamom commercialisation in eastern Nepal adds that farmers assessed the transition not only through income but also through locally defined reductions in hardship, showing why market incentives can be socially compelling even when they generate longer-term ecological and economic risks (Matthys et al., 2021).</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The dynamics of commodity price volatility that became visible in the quinoa case as global supply expanded illustrate the risks embedded in deep market integration for farming communities that lack the institutional buffering mechanisms—commodity price insurance, diversified market channels, storage infrastructure—available to farmers in more institutionally developed agricultural economies (Carletto et al., 2017).</w:t>
      </w:r>
    </w:p>
    <w:p w14:paraId="5B4E7789"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relationship between market integration and smallholder welfare is not simply additive. Households that can successfully participate in markets are typically those with better endowment of productive assets, better connections to market intermediaries, and better access to the information necessary to navigate price risks (Fischer &amp; Qaim, 2012; Barrett, 2008). Households at the margins of market viability—often the poorest and most ecologically vulnerable—may encounter the costs of market integration (input expenditure, price volatility exposure, opportunity costs of subsistence crop displacement) without fully realising its benefits. This distributional asymmetry is well-documented in the smallholder agriculture literature and is particularly acute in mountain contexts where terrain-related transaction costs are high and social safety nets are limited.</w:t>
      </w:r>
    </w:p>
    <w:p w14:paraId="6C4C9BEF"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4.2 Policy, Institutional, and Technological Drivers</w:t>
      </w:r>
    </w:p>
    <w:p w14:paraId="5206FF82"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Policy environments in many mountain countries have actively encouraged commercialisation as a development strategy, framing it as a route to poverty alleviation and agricultural modernisation. Government extension services have historically promoted improved seed varieties and fertiliser use, while agricultural credit systems have been designed to finance intensification rather than to support diverse traditional systems. The Green Revolution's limited penetration into most mountain areas reflected genuine constraints of its model—high-yielding varieties developed for lowland, irrigated conditions—but its successors, including hybrid seed programmes and the promotion of high-value horticulture, have found greater traction in mountain contexts where road networks and </w:t>
      </w:r>
      <w:r w:rsidRPr="00326748">
        <w:rPr>
          <w:rFonts w:ascii="Times New Roman" w:eastAsia="Times New Roman" w:hAnsi="Times New Roman" w:cs="Times New Roman"/>
          <w:kern w:val="0"/>
          <w:sz w:val="24"/>
          <w:szCs w:val="24"/>
          <w:lang w:eastAsia="en-IN"/>
          <w14:ligatures w14:val="none"/>
        </w:rPr>
        <w:lastRenderedPageBreak/>
        <w:t>irrigation infrastructure have improved (Garnett et al., 2013; Lowder et al., 2016). Jodha (2000) observed that this policy orientation often overlooks the inherent logic of mountain farming systems, whose ecological integrity is treated as an inefficiency to be corrected rather than as an adaptive achievement to be built upon.</w:t>
      </w:r>
    </w:p>
    <w:p w14:paraId="7184F66A"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Institutional innovations, including the development of producer cooperatives, geographical indication (GI) systems, and fair-trade certification schemes, have in some cases provided more structured pathways to market integration that attempt to preserve the quality attributes and producer bargaining power associated with traditional production systems (Fischer &amp; Qaim, 2012). The success of such schemes in mountain contexts has been mixed, however. Collective action organisations can improve smallholder access to markets, credit, and technical information, but they require favourable governance conditions and sustained external support to function effectively—conditions not consistently present in remote mountain areas with low population density and weak institutional infrastructure (Fischer &amp; Qaim, 2012).</w:t>
      </w:r>
    </w:p>
    <w:p w14:paraId="14EE38B2"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4.3 Globalisation, Land Use Change, and Value Chain Integration</w:t>
      </w:r>
    </w:p>
    <w:p w14:paraId="1201C5A1"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broader dynamics of global land use change provide an important contextual backdrop for understanding mountain agriculture commercialisation. Lambin and </w:t>
      </w:r>
      <w:proofErr w:type="spellStart"/>
      <w:r w:rsidRPr="00326748">
        <w:rPr>
          <w:rFonts w:ascii="Times New Roman" w:eastAsia="Times New Roman" w:hAnsi="Times New Roman" w:cs="Times New Roman"/>
          <w:kern w:val="0"/>
          <w:sz w:val="24"/>
          <w:szCs w:val="24"/>
          <w:lang w:eastAsia="en-IN"/>
          <w14:ligatures w14:val="none"/>
        </w:rPr>
        <w:t>Meyfroidt</w:t>
      </w:r>
      <w:proofErr w:type="spellEnd"/>
      <w:r w:rsidRPr="00326748">
        <w:rPr>
          <w:rFonts w:ascii="Times New Roman" w:eastAsia="Times New Roman" w:hAnsi="Times New Roman" w:cs="Times New Roman"/>
          <w:kern w:val="0"/>
          <w:sz w:val="24"/>
          <w:szCs w:val="24"/>
          <w:lang w:eastAsia="en-IN"/>
          <w14:ligatures w14:val="none"/>
        </w:rPr>
        <w:t xml:space="preserve"> (2011) documented how globalisation creates indirect land use pressures in distant regions by shifting production across landscapes in response to global demand signals, a mechanism they described as the "global land rush" effect. Mountain farming communities are not isolated from these dynamics: the expansion of export horticulture in montane East Africa, the conversion of traditionally managed pasture and forest landscapes in the Alps to intensive monocultures or, paradoxically, to complete agricultural abandonment, and the spread of commercial orchards into mixed farming landscapes in the Himalayas all reflect the deepening integration of mountain farmers into global agri-food systems (Lambin &amp; </w:t>
      </w:r>
      <w:proofErr w:type="spellStart"/>
      <w:r w:rsidRPr="00326748">
        <w:rPr>
          <w:rFonts w:ascii="Times New Roman" w:eastAsia="Times New Roman" w:hAnsi="Times New Roman" w:cs="Times New Roman"/>
          <w:kern w:val="0"/>
          <w:sz w:val="24"/>
          <w:szCs w:val="24"/>
          <w:lang w:eastAsia="en-IN"/>
          <w14:ligatures w14:val="none"/>
        </w:rPr>
        <w:t>Meyfroidt</w:t>
      </w:r>
      <w:proofErr w:type="spellEnd"/>
      <w:r w:rsidRPr="00326748">
        <w:rPr>
          <w:rFonts w:ascii="Times New Roman" w:eastAsia="Times New Roman" w:hAnsi="Times New Roman" w:cs="Times New Roman"/>
          <w:kern w:val="0"/>
          <w:sz w:val="24"/>
          <w:szCs w:val="24"/>
          <w:lang w:eastAsia="en-IN"/>
          <w14:ligatures w14:val="none"/>
        </w:rPr>
        <w:t>, 2011; Schirpke et al., 2017).</w:t>
      </w:r>
    </w:p>
    <w:p w14:paraId="69077778"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Verburg et al. (2015), in a comprehensive synthesis of land system science, emphasised that land use transitions of this kind are not merely local or regional phenomena but are embedded within Earth system dynamics that link agricultural land management to biodiversity change, hydrological cycles, and climate regulation at the planetary scale. For mountain areas, this systemic perspective is particularly relevant because the ecosystem services delivered by mountain farming landscapes—water regulation, biodiversity maintenance, carbon sequestration, cultural landscape heritage—are not confined to mountain communities but are shared with far larger downstream populations. The market integration of mountain farmers is thus embedded within a broader political ecology of uneven benefit distribution, in which the costs of ecological transition are borne locally while the benefits of cheap food and global commodity consumption are distributed globally.</w:t>
      </w:r>
    </w:p>
    <w:p w14:paraId="5E7F2975"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Table 2 presents a typology of the principal drivers of commercialisation in mountain agriculture, distinguishing demand-side pull factors from supply-side push factors and the institutional enabling conditions that mediate between them. This typology illustrates that commercialisation is never simply an outcome of free market forces but is instead shaped by the interaction of deliberate policy choices, infrastructure investment, and the ecological conditions that determine which crops and production systems can achieve commercial viability in specific mountain contexts.</w:t>
      </w:r>
    </w:p>
    <w:p w14:paraId="4F6658CD" w14:textId="57FDAF56" w:rsidR="00326748" w:rsidRDefault="00326748" w:rsidP="00326748">
      <w:pPr>
        <w:spacing w:after="0" w:line="240" w:lineRule="auto"/>
        <w:rPr>
          <w:rFonts w:ascii="Times New Roman" w:eastAsia="Times New Roman" w:hAnsi="Times New Roman" w:cs="Times New Roman"/>
          <w:kern w:val="0"/>
          <w:sz w:val="24"/>
          <w:szCs w:val="24"/>
          <w:lang w:eastAsia="en-IN"/>
          <w14:ligatures w14:val="none"/>
        </w:rPr>
      </w:pPr>
    </w:p>
    <w:p w14:paraId="37FB5A3D" w14:textId="77777777" w:rsidR="00BF64D0" w:rsidRDefault="00BF64D0" w:rsidP="00326748">
      <w:pPr>
        <w:spacing w:after="0" w:line="240" w:lineRule="auto"/>
        <w:rPr>
          <w:rFonts w:ascii="Times New Roman" w:eastAsia="Times New Roman" w:hAnsi="Times New Roman" w:cs="Times New Roman"/>
          <w:kern w:val="0"/>
          <w:sz w:val="24"/>
          <w:szCs w:val="24"/>
          <w:lang w:eastAsia="en-IN"/>
          <w14:ligatures w14:val="none"/>
        </w:rPr>
      </w:pPr>
    </w:p>
    <w:p w14:paraId="6255D87D" w14:textId="77777777" w:rsidR="00BF64D0" w:rsidRDefault="00BF64D0" w:rsidP="00326748">
      <w:pPr>
        <w:spacing w:after="0" w:line="240" w:lineRule="auto"/>
        <w:rPr>
          <w:rFonts w:ascii="Times New Roman" w:eastAsia="Times New Roman" w:hAnsi="Times New Roman" w:cs="Times New Roman"/>
          <w:kern w:val="0"/>
          <w:sz w:val="24"/>
          <w:szCs w:val="24"/>
          <w:lang w:eastAsia="en-IN"/>
          <w14:ligatures w14:val="none"/>
        </w:rPr>
      </w:pPr>
    </w:p>
    <w:p w14:paraId="659FE9FF" w14:textId="77777777" w:rsidR="00BF64D0" w:rsidRDefault="00BF64D0" w:rsidP="00326748">
      <w:pPr>
        <w:spacing w:after="0" w:line="240" w:lineRule="auto"/>
        <w:rPr>
          <w:rFonts w:ascii="Times New Roman" w:eastAsia="Times New Roman" w:hAnsi="Times New Roman" w:cs="Times New Roman"/>
          <w:kern w:val="0"/>
          <w:sz w:val="24"/>
          <w:szCs w:val="24"/>
          <w:lang w:eastAsia="en-IN"/>
          <w14:ligatures w14:val="none"/>
        </w:rPr>
      </w:pPr>
    </w:p>
    <w:p w14:paraId="4248735D" w14:textId="77777777" w:rsidR="00BF64D0" w:rsidRDefault="00BF64D0" w:rsidP="00326748">
      <w:pPr>
        <w:spacing w:after="0" w:line="240" w:lineRule="auto"/>
        <w:rPr>
          <w:rFonts w:ascii="Times New Roman" w:eastAsia="Times New Roman" w:hAnsi="Times New Roman" w:cs="Times New Roman"/>
          <w:kern w:val="0"/>
          <w:sz w:val="24"/>
          <w:szCs w:val="24"/>
          <w:lang w:eastAsia="en-IN"/>
          <w14:ligatures w14:val="none"/>
        </w:rPr>
      </w:pPr>
    </w:p>
    <w:p w14:paraId="407C92F2" w14:textId="77777777" w:rsidR="00BF64D0" w:rsidRPr="00326748" w:rsidRDefault="00BF64D0" w:rsidP="00326748">
      <w:pPr>
        <w:spacing w:after="0" w:line="240" w:lineRule="auto"/>
        <w:rPr>
          <w:rFonts w:ascii="Times New Roman" w:eastAsia="Times New Roman" w:hAnsi="Times New Roman" w:cs="Times New Roman"/>
          <w:kern w:val="0"/>
          <w:sz w:val="24"/>
          <w:szCs w:val="24"/>
          <w:lang w:eastAsia="en-IN"/>
          <w14:ligatures w14:val="none"/>
        </w:rPr>
      </w:pPr>
    </w:p>
    <w:p w14:paraId="24698E82"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2: Primary Drivers and Mechanisms of Commercialisation in Mountain Agriculture</w:t>
      </w:r>
    </w:p>
    <w:tbl>
      <w:tblPr>
        <w:tblStyle w:val="TableGrid"/>
        <w:tblW w:w="0" w:type="auto"/>
        <w:tblLook w:val="04A0" w:firstRow="1" w:lastRow="0" w:firstColumn="1" w:lastColumn="0" w:noHBand="0" w:noVBand="1"/>
      </w:tblPr>
      <w:tblGrid>
        <w:gridCol w:w="1719"/>
        <w:gridCol w:w="3351"/>
        <w:gridCol w:w="1310"/>
        <w:gridCol w:w="2659"/>
      </w:tblGrid>
      <w:tr w:rsidR="00A122BB" w14:paraId="6628FAAD" w14:textId="77777777" w:rsidTr="00C83150">
        <w:tc>
          <w:tcPr>
            <w:tcW w:w="1719" w:type="dxa"/>
            <w:vAlign w:val="center"/>
          </w:tcPr>
          <w:p w14:paraId="4E765DD6"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Driver Category</w:t>
            </w:r>
          </w:p>
        </w:tc>
        <w:tc>
          <w:tcPr>
            <w:tcW w:w="3351" w:type="dxa"/>
            <w:vAlign w:val="center"/>
          </w:tcPr>
          <w:p w14:paraId="2DFAA8D2"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Specific Drivers</w:t>
            </w:r>
          </w:p>
        </w:tc>
        <w:tc>
          <w:tcPr>
            <w:tcW w:w="1310" w:type="dxa"/>
            <w:vAlign w:val="center"/>
          </w:tcPr>
          <w:p w14:paraId="042B3E1C"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Scale of Operation</w:t>
            </w:r>
          </w:p>
        </w:tc>
        <w:tc>
          <w:tcPr>
            <w:tcW w:w="2659" w:type="dxa"/>
            <w:vAlign w:val="center"/>
          </w:tcPr>
          <w:p w14:paraId="09FA6608"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Typical Outcomes</w:t>
            </w:r>
          </w:p>
        </w:tc>
      </w:tr>
      <w:tr w:rsidR="00A122BB" w14:paraId="42E81FF3" w14:textId="77777777" w:rsidTr="00C83150">
        <w:tc>
          <w:tcPr>
            <w:tcW w:w="1719" w:type="dxa"/>
            <w:vAlign w:val="center"/>
          </w:tcPr>
          <w:p w14:paraId="4D259A69" w14:textId="77777777" w:rsidR="00A122BB" w:rsidRDefault="00A122BB" w:rsidP="00C83150">
            <w:r w:rsidRPr="00326748">
              <w:rPr>
                <w:rFonts w:ascii="Times New Roman" w:eastAsia="Times New Roman" w:hAnsi="Times New Roman" w:cs="Times New Roman"/>
                <w:kern w:val="0"/>
                <w:sz w:val="24"/>
                <w:szCs w:val="24"/>
                <w:lang w:eastAsia="en-IN"/>
                <w14:ligatures w14:val="none"/>
              </w:rPr>
              <w:t>Market demand</w:t>
            </w:r>
          </w:p>
        </w:tc>
        <w:tc>
          <w:tcPr>
            <w:tcW w:w="3351" w:type="dxa"/>
            <w:vAlign w:val="center"/>
          </w:tcPr>
          <w:p w14:paraId="36A186A3" w14:textId="77777777" w:rsidR="00A122BB" w:rsidRDefault="00A122BB" w:rsidP="00C83150">
            <w:r w:rsidRPr="00326748">
              <w:rPr>
                <w:rFonts w:ascii="Times New Roman" w:eastAsia="Times New Roman" w:hAnsi="Times New Roman" w:cs="Times New Roman"/>
                <w:kern w:val="0"/>
                <w:sz w:val="24"/>
                <w:szCs w:val="24"/>
                <w:lang w:eastAsia="en-IN"/>
                <w14:ligatures w14:val="none"/>
              </w:rPr>
              <w:t>Global commodity prices; supermarket supply chain expansion; niche and heritage market growth</w:t>
            </w:r>
          </w:p>
        </w:tc>
        <w:tc>
          <w:tcPr>
            <w:tcW w:w="1310" w:type="dxa"/>
            <w:vAlign w:val="center"/>
          </w:tcPr>
          <w:p w14:paraId="6DB6E28B" w14:textId="77777777" w:rsidR="00A122BB" w:rsidRDefault="00A122BB" w:rsidP="00C83150">
            <w:r w:rsidRPr="00326748">
              <w:rPr>
                <w:rFonts w:ascii="Times New Roman" w:eastAsia="Times New Roman" w:hAnsi="Times New Roman" w:cs="Times New Roman"/>
                <w:kern w:val="0"/>
                <w:sz w:val="24"/>
                <w:szCs w:val="24"/>
                <w:lang w:eastAsia="en-IN"/>
                <w14:ligatures w14:val="none"/>
              </w:rPr>
              <w:t>Global to regional</w:t>
            </w:r>
          </w:p>
        </w:tc>
        <w:tc>
          <w:tcPr>
            <w:tcW w:w="2659" w:type="dxa"/>
            <w:vAlign w:val="center"/>
          </w:tcPr>
          <w:p w14:paraId="1C1DEBB4" w14:textId="77777777" w:rsidR="00A122BB" w:rsidRDefault="00A122BB" w:rsidP="00C83150">
            <w:r w:rsidRPr="00326748">
              <w:rPr>
                <w:rFonts w:ascii="Times New Roman" w:eastAsia="Times New Roman" w:hAnsi="Times New Roman" w:cs="Times New Roman"/>
                <w:kern w:val="0"/>
                <w:sz w:val="24"/>
                <w:szCs w:val="24"/>
                <w:lang w:eastAsia="en-IN"/>
                <w14:ligatures w14:val="none"/>
              </w:rPr>
              <w:t>Crop specialisation; income gains for early adopters; price volatility exposure</w:t>
            </w:r>
          </w:p>
        </w:tc>
      </w:tr>
      <w:tr w:rsidR="00A122BB" w14:paraId="70D80474" w14:textId="77777777" w:rsidTr="00C83150">
        <w:tc>
          <w:tcPr>
            <w:tcW w:w="1719" w:type="dxa"/>
            <w:vAlign w:val="center"/>
          </w:tcPr>
          <w:p w14:paraId="5E1E72A9" w14:textId="77777777" w:rsidR="00A122BB" w:rsidRDefault="00A122BB" w:rsidP="00C83150">
            <w:r w:rsidRPr="00326748">
              <w:rPr>
                <w:rFonts w:ascii="Times New Roman" w:eastAsia="Times New Roman" w:hAnsi="Times New Roman" w:cs="Times New Roman"/>
                <w:kern w:val="0"/>
                <w:sz w:val="24"/>
                <w:szCs w:val="24"/>
                <w:lang w:eastAsia="en-IN"/>
                <w14:ligatures w14:val="none"/>
              </w:rPr>
              <w:t>Infrastructure</w:t>
            </w:r>
          </w:p>
        </w:tc>
        <w:tc>
          <w:tcPr>
            <w:tcW w:w="3351" w:type="dxa"/>
            <w:vAlign w:val="center"/>
          </w:tcPr>
          <w:p w14:paraId="51219EE0" w14:textId="77777777" w:rsidR="00A122BB" w:rsidRDefault="00A122BB" w:rsidP="00C83150">
            <w:r w:rsidRPr="00326748">
              <w:rPr>
                <w:rFonts w:ascii="Times New Roman" w:eastAsia="Times New Roman" w:hAnsi="Times New Roman" w:cs="Times New Roman"/>
                <w:kern w:val="0"/>
                <w:sz w:val="24"/>
                <w:szCs w:val="24"/>
                <w:lang w:eastAsia="en-IN"/>
                <w14:ligatures w14:val="none"/>
              </w:rPr>
              <w:t>Road construction; electrification; cold chain development; mobile telephony and digital markets</w:t>
            </w:r>
          </w:p>
        </w:tc>
        <w:tc>
          <w:tcPr>
            <w:tcW w:w="1310" w:type="dxa"/>
            <w:vAlign w:val="center"/>
          </w:tcPr>
          <w:p w14:paraId="11D8DD48" w14:textId="77777777" w:rsidR="00A122BB" w:rsidRDefault="00A122BB" w:rsidP="00C83150">
            <w:r w:rsidRPr="00326748">
              <w:rPr>
                <w:rFonts w:ascii="Times New Roman" w:eastAsia="Times New Roman" w:hAnsi="Times New Roman" w:cs="Times New Roman"/>
                <w:kern w:val="0"/>
                <w:sz w:val="24"/>
                <w:szCs w:val="24"/>
                <w:lang w:eastAsia="en-IN"/>
                <w14:ligatures w14:val="none"/>
              </w:rPr>
              <w:t>National to local</w:t>
            </w:r>
          </w:p>
        </w:tc>
        <w:tc>
          <w:tcPr>
            <w:tcW w:w="2659" w:type="dxa"/>
            <w:vAlign w:val="center"/>
          </w:tcPr>
          <w:p w14:paraId="47ADC7D5" w14:textId="77777777" w:rsidR="00A122BB" w:rsidRDefault="00A122BB" w:rsidP="00C83150">
            <w:r w:rsidRPr="00326748">
              <w:rPr>
                <w:rFonts w:ascii="Times New Roman" w:eastAsia="Times New Roman" w:hAnsi="Times New Roman" w:cs="Times New Roman"/>
                <w:kern w:val="0"/>
                <w:sz w:val="24"/>
                <w:szCs w:val="24"/>
                <w:lang w:eastAsia="en-IN"/>
                <w14:ligatures w14:val="none"/>
              </w:rPr>
              <w:t>Reduced transaction costs; expanded market access; facilitation of out-migration</w:t>
            </w:r>
          </w:p>
        </w:tc>
      </w:tr>
      <w:tr w:rsidR="00A122BB" w14:paraId="5BF160BD" w14:textId="77777777" w:rsidTr="00C83150">
        <w:tc>
          <w:tcPr>
            <w:tcW w:w="1719" w:type="dxa"/>
            <w:vAlign w:val="center"/>
          </w:tcPr>
          <w:p w14:paraId="2A2FBA52" w14:textId="77777777" w:rsidR="00A122BB" w:rsidRDefault="00A122BB" w:rsidP="00C83150">
            <w:r w:rsidRPr="00326748">
              <w:rPr>
                <w:rFonts w:ascii="Times New Roman" w:eastAsia="Times New Roman" w:hAnsi="Times New Roman" w:cs="Times New Roman"/>
                <w:kern w:val="0"/>
                <w:sz w:val="24"/>
                <w:szCs w:val="24"/>
                <w:lang w:eastAsia="en-IN"/>
                <w14:ligatures w14:val="none"/>
              </w:rPr>
              <w:t>Policy and institutional</w:t>
            </w:r>
          </w:p>
        </w:tc>
        <w:tc>
          <w:tcPr>
            <w:tcW w:w="3351" w:type="dxa"/>
            <w:vAlign w:val="center"/>
          </w:tcPr>
          <w:p w14:paraId="040BB016" w14:textId="77777777" w:rsidR="00A122BB" w:rsidRDefault="00A122BB" w:rsidP="00C83150">
            <w:r w:rsidRPr="00326748">
              <w:rPr>
                <w:rFonts w:ascii="Times New Roman" w:eastAsia="Times New Roman" w:hAnsi="Times New Roman" w:cs="Times New Roman"/>
                <w:kern w:val="0"/>
                <w:sz w:val="24"/>
                <w:szCs w:val="24"/>
                <w:lang w:eastAsia="en-IN"/>
                <w14:ligatures w14:val="none"/>
              </w:rPr>
              <w:t>Extension services promoting improved varieties; input subsidy programmes; collective action support; GI schemes</w:t>
            </w:r>
          </w:p>
        </w:tc>
        <w:tc>
          <w:tcPr>
            <w:tcW w:w="1310" w:type="dxa"/>
            <w:vAlign w:val="center"/>
          </w:tcPr>
          <w:p w14:paraId="4F6EFCBB" w14:textId="77777777" w:rsidR="00A122BB" w:rsidRDefault="00A122BB" w:rsidP="00C83150">
            <w:r w:rsidRPr="00326748">
              <w:rPr>
                <w:rFonts w:ascii="Times New Roman" w:eastAsia="Times New Roman" w:hAnsi="Times New Roman" w:cs="Times New Roman"/>
                <w:kern w:val="0"/>
                <w:sz w:val="24"/>
                <w:szCs w:val="24"/>
                <w:lang w:eastAsia="en-IN"/>
                <w14:ligatures w14:val="none"/>
              </w:rPr>
              <w:t>National</w:t>
            </w:r>
          </w:p>
        </w:tc>
        <w:tc>
          <w:tcPr>
            <w:tcW w:w="2659" w:type="dxa"/>
            <w:vAlign w:val="center"/>
          </w:tcPr>
          <w:p w14:paraId="6FE2695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Shifts in crop portfolio; technology adoption; variable equity outcomes</w:t>
            </w:r>
          </w:p>
        </w:tc>
      </w:tr>
      <w:tr w:rsidR="00A122BB" w14:paraId="01081862" w14:textId="77777777" w:rsidTr="00C83150">
        <w:tc>
          <w:tcPr>
            <w:tcW w:w="1719" w:type="dxa"/>
            <w:vAlign w:val="center"/>
          </w:tcPr>
          <w:p w14:paraId="56191CFB" w14:textId="77777777" w:rsidR="00A122BB" w:rsidRDefault="00A122BB" w:rsidP="00C83150">
            <w:r w:rsidRPr="00326748">
              <w:rPr>
                <w:rFonts w:ascii="Times New Roman" w:eastAsia="Times New Roman" w:hAnsi="Times New Roman" w:cs="Times New Roman"/>
                <w:kern w:val="0"/>
                <w:sz w:val="24"/>
                <w:szCs w:val="24"/>
                <w:lang w:eastAsia="en-IN"/>
                <w14:ligatures w14:val="none"/>
              </w:rPr>
              <w:t>Technology</w:t>
            </w:r>
          </w:p>
        </w:tc>
        <w:tc>
          <w:tcPr>
            <w:tcW w:w="3351" w:type="dxa"/>
            <w:vAlign w:val="center"/>
          </w:tcPr>
          <w:p w14:paraId="1C79BFB9" w14:textId="77777777" w:rsidR="00A122BB" w:rsidRDefault="00A122BB" w:rsidP="00C83150">
            <w:r w:rsidRPr="00326748">
              <w:rPr>
                <w:rFonts w:ascii="Times New Roman" w:eastAsia="Times New Roman" w:hAnsi="Times New Roman" w:cs="Times New Roman"/>
                <w:kern w:val="0"/>
                <w:sz w:val="24"/>
                <w:szCs w:val="24"/>
                <w:lang w:eastAsia="en-IN"/>
                <w14:ligatures w14:val="none"/>
              </w:rPr>
              <w:t>Improved seed varieties; irrigation technology; mechanisation; digital market information systems</w:t>
            </w:r>
          </w:p>
        </w:tc>
        <w:tc>
          <w:tcPr>
            <w:tcW w:w="1310" w:type="dxa"/>
            <w:vAlign w:val="center"/>
          </w:tcPr>
          <w:p w14:paraId="05BCDD53" w14:textId="77777777" w:rsidR="00A122BB" w:rsidRDefault="00A122BB" w:rsidP="00C83150">
            <w:r w:rsidRPr="00326748">
              <w:rPr>
                <w:rFonts w:ascii="Times New Roman" w:eastAsia="Times New Roman" w:hAnsi="Times New Roman" w:cs="Times New Roman"/>
                <w:kern w:val="0"/>
                <w:sz w:val="24"/>
                <w:szCs w:val="24"/>
                <w:lang w:eastAsia="en-IN"/>
                <w14:ligatures w14:val="none"/>
              </w:rPr>
              <w:t>Farm to regional</w:t>
            </w:r>
          </w:p>
        </w:tc>
        <w:tc>
          <w:tcPr>
            <w:tcW w:w="2659" w:type="dxa"/>
            <w:vAlign w:val="center"/>
          </w:tcPr>
          <w:p w14:paraId="398366B6" w14:textId="77777777" w:rsidR="00A122BB" w:rsidRDefault="00A122BB" w:rsidP="00C83150">
            <w:r w:rsidRPr="00326748">
              <w:rPr>
                <w:rFonts w:ascii="Times New Roman" w:eastAsia="Times New Roman" w:hAnsi="Times New Roman" w:cs="Times New Roman"/>
                <w:kern w:val="0"/>
                <w:sz w:val="24"/>
                <w:szCs w:val="24"/>
                <w:lang w:eastAsia="en-IN"/>
                <w14:ligatures w14:val="none"/>
              </w:rPr>
              <w:t>Productivity gains; input dependency; displacement of traditional varieties</w:t>
            </w:r>
          </w:p>
        </w:tc>
      </w:tr>
      <w:tr w:rsidR="00A122BB" w14:paraId="7161A605" w14:textId="77777777" w:rsidTr="00C83150">
        <w:tc>
          <w:tcPr>
            <w:tcW w:w="1719" w:type="dxa"/>
            <w:vAlign w:val="center"/>
          </w:tcPr>
          <w:p w14:paraId="2E9C06EC" w14:textId="77777777" w:rsidR="00A122BB" w:rsidRPr="00326748" w:rsidRDefault="00A122BB" w:rsidP="00BF64D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Social and demographic</w:t>
            </w:r>
          </w:p>
        </w:tc>
        <w:tc>
          <w:tcPr>
            <w:tcW w:w="3351" w:type="dxa"/>
            <w:vAlign w:val="center"/>
          </w:tcPr>
          <w:p w14:paraId="32C262BA" w14:textId="77777777" w:rsidR="00A122BB" w:rsidRPr="00326748" w:rsidRDefault="00A122BB" w:rsidP="00BF64D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Rural-urban migration; rising income aspirations; ageing farm populations; remittance economies</w:t>
            </w:r>
          </w:p>
        </w:tc>
        <w:tc>
          <w:tcPr>
            <w:tcW w:w="1310" w:type="dxa"/>
            <w:vAlign w:val="center"/>
          </w:tcPr>
          <w:p w14:paraId="66525A7D" w14:textId="77777777" w:rsidR="00A122BB" w:rsidRPr="00326748" w:rsidRDefault="00A122BB" w:rsidP="00BF64D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Household to community</w:t>
            </w:r>
          </w:p>
        </w:tc>
        <w:tc>
          <w:tcPr>
            <w:tcW w:w="2659" w:type="dxa"/>
            <w:vAlign w:val="center"/>
          </w:tcPr>
          <w:p w14:paraId="00665899" w14:textId="77777777" w:rsidR="00A122BB" w:rsidRPr="00326748" w:rsidRDefault="00A122BB" w:rsidP="00BF64D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Labour reallocation; feminisation of farm management; land use intensification</w:t>
            </w:r>
          </w:p>
        </w:tc>
      </w:tr>
    </w:tbl>
    <w:p w14:paraId="3B381EB7" w14:textId="77777777" w:rsidR="00326748" w:rsidRPr="00326748" w:rsidRDefault="00326748" w:rsidP="00BF64D0">
      <w:pPr>
        <w:spacing w:after="0"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t xml:space="preserve">Sources: Barrett (2008); Fischer &amp; Qaim (2012); Lambin &amp; </w:t>
      </w:r>
      <w:proofErr w:type="spellStart"/>
      <w:r w:rsidRPr="00326748">
        <w:rPr>
          <w:rFonts w:ascii="Times New Roman" w:eastAsia="Times New Roman" w:hAnsi="Times New Roman" w:cs="Times New Roman"/>
          <w:i/>
          <w:iCs/>
          <w:kern w:val="0"/>
          <w:sz w:val="24"/>
          <w:szCs w:val="24"/>
          <w:lang w:eastAsia="en-IN"/>
          <w14:ligatures w14:val="none"/>
        </w:rPr>
        <w:t>Meyfroidt</w:t>
      </w:r>
      <w:proofErr w:type="spellEnd"/>
      <w:r w:rsidRPr="00326748">
        <w:rPr>
          <w:rFonts w:ascii="Times New Roman" w:eastAsia="Times New Roman" w:hAnsi="Times New Roman" w:cs="Times New Roman"/>
          <w:i/>
          <w:iCs/>
          <w:kern w:val="0"/>
          <w:sz w:val="24"/>
          <w:szCs w:val="24"/>
          <w:lang w:eastAsia="en-IN"/>
          <w14:ligatures w14:val="none"/>
        </w:rPr>
        <w:t xml:space="preserve"> (2011); Lowder et al. (2016); Wester et al. (2019); Verburg et al. (2015)</w:t>
      </w:r>
    </w:p>
    <w:p w14:paraId="401AF111"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typology in Table 2 underscores that commercialisation of mountain agriculture is not a single, uniform process but rather a heterogeneous set of transitions whose character and implications vary substantially depending on the mix of drivers present, the governance capacity of local institutions, and the ecological characteristics of the farming landscape. This heterogeneity complicates the formulation of universal policy prescriptions and underlines the importance of context-specific, multi-scalar analysis.</w:t>
      </w:r>
    </w:p>
    <w:p w14:paraId="4259210E"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5. Sustainability Implications of Commercialisation</w:t>
      </w:r>
    </w:p>
    <w:p w14:paraId="7055E894"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5.1 Agrobiodiversity Loss and Genetic Erosion</w:t>
      </w:r>
    </w:p>
    <w:p w14:paraId="2AC87572"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most extensively documented sustainability consequence of agricultural commercialisation in mountain areas is the loss of agrobiodiversity. As households shift from diversified subsistence production to specialised market-oriented crops, the incentive to maintain diverse collections of traditional varieties diminishes, and the informal seed systems </w:t>
      </w:r>
      <w:r w:rsidRPr="00326748">
        <w:rPr>
          <w:rFonts w:ascii="Times New Roman" w:eastAsia="Times New Roman" w:hAnsi="Times New Roman" w:cs="Times New Roman"/>
          <w:kern w:val="0"/>
          <w:sz w:val="24"/>
          <w:szCs w:val="24"/>
          <w:lang w:eastAsia="en-IN"/>
          <w14:ligatures w14:val="none"/>
        </w:rPr>
        <w:lastRenderedPageBreak/>
        <w:t>that sustain this diversity begin to erode (Zimmerer, 2010; Garibaldi et al., 2017). Evidence from the HKH region documents significant reductions in the number of rice and wheat landraces grown by households participating in value chain programmes, with diversity loss being particularly acute in areas with good road access where high-yielding commercial varieties are readily available through extension systems (Adhikari et al., 2017; Wester et al., 2019). In the Andean highlands, the global quinoa boom—while bringing unprecedented income to many communities—was also accompanied by a reduction in the diversity of cultivated quinoa varieties and the marginalisation of other traditional Andean crops in households that had fully committed to market production (Zimmerer, 2010).</w:t>
      </w:r>
    </w:p>
    <w:p w14:paraId="674E5DAB"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implications of this genetic erosion extend far beyond cultural heritage. Traditional varieties represent reservoirs of adaptive genetic material—alleles conferring tolerance to drought, flooding, disease, and pests—that may be of critical value as climate change alters growing conditions in ways that are only partially predictable (Garibaldi et al., 2017; Berkes et al., 2000). In situ conservation of this diversity, embedded in farmers' fields and maintained by farmers' knowledge and management decisions, is widely recognised as complementary and irreplaceable relative to ex situ conservation in gene banks, because it allows adaptive evolution to continue in interaction with local environmental conditions (Garibaldi et al., 2017; Bengtsson et al., 2005). The loss of in situ diversity therefore diminishes the long-term adaptive options available not only to mountain farming communities but to global food systems as a whole. </w:t>
      </w:r>
      <w:proofErr w:type="spellStart"/>
      <w:r w:rsidRPr="00326748">
        <w:rPr>
          <w:rFonts w:ascii="Times New Roman" w:eastAsia="Times New Roman" w:hAnsi="Times New Roman" w:cs="Times New Roman"/>
          <w:kern w:val="0"/>
          <w:sz w:val="24"/>
          <w:szCs w:val="24"/>
          <w:lang w:eastAsia="en-IN"/>
          <w14:ligatures w14:val="none"/>
        </w:rPr>
        <w:t>Rockström</w:t>
      </w:r>
      <w:proofErr w:type="spellEnd"/>
      <w:r w:rsidRPr="00326748">
        <w:rPr>
          <w:rFonts w:ascii="Times New Roman" w:eastAsia="Times New Roman" w:hAnsi="Times New Roman" w:cs="Times New Roman"/>
          <w:kern w:val="0"/>
          <w:sz w:val="24"/>
          <w:szCs w:val="24"/>
          <w:lang w:eastAsia="en-IN"/>
          <w14:ligatures w14:val="none"/>
        </w:rPr>
        <w:t xml:space="preserve"> et al. (2009) identified biosphere integrity—encompassing genetic and functional diversity—as one of the planetary boundaries most urgently threatened by current land use trajectories, and mountain agrobiodiversity loss is a concrete expression of this threat.</w:t>
      </w:r>
    </w:p>
    <w:p w14:paraId="446C5F5C"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5.2 Soil Health, Water Resources, and Ecosystem Services</w:t>
      </w:r>
    </w:p>
    <w:p w14:paraId="0C931807" w14:textId="6A8F2399"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Commercialisation frequently drives agricultural intensification, understood here as the increase of inputs—chemical fertilisers, pesticides, water—per unit of land. In mountain contexts, intensification carries heightened risks relative to lowland systems because of the combination of steep slopes, shallow soils, limited organic matter inputs under conventional management, and the critical water regulation functions performed by mountain farming landscapes (Wester et al., 2019). The displacement of traditional soil conservation practices—terracing maintenance, organic matter recycling through composting and manuring, intercropping with nitrogen-fixing legumes—by monocultural commodity production has been associated with increased erosion rates, soil compaction, and fertility decline in documented case studies from the Himalayas and montane Africa (Thapa &amp; Paudel, 2002; Rasul &amp; Hussain, 2015). Thapa and Paudel (2002) demonstrated through comparative watershed analysis in Nepal that farmland degradation was significantly more severe in watersheds without coordinated external intervention to support traditional soil conservation practices, highlighting the institutional as well as technical dimensions of land degradation in mountain areas.</w:t>
      </w:r>
      <w:r w:rsidR="004D298C">
        <w:rPr>
          <w:rFonts w:ascii="Times New Roman" w:eastAsia="Times New Roman" w:hAnsi="Times New Roman" w:cs="Times New Roman"/>
          <w:kern w:val="0"/>
          <w:sz w:val="24"/>
          <w:szCs w:val="24"/>
          <w:lang w:eastAsia="en-IN"/>
          <w14:ligatures w14:val="none"/>
        </w:rPr>
        <w:t xml:space="preserve"> </w:t>
      </w:r>
      <w:r w:rsidR="004D298C" w:rsidRPr="004D298C">
        <w:rPr>
          <w:rFonts w:ascii="Times New Roman" w:eastAsia="Times New Roman" w:hAnsi="Times New Roman" w:cs="Times New Roman"/>
          <w:kern w:val="0"/>
          <w:sz w:val="24"/>
          <w:szCs w:val="24"/>
          <w:lang w:eastAsia="en-IN"/>
          <w14:ligatures w14:val="none"/>
        </w:rPr>
        <w:t>Recent evidence from the Sidama region of Ethiopia similarly shows that soil and water conservation practices—including agroforestry, crop rotation, mulching, and physical conservation measures—can improve soil fertility, enhance water availability, reduce erosion and flooding, and contribute to rural livelihood improvement, reinforcing the importance of institutional and technical support for conservation-based land management in fragile upland farming systems (Adugna, 2026).</w:t>
      </w:r>
    </w:p>
    <w:p w14:paraId="020D8296" w14:textId="5D1F8004"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Mountain ecosystems perform critical hydrological functions, including the regulation of stream flow, the maintenance of groundwater recharge, and the filtering of water that sustains </w:t>
      </w:r>
      <w:r w:rsidRPr="00326748">
        <w:rPr>
          <w:rFonts w:ascii="Times New Roman" w:eastAsia="Times New Roman" w:hAnsi="Times New Roman" w:cs="Times New Roman"/>
          <w:kern w:val="0"/>
          <w:sz w:val="24"/>
          <w:szCs w:val="24"/>
          <w:lang w:eastAsia="en-IN"/>
          <w14:ligatures w14:val="none"/>
        </w:rPr>
        <w:lastRenderedPageBreak/>
        <w:t xml:space="preserve">downstream agricultural and urban systems (Immerzeel et al., 2020). Agricultural intensification that increases surface runoff, reduces soil infiltration capacity, or shifts land use from perennial cover crops to annual monocultures can measurably alter these functions. In the European Alps, the replacement of traditionally managed hay meadows by intensively managed permanent pastures or high-value horticultural production has been shown to reduce the diversity of plant communities and alter soil water regulation properties (Schirpke et al., 2017). </w:t>
      </w:r>
      <w:r w:rsidR="00A122BB" w:rsidRPr="00A122BB">
        <w:rPr>
          <w:rFonts w:ascii="Times New Roman" w:eastAsia="Times New Roman" w:hAnsi="Times New Roman" w:cs="Times New Roman"/>
          <w:kern w:val="0"/>
          <w:sz w:val="24"/>
          <w:szCs w:val="24"/>
          <w:lang w:eastAsia="en-IN"/>
          <w14:ligatures w14:val="none"/>
        </w:rPr>
        <w:t>Recent modelling in the Austrian alpine Eisenwurzen region further demonstrates that agroforestry can raise carbon sequestration but may reduce biomass harvest, underscoring that sustainable mountain land use requires explicit assessment of trade-offs among provisioning, regulating, and cultural ecosystem services (Bertsch-Hoermann et al., 2021).</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Schirpke et al. (2017) projected future land-use and climate trajectories for Alpine grassland ecosystems and found that intensification consistently reduced the provision of regulating ecosystem services—water purification, erosion control, carbon sequestration—even under scenarios where productivity gains were realised. These ecosystem service trade-offs are typically not captured in market prices or reflected in policy frameworks, creating a systematic undervaluation of the ecological functions embedded in traditional mountain farming landscapes (Verburg et al., 2015).</w:t>
      </w:r>
    </w:p>
    <w:p w14:paraId="5B577741"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5.3 Climate Change Vulnerability and Sustainability Challenges</w:t>
      </w:r>
    </w:p>
    <w:p w14:paraId="4586CC63" w14:textId="32A5372E"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intersection of commercialisation and climate change vulnerability creates particularly acute sustainability challenges for mountain farming systems. Mountain areas are among the environments most sensitive to climate change: glacial retreat, alterations in precipitation patterns and timing, increased frequency of extreme weather events, and upward migration of thermal zones are all reshaping the </w:t>
      </w:r>
      <w:proofErr w:type="spellStart"/>
      <w:r w:rsidRPr="00326748">
        <w:rPr>
          <w:rFonts w:ascii="Times New Roman" w:eastAsia="Times New Roman" w:hAnsi="Times New Roman" w:cs="Times New Roman"/>
          <w:kern w:val="0"/>
          <w:sz w:val="24"/>
          <w:szCs w:val="24"/>
          <w:lang w:eastAsia="en-IN"/>
          <w14:ligatures w14:val="none"/>
        </w:rPr>
        <w:t>agro</w:t>
      </w:r>
      <w:proofErr w:type="spellEnd"/>
      <w:r w:rsidRPr="00326748">
        <w:rPr>
          <w:rFonts w:ascii="Times New Roman" w:eastAsia="Times New Roman" w:hAnsi="Times New Roman" w:cs="Times New Roman"/>
          <w:kern w:val="0"/>
          <w:sz w:val="24"/>
          <w:szCs w:val="24"/>
          <w:lang w:eastAsia="en-IN"/>
          <w14:ligatures w14:val="none"/>
        </w:rPr>
        <w:t xml:space="preserve">-ecological conditions within which mountain farmers operate (IPCC, 2019; IPCC, 2022). </w:t>
      </w:r>
      <w:r w:rsidR="00A122BB" w:rsidRPr="00A122BB">
        <w:rPr>
          <w:rFonts w:ascii="Times New Roman" w:eastAsia="Times New Roman" w:hAnsi="Times New Roman" w:cs="Times New Roman"/>
          <w:kern w:val="0"/>
          <w:sz w:val="24"/>
          <w:szCs w:val="24"/>
          <w:lang w:eastAsia="en-IN"/>
          <w14:ligatures w14:val="none"/>
        </w:rPr>
        <w:t>A recent Himalayan synthesis likewise warns that rapid warming in the Hindu Kush-Himalayan region threatens biodiversity, ecosystem functioning, and ecosystem services, and it proposes resilience-oriented monitoring and management as a practical response (Kattel, 2022).</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The IPCC (2022) Sixth Assessment Report confirmed with high confidence that climate risks for mountain ecosystems are severe, with cascading impacts on water availability, biodiversity, and agricultural productivity that will affect both mountain and lowland populations.</w:t>
      </w:r>
    </w:p>
    <w:p w14:paraId="5F5BBF4A"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Specialised commercial farming systems are generally less resilient to climate variability than diversified traditional systems, primarily because they rely on fewer crop species, are more dependent on external inputs whose supply chains can be disrupted by climatic or economic shocks, and lack the built-in redundancy of diverse cropping systems that allows partial failure to be absorbed without systemic collapse (Lin, 2011; Altieri et al., 2015). The promotion of improved varieties adapted to current temperature and precipitation regimes, while useful in stable climatic conditions, represents a potential vulnerability if rapid climate change renders those conditions obsolete within the productive lifespan of the variety adoption. Willett et al. (2019), in the landmark EAT–Lancet Commission report, argued that food systems globally need to move towards diversification and reduced environmental impact simultaneously—a trajectory directly at odds with the specialisation pathway commonly promoted under commercialisation frameworks in mountain areas. The IPCC Special Report on Climate Change and Land (2019) similarly concluded that the maintenance of diverse agricultural systems is one of the most robust adaptation strategies available to smallholder farmers facing uncertain climate futures.</w:t>
      </w:r>
    </w:p>
    <w:p w14:paraId="5DC6651B"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Table 3 provides a structured overview of the key sustainability dimensions affected by commercialisation in mountain areas, with an assessment of the strength of the evidence base and the regions for which the most direct evidence is available.</w:t>
      </w:r>
    </w:p>
    <w:p w14:paraId="1F2193E1" w14:textId="16B30B39" w:rsidR="00326748" w:rsidRDefault="00326748" w:rsidP="00326748">
      <w:pPr>
        <w:spacing w:after="0" w:line="240" w:lineRule="auto"/>
        <w:rPr>
          <w:rFonts w:ascii="Times New Roman" w:eastAsia="Times New Roman" w:hAnsi="Times New Roman" w:cs="Times New Roman"/>
          <w:kern w:val="0"/>
          <w:sz w:val="24"/>
          <w:szCs w:val="24"/>
          <w:lang w:eastAsia="en-IN"/>
          <w14:ligatures w14:val="none"/>
        </w:rPr>
      </w:pPr>
    </w:p>
    <w:p w14:paraId="4E6494BF"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5DF38DBD"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5C516CC6"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77F2DDFE"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6C15CF65"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098B6230" w14:textId="77777777" w:rsidR="00A122BB" w:rsidRPr="00326748"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6632D4C2"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3: Sustainability Dimensions of Agricultural Commercialisation in Mountain Areas</w:t>
      </w:r>
    </w:p>
    <w:tbl>
      <w:tblPr>
        <w:tblStyle w:val="TableGrid"/>
        <w:tblW w:w="0" w:type="auto"/>
        <w:tblLook w:val="04A0" w:firstRow="1" w:lastRow="0" w:firstColumn="1" w:lastColumn="0" w:noHBand="0" w:noVBand="1"/>
      </w:tblPr>
      <w:tblGrid>
        <w:gridCol w:w="1856"/>
        <w:gridCol w:w="4001"/>
        <w:gridCol w:w="1309"/>
        <w:gridCol w:w="2076"/>
      </w:tblGrid>
      <w:tr w:rsidR="00A122BB" w14:paraId="522627DF" w14:textId="77777777" w:rsidTr="00C83150">
        <w:tc>
          <w:tcPr>
            <w:tcW w:w="1856" w:type="dxa"/>
            <w:vAlign w:val="center"/>
          </w:tcPr>
          <w:p w14:paraId="7ED925F6"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Sustainability Dimension</w:t>
            </w:r>
          </w:p>
        </w:tc>
        <w:tc>
          <w:tcPr>
            <w:tcW w:w="4064" w:type="dxa"/>
            <w:vAlign w:val="center"/>
          </w:tcPr>
          <w:p w14:paraId="6B923A7D"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Nature of Impact</w:t>
            </w:r>
          </w:p>
        </w:tc>
        <w:tc>
          <w:tcPr>
            <w:tcW w:w="597" w:type="dxa"/>
            <w:vAlign w:val="center"/>
          </w:tcPr>
          <w:p w14:paraId="63DAAB71"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Strength of Evidence</w:t>
            </w:r>
          </w:p>
        </w:tc>
        <w:tc>
          <w:tcPr>
            <w:tcW w:w="2096" w:type="dxa"/>
            <w:vAlign w:val="center"/>
          </w:tcPr>
          <w:p w14:paraId="56F00CC1"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Primary Regional Evidence</w:t>
            </w:r>
          </w:p>
        </w:tc>
      </w:tr>
      <w:tr w:rsidR="00A122BB" w14:paraId="4AFF3981" w14:textId="77777777" w:rsidTr="00C83150">
        <w:tc>
          <w:tcPr>
            <w:tcW w:w="1856" w:type="dxa"/>
            <w:vAlign w:val="center"/>
          </w:tcPr>
          <w:p w14:paraId="1CD47519" w14:textId="77777777" w:rsidR="00A122BB" w:rsidRDefault="00A122BB" w:rsidP="00C83150">
            <w:r w:rsidRPr="00326748">
              <w:rPr>
                <w:rFonts w:ascii="Times New Roman" w:eastAsia="Times New Roman" w:hAnsi="Times New Roman" w:cs="Times New Roman"/>
                <w:kern w:val="0"/>
                <w:sz w:val="24"/>
                <w:szCs w:val="24"/>
                <w:lang w:eastAsia="en-IN"/>
                <w14:ligatures w14:val="none"/>
              </w:rPr>
              <w:t>Agrobiodiversity</w:t>
            </w:r>
          </w:p>
        </w:tc>
        <w:tc>
          <w:tcPr>
            <w:tcW w:w="4064" w:type="dxa"/>
            <w:vAlign w:val="center"/>
          </w:tcPr>
          <w:p w14:paraId="1D9D06D1" w14:textId="77777777" w:rsidR="00A122BB" w:rsidRDefault="00A122BB" w:rsidP="00C83150">
            <w:r w:rsidRPr="00326748">
              <w:rPr>
                <w:rFonts w:ascii="Times New Roman" w:eastAsia="Times New Roman" w:hAnsi="Times New Roman" w:cs="Times New Roman"/>
                <w:kern w:val="0"/>
                <w:sz w:val="24"/>
                <w:szCs w:val="24"/>
                <w:lang w:eastAsia="en-IN"/>
                <w14:ligatures w14:val="none"/>
              </w:rPr>
              <w:t>Reduction in traditional variety cultivation; genetic erosion; informal seed system decline</w:t>
            </w:r>
          </w:p>
        </w:tc>
        <w:tc>
          <w:tcPr>
            <w:tcW w:w="597" w:type="dxa"/>
            <w:vAlign w:val="center"/>
          </w:tcPr>
          <w:p w14:paraId="2C1B4563" w14:textId="77777777" w:rsidR="00A122BB" w:rsidRDefault="00A122BB" w:rsidP="00C83150">
            <w:r w:rsidRPr="00326748">
              <w:rPr>
                <w:rFonts w:ascii="Times New Roman" w:eastAsia="Times New Roman" w:hAnsi="Times New Roman" w:cs="Times New Roman"/>
                <w:kern w:val="0"/>
                <w:sz w:val="24"/>
                <w:szCs w:val="24"/>
                <w:lang w:eastAsia="en-IN"/>
                <w14:ligatures w14:val="none"/>
              </w:rPr>
              <w:t>Strong</w:t>
            </w:r>
          </w:p>
        </w:tc>
        <w:tc>
          <w:tcPr>
            <w:tcW w:w="2096" w:type="dxa"/>
            <w:vAlign w:val="center"/>
          </w:tcPr>
          <w:p w14:paraId="2D41A90E" w14:textId="77777777" w:rsidR="00A122BB" w:rsidRDefault="00A122BB" w:rsidP="00C83150">
            <w:r w:rsidRPr="00326748">
              <w:rPr>
                <w:rFonts w:ascii="Times New Roman" w:eastAsia="Times New Roman" w:hAnsi="Times New Roman" w:cs="Times New Roman"/>
                <w:kern w:val="0"/>
                <w:sz w:val="24"/>
                <w:szCs w:val="24"/>
                <w:lang w:eastAsia="en-IN"/>
                <w14:ligatures w14:val="none"/>
              </w:rPr>
              <w:t>HKH, Andes</w:t>
            </w:r>
          </w:p>
        </w:tc>
      </w:tr>
      <w:tr w:rsidR="00A122BB" w14:paraId="6E3A4B66" w14:textId="77777777" w:rsidTr="00C83150">
        <w:tc>
          <w:tcPr>
            <w:tcW w:w="1856" w:type="dxa"/>
            <w:vAlign w:val="center"/>
          </w:tcPr>
          <w:p w14:paraId="3C4DE547" w14:textId="77777777" w:rsidR="00A122BB" w:rsidRDefault="00A122BB" w:rsidP="00C83150">
            <w:r w:rsidRPr="00326748">
              <w:rPr>
                <w:rFonts w:ascii="Times New Roman" w:eastAsia="Times New Roman" w:hAnsi="Times New Roman" w:cs="Times New Roman"/>
                <w:kern w:val="0"/>
                <w:sz w:val="24"/>
                <w:szCs w:val="24"/>
                <w:lang w:eastAsia="en-IN"/>
                <w14:ligatures w14:val="none"/>
              </w:rPr>
              <w:t>Soil health</w:t>
            </w:r>
          </w:p>
        </w:tc>
        <w:tc>
          <w:tcPr>
            <w:tcW w:w="4064" w:type="dxa"/>
            <w:vAlign w:val="center"/>
          </w:tcPr>
          <w:p w14:paraId="13619F5A" w14:textId="77777777" w:rsidR="00A122BB" w:rsidRDefault="00A122BB" w:rsidP="00C83150">
            <w:r w:rsidRPr="00326748">
              <w:rPr>
                <w:rFonts w:ascii="Times New Roman" w:eastAsia="Times New Roman" w:hAnsi="Times New Roman" w:cs="Times New Roman"/>
                <w:kern w:val="0"/>
                <w:sz w:val="24"/>
                <w:szCs w:val="24"/>
                <w:lang w:eastAsia="en-IN"/>
                <w14:ligatures w14:val="none"/>
              </w:rPr>
              <w:t>Erosion rate increase; organic matter decline; fertility loss under monoculture intensification</w:t>
            </w:r>
          </w:p>
        </w:tc>
        <w:tc>
          <w:tcPr>
            <w:tcW w:w="597" w:type="dxa"/>
            <w:vAlign w:val="center"/>
          </w:tcPr>
          <w:p w14:paraId="232AE8E8" w14:textId="77777777" w:rsidR="00A122BB" w:rsidRDefault="00A122BB" w:rsidP="00C83150">
            <w:r w:rsidRPr="00326748">
              <w:rPr>
                <w:rFonts w:ascii="Times New Roman" w:eastAsia="Times New Roman" w:hAnsi="Times New Roman" w:cs="Times New Roman"/>
                <w:kern w:val="0"/>
                <w:sz w:val="24"/>
                <w:szCs w:val="24"/>
                <w:lang w:eastAsia="en-IN"/>
                <w14:ligatures w14:val="none"/>
              </w:rPr>
              <w:t>Moderate–Strong</w:t>
            </w:r>
          </w:p>
        </w:tc>
        <w:tc>
          <w:tcPr>
            <w:tcW w:w="2096" w:type="dxa"/>
            <w:vAlign w:val="center"/>
          </w:tcPr>
          <w:p w14:paraId="4035E260" w14:textId="77777777" w:rsidR="00A122BB" w:rsidRDefault="00A122BB" w:rsidP="00C83150">
            <w:r w:rsidRPr="00326748">
              <w:rPr>
                <w:rFonts w:ascii="Times New Roman" w:eastAsia="Times New Roman" w:hAnsi="Times New Roman" w:cs="Times New Roman"/>
                <w:kern w:val="0"/>
                <w:sz w:val="24"/>
                <w:szCs w:val="24"/>
                <w:lang w:eastAsia="en-IN"/>
                <w14:ligatures w14:val="none"/>
              </w:rPr>
              <w:t>Himalayas, Montane Africa</w:t>
            </w:r>
          </w:p>
        </w:tc>
      </w:tr>
      <w:tr w:rsidR="00A122BB" w14:paraId="776979C0" w14:textId="77777777" w:rsidTr="00C83150">
        <w:tc>
          <w:tcPr>
            <w:tcW w:w="1856" w:type="dxa"/>
            <w:vAlign w:val="center"/>
          </w:tcPr>
          <w:p w14:paraId="4D6B6FAE" w14:textId="77777777" w:rsidR="00A122BB" w:rsidRDefault="00A122BB" w:rsidP="00C83150">
            <w:r w:rsidRPr="00326748">
              <w:rPr>
                <w:rFonts w:ascii="Times New Roman" w:eastAsia="Times New Roman" w:hAnsi="Times New Roman" w:cs="Times New Roman"/>
                <w:kern w:val="0"/>
                <w:sz w:val="24"/>
                <w:szCs w:val="24"/>
                <w:lang w:eastAsia="en-IN"/>
                <w14:ligatures w14:val="none"/>
              </w:rPr>
              <w:t>Water regulation</w:t>
            </w:r>
          </w:p>
        </w:tc>
        <w:tc>
          <w:tcPr>
            <w:tcW w:w="4064" w:type="dxa"/>
            <w:vAlign w:val="center"/>
          </w:tcPr>
          <w:p w14:paraId="2DA84825" w14:textId="77777777" w:rsidR="00A122BB" w:rsidRDefault="00A122BB" w:rsidP="00C83150">
            <w:r w:rsidRPr="00326748">
              <w:rPr>
                <w:rFonts w:ascii="Times New Roman" w:eastAsia="Times New Roman" w:hAnsi="Times New Roman" w:cs="Times New Roman"/>
                <w:kern w:val="0"/>
                <w:sz w:val="24"/>
                <w:szCs w:val="24"/>
                <w:lang w:eastAsia="en-IN"/>
                <w14:ligatures w14:val="none"/>
              </w:rPr>
              <w:t>Reduced infiltration capacity; altered stream flows; downstream hydrological impacts</w:t>
            </w:r>
          </w:p>
        </w:tc>
        <w:tc>
          <w:tcPr>
            <w:tcW w:w="597" w:type="dxa"/>
            <w:vAlign w:val="center"/>
          </w:tcPr>
          <w:p w14:paraId="2BE4766E" w14:textId="77777777" w:rsidR="00A122BB" w:rsidRDefault="00A122BB" w:rsidP="00C83150">
            <w:r w:rsidRPr="00326748">
              <w:rPr>
                <w:rFonts w:ascii="Times New Roman" w:eastAsia="Times New Roman" w:hAnsi="Times New Roman" w:cs="Times New Roman"/>
                <w:kern w:val="0"/>
                <w:sz w:val="24"/>
                <w:szCs w:val="24"/>
                <w:lang w:eastAsia="en-IN"/>
                <w14:ligatures w14:val="none"/>
              </w:rPr>
              <w:t>Moderate</w:t>
            </w:r>
          </w:p>
        </w:tc>
        <w:tc>
          <w:tcPr>
            <w:tcW w:w="2096" w:type="dxa"/>
            <w:vAlign w:val="center"/>
          </w:tcPr>
          <w:p w14:paraId="76A01C45" w14:textId="77777777" w:rsidR="00A122BB" w:rsidRDefault="00A122BB" w:rsidP="00C83150">
            <w:r w:rsidRPr="00326748">
              <w:rPr>
                <w:rFonts w:ascii="Times New Roman" w:eastAsia="Times New Roman" w:hAnsi="Times New Roman" w:cs="Times New Roman"/>
                <w:kern w:val="0"/>
                <w:sz w:val="24"/>
                <w:szCs w:val="24"/>
                <w:lang w:eastAsia="en-IN"/>
                <w14:ligatures w14:val="none"/>
              </w:rPr>
              <w:t>Alps, HKH</w:t>
            </w:r>
          </w:p>
        </w:tc>
      </w:tr>
      <w:tr w:rsidR="00A122BB" w14:paraId="3CE846F8" w14:textId="77777777" w:rsidTr="00C83150">
        <w:tc>
          <w:tcPr>
            <w:tcW w:w="1856" w:type="dxa"/>
            <w:vAlign w:val="center"/>
          </w:tcPr>
          <w:p w14:paraId="2470B02A" w14:textId="77777777" w:rsidR="00A122BB" w:rsidRDefault="00A122BB" w:rsidP="00C83150">
            <w:r w:rsidRPr="00326748">
              <w:rPr>
                <w:rFonts w:ascii="Times New Roman" w:eastAsia="Times New Roman" w:hAnsi="Times New Roman" w:cs="Times New Roman"/>
                <w:kern w:val="0"/>
                <w:sz w:val="24"/>
                <w:szCs w:val="24"/>
                <w:lang w:eastAsia="en-IN"/>
                <w14:ligatures w14:val="none"/>
              </w:rPr>
              <w:t>Ecosystem services</w:t>
            </w:r>
          </w:p>
        </w:tc>
        <w:tc>
          <w:tcPr>
            <w:tcW w:w="4064" w:type="dxa"/>
            <w:vAlign w:val="center"/>
          </w:tcPr>
          <w:p w14:paraId="12230703" w14:textId="77777777" w:rsidR="00A122BB" w:rsidRDefault="00A122BB" w:rsidP="00C83150">
            <w:r w:rsidRPr="00326748">
              <w:rPr>
                <w:rFonts w:ascii="Times New Roman" w:eastAsia="Times New Roman" w:hAnsi="Times New Roman" w:cs="Times New Roman"/>
                <w:kern w:val="0"/>
                <w:sz w:val="24"/>
                <w:szCs w:val="24"/>
                <w:lang w:eastAsia="en-IN"/>
                <w14:ligatures w14:val="none"/>
              </w:rPr>
              <w:t>Trade-offs between agricultural productivity and biodiversity, water regulation, and carbon storage</w:t>
            </w:r>
          </w:p>
        </w:tc>
        <w:tc>
          <w:tcPr>
            <w:tcW w:w="597" w:type="dxa"/>
            <w:vAlign w:val="center"/>
          </w:tcPr>
          <w:p w14:paraId="64D0CA11" w14:textId="77777777" w:rsidR="00A122BB" w:rsidRDefault="00A122BB" w:rsidP="00C83150">
            <w:r w:rsidRPr="00326748">
              <w:rPr>
                <w:rFonts w:ascii="Times New Roman" w:eastAsia="Times New Roman" w:hAnsi="Times New Roman" w:cs="Times New Roman"/>
                <w:kern w:val="0"/>
                <w:sz w:val="24"/>
                <w:szCs w:val="24"/>
                <w:lang w:eastAsia="en-IN"/>
                <w14:ligatures w14:val="none"/>
              </w:rPr>
              <w:t>Moderate</w:t>
            </w:r>
          </w:p>
        </w:tc>
        <w:tc>
          <w:tcPr>
            <w:tcW w:w="2096" w:type="dxa"/>
            <w:vAlign w:val="center"/>
          </w:tcPr>
          <w:p w14:paraId="38E4CF0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Alps, Andes, HKH</w:t>
            </w:r>
          </w:p>
        </w:tc>
      </w:tr>
      <w:tr w:rsidR="00A122BB" w14:paraId="68633F19" w14:textId="77777777" w:rsidTr="00C83150">
        <w:tc>
          <w:tcPr>
            <w:tcW w:w="1856" w:type="dxa"/>
            <w:vAlign w:val="center"/>
          </w:tcPr>
          <w:p w14:paraId="35F76DBD"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Climate resilience</w:t>
            </w:r>
          </w:p>
        </w:tc>
        <w:tc>
          <w:tcPr>
            <w:tcW w:w="4064" w:type="dxa"/>
            <w:vAlign w:val="center"/>
          </w:tcPr>
          <w:p w14:paraId="7039B6BC"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Increased vulnerability through specialisation, input dependency, and loss of diversity buffers</w:t>
            </w:r>
          </w:p>
        </w:tc>
        <w:tc>
          <w:tcPr>
            <w:tcW w:w="597" w:type="dxa"/>
            <w:vAlign w:val="center"/>
          </w:tcPr>
          <w:p w14:paraId="71244AA5"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Strong (theoretical and growing empirical)</w:t>
            </w:r>
          </w:p>
        </w:tc>
        <w:tc>
          <w:tcPr>
            <w:tcW w:w="2096" w:type="dxa"/>
            <w:vAlign w:val="center"/>
          </w:tcPr>
          <w:p w14:paraId="1850A1FE"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Global mountain regions</w:t>
            </w:r>
          </w:p>
        </w:tc>
      </w:tr>
      <w:tr w:rsidR="00A122BB" w14:paraId="6E8226D0" w14:textId="77777777" w:rsidTr="00C83150">
        <w:tc>
          <w:tcPr>
            <w:tcW w:w="1856" w:type="dxa"/>
            <w:vAlign w:val="center"/>
          </w:tcPr>
          <w:p w14:paraId="42789A44" w14:textId="77777777" w:rsidR="00A122BB" w:rsidRPr="00326748" w:rsidRDefault="00A122BB" w:rsidP="00BF64D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Carbon sequestration</w:t>
            </w:r>
          </w:p>
        </w:tc>
        <w:tc>
          <w:tcPr>
            <w:tcW w:w="4064" w:type="dxa"/>
            <w:vAlign w:val="center"/>
          </w:tcPr>
          <w:p w14:paraId="27C30A08" w14:textId="77777777" w:rsidR="00A122BB" w:rsidRPr="00326748" w:rsidRDefault="00A122BB" w:rsidP="00BF64D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Potential decline from land use change, abandonment, and intensification under market pressure</w:t>
            </w:r>
          </w:p>
        </w:tc>
        <w:tc>
          <w:tcPr>
            <w:tcW w:w="597" w:type="dxa"/>
            <w:vAlign w:val="center"/>
          </w:tcPr>
          <w:p w14:paraId="00649AE5" w14:textId="77777777" w:rsidR="00A122BB" w:rsidRPr="00326748" w:rsidRDefault="00A122BB" w:rsidP="00BF64D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Moderate</w:t>
            </w:r>
          </w:p>
        </w:tc>
        <w:tc>
          <w:tcPr>
            <w:tcW w:w="2096" w:type="dxa"/>
            <w:vAlign w:val="center"/>
          </w:tcPr>
          <w:p w14:paraId="2E96E955" w14:textId="77777777" w:rsidR="00A122BB" w:rsidRPr="00326748" w:rsidRDefault="00A122BB" w:rsidP="00BF64D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Alps, Andes</w:t>
            </w:r>
          </w:p>
        </w:tc>
      </w:tr>
    </w:tbl>
    <w:p w14:paraId="12889D9F" w14:textId="6A689631" w:rsidR="00326748" w:rsidRPr="00326748" w:rsidRDefault="00326748" w:rsidP="00BF64D0">
      <w:pPr>
        <w:spacing w:after="0"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t xml:space="preserve">Sources: </w:t>
      </w:r>
      <w:r w:rsidR="004D298C" w:rsidRPr="004D298C">
        <w:rPr>
          <w:rFonts w:ascii="Times New Roman" w:eastAsia="Times New Roman" w:hAnsi="Times New Roman" w:cs="Times New Roman"/>
          <w:i/>
          <w:iCs/>
          <w:kern w:val="0"/>
          <w:sz w:val="24"/>
          <w:szCs w:val="24"/>
          <w:lang w:eastAsia="en-IN"/>
          <w14:ligatures w14:val="none"/>
        </w:rPr>
        <w:t>Adugna (2026)</w:t>
      </w:r>
      <w:r w:rsidR="004D298C">
        <w:rPr>
          <w:rFonts w:ascii="Times New Roman" w:eastAsia="Times New Roman" w:hAnsi="Times New Roman" w:cs="Times New Roman"/>
          <w:i/>
          <w:iCs/>
          <w:kern w:val="0"/>
          <w:sz w:val="24"/>
          <w:szCs w:val="24"/>
          <w:lang w:eastAsia="en-IN"/>
          <w14:ligatures w14:val="none"/>
        </w:rPr>
        <w:t xml:space="preserve">; </w:t>
      </w:r>
      <w:r w:rsidRPr="00326748">
        <w:rPr>
          <w:rFonts w:ascii="Times New Roman" w:eastAsia="Times New Roman" w:hAnsi="Times New Roman" w:cs="Times New Roman"/>
          <w:i/>
          <w:iCs/>
          <w:kern w:val="0"/>
          <w:sz w:val="24"/>
          <w:szCs w:val="24"/>
          <w:lang w:eastAsia="en-IN"/>
          <w14:ligatures w14:val="none"/>
        </w:rPr>
        <w:t xml:space="preserve">Zimmerer (2010); Garibaldi et al. (2017); Rasul &amp; Hussain (2015); Thapa &amp; Paudel (2002); Immerzeel et al. (2020); IPCC (2019); Schirpke et al. (2017); Lin (2011); </w:t>
      </w:r>
      <w:proofErr w:type="spellStart"/>
      <w:r w:rsidRPr="00326748">
        <w:rPr>
          <w:rFonts w:ascii="Times New Roman" w:eastAsia="Times New Roman" w:hAnsi="Times New Roman" w:cs="Times New Roman"/>
          <w:i/>
          <w:iCs/>
          <w:kern w:val="0"/>
          <w:sz w:val="24"/>
          <w:szCs w:val="24"/>
          <w:lang w:eastAsia="en-IN"/>
          <w14:ligatures w14:val="none"/>
        </w:rPr>
        <w:t>Rockström</w:t>
      </w:r>
      <w:proofErr w:type="spellEnd"/>
      <w:r w:rsidRPr="00326748">
        <w:rPr>
          <w:rFonts w:ascii="Times New Roman" w:eastAsia="Times New Roman" w:hAnsi="Times New Roman" w:cs="Times New Roman"/>
          <w:i/>
          <w:iCs/>
          <w:kern w:val="0"/>
          <w:sz w:val="24"/>
          <w:szCs w:val="24"/>
          <w:lang w:eastAsia="en-IN"/>
          <w14:ligatures w14:val="none"/>
        </w:rPr>
        <w:t xml:space="preserve"> et al. (2009)</w:t>
      </w:r>
      <w:r w:rsidR="006F268D">
        <w:rPr>
          <w:rFonts w:ascii="Times New Roman" w:eastAsia="Times New Roman" w:hAnsi="Times New Roman" w:cs="Times New Roman"/>
          <w:i/>
          <w:iCs/>
          <w:kern w:val="0"/>
          <w:sz w:val="24"/>
          <w:szCs w:val="24"/>
          <w:lang w:eastAsia="en-IN"/>
          <w14:ligatures w14:val="none"/>
        </w:rPr>
        <w:t xml:space="preserve">; </w:t>
      </w:r>
      <w:r w:rsidR="006F268D" w:rsidRPr="006F268D">
        <w:rPr>
          <w:rFonts w:ascii="Times New Roman" w:eastAsia="Times New Roman" w:hAnsi="Times New Roman" w:cs="Times New Roman"/>
          <w:i/>
          <w:iCs/>
          <w:kern w:val="0"/>
          <w:sz w:val="24"/>
          <w:szCs w:val="24"/>
          <w:lang w:eastAsia="en-IN"/>
          <w14:ligatures w14:val="none"/>
        </w:rPr>
        <w:t>Bertsch-Hoermann et al. (2021) and Kattel (2022)</w:t>
      </w:r>
    </w:p>
    <w:p w14:paraId="6F3DE994"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evidence reviewed in this section indicates that the sustainability implications of commercialisation are predominantly negative in the short-to-medium term when commercialisation proceeds without adequate attention to ecological safeguards. The review also identifies examples where market integration has been coupled with governance innovations—payments for ecosystem services, certification schemes for sustainable production, and incentives for traditional variety maintenance—that have partially mitigated biodiversity and ecosystem service losses. These remain exceptional cases, however, and the </w:t>
      </w:r>
      <w:r w:rsidRPr="00326748">
        <w:rPr>
          <w:rFonts w:ascii="Times New Roman" w:eastAsia="Times New Roman" w:hAnsi="Times New Roman" w:cs="Times New Roman"/>
          <w:kern w:val="0"/>
          <w:sz w:val="24"/>
          <w:szCs w:val="24"/>
          <w:lang w:eastAsia="en-IN"/>
          <w14:ligatures w14:val="none"/>
        </w:rPr>
        <w:lastRenderedPageBreak/>
        <w:t>dominant trajectory of mountain agricultural commercialisation continues to trade long-term ecological sustainability for short-term market gains.</w:t>
      </w:r>
    </w:p>
    <w:p w14:paraId="13E09EEA"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6. Livelihood Implications</w:t>
      </w:r>
    </w:p>
    <w:p w14:paraId="2B3D35CD"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6.1 Income Diversification and Rural Transformation</w:t>
      </w:r>
    </w:p>
    <w:p w14:paraId="6645B530" w14:textId="7B8450D5"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relationship between agricultural commercialisation and rural livelihoods in mountain areas is genuinely ambivalent, and this ambivalence is reflected throughout the empirical literature. For many households, engagement with markets has provided income sufficient to invest in education, health, and productive assets that were previously unattainable under subsistence systems. Barrett (2008) documented that market participation is consistently associated with higher household incomes among smallholder farmers, a finding broadly consistent with evidence from mountain contexts. In the HKH region, the commercial cultivation of high-value crops—apples in Himachal Pradesh, cardamom in Sikkim and Nepal, saffron in Kashmir—has generated significant income gains for participating households, enabling some families to break out of subsistence poverty traps and invest in improved housing, education, and non-farm enterprise (Rasul &amp; Hussain, 2015; Wester et al., 2019).</w:t>
      </w:r>
      <w:r w:rsidR="00F83CBF">
        <w:rPr>
          <w:rFonts w:ascii="Times New Roman" w:eastAsia="Times New Roman" w:hAnsi="Times New Roman" w:cs="Times New Roman"/>
          <w:kern w:val="0"/>
          <w:sz w:val="24"/>
          <w:szCs w:val="24"/>
          <w:lang w:eastAsia="en-IN"/>
          <w14:ligatures w14:val="none"/>
        </w:rPr>
        <w:t xml:space="preserve"> </w:t>
      </w:r>
      <w:r w:rsidR="00F83CBF" w:rsidRPr="00F83CBF">
        <w:rPr>
          <w:rFonts w:ascii="Times New Roman" w:eastAsia="Times New Roman" w:hAnsi="Times New Roman" w:cs="Times New Roman"/>
          <w:kern w:val="0"/>
          <w:sz w:val="24"/>
          <w:szCs w:val="24"/>
          <w:lang w:eastAsia="en-IN"/>
          <w14:ligatures w14:val="none"/>
        </w:rPr>
        <w:t>Recent evidence from forest-adjacent villages in the Western Himalayas similarly indicates that agriculture remains central to household livelihood portfolios, but families combining farming with salaried employment, livestock ownership, and agroforestry report higher incomes, making diversification an important risk-buffering strategy in fragile rain-fed Himalayan systems (Rana et al., 2026).</w:t>
      </w:r>
    </w:p>
    <w:p w14:paraId="1B44E9BA"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However, the distribution of these gains is highly uneven and often reproduces existing social inequalities. Households with better access to markets, better endowment of productive assets, and better connections to extension services and credit are consistently better positioned to benefit from commercialisation (Fischer &amp; Qaim, 2012). In many mountain contexts, improvements in road infrastructure that enable market access also facilitate rural-urban migration, drawing the most economically active and educated members of communities towards urban labour markets. This dynamic creates a paradox in which commercialisation simultaneously creates opportunities and accelerates the demographic decline of farming communities (Tiwari &amp; Joshi, 2015; Wester et al., 2019). The ageing of mountain farm populations across the Himalayas and parts of the Andes, combined with the labour demands of commercialised agriculture, is creating new vulnerabilities for the remaining farming population, including increased reliance on seasonal labour, reduced capacity to maintain labour-intensive traditional practices such as terrace repair, and a gradual erosion of the intergenerational knowledge transmission processes that sustain traditional farming cultures.</w:t>
      </w:r>
    </w:p>
    <w:p w14:paraId="3DC73EA4"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Tiwari and Joshi (2015) analysed the dynamics of climate change and rural out-migration in the Himalayan context and found that these two drivers are mutually reinforcing: climate-induced crop failures and productivity decline push households towards off-farm income, while the absence of young adults from farming communities reduces the adaptive capacity of the agricultural system to respond to climate stress. This feedback dynamic is likely to intensify as both commercialisation and climate pressures deepen.</w:t>
      </w:r>
    </w:p>
    <w:p w14:paraId="1FBAEAA7"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6.2 Food Security and Nutritional Outcomes</w:t>
      </w:r>
    </w:p>
    <w:p w14:paraId="60C8D0AC"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 xml:space="preserve">The relationship between commercialisation and food security is one of the most debated questions in the rural development literature, and the mountain context adds additional complexity. In principle, commercialisation can improve food security by increasing household incomes that can be used to purchase food; it can also undermine food security when market integration leads to the displacement of diverse food crops by export commodities and when market price volatility disrupts access to purchased food (Carletto et al., 2017; </w:t>
      </w:r>
      <w:proofErr w:type="spellStart"/>
      <w:r w:rsidRPr="00326748">
        <w:rPr>
          <w:rFonts w:ascii="Times New Roman" w:eastAsia="Times New Roman" w:hAnsi="Times New Roman" w:cs="Times New Roman"/>
          <w:kern w:val="0"/>
          <w:sz w:val="24"/>
          <w:szCs w:val="24"/>
          <w:lang w:eastAsia="en-IN"/>
          <w14:ligatures w14:val="none"/>
        </w:rPr>
        <w:t>Sibhatu</w:t>
      </w:r>
      <w:proofErr w:type="spellEnd"/>
      <w:r w:rsidRPr="00326748">
        <w:rPr>
          <w:rFonts w:ascii="Times New Roman" w:eastAsia="Times New Roman" w:hAnsi="Times New Roman" w:cs="Times New Roman"/>
          <w:kern w:val="0"/>
          <w:sz w:val="24"/>
          <w:szCs w:val="24"/>
          <w:lang w:eastAsia="en-IN"/>
          <w14:ligatures w14:val="none"/>
        </w:rPr>
        <w:t xml:space="preserve"> et al., 2015). The empirical evidence suggests that both outcomes are possible, and that the net effect depends critically on the degree to which income gains from commercialisation compensate for the diversity losses in the farm system, and on the reliability of local food markets.</w:t>
      </w:r>
    </w:p>
    <w:p w14:paraId="12FA45AE"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roofErr w:type="spellStart"/>
      <w:r w:rsidRPr="00326748">
        <w:rPr>
          <w:rFonts w:ascii="Times New Roman" w:eastAsia="Times New Roman" w:hAnsi="Times New Roman" w:cs="Times New Roman"/>
          <w:kern w:val="0"/>
          <w:sz w:val="24"/>
          <w:szCs w:val="24"/>
          <w:lang w:eastAsia="en-IN"/>
          <w14:ligatures w14:val="none"/>
        </w:rPr>
        <w:t>Sibhatu</w:t>
      </w:r>
      <w:proofErr w:type="spellEnd"/>
      <w:r w:rsidRPr="00326748">
        <w:rPr>
          <w:rFonts w:ascii="Times New Roman" w:eastAsia="Times New Roman" w:hAnsi="Times New Roman" w:cs="Times New Roman"/>
          <w:kern w:val="0"/>
          <w:sz w:val="24"/>
          <w:szCs w:val="24"/>
          <w:lang w:eastAsia="en-IN"/>
          <w14:ligatures w14:val="none"/>
        </w:rPr>
        <w:t xml:space="preserve"> et al. (2015), in a comprehensive analysis of smallholder household data from Ethiopia, Indonesia, and Bolivia—three countries with significant mountain farming populations—found that farm production diversity is positively associated with dietary diversity, and that this association is strongest among households with lower levels of market integration. This finding suggests that the substitution of diverse subsistence production for specialised commercial production carries a meaningful nutritional risk, particularly for households whose incomes from commercialisation remain too low or too volatile to reliably purchase diverse foods from markets. In mountain areas where market access is seasonal, roads are disrupted by extreme weather, and agricultural incomes are inherently variable, the risk that commercialisation leads to nutritional decline is particularly acute (Willett et al., 2019; FAO et al., 2023). The FAO et al. (2023) State of Food Security and Nutrition report estimated that food insecurity remains severely elevated in many mountain-dependent economies, and that the transition from diverse subsistence production to commodity dependence is a contributing factor in the persistence of nutritional deficiencies among rural populations in Asia and Africa.</w:t>
      </w:r>
    </w:p>
    <w:p w14:paraId="264FECF8"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6.3 Gender Dimensions and Social Equity</w:t>
      </w:r>
    </w:p>
    <w:p w14:paraId="6342A7E1" w14:textId="4B941541"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Gender dynamics add a critical dimension of complexity to the livelihood implications of mountain agriculture commercialisation. Women are the primary managers of food crop production and seed systems in many mountain farming communities; they hold a disproportionate share of the traditional ecological knowledge associated with crop diversity and are primarily responsible for household food security management (Doss et al., 2018; FAO, 2011). When commercialisation shifts agricultural attention and investment towards market-oriented crops—which are typically managed primarily by men—women's roles in agriculture can be simultaneously intensified in terms of labour demands and marginalised in terms of decision-making authority and control over income.</w:t>
      </w:r>
      <w:r w:rsidR="00A122BB">
        <w:rPr>
          <w:rFonts w:ascii="Times New Roman" w:eastAsia="Times New Roman" w:hAnsi="Times New Roman" w:cs="Times New Roman"/>
          <w:kern w:val="0"/>
          <w:sz w:val="24"/>
          <w:szCs w:val="24"/>
          <w:lang w:eastAsia="en-IN"/>
          <w14:ligatures w14:val="none"/>
        </w:rPr>
        <w:t xml:space="preserve"> </w:t>
      </w:r>
      <w:r w:rsidR="00A122BB" w:rsidRPr="00A122BB">
        <w:rPr>
          <w:rFonts w:ascii="Times New Roman" w:eastAsia="Times New Roman" w:hAnsi="Times New Roman" w:cs="Times New Roman"/>
          <w:kern w:val="0"/>
          <w:sz w:val="24"/>
          <w:szCs w:val="24"/>
          <w:lang w:eastAsia="en-IN"/>
          <w14:ligatures w14:val="none"/>
        </w:rPr>
        <w:t>Recent comparative evidence from high-value agriculture in Nepal, Laos, and Rwanda shows that income and mobility gains from cash crops can remain precarious, although collective organisation may create durable capability gains for women in specific contexts (Matthys et al., 2024).</w:t>
      </w:r>
    </w:p>
    <w:p w14:paraId="0F2F4F03"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Evidence from sub-Saharan African highland contexts indicates that the cash income generated by commercial crops is more likely to be controlled by male household heads, while women bear the costs of increased labour demands and the nutritional consequences of reduced food crop diversity (Doss et al., 2018; FAO, 2011). Doss et al. (2018) identified four persistent myths about women in agriculture—including the assumption that gender equality is automatically improved by market participation—and argued that meaningful improvement in women's agricultural outcomes requires explicit institutional intervention rather than reliance on trickle-down market benefits. In the Himalayan context, the feminisation of </w:t>
      </w:r>
      <w:r w:rsidRPr="00326748">
        <w:rPr>
          <w:rFonts w:ascii="Times New Roman" w:eastAsia="Times New Roman" w:hAnsi="Times New Roman" w:cs="Times New Roman"/>
          <w:kern w:val="0"/>
          <w:sz w:val="24"/>
          <w:szCs w:val="24"/>
          <w:lang w:eastAsia="en-IN"/>
          <w14:ligatures w14:val="none"/>
        </w:rPr>
        <w:lastRenderedPageBreak/>
        <w:t>agriculture associated with male out-migration creates a different but equally precarious dynamic: women become de facto farm managers under conditions of labour scarcity, reduced social support, and resource constraint, without necessarily gaining formal decision-making authority over land, credit, or income (Wester et al., 2019; Tiwari &amp; Joshi, 2015). Across both contexts, the equity implications of commercialisation cannot be adequately assessed without explicit attention to gender-differentiated access to the resources, knowledge, and institutions that shape agricultural outcomes.</w:t>
      </w:r>
    </w:p>
    <w:p w14:paraId="2FBA222E"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7. Agroecological Resilience: Erosion and Pathways for Renewal</w:t>
      </w:r>
    </w:p>
    <w:p w14:paraId="12BE1C60"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7.1 Resilience Frameworks in Mountain Agricultural Contexts</w:t>
      </w:r>
    </w:p>
    <w:p w14:paraId="2253444D"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concept of resilience provides a particularly productive analytical lens for examining mountain agricultural systems under commercialisation pressure. In the social-ecological systems tradition developed by Holling and subsequent scholars, resilience refers to the capacity of a system to absorb disturbance and reorganise while undergoing change so as to retain essentially the same function, structure, and identity (Walker et al., 2004; Folke, 2006). For agricultural systems, this framework highlights the importance of diversity, modularity, and adaptive capacity as structural properties that determine the system's ability to cope with novel stresses—whether climatic, economic, or biological (Biggs et al., 2012; Folke et al., 2010). Reyers et al. (2018) extended this framing by emphasising the role of social-ecological feedbacks in navigating transformations under the increasingly non-linear dynamics of the Anthropocene, a perspective that is directly relevant to mountain farming systems experiencing simultaneous climate, market, and demographic pressures.</w:t>
      </w:r>
    </w:p>
    <w:p w14:paraId="6F700501"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Mountain farming systems have historically exhibited high agroecological resilience by these criteria. Their diversity of crops, varieties, and management practices across altitude gradients creates redundancy and functional complementarity that buffers against individual crop failures. Their reliance on internal nutrient cycling and biological processes rather than external inputs reduces vulnerability to supply chain disruption. Their embeddedness in community governance institutions—water user associations, common property management regimes, communal seed systems—provides the collective action capacity necessary for maintaining shared resources that support the entire agricultural system (Berkes et al., 2000; Altieri et al., 2015). Commercialisation, as understood in this review, represents a set of transitions that can erode each of these resilience properties, often rapidly and in ways that are difficult to reverse once the institutional and ecological foundations of traditional management have been weakened.</w:t>
      </w:r>
    </w:p>
    <w:p w14:paraId="377CD8B2"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7.2 Threats to Agroecological Resilience from Commercialisation</w:t>
      </w:r>
    </w:p>
    <w:p w14:paraId="4B91FCB4"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threats to agroecological resilience from commercialisation operate through multiple interconnected pathways that are more clearly understood when examined in relation to the structural properties identified above. First, crop specialisation reduces the diversity and redundancy of the farming system, concentrating productive effort on a small number of high-value crops optimised for current market preferences and climatic conditions but potentially ill-suited to future conditions (Lin, 2011; Altieri et al., 2015). The adoption of hybrid and improved varieties that offer higher yields under favourable conditions but are less well-suited to the stress conditions that characterise mountain environments—late frosts, hailstorms, irregular rainfall—is a concrete expression of this resilience reduction (Wester et al., 2019).</w:t>
      </w:r>
    </w:p>
    <w:p w14:paraId="3A986FA4"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Second, the adoption of purchased inputs creates dependency relationships with external supply chains that introduce new vulnerabilities into previously internally buffered systems. A disruption in fertiliser supply, a sharp price increase for agrichemicals, or a failure in market access during a period of crop failure can have devastating consequences for a specialised, input-dependent system in a way that would be far less severe for a diversified system capable of falling back on traditional practices (Garnett et al., 2013). Third, the erosion of traditional ecological knowledge—perhaps the least visible but potentially the most consequential threat—progressively reduces the community's capacity to interpret ecological signals, adapt management practices to novel conditions, and maintain the informal governance systems through which collective agricultural management is organised (Berkes et al., 2000; Adhikari et al., 2017). As younger generations orient towards market and urban opportunities, and as traditional practices lose social prestige relative to modern agricultural methods, this knowledge erodes at a pace that formal extension systems are poorly equipped to replace.</w:t>
      </w:r>
    </w:p>
    <w:p w14:paraId="04FFAFC9"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Fourth, the weakening of community institutions—common property management systems, communal seed banks, water user associations, and ceremonial practices associated with agricultural calendars—removes the governance infrastructure through which resilience is enacted collectively at scales beyond the individual household. Biggs et al. (2012) emphasised that the institutional capacity to manage shared resources and coordinate adaptive responses is a foundational component of ecosystem service resilience, and its erosion under commercialisation pressures represents a systemic weakening of the collective adaptive capacity of mountain farming communities that may not be immediately visible in household-level income data.</w:t>
      </w:r>
    </w:p>
    <w:p w14:paraId="60077740"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7.3 Pathways Towards Agroecological Transition</w:t>
      </w:r>
    </w:p>
    <w:p w14:paraId="1976CC29" w14:textId="27D2D628"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Despite the predominantly negative implications for resilience documented in the preceding analysis, the literature also identifies pathways through which market integration and agroecological principles can be constructively combined. Agroecological approaches to farming system design offer a framework for intensification that maintains or enhances ecological complexity—through diversification, biological pest control, and integrated soil fertility management—while also improving productivity and market engagement (Wezel et al., 2009; Kerr et al., 2021). </w:t>
      </w:r>
      <w:r w:rsidR="00A122BB" w:rsidRPr="00A122BB">
        <w:rPr>
          <w:rFonts w:ascii="Times New Roman" w:eastAsia="Times New Roman" w:hAnsi="Times New Roman" w:cs="Times New Roman"/>
          <w:kern w:val="0"/>
          <w:sz w:val="24"/>
          <w:szCs w:val="24"/>
          <w:lang w:eastAsia="en-IN"/>
          <w14:ligatures w14:val="none"/>
        </w:rPr>
        <w:t>Evidence from central India shows that farms farther along an agroecological transition pathway displayed stronger social, natural, and physical capital and improved dietary diversity, suggesting that resilience gains may arise through multiple livelihood-capital channels rather than through yield effects alone (Thapa et al., 2026).</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Kerr et al. (2021) reviewed evidence from multiple contexts and found that agroecological approaches consistently improve dietary diversity and nutritional outcomes relative to conventional intensification, with particular benefits for women and children. This body of evidence is directly relevant to the mountain context, where nutritional insecurity and gender inequity in food system outcomes are well-documented concerns.</w:t>
      </w:r>
    </w:p>
    <w:p w14:paraId="7D8308AC"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concept of agroecological transition—moving from degraded or simplified systems towards more ecologically functional ones—requires attention not only to technical practices but also to the governance, market, and knowledge systems that either support or impede the transition (Wezel et al., 2009; Pretty et al., 2018). Pretty et al. (2018) assessed global evidence on agricultural system redesign for sustainable intensification and concluded that ecological approaches to productivity enhancement consistently outperform conventional intensification in marginal and resource-constrained environments—a conclusion with direct </w:t>
      </w:r>
      <w:r w:rsidRPr="00326748">
        <w:rPr>
          <w:rFonts w:ascii="Times New Roman" w:eastAsia="Times New Roman" w:hAnsi="Times New Roman" w:cs="Times New Roman"/>
          <w:kern w:val="0"/>
          <w:sz w:val="24"/>
          <w:szCs w:val="24"/>
          <w:lang w:eastAsia="en-IN"/>
          <w14:ligatures w14:val="none"/>
        </w:rPr>
        <w:lastRenderedPageBreak/>
        <w:t>application to mountain farming areas. In mountain contexts specifically, the fostering of institutional environments that reward the maintenance of ecosystem services, support community-level agrobiodiversity conservation, and provide adequate economic returns to diverse production systems represents the most promising pathway towards a commercialisation model that does not require the sacrifice of ecological complexity for market competitiveness (Garibaldi et al., 2017; Biggs et al., 2012).</w:t>
      </w:r>
    </w:p>
    <w:p w14:paraId="26F0AF23"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Table 4 summarises the key dimensions of agroecological resilience in mountain farming systems and the specific threats posed to each dimension by commercialisation, together with potential mitigation approaches.</w:t>
      </w:r>
    </w:p>
    <w:p w14:paraId="7A7BA6E8" w14:textId="103DB1AC" w:rsidR="00326748" w:rsidRDefault="00326748" w:rsidP="00326748">
      <w:pPr>
        <w:spacing w:after="0" w:line="240" w:lineRule="auto"/>
        <w:rPr>
          <w:rFonts w:ascii="Times New Roman" w:eastAsia="Times New Roman" w:hAnsi="Times New Roman" w:cs="Times New Roman"/>
          <w:kern w:val="0"/>
          <w:sz w:val="24"/>
          <w:szCs w:val="24"/>
          <w:lang w:eastAsia="en-IN"/>
          <w14:ligatures w14:val="none"/>
        </w:rPr>
      </w:pPr>
    </w:p>
    <w:p w14:paraId="09DCB5EE"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64F1898E"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55910E79"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4589E08F" w14:textId="77777777" w:rsidR="00A122BB" w:rsidRPr="00326748"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74BF0046"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4: Dimensions of Agroecological Resilience in Mountain Farming Systems: Threats and Mitigations</w:t>
      </w:r>
    </w:p>
    <w:tbl>
      <w:tblPr>
        <w:tblStyle w:val="TableGrid"/>
        <w:tblW w:w="9464" w:type="dxa"/>
        <w:tblLook w:val="04A0" w:firstRow="1" w:lastRow="0" w:firstColumn="1" w:lastColumn="0" w:noHBand="0" w:noVBand="1"/>
      </w:tblPr>
      <w:tblGrid>
        <w:gridCol w:w="1526"/>
        <w:gridCol w:w="2551"/>
        <w:gridCol w:w="2694"/>
        <w:gridCol w:w="2693"/>
      </w:tblGrid>
      <w:tr w:rsidR="00A122BB" w14:paraId="6A6B45F9" w14:textId="77777777" w:rsidTr="00C83150">
        <w:tc>
          <w:tcPr>
            <w:tcW w:w="1526" w:type="dxa"/>
            <w:vAlign w:val="center"/>
          </w:tcPr>
          <w:p w14:paraId="1900442B"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Resilience Dimension</w:t>
            </w:r>
          </w:p>
        </w:tc>
        <w:tc>
          <w:tcPr>
            <w:tcW w:w="2551" w:type="dxa"/>
            <w:vAlign w:val="center"/>
          </w:tcPr>
          <w:p w14:paraId="3A43E0D1"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Basis in Traditional Mountain Systems</w:t>
            </w:r>
          </w:p>
        </w:tc>
        <w:tc>
          <w:tcPr>
            <w:tcW w:w="2694" w:type="dxa"/>
            <w:vAlign w:val="center"/>
          </w:tcPr>
          <w:p w14:paraId="5914786F"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Threat from Commercialisation</w:t>
            </w:r>
          </w:p>
        </w:tc>
        <w:tc>
          <w:tcPr>
            <w:tcW w:w="2693" w:type="dxa"/>
            <w:vAlign w:val="center"/>
          </w:tcPr>
          <w:p w14:paraId="015D113F"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Potential Mitigation Pathway</w:t>
            </w:r>
          </w:p>
        </w:tc>
      </w:tr>
      <w:tr w:rsidR="00A122BB" w14:paraId="1890C959" w14:textId="77777777" w:rsidTr="00C83150">
        <w:tc>
          <w:tcPr>
            <w:tcW w:w="1526" w:type="dxa"/>
            <w:vAlign w:val="center"/>
          </w:tcPr>
          <w:p w14:paraId="3068421E" w14:textId="77777777" w:rsidR="00A122BB" w:rsidRDefault="00A122BB" w:rsidP="00C83150">
            <w:r w:rsidRPr="00326748">
              <w:rPr>
                <w:rFonts w:ascii="Times New Roman" w:eastAsia="Times New Roman" w:hAnsi="Times New Roman" w:cs="Times New Roman"/>
                <w:kern w:val="0"/>
                <w:sz w:val="24"/>
                <w:szCs w:val="24"/>
                <w:lang w:eastAsia="en-IN"/>
                <w14:ligatures w14:val="none"/>
              </w:rPr>
              <w:t>Diversity</w:t>
            </w:r>
          </w:p>
        </w:tc>
        <w:tc>
          <w:tcPr>
            <w:tcW w:w="2551" w:type="dxa"/>
            <w:vAlign w:val="center"/>
          </w:tcPr>
          <w:p w14:paraId="2ABD43FA" w14:textId="77777777" w:rsidR="00A122BB" w:rsidRDefault="00A122BB" w:rsidP="00C83150">
            <w:r w:rsidRPr="00326748">
              <w:rPr>
                <w:rFonts w:ascii="Times New Roman" w:eastAsia="Times New Roman" w:hAnsi="Times New Roman" w:cs="Times New Roman"/>
                <w:kern w:val="0"/>
                <w:sz w:val="24"/>
                <w:szCs w:val="24"/>
                <w:lang w:eastAsia="en-IN"/>
                <w14:ligatures w14:val="none"/>
              </w:rPr>
              <w:t>Multi-crop, multi-variety systems across altitude gradients</w:t>
            </w:r>
          </w:p>
        </w:tc>
        <w:tc>
          <w:tcPr>
            <w:tcW w:w="2694" w:type="dxa"/>
            <w:vAlign w:val="center"/>
          </w:tcPr>
          <w:p w14:paraId="39E5A7C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Crop specialisation; variety replacement by commercial cultivars</w:t>
            </w:r>
          </w:p>
        </w:tc>
        <w:tc>
          <w:tcPr>
            <w:tcW w:w="2693" w:type="dxa"/>
            <w:vAlign w:val="center"/>
          </w:tcPr>
          <w:p w14:paraId="3A638FC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On-farm diversity incentives; community seed banks</w:t>
            </w:r>
          </w:p>
        </w:tc>
      </w:tr>
      <w:tr w:rsidR="00A122BB" w14:paraId="74236F1D" w14:textId="77777777" w:rsidTr="00C83150">
        <w:tc>
          <w:tcPr>
            <w:tcW w:w="1526" w:type="dxa"/>
            <w:vAlign w:val="center"/>
          </w:tcPr>
          <w:p w14:paraId="05892A4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Redundancy</w:t>
            </w:r>
          </w:p>
        </w:tc>
        <w:tc>
          <w:tcPr>
            <w:tcW w:w="2551" w:type="dxa"/>
            <w:vAlign w:val="center"/>
          </w:tcPr>
          <w:p w14:paraId="7A28DD68" w14:textId="77777777" w:rsidR="00A122BB" w:rsidRDefault="00A122BB" w:rsidP="00C83150">
            <w:r w:rsidRPr="00326748">
              <w:rPr>
                <w:rFonts w:ascii="Times New Roman" w:eastAsia="Times New Roman" w:hAnsi="Times New Roman" w:cs="Times New Roman"/>
                <w:kern w:val="0"/>
                <w:sz w:val="24"/>
                <w:szCs w:val="24"/>
                <w:lang w:eastAsia="en-IN"/>
                <w14:ligatures w14:val="none"/>
              </w:rPr>
              <w:t>Multiple crops with overlapping ecological functions</w:t>
            </w:r>
          </w:p>
        </w:tc>
        <w:tc>
          <w:tcPr>
            <w:tcW w:w="2694" w:type="dxa"/>
            <w:vAlign w:val="center"/>
          </w:tcPr>
          <w:p w14:paraId="0CC2CE47" w14:textId="77777777" w:rsidR="00A122BB" w:rsidRDefault="00A122BB" w:rsidP="00C83150">
            <w:r w:rsidRPr="00326748">
              <w:rPr>
                <w:rFonts w:ascii="Times New Roman" w:eastAsia="Times New Roman" w:hAnsi="Times New Roman" w:cs="Times New Roman"/>
                <w:kern w:val="0"/>
                <w:sz w:val="24"/>
                <w:szCs w:val="24"/>
                <w:lang w:eastAsia="en-IN"/>
                <w14:ligatures w14:val="none"/>
              </w:rPr>
              <w:t>Functional consolidation towards fewer species and varieties</w:t>
            </w:r>
          </w:p>
        </w:tc>
        <w:tc>
          <w:tcPr>
            <w:tcW w:w="2693" w:type="dxa"/>
            <w:vAlign w:val="center"/>
          </w:tcPr>
          <w:p w14:paraId="2870380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Intercropping promotion; landrace conservation payments</w:t>
            </w:r>
          </w:p>
        </w:tc>
      </w:tr>
      <w:tr w:rsidR="00A122BB" w14:paraId="0360EA6F" w14:textId="77777777" w:rsidTr="00C83150">
        <w:tc>
          <w:tcPr>
            <w:tcW w:w="1526" w:type="dxa"/>
            <w:vAlign w:val="center"/>
          </w:tcPr>
          <w:p w14:paraId="0E6A994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Adaptability</w:t>
            </w:r>
          </w:p>
        </w:tc>
        <w:tc>
          <w:tcPr>
            <w:tcW w:w="2551" w:type="dxa"/>
            <w:vAlign w:val="center"/>
          </w:tcPr>
          <w:p w14:paraId="2A882339" w14:textId="77777777" w:rsidR="00A122BB" w:rsidRDefault="00A122BB" w:rsidP="00C83150">
            <w:r w:rsidRPr="00326748">
              <w:rPr>
                <w:rFonts w:ascii="Times New Roman" w:eastAsia="Times New Roman" w:hAnsi="Times New Roman" w:cs="Times New Roman"/>
                <w:kern w:val="0"/>
                <w:sz w:val="24"/>
                <w:szCs w:val="24"/>
                <w:lang w:eastAsia="en-IN"/>
                <w14:ligatures w14:val="none"/>
              </w:rPr>
              <w:t>Traditional ecological knowledge and adaptive management practices</w:t>
            </w:r>
          </w:p>
        </w:tc>
        <w:tc>
          <w:tcPr>
            <w:tcW w:w="2694" w:type="dxa"/>
            <w:vAlign w:val="center"/>
          </w:tcPr>
          <w:p w14:paraId="43BC0C09" w14:textId="77777777" w:rsidR="00A122BB" w:rsidRDefault="00A122BB" w:rsidP="00C83150">
            <w:r w:rsidRPr="00326748">
              <w:rPr>
                <w:rFonts w:ascii="Times New Roman" w:eastAsia="Times New Roman" w:hAnsi="Times New Roman" w:cs="Times New Roman"/>
                <w:kern w:val="0"/>
                <w:sz w:val="24"/>
                <w:szCs w:val="24"/>
                <w:lang w:eastAsia="en-IN"/>
                <w14:ligatures w14:val="none"/>
              </w:rPr>
              <w:t>TEK erosion; knowledge discontinuity across generations</w:t>
            </w:r>
          </w:p>
        </w:tc>
        <w:tc>
          <w:tcPr>
            <w:tcW w:w="2693" w:type="dxa"/>
            <w:vAlign w:val="center"/>
          </w:tcPr>
          <w:p w14:paraId="2026964E" w14:textId="77777777" w:rsidR="00A122BB" w:rsidRDefault="00A122BB" w:rsidP="00C83150">
            <w:r w:rsidRPr="00326748">
              <w:rPr>
                <w:rFonts w:ascii="Times New Roman" w:eastAsia="Times New Roman" w:hAnsi="Times New Roman" w:cs="Times New Roman"/>
                <w:kern w:val="0"/>
                <w:sz w:val="24"/>
                <w:szCs w:val="24"/>
                <w:lang w:eastAsia="en-IN"/>
                <w14:ligatures w14:val="none"/>
              </w:rPr>
              <w:t>Participatory research; intergenerational knowledge transfer support</w:t>
            </w:r>
          </w:p>
        </w:tc>
      </w:tr>
      <w:tr w:rsidR="00A122BB" w14:paraId="7531D0F4" w14:textId="77777777" w:rsidTr="00C83150">
        <w:tc>
          <w:tcPr>
            <w:tcW w:w="1526" w:type="dxa"/>
            <w:vAlign w:val="center"/>
          </w:tcPr>
          <w:p w14:paraId="380E4B5D" w14:textId="77777777" w:rsidR="00A122BB" w:rsidRDefault="00A122BB" w:rsidP="00C83150">
            <w:r w:rsidRPr="00326748">
              <w:rPr>
                <w:rFonts w:ascii="Times New Roman" w:eastAsia="Times New Roman" w:hAnsi="Times New Roman" w:cs="Times New Roman"/>
                <w:kern w:val="0"/>
                <w:sz w:val="24"/>
                <w:szCs w:val="24"/>
                <w:lang w:eastAsia="en-IN"/>
                <w14:ligatures w14:val="none"/>
              </w:rPr>
              <w:t>Connectivity</w:t>
            </w:r>
          </w:p>
        </w:tc>
        <w:tc>
          <w:tcPr>
            <w:tcW w:w="2551" w:type="dxa"/>
            <w:vAlign w:val="center"/>
          </w:tcPr>
          <w:p w14:paraId="176DFA9E" w14:textId="77777777" w:rsidR="00A122BB" w:rsidRDefault="00A122BB" w:rsidP="00C83150">
            <w:r w:rsidRPr="00326748">
              <w:rPr>
                <w:rFonts w:ascii="Times New Roman" w:eastAsia="Times New Roman" w:hAnsi="Times New Roman" w:cs="Times New Roman"/>
                <w:kern w:val="0"/>
                <w:sz w:val="24"/>
                <w:szCs w:val="24"/>
                <w:lang w:eastAsia="en-IN"/>
                <w14:ligatures w14:val="none"/>
              </w:rPr>
              <w:t>Community seed exchange networks; common property institutions</w:t>
            </w:r>
          </w:p>
        </w:tc>
        <w:tc>
          <w:tcPr>
            <w:tcW w:w="2694" w:type="dxa"/>
            <w:vAlign w:val="center"/>
          </w:tcPr>
          <w:p w14:paraId="71342BFA" w14:textId="77777777" w:rsidR="00A122BB" w:rsidRDefault="00A122BB" w:rsidP="00C83150">
            <w:r w:rsidRPr="00326748">
              <w:rPr>
                <w:rFonts w:ascii="Times New Roman" w:eastAsia="Times New Roman" w:hAnsi="Times New Roman" w:cs="Times New Roman"/>
                <w:kern w:val="0"/>
                <w:sz w:val="24"/>
                <w:szCs w:val="24"/>
                <w:lang w:eastAsia="en-IN"/>
                <w14:ligatures w14:val="none"/>
              </w:rPr>
              <w:t>Weakening of communal governance and collective action</w:t>
            </w:r>
          </w:p>
        </w:tc>
        <w:tc>
          <w:tcPr>
            <w:tcW w:w="2693" w:type="dxa"/>
            <w:vAlign w:val="center"/>
          </w:tcPr>
          <w:p w14:paraId="798818F1" w14:textId="77777777" w:rsidR="00A122BB" w:rsidRDefault="00A122BB" w:rsidP="00C83150">
            <w:r w:rsidRPr="00326748">
              <w:rPr>
                <w:rFonts w:ascii="Times New Roman" w:eastAsia="Times New Roman" w:hAnsi="Times New Roman" w:cs="Times New Roman"/>
                <w:kern w:val="0"/>
                <w:sz w:val="24"/>
                <w:szCs w:val="24"/>
                <w:lang w:eastAsia="en-IN"/>
                <w14:ligatures w14:val="none"/>
              </w:rPr>
              <w:t>Strengthening farmer organisations; legal recognition of TEK</w:t>
            </w:r>
          </w:p>
        </w:tc>
      </w:tr>
      <w:tr w:rsidR="00A122BB" w14:paraId="3003023E" w14:textId="77777777" w:rsidTr="00C83150">
        <w:tc>
          <w:tcPr>
            <w:tcW w:w="1526" w:type="dxa"/>
            <w:vAlign w:val="center"/>
          </w:tcPr>
          <w:p w14:paraId="132A2724"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Modularity</w:t>
            </w:r>
          </w:p>
        </w:tc>
        <w:tc>
          <w:tcPr>
            <w:tcW w:w="2551" w:type="dxa"/>
            <w:vAlign w:val="center"/>
          </w:tcPr>
          <w:p w14:paraId="532C455A"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Spatially distributed, heterogeneous landscape management</w:t>
            </w:r>
          </w:p>
        </w:tc>
        <w:tc>
          <w:tcPr>
            <w:tcW w:w="2694" w:type="dxa"/>
            <w:vAlign w:val="center"/>
          </w:tcPr>
          <w:p w14:paraId="646D6D27"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Homogenisation of landscape through specialised land use</w:t>
            </w:r>
          </w:p>
        </w:tc>
        <w:tc>
          <w:tcPr>
            <w:tcW w:w="2693" w:type="dxa"/>
            <w:vAlign w:val="center"/>
          </w:tcPr>
          <w:p w14:paraId="55015ABE"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Spatial planning for landscape diversity; </w:t>
            </w:r>
            <w:proofErr w:type="spellStart"/>
            <w:r w:rsidRPr="00326748">
              <w:rPr>
                <w:rFonts w:ascii="Times New Roman" w:eastAsia="Times New Roman" w:hAnsi="Times New Roman" w:cs="Times New Roman"/>
                <w:kern w:val="0"/>
                <w:sz w:val="24"/>
                <w:szCs w:val="24"/>
                <w:lang w:eastAsia="en-IN"/>
                <w14:ligatures w14:val="none"/>
              </w:rPr>
              <w:t>agri</w:t>
            </w:r>
            <w:proofErr w:type="spellEnd"/>
            <w:r w:rsidRPr="00326748">
              <w:rPr>
                <w:rFonts w:ascii="Times New Roman" w:eastAsia="Times New Roman" w:hAnsi="Times New Roman" w:cs="Times New Roman"/>
                <w:kern w:val="0"/>
                <w:sz w:val="24"/>
                <w:szCs w:val="24"/>
                <w:lang w:eastAsia="en-IN"/>
                <w14:ligatures w14:val="none"/>
              </w:rPr>
              <w:t>-environment schemes</w:t>
            </w:r>
          </w:p>
        </w:tc>
      </w:tr>
      <w:tr w:rsidR="00A122BB" w14:paraId="69816FA8" w14:textId="77777777" w:rsidTr="00C83150">
        <w:tc>
          <w:tcPr>
            <w:tcW w:w="1526" w:type="dxa"/>
            <w:vAlign w:val="center"/>
          </w:tcPr>
          <w:p w14:paraId="7E79C87B"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Resource efficiency</w:t>
            </w:r>
          </w:p>
        </w:tc>
        <w:tc>
          <w:tcPr>
            <w:tcW w:w="2551" w:type="dxa"/>
            <w:vAlign w:val="center"/>
          </w:tcPr>
          <w:p w14:paraId="210D0D39"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Closed nutrient cycles; biological fertility management</w:t>
            </w:r>
          </w:p>
        </w:tc>
        <w:tc>
          <w:tcPr>
            <w:tcW w:w="2694" w:type="dxa"/>
            <w:vAlign w:val="center"/>
          </w:tcPr>
          <w:p w14:paraId="0CC104F9"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Input dependency through intensification pathways</w:t>
            </w:r>
          </w:p>
        </w:tc>
        <w:tc>
          <w:tcPr>
            <w:tcW w:w="2693" w:type="dxa"/>
            <w:vAlign w:val="center"/>
          </w:tcPr>
          <w:p w14:paraId="63E87FF3"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Agroecological intensification; organic and ecological certification</w:t>
            </w:r>
          </w:p>
        </w:tc>
      </w:tr>
    </w:tbl>
    <w:p w14:paraId="746BFCDF" w14:textId="011E6FA8" w:rsidR="00326748" w:rsidRPr="00326748" w:rsidRDefault="00326748" w:rsidP="00A122BB">
      <w:pPr>
        <w:spacing w:after="0"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t>Sources: Walker et al. (2004); Folke (2006); Altieri et al. (2015); Berkes et al. (2000); Biggs et al. (2012); Lin (2011); Kerr et al. (2021); Reyers et al. (2018)</w:t>
      </w:r>
      <w:r w:rsidR="006F268D">
        <w:rPr>
          <w:rFonts w:ascii="Times New Roman" w:eastAsia="Times New Roman" w:hAnsi="Times New Roman" w:cs="Times New Roman"/>
          <w:i/>
          <w:iCs/>
          <w:kern w:val="0"/>
          <w:sz w:val="24"/>
          <w:szCs w:val="24"/>
          <w:lang w:eastAsia="en-IN"/>
          <w14:ligatures w14:val="none"/>
        </w:rPr>
        <w:t xml:space="preserve">; </w:t>
      </w:r>
      <w:r w:rsidR="006F268D" w:rsidRPr="006F268D">
        <w:rPr>
          <w:rFonts w:ascii="Times New Roman" w:eastAsia="Times New Roman" w:hAnsi="Times New Roman" w:cs="Times New Roman"/>
          <w:i/>
          <w:iCs/>
          <w:kern w:val="0"/>
          <w:sz w:val="24"/>
          <w:szCs w:val="24"/>
          <w:lang w:eastAsia="en-IN"/>
          <w14:ligatures w14:val="none"/>
        </w:rPr>
        <w:t>Thapa et al. (2026)</w:t>
      </w:r>
    </w:p>
    <w:p w14:paraId="01A94D30"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resilience framework employed in this section suggests that the critical question for mountain agriculture policy is not whether to commercialise but how to do so in ways that preserve and potentially enhance the structural properties upon which long-term adaptive capacity depends. This reframing moves the policy debate away from a binary choice </w:t>
      </w:r>
      <w:r w:rsidRPr="00326748">
        <w:rPr>
          <w:rFonts w:ascii="Times New Roman" w:eastAsia="Times New Roman" w:hAnsi="Times New Roman" w:cs="Times New Roman"/>
          <w:kern w:val="0"/>
          <w:sz w:val="24"/>
          <w:szCs w:val="24"/>
          <w:lang w:eastAsia="en-IN"/>
          <w14:ligatures w14:val="none"/>
        </w:rPr>
        <w:lastRenderedPageBreak/>
        <w:t>between tradition and modernity and towards the more productive challenge of designing transition pathways that are simultaneously economically viable, ecologically sound, and institutionally anchored.</w:t>
      </w:r>
    </w:p>
    <w:p w14:paraId="22254169"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8. Policy Implications and Governance Frameworks for Sustainable Commercialisation</w:t>
      </w:r>
    </w:p>
    <w:p w14:paraId="0A4B1970"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8.1 Current Policy Landscape</w:t>
      </w:r>
    </w:p>
    <w:p w14:paraId="7E1B8B51" w14:textId="0942546F"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policy landscape governing mountain agricultural commercialisation is characterised by a persistent tension between short-term economic development objectives and long-term sustainability goals. National agricultural policies in most mountain countries remain oriented primarily towards productivity growth and market development, with sustainability and resilience objectives incorporated, if at all, as secondary considerations rather than as organising principles (</w:t>
      </w:r>
      <w:r w:rsidR="004D298C" w:rsidRPr="004D298C">
        <w:rPr>
          <w:rFonts w:ascii="Times New Roman" w:eastAsia="Times New Roman" w:hAnsi="Times New Roman" w:cs="Times New Roman"/>
          <w:kern w:val="0"/>
          <w:sz w:val="24"/>
          <w:szCs w:val="24"/>
          <w:lang w:eastAsia="en-IN"/>
          <w14:ligatures w14:val="none"/>
        </w:rPr>
        <w:t>Wester et al.</w:t>
      </w:r>
      <w:r w:rsidR="004D298C">
        <w:rPr>
          <w:rFonts w:ascii="Times New Roman" w:eastAsia="Times New Roman" w:hAnsi="Times New Roman" w:cs="Times New Roman"/>
          <w:kern w:val="0"/>
          <w:sz w:val="24"/>
          <w:szCs w:val="24"/>
          <w:lang w:eastAsia="en-IN"/>
          <w14:ligatures w14:val="none"/>
        </w:rPr>
        <w:t xml:space="preserve">, </w:t>
      </w:r>
      <w:r w:rsidR="004D298C" w:rsidRPr="004D298C">
        <w:rPr>
          <w:rFonts w:ascii="Times New Roman" w:eastAsia="Times New Roman" w:hAnsi="Times New Roman" w:cs="Times New Roman"/>
          <w:kern w:val="0"/>
          <w:sz w:val="24"/>
          <w:szCs w:val="24"/>
          <w:lang w:eastAsia="en-IN"/>
          <w14:ligatures w14:val="none"/>
        </w:rPr>
        <w:t>2019</w:t>
      </w:r>
      <w:r w:rsidRPr="00326748">
        <w:rPr>
          <w:rFonts w:ascii="Times New Roman" w:eastAsia="Times New Roman" w:hAnsi="Times New Roman" w:cs="Times New Roman"/>
          <w:kern w:val="0"/>
          <w:sz w:val="24"/>
          <w:szCs w:val="24"/>
          <w:lang w:eastAsia="en-IN"/>
          <w14:ligatures w14:val="none"/>
        </w:rPr>
        <w:t xml:space="preserve">; </w:t>
      </w:r>
      <w:r w:rsidR="004D298C" w:rsidRPr="004D298C">
        <w:rPr>
          <w:rFonts w:ascii="Times New Roman" w:eastAsia="Times New Roman" w:hAnsi="Times New Roman" w:cs="Times New Roman"/>
          <w:kern w:val="0"/>
          <w:sz w:val="24"/>
          <w:szCs w:val="24"/>
          <w:lang w:eastAsia="en-IN"/>
          <w14:ligatures w14:val="none"/>
        </w:rPr>
        <w:t>HLPE, 2019</w:t>
      </w:r>
      <w:r w:rsidRPr="00326748">
        <w:rPr>
          <w:rFonts w:ascii="Times New Roman" w:eastAsia="Times New Roman" w:hAnsi="Times New Roman" w:cs="Times New Roman"/>
          <w:kern w:val="0"/>
          <w:sz w:val="24"/>
          <w:szCs w:val="24"/>
          <w:lang w:eastAsia="en-IN"/>
          <w14:ligatures w14:val="none"/>
        </w:rPr>
        <w:t>). Subsidies for chemical inputs, support prices for specific commercial commodities, and investment in market infrastructure collectively create incentive environments that systematically favour specialisation over diversity and market production over subsistence food security. The structural bias of these policy frameworks is rarely neutral with respect to gender, wealth class, or ecological location: households that are well-positioned to exploit market opportunities gain disproportionately, while those who rely on diverse subsistence production for nutritional security are often marginalised by policy environments designed for a different kind of farmer.</w:t>
      </w:r>
    </w:p>
    <w:p w14:paraId="01BC9405" w14:textId="7832CF2C"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International frameworks have increasingly acknowledged the importance of traditional farming systems and agrobiodiversity. The Convention on Biological Diversity, the International Treaty on Plant Genetic Resources for Food and Agriculture, and the Sustainable Development Goals framework—particularly SDG 2 on zero hunger, SDG 15 on life on land, and SDG 13 on climate action—all contain provisions that in principle support the conservation and sustainable use of agrobiodiversity (Wester et al., 2019; Willett et al., 2019). However, the translation of these commitments into coherent policy frameworks at the national level, where the actual governance of agricultural systems takes place, has been uneven and often superficial. The </w:t>
      </w:r>
      <w:proofErr w:type="gramStart"/>
      <w:r w:rsidRPr="00326748">
        <w:rPr>
          <w:rFonts w:ascii="Times New Roman" w:eastAsia="Times New Roman" w:hAnsi="Times New Roman" w:cs="Times New Roman"/>
          <w:kern w:val="0"/>
          <w:sz w:val="24"/>
          <w:szCs w:val="24"/>
          <w:lang w:eastAsia="en-IN"/>
          <w14:ligatures w14:val="none"/>
        </w:rPr>
        <w:t>High Level</w:t>
      </w:r>
      <w:proofErr w:type="gramEnd"/>
      <w:r w:rsidRPr="00326748">
        <w:rPr>
          <w:rFonts w:ascii="Times New Roman" w:eastAsia="Times New Roman" w:hAnsi="Times New Roman" w:cs="Times New Roman"/>
          <w:kern w:val="0"/>
          <w:sz w:val="24"/>
          <w:szCs w:val="24"/>
          <w:lang w:eastAsia="en-IN"/>
          <w14:ligatures w14:val="none"/>
        </w:rPr>
        <w:t xml:space="preserve"> Panel of Experts on Food Security and Nutrition (</w:t>
      </w:r>
      <w:r w:rsidR="004D298C">
        <w:rPr>
          <w:rFonts w:ascii="Times New Roman" w:eastAsia="Times New Roman" w:hAnsi="Times New Roman" w:cs="Times New Roman"/>
          <w:kern w:val="0"/>
          <w:sz w:val="24"/>
          <w:szCs w:val="24"/>
          <w:lang w:eastAsia="en-IN"/>
          <w14:ligatures w14:val="none"/>
        </w:rPr>
        <w:t>HLPE</w:t>
      </w:r>
      <w:r w:rsidR="0005537E" w:rsidRPr="0005537E">
        <w:rPr>
          <w:rFonts w:ascii="Times New Roman" w:eastAsia="Times New Roman" w:hAnsi="Times New Roman" w:cs="Times New Roman"/>
          <w:kern w:val="0"/>
          <w:sz w:val="24"/>
          <w:szCs w:val="24"/>
          <w:lang w:eastAsia="en-IN"/>
          <w14:ligatures w14:val="none"/>
        </w:rPr>
        <w:t>, 2019</w:t>
      </w:r>
      <w:r w:rsidRPr="00326748">
        <w:rPr>
          <w:rFonts w:ascii="Times New Roman" w:eastAsia="Times New Roman" w:hAnsi="Times New Roman" w:cs="Times New Roman"/>
          <w:kern w:val="0"/>
          <w:sz w:val="24"/>
          <w:szCs w:val="24"/>
          <w:lang w:eastAsia="en-IN"/>
          <w14:ligatures w14:val="none"/>
        </w:rPr>
        <w:t>) concluded in its comprehensive report that agroecological and other innovative approaches to sustainable agriculture have been systematically under-resourced relative to their demonstrated potential contribution to food security and sustainability—a conclusion that applies with particular force in mountain contexts, where the evidence for the value of diverse, ecologically managed systems is especially strong.</w:t>
      </w:r>
    </w:p>
    <w:p w14:paraId="3A874561" w14:textId="77777777" w:rsidR="00326748" w:rsidRPr="00326748" w:rsidRDefault="00326748" w:rsidP="00326748">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8.2 Principles and Recommendations for Sustainable Commercialisation</w:t>
      </w:r>
    </w:p>
    <w:p w14:paraId="727D719B"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Drawing on the evidence reviewed in preceding sections, a set of enabling principles for sustainable mountain agricultural commercialisation can be identified. These principles are not universal prescriptions but rather context-sensitive orientations that require adaptation to specific mountain regions, institutional environments, and market conditions. Their formulation is informed by the growing body of evidence that commercialisation outcomes are not predetermined by market forces but are substantially shaped by policy choices, institutional designs, and governance arrangements.</w:t>
      </w:r>
    </w:p>
    <w:p w14:paraId="517C3035"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First, the governance of commercialisation transitions should explicitly recognise and value the ecological services embedded in traditional mountain farming systems. Market incentives that reward the maintenance of agrobiodiversity, the conservation of soil health, and the continuation of water-regulating land management practices are essential if these functions are to compete economically with commodity production. Payment for ecosystem services (PES) schemes, while not without their own governance challenges, offer one mechanism for internalising the value of these services into farming system decisions (Verburg et al., 2015; Schirpke et al., 2017). The design of effective PES in mountain contexts requires careful attention to land tenure security, benefit distribution equity, and the long-term financing mechanisms necessary to sustain participation.</w:t>
      </w:r>
    </w:p>
    <w:p w14:paraId="2452467C"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Second, market development strategies should prioritise approaches that maintain diversity within the farm system, including the development of niche markets for traditional varieties, the certification of diverse and ecologically managed production systems, and the support of collective value chain organisations that enable smallholders to access markets without requiring the adoption of standardised, homogeneous production models (Fischer &amp; Qaim, 2012; Garibaldi et al., 2017). The experience of geographical indication schemes for traditional mountain products—established in the European context and increasingly explored in Asia and Africa—provides instructive evidence that quality differentiation strategies can preserve traditional practices while generating premium market returns, though their scalability to resource-constrained contexts remains a subject of ongoing evaluation.</w:t>
      </w:r>
    </w:p>
    <w:p w14:paraId="0366C5BD" w14:textId="4BC7B024"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Third, policies should explicitly address the knowledge and gender dimensions of commercialisation transitions. Investment in participatory research that recognises the validity and value of TEK alongside formal scientific knowledge, support for community seed saving and exchange systems, and deliberate efforts to ensure that commercialisation benefits reach women and marginalised groups are essential components of equitable transitions (Doss et al., 2018; Kerr et al., 2021). </w:t>
      </w:r>
      <w:r w:rsidR="00A122BB" w:rsidRPr="00A122BB">
        <w:rPr>
          <w:rFonts w:ascii="Times New Roman" w:eastAsia="Times New Roman" w:hAnsi="Times New Roman" w:cs="Times New Roman"/>
          <w:kern w:val="0"/>
          <w:sz w:val="24"/>
          <w:szCs w:val="24"/>
          <w:lang w:eastAsia="en-IN"/>
          <w14:ligatures w14:val="none"/>
        </w:rPr>
        <w:t>A systematic review of agroecological-transition research found that participatory action research remains underused despite its importance for farmer–researcher trust, co-learning, and context-specific transition design, strengthening the case for participatory governance in mountain commercialisation pathways (Sachet et al., 2021).</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The FAO (2021) State of Food and Agriculture report emphasised that resilience-building in agri-food systems requires investments in knowledge, institutions, and social protection that reach the most vulnerable actors—a message with direct applicability to mountain communities facing simultaneous climate and market pressures.</w:t>
      </w:r>
    </w:p>
    <w:p w14:paraId="18BC8A1A"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Fourth, climate adaptation and resilience objectives must be integrated into agricultural commercialisation policy from the outset, rather than added reactively after ecological damage has been incurred. Given the acute climate vulnerability of mountain farming systems and the substantial evidence that specialisation reduces resilience, policies should create systematic incentives for maintaining the crop diversity and ecological complexity that provide insurance against climate variability (IPCC, 2019; Lin, 2011). The FAO (2014) assessment of mountain farming as family farming recognised the intrinsic connection between family-scale diverse production systems and the ecological functions that sustain mountain landscapes—a connection that needs to be reflected in the design of agricultural development programmes rather than merely celebrated in policy declarations.</w:t>
      </w:r>
    </w:p>
    <w:p w14:paraId="140AC1E4"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Table 5 presents a summary of policy instruments relevant to sustainable commercialisation, categorised by instrument type and objective, drawing on the synthesis of evidence across the review.</w:t>
      </w:r>
    </w:p>
    <w:p w14:paraId="7BBD1560" w14:textId="73D7FF7A" w:rsidR="00326748" w:rsidRDefault="00326748" w:rsidP="00326748">
      <w:pPr>
        <w:spacing w:after="0" w:line="240" w:lineRule="auto"/>
        <w:rPr>
          <w:rFonts w:ascii="Times New Roman" w:eastAsia="Times New Roman" w:hAnsi="Times New Roman" w:cs="Times New Roman"/>
          <w:kern w:val="0"/>
          <w:sz w:val="24"/>
          <w:szCs w:val="24"/>
          <w:lang w:eastAsia="en-IN"/>
          <w14:ligatures w14:val="none"/>
        </w:rPr>
      </w:pPr>
    </w:p>
    <w:p w14:paraId="43876DC7"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21192FD9"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57EFB49E"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34DBD98C"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2ED69694"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42E88D9B" w14:textId="77777777" w:rsidR="00A122BB" w:rsidRDefault="00A122BB" w:rsidP="00326748">
      <w:pPr>
        <w:spacing w:after="0" w:line="240" w:lineRule="auto"/>
        <w:rPr>
          <w:rFonts w:ascii="Times New Roman" w:eastAsia="Times New Roman" w:hAnsi="Times New Roman" w:cs="Times New Roman"/>
          <w:kern w:val="0"/>
          <w:sz w:val="24"/>
          <w:szCs w:val="24"/>
          <w:lang w:eastAsia="en-IN"/>
          <w14:ligatures w14:val="none"/>
        </w:rPr>
      </w:pPr>
    </w:p>
    <w:p w14:paraId="1FEA0401"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5: Policy Instruments for Sustainable Commercialisation of Mountain Agriculture</w:t>
      </w:r>
    </w:p>
    <w:tbl>
      <w:tblPr>
        <w:tblStyle w:val="TableGrid"/>
        <w:tblW w:w="9464" w:type="dxa"/>
        <w:tblLook w:val="04A0" w:firstRow="1" w:lastRow="0" w:firstColumn="1" w:lastColumn="0" w:noHBand="0" w:noVBand="1"/>
      </w:tblPr>
      <w:tblGrid>
        <w:gridCol w:w="1526"/>
        <w:gridCol w:w="2551"/>
        <w:gridCol w:w="2694"/>
        <w:gridCol w:w="2693"/>
      </w:tblGrid>
      <w:tr w:rsidR="00A122BB" w14:paraId="13EF17E9" w14:textId="77777777" w:rsidTr="00C83150">
        <w:tc>
          <w:tcPr>
            <w:tcW w:w="1526" w:type="dxa"/>
            <w:vAlign w:val="center"/>
          </w:tcPr>
          <w:p w14:paraId="3D0E9E1E"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Instrument Type</w:t>
            </w:r>
          </w:p>
        </w:tc>
        <w:tc>
          <w:tcPr>
            <w:tcW w:w="2551" w:type="dxa"/>
            <w:vAlign w:val="center"/>
          </w:tcPr>
          <w:p w14:paraId="74D4C2B5"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Specific Instrument</w:t>
            </w:r>
          </w:p>
        </w:tc>
        <w:tc>
          <w:tcPr>
            <w:tcW w:w="2694" w:type="dxa"/>
            <w:vAlign w:val="center"/>
          </w:tcPr>
          <w:p w14:paraId="213E837B"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Primary Objective</w:t>
            </w:r>
          </w:p>
        </w:tc>
        <w:tc>
          <w:tcPr>
            <w:tcW w:w="2693" w:type="dxa"/>
            <w:vAlign w:val="center"/>
          </w:tcPr>
          <w:p w14:paraId="7646C48C" w14:textId="77777777" w:rsidR="00A122BB" w:rsidRDefault="00A122BB" w:rsidP="00C83150">
            <w:r w:rsidRPr="00326748">
              <w:rPr>
                <w:rFonts w:ascii="Times New Roman" w:eastAsia="Times New Roman" w:hAnsi="Times New Roman" w:cs="Times New Roman"/>
                <w:b/>
                <w:bCs/>
                <w:kern w:val="0"/>
                <w:sz w:val="24"/>
                <w:szCs w:val="24"/>
                <w:lang w:eastAsia="en-IN"/>
                <w14:ligatures w14:val="none"/>
              </w:rPr>
              <w:t>Key Implementation Challenges</w:t>
            </w:r>
          </w:p>
        </w:tc>
      </w:tr>
      <w:tr w:rsidR="00A122BB" w14:paraId="2F0D3378" w14:textId="77777777" w:rsidTr="00C83150">
        <w:tc>
          <w:tcPr>
            <w:tcW w:w="1526" w:type="dxa"/>
            <w:vAlign w:val="center"/>
          </w:tcPr>
          <w:p w14:paraId="56751298" w14:textId="77777777" w:rsidR="00A122BB" w:rsidRDefault="00A122BB" w:rsidP="00C83150">
            <w:r w:rsidRPr="00326748">
              <w:rPr>
                <w:rFonts w:ascii="Times New Roman" w:eastAsia="Times New Roman" w:hAnsi="Times New Roman" w:cs="Times New Roman"/>
                <w:kern w:val="0"/>
                <w:sz w:val="24"/>
                <w:szCs w:val="24"/>
                <w:lang w:eastAsia="en-IN"/>
                <w14:ligatures w14:val="none"/>
              </w:rPr>
              <w:t>Market-based</w:t>
            </w:r>
          </w:p>
        </w:tc>
        <w:tc>
          <w:tcPr>
            <w:tcW w:w="2551" w:type="dxa"/>
            <w:vAlign w:val="center"/>
          </w:tcPr>
          <w:p w14:paraId="64573FF6" w14:textId="77777777" w:rsidR="00A122BB" w:rsidRDefault="00A122BB" w:rsidP="00C83150">
            <w:r w:rsidRPr="00326748">
              <w:rPr>
                <w:rFonts w:ascii="Times New Roman" w:eastAsia="Times New Roman" w:hAnsi="Times New Roman" w:cs="Times New Roman"/>
                <w:kern w:val="0"/>
                <w:sz w:val="24"/>
                <w:szCs w:val="24"/>
                <w:lang w:eastAsia="en-IN"/>
                <w14:ligatures w14:val="none"/>
              </w:rPr>
              <w:t>GI certification; sustainability labelling; fair-trade premiums; niche market development</w:t>
            </w:r>
          </w:p>
        </w:tc>
        <w:tc>
          <w:tcPr>
            <w:tcW w:w="2694" w:type="dxa"/>
            <w:vAlign w:val="center"/>
          </w:tcPr>
          <w:p w14:paraId="023DAC0B" w14:textId="77777777" w:rsidR="00A122BB" w:rsidRDefault="00A122BB" w:rsidP="00C83150">
            <w:r w:rsidRPr="00326748">
              <w:rPr>
                <w:rFonts w:ascii="Times New Roman" w:eastAsia="Times New Roman" w:hAnsi="Times New Roman" w:cs="Times New Roman"/>
                <w:kern w:val="0"/>
                <w:sz w:val="24"/>
                <w:szCs w:val="24"/>
                <w:lang w:eastAsia="en-IN"/>
                <w14:ligatures w14:val="none"/>
              </w:rPr>
              <w:t>Value traditional products; reward ecological management</w:t>
            </w:r>
          </w:p>
        </w:tc>
        <w:tc>
          <w:tcPr>
            <w:tcW w:w="2693" w:type="dxa"/>
            <w:vAlign w:val="center"/>
          </w:tcPr>
          <w:p w14:paraId="12FDD626" w14:textId="77777777" w:rsidR="00A122BB" w:rsidRDefault="00A122BB" w:rsidP="00C83150">
            <w:r w:rsidRPr="00326748">
              <w:rPr>
                <w:rFonts w:ascii="Times New Roman" w:eastAsia="Times New Roman" w:hAnsi="Times New Roman" w:cs="Times New Roman"/>
                <w:kern w:val="0"/>
                <w:sz w:val="24"/>
                <w:szCs w:val="24"/>
                <w:lang w:eastAsia="en-IN"/>
                <w14:ligatures w14:val="none"/>
              </w:rPr>
              <w:t>Market access limitations; premium price reach; administrative cost in remote areas</w:t>
            </w:r>
          </w:p>
        </w:tc>
      </w:tr>
      <w:tr w:rsidR="00A122BB" w14:paraId="5E8938BC" w14:textId="77777777" w:rsidTr="00C83150">
        <w:tc>
          <w:tcPr>
            <w:tcW w:w="1526" w:type="dxa"/>
            <w:vAlign w:val="center"/>
          </w:tcPr>
          <w:p w14:paraId="287C4DE6" w14:textId="77777777" w:rsidR="00A122BB" w:rsidRDefault="00A122BB" w:rsidP="00C83150">
            <w:r w:rsidRPr="00326748">
              <w:rPr>
                <w:rFonts w:ascii="Times New Roman" w:eastAsia="Times New Roman" w:hAnsi="Times New Roman" w:cs="Times New Roman"/>
                <w:kern w:val="0"/>
                <w:sz w:val="24"/>
                <w:szCs w:val="24"/>
                <w:lang w:eastAsia="en-IN"/>
                <w14:ligatures w14:val="none"/>
              </w:rPr>
              <w:t>Financial</w:t>
            </w:r>
          </w:p>
        </w:tc>
        <w:tc>
          <w:tcPr>
            <w:tcW w:w="2551" w:type="dxa"/>
            <w:vAlign w:val="center"/>
          </w:tcPr>
          <w:p w14:paraId="43C53916" w14:textId="77777777" w:rsidR="00A122BB" w:rsidRDefault="00A122BB" w:rsidP="00C83150">
            <w:r w:rsidRPr="00326748">
              <w:rPr>
                <w:rFonts w:ascii="Times New Roman" w:eastAsia="Times New Roman" w:hAnsi="Times New Roman" w:cs="Times New Roman"/>
                <w:kern w:val="0"/>
                <w:sz w:val="24"/>
                <w:szCs w:val="24"/>
                <w:lang w:eastAsia="en-IN"/>
                <w14:ligatures w14:val="none"/>
              </w:rPr>
              <w:t xml:space="preserve">Payments for ecosystem services; </w:t>
            </w:r>
            <w:proofErr w:type="spellStart"/>
            <w:r w:rsidRPr="00326748">
              <w:rPr>
                <w:rFonts w:ascii="Times New Roman" w:eastAsia="Times New Roman" w:hAnsi="Times New Roman" w:cs="Times New Roman"/>
                <w:kern w:val="0"/>
                <w:sz w:val="24"/>
                <w:szCs w:val="24"/>
                <w:lang w:eastAsia="en-IN"/>
                <w14:ligatures w14:val="none"/>
              </w:rPr>
              <w:t>agri</w:t>
            </w:r>
            <w:proofErr w:type="spellEnd"/>
            <w:r w:rsidRPr="00326748">
              <w:rPr>
                <w:rFonts w:ascii="Times New Roman" w:eastAsia="Times New Roman" w:hAnsi="Times New Roman" w:cs="Times New Roman"/>
                <w:kern w:val="0"/>
                <w:sz w:val="24"/>
                <w:szCs w:val="24"/>
                <w:lang w:eastAsia="en-IN"/>
                <w14:ligatures w14:val="none"/>
              </w:rPr>
              <w:t>-environment schemes; green credit and insurance</w:t>
            </w:r>
          </w:p>
        </w:tc>
        <w:tc>
          <w:tcPr>
            <w:tcW w:w="2694" w:type="dxa"/>
            <w:vAlign w:val="center"/>
          </w:tcPr>
          <w:p w14:paraId="002BD43E" w14:textId="77777777" w:rsidR="00A122BB" w:rsidRDefault="00A122BB" w:rsidP="00C83150">
            <w:r w:rsidRPr="00326748">
              <w:rPr>
                <w:rFonts w:ascii="Times New Roman" w:eastAsia="Times New Roman" w:hAnsi="Times New Roman" w:cs="Times New Roman"/>
                <w:kern w:val="0"/>
                <w:sz w:val="24"/>
                <w:szCs w:val="24"/>
                <w:lang w:eastAsia="en-IN"/>
                <w14:ligatures w14:val="none"/>
              </w:rPr>
              <w:t>Internalise ecosystem service values into farm decisions</w:t>
            </w:r>
          </w:p>
        </w:tc>
        <w:tc>
          <w:tcPr>
            <w:tcW w:w="2693" w:type="dxa"/>
            <w:vAlign w:val="center"/>
          </w:tcPr>
          <w:p w14:paraId="2C79FA6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Design complexity; smallholder eligibility; long-term funding continuity</w:t>
            </w:r>
          </w:p>
        </w:tc>
      </w:tr>
      <w:tr w:rsidR="00A122BB" w14:paraId="18CEF17F" w14:textId="77777777" w:rsidTr="00C83150">
        <w:tc>
          <w:tcPr>
            <w:tcW w:w="1526" w:type="dxa"/>
            <w:vAlign w:val="center"/>
          </w:tcPr>
          <w:p w14:paraId="5152664D" w14:textId="77777777" w:rsidR="00A122BB" w:rsidRDefault="00A122BB" w:rsidP="00C83150">
            <w:r w:rsidRPr="00326748">
              <w:rPr>
                <w:rFonts w:ascii="Times New Roman" w:eastAsia="Times New Roman" w:hAnsi="Times New Roman" w:cs="Times New Roman"/>
                <w:kern w:val="0"/>
                <w:sz w:val="24"/>
                <w:szCs w:val="24"/>
                <w:lang w:eastAsia="en-IN"/>
                <w14:ligatures w14:val="none"/>
              </w:rPr>
              <w:t>Institutional</w:t>
            </w:r>
          </w:p>
        </w:tc>
        <w:tc>
          <w:tcPr>
            <w:tcW w:w="2551" w:type="dxa"/>
            <w:vAlign w:val="center"/>
          </w:tcPr>
          <w:p w14:paraId="612B884A" w14:textId="77777777" w:rsidR="00A122BB" w:rsidRDefault="00A122BB" w:rsidP="00C83150">
            <w:r w:rsidRPr="00326748">
              <w:rPr>
                <w:rFonts w:ascii="Times New Roman" w:eastAsia="Times New Roman" w:hAnsi="Times New Roman" w:cs="Times New Roman"/>
                <w:kern w:val="0"/>
                <w:sz w:val="24"/>
                <w:szCs w:val="24"/>
                <w:lang w:eastAsia="en-IN"/>
                <w14:ligatures w14:val="none"/>
              </w:rPr>
              <w:t>Farmer cooperatives; community seed banks; common property governance support</w:t>
            </w:r>
          </w:p>
        </w:tc>
        <w:tc>
          <w:tcPr>
            <w:tcW w:w="2694" w:type="dxa"/>
            <w:vAlign w:val="center"/>
          </w:tcPr>
          <w:p w14:paraId="5E18636F" w14:textId="77777777" w:rsidR="00A122BB" w:rsidRDefault="00A122BB" w:rsidP="00C83150">
            <w:r w:rsidRPr="00326748">
              <w:rPr>
                <w:rFonts w:ascii="Times New Roman" w:eastAsia="Times New Roman" w:hAnsi="Times New Roman" w:cs="Times New Roman"/>
                <w:kern w:val="0"/>
                <w:sz w:val="24"/>
                <w:szCs w:val="24"/>
                <w:lang w:eastAsia="en-IN"/>
                <w14:ligatures w14:val="none"/>
              </w:rPr>
              <w:t>Collective action; shared resource management; bargaining power</w:t>
            </w:r>
          </w:p>
        </w:tc>
        <w:tc>
          <w:tcPr>
            <w:tcW w:w="2693" w:type="dxa"/>
            <w:vAlign w:val="center"/>
          </w:tcPr>
          <w:p w14:paraId="68AB9062" w14:textId="77777777" w:rsidR="00A122BB" w:rsidRDefault="00A122BB" w:rsidP="00C83150">
            <w:r w:rsidRPr="00326748">
              <w:rPr>
                <w:rFonts w:ascii="Times New Roman" w:eastAsia="Times New Roman" w:hAnsi="Times New Roman" w:cs="Times New Roman"/>
                <w:kern w:val="0"/>
                <w:sz w:val="24"/>
                <w:szCs w:val="24"/>
                <w:lang w:eastAsia="en-IN"/>
                <w14:ligatures w14:val="none"/>
              </w:rPr>
              <w:t>Governance capacity; elite capture risk; enabling legal frameworks</w:t>
            </w:r>
          </w:p>
        </w:tc>
      </w:tr>
      <w:tr w:rsidR="00A122BB" w14:paraId="00922397" w14:textId="77777777" w:rsidTr="00C83150">
        <w:tc>
          <w:tcPr>
            <w:tcW w:w="1526" w:type="dxa"/>
            <w:vAlign w:val="center"/>
          </w:tcPr>
          <w:p w14:paraId="56134C35" w14:textId="77777777" w:rsidR="00A122BB" w:rsidRDefault="00A122BB" w:rsidP="00C83150">
            <w:r w:rsidRPr="00326748">
              <w:rPr>
                <w:rFonts w:ascii="Times New Roman" w:eastAsia="Times New Roman" w:hAnsi="Times New Roman" w:cs="Times New Roman"/>
                <w:kern w:val="0"/>
                <w:sz w:val="24"/>
                <w:szCs w:val="24"/>
                <w:lang w:eastAsia="en-IN"/>
                <w14:ligatures w14:val="none"/>
              </w:rPr>
              <w:t>Knowledge and extension</w:t>
            </w:r>
          </w:p>
        </w:tc>
        <w:tc>
          <w:tcPr>
            <w:tcW w:w="2551" w:type="dxa"/>
            <w:vAlign w:val="center"/>
          </w:tcPr>
          <w:p w14:paraId="3D5F7A80" w14:textId="77777777" w:rsidR="00A122BB" w:rsidRDefault="00A122BB" w:rsidP="00C83150">
            <w:r w:rsidRPr="00326748">
              <w:rPr>
                <w:rFonts w:ascii="Times New Roman" w:eastAsia="Times New Roman" w:hAnsi="Times New Roman" w:cs="Times New Roman"/>
                <w:kern w:val="0"/>
                <w:sz w:val="24"/>
                <w:szCs w:val="24"/>
                <w:lang w:eastAsia="en-IN"/>
                <w14:ligatures w14:val="none"/>
              </w:rPr>
              <w:t>Participatory research; TEK documentation and legal protection; agroecological extension</w:t>
            </w:r>
          </w:p>
        </w:tc>
        <w:tc>
          <w:tcPr>
            <w:tcW w:w="2694" w:type="dxa"/>
            <w:vAlign w:val="center"/>
          </w:tcPr>
          <w:p w14:paraId="12EB53E6" w14:textId="77777777" w:rsidR="00A122BB" w:rsidRDefault="00A122BB" w:rsidP="00C83150">
            <w:r w:rsidRPr="00326748">
              <w:rPr>
                <w:rFonts w:ascii="Times New Roman" w:eastAsia="Times New Roman" w:hAnsi="Times New Roman" w:cs="Times New Roman"/>
                <w:kern w:val="0"/>
                <w:sz w:val="24"/>
                <w:szCs w:val="24"/>
                <w:lang w:eastAsia="en-IN"/>
                <w14:ligatures w14:val="none"/>
              </w:rPr>
              <w:t>Integrate formal and traditional knowledge; support adaptive management</w:t>
            </w:r>
          </w:p>
        </w:tc>
        <w:tc>
          <w:tcPr>
            <w:tcW w:w="2693" w:type="dxa"/>
            <w:vAlign w:val="center"/>
          </w:tcPr>
          <w:p w14:paraId="68FE5866" w14:textId="77777777" w:rsidR="00A122BB" w:rsidRDefault="00A122BB" w:rsidP="00C83150">
            <w:r w:rsidRPr="00326748">
              <w:rPr>
                <w:rFonts w:ascii="Times New Roman" w:eastAsia="Times New Roman" w:hAnsi="Times New Roman" w:cs="Times New Roman"/>
                <w:kern w:val="0"/>
                <w:sz w:val="24"/>
                <w:szCs w:val="24"/>
                <w:lang w:eastAsia="en-IN"/>
                <w14:ligatures w14:val="none"/>
              </w:rPr>
              <w:t>Institutional resistance; funding continuity; measurement and evaluation</w:t>
            </w:r>
          </w:p>
        </w:tc>
      </w:tr>
      <w:tr w:rsidR="00A122BB" w14:paraId="07215E0B" w14:textId="77777777" w:rsidTr="00C83150">
        <w:tc>
          <w:tcPr>
            <w:tcW w:w="1526" w:type="dxa"/>
            <w:vAlign w:val="center"/>
          </w:tcPr>
          <w:p w14:paraId="016C05DE"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Regulatory and spatial</w:t>
            </w:r>
          </w:p>
        </w:tc>
        <w:tc>
          <w:tcPr>
            <w:tcW w:w="2551" w:type="dxa"/>
            <w:vAlign w:val="center"/>
          </w:tcPr>
          <w:p w14:paraId="2829B6FF"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Land use planning; erosion control requirements; biodiversity mainstreaming in agriculture</w:t>
            </w:r>
          </w:p>
        </w:tc>
        <w:tc>
          <w:tcPr>
            <w:tcW w:w="2694" w:type="dxa"/>
            <w:vAlign w:val="center"/>
          </w:tcPr>
          <w:p w14:paraId="635E0D17"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Protect ecological integrity; prevent irreversible land degradation</w:t>
            </w:r>
          </w:p>
        </w:tc>
        <w:tc>
          <w:tcPr>
            <w:tcW w:w="2693" w:type="dxa"/>
            <w:vAlign w:val="center"/>
          </w:tcPr>
          <w:p w14:paraId="2A29229B"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Enforcement capacity; political economy constraints; trade-offs with growth objectives</w:t>
            </w:r>
          </w:p>
        </w:tc>
      </w:tr>
      <w:tr w:rsidR="00A122BB" w14:paraId="3A27852C" w14:textId="77777777" w:rsidTr="00C83150">
        <w:tc>
          <w:tcPr>
            <w:tcW w:w="1526" w:type="dxa"/>
            <w:vAlign w:val="center"/>
          </w:tcPr>
          <w:p w14:paraId="26217549"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International frameworks</w:t>
            </w:r>
          </w:p>
        </w:tc>
        <w:tc>
          <w:tcPr>
            <w:tcW w:w="2551" w:type="dxa"/>
            <w:vAlign w:val="center"/>
          </w:tcPr>
          <w:p w14:paraId="6C9D2837"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Biodiversity treaties; SDG implementation; climate adaptation finance; CGIAR research</w:t>
            </w:r>
          </w:p>
        </w:tc>
        <w:tc>
          <w:tcPr>
            <w:tcW w:w="2694" w:type="dxa"/>
            <w:vAlign w:val="center"/>
          </w:tcPr>
          <w:p w14:paraId="641CB6BF"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Align national policy with global sustainability commitments</w:t>
            </w:r>
          </w:p>
        </w:tc>
        <w:tc>
          <w:tcPr>
            <w:tcW w:w="2693" w:type="dxa"/>
            <w:vAlign w:val="center"/>
          </w:tcPr>
          <w:p w14:paraId="3C9BA576" w14:textId="77777777" w:rsidR="00A122BB" w:rsidRPr="00326748" w:rsidRDefault="00A122BB" w:rsidP="00C83150">
            <w:pPr>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Implementation gaps; conditionality risks; coherence between instruments</w:t>
            </w:r>
          </w:p>
        </w:tc>
      </w:tr>
    </w:tbl>
    <w:p w14:paraId="3E070217" w14:textId="59058C4F" w:rsidR="00326748" w:rsidRPr="00326748" w:rsidRDefault="00326748" w:rsidP="00A122BB">
      <w:pPr>
        <w:spacing w:after="0"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t xml:space="preserve">Sources: Fischer &amp; Qaim (2012); Verburg et al. (2015); </w:t>
      </w:r>
      <w:r w:rsidR="004D298C">
        <w:rPr>
          <w:rFonts w:ascii="Times New Roman" w:eastAsia="Times New Roman" w:hAnsi="Times New Roman" w:cs="Times New Roman"/>
          <w:i/>
          <w:iCs/>
          <w:kern w:val="0"/>
          <w:sz w:val="24"/>
          <w:szCs w:val="24"/>
          <w:lang w:eastAsia="en-IN"/>
          <w14:ligatures w14:val="none"/>
        </w:rPr>
        <w:t>HLPE</w:t>
      </w:r>
      <w:r w:rsidR="0005537E" w:rsidRPr="0005537E">
        <w:rPr>
          <w:rFonts w:ascii="Times New Roman" w:eastAsia="Times New Roman" w:hAnsi="Times New Roman" w:cs="Times New Roman"/>
          <w:i/>
          <w:iCs/>
          <w:kern w:val="0"/>
          <w:sz w:val="24"/>
          <w:szCs w:val="24"/>
          <w:lang w:eastAsia="en-IN"/>
          <w14:ligatures w14:val="none"/>
        </w:rPr>
        <w:t xml:space="preserve"> </w:t>
      </w:r>
      <w:r w:rsidR="0005537E">
        <w:rPr>
          <w:rFonts w:ascii="Times New Roman" w:eastAsia="Times New Roman" w:hAnsi="Times New Roman" w:cs="Times New Roman"/>
          <w:i/>
          <w:iCs/>
          <w:kern w:val="0"/>
          <w:sz w:val="24"/>
          <w:szCs w:val="24"/>
          <w:lang w:eastAsia="en-IN"/>
          <w14:ligatures w14:val="none"/>
        </w:rPr>
        <w:t>(</w:t>
      </w:r>
      <w:r w:rsidR="0005537E" w:rsidRPr="0005537E">
        <w:rPr>
          <w:rFonts w:ascii="Times New Roman" w:eastAsia="Times New Roman" w:hAnsi="Times New Roman" w:cs="Times New Roman"/>
          <w:i/>
          <w:iCs/>
          <w:kern w:val="0"/>
          <w:sz w:val="24"/>
          <w:szCs w:val="24"/>
          <w:lang w:eastAsia="en-IN"/>
          <w14:ligatures w14:val="none"/>
        </w:rPr>
        <w:t>2019</w:t>
      </w:r>
      <w:r w:rsidRPr="00326748">
        <w:rPr>
          <w:rFonts w:ascii="Times New Roman" w:eastAsia="Times New Roman" w:hAnsi="Times New Roman" w:cs="Times New Roman"/>
          <w:i/>
          <w:iCs/>
          <w:kern w:val="0"/>
          <w:sz w:val="24"/>
          <w:szCs w:val="24"/>
          <w:lang w:eastAsia="en-IN"/>
          <w14:ligatures w14:val="none"/>
        </w:rPr>
        <w:t>); Kerr et al. (2021); Wester et al. (2019); FAO (2021)</w:t>
      </w:r>
      <w:r w:rsidR="006F268D">
        <w:rPr>
          <w:rFonts w:ascii="Times New Roman" w:eastAsia="Times New Roman" w:hAnsi="Times New Roman" w:cs="Times New Roman"/>
          <w:i/>
          <w:iCs/>
          <w:kern w:val="0"/>
          <w:sz w:val="24"/>
          <w:szCs w:val="24"/>
          <w:lang w:eastAsia="en-IN"/>
          <w14:ligatures w14:val="none"/>
        </w:rPr>
        <w:t xml:space="preserve">; </w:t>
      </w:r>
      <w:r w:rsidR="006F268D" w:rsidRPr="006F268D">
        <w:rPr>
          <w:rFonts w:ascii="Times New Roman" w:eastAsia="Times New Roman" w:hAnsi="Times New Roman" w:cs="Times New Roman"/>
          <w:i/>
          <w:iCs/>
          <w:kern w:val="0"/>
          <w:sz w:val="24"/>
          <w:szCs w:val="24"/>
          <w:lang w:eastAsia="en-IN"/>
          <w14:ligatures w14:val="none"/>
        </w:rPr>
        <w:t>Sachet et al. (2021)</w:t>
      </w:r>
    </w:p>
    <w:p w14:paraId="364B9FFB"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9. Conclusions</w:t>
      </w:r>
    </w:p>
    <w:p w14:paraId="0E452100"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commercialisation of traditional agriculture in mountain areas represents one of the most consequential and complex rural transformations of the twenty-first century. Drawing on a </w:t>
      </w:r>
      <w:r w:rsidRPr="00326748">
        <w:rPr>
          <w:rFonts w:ascii="Times New Roman" w:eastAsia="Times New Roman" w:hAnsi="Times New Roman" w:cs="Times New Roman"/>
          <w:kern w:val="0"/>
          <w:sz w:val="24"/>
          <w:szCs w:val="24"/>
          <w:lang w:eastAsia="en-IN"/>
          <w14:ligatures w14:val="none"/>
        </w:rPr>
        <w:lastRenderedPageBreak/>
        <w:t>synthesis of peer-reviewed literature spanning sustainability science, agroecology, rural development economics, and mountain ecology, this review has demonstrated that commercialisation is a deeply ambivalent process: it generates genuine livelihood opportunities and income gains for mountain farming households while simultaneously placing under stress the ecological foundations, knowledge systems, and governance arrangements that have made these systems resilient over centuries.</w:t>
      </w:r>
    </w:p>
    <w:p w14:paraId="0D0FB50D"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evidence reviewed here consistently supports the conclusion that when commercialisation proceeds without explicit attention to ecological sustainability and resilience, it tends to erode the agrobiodiversity, soil health, water regulation capacity, and traditional ecological knowledge that underpin the long-term adaptive capacity of mountain farming systems. The substitution of diverse subsistence production for specialised commercial crops has been associated with dietary diversity losses, increased climate vulnerability, and the marginalisation of women's roles in agriculture—outcomes that contradict the stated development objectives of commercialisation itself. At the same time, the magnitude, pace, and reversibility of these impacts vary considerably across regions, crop systems, and governance environments, a heterogeneity that demands differentiated analytical and policy responses.</w:t>
      </w:r>
    </w:p>
    <w:p w14:paraId="2EA1621B"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review has also identified genuinely promising pathways towards sustainable commercialisation. Agroecological approaches that combine ecological complexity with market orientation, market instruments that reward biodiversity conservation and traditional knowledge maintenance, and institutional innovations that enhance collective action among mountain smallholders all offer evidence-based routes towards more equitable and sustainable outcomes. These pathways do not emerge automatically from market processes; they require deliberate policy choices, sustained institutional investment, and governance arrangements that explicitly value long-term sustainability over short-term market efficiency.</w:t>
      </w:r>
    </w:p>
    <w:p w14:paraId="003D69FF"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analytical framework of agroecological resilience has proved particularly valuable for characterising what is fundamentally at stake in mountain agriculture transitions. The resilience properties of traditional mountain farming systems—diversity, redundancy, adaptability, connectivity—are not incidental features but are structural attributes that represent centuries of co-evolution between farming communities and their mountain environments. Their progressive loss through commercialisation represents not merely a cultural event but a fundamental reduction in the adaptive capacity available to communities facing the accelerating challenges of climate change, market volatility, and demographic transformation. Preserving and building upon these properties, rather than simply replacing them with market logic, is the central challenge for mountain agricultural policy in the decades ahead.</w:t>
      </w:r>
    </w:p>
    <w:p w14:paraId="4F181A5A"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binary framing of commercialisation versus tradition is not analytically useful and, in fact, obscures the real choices available to policy makers and farming communities. The more productive question is how the transition to market-oriented agriculture can be governed in ways that preserve ecological integrity, sustain diverse livelihoods, and build rather than erode the resilience that mountain farming communities will need to navigate an uncertain future. Answering that question requires sustained interdisciplinary research, genuinely participatory policy processes, and a willingness on the part of development institutions to value the irreplaceable ecological and cultural heritage embedded in traditional mountain agriculture.</w:t>
      </w:r>
    </w:p>
    <w:p w14:paraId="27C5EDA2"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lastRenderedPageBreak/>
        <w:t>10. Limitations</w:t>
      </w:r>
    </w:p>
    <w:p w14:paraId="6F3A14C0"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This review is subject to several limitations that should be acknowledged in interpreting its findings. First, the evidence base is geographically uneven: the literature on mountain agricultural commercialisation is considerably more developed for the Hindu Kush-Himalayan region, the Andes, and the European Alps than for other mountain regions, including montane sub-Saharan Africa, the mountains of Central Asia, and the highland zones of Southeast Asia. Generalisations drawn from better-studied regions may not apply uniformly across the full diversity of mountain farming contexts, and there is a risk that the patterns identified in this review reflect the geographical distribution of research investment as much as the underlying distribution of ecological and livelihood outcomes.</w:t>
      </w:r>
    </w:p>
    <w:p w14:paraId="223AECBC"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Second, the narrative review methodology adopted here, while well suited to synthesising heterogeneous interdisciplinary evidence, does not permit the quantitative assessment of effect sizes or the statistical weighting of evidence quality that would be possible in a formal systematic review or meta-analysis. The conclusions are therefore necessarily qualitative in character and are framed with appropriate analytical caution about the strength of the underlying evidence base for specific claims.</w:t>
      </w:r>
    </w:p>
    <w:p w14:paraId="499899D3"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Third, the review has focused predominantly on published peer-reviewed literature and authoritative institutional reports, which inevitably underrepresent practitioner knowledge, community-based evidence, and insights from participatory action research that have not been published in accessible academic formats. This limitation is particularly consequential given the emphasis in the paper on traditional ecological knowledge, which is rarely fully captured in peer-reviewed publications and which may be better represented in grey literature sources that were excluded on methodological grounds.</w:t>
      </w:r>
    </w:p>
    <w:p w14:paraId="7E520FF6"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Fourth, the dynamic nature of the topic means that specific claims about current commercialisation trajectories, market conditions, and policy environments may be partially overtaken by developments occurring after the literature search cut-off date of 29 May 2026. The structural findings of the review regarding the ecological, livelihood, and resilience implications of commercialisation are expected to retain their validity, but the empirical landscape is continuously evolving, and ongoing monitoring of new literature is advisable for readers using this review as a foundation for policy or research decisions.</w:t>
      </w:r>
    </w:p>
    <w:p w14:paraId="2D3B482E" w14:textId="77777777" w:rsidR="00326748" w:rsidRPr="00326748" w:rsidRDefault="00326748" w:rsidP="0032674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Fifth, the review does not systematically address the interaction effects between commercialisation and specific climate change trajectories, which would require detailed scenario modelling beyond the scope of a narrative synthesis. The relationships between market integration, diversity loss, and climate vulnerability are identified here as theoretically grounded and empirically plausible, but their quantitative specification under different warming and precipitation scenarios remains an important gap in the current literature and a priority for future research.</w:t>
      </w:r>
    </w:p>
    <w:p w14:paraId="564CD145" w14:textId="4B00FBF3" w:rsidR="00326748" w:rsidRPr="00326748" w:rsidRDefault="00326748" w:rsidP="00326748">
      <w:pPr>
        <w:spacing w:after="0" w:line="240" w:lineRule="auto"/>
        <w:rPr>
          <w:rFonts w:ascii="Times New Roman" w:eastAsia="Times New Roman" w:hAnsi="Times New Roman" w:cs="Times New Roman"/>
          <w:kern w:val="0"/>
          <w:sz w:val="24"/>
          <w:szCs w:val="24"/>
          <w:lang w:eastAsia="en-IN"/>
          <w14:ligatures w14:val="none"/>
        </w:rPr>
      </w:pPr>
    </w:p>
    <w:p w14:paraId="5C05259F" w14:textId="77777777" w:rsidR="00326748" w:rsidRPr="00326748" w:rsidRDefault="00326748" w:rsidP="0032674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bookmarkStart w:id="0" w:name="_Hlk232405476"/>
      <w:r w:rsidRPr="00326748">
        <w:rPr>
          <w:rFonts w:ascii="Times New Roman" w:eastAsia="Times New Roman" w:hAnsi="Times New Roman" w:cs="Times New Roman"/>
          <w:b/>
          <w:bCs/>
          <w:kern w:val="0"/>
          <w:sz w:val="27"/>
          <w:szCs w:val="27"/>
          <w:lang w:eastAsia="en-IN"/>
          <w14:ligatures w14:val="none"/>
        </w:rPr>
        <w:t>References</w:t>
      </w:r>
    </w:p>
    <w:p w14:paraId="1F79E9E4"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Adhikari, L., Hussain, A., &amp; Rasul, G. (2017). Tapping the Potential of Neglected and Underutilized Food Crops for Sustainable Nutrition Security in the Mountains of Pakistan and Nepal. Sustainability, 9(2), 291. </w:t>
      </w:r>
      <w:hyperlink r:id="rId8" w:history="1">
        <w:r w:rsidRPr="000807DC">
          <w:rPr>
            <w:rStyle w:val="Hyperlink"/>
            <w:rFonts w:ascii="Times New Roman" w:eastAsia="Times New Roman" w:hAnsi="Times New Roman" w:cs="Times New Roman"/>
            <w:kern w:val="0"/>
            <w:sz w:val="24"/>
            <w:szCs w:val="24"/>
            <w:lang w:eastAsia="en-IN"/>
            <w14:ligatures w14:val="none"/>
          </w:rPr>
          <w:t>https://doi.org/10.3390/su9020291</w:t>
        </w:r>
      </w:hyperlink>
      <w:r w:rsidRPr="000807DC">
        <w:rPr>
          <w:rFonts w:ascii="Times New Roman" w:eastAsia="Times New Roman" w:hAnsi="Times New Roman" w:cs="Times New Roman"/>
          <w:kern w:val="0"/>
          <w:sz w:val="24"/>
          <w:szCs w:val="24"/>
          <w:lang w:eastAsia="en-IN"/>
          <w14:ligatures w14:val="none"/>
        </w:rPr>
        <w:t xml:space="preserve"> </w:t>
      </w:r>
    </w:p>
    <w:p w14:paraId="230E931E"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lastRenderedPageBreak/>
        <w:t xml:space="preserve">Adugna, W. (2026). Contribution of soil and water conservation practices to livelihood improvement and land resource restoration in </w:t>
      </w:r>
      <w:proofErr w:type="spellStart"/>
      <w:r w:rsidRPr="000807DC">
        <w:rPr>
          <w:rFonts w:ascii="Times New Roman" w:eastAsia="Times New Roman" w:hAnsi="Times New Roman" w:cs="Times New Roman"/>
          <w:kern w:val="0"/>
          <w:sz w:val="24"/>
          <w:szCs w:val="24"/>
          <w:lang w:eastAsia="en-IN"/>
          <w14:ligatures w14:val="none"/>
        </w:rPr>
        <w:t>Meribo</w:t>
      </w:r>
      <w:proofErr w:type="spellEnd"/>
      <w:r w:rsidRPr="000807DC">
        <w:rPr>
          <w:rFonts w:ascii="Times New Roman" w:eastAsia="Times New Roman" w:hAnsi="Times New Roman" w:cs="Times New Roman"/>
          <w:kern w:val="0"/>
          <w:sz w:val="24"/>
          <w:szCs w:val="24"/>
          <w:lang w:eastAsia="en-IN"/>
          <w14:ligatures w14:val="none"/>
        </w:rPr>
        <w:t xml:space="preserve"> and </w:t>
      </w:r>
      <w:proofErr w:type="spellStart"/>
      <w:r w:rsidRPr="000807DC">
        <w:rPr>
          <w:rFonts w:ascii="Times New Roman" w:eastAsia="Times New Roman" w:hAnsi="Times New Roman" w:cs="Times New Roman"/>
          <w:kern w:val="0"/>
          <w:sz w:val="24"/>
          <w:szCs w:val="24"/>
          <w:lang w:eastAsia="en-IN"/>
          <w14:ligatures w14:val="none"/>
        </w:rPr>
        <w:t>Halu</w:t>
      </w:r>
      <w:proofErr w:type="spellEnd"/>
      <w:r w:rsidRPr="000807DC">
        <w:rPr>
          <w:rFonts w:ascii="Times New Roman" w:eastAsia="Times New Roman" w:hAnsi="Times New Roman" w:cs="Times New Roman"/>
          <w:kern w:val="0"/>
          <w:sz w:val="24"/>
          <w:szCs w:val="24"/>
          <w:lang w:eastAsia="en-IN"/>
          <w14:ligatures w14:val="none"/>
        </w:rPr>
        <w:t xml:space="preserve"> Sub-Watersheds, </w:t>
      </w:r>
      <w:proofErr w:type="spellStart"/>
      <w:r w:rsidRPr="000807DC">
        <w:rPr>
          <w:rFonts w:ascii="Times New Roman" w:eastAsia="Times New Roman" w:hAnsi="Times New Roman" w:cs="Times New Roman"/>
          <w:kern w:val="0"/>
          <w:sz w:val="24"/>
          <w:szCs w:val="24"/>
          <w:lang w:eastAsia="en-IN"/>
          <w14:ligatures w14:val="none"/>
        </w:rPr>
        <w:t>Wondogenet</w:t>
      </w:r>
      <w:proofErr w:type="spellEnd"/>
      <w:r w:rsidRPr="000807DC">
        <w:rPr>
          <w:rFonts w:ascii="Times New Roman" w:eastAsia="Times New Roman" w:hAnsi="Times New Roman" w:cs="Times New Roman"/>
          <w:kern w:val="0"/>
          <w:sz w:val="24"/>
          <w:szCs w:val="24"/>
          <w:lang w:eastAsia="en-IN"/>
          <w14:ligatures w14:val="none"/>
        </w:rPr>
        <w:t xml:space="preserve"> Woreda, Sidama Region, Ethiopia. Asian Journal of Research and Review in Agriculture, 8(1), 55–72. </w:t>
      </w:r>
      <w:hyperlink r:id="rId9" w:history="1">
        <w:r w:rsidRPr="000807DC">
          <w:rPr>
            <w:rStyle w:val="Hyperlink"/>
            <w:rFonts w:ascii="Times New Roman" w:eastAsia="Times New Roman" w:hAnsi="Times New Roman" w:cs="Times New Roman"/>
            <w:kern w:val="0"/>
            <w:sz w:val="24"/>
            <w:szCs w:val="24"/>
            <w:lang w:eastAsia="en-IN"/>
            <w14:ligatures w14:val="none"/>
          </w:rPr>
          <w:t>https://doi.org/10.56557/ajrra/2026/v8i1195</w:t>
        </w:r>
      </w:hyperlink>
      <w:r w:rsidRPr="000807DC">
        <w:rPr>
          <w:rFonts w:ascii="Times New Roman" w:eastAsia="Times New Roman" w:hAnsi="Times New Roman" w:cs="Times New Roman"/>
          <w:kern w:val="0"/>
          <w:sz w:val="24"/>
          <w:szCs w:val="24"/>
          <w:lang w:eastAsia="en-IN"/>
          <w14:ligatures w14:val="none"/>
        </w:rPr>
        <w:t xml:space="preserve"> </w:t>
      </w:r>
    </w:p>
    <w:p w14:paraId="012E9DB9"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Altieri, M. A., Nicholls, C. I., Henao, A., &amp; Lana, M. A. (2015). Agroecology and the design of climate change-resilient farming systems. </w:t>
      </w:r>
      <w:r w:rsidRPr="000807DC">
        <w:rPr>
          <w:rFonts w:ascii="Times New Roman" w:eastAsia="Times New Roman" w:hAnsi="Times New Roman" w:cs="Times New Roman"/>
          <w:i/>
          <w:iCs/>
          <w:kern w:val="0"/>
          <w:sz w:val="24"/>
          <w:szCs w:val="24"/>
          <w:lang w:eastAsia="en-IN"/>
          <w14:ligatures w14:val="none"/>
        </w:rPr>
        <w:t>Agronomy for Sustainable Development</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35</w:t>
      </w:r>
      <w:r w:rsidRPr="000807DC">
        <w:rPr>
          <w:rFonts w:ascii="Times New Roman" w:eastAsia="Times New Roman" w:hAnsi="Times New Roman" w:cs="Times New Roman"/>
          <w:kern w:val="0"/>
          <w:sz w:val="24"/>
          <w:szCs w:val="24"/>
          <w:lang w:eastAsia="en-IN"/>
          <w14:ligatures w14:val="none"/>
        </w:rPr>
        <w:t xml:space="preserve">, 869–890. </w:t>
      </w:r>
      <w:hyperlink r:id="rId10" w:history="1">
        <w:r w:rsidRPr="000807DC">
          <w:rPr>
            <w:rFonts w:ascii="Times New Roman" w:eastAsia="Times New Roman" w:hAnsi="Times New Roman" w:cs="Times New Roman"/>
            <w:color w:val="0000FF"/>
            <w:kern w:val="0"/>
            <w:sz w:val="24"/>
            <w:szCs w:val="24"/>
            <w:u w:val="single"/>
            <w:lang w:eastAsia="en-IN"/>
            <w14:ligatures w14:val="none"/>
          </w:rPr>
          <w:t>https://doi.org/10.1007/s13593-015-0285-2</w:t>
        </w:r>
      </w:hyperlink>
    </w:p>
    <w:p w14:paraId="7465820B"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Barrett, C. B. (2008). Smallholder market participation: Concepts and evidence from eastern and southern Africa. </w:t>
      </w:r>
      <w:r w:rsidRPr="000807DC">
        <w:rPr>
          <w:rFonts w:ascii="Times New Roman" w:eastAsia="Times New Roman" w:hAnsi="Times New Roman" w:cs="Times New Roman"/>
          <w:i/>
          <w:iCs/>
          <w:kern w:val="0"/>
          <w:sz w:val="24"/>
          <w:szCs w:val="24"/>
          <w:lang w:eastAsia="en-IN"/>
          <w14:ligatures w14:val="none"/>
        </w:rPr>
        <w:t>Food Policy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33</w:t>
      </w:r>
      <w:r w:rsidRPr="000807DC">
        <w:rPr>
          <w:rFonts w:ascii="Times New Roman" w:eastAsia="Times New Roman" w:hAnsi="Times New Roman" w:cs="Times New Roman"/>
          <w:kern w:val="0"/>
          <w:sz w:val="24"/>
          <w:szCs w:val="24"/>
          <w:lang w:eastAsia="en-IN"/>
          <w14:ligatures w14:val="none"/>
        </w:rPr>
        <w:t xml:space="preserve">(4), 299–317. </w:t>
      </w:r>
      <w:hyperlink r:id="rId11" w:history="1">
        <w:r w:rsidRPr="000807DC">
          <w:rPr>
            <w:rFonts w:ascii="Times New Roman" w:eastAsia="Times New Roman" w:hAnsi="Times New Roman" w:cs="Times New Roman"/>
            <w:color w:val="0000FF"/>
            <w:kern w:val="0"/>
            <w:sz w:val="24"/>
            <w:szCs w:val="24"/>
            <w:u w:val="single"/>
            <w:lang w:eastAsia="en-IN"/>
            <w14:ligatures w14:val="none"/>
          </w:rPr>
          <w:t>https://doi.org/10.1016/j.foodpol.2007.10.005</w:t>
        </w:r>
      </w:hyperlink>
    </w:p>
    <w:p w14:paraId="753AD6E8"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Bengtsson, J., </w:t>
      </w:r>
      <w:proofErr w:type="spellStart"/>
      <w:r w:rsidRPr="000807DC">
        <w:rPr>
          <w:rFonts w:ascii="Times New Roman" w:eastAsia="Times New Roman" w:hAnsi="Times New Roman" w:cs="Times New Roman"/>
          <w:kern w:val="0"/>
          <w:sz w:val="24"/>
          <w:szCs w:val="24"/>
          <w:lang w:eastAsia="en-IN"/>
          <w14:ligatures w14:val="none"/>
        </w:rPr>
        <w:t>Ahnström</w:t>
      </w:r>
      <w:proofErr w:type="spellEnd"/>
      <w:r w:rsidRPr="000807DC">
        <w:rPr>
          <w:rFonts w:ascii="Times New Roman" w:eastAsia="Times New Roman" w:hAnsi="Times New Roman" w:cs="Times New Roman"/>
          <w:kern w:val="0"/>
          <w:sz w:val="24"/>
          <w:szCs w:val="24"/>
          <w:lang w:eastAsia="en-IN"/>
          <w14:ligatures w14:val="none"/>
        </w:rPr>
        <w:t xml:space="preserve">, J., &amp; Weibull, A. C. (2005). The effects of organic agriculture on biodiversity and abundance: A meta-analysis. </w:t>
      </w:r>
      <w:r w:rsidRPr="000807DC">
        <w:rPr>
          <w:rFonts w:ascii="Times New Roman" w:eastAsia="Times New Roman" w:hAnsi="Times New Roman" w:cs="Times New Roman"/>
          <w:i/>
          <w:iCs/>
          <w:kern w:val="0"/>
          <w:sz w:val="24"/>
          <w:szCs w:val="24"/>
          <w:lang w:eastAsia="en-IN"/>
          <w14:ligatures w14:val="none"/>
        </w:rPr>
        <w:t>Journal of Applied Ecology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42</w:t>
      </w:r>
      <w:r w:rsidRPr="000807DC">
        <w:rPr>
          <w:rFonts w:ascii="Times New Roman" w:eastAsia="Times New Roman" w:hAnsi="Times New Roman" w:cs="Times New Roman"/>
          <w:kern w:val="0"/>
          <w:sz w:val="24"/>
          <w:szCs w:val="24"/>
          <w:lang w:eastAsia="en-IN"/>
          <w14:ligatures w14:val="none"/>
        </w:rPr>
        <w:t xml:space="preserve">(2), 261–269. </w:t>
      </w:r>
      <w:hyperlink r:id="rId12" w:history="1">
        <w:r w:rsidRPr="000807DC">
          <w:rPr>
            <w:rFonts w:ascii="Times New Roman" w:eastAsia="Times New Roman" w:hAnsi="Times New Roman" w:cs="Times New Roman"/>
            <w:color w:val="0000FF"/>
            <w:kern w:val="0"/>
            <w:sz w:val="24"/>
            <w:szCs w:val="24"/>
            <w:u w:val="single"/>
            <w:lang w:eastAsia="en-IN"/>
            <w14:ligatures w14:val="none"/>
          </w:rPr>
          <w:t>https://doi.org/10.1111/j.1365-2664.2005.01005.x</w:t>
        </w:r>
      </w:hyperlink>
    </w:p>
    <w:p w14:paraId="6D5371D9"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Berkes, F., Colding, J., &amp; Folke, C. (2000). Rediscovery of traditional ecological knowledge as adaptive management. </w:t>
      </w:r>
      <w:r w:rsidRPr="000807DC">
        <w:rPr>
          <w:rFonts w:ascii="Times New Roman" w:eastAsia="Times New Roman" w:hAnsi="Times New Roman" w:cs="Times New Roman"/>
          <w:i/>
          <w:iCs/>
          <w:kern w:val="0"/>
          <w:sz w:val="24"/>
          <w:szCs w:val="24"/>
          <w:lang w:eastAsia="en-IN"/>
          <w14:ligatures w14:val="none"/>
        </w:rPr>
        <w:t>Ecological Applications</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10</w:t>
      </w:r>
      <w:r w:rsidRPr="000807DC">
        <w:rPr>
          <w:rFonts w:ascii="Times New Roman" w:eastAsia="Times New Roman" w:hAnsi="Times New Roman" w:cs="Times New Roman"/>
          <w:kern w:val="0"/>
          <w:sz w:val="24"/>
          <w:szCs w:val="24"/>
          <w:lang w:eastAsia="en-IN"/>
          <w14:ligatures w14:val="none"/>
        </w:rPr>
        <w:t xml:space="preserve">(5), 1251–1262. </w:t>
      </w:r>
      <w:hyperlink r:id="rId13" w:history="1">
        <w:r w:rsidRPr="000807DC">
          <w:rPr>
            <w:rFonts w:ascii="Times New Roman" w:eastAsia="Times New Roman" w:hAnsi="Times New Roman" w:cs="Times New Roman"/>
            <w:color w:val="0000FF"/>
            <w:kern w:val="0"/>
            <w:sz w:val="24"/>
            <w:szCs w:val="24"/>
            <w:u w:val="single"/>
            <w:lang w:eastAsia="en-IN"/>
            <w14:ligatures w14:val="none"/>
          </w:rPr>
          <w:t>https://doi.org/10.1890/1051-0761(2000)010[1251:ROTEKA]2.0.CO;2</w:t>
        </w:r>
      </w:hyperlink>
    </w:p>
    <w:p w14:paraId="35437D81"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Bertsch-Hoermann, B., Egger, C., </w:t>
      </w:r>
      <w:proofErr w:type="spellStart"/>
      <w:r w:rsidRPr="000807DC">
        <w:rPr>
          <w:rFonts w:ascii="Times New Roman" w:eastAsia="Times New Roman" w:hAnsi="Times New Roman" w:cs="Times New Roman"/>
          <w:kern w:val="0"/>
          <w:sz w:val="24"/>
          <w:szCs w:val="24"/>
          <w:lang w:eastAsia="en-IN"/>
          <w14:ligatures w14:val="none"/>
        </w:rPr>
        <w:t>Gaube</w:t>
      </w:r>
      <w:proofErr w:type="spellEnd"/>
      <w:r w:rsidRPr="000807DC">
        <w:rPr>
          <w:rFonts w:ascii="Times New Roman" w:eastAsia="Times New Roman" w:hAnsi="Times New Roman" w:cs="Times New Roman"/>
          <w:kern w:val="0"/>
          <w:sz w:val="24"/>
          <w:szCs w:val="24"/>
          <w:lang w:eastAsia="en-IN"/>
          <w14:ligatures w14:val="none"/>
        </w:rPr>
        <w:t xml:space="preserve">, V., &amp; Gingrich, S. (2021). Agroforestry trade-offs between biomass provision and aboveground carbon sequestration in the alpine Eisenwurzen region, Austria. </w:t>
      </w:r>
      <w:r w:rsidRPr="000807DC">
        <w:rPr>
          <w:rFonts w:ascii="Times New Roman" w:eastAsia="Times New Roman" w:hAnsi="Times New Roman" w:cs="Times New Roman"/>
          <w:i/>
          <w:iCs/>
          <w:kern w:val="0"/>
          <w:sz w:val="24"/>
          <w:szCs w:val="24"/>
          <w:lang w:eastAsia="en-IN"/>
          <w14:ligatures w14:val="none"/>
        </w:rPr>
        <w:t>Regional Environmental Change, 21</w:t>
      </w:r>
      <w:r w:rsidRPr="000807DC">
        <w:rPr>
          <w:rFonts w:ascii="Times New Roman" w:eastAsia="Times New Roman" w:hAnsi="Times New Roman" w:cs="Times New Roman"/>
          <w:kern w:val="0"/>
          <w:sz w:val="24"/>
          <w:szCs w:val="24"/>
          <w:lang w:eastAsia="en-IN"/>
          <w14:ligatures w14:val="none"/>
        </w:rPr>
        <w:t xml:space="preserve">, Article 77. </w:t>
      </w:r>
      <w:hyperlink r:id="rId14" w:history="1">
        <w:r w:rsidRPr="000807DC">
          <w:rPr>
            <w:rStyle w:val="Hyperlink"/>
            <w:rFonts w:ascii="Times New Roman" w:eastAsia="Times New Roman" w:hAnsi="Times New Roman" w:cs="Times New Roman"/>
            <w:kern w:val="0"/>
            <w:sz w:val="24"/>
            <w:szCs w:val="24"/>
            <w:lang w:eastAsia="en-IN"/>
            <w14:ligatures w14:val="none"/>
          </w:rPr>
          <w:t>https://doi.org/10.1007/s10113-021-01794-y</w:t>
        </w:r>
      </w:hyperlink>
      <w:r w:rsidRPr="000807DC">
        <w:rPr>
          <w:rFonts w:ascii="Times New Roman" w:eastAsia="Times New Roman" w:hAnsi="Times New Roman" w:cs="Times New Roman"/>
          <w:kern w:val="0"/>
          <w:sz w:val="24"/>
          <w:szCs w:val="24"/>
          <w:lang w:eastAsia="en-IN"/>
          <w14:ligatures w14:val="none"/>
        </w:rPr>
        <w:t xml:space="preserve"> </w:t>
      </w:r>
    </w:p>
    <w:p w14:paraId="79329873"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Biggs, R., Schlüter, M., Biggs, D., Bohensky, E. L., </w:t>
      </w:r>
      <w:proofErr w:type="spellStart"/>
      <w:r w:rsidRPr="000807DC">
        <w:rPr>
          <w:rFonts w:ascii="Times New Roman" w:eastAsia="Times New Roman" w:hAnsi="Times New Roman" w:cs="Times New Roman"/>
          <w:kern w:val="0"/>
          <w:sz w:val="24"/>
          <w:szCs w:val="24"/>
          <w:lang w:eastAsia="en-IN"/>
          <w14:ligatures w14:val="none"/>
        </w:rPr>
        <w:t>BurnSilver</w:t>
      </w:r>
      <w:proofErr w:type="spellEnd"/>
      <w:r w:rsidRPr="000807DC">
        <w:rPr>
          <w:rFonts w:ascii="Times New Roman" w:eastAsia="Times New Roman" w:hAnsi="Times New Roman" w:cs="Times New Roman"/>
          <w:kern w:val="0"/>
          <w:sz w:val="24"/>
          <w:szCs w:val="24"/>
          <w:lang w:eastAsia="en-IN"/>
          <w14:ligatures w14:val="none"/>
        </w:rPr>
        <w:t xml:space="preserve">, S., </w:t>
      </w:r>
      <w:proofErr w:type="spellStart"/>
      <w:r w:rsidRPr="000807DC">
        <w:rPr>
          <w:rFonts w:ascii="Times New Roman" w:eastAsia="Times New Roman" w:hAnsi="Times New Roman" w:cs="Times New Roman"/>
          <w:kern w:val="0"/>
          <w:sz w:val="24"/>
          <w:szCs w:val="24"/>
          <w:lang w:eastAsia="en-IN"/>
          <w14:ligatures w14:val="none"/>
        </w:rPr>
        <w:t>Cundill</w:t>
      </w:r>
      <w:proofErr w:type="spellEnd"/>
      <w:r w:rsidRPr="000807DC">
        <w:rPr>
          <w:rFonts w:ascii="Times New Roman" w:eastAsia="Times New Roman" w:hAnsi="Times New Roman" w:cs="Times New Roman"/>
          <w:kern w:val="0"/>
          <w:sz w:val="24"/>
          <w:szCs w:val="24"/>
          <w:lang w:eastAsia="en-IN"/>
          <w14:ligatures w14:val="none"/>
        </w:rPr>
        <w:t xml:space="preserve">, G., Dakos, V., Daw, T. M., Evans, L. S., Kotschy, K., Leitch, A. M., Meek, C., Quinlan, A., Raudsepp-Hearne, C., Robards, M. D., Schoon, M. L., Schultz, L., &amp; West, P. C. (2012). Toward principles for enhancing the resilience of ecosystem services. </w:t>
      </w:r>
      <w:r w:rsidRPr="000807DC">
        <w:rPr>
          <w:rFonts w:ascii="Times New Roman" w:eastAsia="Times New Roman" w:hAnsi="Times New Roman" w:cs="Times New Roman"/>
          <w:i/>
          <w:iCs/>
          <w:kern w:val="0"/>
          <w:sz w:val="24"/>
          <w:szCs w:val="24"/>
          <w:lang w:eastAsia="en-IN"/>
          <w14:ligatures w14:val="none"/>
        </w:rPr>
        <w:t>Annual Review of Environment and Resources</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37</w:t>
      </w:r>
      <w:r w:rsidRPr="000807DC">
        <w:rPr>
          <w:rFonts w:ascii="Times New Roman" w:eastAsia="Times New Roman" w:hAnsi="Times New Roman" w:cs="Times New Roman"/>
          <w:kern w:val="0"/>
          <w:sz w:val="24"/>
          <w:szCs w:val="24"/>
          <w:lang w:eastAsia="en-IN"/>
          <w14:ligatures w14:val="none"/>
        </w:rPr>
        <w:t xml:space="preserve">, 421–448. </w:t>
      </w:r>
      <w:hyperlink r:id="rId15" w:history="1">
        <w:r w:rsidRPr="000807DC">
          <w:rPr>
            <w:rFonts w:ascii="Times New Roman" w:eastAsia="Times New Roman" w:hAnsi="Times New Roman" w:cs="Times New Roman"/>
            <w:color w:val="0000FF"/>
            <w:kern w:val="0"/>
            <w:sz w:val="24"/>
            <w:szCs w:val="24"/>
            <w:u w:val="single"/>
            <w:lang w:eastAsia="en-IN"/>
            <w14:ligatures w14:val="none"/>
          </w:rPr>
          <w:t>https://doi.org/10.1146/annurev-environ-051211-123836</w:t>
        </w:r>
      </w:hyperlink>
    </w:p>
    <w:p w14:paraId="250F64C5"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Carletto, C., Corral, P., &amp; </w:t>
      </w:r>
      <w:proofErr w:type="spellStart"/>
      <w:r w:rsidRPr="000807DC">
        <w:rPr>
          <w:rFonts w:ascii="Times New Roman" w:eastAsia="Times New Roman" w:hAnsi="Times New Roman" w:cs="Times New Roman"/>
          <w:kern w:val="0"/>
          <w:sz w:val="24"/>
          <w:szCs w:val="24"/>
          <w:lang w:eastAsia="en-IN"/>
          <w14:ligatures w14:val="none"/>
        </w:rPr>
        <w:t>Guelfi</w:t>
      </w:r>
      <w:proofErr w:type="spellEnd"/>
      <w:r w:rsidRPr="000807DC">
        <w:rPr>
          <w:rFonts w:ascii="Times New Roman" w:eastAsia="Times New Roman" w:hAnsi="Times New Roman" w:cs="Times New Roman"/>
          <w:kern w:val="0"/>
          <w:sz w:val="24"/>
          <w:szCs w:val="24"/>
          <w:lang w:eastAsia="en-IN"/>
          <w14:ligatures w14:val="none"/>
        </w:rPr>
        <w:t xml:space="preserve">, A. (2017). Agricultural commercialisation and nutrition revisited: Empirical evidence from three African countries. </w:t>
      </w:r>
      <w:r w:rsidRPr="000807DC">
        <w:rPr>
          <w:rFonts w:ascii="Times New Roman" w:eastAsia="Times New Roman" w:hAnsi="Times New Roman" w:cs="Times New Roman"/>
          <w:i/>
          <w:iCs/>
          <w:kern w:val="0"/>
          <w:sz w:val="24"/>
          <w:szCs w:val="24"/>
          <w:lang w:eastAsia="en-IN"/>
          <w14:ligatures w14:val="none"/>
        </w:rPr>
        <w:t>Food Policy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67</w:t>
      </w:r>
      <w:r w:rsidRPr="000807DC">
        <w:rPr>
          <w:rFonts w:ascii="Times New Roman" w:eastAsia="Times New Roman" w:hAnsi="Times New Roman" w:cs="Times New Roman"/>
          <w:kern w:val="0"/>
          <w:sz w:val="24"/>
          <w:szCs w:val="24"/>
          <w:lang w:eastAsia="en-IN"/>
          <w14:ligatures w14:val="none"/>
        </w:rPr>
        <w:t xml:space="preserve">, 106–118. </w:t>
      </w:r>
      <w:hyperlink r:id="rId16" w:history="1">
        <w:r w:rsidRPr="000807DC">
          <w:rPr>
            <w:rFonts w:ascii="Times New Roman" w:eastAsia="Times New Roman" w:hAnsi="Times New Roman" w:cs="Times New Roman"/>
            <w:color w:val="0000FF"/>
            <w:kern w:val="0"/>
            <w:sz w:val="24"/>
            <w:szCs w:val="24"/>
            <w:u w:val="single"/>
            <w:lang w:eastAsia="en-IN"/>
            <w14:ligatures w14:val="none"/>
          </w:rPr>
          <w:t>https://doi.org/10.1016/j.foodpol.2016.09.020</w:t>
        </w:r>
      </w:hyperlink>
    </w:p>
    <w:p w14:paraId="5A99B01B"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Doss, C., </w:t>
      </w:r>
      <w:proofErr w:type="spellStart"/>
      <w:r w:rsidRPr="000807DC">
        <w:rPr>
          <w:rFonts w:ascii="Times New Roman" w:eastAsia="Times New Roman" w:hAnsi="Times New Roman" w:cs="Times New Roman"/>
          <w:kern w:val="0"/>
          <w:sz w:val="24"/>
          <w:szCs w:val="24"/>
          <w:lang w:eastAsia="en-IN"/>
          <w14:ligatures w14:val="none"/>
        </w:rPr>
        <w:t>Meinzen</w:t>
      </w:r>
      <w:proofErr w:type="spellEnd"/>
      <w:r w:rsidRPr="000807DC">
        <w:rPr>
          <w:rFonts w:ascii="Times New Roman" w:eastAsia="Times New Roman" w:hAnsi="Times New Roman" w:cs="Times New Roman"/>
          <w:kern w:val="0"/>
          <w:sz w:val="24"/>
          <w:szCs w:val="24"/>
          <w:lang w:eastAsia="en-IN"/>
          <w14:ligatures w14:val="none"/>
        </w:rPr>
        <w:t xml:space="preserve">-Dick, R., Quisumbing, A., &amp; Theis, S. (2018). Women in agriculture: Four myths. </w:t>
      </w:r>
      <w:r w:rsidRPr="000807DC">
        <w:rPr>
          <w:rFonts w:ascii="Times New Roman" w:eastAsia="Times New Roman" w:hAnsi="Times New Roman" w:cs="Times New Roman"/>
          <w:i/>
          <w:iCs/>
          <w:kern w:val="0"/>
          <w:sz w:val="24"/>
          <w:szCs w:val="24"/>
          <w:lang w:eastAsia="en-IN"/>
          <w14:ligatures w14:val="none"/>
        </w:rPr>
        <w:t>Global Food Security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16</w:t>
      </w:r>
      <w:r w:rsidRPr="000807DC">
        <w:rPr>
          <w:rFonts w:ascii="Times New Roman" w:eastAsia="Times New Roman" w:hAnsi="Times New Roman" w:cs="Times New Roman"/>
          <w:kern w:val="0"/>
          <w:sz w:val="24"/>
          <w:szCs w:val="24"/>
          <w:lang w:eastAsia="en-IN"/>
          <w14:ligatures w14:val="none"/>
        </w:rPr>
        <w:t xml:space="preserve">, 69–74. </w:t>
      </w:r>
      <w:hyperlink r:id="rId17" w:history="1">
        <w:r w:rsidRPr="000807DC">
          <w:rPr>
            <w:rFonts w:ascii="Times New Roman" w:eastAsia="Times New Roman" w:hAnsi="Times New Roman" w:cs="Times New Roman"/>
            <w:color w:val="0000FF"/>
            <w:kern w:val="0"/>
            <w:sz w:val="24"/>
            <w:szCs w:val="24"/>
            <w:u w:val="single"/>
            <w:lang w:eastAsia="en-IN"/>
            <w14:ligatures w14:val="none"/>
          </w:rPr>
          <w:t>https://doi.org/10.1016/j.gfs.2017.10.001</w:t>
        </w:r>
      </w:hyperlink>
    </w:p>
    <w:p w14:paraId="5505F424"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FAO, IFAD, UNICEF, WFP, &amp; WHO. (2023). </w:t>
      </w:r>
      <w:r w:rsidRPr="000807DC">
        <w:rPr>
          <w:rFonts w:ascii="Times New Roman" w:eastAsia="Times New Roman" w:hAnsi="Times New Roman" w:cs="Times New Roman"/>
          <w:i/>
          <w:iCs/>
          <w:kern w:val="0"/>
          <w:sz w:val="24"/>
          <w:szCs w:val="24"/>
          <w:lang w:eastAsia="en-IN"/>
          <w14:ligatures w14:val="none"/>
        </w:rPr>
        <w:t>The State of Food Security and Nutrition in the World 2023: Urbanization, agrifood systems transformation and healthy diets across the rural–urban continuum</w:t>
      </w:r>
      <w:r w:rsidRPr="000807DC">
        <w:rPr>
          <w:rFonts w:ascii="Times New Roman" w:eastAsia="Times New Roman" w:hAnsi="Times New Roman" w:cs="Times New Roman"/>
          <w:kern w:val="0"/>
          <w:sz w:val="24"/>
          <w:szCs w:val="24"/>
          <w:lang w:eastAsia="en-IN"/>
          <w14:ligatures w14:val="none"/>
        </w:rPr>
        <w:t xml:space="preserve">. Food and Agriculture Organization of the United Nations. </w:t>
      </w:r>
      <w:hyperlink r:id="rId18" w:history="1">
        <w:r w:rsidRPr="000807DC">
          <w:rPr>
            <w:rFonts w:ascii="Times New Roman" w:eastAsia="Times New Roman" w:hAnsi="Times New Roman" w:cs="Times New Roman"/>
            <w:color w:val="0000FF"/>
            <w:kern w:val="0"/>
            <w:sz w:val="24"/>
            <w:szCs w:val="24"/>
            <w:u w:val="single"/>
            <w:lang w:eastAsia="en-IN"/>
            <w14:ligatures w14:val="none"/>
          </w:rPr>
          <w:t>https://doi.org/10.4060/cc3017en</w:t>
        </w:r>
      </w:hyperlink>
    </w:p>
    <w:p w14:paraId="6073FE57"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FAO. (2011). </w:t>
      </w:r>
      <w:r w:rsidRPr="000807DC">
        <w:rPr>
          <w:rFonts w:ascii="Times New Roman" w:eastAsia="Times New Roman" w:hAnsi="Times New Roman" w:cs="Times New Roman"/>
          <w:i/>
          <w:iCs/>
          <w:kern w:val="0"/>
          <w:sz w:val="24"/>
          <w:szCs w:val="24"/>
          <w:lang w:eastAsia="en-IN"/>
          <w14:ligatures w14:val="none"/>
        </w:rPr>
        <w:t>The State of Food and Agriculture 2010–2011: Women in agriculture—Closing the gender gap for development</w:t>
      </w:r>
      <w:r w:rsidRPr="000807DC">
        <w:rPr>
          <w:rFonts w:ascii="Times New Roman" w:eastAsia="Times New Roman" w:hAnsi="Times New Roman" w:cs="Times New Roman"/>
          <w:kern w:val="0"/>
          <w:sz w:val="24"/>
          <w:szCs w:val="24"/>
          <w:lang w:eastAsia="en-IN"/>
          <w14:ligatures w14:val="none"/>
        </w:rPr>
        <w:t xml:space="preserve">. Food and Agriculture Organization of the United Nations. </w:t>
      </w:r>
      <w:hyperlink r:id="rId19" w:history="1">
        <w:r w:rsidRPr="000807DC">
          <w:rPr>
            <w:rFonts w:ascii="Times New Roman" w:eastAsia="Times New Roman" w:hAnsi="Times New Roman" w:cs="Times New Roman"/>
            <w:color w:val="0000FF"/>
            <w:kern w:val="0"/>
            <w:sz w:val="24"/>
            <w:szCs w:val="24"/>
            <w:u w:val="single"/>
            <w:lang w:eastAsia="en-IN"/>
            <w14:ligatures w14:val="none"/>
          </w:rPr>
          <w:t>https://www.fao.org/3/i2050e/i2050e.pdf</w:t>
        </w:r>
      </w:hyperlink>
    </w:p>
    <w:p w14:paraId="5CF133B5"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lastRenderedPageBreak/>
        <w:t xml:space="preserve">FAO. (2014). </w:t>
      </w:r>
      <w:r w:rsidRPr="000807DC">
        <w:rPr>
          <w:rFonts w:ascii="Times New Roman" w:eastAsia="Times New Roman" w:hAnsi="Times New Roman" w:cs="Times New Roman"/>
          <w:i/>
          <w:iCs/>
          <w:kern w:val="0"/>
          <w:sz w:val="24"/>
          <w:szCs w:val="24"/>
          <w:lang w:eastAsia="en-IN"/>
          <w14:ligatures w14:val="none"/>
        </w:rPr>
        <w:t>Mountain farming is family farming: A contribution to the International Year of Family Farming</w:t>
      </w:r>
      <w:r w:rsidRPr="000807DC">
        <w:rPr>
          <w:rFonts w:ascii="Times New Roman" w:eastAsia="Times New Roman" w:hAnsi="Times New Roman" w:cs="Times New Roman"/>
          <w:kern w:val="0"/>
          <w:sz w:val="24"/>
          <w:szCs w:val="24"/>
          <w:lang w:eastAsia="en-IN"/>
          <w14:ligatures w14:val="none"/>
        </w:rPr>
        <w:t xml:space="preserve">. Food and Agriculture Organization of the United Nations. </w:t>
      </w:r>
      <w:hyperlink r:id="rId20" w:history="1">
        <w:r w:rsidRPr="000807DC">
          <w:rPr>
            <w:rFonts w:ascii="Times New Roman" w:eastAsia="Times New Roman" w:hAnsi="Times New Roman" w:cs="Times New Roman"/>
            <w:color w:val="0000FF"/>
            <w:kern w:val="0"/>
            <w:sz w:val="24"/>
            <w:szCs w:val="24"/>
            <w:u w:val="single"/>
            <w:lang w:eastAsia="en-IN"/>
            <w14:ligatures w14:val="none"/>
          </w:rPr>
          <w:t>https://www.fao.org/3/i3480e/i3480e.pdf</w:t>
        </w:r>
      </w:hyperlink>
    </w:p>
    <w:p w14:paraId="2C599A5F"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FAO. (2021). </w:t>
      </w:r>
      <w:r w:rsidRPr="000807DC">
        <w:rPr>
          <w:rFonts w:ascii="Times New Roman" w:eastAsia="Times New Roman" w:hAnsi="Times New Roman" w:cs="Times New Roman"/>
          <w:i/>
          <w:iCs/>
          <w:kern w:val="0"/>
          <w:sz w:val="24"/>
          <w:szCs w:val="24"/>
          <w:lang w:eastAsia="en-IN"/>
          <w14:ligatures w14:val="none"/>
        </w:rPr>
        <w:t>The State of Food and Agriculture 2021: Making agrifood systems more resilient to shocks and stresses</w:t>
      </w:r>
      <w:r w:rsidRPr="000807DC">
        <w:rPr>
          <w:rFonts w:ascii="Times New Roman" w:eastAsia="Times New Roman" w:hAnsi="Times New Roman" w:cs="Times New Roman"/>
          <w:kern w:val="0"/>
          <w:sz w:val="24"/>
          <w:szCs w:val="24"/>
          <w:lang w:eastAsia="en-IN"/>
          <w14:ligatures w14:val="none"/>
        </w:rPr>
        <w:t xml:space="preserve">. Food and Agriculture Organization of the United Nations. </w:t>
      </w:r>
      <w:hyperlink r:id="rId21" w:history="1">
        <w:r w:rsidRPr="000807DC">
          <w:rPr>
            <w:rFonts w:ascii="Times New Roman" w:eastAsia="Times New Roman" w:hAnsi="Times New Roman" w:cs="Times New Roman"/>
            <w:color w:val="0000FF"/>
            <w:kern w:val="0"/>
            <w:sz w:val="24"/>
            <w:szCs w:val="24"/>
            <w:u w:val="single"/>
            <w:lang w:eastAsia="en-IN"/>
            <w14:ligatures w14:val="none"/>
          </w:rPr>
          <w:t>https://doi.org/10.4060/cb4476en</w:t>
        </w:r>
      </w:hyperlink>
    </w:p>
    <w:p w14:paraId="0483EC68"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Fischer, E., &amp; Qaim, M. (2012). Linking smallholders to markets: Determinants and impacts of farmer collective action in Kenya. </w:t>
      </w:r>
      <w:r w:rsidRPr="000807DC">
        <w:rPr>
          <w:rFonts w:ascii="Times New Roman" w:eastAsia="Times New Roman" w:hAnsi="Times New Roman" w:cs="Times New Roman"/>
          <w:i/>
          <w:iCs/>
          <w:kern w:val="0"/>
          <w:sz w:val="24"/>
          <w:szCs w:val="24"/>
          <w:lang w:eastAsia="en-IN"/>
          <w14:ligatures w14:val="none"/>
        </w:rPr>
        <w:t>World Development</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40</w:t>
      </w:r>
      <w:r w:rsidRPr="000807DC">
        <w:rPr>
          <w:rFonts w:ascii="Times New Roman" w:eastAsia="Times New Roman" w:hAnsi="Times New Roman" w:cs="Times New Roman"/>
          <w:kern w:val="0"/>
          <w:sz w:val="24"/>
          <w:szCs w:val="24"/>
          <w:lang w:eastAsia="en-IN"/>
          <w14:ligatures w14:val="none"/>
        </w:rPr>
        <w:t xml:space="preserve">(6), 1255–1268. </w:t>
      </w:r>
      <w:hyperlink r:id="rId22" w:history="1">
        <w:r w:rsidRPr="000807DC">
          <w:rPr>
            <w:rFonts w:ascii="Times New Roman" w:eastAsia="Times New Roman" w:hAnsi="Times New Roman" w:cs="Times New Roman"/>
            <w:color w:val="0000FF"/>
            <w:kern w:val="0"/>
            <w:sz w:val="24"/>
            <w:szCs w:val="24"/>
            <w:u w:val="single"/>
            <w:lang w:eastAsia="en-IN"/>
            <w14:ligatures w14:val="none"/>
          </w:rPr>
          <w:t>https://doi.org/10.1016/j.worlddev.2011.11.018</w:t>
        </w:r>
      </w:hyperlink>
    </w:p>
    <w:p w14:paraId="5411069B"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Folke, C. (2006). Resilience: The emergence of a perspective for social–ecological systems analyses. </w:t>
      </w:r>
      <w:r w:rsidRPr="000807DC">
        <w:rPr>
          <w:rFonts w:ascii="Times New Roman" w:eastAsia="Times New Roman" w:hAnsi="Times New Roman" w:cs="Times New Roman"/>
          <w:i/>
          <w:iCs/>
          <w:kern w:val="0"/>
          <w:sz w:val="24"/>
          <w:szCs w:val="24"/>
          <w:lang w:eastAsia="en-IN"/>
          <w14:ligatures w14:val="none"/>
        </w:rPr>
        <w:t>Global Environmental Change</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16</w:t>
      </w:r>
      <w:r w:rsidRPr="000807DC">
        <w:rPr>
          <w:rFonts w:ascii="Times New Roman" w:eastAsia="Times New Roman" w:hAnsi="Times New Roman" w:cs="Times New Roman"/>
          <w:kern w:val="0"/>
          <w:sz w:val="24"/>
          <w:szCs w:val="24"/>
          <w:lang w:eastAsia="en-IN"/>
          <w14:ligatures w14:val="none"/>
        </w:rPr>
        <w:t xml:space="preserve">(3), 253–267. </w:t>
      </w:r>
      <w:hyperlink r:id="rId23" w:history="1">
        <w:r w:rsidRPr="000807DC">
          <w:rPr>
            <w:rFonts w:ascii="Times New Roman" w:eastAsia="Times New Roman" w:hAnsi="Times New Roman" w:cs="Times New Roman"/>
            <w:color w:val="0000FF"/>
            <w:kern w:val="0"/>
            <w:sz w:val="24"/>
            <w:szCs w:val="24"/>
            <w:u w:val="single"/>
            <w:lang w:eastAsia="en-IN"/>
            <w14:ligatures w14:val="none"/>
          </w:rPr>
          <w:t>https://doi.org/10.1016/j.gloenvcha.2006.04.002</w:t>
        </w:r>
      </w:hyperlink>
    </w:p>
    <w:p w14:paraId="2C374452"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Folke, C., Carpenter, S. R., Walker, B., Scheffer, M., Chapin, T., &amp; </w:t>
      </w:r>
      <w:proofErr w:type="spellStart"/>
      <w:r w:rsidRPr="000807DC">
        <w:rPr>
          <w:rFonts w:ascii="Times New Roman" w:eastAsia="Times New Roman" w:hAnsi="Times New Roman" w:cs="Times New Roman"/>
          <w:kern w:val="0"/>
          <w:sz w:val="24"/>
          <w:szCs w:val="24"/>
          <w:lang w:eastAsia="en-IN"/>
          <w14:ligatures w14:val="none"/>
        </w:rPr>
        <w:t>Rockström</w:t>
      </w:r>
      <w:proofErr w:type="spellEnd"/>
      <w:r w:rsidRPr="000807DC">
        <w:rPr>
          <w:rFonts w:ascii="Times New Roman" w:eastAsia="Times New Roman" w:hAnsi="Times New Roman" w:cs="Times New Roman"/>
          <w:kern w:val="0"/>
          <w:sz w:val="24"/>
          <w:szCs w:val="24"/>
          <w:lang w:eastAsia="en-IN"/>
          <w14:ligatures w14:val="none"/>
        </w:rPr>
        <w:t xml:space="preserve">, J. (2010). Resilience thinking: Integrating resilience, adaptability and transformability. </w:t>
      </w:r>
      <w:r w:rsidRPr="000807DC">
        <w:rPr>
          <w:rFonts w:ascii="Times New Roman" w:eastAsia="Times New Roman" w:hAnsi="Times New Roman" w:cs="Times New Roman"/>
          <w:i/>
          <w:iCs/>
          <w:kern w:val="0"/>
          <w:sz w:val="24"/>
          <w:szCs w:val="24"/>
          <w:lang w:eastAsia="en-IN"/>
          <w14:ligatures w14:val="none"/>
        </w:rPr>
        <w:t>Ecology and Society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15</w:t>
      </w:r>
      <w:r w:rsidRPr="000807DC">
        <w:rPr>
          <w:rFonts w:ascii="Times New Roman" w:eastAsia="Times New Roman" w:hAnsi="Times New Roman" w:cs="Times New Roman"/>
          <w:kern w:val="0"/>
          <w:sz w:val="24"/>
          <w:szCs w:val="24"/>
          <w:lang w:eastAsia="en-IN"/>
          <w14:ligatures w14:val="none"/>
        </w:rPr>
        <w:t xml:space="preserve">(4), 20. </w:t>
      </w:r>
      <w:hyperlink r:id="rId24" w:history="1">
        <w:r w:rsidRPr="000807DC">
          <w:rPr>
            <w:rFonts w:ascii="Times New Roman" w:eastAsia="Times New Roman" w:hAnsi="Times New Roman" w:cs="Times New Roman"/>
            <w:color w:val="0000FF"/>
            <w:kern w:val="0"/>
            <w:sz w:val="24"/>
            <w:szCs w:val="24"/>
            <w:u w:val="single"/>
            <w:lang w:eastAsia="en-IN"/>
            <w14:ligatures w14:val="none"/>
          </w:rPr>
          <w:t>https://doi.org/10.5751/ES-03610-150420</w:t>
        </w:r>
      </w:hyperlink>
    </w:p>
    <w:p w14:paraId="5F44D9B9"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Garibaldi, L. A., Gemmill-Herren, B., D'Annolfo, R., </w:t>
      </w:r>
      <w:proofErr w:type="spellStart"/>
      <w:r w:rsidRPr="000807DC">
        <w:rPr>
          <w:rFonts w:ascii="Times New Roman" w:eastAsia="Times New Roman" w:hAnsi="Times New Roman" w:cs="Times New Roman"/>
          <w:kern w:val="0"/>
          <w:sz w:val="24"/>
          <w:szCs w:val="24"/>
          <w:lang w:eastAsia="en-IN"/>
          <w14:ligatures w14:val="none"/>
        </w:rPr>
        <w:t>Graeub</w:t>
      </w:r>
      <w:proofErr w:type="spellEnd"/>
      <w:r w:rsidRPr="000807DC">
        <w:rPr>
          <w:rFonts w:ascii="Times New Roman" w:eastAsia="Times New Roman" w:hAnsi="Times New Roman" w:cs="Times New Roman"/>
          <w:kern w:val="0"/>
          <w:sz w:val="24"/>
          <w:szCs w:val="24"/>
          <w:lang w:eastAsia="en-IN"/>
          <w14:ligatures w14:val="none"/>
        </w:rPr>
        <w:t xml:space="preserve">, B. E., Cunningham, S. A., &amp; Breeze, T. D. (2017). Farming approaches for greater biodiversity, livelihoods, and food security. </w:t>
      </w:r>
      <w:r w:rsidRPr="000807DC">
        <w:rPr>
          <w:rFonts w:ascii="Times New Roman" w:eastAsia="Times New Roman" w:hAnsi="Times New Roman" w:cs="Times New Roman"/>
          <w:i/>
          <w:iCs/>
          <w:kern w:val="0"/>
          <w:sz w:val="24"/>
          <w:szCs w:val="24"/>
          <w:lang w:eastAsia="en-IN"/>
          <w14:ligatures w14:val="none"/>
        </w:rPr>
        <w:t>Trends in Ecology &amp; Evolution</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32</w:t>
      </w:r>
      <w:r w:rsidRPr="000807DC">
        <w:rPr>
          <w:rFonts w:ascii="Times New Roman" w:eastAsia="Times New Roman" w:hAnsi="Times New Roman" w:cs="Times New Roman"/>
          <w:kern w:val="0"/>
          <w:sz w:val="24"/>
          <w:szCs w:val="24"/>
          <w:lang w:eastAsia="en-IN"/>
          <w14:ligatures w14:val="none"/>
        </w:rPr>
        <w:t xml:space="preserve">(1), 68–80. </w:t>
      </w:r>
      <w:hyperlink r:id="rId25" w:history="1">
        <w:r w:rsidRPr="000807DC">
          <w:rPr>
            <w:rFonts w:ascii="Times New Roman" w:eastAsia="Times New Roman" w:hAnsi="Times New Roman" w:cs="Times New Roman"/>
            <w:color w:val="0000FF"/>
            <w:kern w:val="0"/>
            <w:sz w:val="24"/>
            <w:szCs w:val="24"/>
            <w:u w:val="single"/>
            <w:lang w:eastAsia="en-IN"/>
            <w14:ligatures w14:val="none"/>
          </w:rPr>
          <w:t>https://doi.org/10.1016/j.tree.2016.10.001</w:t>
        </w:r>
      </w:hyperlink>
    </w:p>
    <w:p w14:paraId="6F618989"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Garnett, T., Appleby, M. C., Balmford, A., Bateman, I. J., Benton, T. G., Bloomer, P., Burlingame, B., Dawkins, M., Dolan, L., Fraser, D., Herrero, M., Hoffmann, I., Smith, P., Thornton, P. K., Toulmin, C., Vermeulen, S. J., &amp; Godfray, H. C. J. (2013). Sustainable intensification in agriculture: Premises and policies. </w:t>
      </w:r>
      <w:r w:rsidRPr="000807DC">
        <w:rPr>
          <w:rFonts w:ascii="Times New Roman" w:eastAsia="Times New Roman" w:hAnsi="Times New Roman" w:cs="Times New Roman"/>
          <w:i/>
          <w:iCs/>
          <w:kern w:val="0"/>
          <w:sz w:val="24"/>
          <w:szCs w:val="24"/>
          <w:lang w:eastAsia="en-IN"/>
          <w14:ligatures w14:val="none"/>
        </w:rPr>
        <w:t>Science</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341</w:t>
      </w:r>
      <w:r w:rsidRPr="000807DC">
        <w:rPr>
          <w:rFonts w:ascii="Times New Roman" w:eastAsia="Times New Roman" w:hAnsi="Times New Roman" w:cs="Times New Roman"/>
          <w:kern w:val="0"/>
          <w:sz w:val="24"/>
          <w:szCs w:val="24"/>
          <w:lang w:eastAsia="en-IN"/>
          <w14:ligatures w14:val="none"/>
        </w:rPr>
        <w:t xml:space="preserve">(6141), 33–34. </w:t>
      </w:r>
      <w:hyperlink r:id="rId26" w:history="1">
        <w:r w:rsidRPr="000807DC">
          <w:rPr>
            <w:rFonts w:ascii="Times New Roman" w:eastAsia="Times New Roman" w:hAnsi="Times New Roman" w:cs="Times New Roman"/>
            <w:color w:val="0000FF"/>
            <w:kern w:val="0"/>
            <w:sz w:val="24"/>
            <w:szCs w:val="24"/>
            <w:u w:val="single"/>
            <w:lang w:eastAsia="en-IN"/>
            <w14:ligatures w14:val="none"/>
          </w:rPr>
          <w:t>https://doi.org/10.1126/science.1234485</w:t>
        </w:r>
      </w:hyperlink>
    </w:p>
    <w:p w14:paraId="0BE64C3A"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HLPE. (2019). Agroecological and other innovative approaches for sustainable agriculture and food systems that enhance food security and nutrition. High Level Panel of Experts on Food Security and Nutrition, Committee on World Food Security. </w:t>
      </w:r>
      <w:hyperlink r:id="rId27" w:history="1">
        <w:r w:rsidRPr="000807DC">
          <w:rPr>
            <w:rStyle w:val="Hyperlink"/>
            <w:rFonts w:ascii="Times New Roman" w:eastAsia="Times New Roman" w:hAnsi="Times New Roman" w:cs="Times New Roman"/>
            <w:kern w:val="0"/>
            <w:sz w:val="24"/>
            <w:szCs w:val="24"/>
            <w:lang w:eastAsia="en-IN"/>
            <w14:ligatures w14:val="none"/>
          </w:rPr>
          <w:t>https://www.fao.org/cfs/cfs-hlpe/reports/report-14/en/</w:t>
        </w:r>
      </w:hyperlink>
      <w:r w:rsidRPr="000807DC">
        <w:rPr>
          <w:rFonts w:ascii="Times New Roman" w:eastAsia="Times New Roman" w:hAnsi="Times New Roman" w:cs="Times New Roman"/>
          <w:kern w:val="0"/>
          <w:sz w:val="24"/>
          <w:szCs w:val="24"/>
          <w:lang w:eastAsia="en-IN"/>
          <w14:ligatures w14:val="none"/>
        </w:rPr>
        <w:t xml:space="preserve">  </w:t>
      </w:r>
    </w:p>
    <w:p w14:paraId="1D06FF80"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Immerzeel, W. W., Lutz, A. F., Andrade, M., Bahl, A., Biemans, H., Bolch, T., Hyde, S., Kooy, M., </w:t>
      </w:r>
      <w:proofErr w:type="spellStart"/>
      <w:r w:rsidRPr="000807DC">
        <w:rPr>
          <w:rFonts w:ascii="Times New Roman" w:eastAsia="Times New Roman" w:hAnsi="Times New Roman" w:cs="Times New Roman"/>
          <w:kern w:val="0"/>
          <w:sz w:val="24"/>
          <w:szCs w:val="24"/>
          <w:lang w:eastAsia="en-IN"/>
          <w14:ligatures w14:val="none"/>
        </w:rPr>
        <w:t>Kraaijenbrink</w:t>
      </w:r>
      <w:proofErr w:type="spellEnd"/>
      <w:r w:rsidRPr="000807DC">
        <w:rPr>
          <w:rFonts w:ascii="Times New Roman" w:eastAsia="Times New Roman" w:hAnsi="Times New Roman" w:cs="Times New Roman"/>
          <w:kern w:val="0"/>
          <w:sz w:val="24"/>
          <w:szCs w:val="24"/>
          <w:lang w:eastAsia="en-IN"/>
          <w14:ligatures w14:val="none"/>
        </w:rPr>
        <w:t xml:space="preserve">, P. D. A., Shea, J. M., Shrestha, A. B., &amp; Baillie, J. E. M. (2020). Importance and vulnerability of the world's water towers. </w:t>
      </w:r>
      <w:r w:rsidRPr="000807DC">
        <w:rPr>
          <w:rFonts w:ascii="Times New Roman" w:eastAsia="Times New Roman" w:hAnsi="Times New Roman" w:cs="Times New Roman"/>
          <w:i/>
          <w:iCs/>
          <w:kern w:val="0"/>
          <w:sz w:val="24"/>
          <w:szCs w:val="24"/>
          <w:lang w:eastAsia="en-IN"/>
          <w14:ligatures w14:val="none"/>
        </w:rPr>
        <w:t>Nature</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577</w:t>
      </w:r>
      <w:r w:rsidRPr="000807DC">
        <w:rPr>
          <w:rFonts w:ascii="Times New Roman" w:eastAsia="Times New Roman" w:hAnsi="Times New Roman" w:cs="Times New Roman"/>
          <w:kern w:val="0"/>
          <w:sz w:val="24"/>
          <w:szCs w:val="24"/>
          <w:lang w:eastAsia="en-IN"/>
          <w14:ligatures w14:val="none"/>
        </w:rPr>
        <w:t xml:space="preserve">(7790), 364–369. </w:t>
      </w:r>
      <w:hyperlink r:id="rId28" w:history="1">
        <w:r w:rsidRPr="000807DC">
          <w:rPr>
            <w:rFonts w:ascii="Times New Roman" w:eastAsia="Times New Roman" w:hAnsi="Times New Roman" w:cs="Times New Roman"/>
            <w:color w:val="0000FF"/>
            <w:kern w:val="0"/>
            <w:sz w:val="24"/>
            <w:szCs w:val="24"/>
            <w:u w:val="single"/>
            <w:lang w:eastAsia="en-IN"/>
            <w14:ligatures w14:val="none"/>
          </w:rPr>
          <w:t>https://doi.org/10.1038/s41586-019-1822-y</w:t>
        </w:r>
      </w:hyperlink>
    </w:p>
    <w:p w14:paraId="30848E58"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IPCC. (2019). </w:t>
      </w:r>
      <w:r w:rsidRPr="000807DC">
        <w:rPr>
          <w:rFonts w:ascii="Times New Roman" w:eastAsia="Times New Roman" w:hAnsi="Times New Roman" w:cs="Times New Roman"/>
          <w:i/>
          <w:iCs/>
          <w:kern w:val="0"/>
          <w:sz w:val="24"/>
          <w:szCs w:val="24"/>
          <w:lang w:eastAsia="en-IN"/>
          <w14:ligatures w14:val="none"/>
        </w:rPr>
        <w:t>Special Report on Climate Change and Land</w:t>
      </w:r>
      <w:r w:rsidRPr="000807DC">
        <w:rPr>
          <w:rFonts w:ascii="Times New Roman" w:eastAsia="Times New Roman" w:hAnsi="Times New Roman" w:cs="Times New Roman"/>
          <w:kern w:val="0"/>
          <w:sz w:val="24"/>
          <w:szCs w:val="24"/>
          <w:lang w:eastAsia="en-IN"/>
          <w14:ligatures w14:val="none"/>
        </w:rPr>
        <w:t xml:space="preserve">. Intergovernmental Panel on Climate Change. </w:t>
      </w:r>
      <w:hyperlink r:id="rId29" w:history="1">
        <w:r w:rsidRPr="000807DC">
          <w:rPr>
            <w:rFonts w:ascii="Times New Roman" w:eastAsia="Times New Roman" w:hAnsi="Times New Roman" w:cs="Times New Roman"/>
            <w:color w:val="0000FF"/>
            <w:kern w:val="0"/>
            <w:sz w:val="24"/>
            <w:szCs w:val="24"/>
            <w:u w:val="single"/>
            <w:lang w:eastAsia="en-IN"/>
            <w14:ligatures w14:val="none"/>
          </w:rPr>
          <w:t>https://www.ipcc.ch/srccl/</w:t>
        </w:r>
      </w:hyperlink>
    </w:p>
    <w:p w14:paraId="68558C53"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IPCC. (2022). </w:t>
      </w:r>
      <w:r w:rsidRPr="000807DC">
        <w:rPr>
          <w:rFonts w:ascii="Times New Roman" w:eastAsia="Times New Roman" w:hAnsi="Times New Roman" w:cs="Times New Roman"/>
          <w:i/>
          <w:iCs/>
          <w:kern w:val="0"/>
          <w:sz w:val="24"/>
          <w:szCs w:val="24"/>
          <w:lang w:eastAsia="en-IN"/>
          <w14:ligatures w14:val="none"/>
        </w:rPr>
        <w:t>Climate Change 2022: Impacts, Adaptation and Vulnerability. Contribution of Working Group II to the Sixth Assessment Report of the Intergovernmental Panel on Climate Change</w:t>
      </w:r>
      <w:r w:rsidRPr="000807DC">
        <w:rPr>
          <w:rFonts w:ascii="Times New Roman" w:eastAsia="Times New Roman" w:hAnsi="Times New Roman" w:cs="Times New Roman"/>
          <w:kern w:val="0"/>
          <w:sz w:val="24"/>
          <w:szCs w:val="24"/>
          <w:lang w:eastAsia="en-IN"/>
          <w14:ligatures w14:val="none"/>
        </w:rPr>
        <w:t xml:space="preserve">. Cambridge University Press. </w:t>
      </w:r>
      <w:hyperlink r:id="rId30" w:history="1">
        <w:r w:rsidRPr="000807DC">
          <w:rPr>
            <w:rFonts w:ascii="Times New Roman" w:eastAsia="Times New Roman" w:hAnsi="Times New Roman" w:cs="Times New Roman"/>
            <w:color w:val="0000FF"/>
            <w:kern w:val="0"/>
            <w:sz w:val="24"/>
            <w:szCs w:val="24"/>
            <w:u w:val="single"/>
            <w:lang w:eastAsia="en-IN"/>
            <w14:ligatures w14:val="none"/>
          </w:rPr>
          <w:t>https://doi.org/10.1017/9781009325844</w:t>
        </w:r>
      </w:hyperlink>
    </w:p>
    <w:p w14:paraId="34F53B7F"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lastRenderedPageBreak/>
        <w:t xml:space="preserve">Jodha, N. S. (2000). Globalization and fragile mountain environments: Policy challenges and choices. </w:t>
      </w:r>
      <w:r w:rsidRPr="000807DC">
        <w:rPr>
          <w:rFonts w:ascii="Times New Roman" w:eastAsia="Times New Roman" w:hAnsi="Times New Roman" w:cs="Times New Roman"/>
          <w:i/>
          <w:iCs/>
          <w:kern w:val="0"/>
          <w:sz w:val="24"/>
          <w:szCs w:val="24"/>
          <w:lang w:eastAsia="en-IN"/>
          <w14:ligatures w14:val="none"/>
        </w:rPr>
        <w:t>Mountain Research and Development</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20</w:t>
      </w:r>
      <w:r w:rsidRPr="000807DC">
        <w:rPr>
          <w:rFonts w:ascii="Times New Roman" w:eastAsia="Times New Roman" w:hAnsi="Times New Roman" w:cs="Times New Roman"/>
          <w:kern w:val="0"/>
          <w:sz w:val="24"/>
          <w:szCs w:val="24"/>
          <w:lang w:eastAsia="en-IN"/>
          <w14:ligatures w14:val="none"/>
        </w:rPr>
        <w:t xml:space="preserve">(4), 296–299. </w:t>
      </w:r>
      <w:hyperlink r:id="rId31" w:history="1">
        <w:r w:rsidRPr="000807DC">
          <w:rPr>
            <w:rStyle w:val="Hyperlink"/>
            <w:rFonts w:ascii="Times New Roman" w:hAnsi="Times New Roman" w:cs="Times New Roman"/>
            <w:sz w:val="24"/>
            <w:szCs w:val="24"/>
          </w:rPr>
          <w:t>https://doi.org/10.1659/0276-4741(2000)020[0296:GAFME]2.0.CO;2</w:t>
        </w:r>
      </w:hyperlink>
      <w:r w:rsidRPr="000807DC">
        <w:rPr>
          <w:rFonts w:ascii="Times New Roman" w:hAnsi="Times New Roman" w:cs="Times New Roman"/>
          <w:sz w:val="24"/>
          <w:szCs w:val="24"/>
        </w:rPr>
        <w:t xml:space="preserve"> </w:t>
      </w:r>
    </w:p>
    <w:p w14:paraId="3EF84DD4"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Kattel, G. R. (2022). Climate warming in the Himalayas threatens biodiversity, ecosystem functioning and ecosystem services in the 21st century: Is there a better solution? </w:t>
      </w:r>
      <w:r w:rsidRPr="000807DC">
        <w:rPr>
          <w:rFonts w:ascii="Times New Roman" w:eastAsia="Times New Roman" w:hAnsi="Times New Roman" w:cs="Times New Roman"/>
          <w:i/>
          <w:iCs/>
          <w:kern w:val="0"/>
          <w:sz w:val="24"/>
          <w:szCs w:val="24"/>
          <w:lang w:eastAsia="en-IN"/>
          <w14:ligatures w14:val="none"/>
        </w:rPr>
        <w:t>Biodiversity and Conservation, 31</w:t>
      </w:r>
      <w:r w:rsidRPr="000807DC">
        <w:rPr>
          <w:rFonts w:ascii="Times New Roman" w:eastAsia="Times New Roman" w:hAnsi="Times New Roman" w:cs="Times New Roman"/>
          <w:kern w:val="0"/>
          <w:sz w:val="24"/>
          <w:szCs w:val="24"/>
          <w:lang w:eastAsia="en-IN"/>
          <w14:ligatures w14:val="none"/>
        </w:rPr>
        <w:t xml:space="preserve">, 2017–2044. </w:t>
      </w:r>
      <w:hyperlink r:id="rId32" w:history="1">
        <w:r w:rsidRPr="000807DC">
          <w:rPr>
            <w:rStyle w:val="Hyperlink"/>
            <w:rFonts w:ascii="Times New Roman" w:eastAsia="Times New Roman" w:hAnsi="Times New Roman" w:cs="Times New Roman"/>
            <w:kern w:val="0"/>
            <w:sz w:val="24"/>
            <w:szCs w:val="24"/>
            <w:lang w:eastAsia="en-IN"/>
            <w14:ligatures w14:val="none"/>
          </w:rPr>
          <w:t>https://doi.org/10.1007/s10531-022-02417-6</w:t>
        </w:r>
      </w:hyperlink>
      <w:r w:rsidRPr="000807DC">
        <w:rPr>
          <w:rFonts w:ascii="Times New Roman" w:eastAsia="Times New Roman" w:hAnsi="Times New Roman" w:cs="Times New Roman"/>
          <w:kern w:val="0"/>
          <w:sz w:val="24"/>
          <w:szCs w:val="24"/>
          <w:lang w:eastAsia="en-IN"/>
          <w14:ligatures w14:val="none"/>
        </w:rPr>
        <w:t xml:space="preserve"> </w:t>
      </w:r>
    </w:p>
    <w:p w14:paraId="56CE9DEC" w14:textId="77777777" w:rsidR="00A8677B" w:rsidRDefault="00A8677B" w:rsidP="000807DC">
      <w:pPr>
        <w:spacing w:before="100" w:beforeAutospacing="1" w:after="100" w:afterAutospacing="1" w:line="240" w:lineRule="auto"/>
        <w:ind w:left="360"/>
      </w:pPr>
      <w:r w:rsidRPr="000807DC">
        <w:rPr>
          <w:rFonts w:ascii="Times New Roman" w:eastAsia="Times New Roman" w:hAnsi="Times New Roman" w:cs="Times New Roman"/>
          <w:kern w:val="0"/>
          <w:sz w:val="24"/>
          <w:szCs w:val="24"/>
          <w:lang w:eastAsia="en-IN"/>
          <w14:ligatures w14:val="none"/>
        </w:rPr>
        <w:t xml:space="preserve">Kerr, R. B., Madsen, S., </w:t>
      </w:r>
      <w:proofErr w:type="spellStart"/>
      <w:r w:rsidRPr="000807DC">
        <w:rPr>
          <w:rFonts w:ascii="Times New Roman" w:eastAsia="Times New Roman" w:hAnsi="Times New Roman" w:cs="Times New Roman"/>
          <w:kern w:val="0"/>
          <w:sz w:val="24"/>
          <w:szCs w:val="24"/>
          <w:lang w:eastAsia="en-IN"/>
          <w14:ligatures w14:val="none"/>
        </w:rPr>
        <w:t>Stüber</w:t>
      </w:r>
      <w:proofErr w:type="spellEnd"/>
      <w:r w:rsidRPr="000807DC">
        <w:rPr>
          <w:rFonts w:ascii="Times New Roman" w:eastAsia="Times New Roman" w:hAnsi="Times New Roman" w:cs="Times New Roman"/>
          <w:kern w:val="0"/>
          <w:sz w:val="24"/>
          <w:szCs w:val="24"/>
          <w:lang w:eastAsia="en-IN"/>
          <w14:ligatures w14:val="none"/>
        </w:rPr>
        <w:t xml:space="preserve">, M., Liebert, J., Enloe, S., Borghino, N., Parros, P., </w:t>
      </w:r>
      <w:proofErr w:type="spellStart"/>
      <w:r w:rsidRPr="000807DC">
        <w:rPr>
          <w:rFonts w:ascii="Times New Roman" w:eastAsia="Times New Roman" w:hAnsi="Times New Roman" w:cs="Times New Roman"/>
          <w:kern w:val="0"/>
          <w:sz w:val="24"/>
          <w:szCs w:val="24"/>
          <w:lang w:eastAsia="en-IN"/>
          <w14:ligatures w14:val="none"/>
        </w:rPr>
        <w:t>Mutyambai</w:t>
      </w:r>
      <w:proofErr w:type="spellEnd"/>
      <w:r w:rsidRPr="000807DC">
        <w:rPr>
          <w:rFonts w:ascii="Times New Roman" w:eastAsia="Times New Roman" w:hAnsi="Times New Roman" w:cs="Times New Roman"/>
          <w:kern w:val="0"/>
          <w:sz w:val="24"/>
          <w:szCs w:val="24"/>
          <w:lang w:eastAsia="en-IN"/>
          <w14:ligatures w14:val="none"/>
        </w:rPr>
        <w:t xml:space="preserve"> M. D., </w:t>
      </w:r>
      <w:proofErr w:type="spellStart"/>
      <w:r w:rsidRPr="000807DC">
        <w:rPr>
          <w:rFonts w:ascii="Times New Roman" w:eastAsia="Times New Roman" w:hAnsi="Times New Roman" w:cs="Times New Roman"/>
          <w:kern w:val="0"/>
          <w:sz w:val="24"/>
          <w:szCs w:val="24"/>
          <w:lang w:eastAsia="en-IN"/>
          <w14:ligatures w14:val="none"/>
        </w:rPr>
        <w:t>Prudhon</w:t>
      </w:r>
      <w:proofErr w:type="spellEnd"/>
      <w:r w:rsidRPr="000807DC">
        <w:rPr>
          <w:rFonts w:ascii="Times New Roman" w:eastAsia="Times New Roman" w:hAnsi="Times New Roman" w:cs="Times New Roman"/>
          <w:kern w:val="0"/>
          <w:sz w:val="24"/>
          <w:szCs w:val="24"/>
          <w:lang w:eastAsia="en-IN"/>
          <w14:ligatures w14:val="none"/>
        </w:rPr>
        <w:t xml:space="preserve">, M., &amp; Wezel, A. (2021). Can agroecology improve food security and nutrition? A review. </w:t>
      </w:r>
      <w:r w:rsidRPr="000807DC">
        <w:rPr>
          <w:rFonts w:ascii="Times New Roman" w:eastAsia="Times New Roman" w:hAnsi="Times New Roman" w:cs="Times New Roman"/>
          <w:i/>
          <w:iCs/>
          <w:kern w:val="0"/>
          <w:sz w:val="24"/>
          <w:szCs w:val="24"/>
          <w:lang w:eastAsia="en-IN"/>
          <w14:ligatures w14:val="none"/>
        </w:rPr>
        <w:t>Global Food Security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29</w:t>
      </w:r>
      <w:r w:rsidRPr="000807DC">
        <w:rPr>
          <w:rFonts w:ascii="Times New Roman" w:eastAsia="Times New Roman" w:hAnsi="Times New Roman" w:cs="Times New Roman"/>
          <w:kern w:val="0"/>
          <w:sz w:val="24"/>
          <w:szCs w:val="24"/>
          <w:lang w:eastAsia="en-IN"/>
          <w14:ligatures w14:val="none"/>
        </w:rPr>
        <w:t xml:space="preserve">, 100540. </w:t>
      </w:r>
      <w:hyperlink r:id="rId33" w:history="1">
        <w:r w:rsidRPr="000807DC">
          <w:rPr>
            <w:rFonts w:ascii="Times New Roman" w:eastAsia="Times New Roman" w:hAnsi="Times New Roman" w:cs="Times New Roman"/>
            <w:color w:val="0000FF"/>
            <w:kern w:val="0"/>
            <w:sz w:val="24"/>
            <w:szCs w:val="24"/>
            <w:u w:val="single"/>
            <w:lang w:eastAsia="en-IN"/>
            <w14:ligatures w14:val="none"/>
          </w:rPr>
          <w:t>https://doi.org/10.1016/j.gfs.2021.100540</w:t>
        </w:r>
      </w:hyperlink>
      <w:r>
        <w:t xml:space="preserve">  </w:t>
      </w:r>
    </w:p>
    <w:p w14:paraId="4F8D53C1"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Körner, C., Jetz, W., Paulsen, J., Payne, D., Rudmann-Maurer, K., &amp; Spehn, E. M. (2017). A global inventory of mountains for bio-geographical applications. </w:t>
      </w:r>
      <w:r w:rsidRPr="000807DC">
        <w:rPr>
          <w:rFonts w:ascii="Times New Roman" w:eastAsia="Times New Roman" w:hAnsi="Times New Roman" w:cs="Times New Roman"/>
          <w:i/>
          <w:iCs/>
          <w:kern w:val="0"/>
          <w:sz w:val="24"/>
          <w:szCs w:val="24"/>
          <w:lang w:eastAsia="en-IN"/>
          <w14:ligatures w14:val="none"/>
        </w:rPr>
        <w:t>Alpine Botany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127</w:t>
      </w:r>
      <w:r w:rsidRPr="000807DC">
        <w:rPr>
          <w:rFonts w:ascii="Times New Roman" w:eastAsia="Times New Roman" w:hAnsi="Times New Roman" w:cs="Times New Roman"/>
          <w:kern w:val="0"/>
          <w:sz w:val="24"/>
          <w:szCs w:val="24"/>
          <w:lang w:eastAsia="en-IN"/>
          <w14:ligatures w14:val="none"/>
        </w:rPr>
        <w:t xml:space="preserve">(1), 1–15. </w:t>
      </w:r>
      <w:hyperlink r:id="rId34" w:history="1">
        <w:r w:rsidRPr="000807DC">
          <w:rPr>
            <w:rFonts w:ascii="Times New Roman" w:eastAsia="Times New Roman" w:hAnsi="Times New Roman" w:cs="Times New Roman"/>
            <w:color w:val="0000FF"/>
            <w:kern w:val="0"/>
            <w:sz w:val="24"/>
            <w:szCs w:val="24"/>
            <w:u w:val="single"/>
            <w:lang w:eastAsia="en-IN"/>
            <w14:ligatures w14:val="none"/>
          </w:rPr>
          <w:t>https://doi.org/10.1007/s00035-016-0182-6</w:t>
        </w:r>
      </w:hyperlink>
    </w:p>
    <w:p w14:paraId="7BD2F7F7"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Lambin, E. F., &amp; </w:t>
      </w:r>
      <w:proofErr w:type="spellStart"/>
      <w:r w:rsidRPr="000807DC">
        <w:rPr>
          <w:rFonts w:ascii="Times New Roman" w:eastAsia="Times New Roman" w:hAnsi="Times New Roman" w:cs="Times New Roman"/>
          <w:kern w:val="0"/>
          <w:sz w:val="24"/>
          <w:szCs w:val="24"/>
          <w:lang w:eastAsia="en-IN"/>
          <w14:ligatures w14:val="none"/>
        </w:rPr>
        <w:t>Meyfroidt</w:t>
      </w:r>
      <w:proofErr w:type="spellEnd"/>
      <w:r w:rsidRPr="000807DC">
        <w:rPr>
          <w:rFonts w:ascii="Times New Roman" w:eastAsia="Times New Roman" w:hAnsi="Times New Roman" w:cs="Times New Roman"/>
          <w:kern w:val="0"/>
          <w:sz w:val="24"/>
          <w:szCs w:val="24"/>
          <w:lang w:eastAsia="en-IN"/>
          <w14:ligatures w14:val="none"/>
        </w:rPr>
        <w:t xml:space="preserve">, P. (2011). Global land use change, economic globalization, and the looming land scarcity. Proceedings of the national academy of sciences, 108(9), 3465-3472. </w:t>
      </w:r>
      <w:hyperlink r:id="rId35" w:history="1">
        <w:r w:rsidRPr="000807DC">
          <w:rPr>
            <w:rStyle w:val="Hyperlink"/>
            <w:rFonts w:ascii="Times New Roman" w:hAnsi="Times New Roman" w:cs="Times New Roman"/>
            <w:sz w:val="24"/>
            <w:szCs w:val="24"/>
          </w:rPr>
          <w:t>https://doi.org/10.1073/pnas.1100480108</w:t>
        </w:r>
      </w:hyperlink>
      <w:r w:rsidRPr="000807DC">
        <w:rPr>
          <w:rFonts w:ascii="Times New Roman" w:hAnsi="Times New Roman" w:cs="Times New Roman"/>
          <w:sz w:val="24"/>
          <w:szCs w:val="24"/>
        </w:rPr>
        <w:t xml:space="preserve"> </w:t>
      </w:r>
    </w:p>
    <w:p w14:paraId="677FAB4D"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Lin, B. B. (2011). Resilience in agriculture through crop diversification: Adaptive management for environmental change. </w:t>
      </w:r>
      <w:proofErr w:type="spellStart"/>
      <w:r w:rsidRPr="000807DC">
        <w:rPr>
          <w:rFonts w:ascii="Times New Roman" w:eastAsia="Times New Roman" w:hAnsi="Times New Roman" w:cs="Times New Roman"/>
          <w:i/>
          <w:iCs/>
          <w:kern w:val="0"/>
          <w:sz w:val="24"/>
          <w:szCs w:val="24"/>
          <w:lang w:eastAsia="en-IN"/>
          <w14:ligatures w14:val="none"/>
        </w:rPr>
        <w:t>BioScience</w:t>
      </w:r>
      <w:proofErr w:type="spellEnd"/>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61</w:t>
      </w:r>
      <w:r w:rsidRPr="000807DC">
        <w:rPr>
          <w:rFonts w:ascii="Times New Roman" w:eastAsia="Times New Roman" w:hAnsi="Times New Roman" w:cs="Times New Roman"/>
          <w:kern w:val="0"/>
          <w:sz w:val="24"/>
          <w:szCs w:val="24"/>
          <w:lang w:eastAsia="en-IN"/>
          <w14:ligatures w14:val="none"/>
        </w:rPr>
        <w:t xml:space="preserve">(3), 183–193. </w:t>
      </w:r>
      <w:hyperlink r:id="rId36" w:history="1">
        <w:r w:rsidRPr="000807DC">
          <w:rPr>
            <w:rFonts w:ascii="Times New Roman" w:eastAsia="Times New Roman" w:hAnsi="Times New Roman" w:cs="Times New Roman"/>
            <w:color w:val="0000FF"/>
            <w:kern w:val="0"/>
            <w:sz w:val="24"/>
            <w:szCs w:val="24"/>
            <w:u w:val="single"/>
            <w:lang w:eastAsia="en-IN"/>
            <w14:ligatures w14:val="none"/>
          </w:rPr>
          <w:t>https://doi.org/10.1525/bio.2011.61.3.4</w:t>
        </w:r>
      </w:hyperlink>
    </w:p>
    <w:p w14:paraId="27DB8A75"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Lowder, S. K., </w:t>
      </w:r>
      <w:proofErr w:type="spellStart"/>
      <w:r w:rsidRPr="000807DC">
        <w:rPr>
          <w:rFonts w:ascii="Times New Roman" w:eastAsia="Times New Roman" w:hAnsi="Times New Roman" w:cs="Times New Roman"/>
          <w:kern w:val="0"/>
          <w:sz w:val="24"/>
          <w:szCs w:val="24"/>
          <w:lang w:eastAsia="en-IN"/>
          <w14:ligatures w14:val="none"/>
        </w:rPr>
        <w:t>Skoet</w:t>
      </w:r>
      <w:proofErr w:type="spellEnd"/>
      <w:r w:rsidRPr="000807DC">
        <w:rPr>
          <w:rFonts w:ascii="Times New Roman" w:eastAsia="Times New Roman" w:hAnsi="Times New Roman" w:cs="Times New Roman"/>
          <w:kern w:val="0"/>
          <w:sz w:val="24"/>
          <w:szCs w:val="24"/>
          <w:lang w:eastAsia="en-IN"/>
          <w14:ligatures w14:val="none"/>
        </w:rPr>
        <w:t xml:space="preserve">, J., &amp; Raney, T. (2016). The number, size, and distribution of farms, smallholder farms, and family farms worldwide. </w:t>
      </w:r>
      <w:r w:rsidRPr="000807DC">
        <w:rPr>
          <w:rFonts w:ascii="Times New Roman" w:eastAsia="Times New Roman" w:hAnsi="Times New Roman" w:cs="Times New Roman"/>
          <w:i/>
          <w:iCs/>
          <w:kern w:val="0"/>
          <w:sz w:val="24"/>
          <w:szCs w:val="24"/>
          <w:lang w:eastAsia="en-IN"/>
          <w14:ligatures w14:val="none"/>
        </w:rPr>
        <w:t>World Development</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87</w:t>
      </w:r>
      <w:r w:rsidRPr="000807DC">
        <w:rPr>
          <w:rFonts w:ascii="Times New Roman" w:eastAsia="Times New Roman" w:hAnsi="Times New Roman" w:cs="Times New Roman"/>
          <w:kern w:val="0"/>
          <w:sz w:val="24"/>
          <w:szCs w:val="24"/>
          <w:lang w:eastAsia="en-IN"/>
          <w14:ligatures w14:val="none"/>
        </w:rPr>
        <w:t xml:space="preserve">, 16–29. </w:t>
      </w:r>
      <w:hyperlink r:id="rId37" w:history="1">
        <w:r w:rsidRPr="000807DC">
          <w:rPr>
            <w:rStyle w:val="Hyperlink"/>
            <w:rFonts w:ascii="Times New Roman" w:eastAsia="Times New Roman" w:hAnsi="Times New Roman" w:cs="Times New Roman"/>
            <w:kern w:val="0"/>
            <w:sz w:val="24"/>
            <w:szCs w:val="24"/>
            <w:lang w:eastAsia="en-IN"/>
            <w14:ligatures w14:val="none"/>
          </w:rPr>
          <w:t>https://doi.org/10.1016/j.worlddev.2015.10.041</w:t>
        </w:r>
      </w:hyperlink>
    </w:p>
    <w:p w14:paraId="2C5B6A0B"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proofErr w:type="spellStart"/>
      <w:r w:rsidRPr="000807DC">
        <w:rPr>
          <w:rFonts w:ascii="Times New Roman" w:eastAsia="Times New Roman" w:hAnsi="Times New Roman" w:cs="Times New Roman"/>
          <w:kern w:val="0"/>
          <w:sz w:val="24"/>
          <w:szCs w:val="24"/>
          <w:lang w:eastAsia="en-IN"/>
          <w14:ligatures w14:val="none"/>
        </w:rPr>
        <w:t>Lungleng</w:t>
      </w:r>
      <w:proofErr w:type="spellEnd"/>
      <w:r w:rsidRPr="000807DC">
        <w:rPr>
          <w:rFonts w:ascii="Times New Roman" w:eastAsia="Times New Roman" w:hAnsi="Times New Roman" w:cs="Times New Roman"/>
          <w:kern w:val="0"/>
          <w:sz w:val="24"/>
          <w:szCs w:val="24"/>
          <w:lang w:eastAsia="en-IN"/>
          <w14:ligatures w14:val="none"/>
        </w:rPr>
        <w:t xml:space="preserve">, P., &amp; </w:t>
      </w:r>
      <w:proofErr w:type="spellStart"/>
      <w:r w:rsidRPr="000807DC">
        <w:rPr>
          <w:rFonts w:ascii="Times New Roman" w:eastAsia="Times New Roman" w:hAnsi="Times New Roman" w:cs="Times New Roman"/>
          <w:kern w:val="0"/>
          <w:sz w:val="24"/>
          <w:szCs w:val="24"/>
          <w:lang w:eastAsia="en-IN"/>
          <w14:ligatures w14:val="none"/>
        </w:rPr>
        <w:t>Shimrah</w:t>
      </w:r>
      <w:proofErr w:type="spellEnd"/>
      <w:r w:rsidRPr="000807DC">
        <w:rPr>
          <w:rFonts w:ascii="Times New Roman" w:eastAsia="Times New Roman" w:hAnsi="Times New Roman" w:cs="Times New Roman"/>
          <w:kern w:val="0"/>
          <w:sz w:val="24"/>
          <w:szCs w:val="24"/>
          <w:lang w:eastAsia="en-IN"/>
          <w14:ligatures w14:val="none"/>
        </w:rPr>
        <w:t xml:space="preserve">, T. (2026). Shifting agriculture in Northeast India: Ecological functions and livelihood implications. Asian Journal of Environment &amp; Ecology, 25(1), 298–308. </w:t>
      </w:r>
      <w:hyperlink r:id="rId38" w:history="1">
        <w:r w:rsidRPr="000807DC">
          <w:rPr>
            <w:rStyle w:val="Hyperlink"/>
            <w:rFonts w:ascii="Times New Roman" w:eastAsia="Times New Roman" w:hAnsi="Times New Roman" w:cs="Times New Roman"/>
            <w:kern w:val="0"/>
            <w:sz w:val="24"/>
            <w:szCs w:val="24"/>
            <w:lang w:eastAsia="en-IN"/>
            <w14:ligatures w14:val="none"/>
          </w:rPr>
          <w:t>https://doi.org/10.9734/ajee/2026/v25i1876</w:t>
        </w:r>
      </w:hyperlink>
      <w:r w:rsidRPr="000807DC">
        <w:rPr>
          <w:rFonts w:ascii="Times New Roman" w:eastAsia="Times New Roman" w:hAnsi="Times New Roman" w:cs="Times New Roman"/>
          <w:kern w:val="0"/>
          <w:sz w:val="24"/>
          <w:szCs w:val="24"/>
          <w:lang w:eastAsia="en-IN"/>
          <w14:ligatures w14:val="none"/>
        </w:rPr>
        <w:t xml:space="preserve"> </w:t>
      </w:r>
    </w:p>
    <w:p w14:paraId="4A000309"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Malhotra, N., Sharma, P., Sood, H., </w:t>
      </w:r>
      <w:proofErr w:type="spellStart"/>
      <w:r w:rsidRPr="000807DC">
        <w:rPr>
          <w:rFonts w:ascii="Times New Roman" w:eastAsia="Times New Roman" w:hAnsi="Times New Roman" w:cs="Times New Roman"/>
          <w:kern w:val="0"/>
          <w:sz w:val="24"/>
          <w:szCs w:val="24"/>
          <w:lang w:eastAsia="en-IN"/>
          <w14:ligatures w14:val="none"/>
        </w:rPr>
        <w:t>Chandora</w:t>
      </w:r>
      <w:proofErr w:type="spellEnd"/>
      <w:r w:rsidRPr="000807DC">
        <w:rPr>
          <w:rFonts w:ascii="Times New Roman" w:eastAsia="Times New Roman" w:hAnsi="Times New Roman" w:cs="Times New Roman"/>
          <w:kern w:val="0"/>
          <w:sz w:val="24"/>
          <w:szCs w:val="24"/>
          <w:lang w:eastAsia="en-IN"/>
          <w14:ligatures w14:val="none"/>
        </w:rPr>
        <w:t xml:space="preserve">, R., Arya, M., Rana, J. C., &amp; Singh, M. (2022). </w:t>
      </w:r>
      <w:proofErr w:type="spellStart"/>
      <w:r w:rsidRPr="000807DC">
        <w:rPr>
          <w:rFonts w:ascii="Times New Roman" w:eastAsia="Times New Roman" w:hAnsi="Times New Roman" w:cs="Times New Roman"/>
          <w:kern w:val="0"/>
          <w:sz w:val="24"/>
          <w:szCs w:val="24"/>
          <w:lang w:eastAsia="en-IN"/>
          <w14:ligatures w14:val="none"/>
        </w:rPr>
        <w:t>Agro</w:t>
      </w:r>
      <w:proofErr w:type="spellEnd"/>
      <w:r w:rsidRPr="000807DC">
        <w:rPr>
          <w:rFonts w:ascii="Times New Roman" w:eastAsia="Times New Roman" w:hAnsi="Times New Roman" w:cs="Times New Roman"/>
          <w:kern w:val="0"/>
          <w:sz w:val="24"/>
          <w:szCs w:val="24"/>
          <w:lang w:eastAsia="en-IN"/>
          <w14:ligatures w14:val="none"/>
        </w:rPr>
        <w:t xml:space="preserve">-morphological characterization and nutritional profiling of traditional Himalayan crop landraces for their promotion toward mainstream agriculture. </w:t>
      </w:r>
      <w:r w:rsidRPr="000807DC">
        <w:rPr>
          <w:rFonts w:ascii="Times New Roman" w:eastAsia="Times New Roman" w:hAnsi="Times New Roman" w:cs="Times New Roman"/>
          <w:i/>
          <w:iCs/>
          <w:kern w:val="0"/>
          <w:sz w:val="24"/>
          <w:szCs w:val="24"/>
          <w:lang w:eastAsia="en-IN"/>
          <w14:ligatures w14:val="none"/>
        </w:rPr>
        <w:t>Frontiers in Plant Science, 13</w:t>
      </w:r>
      <w:r w:rsidRPr="000807DC">
        <w:rPr>
          <w:rFonts w:ascii="Times New Roman" w:eastAsia="Times New Roman" w:hAnsi="Times New Roman" w:cs="Times New Roman"/>
          <w:kern w:val="0"/>
          <w:sz w:val="24"/>
          <w:szCs w:val="24"/>
          <w:lang w:eastAsia="en-IN"/>
          <w14:ligatures w14:val="none"/>
        </w:rPr>
        <w:t xml:space="preserve">, Article 898220. </w:t>
      </w:r>
      <w:hyperlink r:id="rId39" w:history="1">
        <w:r w:rsidRPr="000807DC">
          <w:rPr>
            <w:rStyle w:val="Hyperlink"/>
            <w:rFonts w:ascii="Times New Roman" w:eastAsia="Times New Roman" w:hAnsi="Times New Roman" w:cs="Times New Roman"/>
            <w:kern w:val="0"/>
            <w:sz w:val="24"/>
            <w:szCs w:val="24"/>
            <w:lang w:eastAsia="en-IN"/>
            <w14:ligatures w14:val="none"/>
          </w:rPr>
          <w:t>https://doi.org/10.3389/fpls.2022.898220</w:t>
        </w:r>
      </w:hyperlink>
      <w:r w:rsidRPr="000807DC">
        <w:rPr>
          <w:rFonts w:ascii="Times New Roman" w:eastAsia="Times New Roman" w:hAnsi="Times New Roman" w:cs="Times New Roman"/>
          <w:kern w:val="0"/>
          <w:sz w:val="24"/>
          <w:szCs w:val="24"/>
          <w:lang w:eastAsia="en-IN"/>
          <w14:ligatures w14:val="none"/>
        </w:rPr>
        <w:t xml:space="preserve"> </w:t>
      </w:r>
    </w:p>
    <w:p w14:paraId="7D813E57"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Matthys, M.-L., Acharya, S., &amp; Khatri, S. (2021). “Before cardamom, we used to face hardship”: </w:t>
      </w:r>
      <w:proofErr w:type="spellStart"/>
      <w:r w:rsidRPr="000807DC">
        <w:rPr>
          <w:rFonts w:ascii="Times New Roman" w:eastAsia="Times New Roman" w:hAnsi="Times New Roman" w:cs="Times New Roman"/>
          <w:kern w:val="0"/>
          <w:sz w:val="24"/>
          <w:szCs w:val="24"/>
          <w:lang w:eastAsia="en-IN"/>
          <w14:ligatures w14:val="none"/>
        </w:rPr>
        <w:t>Analyzing</w:t>
      </w:r>
      <w:proofErr w:type="spellEnd"/>
      <w:r w:rsidRPr="000807DC">
        <w:rPr>
          <w:rFonts w:ascii="Times New Roman" w:eastAsia="Times New Roman" w:hAnsi="Times New Roman" w:cs="Times New Roman"/>
          <w:kern w:val="0"/>
          <w:sz w:val="24"/>
          <w:szCs w:val="24"/>
          <w:lang w:eastAsia="en-IN"/>
          <w14:ligatures w14:val="none"/>
        </w:rPr>
        <w:t xml:space="preserve"> agricultural commercialization effects in Nepal through a local concept of the Good Life. </w:t>
      </w:r>
      <w:r w:rsidRPr="000807DC">
        <w:rPr>
          <w:rFonts w:ascii="Times New Roman" w:eastAsia="Times New Roman" w:hAnsi="Times New Roman" w:cs="Times New Roman"/>
          <w:i/>
          <w:iCs/>
          <w:kern w:val="0"/>
          <w:sz w:val="24"/>
          <w:szCs w:val="24"/>
          <w:lang w:eastAsia="en-IN"/>
          <w14:ligatures w14:val="none"/>
        </w:rPr>
        <w:t>World Development, 141</w:t>
      </w:r>
      <w:r w:rsidRPr="000807DC">
        <w:rPr>
          <w:rFonts w:ascii="Times New Roman" w:eastAsia="Times New Roman" w:hAnsi="Times New Roman" w:cs="Times New Roman"/>
          <w:kern w:val="0"/>
          <w:sz w:val="24"/>
          <w:szCs w:val="24"/>
          <w:lang w:eastAsia="en-IN"/>
          <w14:ligatures w14:val="none"/>
        </w:rPr>
        <w:t xml:space="preserve">, Article 105410. </w:t>
      </w:r>
      <w:hyperlink r:id="rId40" w:history="1">
        <w:r w:rsidRPr="000807DC">
          <w:rPr>
            <w:rStyle w:val="Hyperlink"/>
            <w:rFonts w:ascii="Times New Roman" w:eastAsia="Times New Roman" w:hAnsi="Times New Roman" w:cs="Times New Roman"/>
            <w:kern w:val="0"/>
            <w:sz w:val="24"/>
            <w:szCs w:val="24"/>
            <w:lang w:eastAsia="en-IN"/>
            <w14:ligatures w14:val="none"/>
          </w:rPr>
          <w:t>https://doi.org/10.1016/j.worlddev.2021.105410</w:t>
        </w:r>
      </w:hyperlink>
      <w:r w:rsidRPr="000807DC">
        <w:rPr>
          <w:rFonts w:ascii="Times New Roman" w:eastAsia="Times New Roman" w:hAnsi="Times New Roman" w:cs="Times New Roman"/>
          <w:kern w:val="0"/>
          <w:sz w:val="24"/>
          <w:szCs w:val="24"/>
          <w:lang w:eastAsia="en-IN"/>
          <w14:ligatures w14:val="none"/>
        </w:rPr>
        <w:t xml:space="preserve"> </w:t>
      </w:r>
    </w:p>
    <w:p w14:paraId="62419A25"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Matthys, M.-L., </w:t>
      </w:r>
      <w:proofErr w:type="spellStart"/>
      <w:r w:rsidRPr="000807DC">
        <w:rPr>
          <w:rFonts w:ascii="Times New Roman" w:eastAsia="Times New Roman" w:hAnsi="Times New Roman" w:cs="Times New Roman"/>
          <w:kern w:val="0"/>
          <w:sz w:val="24"/>
          <w:szCs w:val="24"/>
          <w:lang w:eastAsia="en-IN"/>
          <w14:ligatures w14:val="none"/>
        </w:rPr>
        <w:t>Illien</w:t>
      </w:r>
      <w:proofErr w:type="spellEnd"/>
      <w:r w:rsidRPr="000807DC">
        <w:rPr>
          <w:rFonts w:ascii="Times New Roman" w:eastAsia="Times New Roman" w:hAnsi="Times New Roman" w:cs="Times New Roman"/>
          <w:kern w:val="0"/>
          <w:sz w:val="24"/>
          <w:szCs w:val="24"/>
          <w:lang w:eastAsia="en-IN"/>
          <w14:ligatures w14:val="none"/>
        </w:rPr>
        <w:t xml:space="preserve">, P., Acharya, S., Amacker, M., Bieri, S., </w:t>
      </w:r>
      <w:proofErr w:type="spellStart"/>
      <w:r w:rsidRPr="000807DC">
        <w:rPr>
          <w:rFonts w:ascii="Times New Roman" w:eastAsia="Times New Roman" w:hAnsi="Times New Roman" w:cs="Times New Roman"/>
          <w:kern w:val="0"/>
          <w:sz w:val="24"/>
          <w:szCs w:val="24"/>
          <w:lang w:eastAsia="en-IN"/>
          <w14:ligatures w14:val="none"/>
        </w:rPr>
        <w:t>Musafili</w:t>
      </w:r>
      <w:proofErr w:type="spellEnd"/>
      <w:r w:rsidRPr="000807DC">
        <w:rPr>
          <w:rFonts w:ascii="Times New Roman" w:eastAsia="Times New Roman" w:hAnsi="Times New Roman" w:cs="Times New Roman"/>
          <w:kern w:val="0"/>
          <w:sz w:val="24"/>
          <w:szCs w:val="24"/>
          <w:lang w:eastAsia="en-IN"/>
          <w14:ligatures w14:val="none"/>
        </w:rPr>
        <w:t xml:space="preserve">, I., &amp; </w:t>
      </w:r>
      <w:proofErr w:type="spellStart"/>
      <w:r w:rsidRPr="000807DC">
        <w:rPr>
          <w:rFonts w:ascii="Times New Roman" w:eastAsia="Times New Roman" w:hAnsi="Times New Roman" w:cs="Times New Roman"/>
          <w:kern w:val="0"/>
          <w:sz w:val="24"/>
          <w:szCs w:val="24"/>
          <w:lang w:eastAsia="en-IN"/>
          <w14:ligatures w14:val="none"/>
        </w:rPr>
        <w:t>Sanesathid</w:t>
      </w:r>
      <w:proofErr w:type="spellEnd"/>
      <w:r w:rsidRPr="000807DC">
        <w:rPr>
          <w:rFonts w:ascii="Times New Roman" w:eastAsia="Times New Roman" w:hAnsi="Times New Roman" w:cs="Times New Roman"/>
          <w:kern w:val="0"/>
          <w:sz w:val="24"/>
          <w:szCs w:val="24"/>
          <w:lang w:eastAsia="en-IN"/>
          <w14:ligatures w14:val="none"/>
        </w:rPr>
        <w:t xml:space="preserve">, O. (2024). The role of high-value agriculture in capability expansion: Qualitative insights into smallholder cash crop production in Nepal, Laos and Rwanda. </w:t>
      </w:r>
      <w:r w:rsidRPr="000807DC">
        <w:rPr>
          <w:rFonts w:ascii="Times New Roman" w:eastAsia="Times New Roman" w:hAnsi="Times New Roman" w:cs="Times New Roman"/>
          <w:i/>
          <w:iCs/>
          <w:kern w:val="0"/>
          <w:sz w:val="24"/>
          <w:szCs w:val="24"/>
          <w:lang w:eastAsia="en-IN"/>
          <w14:ligatures w14:val="none"/>
        </w:rPr>
        <w:t>The European Journal of Development Research, 36</w:t>
      </w:r>
      <w:r w:rsidRPr="000807DC">
        <w:rPr>
          <w:rFonts w:ascii="Times New Roman" w:eastAsia="Times New Roman" w:hAnsi="Times New Roman" w:cs="Times New Roman"/>
          <w:kern w:val="0"/>
          <w:sz w:val="24"/>
          <w:szCs w:val="24"/>
          <w:lang w:eastAsia="en-IN"/>
          <w14:ligatures w14:val="none"/>
        </w:rPr>
        <w:t xml:space="preserve">(1), 243–262. </w:t>
      </w:r>
      <w:hyperlink r:id="rId41" w:history="1">
        <w:r w:rsidRPr="000807DC">
          <w:rPr>
            <w:rStyle w:val="Hyperlink"/>
            <w:rFonts w:ascii="Times New Roman" w:eastAsia="Times New Roman" w:hAnsi="Times New Roman" w:cs="Times New Roman"/>
            <w:kern w:val="0"/>
            <w:sz w:val="24"/>
            <w:szCs w:val="24"/>
            <w:lang w:eastAsia="en-IN"/>
            <w14:ligatures w14:val="none"/>
          </w:rPr>
          <w:t>https://doi.org/10.1057/s41287-023-00600-1</w:t>
        </w:r>
      </w:hyperlink>
      <w:r w:rsidRPr="000807DC">
        <w:rPr>
          <w:rFonts w:ascii="Times New Roman" w:eastAsia="Times New Roman" w:hAnsi="Times New Roman" w:cs="Times New Roman"/>
          <w:kern w:val="0"/>
          <w:sz w:val="24"/>
          <w:szCs w:val="24"/>
          <w:lang w:eastAsia="en-IN"/>
          <w14:ligatures w14:val="none"/>
        </w:rPr>
        <w:t xml:space="preserve"> </w:t>
      </w:r>
    </w:p>
    <w:p w14:paraId="09C3781A"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lastRenderedPageBreak/>
        <w:t xml:space="preserve">Pretty, J., Benton, T. G., Bharucha, Z. P., Dicks, L. V., Flora, C. B., Godfray, H. C. J., ... &amp; Wratten, S. (2018). Global assessment of agricultural system redesign for sustainable intensification. Nature Sustainability, 1(8), 441-446. </w:t>
      </w:r>
      <w:hyperlink r:id="rId42" w:history="1">
        <w:r w:rsidRPr="000807DC">
          <w:rPr>
            <w:rFonts w:ascii="Times New Roman" w:eastAsia="Times New Roman" w:hAnsi="Times New Roman" w:cs="Times New Roman"/>
            <w:color w:val="0000FF"/>
            <w:kern w:val="0"/>
            <w:sz w:val="24"/>
            <w:szCs w:val="24"/>
            <w:u w:val="single"/>
            <w:lang w:eastAsia="en-IN"/>
            <w14:ligatures w14:val="none"/>
          </w:rPr>
          <w:t>https://doi.org/10.1038/s41893-018-0114-0</w:t>
        </w:r>
      </w:hyperlink>
    </w:p>
    <w:p w14:paraId="2AE33E2F"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Rana, V., Kumar, M., Goswami, S., &amp; Uniyal, A. K. (2026). Livelihood diversification and income structure of forest adjacent villages of the Western Himalayas, India. Asian Journal of Agricultural Extension, Economics &amp; Sociology, 44(3), 70–78. </w:t>
      </w:r>
      <w:hyperlink r:id="rId43" w:history="1">
        <w:r w:rsidRPr="000807DC">
          <w:rPr>
            <w:rStyle w:val="Hyperlink"/>
            <w:rFonts w:ascii="Times New Roman" w:eastAsia="Times New Roman" w:hAnsi="Times New Roman" w:cs="Times New Roman"/>
            <w:kern w:val="0"/>
            <w:sz w:val="24"/>
            <w:szCs w:val="24"/>
            <w:lang w:eastAsia="en-IN"/>
            <w14:ligatures w14:val="none"/>
          </w:rPr>
          <w:t>https://doi.org/10.9734/ajaees/2026/v44i32901</w:t>
        </w:r>
      </w:hyperlink>
      <w:r w:rsidRPr="000807DC">
        <w:rPr>
          <w:rFonts w:ascii="Times New Roman" w:eastAsia="Times New Roman" w:hAnsi="Times New Roman" w:cs="Times New Roman"/>
          <w:kern w:val="0"/>
          <w:sz w:val="24"/>
          <w:szCs w:val="24"/>
          <w:lang w:eastAsia="en-IN"/>
          <w14:ligatures w14:val="none"/>
        </w:rPr>
        <w:t xml:space="preserve"> </w:t>
      </w:r>
    </w:p>
    <w:p w14:paraId="6AD56883"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Rasul, G., &amp; Hussain, A. (2015). Sustainable food security in the mountains of Pakistan: Towards a policy framework. Ecology of food and nutrition, 54(6), 625-643. </w:t>
      </w:r>
      <w:hyperlink r:id="rId44" w:history="1">
        <w:r w:rsidRPr="000807DC">
          <w:rPr>
            <w:rStyle w:val="Hyperlink"/>
            <w:rFonts w:ascii="Times New Roman" w:hAnsi="Times New Roman" w:cs="Times New Roman"/>
            <w:sz w:val="24"/>
            <w:szCs w:val="24"/>
          </w:rPr>
          <w:t>https://doi.org/10.1080/03670244.2015.1052426</w:t>
        </w:r>
      </w:hyperlink>
      <w:r w:rsidRPr="000807DC">
        <w:rPr>
          <w:rFonts w:ascii="Times New Roman" w:hAnsi="Times New Roman" w:cs="Times New Roman"/>
          <w:sz w:val="24"/>
          <w:szCs w:val="24"/>
        </w:rPr>
        <w:t xml:space="preserve"> </w:t>
      </w:r>
    </w:p>
    <w:p w14:paraId="181768D2"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Reyers, B., Folke, C., Moore, M. L., Biggs, R., &amp; Galaz, V. (2018). Social-ecological systems insights for navigating the dynamics of the Anthropocene. </w:t>
      </w:r>
      <w:r w:rsidRPr="000807DC">
        <w:rPr>
          <w:rFonts w:ascii="Times New Roman" w:eastAsia="Times New Roman" w:hAnsi="Times New Roman" w:cs="Times New Roman"/>
          <w:i/>
          <w:iCs/>
          <w:kern w:val="0"/>
          <w:sz w:val="24"/>
          <w:szCs w:val="24"/>
          <w:lang w:eastAsia="en-IN"/>
          <w14:ligatures w14:val="none"/>
        </w:rPr>
        <w:t>Annual Review of Environment and Resources</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43</w:t>
      </w:r>
      <w:r w:rsidRPr="000807DC">
        <w:rPr>
          <w:rFonts w:ascii="Times New Roman" w:eastAsia="Times New Roman" w:hAnsi="Times New Roman" w:cs="Times New Roman"/>
          <w:kern w:val="0"/>
          <w:sz w:val="24"/>
          <w:szCs w:val="24"/>
          <w:lang w:eastAsia="en-IN"/>
          <w14:ligatures w14:val="none"/>
        </w:rPr>
        <w:t xml:space="preserve">, 267–289. </w:t>
      </w:r>
      <w:hyperlink r:id="rId45" w:history="1">
        <w:r w:rsidRPr="000807DC">
          <w:rPr>
            <w:rStyle w:val="Hyperlink"/>
            <w:rFonts w:ascii="Times New Roman" w:eastAsia="Times New Roman" w:hAnsi="Times New Roman" w:cs="Times New Roman"/>
            <w:kern w:val="0"/>
            <w:sz w:val="24"/>
            <w:szCs w:val="24"/>
            <w:lang w:eastAsia="en-IN"/>
            <w14:ligatures w14:val="none"/>
          </w:rPr>
          <w:t>https://doi.org/10.1146/annurev-environ-110615-085349</w:t>
        </w:r>
      </w:hyperlink>
    </w:p>
    <w:p w14:paraId="551D0440"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proofErr w:type="spellStart"/>
      <w:r w:rsidRPr="000807DC">
        <w:rPr>
          <w:rFonts w:ascii="Times New Roman" w:eastAsia="Times New Roman" w:hAnsi="Times New Roman" w:cs="Times New Roman"/>
          <w:kern w:val="0"/>
          <w:sz w:val="24"/>
          <w:szCs w:val="24"/>
          <w:lang w:eastAsia="en-IN"/>
          <w14:ligatures w14:val="none"/>
        </w:rPr>
        <w:t>Rockström</w:t>
      </w:r>
      <w:proofErr w:type="spellEnd"/>
      <w:r w:rsidRPr="000807DC">
        <w:rPr>
          <w:rFonts w:ascii="Times New Roman" w:eastAsia="Times New Roman" w:hAnsi="Times New Roman" w:cs="Times New Roman"/>
          <w:kern w:val="0"/>
          <w:sz w:val="24"/>
          <w:szCs w:val="24"/>
          <w:lang w:eastAsia="en-IN"/>
          <w14:ligatures w14:val="none"/>
        </w:rPr>
        <w:t xml:space="preserve">, J., Steffen, W., Noone, K., Persson, Å., Chapin, F. S., Lambin, E. F., ... &amp; Foley, J. A. (2009). A safe operating space for humanity. nature, 461(7263), 472-475. </w:t>
      </w:r>
      <w:hyperlink r:id="rId46" w:history="1">
        <w:r w:rsidRPr="000807DC">
          <w:rPr>
            <w:rFonts w:ascii="Times New Roman" w:eastAsia="Times New Roman" w:hAnsi="Times New Roman" w:cs="Times New Roman"/>
            <w:color w:val="0000FF"/>
            <w:kern w:val="0"/>
            <w:sz w:val="24"/>
            <w:szCs w:val="24"/>
            <w:u w:val="single"/>
            <w:lang w:eastAsia="en-IN"/>
            <w14:ligatures w14:val="none"/>
          </w:rPr>
          <w:t>https://doi.org/10.1038/461472a</w:t>
        </w:r>
      </w:hyperlink>
    </w:p>
    <w:p w14:paraId="5538DB6C"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Sachet, E., Mertz, O., Le Coq, J.-F., Cruz-Garcia, G. S., Francesconi, W., Bonin, M., &amp; Quintero, M. (2021). Agroecological transitions: A systematic review of research approaches and prospects for participatory action methods. </w:t>
      </w:r>
      <w:r w:rsidRPr="000807DC">
        <w:rPr>
          <w:rFonts w:ascii="Times New Roman" w:eastAsia="Times New Roman" w:hAnsi="Times New Roman" w:cs="Times New Roman"/>
          <w:i/>
          <w:iCs/>
          <w:kern w:val="0"/>
          <w:sz w:val="24"/>
          <w:szCs w:val="24"/>
          <w:lang w:eastAsia="en-IN"/>
          <w14:ligatures w14:val="none"/>
        </w:rPr>
        <w:t>Frontiers in Sustainable Food Systems, 5</w:t>
      </w:r>
      <w:r w:rsidRPr="000807DC">
        <w:rPr>
          <w:rFonts w:ascii="Times New Roman" w:eastAsia="Times New Roman" w:hAnsi="Times New Roman" w:cs="Times New Roman"/>
          <w:kern w:val="0"/>
          <w:sz w:val="24"/>
          <w:szCs w:val="24"/>
          <w:lang w:eastAsia="en-IN"/>
          <w14:ligatures w14:val="none"/>
        </w:rPr>
        <w:t xml:space="preserve">, Article 709401. </w:t>
      </w:r>
      <w:hyperlink r:id="rId47" w:history="1">
        <w:r w:rsidRPr="000807DC">
          <w:rPr>
            <w:rStyle w:val="Hyperlink"/>
            <w:rFonts w:ascii="Times New Roman" w:eastAsia="Times New Roman" w:hAnsi="Times New Roman" w:cs="Times New Roman"/>
            <w:kern w:val="0"/>
            <w:sz w:val="24"/>
            <w:szCs w:val="24"/>
            <w:lang w:eastAsia="en-IN"/>
            <w14:ligatures w14:val="none"/>
          </w:rPr>
          <w:t>https://doi.org/10.3389/fsufs.2021.709401</w:t>
        </w:r>
      </w:hyperlink>
      <w:r w:rsidRPr="000807DC">
        <w:rPr>
          <w:rFonts w:ascii="Times New Roman" w:eastAsia="Times New Roman" w:hAnsi="Times New Roman" w:cs="Times New Roman"/>
          <w:kern w:val="0"/>
          <w:sz w:val="24"/>
          <w:szCs w:val="24"/>
          <w:lang w:eastAsia="en-IN"/>
          <w14:ligatures w14:val="none"/>
        </w:rPr>
        <w:t xml:space="preserve"> </w:t>
      </w:r>
    </w:p>
    <w:p w14:paraId="0146A5B7"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Schirpke, U., Kohler, M., Leitinger, G., Fontana, V., Tasser, E., &amp; Tappeiner, U. (2017). Future impacts of changing land-use and climate on ecosystem services of mountain grassland and their resilience. Ecosystem services, 26, 79-94. </w:t>
      </w:r>
      <w:hyperlink r:id="rId48" w:history="1">
        <w:r w:rsidRPr="000807DC">
          <w:rPr>
            <w:rFonts w:ascii="Times New Roman" w:eastAsia="Times New Roman" w:hAnsi="Times New Roman" w:cs="Times New Roman"/>
            <w:color w:val="0000FF"/>
            <w:kern w:val="0"/>
            <w:sz w:val="24"/>
            <w:szCs w:val="24"/>
            <w:u w:val="single"/>
            <w:lang w:eastAsia="en-IN"/>
            <w14:ligatures w14:val="none"/>
          </w:rPr>
          <w:t>https://doi.org/10.1016/j.ecoser.2017.06.008</w:t>
        </w:r>
      </w:hyperlink>
    </w:p>
    <w:p w14:paraId="0E500B0A"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proofErr w:type="spellStart"/>
      <w:r w:rsidRPr="000807DC">
        <w:rPr>
          <w:rFonts w:ascii="Times New Roman" w:eastAsia="Times New Roman" w:hAnsi="Times New Roman" w:cs="Times New Roman"/>
          <w:kern w:val="0"/>
          <w:sz w:val="24"/>
          <w:szCs w:val="24"/>
          <w:lang w:eastAsia="en-IN"/>
          <w14:ligatures w14:val="none"/>
        </w:rPr>
        <w:t>Sibhatu</w:t>
      </w:r>
      <w:proofErr w:type="spellEnd"/>
      <w:r w:rsidRPr="000807DC">
        <w:rPr>
          <w:rFonts w:ascii="Times New Roman" w:eastAsia="Times New Roman" w:hAnsi="Times New Roman" w:cs="Times New Roman"/>
          <w:kern w:val="0"/>
          <w:sz w:val="24"/>
          <w:szCs w:val="24"/>
          <w:lang w:eastAsia="en-IN"/>
          <w14:ligatures w14:val="none"/>
        </w:rPr>
        <w:t xml:space="preserve">, K. T., Krishna, V. V., &amp; Qaim, M. (2015). Production diversity and dietary diversity in smallholder farm households. </w:t>
      </w:r>
      <w:r w:rsidRPr="000807DC">
        <w:rPr>
          <w:rFonts w:ascii="Times New Roman" w:eastAsia="Times New Roman" w:hAnsi="Times New Roman" w:cs="Times New Roman"/>
          <w:i/>
          <w:iCs/>
          <w:kern w:val="0"/>
          <w:sz w:val="24"/>
          <w:szCs w:val="24"/>
          <w:lang w:eastAsia="en-IN"/>
          <w14:ligatures w14:val="none"/>
        </w:rPr>
        <w:t>Proceedings of the National Academy of Sciences</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112</w:t>
      </w:r>
      <w:r w:rsidRPr="000807DC">
        <w:rPr>
          <w:rFonts w:ascii="Times New Roman" w:eastAsia="Times New Roman" w:hAnsi="Times New Roman" w:cs="Times New Roman"/>
          <w:kern w:val="0"/>
          <w:sz w:val="24"/>
          <w:szCs w:val="24"/>
          <w:lang w:eastAsia="en-IN"/>
          <w14:ligatures w14:val="none"/>
        </w:rPr>
        <w:t xml:space="preserve">(34), 10657–10662. </w:t>
      </w:r>
      <w:hyperlink r:id="rId49" w:history="1">
        <w:r w:rsidRPr="000807DC">
          <w:rPr>
            <w:rFonts w:ascii="Times New Roman" w:eastAsia="Times New Roman" w:hAnsi="Times New Roman" w:cs="Times New Roman"/>
            <w:color w:val="0000FF"/>
            <w:kern w:val="0"/>
            <w:sz w:val="24"/>
            <w:szCs w:val="24"/>
            <w:u w:val="single"/>
            <w:lang w:eastAsia="en-IN"/>
            <w14:ligatures w14:val="none"/>
          </w:rPr>
          <w:t>https://doi.org/10.1073/pnas.1510982112</w:t>
        </w:r>
      </w:hyperlink>
    </w:p>
    <w:p w14:paraId="2FC442E5"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proofErr w:type="spellStart"/>
      <w:r w:rsidRPr="000807DC">
        <w:rPr>
          <w:rFonts w:ascii="Times New Roman" w:eastAsia="Times New Roman" w:hAnsi="Times New Roman" w:cs="Times New Roman"/>
          <w:kern w:val="0"/>
          <w:sz w:val="24"/>
          <w:szCs w:val="24"/>
          <w:lang w:eastAsia="en-IN"/>
          <w14:ligatures w14:val="none"/>
        </w:rPr>
        <w:t>Snethlage</w:t>
      </w:r>
      <w:proofErr w:type="spellEnd"/>
      <w:r w:rsidRPr="000807DC">
        <w:rPr>
          <w:rFonts w:ascii="Times New Roman" w:eastAsia="Times New Roman" w:hAnsi="Times New Roman" w:cs="Times New Roman"/>
          <w:kern w:val="0"/>
          <w:sz w:val="24"/>
          <w:szCs w:val="24"/>
          <w:lang w:eastAsia="en-IN"/>
          <w14:ligatures w14:val="none"/>
        </w:rPr>
        <w:t xml:space="preserve">, M. A., Geschke, J., </w:t>
      </w:r>
      <w:proofErr w:type="spellStart"/>
      <w:r w:rsidRPr="000807DC">
        <w:rPr>
          <w:rFonts w:ascii="Times New Roman" w:eastAsia="Times New Roman" w:hAnsi="Times New Roman" w:cs="Times New Roman"/>
          <w:kern w:val="0"/>
          <w:sz w:val="24"/>
          <w:szCs w:val="24"/>
          <w:lang w:eastAsia="en-IN"/>
          <w14:ligatures w14:val="none"/>
        </w:rPr>
        <w:t>Ranipeta</w:t>
      </w:r>
      <w:proofErr w:type="spellEnd"/>
      <w:r w:rsidRPr="000807DC">
        <w:rPr>
          <w:rFonts w:ascii="Times New Roman" w:eastAsia="Times New Roman" w:hAnsi="Times New Roman" w:cs="Times New Roman"/>
          <w:kern w:val="0"/>
          <w:sz w:val="24"/>
          <w:szCs w:val="24"/>
          <w:lang w:eastAsia="en-IN"/>
          <w14:ligatures w14:val="none"/>
        </w:rPr>
        <w:t xml:space="preserve">, A., </w:t>
      </w:r>
      <w:proofErr w:type="spellStart"/>
      <w:r w:rsidRPr="000807DC">
        <w:rPr>
          <w:rFonts w:ascii="Times New Roman" w:eastAsia="Times New Roman" w:hAnsi="Times New Roman" w:cs="Times New Roman"/>
          <w:kern w:val="0"/>
          <w:sz w:val="24"/>
          <w:szCs w:val="24"/>
          <w:lang w:eastAsia="en-IN"/>
          <w14:ligatures w14:val="none"/>
        </w:rPr>
        <w:t>Jetz</w:t>
      </w:r>
      <w:proofErr w:type="spellEnd"/>
      <w:r w:rsidRPr="000807DC">
        <w:rPr>
          <w:rFonts w:ascii="Times New Roman" w:eastAsia="Times New Roman" w:hAnsi="Times New Roman" w:cs="Times New Roman"/>
          <w:kern w:val="0"/>
          <w:sz w:val="24"/>
          <w:szCs w:val="24"/>
          <w:lang w:eastAsia="en-IN"/>
          <w14:ligatures w14:val="none"/>
        </w:rPr>
        <w:t xml:space="preserve">, W., </w:t>
      </w:r>
      <w:proofErr w:type="spellStart"/>
      <w:r w:rsidRPr="000807DC">
        <w:rPr>
          <w:rFonts w:ascii="Times New Roman" w:eastAsia="Times New Roman" w:hAnsi="Times New Roman" w:cs="Times New Roman"/>
          <w:kern w:val="0"/>
          <w:sz w:val="24"/>
          <w:szCs w:val="24"/>
          <w:lang w:eastAsia="en-IN"/>
          <w14:ligatures w14:val="none"/>
        </w:rPr>
        <w:t>Yoccoz</w:t>
      </w:r>
      <w:proofErr w:type="spellEnd"/>
      <w:r w:rsidRPr="000807DC">
        <w:rPr>
          <w:rFonts w:ascii="Times New Roman" w:eastAsia="Times New Roman" w:hAnsi="Times New Roman" w:cs="Times New Roman"/>
          <w:kern w:val="0"/>
          <w:sz w:val="24"/>
          <w:szCs w:val="24"/>
          <w:lang w:eastAsia="en-IN"/>
          <w14:ligatures w14:val="none"/>
        </w:rPr>
        <w:t xml:space="preserve">, N. G., Körner, C., Spehn, E. M., Fischer, M., &amp; Urbach, D. (2022). A hierarchical inventory of the world’s mountains for global comparative mountain science. </w:t>
      </w:r>
      <w:r w:rsidRPr="000807DC">
        <w:rPr>
          <w:rFonts w:ascii="Times New Roman" w:eastAsia="Times New Roman" w:hAnsi="Times New Roman" w:cs="Times New Roman"/>
          <w:i/>
          <w:iCs/>
          <w:kern w:val="0"/>
          <w:sz w:val="24"/>
          <w:szCs w:val="24"/>
          <w:lang w:eastAsia="en-IN"/>
          <w14:ligatures w14:val="none"/>
        </w:rPr>
        <w:t>Scientific Data, 9</w:t>
      </w:r>
      <w:r w:rsidRPr="000807DC">
        <w:rPr>
          <w:rFonts w:ascii="Times New Roman" w:eastAsia="Times New Roman" w:hAnsi="Times New Roman" w:cs="Times New Roman"/>
          <w:kern w:val="0"/>
          <w:sz w:val="24"/>
          <w:szCs w:val="24"/>
          <w:lang w:eastAsia="en-IN"/>
          <w14:ligatures w14:val="none"/>
        </w:rPr>
        <w:t xml:space="preserve">, Article 149. </w:t>
      </w:r>
      <w:hyperlink r:id="rId50" w:history="1">
        <w:r w:rsidRPr="000807DC">
          <w:rPr>
            <w:rStyle w:val="Hyperlink"/>
            <w:rFonts w:ascii="Times New Roman" w:eastAsia="Times New Roman" w:hAnsi="Times New Roman" w:cs="Times New Roman"/>
            <w:kern w:val="0"/>
            <w:sz w:val="24"/>
            <w:szCs w:val="24"/>
            <w:lang w:eastAsia="en-IN"/>
            <w14:ligatures w14:val="none"/>
          </w:rPr>
          <w:t>https://doi.org/10.1038/s41597-022-01256-y</w:t>
        </w:r>
      </w:hyperlink>
      <w:r w:rsidRPr="000807DC">
        <w:rPr>
          <w:rFonts w:ascii="Times New Roman" w:eastAsia="Times New Roman" w:hAnsi="Times New Roman" w:cs="Times New Roman"/>
          <w:kern w:val="0"/>
          <w:sz w:val="24"/>
          <w:szCs w:val="24"/>
          <w:lang w:eastAsia="en-IN"/>
          <w14:ligatures w14:val="none"/>
        </w:rPr>
        <w:t xml:space="preserve">  </w:t>
      </w:r>
    </w:p>
    <w:p w14:paraId="17471C61"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Snyder, H. (2019). Literature review as a research methodology: An overview and guidelines. </w:t>
      </w:r>
      <w:r w:rsidRPr="000807DC">
        <w:rPr>
          <w:rFonts w:ascii="Times New Roman" w:eastAsia="Times New Roman" w:hAnsi="Times New Roman" w:cs="Times New Roman"/>
          <w:i/>
          <w:iCs/>
          <w:kern w:val="0"/>
          <w:sz w:val="24"/>
          <w:szCs w:val="24"/>
          <w:lang w:eastAsia="en-IN"/>
          <w14:ligatures w14:val="none"/>
        </w:rPr>
        <w:t>Journal of Business Research</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104</w:t>
      </w:r>
      <w:r w:rsidRPr="000807DC">
        <w:rPr>
          <w:rFonts w:ascii="Times New Roman" w:eastAsia="Times New Roman" w:hAnsi="Times New Roman" w:cs="Times New Roman"/>
          <w:kern w:val="0"/>
          <w:sz w:val="24"/>
          <w:szCs w:val="24"/>
          <w:lang w:eastAsia="en-IN"/>
          <w14:ligatures w14:val="none"/>
        </w:rPr>
        <w:t xml:space="preserve">, 333–339. </w:t>
      </w:r>
      <w:hyperlink r:id="rId51" w:history="1">
        <w:r w:rsidRPr="000807DC">
          <w:rPr>
            <w:rFonts w:ascii="Times New Roman" w:eastAsia="Times New Roman" w:hAnsi="Times New Roman" w:cs="Times New Roman"/>
            <w:color w:val="0000FF"/>
            <w:kern w:val="0"/>
            <w:sz w:val="24"/>
            <w:szCs w:val="24"/>
            <w:u w:val="single"/>
            <w:lang w:eastAsia="en-IN"/>
            <w14:ligatures w14:val="none"/>
          </w:rPr>
          <w:t>https://doi.org/10.1016/j.jbusres.2019.07.039</w:t>
        </w:r>
      </w:hyperlink>
    </w:p>
    <w:p w14:paraId="1E187485"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Thapa, A., Muthuprakash, S., Damani, O., &amp; Isaac, M. E. (2026). Social-ecological outcomes of agroecological transitions: A case study from natural farming systems in central India. </w:t>
      </w:r>
      <w:r w:rsidRPr="000807DC">
        <w:rPr>
          <w:rFonts w:ascii="Times New Roman" w:eastAsia="Times New Roman" w:hAnsi="Times New Roman" w:cs="Times New Roman"/>
          <w:i/>
          <w:iCs/>
          <w:kern w:val="0"/>
          <w:sz w:val="24"/>
          <w:szCs w:val="24"/>
          <w:lang w:eastAsia="en-IN"/>
          <w14:ligatures w14:val="none"/>
        </w:rPr>
        <w:t>PLOS Sustainability and Transformation, 5</w:t>
      </w:r>
      <w:r w:rsidRPr="000807DC">
        <w:rPr>
          <w:rFonts w:ascii="Times New Roman" w:eastAsia="Times New Roman" w:hAnsi="Times New Roman" w:cs="Times New Roman"/>
          <w:kern w:val="0"/>
          <w:sz w:val="24"/>
          <w:szCs w:val="24"/>
          <w:lang w:eastAsia="en-IN"/>
          <w14:ligatures w14:val="none"/>
        </w:rPr>
        <w:t xml:space="preserve">(1), Article e0000212. </w:t>
      </w:r>
      <w:hyperlink r:id="rId52" w:history="1">
        <w:r w:rsidRPr="000807DC">
          <w:rPr>
            <w:rStyle w:val="Hyperlink"/>
            <w:rFonts w:ascii="Times New Roman" w:eastAsia="Times New Roman" w:hAnsi="Times New Roman" w:cs="Times New Roman"/>
            <w:kern w:val="0"/>
            <w:sz w:val="24"/>
            <w:szCs w:val="24"/>
            <w:lang w:eastAsia="en-IN"/>
            <w14:ligatures w14:val="none"/>
          </w:rPr>
          <w:t>https://doi.org/10.1371/journal.pstr.0000212</w:t>
        </w:r>
      </w:hyperlink>
      <w:r w:rsidRPr="000807DC">
        <w:rPr>
          <w:rFonts w:ascii="Times New Roman" w:eastAsia="Times New Roman" w:hAnsi="Times New Roman" w:cs="Times New Roman"/>
          <w:kern w:val="0"/>
          <w:sz w:val="24"/>
          <w:szCs w:val="24"/>
          <w:lang w:eastAsia="en-IN"/>
          <w14:ligatures w14:val="none"/>
        </w:rPr>
        <w:t xml:space="preserve">  </w:t>
      </w:r>
    </w:p>
    <w:p w14:paraId="2B3AC1C9" w14:textId="4B097270"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lastRenderedPageBreak/>
        <w:t>Thapa, G. B., &amp; Paudel, G. S. (2002). Farmland degradation in the mountains of Nepal: A study of watersheds ‘with’</w:t>
      </w:r>
      <w:r w:rsidR="00534086">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kern w:val="0"/>
          <w:sz w:val="24"/>
          <w:szCs w:val="24"/>
          <w:lang w:eastAsia="en-IN"/>
          <w14:ligatures w14:val="none"/>
        </w:rPr>
        <w:t>and ‘</w:t>
      </w:r>
      <w:proofErr w:type="spellStart"/>
      <w:r w:rsidRPr="000807DC">
        <w:rPr>
          <w:rFonts w:ascii="Times New Roman" w:eastAsia="Times New Roman" w:hAnsi="Times New Roman" w:cs="Times New Roman"/>
          <w:kern w:val="0"/>
          <w:sz w:val="24"/>
          <w:szCs w:val="24"/>
          <w:lang w:eastAsia="en-IN"/>
          <w14:ligatures w14:val="none"/>
        </w:rPr>
        <w:t>without’external</w:t>
      </w:r>
      <w:proofErr w:type="spellEnd"/>
      <w:r w:rsidRPr="000807DC">
        <w:rPr>
          <w:rFonts w:ascii="Times New Roman" w:eastAsia="Times New Roman" w:hAnsi="Times New Roman" w:cs="Times New Roman"/>
          <w:kern w:val="0"/>
          <w:sz w:val="24"/>
          <w:szCs w:val="24"/>
          <w:lang w:eastAsia="en-IN"/>
          <w14:ligatures w14:val="none"/>
        </w:rPr>
        <w:t xml:space="preserve"> intervention. Land degradation &amp; development, 13(6), 479-493. </w:t>
      </w:r>
      <w:hyperlink r:id="rId53" w:history="1">
        <w:r w:rsidRPr="000807DC">
          <w:rPr>
            <w:rStyle w:val="Hyperlink"/>
            <w:rFonts w:ascii="Times New Roman" w:hAnsi="Times New Roman" w:cs="Times New Roman"/>
            <w:sz w:val="24"/>
            <w:szCs w:val="24"/>
          </w:rPr>
          <w:t>https://doi.org/10.1002/ldr.536</w:t>
        </w:r>
      </w:hyperlink>
      <w:r w:rsidRPr="000807DC">
        <w:rPr>
          <w:rFonts w:ascii="Times New Roman" w:hAnsi="Times New Roman" w:cs="Times New Roman"/>
          <w:sz w:val="24"/>
          <w:szCs w:val="24"/>
        </w:rPr>
        <w:t xml:space="preserve"> </w:t>
      </w:r>
    </w:p>
    <w:p w14:paraId="08290557"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Tiwari, P. C., &amp; Joshi, B. (2015). Climate change and rural out-migration in Himalaya. Change and Adaptation in Socio-Ecological Systems, 2(1), 8-25. </w:t>
      </w:r>
      <w:r w:rsidRPr="000807DC">
        <w:rPr>
          <w:rFonts w:ascii="Times New Roman" w:hAnsi="Times New Roman" w:cs="Times New Roman"/>
          <w:sz w:val="24"/>
          <w:szCs w:val="24"/>
        </w:rPr>
        <w:t xml:space="preserve">10.1515/cass-2015-0002  </w:t>
      </w:r>
    </w:p>
    <w:p w14:paraId="28BE971D"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Verburg, P. H., Crossman, N., Ellis, E. C., Heinimann, A., Hostert, P., Mertz, O., Nagendra, H., Sikor, T., Erb, K.-H., </w:t>
      </w:r>
      <w:proofErr w:type="spellStart"/>
      <w:r w:rsidRPr="000807DC">
        <w:rPr>
          <w:rFonts w:ascii="Times New Roman" w:eastAsia="Times New Roman" w:hAnsi="Times New Roman" w:cs="Times New Roman"/>
          <w:kern w:val="0"/>
          <w:sz w:val="24"/>
          <w:szCs w:val="24"/>
          <w:lang w:eastAsia="en-IN"/>
          <w14:ligatures w14:val="none"/>
        </w:rPr>
        <w:t>Golubiewski</w:t>
      </w:r>
      <w:proofErr w:type="spellEnd"/>
      <w:r w:rsidRPr="000807DC">
        <w:rPr>
          <w:rFonts w:ascii="Times New Roman" w:eastAsia="Times New Roman" w:hAnsi="Times New Roman" w:cs="Times New Roman"/>
          <w:kern w:val="0"/>
          <w:sz w:val="24"/>
          <w:szCs w:val="24"/>
          <w:lang w:eastAsia="en-IN"/>
          <w14:ligatures w14:val="none"/>
        </w:rPr>
        <w:t xml:space="preserve">, N., Grau, R., Grove, M., </w:t>
      </w:r>
      <w:proofErr w:type="spellStart"/>
      <w:r w:rsidRPr="000807DC">
        <w:rPr>
          <w:rFonts w:ascii="Times New Roman" w:eastAsia="Times New Roman" w:hAnsi="Times New Roman" w:cs="Times New Roman"/>
          <w:kern w:val="0"/>
          <w:sz w:val="24"/>
          <w:szCs w:val="24"/>
          <w:lang w:eastAsia="en-IN"/>
          <w14:ligatures w14:val="none"/>
        </w:rPr>
        <w:t>Konaté</w:t>
      </w:r>
      <w:proofErr w:type="spellEnd"/>
      <w:r w:rsidRPr="000807DC">
        <w:rPr>
          <w:rFonts w:ascii="Times New Roman" w:eastAsia="Times New Roman" w:hAnsi="Times New Roman" w:cs="Times New Roman"/>
          <w:kern w:val="0"/>
          <w:sz w:val="24"/>
          <w:szCs w:val="24"/>
          <w:lang w:eastAsia="en-IN"/>
          <w14:ligatures w14:val="none"/>
        </w:rPr>
        <w:t xml:space="preserve">, S., </w:t>
      </w:r>
      <w:proofErr w:type="spellStart"/>
      <w:r w:rsidRPr="000807DC">
        <w:rPr>
          <w:rFonts w:ascii="Times New Roman" w:eastAsia="Times New Roman" w:hAnsi="Times New Roman" w:cs="Times New Roman"/>
          <w:kern w:val="0"/>
          <w:sz w:val="24"/>
          <w:szCs w:val="24"/>
          <w:lang w:eastAsia="en-IN"/>
          <w14:ligatures w14:val="none"/>
        </w:rPr>
        <w:t>Meyfroidt</w:t>
      </w:r>
      <w:proofErr w:type="spellEnd"/>
      <w:r w:rsidRPr="000807DC">
        <w:rPr>
          <w:rFonts w:ascii="Times New Roman" w:eastAsia="Times New Roman" w:hAnsi="Times New Roman" w:cs="Times New Roman"/>
          <w:kern w:val="0"/>
          <w:sz w:val="24"/>
          <w:szCs w:val="24"/>
          <w:lang w:eastAsia="en-IN"/>
          <w14:ligatures w14:val="none"/>
        </w:rPr>
        <w:t xml:space="preserve">, P., Parker, D. C., Chowdhury, R. R., Shibata, H., Thomson, A., &amp; Zhen, L. (2015). Land system science and sustainable development of the earth system: A global land project perspective. Anthropocene, 12, 29–41. </w:t>
      </w:r>
      <w:hyperlink r:id="rId54" w:history="1">
        <w:r w:rsidRPr="00A45971">
          <w:rPr>
            <w:rStyle w:val="Hyperlink"/>
            <w:rFonts w:ascii="Times New Roman" w:eastAsia="Times New Roman" w:hAnsi="Times New Roman" w:cs="Times New Roman"/>
            <w:kern w:val="0"/>
            <w:sz w:val="24"/>
            <w:szCs w:val="24"/>
            <w:lang w:eastAsia="en-IN"/>
            <w14:ligatures w14:val="none"/>
          </w:rPr>
          <w:t>https://doi.org/10.1016/j.ancene.2015.09.004</w:t>
        </w:r>
      </w:hyperlink>
      <w:r>
        <w:rPr>
          <w:rFonts w:ascii="Times New Roman" w:eastAsia="Times New Roman" w:hAnsi="Times New Roman" w:cs="Times New Roman"/>
          <w:kern w:val="0"/>
          <w:sz w:val="24"/>
          <w:szCs w:val="24"/>
          <w:lang w:eastAsia="en-IN"/>
          <w14:ligatures w14:val="none"/>
        </w:rPr>
        <w:t xml:space="preserve"> </w:t>
      </w:r>
    </w:p>
    <w:p w14:paraId="32B7EDB8"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Walker, B., Holling, C. S., Carpenter, S. R., &amp; Kinzig, A. (2004). Resilience, adaptability and transformability in social–ecological systems. </w:t>
      </w:r>
      <w:r w:rsidRPr="000807DC">
        <w:rPr>
          <w:rFonts w:ascii="Times New Roman" w:eastAsia="Times New Roman" w:hAnsi="Times New Roman" w:cs="Times New Roman"/>
          <w:i/>
          <w:iCs/>
          <w:kern w:val="0"/>
          <w:sz w:val="24"/>
          <w:szCs w:val="24"/>
          <w:lang w:eastAsia="en-IN"/>
          <w14:ligatures w14:val="none"/>
        </w:rPr>
        <w:t>Ecology and Society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9</w:t>
      </w:r>
      <w:r w:rsidRPr="000807DC">
        <w:rPr>
          <w:rFonts w:ascii="Times New Roman" w:eastAsia="Times New Roman" w:hAnsi="Times New Roman" w:cs="Times New Roman"/>
          <w:kern w:val="0"/>
          <w:sz w:val="24"/>
          <w:szCs w:val="24"/>
          <w:lang w:eastAsia="en-IN"/>
          <w14:ligatures w14:val="none"/>
        </w:rPr>
        <w:t xml:space="preserve">(2), 5. </w:t>
      </w:r>
      <w:hyperlink r:id="rId55" w:history="1">
        <w:r w:rsidRPr="000807DC">
          <w:rPr>
            <w:rFonts w:ascii="Times New Roman" w:eastAsia="Times New Roman" w:hAnsi="Times New Roman" w:cs="Times New Roman"/>
            <w:color w:val="0000FF"/>
            <w:kern w:val="0"/>
            <w:sz w:val="24"/>
            <w:szCs w:val="24"/>
            <w:u w:val="single"/>
            <w:lang w:eastAsia="en-IN"/>
            <w14:ligatures w14:val="none"/>
          </w:rPr>
          <w:t>https://doi.org/10.5751/ES-00650-090205</w:t>
        </w:r>
      </w:hyperlink>
    </w:p>
    <w:p w14:paraId="55277430" w14:textId="4477FDEA"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Wester, P., Mishra, A., Mukherji, A., &amp; Shrestha, A. B. (2019). The Hindu Kush Himalaya assessment: mountains, climate change, sustainability and people (p. 627). Springer Nature. </w:t>
      </w:r>
      <w:hyperlink r:id="rId56" w:history="1">
        <w:r w:rsidRPr="000807DC">
          <w:rPr>
            <w:rFonts w:ascii="Times New Roman" w:eastAsia="Times New Roman" w:hAnsi="Times New Roman" w:cs="Times New Roman"/>
            <w:color w:val="0000FF"/>
            <w:kern w:val="0"/>
            <w:sz w:val="24"/>
            <w:szCs w:val="24"/>
            <w:u w:val="single"/>
            <w:lang w:eastAsia="en-IN"/>
            <w14:ligatures w14:val="none"/>
          </w:rPr>
          <w:t>https://doi.org/10.1007/978-3-319-92288-1</w:t>
        </w:r>
      </w:hyperlink>
    </w:p>
    <w:p w14:paraId="65A12A71"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Wezel, A., Bellon, S., Doré, T., Francis, C., </w:t>
      </w:r>
      <w:proofErr w:type="spellStart"/>
      <w:r w:rsidRPr="000807DC">
        <w:rPr>
          <w:rFonts w:ascii="Times New Roman" w:eastAsia="Times New Roman" w:hAnsi="Times New Roman" w:cs="Times New Roman"/>
          <w:kern w:val="0"/>
          <w:sz w:val="24"/>
          <w:szCs w:val="24"/>
          <w:lang w:eastAsia="en-IN"/>
          <w14:ligatures w14:val="none"/>
        </w:rPr>
        <w:t>Vallod</w:t>
      </w:r>
      <w:proofErr w:type="spellEnd"/>
      <w:r w:rsidRPr="000807DC">
        <w:rPr>
          <w:rFonts w:ascii="Times New Roman" w:eastAsia="Times New Roman" w:hAnsi="Times New Roman" w:cs="Times New Roman"/>
          <w:kern w:val="0"/>
          <w:sz w:val="24"/>
          <w:szCs w:val="24"/>
          <w:lang w:eastAsia="en-IN"/>
          <w14:ligatures w14:val="none"/>
        </w:rPr>
        <w:t xml:space="preserve">, D., &amp; David, C. (2009). Agroecology as a science, a movement and a practice. A review. Agronomy for sustainable development, 29(4), 503-515. </w:t>
      </w:r>
      <w:hyperlink r:id="rId57" w:history="1">
        <w:r w:rsidRPr="000807DC">
          <w:rPr>
            <w:rFonts w:ascii="Times New Roman" w:eastAsia="Times New Roman" w:hAnsi="Times New Roman" w:cs="Times New Roman"/>
            <w:color w:val="0000FF"/>
            <w:kern w:val="0"/>
            <w:sz w:val="24"/>
            <w:szCs w:val="24"/>
            <w:u w:val="single"/>
            <w:lang w:eastAsia="en-IN"/>
            <w14:ligatures w14:val="none"/>
          </w:rPr>
          <w:t>https://doi.org/10.1051/agro/2009004</w:t>
        </w:r>
      </w:hyperlink>
    </w:p>
    <w:p w14:paraId="72E620D7" w14:textId="77777777" w:rsidR="00A8677B" w:rsidRPr="000807DC" w:rsidRDefault="00A8677B" w:rsidP="000807DC">
      <w:pPr>
        <w:spacing w:before="100" w:beforeAutospacing="1" w:after="100" w:afterAutospacing="1" w:line="240" w:lineRule="auto"/>
        <w:ind w:left="360"/>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Willett, W., </w:t>
      </w:r>
      <w:proofErr w:type="spellStart"/>
      <w:r w:rsidRPr="000807DC">
        <w:rPr>
          <w:rFonts w:ascii="Times New Roman" w:eastAsia="Times New Roman" w:hAnsi="Times New Roman" w:cs="Times New Roman"/>
          <w:kern w:val="0"/>
          <w:sz w:val="24"/>
          <w:szCs w:val="24"/>
          <w:lang w:eastAsia="en-IN"/>
          <w14:ligatures w14:val="none"/>
        </w:rPr>
        <w:t>Rockström</w:t>
      </w:r>
      <w:proofErr w:type="spellEnd"/>
      <w:r w:rsidRPr="000807DC">
        <w:rPr>
          <w:rFonts w:ascii="Times New Roman" w:eastAsia="Times New Roman" w:hAnsi="Times New Roman" w:cs="Times New Roman"/>
          <w:kern w:val="0"/>
          <w:sz w:val="24"/>
          <w:szCs w:val="24"/>
          <w:lang w:eastAsia="en-IN"/>
          <w14:ligatures w14:val="none"/>
        </w:rPr>
        <w:t xml:space="preserve">, J., Loken, B., Springmann, M., Lang, T., Vermeulen, S., Garnett, T., Tilman, D., DeClerck, F., Wood, A., Jonell, M., Clark, M., Gordon, L. J., Fanzo, J., Hawkes, C., </w:t>
      </w:r>
      <w:proofErr w:type="spellStart"/>
      <w:r w:rsidRPr="000807DC">
        <w:rPr>
          <w:rFonts w:ascii="Times New Roman" w:eastAsia="Times New Roman" w:hAnsi="Times New Roman" w:cs="Times New Roman"/>
          <w:kern w:val="0"/>
          <w:sz w:val="24"/>
          <w:szCs w:val="24"/>
          <w:lang w:eastAsia="en-IN"/>
          <w14:ligatures w14:val="none"/>
        </w:rPr>
        <w:t>Zurayk</w:t>
      </w:r>
      <w:proofErr w:type="spellEnd"/>
      <w:r w:rsidRPr="000807DC">
        <w:rPr>
          <w:rFonts w:ascii="Times New Roman" w:eastAsia="Times New Roman" w:hAnsi="Times New Roman" w:cs="Times New Roman"/>
          <w:kern w:val="0"/>
          <w:sz w:val="24"/>
          <w:szCs w:val="24"/>
          <w:lang w:eastAsia="en-IN"/>
          <w14:ligatures w14:val="none"/>
        </w:rPr>
        <w:t xml:space="preserve">, R., Rivera, J. A., De Vries, W., </w:t>
      </w:r>
      <w:proofErr w:type="spellStart"/>
      <w:r w:rsidRPr="000807DC">
        <w:rPr>
          <w:rFonts w:ascii="Times New Roman" w:eastAsia="Times New Roman" w:hAnsi="Times New Roman" w:cs="Times New Roman"/>
          <w:kern w:val="0"/>
          <w:sz w:val="24"/>
          <w:szCs w:val="24"/>
          <w:lang w:eastAsia="en-IN"/>
          <w14:ligatures w14:val="none"/>
        </w:rPr>
        <w:t>Majele</w:t>
      </w:r>
      <w:proofErr w:type="spellEnd"/>
      <w:r w:rsidRPr="000807DC">
        <w:rPr>
          <w:rFonts w:ascii="Times New Roman" w:eastAsia="Times New Roman" w:hAnsi="Times New Roman" w:cs="Times New Roman"/>
          <w:kern w:val="0"/>
          <w:sz w:val="24"/>
          <w:szCs w:val="24"/>
          <w:lang w:eastAsia="en-IN"/>
          <w14:ligatures w14:val="none"/>
        </w:rPr>
        <w:t xml:space="preserve"> Sibanda, L., ... Murray, C. J. L. (2019). Food in the Anthropocene: The EAT–Lancet Commission on healthy diets from sustainable food systems. The Lancet, 393(10170), 447–492. </w:t>
      </w:r>
      <w:hyperlink r:id="rId58" w:history="1">
        <w:r w:rsidRPr="00A45971">
          <w:rPr>
            <w:rStyle w:val="Hyperlink"/>
            <w:rFonts w:ascii="Times New Roman" w:eastAsia="Times New Roman" w:hAnsi="Times New Roman" w:cs="Times New Roman"/>
            <w:kern w:val="0"/>
            <w:sz w:val="24"/>
            <w:szCs w:val="24"/>
            <w:lang w:eastAsia="en-IN"/>
            <w14:ligatures w14:val="none"/>
          </w:rPr>
          <w:t>https://doi.org/10.1016/S0140-6736(18)31788-4</w:t>
        </w:r>
      </w:hyperlink>
      <w:r>
        <w:rPr>
          <w:rFonts w:ascii="Times New Roman" w:eastAsia="Times New Roman" w:hAnsi="Times New Roman" w:cs="Times New Roman"/>
          <w:kern w:val="0"/>
          <w:sz w:val="24"/>
          <w:szCs w:val="24"/>
          <w:lang w:eastAsia="en-IN"/>
          <w14:ligatures w14:val="none"/>
        </w:rPr>
        <w:t xml:space="preserve"> </w:t>
      </w:r>
    </w:p>
    <w:p w14:paraId="0186D89D" w14:textId="77777777" w:rsidR="00A8677B" w:rsidRPr="000807DC" w:rsidRDefault="00A8677B" w:rsidP="000807DC">
      <w:pPr>
        <w:spacing w:before="100" w:beforeAutospacing="1" w:after="100" w:afterAutospacing="1" w:line="240" w:lineRule="auto"/>
        <w:ind w:left="360"/>
        <w:rPr>
          <w:rFonts w:ascii="Times New Roman" w:hAnsi="Times New Roman" w:cs="Times New Roman"/>
          <w:sz w:val="24"/>
          <w:szCs w:val="24"/>
        </w:rPr>
      </w:pPr>
      <w:r w:rsidRPr="000807DC">
        <w:rPr>
          <w:rFonts w:ascii="Times New Roman" w:eastAsia="Times New Roman" w:hAnsi="Times New Roman" w:cs="Times New Roman"/>
          <w:kern w:val="0"/>
          <w:sz w:val="24"/>
          <w:szCs w:val="24"/>
          <w:lang w:eastAsia="en-IN"/>
          <w14:ligatures w14:val="none"/>
        </w:rPr>
        <w:t xml:space="preserve">Zimmerer, K. S. (2010). Biological diversity in agriculture and global change. Annual Review of Environment and Resources, 35, 137-166. </w:t>
      </w:r>
      <w:hyperlink r:id="rId59" w:history="1">
        <w:r w:rsidRPr="000807DC">
          <w:rPr>
            <w:rStyle w:val="Hyperlink"/>
            <w:rFonts w:ascii="Times New Roman" w:hAnsi="Times New Roman" w:cs="Times New Roman"/>
            <w:sz w:val="24"/>
            <w:szCs w:val="24"/>
          </w:rPr>
          <w:t>https://doi.org/10.1146/annurev-environ-040309-113840</w:t>
        </w:r>
      </w:hyperlink>
      <w:r w:rsidRPr="000807DC">
        <w:rPr>
          <w:rFonts w:ascii="Times New Roman" w:hAnsi="Times New Roman" w:cs="Times New Roman"/>
          <w:sz w:val="24"/>
          <w:szCs w:val="24"/>
        </w:rPr>
        <w:t xml:space="preserve"> </w:t>
      </w:r>
    </w:p>
    <w:bookmarkEnd w:id="0"/>
    <w:p w14:paraId="61846D23" w14:textId="77777777" w:rsidR="00A122BB" w:rsidRPr="00326748" w:rsidRDefault="00A122BB" w:rsidP="000807DC">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0E45ECCE" w14:textId="77777777" w:rsidR="00326748" w:rsidRPr="00326748" w:rsidRDefault="00326748" w:rsidP="000807DC"/>
    <w:sectPr w:rsidR="00326748" w:rsidRPr="00326748" w:rsidSect="001E337C">
      <w:headerReference w:type="even" r:id="rId60"/>
      <w:headerReference w:type="default" r:id="rId61"/>
      <w:footerReference w:type="even" r:id="rId62"/>
      <w:footerReference w:type="default" r:id="rId63"/>
      <w:headerReference w:type="first" r:id="rId64"/>
      <w:footerReference w:type="first" r:id="rId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94D5B" w14:textId="77777777" w:rsidR="008F0C1D" w:rsidRDefault="008F0C1D" w:rsidP="007D594A">
      <w:pPr>
        <w:spacing w:after="0" w:line="240" w:lineRule="auto"/>
      </w:pPr>
      <w:r>
        <w:separator/>
      </w:r>
    </w:p>
  </w:endnote>
  <w:endnote w:type="continuationSeparator" w:id="0">
    <w:p w14:paraId="4159489E" w14:textId="77777777" w:rsidR="008F0C1D" w:rsidRDefault="008F0C1D" w:rsidP="007D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7634" w14:textId="77777777" w:rsidR="007D594A" w:rsidRDefault="007D5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C6E2" w14:textId="77777777" w:rsidR="007D594A" w:rsidRDefault="007D59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EC83" w14:textId="77777777" w:rsidR="007D594A" w:rsidRDefault="007D5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CA24A" w14:textId="77777777" w:rsidR="008F0C1D" w:rsidRDefault="008F0C1D" w:rsidP="007D594A">
      <w:pPr>
        <w:spacing w:after="0" w:line="240" w:lineRule="auto"/>
      </w:pPr>
      <w:r>
        <w:separator/>
      </w:r>
    </w:p>
  </w:footnote>
  <w:footnote w:type="continuationSeparator" w:id="0">
    <w:p w14:paraId="16622931" w14:textId="77777777" w:rsidR="008F0C1D" w:rsidRDefault="008F0C1D" w:rsidP="007D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7E1B" w14:textId="13522322" w:rsidR="007D594A" w:rsidRDefault="007D594A">
    <w:pPr>
      <w:pStyle w:val="Header"/>
    </w:pPr>
    <w:r>
      <w:rPr>
        <w:noProof/>
      </w:rPr>
      <w:pict w14:anchorId="789551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73532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546E" w14:textId="257393A5" w:rsidR="007D594A" w:rsidRDefault="007D594A">
    <w:pPr>
      <w:pStyle w:val="Header"/>
    </w:pPr>
    <w:r>
      <w:rPr>
        <w:noProof/>
      </w:rPr>
      <w:pict w14:anchorId="1BDA6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73533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CDC9" w14:textId="4D53BEFC" w:rsidR="007D594A" w:rsidRDefault="007D594A">
    <w:pPr>
      <w:pStyle w:val="Header"/>
    </w:pPr>
    <w:r>
      <w:rPr>
        <w:noProof/>
      </w:rPr>
      <w:pict w14:anchorId="3A403C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73532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F3C1F"/>
    <w:multiLevelType w:val="hybridMultilevel"/>
    <w:tmpl w:val="40B6FA9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41064282"/>
    <w:multiLevelType w:val="hybridMultilevel"/>
    <w:tmpl w:val="951E12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36670604">
    <w:abstractNumId w:val="1"/>
  </w:num>
  <w:num w:numId="2" w16cid:durableId="2057044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xMrUwMjEzsDA3MTC3MLJQ0lEKTi0uzszPAykwrgUAPtMKYCwAAAA="/>
  </w:docVars>
  <w:rsids>
    <w:rsidRoot w:val="007C170A"/>
    <w:rsid w:val="0005537E"/>
    <w:rsid w:val="000807DC"/>
    <w:rsid w:val="000B2AE0"/>
    <w:rsid w:val="00187556"/>
    <w:rsid w:val="001C69F9"/>
    <w:rsid w:val="001E337C"/>
    <w:rsid w:val="002E4C7E"/>
    <w:rsid w:val="00326748"/>
    <w:rsid w:val="004D298C"/>
    <w:rsid w:val="00534086"/>
    <w:rsid w:val="006617B5"/>
    <w:rsid w:val="006F268D"/>
    <w:rsid w:val="007C170A"/>
    <w:rsid w:val="007D594A"/>
    <w:rsid w:val="00804FD1"/>
    <w:rsid w:val="008057A0"/>
    <w:rsid w:val="008F0C1D"/>
    <w:rsid w:val="00A122BB"/>
    <w:rsid w:val="00A8677B"/>
    <w:rsid w:val="00AC093C"/>
    <w:rsid w:val="00B04FBC"/>
    <w:rsid w:val="00BF64D0"/>
    <w:rsid w:val="00C95D2E"/>
    <w:rsid w:val="00CE53ED"/>
    <w:rsid w:val="00D21737"/>
    <w:rsid w:val="00DD5C0A"/>
    <w:rsid w:val="00DE1F4A"/>
    <w:rsid w:val="00F83CB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31C80"/>
  <w15:chartTrackingRefBased/>
  <w15:docId w15:val="{FF78BA1E-B61F-4847-9789-0304F777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37C"/>
  </w:style>
  <w:style w:type="paragraph" w:styleId="Heading1">
    <w:name w:val="heading 1"/>
    <w:basedOn w:val="Normal"/>
    <w:next w:val="Normal"/>
    <w:link w:val="Heading1Char"/>
    <w:uiPriority w:val="9"/>
    <w:qFormat/>
    <w:rsid w:val="007C17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C17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C17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C17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17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1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7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C17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C17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C17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17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1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70A"/>
    <w:rPr>
      <w:rFonts w:eastAsiaTheme="majorEastAsia" w:cstheme="majorBidi"/>
      <w:color w:val="272727" w:themeColor="text1" w:themeTint="D8"/>
    </w:rPr>
  </w:style>
  <w:style w:type="paragraph" w:styleId="Title">
    <w:name w:val="Title"/>
    <w:basedOn w:val="Normal"/>
    <w:next w:val="Normal"/>
    <w:link w:val="TitleChar"/>
    <w:uiPriority w:val="10"/>
    <w:qFormat/>
    <w:rsid w:val="007C1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70A"/>
    <w:pPr>
      <w:spacing w:before="160"/>
      <w:jc w:val="center"/>
    </w:pPr>
    <w:rPr>
      <w:i/>
      <w:iCs/>
      <w:color w:val="404040" w:themeColor="text1" w:themeTint="BF"/>
    </w:rPr>
  </w:style>
  <w:style w:type="character" w:customStyle="1" w:styleId="QuoteChar">
    <w:name w:val="Quote Char"/>
    <w:basedOn w:val="DefaultParagraphFont"/>
    <w:link w:val="Quote"/>
    <w:uiPriority w:val="29"/>
    <w:rsid w:val="007C170A"/>
    <w:rPr>
      <w:i/>
      <w:iCs/>
      <w:color w:val="404040" w:themeColor="text1" w:themeTint="BF"/>
    </w:rPr>
  </w:style>
  <w:style w:type="paragraph" w:styleId="ListParagraph">
    <w:name w:val="List Paragraph"/>
    <w:basedOn w:val="Normal"/>
    <w:uiPriority w:val="34"/>
    <w:qFormat/>
    <w:rsid w:val="007C170A"/>
    <w:pPr>
      <w:ind w:left="720"/>
      <w:contextualSpacing/>
    </w:pPr>
  </w:style>
  <w:style w:type="character" w:styleId="IntenseEmphasis">
    <w:name w:val="Intense Emphasis"/>
    <w:basedOn w:val="DefaultParagraphFont"/>
    <w:uiPriority w:val="21"/>
    <w:qFormat/>
    <w:rsid w:val="007C170A"/>
    <w:rPr>
      <w:i/>
      <w:iCs/>
      <w:color w:val="2F5496" w:themeColor="accent1" w:themeShade="BF"/>
    </w:rPr>
  </w:style>
  <w:style w:type="paragraph" w:styleId="IntenseQuote">
    <w:name w:val="Intense Quote"/>
    <w:basedOn w:val="Normal"/>
    <w:next w:val="Normal"/>
    <w:link w:val="IntenseQuoteChar"/>
    <w:uiPriority w:val="30"/>
    <w:qFormat/>
    <w:rsid w:val="007C17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170A"/>
    <w:rPr>
      <w:i/>
      <w:iCs/>
      <w:color w:val="2F5496" w:themeColor="accent1" w:themeShade="BF"/>
    </w:rPr>
  </w:style>
  <w:style w:type="character" w:styleId="IntenseReference">
    <w:name w:val="Intense Reference"/>
    <w:basedOn w:val="DefaultParagraphFont"/>
    <w:uiPriority w:val="32"/>
    <w:qFormat/>
    <w:rsid w:val="007C170A"/>
    <w:rPr>
      <w:b/>
      <w:bCs/>
      <w:smallCaps/>
      <w:color w:val="2F5496" w:themeColor="accent1" w:themeShade="BF"/>
      <w:spacing w:val="5"/>
    </w:rPr>
  </w:style>
  <w:style w:type="paragraph" w:styleId="NormalWeb">
    <w:name w:val="Normal (Web)"/>
    <w:basedOn w:val="Normal"/>
    <w:uiPriority w:val="99"/>
    <w:semiHidden/>
    <w:unhideWhenUsed/>
    <w:rsid w:val="00326748"/>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styleId="Strong">
    <w:name w:val="Strong"/>
    <w:basedOn w:val="DefaultParagraphFont"/>
    <w:uiPriority w:val="22"/>
    <w:qFormat/>
    <w:rsid w:val="00326748"/>
    <w:rPr>
      <w:b/>
      <w:bCs/>
    </w:rPr>
  </w:style>
  <w:style w:type="character" w:styleId="Emphasis">
    <w:name w:val="Emphasis"/>
    <w:basedOn w:val="DefaultParagraphFont"/>
    <w:uiPriority w:val="20"/>
    <w:qFormat/>
    <w:rsid w:val="00326748"/>
    <w:rPr>
      <w:i/>
      <w:iCs/>
    </w:rPr>
  </w:style>
  <w:style w:type="character" w:styleId="Hyperlink">
    <w:name w:val="Hyperlink"/>
    <w:basedOn w:val="DefaultParagraphFont"/>
    <w:uiPriority w:val="99"/>
    <w:unhideWhenUsed/>
    <w:rsid w:val="00326748"/>
    <w:rPr>
      <w:color w:val="0000FF"/>
      <w:u w:val="single"/>
    </w:rPr>
  </w:style>
  <w:style w:type="paragraph" w:customStyle="1" w:styleId="font-claude-response-body">
    <w:name w:val="font-claude-response-body"/>
    <w:basedOn w:val="Normal"/>
    <w:rsid w:val="00326748"/>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styleId="UnresolvedMention">
    <w:name w:val="Unresolved Mention"/>
    <w:basedOn w:val="DefaultParagraphFont"/>
    <w:uiPriority w:val="99"/>
    <w:semiHidden/>
    <w:unhideWhenUsed/>
    <w:rsid w:val="00A122BB"/>
    <w:rPr>
      <w:color w:val="605E5C"/>
      <w:shd w:val="clear" w:color="auto" w:fill="E1DFDD"/>
    </w:rPr>
  </w:style>
  <w:style w:type="table" w:styleId="TableGrid">
    <w:name w:val="Table Grid"/>
    <w:basedOn w:val="TableNormal"/>
    <w:uiPriority w:val="39"/>
    <w:rsid w:val="00A1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537E"/>
    <w:rPr>
      <w:color w:val="954F72" w:themeColor="followedHyperlink"/>
      <w:u w:val="single"/>
    </w:rPr>
  </w:style>
  <w:style w:type="paragraph" w:styleId="Header">
    <w:name w:val="header"/>
    <w:basedOn w:val="Normal"/>
    <w:link w:val="HeaderChar"/>
    <w:uiPriority w:val="99"/>
    <w:unhideWhenUsed/>
    <w:rsid w:val="007D5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94A"/>
  </w:style>
  <w:style w:type="paragraph" w:styleId="Footer">
    <w:name w:val="footer"/>
    <w:basedOn w:val="Normal"/>
    <w:link w:val="FooterChar"/>
    <w:uiPriority w:val="99"/>
    <w:unhideWhenUsed/>
    <w:rsid w:val="007D5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26/science.1234485" TargetMode="External"/><Relationship Id="rId21" Type="http://schemas.openxmlformats.org/officeDocument/2006/relationships/hyperlink" Target="https://doi.org/10.4060/cb4476en" TargetMode="External"/><Relationship Id="rId34" Type="http://schemas.openxmlformats.org/officeDocument/2006/relationships/hyperlink" Target="https://doi.org/10.1007/s00035-016-0182-6" TargetMode="External"/><Relationship Id="rId42" Type="http://schemas.openxmlformats.org/officeDocument/2006/relationships/hyperlink" Target="https://doi.org/10.1038/s41893-018-0114-0" TargetMode="External"/><Relationship Id="rId47" Type="http://schemas.openxmlformats.org/officeDocument/2006/relationships/hyperlink" Target="https://doi.org/10.3389/fsufs.2021.709401" TargetMode="External"/><Relationship Id="rId50" Type="http://schemas.openxmlformats.org/officeDocument/2006/relationships/hyperlink" Target="https://doi.org/10.1038/s41597-022-01256-y" TargetMode="External"/><Relationship Id="rId55" Type="http://schemas.openxmlformats.org/officeDocument/2006/relationships/hyperlink" Target="https://doi.org/10.5751/ES-00650-090205"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foodpol.2016.09.020" TargetMode="External"/><Relationship Id="rId29" Type="http://schemas.openxmlformats.org/officeDocument/2006/relationships/hyperlink" Target="https://www.ipcc.ch/srccl/" TargetMode="External"/><Relationship Id="rId11" Type="http://schemas.openxmlformats.org/officeDocument/2006/relationships/hyperlink" Target="https://doi.org/10.1016/j.foodpol.2007.10.005" TargetMode="External"/><Relationship Id="rId24" Type="http://schemas.openxmlformats.org/officeDocument/2006/relationships/hyperlink" Target="https://doi.org/10.5751/ES-03610-150420" TargetMode="External"/><Relationship Id="rId32" Type="http://schemas.openxmlformats.org/officeDocument/2006/relationships/hyperlink" Target="https://doi.org/10.1007/s10531-022-02417-6" TargetMode="External"/><Relationship Id="rId37" Type="http://schemas.openxmlformats.org/officeDocument/2006/relationships/hyperlink" Target="https://doi.org/10.1016/j.worlddev.2015.10.041" TargetMode="External"/><Relationship Id="rId40" Type="http://schemas.openxmlformats.org/officeDocument/2006/relationships/hyperlink" Target="https://doi.org/10.1016/j.worlddev.2021.105410" TargetMode="External"/><Relationship Id="rId45" Type="http://schemas.openxmlformats.org/officeDocument/2006/relationships/hyperlink" Target="https://doi.org/10.1146/annurev-environ-110615-085349" TargetMode="External"/><Relationship Id="rId53" Type="http://schemas.openxmlformats.org/officeDocument/2006/relationships/hyperlink" Target="https://doi.org/10.1002/ldr.536" TargetMode="External"/><Relationship Id="rId58" Type="http://schemas.openxmlformats.org/officeDocument/2006/relationships/hyperlink" Target="https://doi.org/10.1016/S0140-6736(18)31788-4"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www.fao.org/3/i2050e/i2050e.pdf" TargetMode="External"/><Relationship Id="rId14" Type="http://schemas.openxmlformats.org/officeDocument/2006/relationships/hyperlink" Target="https://doi.org/10.1007/s10113-021-01794-y" TargetMode="External"/><Relationship Id="rId22" Type="http://schemas.openxmlformats.org/officeDocument/2006/relationships/hyperlink" Target="https://doi.org/10.1016/j.worlddev.2011.11.018" TargetMode="External"/><Relationship Id="rId27" Type="http://schemas.openxmlformats.org/officeDocument/2006/relationships/hyperlink" Target="https://www.fao.org/cfs/cfs-hlpe/reports/report-14/en/" TargetMode="External"/><Relationship Id="rId30" Type="http://schemas.openxmlformats.org/officeDocument/2006/relationships/hyperlink" Target="https://doi.org/10.1017/9781009325844" TargetMode="External"/><Relationship Id="rId35" Type="http://schemas.openxmlformats.org/officeDocument/2006/relationships/hyperlink" Target="https://doi.org/10.1073/pnas.1100480108" TargetMode="External"/><Relationship Id="rId43" Type="http://schemas.openxmlformats.org/officeDocument/2006/relationships/hyperlink" Target="https://doi.org/10.9734/ajaees/2026/v44i32901" TargetMode="External"/><Relationship Id="rId48" Type="http://schemas.openxmlformats.org/officeDocument/2006/relationships/hyperlink" Target="https://doi.org/10.1016/j.ecoser.2017.06.008" TargetMode="External"/><Relationship Id="rId56" Type="http://schemas.openxmlformats.org/officeDocument/2006/relationships/hyperlink" Target="https://doi.org/10.1007/978-3-319-92288-1" TargetMode="External"/><Relationship Id="rId64" Type="http://schemas.openxmlformats.org/officeDocument/2006/relationships/header" Target="header3.xml"/><Relationship Id="rId8" Type="http://schemas.openxmlformats.org/officeDocument/2006/relationships/hyperlink" Target="https://doi.org/10.3390/su9020291" TargetMode="External"/><Relationship Id="rId51" Type="http://schemas.openxmlformats.org/officeDocument/2006/relationships/hyperlink" Target="https://doi.org/10.1016/j.jbusres.2019.07.039" TargetMode="External"/><Relationship Id="rId3" Type="http://schemas.openxmlformats.org/officeDocument/2006/relationships/styles" Target="styles.xml"/><Relationship Id="rId12" Type="http://schemas.openxmlformats.org/officeDocument/2006/relationships/hyperlink" Target="https://doi.org/10.1111/j.1365-2664.2005.01005.x" TargetMode="External"/><Relationship Id="rId17" Type="http://schemas.openxmlformats.org/officeDocument/2006/relationships/hyperlink" Target="https://doi.org/10.1016/j.gfs.2017.10.001" TargetMode="External"/><Relationship Id="rId25" Type="http://schemas.openxmlformats.org/officeDocument/2006/relationships/hyperlink" Target="https://doi.org/10.1016/j.tree.2016.10.001" TargetMode="External"/><Relationship Id="rId33" Type="http://schemas.openxmlformats.org/officeDocument/2006/relationships/hyperlink" Target="https://doi.org/10.1016/j.gfs.2021.100540" TargetMode="External"/><Relationship Id="rId38" Type="http://schemas.openxmlformats.org/officeDocument/2006/relationships/hyperlink" Target="https://doi.org/10.9734/ajee/2026/v25i1876" TargetMode="External"/><Relationship Id="rId46" Type="http://schemas.openxmlformats.org/officeDocument/2006/relationships/hyperlink" Target="https://doi.org/10.1038/461472a" TargetMode="External"/><Relationship Id="rId59" Type="http://schemas.openxmlformats.org/officeDocument/2006/relationships/hyperlink" Target="https://doi.org/10.1146/annurev-environ-040309-113840" TargetMode="External"/><Relationship Id="rId67" Type="http://schemas.openxmlformats.org/officeDocument/2006/relationships/theme" Target="theme/theme1.xml"/><Relationship Id="rId20" Type="http://schemas.openxmlformats.org/officeDocument/2006/relationships/hyperlink" Target="https://www.fao.org/3/i3480e/i3480e.pdf" TargetMode="External"/><Relationship Id="rId41" Type="http://schemas.openxmlformats.org/officeDocument/2006/relationships/hyperlink" Target="https://doi.org/10.1057/s41287-023-00600-1" TargetMode="External"/><Relationship Id="rId54" Type="http://schemas.openxmlformats.org/officeDocument/2006/relationships/hyperlink" Target="https://doi.org/10.1016/j.ancene.2015.09.004"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46/annurev-environ-051211-123836" TargetMode="External"/><Relationship Id="rId23" Type="http://schemas.openxmlformats.org/officeDocument/2006/relationships/hyperlink" Target="https://doi.org/10.1016/j.gloenvcha.2006.04.002" TargetMode="External"/><Relationship Id="rId28" Type="http://schemas.openxmlformats.org/officeDocument/2006/relationships/hyperlink" Target="https://doi.org/10.1038/s41586-019-1822-y" TargetMode="External"/><Relationship Id="rId36" Type="http://schemas.openxmlformats.org/officeDocument/2006/relationships/hyperlink" Target="https://doi.org/10.1525/bio.2011.61.3.4" TargetMode="External"/><Relationship Id="rId49" Type="http://schemas.openxmlformats.org/officeDocument/2006/relationships/hyperlink" Target="https://doi.org/10.1073/pnas.1510982112" TargetMode="External"/><Relationship Id="rId57" Type="http://schemas.openxmlformats.org/officeDocument/2006/relationships/hyperlink" Target="https://doi.org/10.1051/agro/2009004" TargetMode="External"/><Relationship Id="rId10" Type="http://schemas.openxmlformats.org/officeDocument/2006/relationships/hyperlink" Target="https://doi.org/10.1007/s13593-015-0285-2" TargetMode="External"/><Relationship Id="rId31" Type="http://schemas.openxmlformats.org/officeDocument/2006/relationships/hyperlink" Target="https://doi.org/10.1659/0276-4741(2000)020%5b0296:GAFME%5d2.0.CO;2" TargetMode="External"/><Relationship Id="rId44" Type="http://schemas.openxmlformats.org/officeDocument/2006/relationships/hyperlink" Target="https://doi.org/10.1080/03670244.2015.1052426" TargetMode="External"/><Relationship Id="rId52" Type="http://schemas.openxmlformats.org/officeDocument/2006/relationships/hyperlink" Target="https://doi.org/10.1371/journal.pstr.0000212"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56557/ajrra/2026/v8i1195" TargetMode="External"/><Relationship Id="rId13" Type="http://schemas.openxmlformats.org/officeDocument/2006/relationships/hyperlink" Target="https://doi.org/10.1890/1051-0761(2000)010%5B1251:ROTEKA%5D2.0.CO;2" TargetMode="External"/><Relationship Id="rId18" Type="http://schemas.openxmlformats.org/officeDocument/2006/relationships/hyperlink" Target="https://doi.org/10.4060/cc3017en" TargetMode="External"/><Relationship Id="rId39" Type="http://schemas.openxmlformats.org/officeDocument/2006/relationships/hyperlink" Target="https://doi.org/10.3389/fpls.2022.898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A5BA9-F754-44DD-9764-FAA6C506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28</Pages>
  <Words>14040</Words>
  <Characters>80030</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Manisha</dc:creator>
  <cp:keywords/>
  <dc:description/>
  <cp:lastModifiedBy>SDI 1084</cp:lastModifiedBy>
  <cp:revision>14</cp:revision>
  <cp:lastPrinted>2026-06-15T06:29:00Z</cp:lastPrinted>
  <dcterms:created xsi:type="dcterms:W3CDTF">2026-06-13T11:43:00Z</dcterms:created>
  <dcterms:modified xsi:type="dcterms:W3CDTF">2026-06-15T10:55:00Z</dcterms:modified>
</cp:coreProperties>
</file>